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000000" w:themeColor="text1"/>
          <w:sz w:val="28"/>
          <w:szCs w:val="18"/>
          <w14:textFill>
            <w14:solidFill>
              <w14:schemeClr w14:val="tx1"/>
            </w14:solidFill>
          </w14:textFill>
        </w:rPr>
      </w:pPr>
    </w:p>
    <w:p>
      <w:pPr>
        <w:spacing w:line="360" w:lineRule="auto"/>
        <w:jc w:val="center"/>
        <w:rPr>
          <w:rFonts w:ascii="华文中宋" w:hAnsi="华文中宋" w:eastAsia="华文中宋"/>
          <w:color w:val="000000" w:themeColor="text1"/>
          <w:spacing w:val="42"/>
          <w:sz w:val="130"/>
          <w:szCs w:val="130"/>
          <w:highlight w:val="none"/>
          <w14:textFill>
            <w14:solidFill>
              <w14:schemeClr w14:val="tx1"/>
            </w14:solidFill>
          </w14:textFill>
        </w:rPr>
      </w:pPr>
      <w:r>
        <w:rPr>
          <w:rFonts w:hint="eastAsia" w:ascii="华文中宋" w:hAnsi="华文中宋" w:eastAsia="华文中宋"/>
          <w:color w:val="000000" w:themeColor="text1"/>
          <w:spacing w:val="42"/>
          <w:sz w:val="130"/>
          <w:szCs w:val="130"/>
          <w:highlight w:val="none"/>
          <w14:textFill>
            <w14:solidFill>
              <w14:schemeClr w14:val="tx1"/>
            </w14:solidFill>
          </w14:textFill>
        </w:rPr>
        <w:t>招 标 文 件</w:t>
      </w:r>
    </w:p>
    <w:p>
      <w:pPr>
        <w:tabs>
          <w:tab w:val="left" w:pos="2552"/>
        </w:tabs>
        <w:spacing w:line="360" w:lineRule="auto"/>
        <w:ind w:left="1733" w:leftChars="269" w:hanging="1168" w:hangingChars="487"/>
        <w:rPr>
          <w:rFonts w:ascii="华文中宋" w:hAnsi="华文中宋" w:eastAsia="华文中宋"/>
          <w:color w:val="000000" w:themeColor="text1"/>
          <w:sz w:val="24"/>
          <w:highlight w:val="none"/>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highlight w:val="none"/>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highlight w:val="none"/>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highlight w:val="none"/>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highlight w:val="none"/>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highlight w:val="none"/>
          <w14:textFill>
            <w14:solidFill>
              <w14:schemeClr w14:val="tx1"/>
            </w14:solidFill>
          </w14:textFill>
        </w:rPr>
      </w:pPr>
    </w:p>
    <w:p>
      <w:pPr>
        <w:tabs>
          <w:tab w:val="left" w:pos="2552"/>
        </w:tabs>
        <w:spacing w:line="360" w:lineRule="auto"/>
        <w:ind w:left="2123" w:leftChars="269" w:hanging="1558" w:hangingChars="487"/>
        <w:rPr>
          <w:rFonts w:ascii="华文中宋" w:hAnsi="华文中宋" w:eastAsia="华文中宋"/>
          <w:color w:val="000000" w:themeColor="text1"/>
          <w:sz w:val="32"/>
          <w:szCs w:val="32"/>
          <w:highlight w:val="none"/>
          <w14:textFill>
            <w14:solidFill>
              <w14:schemeClr w14:val="tx1"/>
            </w14:solidFill>
          </w14:textFill>
        </w:rPr>
      </w:pPr>
      <w:r>
        <w:rPr>
          <w:rFonts w:hint="eastAsia" w:ascii="华文中宋" w:hAnsi="华文中宋" w:eastAsia="华文中宋"/>
          <w:color w:val="000000" w:themeColor="text1"/>
          <w:sz w:val="32"/>
          <w:szCs w:val="32"/>
          <w:highlight w:val="none"/>
          <w14:textFill>
            <w14:solidFill>
              <w14:schemeClr w14:val="tx1"/>
            </w14:solidFill>
          </w14:textFill>
        </w:rPr>
        <w:t>项目名称：成都市双流区规划和自然资源局地下管线普查成果更新采购项目</w:t>
      </w:r>
    </w:p>
    <w:p>
      <w:pPr>
        <w:spacing w:line="360" w:lineRule="auto"/>
        <w:ind w:firstLine="566" w:firstLineChars="177"/>
        <w:rPr>
          <w:rFonts w:ascii="华文中宋" w:hAnsi="华文中宋" w:eastAsia="华文中宋"/>
          <w:color w:val="000000" w:themeColor="text1"/>
          <w:sz w:val="32"/>
          <w:szCs w:val="32"/>
          <w:highlight w:val="none"/>
          <w14:textFill>
            <w14:solidFill>
              <w14:schemeClr w14:val="tx1"/>
            </w14:solidFill>
          </w14:textFill>
        </w:rPr>
      </w:pPr>
      <w:r>
        <w:rPr>
          <w:rFonts w:hint="eastAsia" w:ascii="华文中宋" w:hAnsi="华文中宋" w:eastAsia="华文中宋"/>
          <w:color w:val="000000" w:themeColor="text1"/>
          <w:sz w:val="32"/>
          <w:szCs w:val="32"/>
          <w:highlight w:val="none"/>
          <w14:textFill>
            <w14:solidFill>
              <w14:schemeClr w14:val="tx1"/>
            </w14:solidFill>
          </w14:textFill>
        </w:rPr>
        <w:t>项目编号：双流政采（2021）A0048号</w:t>
      </w:r>
    </w:p>
    <w:p>
      <w:pPr>
        <w:spacing w:line="360" w:lineRule="auto"/>
        <w:rPr>
          <w:rFonts w:ascii="华文中宋" w:hAnsi="华文中宋" w:eastAsia="华文中宋"/>
          <w:color w:val="000000" w:themeColor="text1"/>
          <w:kern w:val="24"/>
          <w:sz w:val="32"/>
          <w:szCs w:val="32"/>
          <w:highlight w:val="none"/>
          <w14:textFill>
            <w14:solidFill>
              <w14:schemeClr w14:val="tx1"/>
            </w14:solidFill>
          </w14:textFill>
        </w:rPr>
      </w:pPr>
    </w:p>
    <w:p>
      <w:pPr>
        <w:pStyle w:val="2"/>
        <w:rPr>
          <w:rFonts w:ascii="华文中宋" w:hAnsi="华文中宋" w:eastAsia="华文中宋"/>
          <w:color w:val="000000" w:themeColor="text1"/>
          <w:kern w:val="24"/>
          <w:sz w:val="32"/>
          <w:szCs w:val="32"/>
          <w:highlight w:val="none"/>
          <w14:textFill>
            <w14:solidFill>
              <w14:schemeClr w14:val="tx1"/>
            </w14:solidFill>
          </w14:textFill>
        </w:rPr>
      </w:pPr>
    </w:p>
    <w:p>
      <w:pPr>
        <w:pStyle w:val="2"/>
        <w:rPr>
          <w:rFonts w:ascii="华文中宋" w:hAnsi="华文中宋" w:eastAsia="华文中宋"/>
          <w:color w:val="000000" w:themeColor="text1"/>
          <w:kern w:val="24"/>
          <w:sz w:val="32"/>
          <w:szCs w:val="32"/>
          <w:highlight w:val="none"/>
          <w14:textFill>
            <w14:solidFill>
              <w14:schemeClr w14:val="tx1"/>
            </w14:solidFill>
          </w14:textFill>
        </w:rPr>
      </w:pPr>
    </w:p>
    <w:p>
      <w:pPr>
        <w:pStyle w:val="2"/>
        <w:rPr>
          <w:rFonts w:ascii="华文中宋" w:hAnsi="华文中宋" w:eastAsia="华文中宋"/>
          <w:color w:val="000000" w:themeColor="text1"/>
          <w:kern w:val="24"/>
          <w:sz w:val="32"/>
          <w:szCs w:val="32"/>
          <w:highlight w:val="none"/>
          <w14:textFill>
            <w14:solidFill>
              <w14:schemeClr w14:val="tx1"/>
            </w14:solidFill>
          </w14:textFill>
        </w:rPr>
      </w:pPr>
    </w:p>
    <w:p>
      <w:pPr>
        <w:spacing w:line="360" w:lineRule="auto"/>
        <w:jc w:val="center"/>
        <w:rPr>
          <w:rFonts w:ascii="华文中宋" w:hAnsi="华文中宋" w:eastAsia="华文中宋"/>
          <w:color w:val="000000" w:themeColor="text1"/>
          <w:sz w:val="32"/>
          <w:szCs w:val="32"/>
          <w:highlight w:val="none"/>
          <w14:textFill>
            <w14:solidFill>
              <w14:schemeClr w14:val="tx1"/>
            </w14:solidFill>
          </w14:textFill>
        </w:rPr>
      </w:pPr>
      <w:r>
        <w:rPr>
          <w:rFonts w:hint="eastAsia" w:ascii="华文中宋" w:hAnsi="华文中宋" w:eastAsia="华文中宋"/>
          <w:color w:val="000000" w:themeColor="text1"/>
          <w:sz w:val="32"/>
          <w:szCs w:val="32"/>
          <w:highlight w:val="none"/>
          <w14:textFill>
            <w14:solidFill>
              <w14:schemeClr w14:val="tx1"/>
            </w14:solidFill>
          </w14:textFill>
        </w:rPr>
        <w:t>成都市双流区规划和自然资源局</w:t>
      </w:r>
    </w:p>
    <w:p>
      <w:pPr>
        <w:spacing w:line="360" w:lineRule="auto"/>
        <w:jc w:val="center"/>
        <w:rPr>
          <w:rFonts w:ascii="华文中宋" w:hAnsi="华文中宋" w:eastAsia="华文中宋"/>
          <w:color w:val="000000" w:themeColor="text1"/>
          <w:sz w:val="32"/>
          <w:szCs w:val="32"/>
          <w:highlight w:val="none"/>
          <w14:textFill>
            <w14:solidFill>
              <w14:schemeClr w14:val="tx1"/>
            </w14:solidFill>
          </w14:textFill>
        </w:rPr>
      </w:pPr>
      <w:r>
        <w:rPr>
          <w:rFonts w:hint="eastAsia" w:ascii="华文中宋" w:hAnsi="华文中宋" w:eastAsia="华文中宋"/>
          <w:color w:val="000000" w:themeColor="text1"/>
          <w:sz w:val="32"/>
          <w:szCs w:val="32"/>
          <w:highlight w:val="none"/>
          <w14:textFill>
            <w14:solidFill>
              <w14:schemeClr w14:val="tx1"/>
            </w14:solidFill>
          </w14:textFill>
        </w:rPr>
        <w:t>成都市双流区公共资源交易服务中心</w:t>
      </w:r>
    </w:p>
    <w:p>
      <w:pPr>
        <w:spacing w:line="360" w:lineRule="auto"/>
        <w:jc w:val="center"/>
        <w:rPr>
          <w:rFonts w:ascii="华文中宋" w:hAnsi="华文中宋" w:eastAsia="华文中宋"/>
          <w:color w:val="000000" w:themeColor="text1"/>
          <w:sz w:val="32"/>
          <w:szCs w:val="32"/>
          <w:highlight w:val="none"/>
          <w14:textFill>
            <w14:solidFill>
              <w14:schemeClr w14:val="tx1"/>
            </w14:solidFill>
          </w14:textFill>
        </w:rPr>
      </w:pPr>
      <w:r>
        <w:rPr>
          <w:rFonts w:hint="eastAsia" w:ascii="华文中宋" w:hAnsi="华文中宋" w:eastAsia="华文中宋"/>
          <w:color w:val="000000" w:themeColor="text1"/>
          <w:sz w:val="32"/>
          <w:szCs w:val="32"/>
          <w:highlight w:val="none"/>
          <w14:textFill>
            <w14:solidFill>
              <w14:schemeClr w14:val="tx1"/>
            </w14:solidFill>
          </w14:textFill>
        </w:rPr>
        <w:t>共同编制</w:t>
      </w:r>
    </w:p>
    <w:p>
      <w:pPr>
        <w:spacing w:line="360" w:lineRule="auto"/>
        <w:jc w:val="center"/>
        <w:rPr>
          <w:rFonts w:ascii="华文中宋" w:hAnsi="华文中宋" w:eastAsia="华文中宋"/>
          <w:color w:val="000000" w:themeColor="text1"/>
          <w:sz w:val="32"/>
          <w:szCs w:val="32"/>
          <w:highlight w:val="none"/>
          <w14:textFill>
            <w14:solidFill>
              <w14:schemeClr w14:val="tx1"/>
            </w14:solidFill>
          </w14:textFill>
        </w:rPr>
      </w:pPr>
      <w:r>
        <w:rPr>
          <w:rFonts w:hint="eastAsia" w:ascii="华文中宋" w:hAnsi="华文中宋" w:eastAsia="华文中宋"/>
          <w:color w:val="000000" w:themeColor="text1"/>
          <w:sz w:val="32"/>
          <w:szCs w:val="32"/>
          <w:highlight w:val="none"/>
          <w14:textFill>
            <w14:solidFill>
              <w14:schemeClr w14:val="tx1"/>
            </w14:solidFill>
          </w14:textFill>
        </w:rPr>
        <w:t>二〇二一年八月</w:t>
      </w:r>
    </w:p>
    <w:p>
      <w:pPr>
        <w:spacing w:line="360" w:lineRule="auto"/>
        <w:jc w:val="center"/>
        <w:rPr>
          <w:rFonts w:ascii="宋体" w:hAnsi="宋体"/>
          <w:b/>
          <w:color w:val="000000" w:themeColor="text1"/>
          <w:sz w:val="32"/>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br w:type="page"/>
      </w:r>
      <w:bookmarkStart w:id="0" w:name="_Toc101328520"/>
      <w:bookmarkStart w:id="1" w:name="_Toc101234248"/>
      <w:bookmarkStart w:id="2" w:name="_Toc101247312"/>
      <w:bookmarkStart w:id="3" w:name="_Toc148505181"/>
      <w:r>
        <w:rPr>
          <w:rFonts w:hint="eastAsia" w:ascii="宋体" w:hAnsi="宋体"/>
          <w:b/>
          <w:color w:val="000000" w:themeColor="text1"/>
          <w:sz w:val="28"/>
          <w:szCs w:val="32"/>
          <w:highlight w:val="none"/>
          <w14:textFill>
            <w14:solidFill>
              <w14:schemeClr w14:val="tx1"/>
            </w14:solidFill>
          </w14:textFill>
        </w:rPr>
        <w:t>目 录</w:t>
      </w:r>
    </w:p>
    <w:sdt>
      <w:sdtPr>
        <w:rPr>
          <w:rFonts w:ascii="宋体" w:hAnsi="宋体" w:eastAsia="华文中宋"/>
          <w:smallCaps/>
          <w:color w:val="000000" w:themeColor="text1"/>
          <w:sz w:val="20"/>
          <w:szCs w:val="20"/>
          <w:highlight w:val="none"/>
          <w14:textFill>
            <w14:solidFill>
              <w14:schemeClr w14:val="tx1"/>
            </w14:solidFill>
          </w14:textFill>
        </w:rPr>
        <w:id w:val="147456339"/>
        <w:docPartObj>
          <w:docPartGallery w:val="Table of Contents"/>
          <w:docPartUnique/>
        </w:docPartObj>
      </w:sdtPr>
      <w:sdtEndPr>
        <w:rPr>
          <w:rFonts w:ascii="宋体" w:hAnsi="宋体" w:eastAsia="华文中宋"/>
          <w:smallCaps/>
          <w:color w:val="000000" w:themeColor="text1"/>
          <w:sz w:val="20"/>
          <w:szCs w:val="20"/>
          <w:highlight w:val="none"/>
          <w14:textFill>
            <w14:solidFill>
              <w14:schemeClr w14:val="tx1"/>
            </w14:solidFill>
          </w14:textFill>
        </w:rPr>
      </w:sdtEndPr>
      <w:sdtContent>
        <w:p>
          <w:pPr>
            <w:rPr>
              <w:color w:val="000000" w:themeColor="text1"/>
              <w:highlight w:val="none"/>
              <w14:textFill>
                <w14:solidFill>
                  <w14:schemeClr w14:val="tx1"/>
                </w14:solidFill>
              </w14:textFill>
            </w:rPr>
          </w:pPr>
        </w:p>
        <w:p>
          <w:pPr>
            <w:pStyle w:val="30"/>
            <w:rPr>
              <w:rFonts w:asciiTheme="minorHAnsi" w:hAnsiTheme="minorHAnsi" w:eastAsiaTheme="minorEastAsia" w:cstheme="minorBidi"/>
              <w:bCs w:val="0"/>
              <w:caps w:val="0"/>
              <w:sz w:val="24"/>
              <w:szCs w:val="24"/>
              <w:highlight w:val="none"/>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TOC \o "1-2" \h \u </w:instrText>
          </w:r>
          <w:r>
            <w:rPr>
              <w:rFonts w:hint="eastAsia"/>
              <w:color w:val="000000" w:themeColor="text1"/>
              <w:highlight w:val="none"/>
              <w14:textFill>
                <w14:solidFill>
                  <w14:schemeClr w14:val="tx1"/>
                </w14:solidFill>
              </w14:textFill>
            </w:rPr>
            <w:fldChar w:fldCharType="separate"/>
          </w:r>
          <w:r>
            <w:rPr>
              <w:highlight w:val="none"/>
            </w:rPr>
            <w:fldChar w:fldCharType="begin"/>
          </w:r>
          <w:r>
            <w:rPr>
              <w:highlight w:val="none"/>
            </w:rPr>
            <w:instrText xml:space="preserve"> HYPERLINK \l "_Toc79654060" </w:instrText>
          </w:r>
          <w:r>
            <w:rPr>
              <w:highlight w:val="none"/>
            </w:rPr>
            <w:fldChar w:fldCharType="separate"/>
          </w:r>
          <w:r>
            <w:rPr>
              <w:rStyle w:val="48"/>
              <w:rFonts w:ascii="Times New Roman" w:hAnsi="Times New Roman"/>
              <w:highlight w:val="none"/>
            </w:rPr>
            <w:t>第1章</w:t>
          </w:r>
          <w:r>
            <w:rPr>
              <w:rFonts w:asciiTheme="minorHAnsi" w:hAnsiTheme="minorHAnsi" w:eastAsiaTheme="minorEastAsia" w:cstheme="minorBidi"/>
              <w:bCs w:val="0"/>
              <w:caps w:val="0"/>
              <w:sz w:val="24"/>
              <w:szCs w:val="24"/>
              <w:highlight w:val="none"/>
            </w:rPr>
            <w:tab/>
          </w:r>
          <w:r>
            <w:rPr>
              <w:rStyle w:val="48"/>
              <w:highlight w:val="none"/>
            </w:rPr>
            <w:t>投标邀请</w:t>
          </w:r>
          <w:r>
            <w:rPr>
              <w:highlight w:val="none"/>
            </w:rPr>
            <w:tab/>
          </w:r>
          <w:r>
            <w:rPr>
              <w:highlight w:val="none"/>
            </w:rPr>
            <w:fldChar w:fldCharType="begin"/>
          </w:r>
          <w:r>
            <w:rPr>
              <w:highlight w:val="none"/>
            </w:rPr>
            <w:instrText xml:space="preserve"> PAGEREF _Toc79654060 \h </w:instrText>
          </w:r>
          <w:r>
            <w:rPr>
              <w:highlight w:val="none"/>
            </w:rPr>
            <w:fldChar w:fldCharType="separate"/>
          </w:r>
          <w:r>
            <w:rPr>
              <w:highlight w:val="none"/>
            </w:rPr>
            <w:t>3</w:t>
          </w:r>
          <w:r>
            <w:rPr>
              <w:highlight w:val="none"/>
            </w:rPr>
            <w:fldChar w:fldCharType="end"/>
          </w:r>
          <w:r>
            <w:rPr>
              <w:highlight w:val="none"/>
            </w:rPr>
            <w:fldChar w:fldCharType="end"/>
          </w:r>
        </w:p>
        <w:p>
          <w:pPr>
            <w:pStyle w:val="30"/>
            <w:rPr>
              <w:rFonts w:asciiTheme="minorHAnsi" w:hAnsiTheme="minorHAnsi" w:eastAsiaTheme="minorEastAsia" w:cstheme="minorBidi"/>
              <w:bCs w:val="0"/>
              <w:caps w:val="0"/>
              <w:sz w:val="24"/>
              <w:szCs w:val="24"/>
              <w:highlight w:val="none"/>
            </w:rPr>
          </w:pPr>
          <w:r>
            <w:rPr>
              <w:highlight w:val="none"/>
            </w:rPr>
            <w:fldChar w:fldCharType="begin"/>
          </w:r>
          <w:r>
            <w:rPr>
              <w:highlight w:val="none"/>
            </w:rPr>
            <w:instrText xml:space="preserve"> HYPERLINK \l "_Toc79654061" </w:instrText>
          </w:r>
          <w:r>
            <w:rPr>
              <w:highlight w:val="none"/>
            </w:rPr>
            <w:fldChar w:fldCharType="separate"/>
          </w:r>
          <w:r>
            <w:rPr>
              <w:rStyle w:val="48"/>
              <w:rFonts w:ascii="Times New Roman" w:hAnsi="Times New Roman"/>
              <w:highlight w:val="none"/>
            </w:rPr>
            <w:t>第2章</w:t>
          </w:r>
          <w:r>
            <w:rPr>
              <w:rFonts w:asciiTheme="minorHAnsi" w:hAnsiTheme="minorHAnsi" w:eastAsiaTheme="minorEastAsia" w:cstheme="minorBidi"/>
              <w:bCs w:val="0"/>
              <w:caps w:val="0"/>
              <w:sz w:val="24"/>
              <w:szCs w:val="24"/>
              <w:highlight w:val="none"/>
            </w:rPr>
            <w:tab/>
          </w:r>
          <w:r>
            <w:rPr>
              <w:rStyle w:val="48"/>
              <w:highlight w:val="none"/>
            </w:rPr>
            <w:t>供应商须知</w:t>
          </w:r>
          <w:r>
            <w:rPr>
              <w:highlight w:val="none"/>
            </w:rPr>
            <w:tab/>
          </w:r>
          <w:r>
            <w:rPr>
              <w:highlight w:val="none"/>
            </w:rPr>
            <w:fldChar w:fldCharType="begin"/>
          </w:r>
          <w:r>
            <w:rPr>
              <w:highlight w:val="none"/>
            </w:rPr>
            <w:instrText xml:space="preserve"> PAGEREF _Toc79654061 \h </w:instrText>
          </w:r>
          <w:r>
            <w:rPr>
              <w:highlight w:val="none"/>
            </w:rPr>
            <w:fldChar w:fldCharType="separate"/>
          </w:r>
          <w:r>
            <w:rPr>
              <w:highlight w:val="none"/>
            </w:rPr>
            <w:t>8</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"_Toc79654062" </w:instrText>
          </w:r>
          <w:r>
            <w:rPr>
              <w:highlight w:val="none"/>
            </w:rPr>
            <w:fldChar w:fldCharType="separate"/>
          </w:r>
          <w:r>
            <w:rPr>
              <w:rStyle w:val="48"/>
              <w:rFonts w:ascii="Times New Roman" w:hAnsi="Times New Roman"/>
              <w:highlight w:val="none"/>
            </w:rPr>
            <w:t>2.1</w:t>
          </w:r>
          <w:r>
            <w:rPr>
              <w:rStyle w:val="48"/>
              <w:highlight w:val="none"/>
            </w:rPr>
            <w:t xml:space="preserve"> 供应商须知前附表</w:t>
          </w:r>
          <w:r>
            <w:rPr>
              <w:highlight w:val="none"/>
            </w:rPr>
            <w:tab/>
          </w:r>
          <w:r>
            <w:rPr>
              <w:highlight w:val="none"/>
            </w:rPr>
            <w:fldChar w:fldCharType="begin"/>
          </w:r>
          <w:r>
            <w:rPr>
              <w:highlight w:val="none"/>
            </w:rPr>
            <w:instrText xml:space="preserve"> PAGEREF _Toc79654062 \h </w:instrText>
          </w:r>
          <w:r>
            <w:rPr>
              <w:highlight w:val="none"/>
            </w:rPr>
            <w:fldChar w:fldCharType="separate"/>
          </w:r>
          <w:r>
            <w:rPr>
              <w:highlight w:val="none"/>
            </w:rPr>
            <w:t>8</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"_Toc79654063" </w:instrText>
          </w:r>
          <w:r>
            <w:rPr>
              <w:highlight w:val="none"/>
            </w:rPr>
            <w:fldChar w:fldCharType="separate"/>
          </w:r>
          <w:r>
            <w:rPr>
              <w:rStyle w:val="48"/>
              <w:rFonts w:ascii="Times New Roman" w:hAnsi="Times New Roman"/>
              <w:highlight w:val="none"/>
            </w:rPr>
            <w:t>2.2</w:t>
          </w:r>
          <w:r>
            <w:rPr>
              <w:rStyle w:val="48"/>
              <w:highlight w:val="none"/>
            </w:rPr>
            <w:t xml:space="preserve"> 总则</w:t>
          </w:r>
          <w:r>
            <w:rPr>
              <w:highlight w:val="none"/>
            </w:rPr>
            <w:tab/>
          </w:r>
          <w:r>
            <w:rPr>
              <w:highlight w:val="none"/>
            </w:rPr>
            <w:fldChar w:fldCharType="begin"/>
          </w:r>
          <w:r>
            <w:rPr>
              <w:highlight w:val="none"/>
            </w:rPr>
            <w:instrText xml:space="preserve"> PAGEREF _Toc79654063 \h </w:instrText>
          </w:r>
          <w:r>
            <w:rPr>
              <w:highlight w:val="none"/>
            </w:rPr>
            <w:fldChar w:fldCharType="separate"/>
          </w:r>
          <w:r>
            <w:rPr>
              <w:highlight w:val="none"/>
            </w:rPr>
            <w:t>11</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"_Toc79654064" </w:instrText>
          </w:r>
          <w:r>
            <w:rPr>
              <w:highlight w:val="none"/>
            </w:rPr>
            <w:fldChar w:fldCharType="separate"/>
          </w:r>
          <w:r>
            <w:rPr>
              <w:rStyle w:val="48"/>
              <w:rFonts w:ascii="Times New Roman" w:hAnsi="Times New Roman"/>
              <w:highlight w:val="none"/>
            </w:rPr>
            <w:t>2.3</w:t>
          </w:r>
          <w:r>
            <w:rPr>
              <w:rStyle w:val="48"/>
              <w:highlight w:val="none"/>
            </w:rPr>
            <w:t xml:space="preserve"> 招标文件</w:t>
          </w:r>
          <w:r>
            <w:rPr>
              <w:highlight w:val="none"/>
            </w:rPr>
            <w:tab/>
          </w:r>
          <w:r>
            <w:rPr>
              <w:highlight w:val="none"/>
            </w:rPr>
            <w:fldChar w:fldCharType="begin"/>
          </w:r>
          <w:r>
            <w:rPr>
              <w:highlight w:val="none"/>
            </w:rPr>
            <w:instrText xml:space="preserve"> PAGEREF _Toc79654064 \h </w:instrText>
          </w:r>
          <w:r>
            <w:rPr>
              <w:highlight w:val="none"/>
            </w:rPr>
            <w:fldChar w:fldCharType="separate"/>
          </w:r>
          <w:r>
            <w:rPr>
              <w:highlight w:val="none"/>
            </w:rPr>
            <w:t>13</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"_Toc79654065" </w:instrText>
          </w:r>
          <w:r>
            <w:rPr>
              <w:highlight w:val="none"/>
            </w:rPr>
            <w:fldChar w:fldCharType="separate"/>
          </w:r>
          <w:r>
            <w:rPr>
              <w:rStyle w:val="48"/>
              <w:rFonts w:ascii="Times New Roman" w:hAnsi="Times New Roman"/>
              <w:highlight w:val="none"/>
            </w:rPr>
            <w:t>2.4</w:t>
          </w:r>
          <w:r>
            <w:rPr>
              <w:rStyle w:val="48"/>
              <w:highlight w:val="none"/>
            </w:rPr>
            <w:t xml:space="preserve"> 投标文件</w:t>
          </w:r>
          <w:r>
            <w:rPr>
              <w:highlight w:val="none"/>
            </w:rPr>
            <w:tab/>
          </w:r>
          <w:r>
            <w:rPr>
              <w:highlight w:val="none"/>
            </w:rPr>
            <w:fldChar w:fldCharType="begin"/>
          </w:r>
          <w:r>
            <w:rPr>
              <w:highlight w:val="none"/>
            </w:rPr>
            <w:instrText xml:space="preserve"> PAGEREF _Toc79654065 \h </w:instrText>
          </w:r>
          <w:r>
            <w:rPr>
              <w:highlight w:val="none"/>
            </w:rPr>
            <w:fldChar w:fldCharType="separate"/>
          </w:r>
          <w:r>
            <w:rPr>
              <w:highlight w:val="none"/>
            </w:rPr>
            <w:t>14</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"_Toc79654066" </w:instrText>
          </w:r>
          <w:r>
            <w:rPr>
              <w:highlight w:val="none"/>
            </w:rPr>
            <w:fldChar w:fldCharType="separate"/>
          </w:r>
          <w:r>
            <w:rPr>
              <w:rStyle w:val="48"/>
              <w:rFonts w:ascii="Times New Roman" w:hAnsi="Times New Roman"/>
              <w:highlight w:val="none"/>
            </w:rPr>
            <w:t>2.5</w:t>
          </w:r>
          <w:r>
            <w:rPr>
              <w:rStyle w:val="48"/>
              <w:highlight w:val="none"/>
            </w:rPr>
            <w:t xml:space="preserve"> 开标、资格审查、评标和中标</w:t>
          </w:r>
          <w:r>
            <w:rPr>
              <w:highlight w:val="none"/>
            </w:rPr>
            <w:tab/>
          </w:r>
          <w:r>
            <w:rPr>
              <w:highlight w:val="none"/>
            </w:rPr>
            <w:fldChar w:fldCharType="begin"/>
          </w:r>
          <w:r>
            <w:rPr>
              <w:highlight w:val="none"/>
            </w:rPr>
            <w:instrText xml:space="preserve"> PAGEREF _Toc79654066 \h </w:instrText>
          </w:r>
          <w:r>
            <w:rPr>
              <w:highlight w:val="none"/>
            </w:rPr>
            <w:fldChar w:fldCharType="separate"/>
          </w:r>
          <w:r>
            <w:rPr>
              <w:highlight w:val="none"/>
            </w:rPr>
            <w:t>22</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"_Toc79654067" </w:instrText>
          </w:r>
          <w:r>
            <w:rPr>
              <w:highlight w:val="none"/>
            </w:rPr>
            <w:fldChar w:fldCharType="separate"/>
          </w:r>
          <w:r>
            <w:rPr>
              <w:rStyle w:val="48"/>
              <w:rFonts w:ascii="Times New Roman" w:hAnsi="Times New Roman"/>
              <w:highlight w:val="none"/>
            </w:rPr>
            <w:t>2.6</w:t>
          </w:r>
          <w:r>
            <w:rPr>
              <w:rStyle w:val="48"/>
              <w:highlight w:val="none"/>
            </w:rPr>
            <w:t xml:space="preserve"> 签订及履行合同和验收</w:t>
          </w:r>
          <w:r>
            <w:rPr>
              <w:highlight w:val="none"/>
            </w:rPr>
            <w:tab/>
          </w:r>
          <w:r>
            <w:rPr>
              <w:highlight w:val="none"/>
            </w:rPr>
            <w:fldChar w:fldCharType="begin"/>
          </w:r>
          <w:r>
            <w:rPr>
              <w:highlight w:val="none"/>
            </w:rPr>
            <w:instrText xml:space="preserve"> PAGEREF _Toc79654067 \h </w:instrText>
          </w:r>
          <w:r>
            <w:rPr>
              <w:highlight w:val="none"/>
            </w:rPr>
            <w:fldChar w:fldCharType="separate"/>
          </w:r>
          <w:r>
            <w:rPr>
              <w:highlight w:val="none"/>
            </w:rPr>
            <w:t>25</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"_Toc79654068" </w:instrText>
          </w:r>
          <w:r>
            <w:rPr>
              <w:highlight w:val="none"/>
            </w:rPr>
            <w:fldChar w:fldCharType="separate"/>
          </w:r>
          <w:r>
            <w:rPr>
              <w:rStyle w:val="48"/>
              <w:rFonts w:ascii="Times New Roman" w:hAnsi="Times New Roman"/>
              <w:highlight w:val="none"/>
            </w:rPr>
            <w:t>2.7</w:t>
          </w:r>
          <w:r>
            <w:rPr>
              <w:rStyle w:val="48"/>
              <w:highlight w:val="none"/>
            </w:rPr>
            <w:t xml:space="preserve"> 投标纪律要求</w:t>
          </w:r>
          <w:r>
            <w:rPr>
              <w:highlight w:val="none"/>
            </w:rPr>
            <w:tab/>
          </w:r>
          <w:r>
            <w:rPr>
              <w:highlight w:val="none"/>
            </w:rPr>
            <w:fldChar w:fldCharType="begin"/>
          </w:r>
          <w:r>
            <w:rPr>
              <w:highlight w:val="none"/>
            </w:rPr>
            <w:instrText xml:space="preserve"> PAGEREF _Toc79654068 \h </w:instrText>
          </w:r>
          <w:r>
            <w:rPr>
              <w:highlight w:val="none"/>
            </w:rPr>
            <w:fldChar w:fldCharType="separate"/>
          </w:r>
          <w:r>
            <w:rPr>
              <w:highlight w:val="none"/>
            </w:rPr>
            <w:t>27</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"_Toc79654069" </w:instrText>
          </w:r>
          <w:r>
            <w:rPr>
              <w:highlight w:val="none"/>
            </w:rPr>
            <w:fldChar w:fldCharType="separate"/>
          </w:r>
          <w:r>
            <w:rPr>
              <w:rStyle w:val="48"/>
              <w:rFonts w:ascii="Times New Roman" w:hAnsi="Times New Roman"/>
              <w:highlight w:val="none"/>
            </w:rPr>
            <w:t>2.8</w:t>
          </w:r>
          <w:r>
            <w:rPr>
              <w:rStyle w:val="48"/>
              <w:highlight w:val="none"/>
            </w:rPr>
            <w:t xml:space="preserve"> 询问、质疑和投诉</w:t>
          </w:r>
          <w:r>
            <w:rPr>
              <w:highlight w:val="none"/>
            </w:rPr>
            <w:tab/>
          </w:r>
          <w:r>
            <w:rPr>
              <w:highlight w:val="none"/>
            </w:rPr>
            <w:fldChar w:fldCharType="begin"/>
          </w:r>
          <w:r>
            <w:rPr>
              <w:highlight w:val="none"/>
            </w:rPr>
            <w:instrText xml:space="preserve"> PAGEREF _Toc79654069 \h </w:instrText>
          </w:r>
          <w:r>
            <w:rPr>
              <w:highlight w:val="none"/>
            </w:rPr>
            <w:fldChar w:fldCharType="separate"/>
          </w:r>
          <w:r>
            <w:rPr>
              <w:highlight w:val="none"/>
            </w:rPr>
            <w:t>30</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"_Toc79654070" </w:instrText>
          </w:r>
          <w:r>
            <w:rPr>
              <w:highlight w:val="none"/>
            </w:rPr>
            <w:fldChar w:fldCharType="separate"/>
          </w:r>
          <w:r>
            <w:rPr>
              <w:rStyle w:val="48"/>
              <w:rFonts w:ascii="Times New Roman" w:hAnsi="Times New Roman"/>
              <w:highlight w:val="none"/>
            </w:rPr>
            <w:t>2.9</w:t>
          </w:r>
          <w:r>
            <w:rPr>
              <w:rStyle w:val="48"/>
              <w:highlight w:val="none"/>
            </w:rPr>
            <w:t xml:space="preserve"> 中小企业政府采购信用融资</w:t>
          </w:r>
          <w:r>
            <w:rPr>
              <w:highlight w:val="none"/>
            </w:rPr>
            <w:tab/>
          </w:r>
          <w:r>
            <w:rPr>
              <w:highlight w:val="none"/>
            </w:rPr>
            <w:fldChar w:fldCharType="begin"/>
          </w:r>
          <w:r>
            <w:rPr>
              <w:highlight w:val="none"/>
            </w:rPr>
            <w:instrText xml:space="preserve"> PAGEREF _Toc79654070 \h </w:instrText>
          </w:r>
          <w:r>
            <w:rPr>
              <w:highlight w:val="none"/>
            </w:rPr>
            <w:fldChar w:fldCharType="separate"/>
          </w:r>
          <w:r>
            <w:rPr>
              <w:highlight w:val="none"/>
            </w:rPr>
            <w:t>31</w:t>
          </w:r>
          <w:r>
            <w:rPr>
              <w:highlight w:val="none"/>
            </w:rPr>
            <w:fldChar w:fldCharType="end"/>
          </w:r>
          <w:r>
            <w:rPr>
              <w:highlight w:val="none"/>
            </w:rPr>
            <w:fldChar w:fldCharType="end"/>
          </w:r>
        </w:p>
        <w:p>
          <w:pPr>
            <w:pStyle w:val="30"/>
            <w:rPr>
              <w:rFonts w:asciiTheme="minorHAnsi" w:hAnsiTheme="minorHAnsi" w:eastAsiaTheme="minorEastAsia" w:cstheme="minorBidi"/>
              <w:bCs w:val="0"/>
              <w:caps w:val="0"/>
              <w:sz w:val="24"/>
              <w:szCs w:val="24"/>
              <w:highlight w:val="none"/>
            </w:rPr>
          </w:pPr>
          <w:r>
            <w:rPr>
              <w:highlight w:val="none"/>
            </w:rPr>
            <w:fldChar w:fldCharType="begin"/>
          </w:r>
          <w:r>
            <w:rPr>
              <w:highlight w:val="none"/>
            </w:rPr>
            <w:instrText xml:space="preserve"> HYPERLINK \l "_Toc79654071" </w:instrText>
          </w:r>
          <w:r>
            <w:rPr>
              <w:highlight w:val="none"/>
            </w:rPr>
            <w:fldChar w:fldCharType="separate"/>
          </w:r>
          <w:r>
            <w:rPr>
              <w:rStyle w:val="48"/>
              <w:rFonts w:ascii="Times New Roman" w:hAnsi="Times New Roman"/>
              <w:highlight w:val="none"/>
            </w:rPr>
            <w:t>第3章</w:t>
          </w:r>
          <w:r>
            <w:rPr>
              <w:rFonts w:asciiTheme="minorHAnsi" w:hAnsiTheme="minorHAnsi" w:eastAsiaTheme="minorEastAsia" w:cstheme="minorBidi"/>
              <w:bCs w:val="0"/>
              <w:caps w:val="0"/>
              <w:sz w:val="24"/>
              <w:szCs w:val="24"/>
              <w:highlight w:val="none"/>
            </w:rPr>
            <w:tab/>
          </w:r>
          <w:r>
            <w:rPr>
              <w:rStyle w:val="48"/>
              <w:highlight w:val="none"/>
            </w:rPr>
            <w:t>投标文件格式</w:t>
          </w:r>
          <w:r>
            <w:rPr>
              <w:highlight w:val="none"/>
            </w:rPr>
            <w:tab/>
          </w:r>
          <w:r>
            <w:rPr>
              <w:highlight w:val="none"/>
            </w:rPr>
            <w:fldChar w:fldCharType="begin"/>
          </w:r>
          <w:r>
            <w:rPr>
              <w:highlight w:val="none"/>
            </w:rPr>
            <w:instrText xml:space="preserve"> PAGEREF _Toc79654071 \h </w:instrText>
          </w:r>
          <w:r>
            <w:rPr>
              <w:highlight w:val="none"/>
            </w:rPr>
            <w:fldChar w:fldCharType="separate"/>
          </w:r>
          <w:r>
            <w:rPr>
              <w:highlight w:val="none"/>
            </w:rPr>
            <w:t>32</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"_Toc79654072" </w:instrText>
          </w:r>
          <w:r>
            <w:rPr>
              <w:highlight w:val="none"/>
            </w:rPr>
            <w:fldChar w:fldCharType="separate"/>
          </w:r>
          <w:r>
            <w:rPr>
              <w:rStyle w:val="48"/>
              <w:rFonts w:ascii="Times New Roman" w:hAnsi="Times New Roman"/>
              <w:highlight w:val="none"/>
            </w:rPr>
            <w:t>3.1</w:t>
          </w:r>
          <w:r>
            <w:rPr>
              <w:rStyle w:val="48"/>
              <w:highlight w:val="none"/>
            </w:rPr>
            <w:t xml:space="preserve"> 投标文件封面格式</w:t>
          </w:r>
          <w:r>
            <w:rPr>
              <w:highlight w:val="none"/>
            </w:rPr>
            <w:tab/>
          </w:r>
          <w:r>
            <w:rPr>
              <w:highlight w:val="none"/>
            </w:rPr>
            <w:fldChar w:fldCharType="begin"/>
          </w:r>
          <w:r>
            <w:rPr>
              <w:highlight w:val="none"/>
            </w:rPr>
            <w:instrText xml:space="preserve"> PAGEREF _Toc79654072 \h </w:instrText>
          </w:r>
          <w:r>
            <w:rPr>
              <w:highlight w:val="none"/>
            </w:rPr>
            <w:fldChar w:fldCharType="separate"/>
          </w:r>
          <w:r>
            <w:rPr>
              <w:highlight w:val="none"/>
            </w:rPr>
            <w:t>32</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"_Toc79654073" </w:instrText>
          </w:r>
          <w:r>
            <w:rPr>
              <w:highlight w:val="none"/>
            </w:rPr>
            <w:fldChar w:fldCharType="separate"/>
          </w:r>
          <w:r>
            <w:rPr>
              <w:rStyle w:val="48"/>
              <w:rFonts w:ascii="Times New Roman" w:hAnsi="Times New Roman"/>
              <w:highlight w:val="none"/>
            </w:rPr>
            <w:t>3.2</w:t>
          </w:r>
          <w:r>
            <w:rPr>
              <w:rStyle w:val="48"/>
              <w:highlight w:val="none"/>
            </w:rPr>
            <w:t xml:space="preserve"> 资格响应文件</w:t>
          </w:r>
          <w:r>
            <w:rPr>
              <w:highlight w:val="none"/>
            </w:rPr>
            <w:tab/>
          </w:r>
          <w:r>
            <w:rPr>
              <w:highlight w:val="none"/>
            </w:rPr>
            <w:fldChar w:fldCharType="begin"/>
          </w:r>
          <w:r>
            <w:rPr>
              <w:highlight w:val="none"/>
            </w:rPr>
            <w:instrText xml:space="preserve"> PAGEREF _Toc79654073 \h </w:instrText>
          </w:r>
          <w:r>
            <w:rPr>
              <w:highlight w:val="none"/>
            </w:rPr>
            <w:fldChar w:fldCharType="separate"/>
          </w:r>
          <w:r>
            <w:rPr>
              <w:highlight w:val="none"/>
            </w:rPr>
            <w:t>33</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"_Toc79654074" </w:instrText>
          </w:r>
          <w:r>
            <w:rPr>
              <w:highlight w:val="none"/>
            </w:rPr>
            <w:fldChar w:fldCharType="separate"/>
          </w:r>
          <w:r>
            <w:rPr>
              <w:rStyle w:val="48"/>
              <w:rFonts w:ascii="Times New Roman" w:hAnsi="Times New Roman"/>
              <w:highlight w:val="none"/>
            </w:rPr>
            <w:t>3.3</w:t>
          </w:r>
          <w:r>
            <w:rPr>
              <w:rStyle w:val="48"/>
              <w:highlight w:val="none"/>
            </w:rPr>
            <w:t xml:space="preserve"> 商务技术响应文件</w:t>
          </w:r>
          <w:r>
            <w:rPr>
              <w:highlight w:val="none"/>
            </w:rPr>
            <w:tab/>
          </w:r>
          <w:r>
            <w:rPr>
              <w:highlight w:val="none"/>
            </w:rPr>
            <w:fldChar w:fldCharType="begin"/>
          </w:r>
          <w:r>
            <w:rPr>
              <w:highlight w:val="none"/>
            </w:rPr>
            <w:instrText xml:space="preserve"> PAGEREF _Toc79654074 \h </w:instrText>
          </w:r>
          <w:r>
            <w:rPr>
              <w:highlight w:val="none"/>
            </w:rPr>
            <w:fldChar w:fldCharType="separate"/>
          </w:r>
          <w:r>
            <w:rPr>
              <w:highlight w:val="none"/>
            </w:rPr>
            <w:t>38</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"_Toc79654075" </w:instrText>
          </w:r>
          <w:r>
            <w:rPr>
              <w:highlight w:val="none"/>
            </w:rPr>
            <w:fldChar w:fldCharType="separate"/>
          </w:r>
          <w:r>
            <w:rPr>
              <w:rStyle w:val="48"/>
              <w:rFonts w:ascii="Times New Roman" w:hAnsi="Times New Roman"/>
              <w:highlight w:val="none"/>
            </w:rPr>
            <w:t>3.4</w:t>
          </w:r>
          <w:r>
            <w:rPr>
              <w:rStyle w:val="48"/>
              <w:highlight w:val="none"/>
            </w:rPr>
            <w:t xml:space="preserve"> 报价要求响应文件</w:t>
          </w:r>
          <w:r>
            <w:rPr>
              <w:highlight w:val="none"/>
            </w:rPr>
            <w:tab/>
          </w:r>
          <w:r>
            <w:rPr>
              <w:highlight w:val="none"/>
            </w:rPr>
            <w:fldChar w:fldCharType="begin"/>
          </w:r>
          <w:r>
            <w:rPr>
              <w:highlight w:val="none"/>
            </w:rPr>
            <w:instrText xml:space="preserve"> PAGEREF _Toc79654075 \h </w:instrText>
          </w:r>
          <w:r>
            <w:rPr>
              <w:highlight w:val="none"/>
            </w:rPr>
            <w:fldChar w:fldCharType="separate"/>
          </w:r>
          <w:r>
            <w:rPr>
              <w:highlight w:val="none"/>
            </w:rPr>
            <w:t>45</w:t>
          </w:r>
          <w:r>
            <w:rPr>
              <w:highlight w:val="none"/>
            </w:rPr>
            <w:fldChar w:fldCharType="end"/>
          </w:r>
          <w:r>
            <w:rPr>
              <w:highlight w:val="none"/>
            </w:rPr>
            <w:fldChar w:fldCharType="end"/>
          </w:r>
        </w:p>
        <w:p>
          <w:pPr>
            <w:pStyle w:val="30"/>
            <w:rPr>
              <w:rFonts w:asciiTheme="minorHAnsi" w:hAnsiTheme="minorHAnsi" w:eastAsiaTheme="minorEastAsia" w:cstheme="minorBidi"/>
              <w:bCs w:val="0"/>
              <w:caps w:val="0"/>
              <w:sz w:val="24"/>
              <w:szCs w:val="24"/>
              <w:highlight w:val="none"/>
            </w:rPr>
          </w:pPr>
          <w:r>
            <w:rPr>
              <w:highlight w:val="none"/>
            </w:rPr>
            <w:fldChar w:fldCharType="begin"/>
          </w:r>
          <w:r>
            <w:rPr>
              <w:highlight w:val="none"/>
            </w:rPr>
            <w:instrText xml:space="preserve"> HYPERLINK \l "_Toc79654076" </w:instrText>
          </w:r>
          <w:r>
            <w:rPr>
              <w:highlight w:val="none"/>
            </w:rPr>
            <w:fldChar w:fldCharType="separate"/>
          </w:r>
          <w:r>
            <w:rPr>
              <w:rStyle w:val="48"/>
              <w:rFonts w:ascii="Times New Roman" w:hAnsi="Times New Roman"/>
              <w:highlight w:val="none"/>
            </w:rPr>
            <w:t>第4章</w:t>
          </w:r>
          <w:r>
            <w:rPr>
              <w:rFonts w:asciiTheme="minorHAnsi" w:hAnsiTheme="minorHAnsi" w:eastAsiaTheme="minorEastAsia" w:cstheme="minorBidi"/>
              <w:bCs w:val="0"/>
              <w:caps w:val="0"/>
              <w:sz w:val="24"/>
              <w:szCs w:val="24"/>
              <w:highlight w:val="none"/>
            </w:rPr>
            <w:tab/>
          </w:r>
          <w:r>
            <w:rPr>
              <w:rStyle w:val="48"/>
              <w:highlight w:val="none"/>
            </w:rPr>
            <w:t>招标项目服务、商务及其他要求</w:t>
          </w:r>
          <w:r>
            <w:rPr>
              <w:highlight w:val="none"/>
            </w:rPr>
            <w:tab/>
          </w:r>
          <w:r>
            <w:rPr>
              <w:highlight w:val="none"/>
            </w:rPr>
            <w:fldChar w:fldCharType="begin"/>
          </w:r>
          <w:r>
            <w:rPr>
              <w:highlight w:val="none"/>
            </w:rPr>
            <w:instrText xml:space="preserve"> PAGEREF _Toc79654076 \h </w:instrText>
          </w:r>
          <w:r>
            <w:rPr>
              <w:highlight w:val="none"/>
            </w:rPr>
            <w:fldChar w:fldCharType="separate"/>
          </w:r>
          <w:r>
            <w:rPr>
              <w:highlight w:val="none"/>
            </w:rPr>
            <w:t>51</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"_Toc79654077" </w:instrText>
          </w:r>
          <w:r>
            <w:rPr>
              <w:highlight w:val="none"/>
            </w:rPr>
            <w:fldChar w:fldCharType="separate"/>
          </w:r>
          <w:r>
            <w:rPr>
              <w:rStyle w:val="48"/>
              <w:highlight w:val="none"/>
            </w:rPr>
            <w:t>4.1</w:t>
          </w:r>
          <w:r>
            <w:rPr>
              <w:rStyle w:val="48"/>
              <w:rFonts w:ascii="宋体" w:hAnsi="宋体"/>
              <w:highlight w:val="none"/>
            </w:rPr>
            <w:t>项目概况</w:t>
          </w:r>
          <w:r>
            <w:rPr>
              <w:highlight w:val="none"/>
            </w:rPr>
            <w:tab/>
          </w:r>
          <w:r>
            <w:rPr>
              <w:highlight w:val="none"/>
            </w:rPr>
            <w:fldChar w:fldCharType="begin"/>
          </w:r>
          <w:r>
            <w:rPr>
              <w:highlight w:val="none"/>
            </w:rPr>
            <w:instrText xml:space="preserve"> PAGEREF _Toc79654077 \h </w:instrText>
          </w:r>
          <w:r>
            <w:rPr>
              <w:highlight w:val="none"/>
            </w:rPr>
            <w:fldChar w:fldCharType="separate"/>
          </w:r>
          <w:r>
            <w:rPr>
              <w:highlight w:val="none"/>
            </w:rPr>
            <w:t>51</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"_Toc79654078" </w:instrText>
          </w:r>
          <w:r>
            <w:rPr>
              <w:highlight w:val="none"/>
            </w:rPr>
            <w:fldChar w:fldCharType="separate"/>
          </w:r>
          <w:r>
            <w:rPr>
              <w:rStyle w:val="48"/>
              <w:rFonts w:ascii="Times New Roman" w:hAnsi="Times New Roman"/>
              <w:highlight w:val="none"/>
            </w:rPr>
            <w:t xml:space="preserve">4.2 </w:t>
          </w:r>
          <w:r>
            <w:rPr>
              <w:rStyle w:val="48"/>
              <w:rFonts w:hAnsi="宋体"/>
              <w:highlight w:val="none"/>
            </w:rPr>
            <w:t>项目主要内容</w:t>
          </w:r>
          <w:r>
            <w:rPr>
              <w:highlight w:val="none"/>
            </w:rPr>
            <w:tab/>
          </w:r>
          <w:r>
            <w:rPr>
              <w:highlight w:val="none"/>
            </w:rPr>
            <w:fldChar w:fldCharType="begin"/>
          </w:r>
          <w:r>
            <w:rPr>
              <w:highlight w:val="none"/>
            </w:rPr>
            <w:instrText xml:space="preserve"> PAGEREF _Toc79654078 \h </w:instrText>
          </w:r>
          <w:r>
            <w:rPr>
              <w:highlight w:val="none"/>
            </w:rPr>
            <w:fldChar w:fldCharType="separate"/>
          </w:r>
          <w:r>
            <w:rPr>
              <w:highlight w:val="none"/>
            </w:rPr>
            <w:t>51</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"_Toc79654079" </w:instrText>
          </w:r>
          <w:r>
            <w:rPr>
              <w:highlight w:val="none"/>
            </w:rPr>
            <w:fldChar w:fldCharType="separate"/>
          </w:r>
          <w:r>
            <w:rPr>
              <w:rStyle w:val="48"/>
              <w:rFonts w:ascii="Times New Roman" w:hAnsi="Times New Roman"/>
              <w:highlight w:val="none"/>
            </w:rPr>
            <w:t xml:space="preserve">4.3 </w:t>
          </w:r>
          <w:r>
            <w:rPr>
              <w:rStyle w:val="48"/>
              <w:rFonts w:hAnsi="宋体"/>
              <w:highlight w:val="none"/>
            </w:rPr>
            <w:t>各包件详细内容</w:t>
          </w:r>
          <w:r>
            <w:rPr>
              <w:highlight w:val="none"/>
            </w:rPr>
            <w:tab/>
          </w:r>
          <w:r>
            <w:rPr>
              <w:highlight w:val="none"/>
            </w:rPr>
            <w:fldChar w:fldCharType="begin"/>
          </w:r>
          <w:r>
            <w:rPr>
              <w:highlight w:val="none"/>
            </w:rPr>
            <w:instrText xml:space="preserve"> PAGEREF _Toc79654079 \h </w:instrText>
          </w:r>
          <w:r>
            <w:rPr>
              <w:highlight w:val="none"/>
            </w:rPr>
            <w:fldChar w:fldCharType="separate"/>
          </w:r>
          <w:r>
            <w:rPr>
              <w:highlight w:val="none"/>
            </w:rPr>
            <w:t>54</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"_Toc79654080" </w:instrText>
          </w:r>
          <w:r>
            <w:rPr>
              <w:highlight w:val="none"/>
            </w:rPr>
            <w:fldChar w:fldCharType="separate"/>
          </w:r>
          <w:r>
            <w:rPr>
              <w:rStyle w:val="48"/>
              <w:rFonts w:ascii="Times New Roman" w:hAnsi="Times New Roman"/>
              <w:highlight w:val="none"/>
            </w:rPr>
            <w:t xml:space="preserve">4.3.1 </w:t>
          </w:r>
          <w:r>
            <w:rPr>
              <w:rStyle w:val="48"/>
              <w:iCs/>
              <w:highlight w:val="none"/>
            </w:rPr>
            <w:t>地下管线普查成果更新探测服务（包件1-5）</w:t>
          </w:r>
          <w:r>
            <w:rPr>
              <w:highlight w:val="none"/>
            </w:rPr>
            <w:tab/>
          </w:r>
          <w:r>
            <w:rPr>
              <w:highlight w:val="none"/>
            </w:rPr>
            <w:fldChar w:fldCharType="begin"/>
          </w:r>
          <w:r>
            <w:rPr>
              <w:highlight w:val="none"/>
            </w:rPr>
            <w:instrText xml:space="preserve"> PAGEREF _Toc79654080 \h </w:instrText>
          </w:r>
          <w:r>
            <w:rPr>
              <w:highlight w:val="none"/>
            </w:rPr>
            <w:fldChar w:fldCharType="separate"/>
          </w:r>
          <w:r>
            <w:rPr>
              <w:highlight w:val="none"/>
            </w:rPr>
            <w:t>54</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"_Toc79654081" </w:instrText>
          </w:r>
          <w:r>
            <w:rPr>
              <w:highlight w:val="none"/>
            </w:rPr>
            <w:fldChar w:fldCharType="separate"/>
          </w:r>
          <w:r>
            <w:rPr>
              <w:rStyle w:val="48"/>
              <w:rFonts w:ascii="Times New Roman" w:hAnsi="Times New Roman"/>
              <w:highlight w:val="none"/>
            </w:rPr>
            <w:t>4.3.2</w:t>
          </w:r>
          <w:r>
            <w:rPr>
              <w:rStyle w:val="48"/>
              <w:highlight w:val="none"/>
            </w:rPr>
            <w:t>地下管线普查成果更新监理服务（包件6）</w:t>
          </w:r>
          <w:r>
            <w:rPr>
              <w:highlight w:val="none"/>
            </w:rPr>
            <w:tab/>
          </w:r>
          <w:r>
            <w:rPr>
              <w:highlight w:val="none"/>
            </w:rPr>
            <w:fldChar w:fldCharType="begin"/>
          </w:r>
          <w:r>
            <w:rPr>
              <w:highlight w:val="none"/>
            </w:rPr>
            <w:instrText xml:space="preserve"> PAGEREF _Toc79654081 \h </w:instrText>
          </w:r>
          <w:r>
            <w:rPr>
              <w:highlight w:val="none"/>
            </w:rPr>
            <w:fldChar w:fldCharType="separate"/>
          </w:r>
          <w:r>
            <w:rPr>
              <w:highlight w:val="none"/>
            </w:rPr>
            <w:t>81</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"_Toc79654082" </w:instrText>
          </w:r>
          <w:r>
            <w:rPr>
              <w:highlight w:val="none"/>
            </w:rPr>
            <w:fldChar w:fldCharType="separate"/>
          </w:r>
          <w:r>
            <w:rPr>
              <w:rStyle w:val="48"/>
              <w:rFonts w:ascii="Times New Roman" w:hAnsi="Times New Roman"/>
              <w:highlight w:val="none"/>
            </w:rPr>
            <w:t>4.3.3</w:t>
          </w:r>
          <w:r>
            <w:rPr>
              <w:rStyle w:val="48"/>
              <w:highlight w:val="none"/>
            </w:rPr>
            <w:t>地下管线普查成果更新质检服务（包件7）</w:t>
          </w:r>
          <w:r>
            <w:rPr>
              <w:highlight w:val="none"/>
            </w:rPr>
            <w:tab/>
          </w:r>
          <w:r>
            <w:rPr>
              <w:highlight w:val="none"/>
            </w:rPr>
            <w:fldChar w:fldCharType="begin"/>
          </w:r>
          <w:r>
            <w:rPr>
              <w:highlight w:val="none"/>
            </w:rPr>
            <w:instrText xml:space="preserve"> PAGEREF _Toc79654082 \h </w:instrText>
          </w:r>
          <w:r>
            <w:rPr>
              <w:highlight w:val="none"/>
            </w:rPr>
            <w:fldChar w:fldCharType="separate"/>
          </w:r>
          <w:r>
            <w:rPr>
              <w:highlight w:val="none"/>
            </w:rPr>
            <w:t>88</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"_Toc79654083" </w:instrText>
          </w:r>
          <w:r>
            <w:rPr>
              <w:highlight w:val="none"/>
            </w:rPr>
            <w:fldChar w:fldCharType="separate"/>
          </w:r>
          <w:r>
            <w:rPr>
              <w:rStyle w:val="48"/>
              <w:rFonts w:ascii="Times New Roman" w:hAnsi="Times New Roman"/>
              <w:highlight w:val="none"/>
            </w:rPr>
            <w:t>*</w:t>
          </w:r>
          <w:r>
            <w:rPr>
              <w:rStyle w:val="48"/>
              <w:rFonts w:hAnsi="宋体"/>
              <w:highlight w:val="none"/>
            </w:rPr>
            <w:t>4.4履约要求（履行合同的时间、地点及方式）</w:t>
          </w:r>
          <w:r>
            <w:rPr>
              <w:highlight w:val="none"/>
            </w:rPr>
            <w:tab/>
          </w:r>
          <w:r>
            <w:rPr>
              <w:highlight w:val="none"/>
            </w:rPr>
            <w:fldChar w:fldCharType="begin"/>
          </w:r>
          <w:r>
            <w:rPr>
              <w:highlight w:val="none"/>
            </w:rPr>
            <w:instrText xml:space="preserve"> PAGEREF _Toc79654083 \h </w:instrText>
          </w:r>
          <w:r>
            <w:rPr>
              <w:highlight w:val="none"/>
            </w:rPr>
            <w:fldChar w:fldCharType="separate"/>
          </w:r>
          <w:r>
            <w:rPr>
              <w:highlight w:val="none"/>
            </w:rPr>
            <w:t>94</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"_Toc79654084" </w:instrText>
          </w:r>
          <w:r>
            <w:rPr>
              <w:highlight w:val="none"/>
            </w:rPr>
            <w:fldChar w:fldCharType="separate"/>
          </w:r>
          <w:r>
            <w:rPr>
              <w:rStyle w:val="48"/>
              <w:highlight w:val="none"/>
            </w:rPr>
            <w:t>4.4.1地下管线普查成果更新探测服务（包件1-5）</w:t>
          </w:r>
          <w:r>
            <w:rPr>
              <w:highlight w:val="none"/>
            </w:rPr>
            <w:tab/>
          </w:r>
          <w:r>
            <w:rPr>
              <w:highlight w:val="none"/>
            </w:rPr>
            <w:fldChar w:fldCharType="begin"/>
          </w:r>
          <w:r>
            <w:rPr>
              <w:highlight w:val="none"/>
            </w:rPr>
            <w:instrText xml:space="preserve"> PAGEREF _Toc79654084 \h </w:instrText>
          </w:r>
          <w:r>
            <w:rPr>
              <w:highlight w:val="none"/>
            </w:rPr>
            <w:fldChar w:fldCharType="separate"/>
          </w:r>
          <w:r>
            <w:rPr>
              <w:highlight w:val="none"/>
            </w:rPr>
            <w:t>94</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"_Toc79654085" </w:instrText>
          </w:r>
          <w:r>
            <w:rPr>
              <w:highlight w:val="none"/>
            </w:rPr>
            <w:fldChar w:fldCharType="separate"/>
          </w:r>
          <w:r>
            <w:rPr>
              <w:rStyle w:val="48"/>
              <w:highlight w:val="none"/>
            </w:rPr>
            <w:t>4.4.2地下管线普查成果更新监理服务（包件6）</w:t>
          </w:r>
          <w:r>
            <w:rPr>
              <w:highlight w:val="none"/>
            </w:rPr>
            <w:tab/>
          </w:r>
          <w:r>
            <w:rPr>
              <w:highlight w:val="none"/>
            </w:rPr>
            <w:fldChar w:fldCharType="begin"/>
          </w:r>
          <w:r>
            <w:rPr>
              <w:highlight w:val="none"/>
            </w:rPr>
            <w:instrText xml:space="preserve"> PAGEREF _Toc79654085 \h </w:instrText>
          </w:r>
          <w:r>
            <w:rPr>
              <w:highlight w:val="none"/>
            </w:rPr>
            <w:fldChar w:fldCharType="separate"/>
          </w:r>
          <w:r>
            <w:rPr>
              <w:highlight w:val="none"/>
            </w:rPr>
            <w:t>94</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"_Toc79654086" </w:instrText>
          </w:r>
          <w:r>
            <w:rPr>
              <w:highlight w:val="none"/>
            </w:rPr>
            <w:fldChar w:fldCharType="separate"/>
          </w:r>
          <w:r>
            <w:rPr>
              <w:rStyle w:val="48"/>
              <w:highlight w:val="none"/>
            </w:rPr>
            <w:t>4.4.3地下管线普查成果更新质检服务（包件7）</w:t>
          </w:r>
          <w:r>
            <w:rPr>
              <w:highlight w:val="none"/>
            </w:rPr>
            <w:tab/>
          </w:r>
          <w:r>
            <w:rPr>
              <w:highlight w:val="none"/>
            </w:rPr>
            <w:fldChar w:fldCharType="begin"/>
          </w:r>
          <w:r>
            <w:rPr>
              <w:highlight w:val="none"/>
            </w:rPr>
            <w:instrText xml:space="preserve"> PAGEREF _Toc79654086 \h </w:instrText>
          </w:r>
          <w:r>
            <w:rPr>
              <w:highlight w:val="none"/>
            </w:rPr>
            <w:fldChar w:fldCharType="separate"/>
          </w:r>
          <w:r>
            <w:rPr>
              <w:highlight w:val="none"/>
            </w:rPr>
            <w:t>95</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"_Toc79654087" </w:instrText>
          </w:r>
          <w:r>
            <w:rPr>
              <w:highlight w:val="none"/>
            </w:rPr>
            <w:fldChar w:fldCharType="separate"/>
          </w:r>
          <w:r>
            <w:rPr>
              <w:rStyle w:val="48"/>
              <w:highlight w:val="none"/>
            </w:rPr>
            <w:t>4.5质量保证期</w:t>
          </w:r>
          <w:r>
            <w:rPr>
              <w:highlight w:val="none"/>
            </w:rPr>
            <w:tab/>
          </w:r>
          <w:r>
            <w:rPr>
              <w:highlight w:val="none"/>
            </w:rPr>
            <w:fldChar w:fldCharType="begin"/>
          </w:r>
          <w:r>
            <w:rPr>
              <w:highlight w:val="none"/>
            </w:rPr>
            <w:instrText xml:space="preserve"> PAGEREF _Toc79654087 \h </w:instrText>
          </w:r>
          <w:r>
            <w:rPr>
              <w:highlight w:val="none"/>
            </w:rPr>
            <w:fldChar w:fldCharType="separate"/>
          </w:r>
          <w:r>
            <w:rPr>
              <w:highlight w:val="none"/>
            </w:rPr>
            <w:t>95</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"_Toc79654088" </w:instrText>
          </w:r>
          <w:r>
            <w:rPr>
              <w:highlight w:val="none"/>
            </w:rPr>
            <w:fldChar w:fldCharType="separate"/>
          </w:r>
          <w:r>
            <w:rPr>
              <w:rStyle w:val="48"/>
              <w:rFonts w:ascii="Times New Roman" w:hAnsi="Times New Roman"/>
              <w:highlight w:val="none"/>
            </w:rPr>
            <w:t>4.5.1</w:t>
          </w:r>
          <w:r>
            <w:rPr>
              <w:rStyle w:val="48"/>
              <w:highlight w:val="none"/>
            </w:rPr>
            <w:t>地下管线普查成果更新探测服务（包件1-5）</w:t>
          </w:r>
          <w:r>
            <w:rPr>
              <w:highlight w:val="none"/>
            </w:rPr>
            <w:tab/>
          </w:r>
          <w:r>
            <w:rPr>
              <w:highlight w:val="none"/>
            </w:rPr>
            <w:fldChar w:fldCharType="begin"/>
          </w:r>
          <w:r>
            <w:rPr>
              <w:highlight w:val="none"/>
            </w:rPr>
            <w:instrText xml:space="preserve"> PAGEREF _Toc79654088 \h </w:instrText>
          </w:r>
          <w:r>
            <w:rPr>
              <w:highlight w:val="none"/>
            </w:rPr>
            <w:fldChar w:fldCharType="separate"/>
          </w:r>
          <w:r>
            <w:rPr>
              <w:highlight w:val="none"/>
            </w:rPr>
            <w:t>95</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"_Toc79654089" </w:instrText>
          </w:r>
          <w:r>
            <w:rPr>
              <w:highlight w:val="none"/>
            </w:rPr>
            <w:fldChar w:fldCharType="separate"/>
          </w:r>
          <w:r>
            <w:rPr>
              <w:rStyle w:val="48"/>
              <w:rFonts w:ascii="Times New Roman" w:hAnsi="Times New Roman"/>
              <w:highlight w:val="none"/>
            </w:rPr>
            <w:t>4.5.2</w:t>
          </w:r>
          <w:r>
            <w:rPr>
              <w:rStyle w:val="48"/>
              <w:highlight w:val="none"/>
            </w:rPr>
            <w:t>地下管线普查成果更新监理服务（包件6）</w:t>
          </w:r>
          <w:r>
            <w:rPr>
              <w:highlight w:val="none"/>
            </w:rPr>
            <w:tab/>
          </w:r>
          <w:r>
            <w:rPr>
              <w:highlight w:val="none"/>
            </w:rPr>
            <w:fldChar w:fldCharType="begin"/>
          </w:r>
          <w:r>
            <w:rPr>
              <w:highlight w:val="none"/>
            </w:rPr>
            <w:instrText xml:space="preserve"> PAGEREF _Toc79654089 \h </w:instrText>
          </w:r>
          <w:r>
            <w:rPr>
              <w:highlight w:val="none"/>
            </w:rPr>
            <w:fldChar w:fldCharType="separate"/>
          </w:r>
          <w:r>
            <w:rPr>
              <w:highlight w:val="none"/>
            </w:rPr>
            <w:t>95</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"_Toc79654090" </w:instrText>
          </w:r>
          <w:r>
            <w:rPr>
              <w:highlight w:val="none"/>
            </w:rPr>
            <w:fldChar w:fldCharType="separate"/>
          </w:r>
          <w:r>
            <w:rPr>
              <w:rStyle w:val="48"/>
              <w:rFonts w:ascii="Times New Roman" w:hAnsi="Times New Roman"/>
              <w:highlight w:val="none"/>
            </w:rPr>
            <w:t>4.5.3</w:t>
          </w:r>
          <w:r>
            <w:rPr>
              <w:rStyle w:val="48"/>
              <w:highlight w:val="none"/>
            </w:rPr>
            <w:t>地下管线普查成果更新质检服务（包件7）</w:t>
          </w:r>
          <w:r>
            <w:rPr>
              <w:highlight w:val="none"/>
            </w:rPr>
            <w:tab/>
          </w:r>
          <w:r>
            <w:rPr>
              <w:highlight w:val="none"/>
            </w:rPr>
            <w:fldChar w:fldCharType="begin"/>
          </w:r>
          <w:r>
            <w:rPr>
              <w:highlight w:val="none"/>
            </w:rPr>
            <w:instrText xml:space="preserve"> PAGEREF _Toc79654090 \h </w:instrText>
          </w:r>
          <w:r>
            <w:rPr>
              <w:highlight w:val="none"/>
            </w:rPr>
            <w:fldChar w:fldCharType="separate"/>
          </w:r>
          <w:r>
            <w:rPr>
              <w:highlight w:val="none"/>
            </w:rPr>
            <w:t>96</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"_Toc79654091" </w:instrText>
          </w:r>
          <w:r>
            <w:rPr>
              <w:highlight w:val="none"/>
            </w:rPr>
            <w:fldChar w:fldCharType="separate"/>
          </w:r>
          <w:r>
            <w:rPr>
              <w:rStyle w:val="48"/>
              <w:highlight w:val="none"/>
            </w:rPr>
            <w:t>4.6服务时间</w:t>
          </w:r>
          <w:r>
            <w:rPr>
              <w:highlight w:val="none"/>
            </w:rPr>
            <w:tab/>
          </w:r>
          <w:r>
            <w:rPr>
              <w:highlight w:val="none"/>
            </w:rPr>
            <w:fldChar w:fldCharType="begin"/>
          </w:r>
          <w:r>
            <w:rPr>
              <w:highlight w:val="none"/>
            </w:rPr>
            <w:instrText xml:space="preserve"> PAGEREF _Toc79654091 \h </w:instrText>
          </w:r>
          <w:r>
            <w:rPr>
              <w:highlight w:val="none"/>
            </w:rPr>
            <w:fldChar w:fldCharType="separate"/>
          </w:r>
          <w:r>
            <w:rPr>
              <w:highlight w:val="none"/>
            </w:rPr>
            <w:t>96</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"_Toc79654092" </w:instrText>
          </w:r>
          <w:r>
            <w:rPr>
              <w:highlight w:val="none"/>
            </w:rPr>
            <w:fldChar w:fldCharType="separate"/>
          </w:r>
          <w:r>
            <w:rPr>
              <w:rStyle w:val="48"/>
              <w:highlight w:val="none"/>
            </w:rPr>
            <w:t>4.6.1地下管线普查成果更新探测服务（包件1-5）</w:t>
          </w:r>
          <w:r>
            <w:rPr>
              <w:highlight w:val="none"/>
            </w:rPr>
            <w:tab/>
          </w:r>
          <w:r>
            <w:rPr>
              <w:highlight w:val="none"/>
            </w:rPr>
            <w:fldChar w:fldCharType="begin"/>
          </w:r>
          <w:r>
            <w:rPr>
              <w:highlight w:val="none"/>
            </w:rPr>
            <w:instrText xml:space="preserve"> PAGEREF _Toc79654092 \h </w:instrText>
          </w:r>
          <w:r>
            <w:rPr>
              <w:highlight w:val="none"/>
            </w:rPr>
            <w:fldChar w:fldCharType="separate"/>
          </w:r>
          <w:r>
            <w:rPr>
              <w:highlight w:val="none"/>
            </w:rPr>
            <w:t>96</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"_Toc79654093" </w:instrText>
          </w:r>
          <w:r>
            <w:rPr>
              <w:highlight w:val="none"/>
            </w:rPr>
            <w:fldChar w:fldCharType="separate"/>
          </w:r>
          <w:r>
            <w:rPr>
              <w:rStyle w:val="48"/>
              <w:highlight w:val="none"/>
            </w:rPr>
            <w:t>4.6.2地下管线普查成果更新监理服务（包件6）</w:t>
          </w:r>
          <w:r>
            <w:rPr>
              <w:highlight w:val="none"/>
            </w:rPr>
            <w:tab/>
          </w:r>
          <w:r>
            <w:rPr>
              <w:highlight w:val="none"/>
            </w:rPr>
            <w:fldChar w:fldCharType="begin"/>
          </w:r>
          <w:r>
            <w:rPr>
              <w:highlight w:val="none"/>
            </w:rPr>
            <w:instrText xml:space="preserve"> PAGEREF _Toc79654093 \h </w:instrText>
          </w:r>
          <w:r>
            <w:rPr>
              <w:highlight w:val="none"/>
            </w:rPr>
            <w:fldChar w:fldCharType="separate"/>
          </w:r>
          <w:r>
            <w:rPr>
              <w:highlight w:val="none"/>
            </w:rPr>
            <w:t>96</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"_Toc79654094" </w:instrText>
          </w:r>
          <w:r>
            <w:rPr>
              <w:highlight w:val="none"/>
            </w:rPr>
            <w:fldChar w:fldCharType="separate"/>
          </w:r>
          <w:r>
            <w:rPr>
              <w:rStyle w:val="48"/>
              <w:highlight w:val="none"/>
            </w:rPr>
            <w:t>4.6.3地下管线普查成果更新质检服务（包件7）</w:t>
          </w:r>
          <w:r>
            <w:rPr>
              <w:highlight w:val="none"/>
            </w:rPr>
            <w:tab/>
          </w:r>
          <w:r>
            <w:rPr>
              <w:highlight w:val="none"/>
            </w:rPr>
            <w:fldChar w:fldCharType="begin"/>
          </w:r>
          <w:r>
            <w:rPr>
              <w:highlight w:val="none"/>
            </w:rPr>
            <w:instrText xml:space="preserve"> PAGEREF _Toc79654094 \h </w:instrText>
          </w:r>
          <w:r>
            <w:rPr>
              <w:highlight w:val="none"/>
            </w:rPr>
            <w:fldChar w:fldCharType="separate"/>
          </w:r>
          <w:r>
            <w:rPr>
              <w:highlight w:val="none"/>
            </w:rPr>
            <w:t>96</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"_Toc79654095" </w:instrText>
          </w:r>
          <w:r>
            <w:rPr>
              <w:highlight w:val="none"/>
            </w:rPr>
            <w:fldChar w:fldCharType="separate"/>
          </w:r>
          <w:r>
            <w:rPr>
              <w:rStyle w:val="48"/>
              <w:highlight w:val="none"/>
            </w:rPr>
            <w:t>4.7合同价款支付方式和条件：（需体现出预付款项）</w:t>
          </w:r>
          <w:r>
            <w:rPr>
              <w:highlight w:val="none"/>
            </w:rPr>
            <w:tab/>
          </w:r>
          <w:r>
            <w:rPr>
              <w:highlight w:val="none"/>
            </w:rPr>
            <w:fldChar w:fldCharType="begin"/>
          </w:r>
          <w:r>
            <w:rPr>
              <w:highlight w:val="none"/>
            </w:rPr>
            <w:instrText xml:space="preserve"> PAGEREF _Toc79654095 \h </w:instrText>
          </w:r>
          <w:r>
            <w:rPr>
              <w:highlight w:val="none"/>
            </w:rPr>
            <w:fldChar w:fldCharType="separate"/>
          </w:r>
          <w:r>
            <w:rPr>
              <w:highlight w:val="none"/>
            </w:rPr>
            <w:t>97</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"_Toc79654096" </w:instrText>
          </w:r>
          <w:r>
            <w:rPr>
              <w:highlight w:val="none"/>
            </w:rPr>
            <w:fldChar w:fldCharType="separate"/>
          </w:r>
          <w:r>
            <w:rPr>
              <w:rStyle w:val="48"/>
              <w:highlight w:val="none"/>
            </w:rPr>
            <w:t>4.7.1地下管线普查成果更新探测服务（包件1-5）</w:t>
          </w:r>
          <w:r>
            <w:rPr>
              <w:highlight w:val="none"/>
            </w:rPr>
            <w:tab/>
          </w:r>
          <w:r>
            <w:rPr>
              <w:highlight w:val="none"/>
            </w:rPr>
            <w:fldChar w:fldCharType="begin"/>
          </w:r>
          <w:r>
            <w:rPr>
              <w:highlight w:val="none"/>
            </w:rPr>
            <w:instrText xml:space="preserve"> PAGEREF _Toc79654096 \h </w:instrText>
          </w:r>
          <w:r>
            <w:rPr>
              <w:highlight w:val="none"/>
            </w:rPr>
            <w:fldChar w:fldCharType="separate"/>
          </w:r>
          <w:r>
            <w:rPr>
              <w:highlight w:val="none"/>
            </w:rPr>
            <w:t>97</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"_Toc79654097" </w:instrText>
          </w:r>
          <w:r>
            <w:rPr>
              <w:highlight w:val="none"/>
            </w:rPr>
            <w:fldChar w:fldCharType="separate"/>
          </w:r>
          <w:r>
            <w:rPr>
              <w:rStyle w:val="48"/>
              <w:highlight w:val="none"/>
            </w:rPr>
            <w:t>4.7.2地下管线普查成果更新监理服务（包件6）</w:t>
          </w:r>
          <w:r>
            <w:rPr>
              <w:highlight w:val="none"/>
            </w:rPr>
            <w:tab/>
          </w:r>
          <w:r>
            <w:rPr>
              <w:highlight w:val="none"/>
            </w:rPr>
            <w:fldChar w:fldCharType="begin"/>
          </w:r>
          <w:r>
            <w:rPr>
              <w:highlight w:val="none"/>
            </w:rPr>
            <w:instrText xml:space="preserve"> PAGEREF _Toc79654097 \h </w:instrText>
          </w:r>
          <w:r>
            <w:rPr>
              <w:highlight w:val="none"/>
            </w:rPr>
            <w:fldChar w:fldCharType="separate"/>
          </w:r>
          <w:r>
            <w:rPr>
              <w:highlight w:val="none"/>
            </w:rPr>
            <w:t>97</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"_Toc79654098" </w:instrText>
          </w:r>
          <w:r>
            <w:rPr>
              <w:highlight w:val="none"/>
            </w:rPr>
            <w:fldChar w:fldCharType="separate"/>
          </w:r>
          <w:r>
            <w:rPr>
              <w:rStyle w:val="48"/>
              <w:highlight w:val="none"/>
            </w:rPr>
            <w:t>4.7.3地下管线普查成果更新质检服务（包件7）</w:t>
          </w:r>
          <w:r>
            <w:rPr>
              <w:highlight w:val="none"/>
            </w:rPr>
            <w:tab/>
          </w:r>
          <w:r>
            <w:rPr>
              <w:highlight w:val="none"/>
            </w:rPr>
            <w:fldChar w:fldCharType="begin"/>
          </w:r>
          <w:r>
            <w:rPr>
              <w:highlight w:val="none"/>
            </w:rPr>
            <w:instrText xml:space="preserve"> PAGEREF _Toc79654098 \h </w:instrText>
          </w:r>
          <w:r>
            <w:rPr>
              <w:highlight w:val="none"/>
            </w:rPr>
            <w:fldChar w:fldCharType="separate"/>
          </w:r>
          <w:r>
            <w:rPr>
              <w:highlight w:val="none"/>
            </w:rPr>
            <w:t>98</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"_Toc79654099" </w:instrText>
          </w:r>
          <w:r>
            <w:rPr>
              <w:highlight w:val="none"/>
            </w:rPr>
            <w:fldChar w:fldCharType="separate"/>
          </w:r>
          <w:r>
            <w:rPr>
              <w:rStyle w:val="48"/>
              <w:highlight w:val="none"/>
            </w:rPr>
            <w:t>4.8违约责任</w:t>
          </w:r>
          <w:r>
            <w:rPr>
              <w:highlight w:val="none"/>
            </w:rPr>
            <w:tab/>
          </w:r>
          <w:r>
            <w:rPr>
              <w:highlight w:val="none"/>
            </w:rPr>
            <w:fldChar w:fldCharType="begin"/>
          </w:r>
          <w:r>
            <w:rPr>
              <w:highlight w:val="none"/>
            </w:rPr>
            <w:instrText xml:space="preserve"> PAGEREF _Toc79654099 \h </w:instrText>
          </w:r>
          <w:r>
            <w:rPr>
              <w:highlight w:val="none"/>
            </w:rPr>
            <w:fldChar w:fldCharType="separate"/>
          </w:r>
          <w:r>
            <w:rPr>
              <w:highlight w:val="none"/>
            </w:rPr>
            <w:t>98</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"_Toc79654100" </w:instrText>
          </w:r>
          <w:r>
            <w:rPr>
              <w:highlight w:val="none"/>
            </w:rPr>
            <w:fldChar w:fldCharType="separate"/>
          </w:r>
          <w:r>
            <w:rPr>
              <w:rStyle w:val="48"/>
              <w:highlight w:val="none"/>
            </w:rPr>
            <w:t>4.8.1地下管线普查成果更新探测服务（包件1-5）</w:t>
          </w:r>
          <w:r>
            <w:rPr>
              <w:highlight w:val="none"/>
            </w:rPr>
            <w:tab/>
          </w:r>
          <w:r>
            <w:rPr>
              <w:highlight w:val="none"/>
            </w:rPr>
            <w:fldChar w:fldCharType="begin"/>
          </w:r>
          <w:r>
            <w:rPr>
              <w:highlight w:val="none"/>
            </w:rPr>
            <w:instrText xml:space="preserve"> PAGEREF _Toc79654100 \h </w:instrText>
          </w:r>
          <w:r>
            <w:rPr>
              <w:highlight w:val="none"/>
            </w:rPr>
            <w:fldChar w:fldCharType="separate"/>
          </w:r>
          <w:r>
            <w:rPr>
              <w:highlight w:val="none"/>
            </w:rPr>
            <w:t>98</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"_Toc79654101" </w:instrText>
          </w:r>
          <w:r>
            <w:rPr>
              <w:highlight w:val="none"/>
            </w:rPr>
            <w:fldChar w:fldCharType="separate"/>
          </w:r>
          <w:r>
            <w:rPr>
              <w:rStyle w:val="48"/>
              <w:highlight w:val="none"/>
            </w:rPr>
            <w:t>4.8.2地下管线普查成果更新监理服务（包件6）</w:t>
          </w:r>
          <w:r>
            <w:rPr>
              <w:highlight w:val="none"/>
            </w:rPr>
            <w:tab/>
          </w:r>
          <w:r>
            <w:rPr>
              <w:highlight w:val="none"/>
            </w:rPr>
            <w:fldChar w:fldCharType="begin"/>
          </w:r>
          <w:r>
            <w:rPr>
              <w:highlight w:val="none"/>
            </w:rPr>
            <w:instrText xml:space="preserve"> PAGEREF _Toc79654101 \h </w:instrText>
          </w:r>
          <w:r>
            <w:rPr>
              <w:highlight w:val="none"/>
            </w:rPr>
            <w:fldChar w:fldCharType="separate"/>
          </w:r>
          <w:r>
            <w:rPr>
              <w:highlight w:val="none"/>
            </w:rPr>
            <w:t>98</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"_Toc79654102" </w:instrText>
          </w:r>
          <w:r>
            <w:rPr>
              <w:highlight w:val="none"/>
            </w:rPr>
            <w:fldChar w:fldCharType="separate"/>
          </w:r>
          <w:r>
            <w:rPr>
              <w:rStyle w:val="48"/>
              <w:highlight w:val="none"/>
            </w:rPr>
            <w:t>4.8.3地下管线普查成果更新质检服务（包件7）</w:t>
          </w:r>
          <w:r>
            <w:rPr>
              <w:highlight w:val="none"/>
            </w:rPr>
            <w:tab/>
          </w:r>
          <w:r>
            <w:rPr>
              <w:highlight w:val="none"/>
            </w:rPr>
            <w:fldChar w:fldCharType="begin"/>
          </w:r>
          <w:r>
            <w:rPr>
              <w:highlight w:val="none"/>
            </w:rPr>
            <w:instrText xml:space="preserve"> PAGEREF _Toc79654102 \h </w:instrText>
          </w:r>
          <w:r>
            <w:rPr>
              <w:highlight w:val="none"/>
            </w:rPr>
            <w:fldChar w:fldCharType="separate"/>
          </w:r>
          <w:r>
            <w:rPr>
              <w:highlight w:val="none"/>
            </w:rPr>
            <w:t>99</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"_Toc79654103" </w:instrText>
          </w:r>
          <w:r>
            <w:rPr>
              <w:highlight w:val="none"/>
            </w:rPr>
            <w:fldChar w:fldCharType="separate"/>
          </w:r>
          <w:r>
            <w:rPr>
              <w:rStyle w:val="48"/>
              <w:highlight w:val="none"/>
            </w:rPr>
            <w:t>4.9其他履约要求</w:t>
          </w:r>
          <w:r>
            <w:rPr>
              <w:highlight w:val="none"/>
            </w:rPr>
            <w:tab/>
          </w:r>
          <w:r>
            <w:rPr>
              <w:highlight w:val="none"/>
            </w:rPr>
            <w:fldChar w:fldCharType="begin"/>
          </w:r>
          <w:r>
            <w:rPr>
              <w:highlight w:val="none"/>
            </w:rPr>
            <w:instrText xml:space="preserve"> PAGEREF _Toc79654103 \h </w:instrText>
          </w:r>
          <w:r>
            <w:rPr>
              <w:highlight w:val="none"/>
            </w:rPr>
            <w:fldChar w:fldCharType="separate"/>
          </w:r>
          <w:r>
            <w:rPr>
              <w:highlight w:val="none"/>
            </w:rPr>
            <w:t>99</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"_Toc79654104" </w:instrText>
          </w:r>
          <w:r>
            <w:rPr>
              <w:highlight w:val="none"/>
            </w:rPr>
            <w:fldChar w:fldCharType="separate"/>
          </w:r>
          <w:r>
            <w:rPr>
              <w:rStyle w:val="48"/>
              <w:rFonts w:hAnsi="宋体"/>
              <w:highlight w:val="none"/>
            </w:rPr>
            <w:t>4.11验收标准和方法</w:t>
          </w:r>
          <w:r>
            <w:rPr>
              <w:highlight w:val="none"/>
            </w:rPr>
            <w:tab/>
          </w:r>
          <w:r>
            <w:rPr>
              <w:highlight w:val="none"/>
            </w:rPr>
            <w:fldChar w:fldCharType="begin"/>
          </w:r>
          <w:r>
            <w:rPr>
              <w:highlight w:val="none"/>
            </w:rPr>
            <w:instrText xml:space="preserve"> PAGEREF _Toc79654104 \h </w:instrText>
          </w:r>
          <w:r>
            <w:rPr>
              <w:highlight w:val="none"/>
            </w:rPr>
            <w:fldChar w:fldCharType="separate"/>
          </w:r>
          <w:r>
            <w:rPr>
              <w:highlight w:val="none"/>
            </w:rPr>
            <w:t>99</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"_Toc79654105" </w:instrText>
          </w:r>
          <w:r>
            <w:rPr>
              <w:highlight w:val="none"/>
            </w:rPr>
            <w:fldChar w:fldCharType="separate"/>
          </w:r>
          <w:r>
            <w:rPr>
              <w:rStyle w:val="48"/>
              <w:kern w:val="0"/>
              <w:highlight w:val="none"/>
            </w:rPr>
            <w:t>4.11.1地下管线普查成果更新探测服务（包件1-5）</w:t>
          </w:r>
          <w:r>
            <w:rPr>
              <w:highlight w:val="none"/>
            </w:rPr>
            <w:tab/>
          </w:r>
          <w:r>
            <w:rPr>
              <w:highlight w:val="none"/>
            </w:rPr>
            <w:fldChar w:fldCharType="begin"/>
          </w:r>
          <w:r>
            <w:rPr>
              <w:highlight w:val="none"/>
            </w:rPr>
            <w:instrText xml:space="preserve"> PAGEREF _Toc79654105 \h </w:instrText>
          </w:r>
          <w:r>
            <w:rPr>
              <w:highlight w:val="none"/>
            </w:rPr>
            <w:fldChar w:fldCharType="separate"/>
          </w:r>
          <w:r>
            <w:rPr>
              <w:highlight w:val="none"/>
            </w:rPr>
            <w:t>99</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"_Toc79654106" </w:instrText>
          </w:r>
          <w:r>
            <w:rPr>
              <w:highlight w:val="none"/>
            </w:rPr>
            <w:fldChar w:fldCharType="separate"/>
          </w:r>
          <w:r>
            <w:rPr>
              <w:rStyle w:val="48"/>
              <w:kern w:val="0"/>
              <w:highlight w:val="none"/>
            </w:rPr>
            <w:t>4.11.2地下管线普查成果更新监理服务(包件6)</w:t>
          </w:r>
          <w:r>
            <w:rPr>
              <w:highlight w:val="none"/>
            </w:rPr>
            <w:tab/>
          </w:r>
          <w:r>
            <w:rPr>
              <w:highlight w:val="none"/>
            </w:rPr>
            <w:fldChar w:fldCharType="begin"/>
          </w:r>
          <w:r>
            <w:rPr>
              <w:highlight w:val="none"/>
            </w:rPr>
            <w:instrText xml:space="preserve"> PAGEREF _Toc79654106 \h </w:instrText>
          </w:r>
          <w:r>
            <w:rPr>
              <w:highlight w:val="none"/>
            </w:rPr>
            <w:fldChar w:fldCharType="separate"/>
          </w:r>
          <w:r>
            <w:rPr>
              <w:highlight w:val="none"/>
            </w:rPr>
            <w:t>99</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"_Toc79654107" </w:instrText>
          </w:r>
          <w:r>
            <w:rPr>
              <w:highlight w:val="none"/>
            </w:rPr>
            <w:fldChar w:fldCharType="separate"/>
          </w:r>
          <w:r>
            <w:rPr>
              <w:rStyle w:val="48"/>
              <w:kern w:val="0"/>
              <w:highlight w:val="none"/>
            </w:rPr>
            <w:t>4.11.3地下管线普查成果更新质检服务(包件7)</w:t>
          </w:r>
          <w:r>
            <w:rPr>
              <w:highlight w:val="none"/>
            </w:rPr>
            <w:tab/>
          </w:r>
          <w:r>
            <w:rPr>
              <w:highlight w:val="none"/>
            </w:rPr>
            <w:fldChar w:fldCharType="begin"/>
          </w:r>
          <w:r>
            <w:rPr>
              <w:highlight w:val="none"/>
            </w:rPr>
            <w:instrText xml:space="preserve"> PAGEREF _Toc79654107 \h </w:instrText>
          </w:r>
          <w:r>
            <w:rPr>
              <w:highlight w:val="none"/>
            </w:rPr>
            <w:fldChar w:fldCharType="separate"/>
          </w:r>
          <w:r>
            <w:rPr>
              <w:highlight w:val="none"/>
            </w:rPr>
            <w:t>99</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"_Toc79654108" </w:instrText>
          </w:r>
          <w:r>
            <w:rPr>
              <w:highlight w:val="none"/>
            </w:rPr>
            <w:fldChar w:fldCharType="separate"/>
          </w:r>
          <w:r>
            <w:rPr>
              <w:rStyle w:val="48"/>
              <w:rFonts w:hAnsi="宋体"/>
              <w:highlight w:val="none"/>
            </w:rPr>
            <w:t>4.12售后服务的要求</w:t>
          </w:r>
          <w:r>
            <w:rPr>
              <w:highlight w:val="none"/>
            </w:rPr>
            <w:tab/>
          </w:r>
          <w:r>
            <w:rPr>
              <w:highlight w:val="none"/>
            </w:rPr>
            <w:fldChar w:fldCharType="begin"/>
          </w:r>
          <w:r>
            <w:rPr>
              <w:highlight w:val="none"/>
            </w:rPr>
            <w:instrText xml:space="preserve"> PAGEREF _Toc79654108 \h </w:instrText>
          </w:r>
          <w:r>
            <w:rPr>
              <w:highlight w:val="none"/>
            </w:rPr>
            <w:fldChar w:fldCharType="separate"/>
          </w:r>
          <w:r>
            <w:rPr>
              <w:highlight w:val="none"/>
            </w:rPr>
            <w:t>100</w:t>
          </w:r>
          <w:r>
            <w:rPr>
              <w:highlight w:val="none"/>
            </w:rPr>
            <w:fldChar w:fldCharType="end"/>
          </w:r>
          <w:r>
            <w:rPr>
              <w:highlight w:val="none"/>
            </w:rPr>
            <w:fldChar w:fldCharType="end"/>
          </w:r>
        </w:p>
        <w:p>
          <w:pPr>
            <w:pStyle w:val="30"/>
            <w:rPr>
              <w:rFonts w:asciiTheme="minorHAnsi" w:hAnsiTheme="minorHAnsi" w:eastAsiaTheme="minorEastAsia" w:cstheme="minorBidi"/>
              <w:bCs w:val="0"/>
              <w:caps w:val="0"/>
              <w:sz w:val="24"/>
              <w:szCs w:val="24"/>
              <w:highlight w:val="none"/>
            </w:rPr>
          </w:pPr>
          <w:r>
            <w:rPr>
              <w:highlight w:val="none"/>
            </w:rPr>
            <w:fldChar w:fldCharType="begin"/>
          </w:r>
          <w:r>
            <w:rPr>
              <w:highlight w:val="none"/>
            </w:rPr>
            <w:instrText xml:space="preserve"> HYPERLINK \l "_Toc79654109" </w:instrText>
          </w:r>
          <w:r>
            <w:rPr>
              <w:highlight w:val="none"/>
            </w:rPr>
            <w:fldChar w:fldCharType="separate"/>
          </w:r>
          <w:r>
            <w:rPr>
              <w:rStyle w:val="48"/>
              <w:rFonts w:ascii="Times New Roman" w:hAnsi="Times New Roman"/>
              <w:highlight w:val="none"/>
            </w:rPr>
            <w:t>第5章</w:t>
          </w:r>
          <w:r>
            <w:rPr>
              <w:rFonts w:asciiTheme="minorHAnsi" w:hAnsiTheme="minorHAnsi" w:eastAsiaTheme="minorEastAsia" w:cstheme="minorBidi"/>
              <w:bCs w:val="0"/>
              <w:caps w:val="0"/>
              <w:sz w:val="24"/>
              <w:szCs w:val="24"/>
              <w:highlight w:val="none"/>
            </w:rPr>
            <w:tab/>
          </w:r>
          <w:r>
            <w:rPr>
              <w:rStyle w:val="48"/>
              <w:highlight w:val="none"/>
            </w:rPr>
            <w:t>资格性审查</w:t>
          </w:r>
          <w:r>
            <w:rPr>
              <w:highlight w:val="none"/>
            </w:rPr>
            <w:tab/>
          </w:r>
          <w:r>
            <w:rPr>
              <w:highlight w:val="none"/>
            </w:rPr>
            <w:fldChar w:fldCharType="begin"/>
          </w:r>
          <w:r>
            <w:rPr>
              <w:highlight w:val="none"/>
            </w:rPr>
            <w:instrText xml:space="preserve"> PAGEREF _Toc79654109 \h </w:instrText>
          </w:r>
          <w:r>
            <w:rPr>
              <w:highlight w:val="none"/>
            </w:rPr>
            <w:fldChar w:fldCharType="separate"/>
          </w:r>
          <w:r>
            <w:rPr>
              <w:highlight w:val="none"/>
            </w:rPr>
            <w:t>102</w:t>
          </w:r>
          <w:r>
            <w:rPr>
              <w:highlight w:val="none"/>
            </w:rPr>
            <w:fldChar w:fldCharType="end"/>
          </w:r>
          <w:r>
            <w:rPr>
              <w:highlight w:val="none"/>
            </w:rPr>
            <w:fldChar w:fldCharType="end"/>
          </w:r>
        </w:p>
        <w:p>
          <w:pPr>
            <w:pStyle w:val="30"/>
            <w:rPr>
              <w:rFonts w:asciiTheme="minorHAnsi" w:hAnsiTheme="minorHAnsi" w:eastAsiaTheme="minorEastAsia" w:cstheme="minorBidi"/>
              <w:bCs w:val="0"/>
              <w:caps w:val="0"/>
              <w:sz w:val="24"/>
              <w:szCs w:val="24"/>
              <w:highlight w:val="none"/>
            </w:rPr>
          </w:pPr>
          <w:r>
            <w:rPr>
              <w:highlight w:val="none"/>
            </w:rPr>
            <w:fldChar w:fldCharType="begin"/>
          </w:r>
          <w:r>
            <w:rPr>
              <w:highlight w:val="none"/>
            </w:rPr>
            <w:instrText xml:space="preserve"> HYPERLINK \l "_Toc79654110" </w:instrText>
          </w:r>
          <w:r>
            <w:rPr>
              <w:highlight w:val="none"/>
            </w:rPr>
            <w:fldChar w:fldCharType="separate"/>
          </w:r>
          <w:r>
            <w:rPr>
              <w:rStyle w:val="48"/>
              <w:rFonts w:ascii="Times New Roman" w:hAnsi="Times New Roman"/>
              <w:highlight w:val="none"/>
            </w:rPr>
            <w:t>第6章</w:t>
          </w:r>
          <w:r>
            <w:rPr>
              <w:rFonts w:asciiTheme="minorHAnsi" w:hAnsiTheme="minorHAnsi" w:eastAsiaTheme="minorEastAsia" w:cstheme="minorBidi"/>
              <w:bCs w:val="0"/>
              <w:caps w:val="0"/>
              <w:sz w:val="24"/>
              <w:szCs w:val="24"/>
              <w:highlight w:val="none"/>
            </w:rPr>
            <w:tab/>
          </w:r>
          <w:r>
            <w:rPr>
              <w:rStyle w:val="48"/>
              <w:highlight w:val="none"/>
            </w:rPr>
            <w:t>评标办法</w:t>
          </w:r>
          <w:r>
            <w:rPr>
              <w:highlight w:val="none"/>
            </w:rPr>
            <w:tab/>
          </w:r>
          <w:r>
            <w:rPr>
              <w:highlight w:val="none"/>
            </w:rPr>
            <w:fldChar w:fldCharType="begin"/>
          </w:r>
          <w:r>
            <w:rPr>
              <w:highlight w:val="none"/>
            </w:rPr>
            <w:instrText xml:space="preserve"> PAGEREF _Toc79654110 \h </w:instrText>
          </w:r>
          <w:r>
            <w:rPr>
              <w:highlight w:val="none"/>
            </w:rPr>
            <w:fldChar w:fldCharType="separate"/>
          </w:r>
          <w:r>
            <w:rPr>
              <w:highlight w:val="none"/>
            </w:rPr>
            <w:t>106</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"_Toc79654111" </w:instrText>
          </w:r>
          <w:r>
            <w:rPr>
              <w:highlight w:val="none"/>
            </w:rPr>
            <w:fldChar w:fldCharType="separate"/>
          </w:r>
          <w:r>
            <w:rPr>
              <w:rStyle w:val="48"/>
              <w:rFonts w:ascii="Times New Roman" w:hAnsi="Times New Roman"/>
              <w:highlight w:val="none"/>
            </w:rPr>
            <w:t>6.1</w:t>
          </w:r>
          <w:r>
            <w:rPr>
              <w:rStyle w:val="48"/>
              <w:highlight w:val="none"/>
            </w:rPr>
            <w:t xml:space="preserve"> 总则</w:t>
          </w:r>
          <w:r>
            <w:rPr>
              <w:highlight w:val="none"/>
            </w:rPr>
            <w:tab/>
          </w:r>
          <w:r>
            <w:rPr>
              <w:highlight w:val="none"/>
            </w:rPr>
            <w:fldChar w:fldCharType="begin"/>
          </w:r>
          <w:r>
            <w:rPr>
              <w:highlight w:val="none"/>
            </w:rPr>
            <w:instrText xml:space="preserve"> PAGEREF _Toc79654111 \h </w:instrText>
          </w:r>
          <w:r>
            <w:rPr>
              <w:highlight w:val="none"/>
            </w:rPr>
            <w:fldChar w:fldCharType="separate"/>
          </w:r>
          <w:r>
            <w:rPr>
              <w:highlight w:val="none"/>
            </w:rPr>
            <w:t>106</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"_Toc79654112" </w:instrText>
          </w:r>
          <w:r>
            <w:rPr>
              <w:highlight w:val="none"/>
            </w:rPr>
            <w:fldChar w:fldCharType="separate"/>
          </w:r>
          <w:r>
            <w:rPr>
              <w:rStyle w:val="48"/>
              <w:rFonts w:ascii="Times New Roman" w:hAnsi="Times New Roman"/>
              <w:highlight w:val="none"/>
            </w:rPr>
            <w:t>6.2</w:t>
          </w:r>
          <w:r>
            <w:rPr>
              <w:rStyle w:val="48"/>
              <w:highlight w:val="none"/>
            </w:rPr>
            <w:t xml:space="preserve"> 评标方法</w:t>
          </w:r>
          <w:r>
            <w:rPr>
              <w:highlight w:val="none"/>
            </w:rPr>
            <w:tab/>
          </w:r>
          <w:r>
            <w:rPr>
              <w:highlight w:val="none"/>
            </w:rPr>
            <w:fldChar w:fldCharType="begin"/>
          </w:r>
          <w:r>
            <w:rPr>
              <w:highlight w:val="none"/>
            </w:rPr>
            <w:instrText xml:space="preserve"> PAGEREF _Toc79654112 \h </w:instrText>
          </w:r>
          <w:r>
            <w:rPr>
              <w:highlight w:val="none"/>
            </w:rPr>
            <w:fldChar w:fldCharType="separate"/>
          </w:r>
          <w:r>
            <w:rPr>
              <w:highlight w:val="none"/>
            </w:rPr>
            <w:t>107</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"_Toc79654113" </w:instrText>
          </w:r>
          <w:r>
            <w:rPr>
              <w:highlight w:val="none"/>
            </w:rPr>
            <w:fldChar w:fldCharType="separate"/>
          </w:r>
          <w:r>
            <w:rPr>
              <w:rStyle w:val="48"/>
              <w:rFonts w:ascii="Times New Roman" w:hAnsi="Times New Roman"/>
              <w:highlight w:val="none"/>
            </w:rPr>
            <w:t>6.3</w:t>
          </w:r>
          <w:r>
            <w:rPr>
              <w:rStyle w:val="48"/>
              <w:highlight w:val="none"/>
            </w:rPr>
            <w:t xml:space="preserve"> 评标程序</w:t>
          </w:r>
          <w:r>
            <w:rPr>
              <w:highlight w:val="none"/>
            </w:rPr>
            <w:tab/>
          </w:r>
          <w:r>
            <w:rPr>
              <w:highlight w:val="none"/>
            </w:rPr>
            <w:fldChar w:fldCharType="begin"/>
          </w:r>
          <w:r>
            <w:rPr>
              <w:highlight w:val="none"/>
            </w:rPr>
            <w:instrText xml:space="preserve"> PAGEREF _Toc79654113 \h </w:instrText>
          </w:r>
          <w:r>
            <w:rPr>
              <w:highlight w:val="none"/>
            </w:rPr>
            <w:fldChar w:fldCharType="separate"/>
          </w:r>
          <w:r>
            <w:rPr>
              <w:highlight w:val="none"/>
            </w:rPr>
            <w:t>107</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"_Toc79654114" </w:instrText>
          </w:r>
          <w:r>
            <w:rPr>
              <w:highlight w:val="none"/>
            </w:rPr>
            <w:fldChar w:fldCharType="separate"/>
          </w:r>
          <w:r>
            <w:rPr>
              <w:rStyle w:val="48"/>
              <w:rFonts w:ascii="Times New Roman" w:hAnsi="Times New Roman"/>
              <w:highlight w:val="none"/>
            </w:rPr>
            <w:t>6.4</w:t>
          </w:r>
          <w:r>
            <w:rPr>
              <w:rStyle w:val="48"/>
              <w:highlight w:val="none"/>
            </w:rPr>
            <w:t xml:space="preserve"> 评标争议处理规则</w:t>
          </w:r>
          <w:r>
            <w:rPr>
              <w:highlight w:val="none"/>
            </w:rPr>
            <w:tab/>
          </w:r>
          <w:r>
            <w:rPr>
              <w:highlight w:val="none"/>
            </w:rPr>
            <w:fldChar w:fldCharType="begin"/>
          </w:r>
          <w:r>
            <w:rPr>
              <w:highlight w:val="none"/>
            </w:rPr>
            <w:instrText xml:space="preserve"> PAGEREF _Toc79654114 \h </w:instrText>
          </w:r>
          <w:r>
            <w:rPr>
              <w:highlight w:val="none"/>
            </w:rPr>
            <w:fldChar w:fldCharType="separate"/>
          </w:r>
          <w:r>
            <w:rPr>
              <w:highlight w:val="none"/>
            </w:rPr>
            <w:t>114</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"_Toc79654115" </w:instrText>
          </w:r>
          <w:r>
            <w:rPr>
              <w:highlight w:val="none"/>
            </w:rPr>
            <w:fldChar w:fldCharType="separate"/>
          </w:r>
          <w:r>
            <w:rPr>
              <w:rStyle w:val="48"/>
              <w:rFonts w:ascii="Times New Roman" w:hAnsi="Times New Roman"/>
              <w:highlight w:val="none"/>
            </w:rPr>
            <w:t>6.5</w:t>
          </w:r>
          <w:r>
            <w:rPr>
              <w:rStyle w:val="48"/>
              <w:highlight w:val="none"/>
            </w:rPr>
            <w:t xml:space="preserve"> 评标细则及标准</w:t>
          </w:r>
          <w:r>
            <w:rPr>
              <w:highlight w:val="none"/>
            </w:rPr>
            <w:tab/>
          </w:r>
          <w:r>
            <w:rPr>
              <w:highlight w:val="none"/>
            </w:rPr>
            <w:fldChar w:fldCharType="begin"/>
          </w:r>
          <w:r>
            <w:rPr>
              <w:highlight w:val="none"/>
            </w:rPr>
            <w:instrText xml:space="preserve"> PAGEREF _Toc79654115 \h </w:instrText>
          </w:r>
          <w:r>
            <w:rPr>
              <w:highlight w:val="none"/>
            </w:rPr>
            <w:fldChar w:fldCharType="separate"/>
          </w:r>
          <w:r>
            <w:rPr>
              <w:highlight w:val="none"/>
            </w:rPr>
            <w:t>114</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"_Toc79654116" </w:instrText>
          </w:r>
          <w:r>
            <w:rPr>
              <w:highlight w:val="none"/>
            </w:rPr>
            <w:fldChar w:fldCharType="separate"/>
          </w:r>
          <w:r>
            <w:rPr>
              <w:rStyle w:val="48"/>
              <w:rFonts w:ascii="Times New Roman" w:hAnsi="Times New Roman"/>
              <w:highlight w:val="none"/>
            </w:rPr>
            <w:t>6.6</w:t>
          </w:r>
          <w:r>
            <w:rPr>
              <w:rStyle w:val="48"/>
              <w:highlight w:val="none"/>
            </w:rPr>
            <w:t xml:space="preserve"> 废标</w:t>
          </w:r>
          <w:r>
            <w:rPr>
              <w:highlight w:val="none"/>
            </w:rPr>
            <w:tab/>
          </w:r>
          <w:r>
            <w:rPr>
              <w:highlight w:val="none"/>
            </w:rPr>
            <w:fldChar w:fldCharType="begin"/>
          </w:r>
          <w:r>
            <w:rPr>
              <w:highlight w:val="none"/>
            </w:rPr>
            <w:instrText xml:space="preserve"> PAGEREF _Toc79654116 \h </w:instrText>
          </w:r>
          <w:r>
            <w:rPr>
              <w:highlight w:val="none"/>
            </w:rPr>
            <w:fldChar w:fldCharType="separate"/>
          </w:r>
          <w:r>
            <w:rPr>
              <w:highlight w:val="none"/>
            </w:rPr>
            <w:t>123</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"_Toc79654117" </w:instrText>
          </w:r>
          <w:r>
            <w:rPr>
              <w:highlight w:val="none"/>
            </w:rPr>
            <w:fldChar w:fldCharType="separate"/>
          </w:r>
          <w:r>
            <w:rPr>
              <w:rStyle w:val="48"/>
              <w:rFonts w:ascii="Times New Roman" w:hAnsi="Times New Roman"/>
              <w:highlight w:val="none"/>
            </w:rPr>
            <w:t>6.7</w:t>
          </w:r>
          <w:r>
            <w:rPr>
              <w:rStyle w:val="48"/>
              <w:highlight w:val="none"/>
            </w:rPr>
            <w:t xml:space="preserve"> 定标</w:t>
          </w:r>
          <w:r>
            <w:rPr>
              <w:highlight w:val="none"/>
            </w:rPr>
            <w:tab/>
          </w:r>
          <w:r>
            <w:rPr>
              <w:highlight w:val="none"/>
            </w:rPr>
            <w:fldChar w:fldCharType="begin"/>
          </w:r>
          <w:r>
            <w:rPr>
              <w:highlight w:val="none"/>
            </w:rPr>
            <w:instrText xml:space="preserve"> PAGEREF _Toc79654117 \h </w:instrText>
          </w:r>
          <w:r>
            <w:rPr>
              <w:highlight w:val="none"/>
            </w:rPr>
            <w:fldChar w:fldCharType="separate"/>
          </w:r>
          <w:r>
            <w:rPr>
              <w:highlight w:val="none"/>
            </w:rPr>
            <w:t>123</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"_Toc79654118" </w:instrText>
          </w:r>
          <w:r>
            <w:rPr>
              <w:highlight w:val="none"/>
            </w:rPr>
            <w:fldChar w:fldCharType="separate"/>
          </w:r>
          <w:r>
            <w:rPr>
              <w:rStyle w:val="48"/>
              <w:rFonts w:ascii="Times New Roman" w:hAnsi="Times New Roman"/>
              <w:highlight w:val="none"/>
            </w:rPr>
            <w:t>6.8</w:t>
          </w:r>
          <w:r>
            <w:rPr>
              <w:rStyle w:val="48"/>
              <w:highlight w:val="none"/>
            </w:rPr>
            <w:t xml:space="preserve"> 评标专家在政府采购活动中承担以下义务</w:t>
          </w:r>
          <w:r>
            <w:rPr>
              <w:highlight w:val="none"/>
            </w:rPr>
            <w:tab/>
          </w:r>
          <w:r>
            <w:rPr>
              <w:highlight w:val="none"/>
            </w:rPr>
            <w:fldChar w:fldCharType="begin"/>
          </w:r>
          <w:r>
            <w:rPr>
              <w:highlight w:val="none"/>
            </w:rPr>
            <w:instrText xml:space="preserve"> PAGEREF _Toc79654118 \h </w:instrText>
          </w:r>
          <w:r>
            <w:rPr>
              <w:highlight w:val="none"/>
            </w:rPr>
            <w:fldChar w:fldCharType="separate"/>
          </w:r>
          <w:r>
            <w:rPr>
              <w:highlight w:val="none"/>
            </w:rPr>
            <w:t>124</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"_Toc79654119" </w:instrText>
          </w:r>
          <w:r>
            <w:rPr>
              <w:highlight w:val="none"/>
            </w:rPr>
            <w:fldChar w:fldCharType="separate"/>
          </w:r>
          <w:r>
            <w:rPr>
              <w:rStyle w:val="48"/>
              <w:rFonts w:ascii="Times New Roman" w:hAnsi="Times New Roman"/>
              <w:highlight w:val="none"/>
            </w:rPr>
            <w:t>6.9</w:t>
          </w:r>
          <w:r>
            <w:rPr>
              <w:rStyle w:val="48"/>
              <w:highlight w:val="none"/>
            </w:rPr>
            <w:t xml:space="preserve"> 评标委员会及其成员不得有下列行为：</w:t>
          </w:r>
          <w:r>
            <w:rPr>
              <w:highlight w:val="none"/>
            </w:rPr>
            <w:tab/>
          </w:r>
          <w:r>
            <w:rPr>
              <w:highlight w:val="none"/>
            </w:rPr>
            <w:fldChar w:fldCharType="begin"/>
          </w:r>
          <w:r>
            <w:rPr>
              <w:highlight w:val="none"/>
            </w:rPr>
            <w:instrText xml:space="preserve"> PAGEREF _Toc79654119 \h </w:instrText>
          </w:r>
          <w:r>
            <w:rPr>
              <w:highlight w:val="none"/>
            </w:rPr>
            <w:fldChar w:fldCharType="separate"/>
          </w:r>
          <w:r>
            <w:rPr>
              <w:highlight w:val="none"/>
            </w:rPr>
            <w:t>125</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"_Toc79654120" </w:instrText>
          </w:r>
          <w:r>
            <w:rPr>
              <w:highlight w:val="none"/>
            </w:rPr>
            <w:fldChar w:fldCharType="separate"/>
          </w:r>
          <w:r>
            <w:rPr>
              <w:rStyle w:val="48"/>
              <w:rFonts w:ascii="Times New Roman" w:hAnsi="Times New Roman"/>
              <w:highlight w:val="none"/>
            </w:rPr>
            <w:t>6.10</w:t>
          </w:r>
          <w:r>
            <w:rPr>
              <w:rStyle w:val="48"/>
              <w:highlight w:val="none"/>
            </w:rPr>
            <w:t xml:space="preserve"> 评审专家在政府采购活动中应当遵守以下工作纪律</w:t>
          </w:r>
          <w:r>
            <w:rPr>
              <w:highlight w:val="none"/>
            </w:rPr>
            <w:tab/>
          </w:r>
          <w:r>
            <w:rPr>
              <w:highlight w:val="none"/>
            </w:rPr>
            <w:fldChar w:fldCharType="begin"/>
          </w:r>
          <w:r>
            <w:rPr>
              <w:highlight w:val="none"/>
            </w:rPr>
            <w:instrText xml:space="preserve"> PAGEREF _Toc79654120 \h </w:instrText>
          </w:r>
          <w:r>
            <w:rPr>
              <w:highlight w:val="none"/>
            </w:rPr>
            <w:fldChar w:fldCharType="separate"/>
          </w:r>
          <w:r>
            <w:rPr>
              <w:highlight w:val="none"/>
            </w:rPr>
            <w:t>125</w:t>
          </w:r>
          <w:r>
            <w:rPr>
              <w:highlight w:val="none"/>
            </w:rPr>
            <w:fldChar w:fldCharType="end"/>
          </w:r>
          <w:r>
            <w:rPr>
              <w:highlight w:val="none"/>
            </w:rPr>
            <w:fldChar w:fldCharType="end"/>
          </w:r>
        </w:p>
        <w:p>
          <w:pPr>
            <w:pStyle w:val="30"/>
            <w:rPr>
              <w:rFonts w:asciiTheme="minorHAnsi" w:hAnsiTheme="minorHAnsi" w:eastAsiaTheme="minorEastAsia" w:cstheme="minorBidi"/>
              <w:bCs w:val="0"/>
              <w:caps w:val="0"/>
              <w:sz w:val="24"/>
              <w:szCs w:val="24"/>
              <w:highlight w:val="none"/>
            </w:rPr>
          </w:pPr>
          <w:r>
            <w:rPr>
              <w:highlight w:val="none"/>
            </w:rPr>
            <w:fldChar w:fldCharType="begin"/>
          </w:r>
          <w:r>
            <w:rPr>
              <w:highlight w:val="none"/>
            </w:rPr>
            <w:instrText xml:space="preserve"> HYPERLINK \l "_Toc79654121" </w:instrText>
          </w:r>
          <w:r>
            <w:rPr>
              <w:highlight w:val="none"/>
            </w:rPr>
            <w:fldChar w:fldCharType="separate"/>
          </w:r>
          <w:r>
            <w:rPr>
              <w:rStyle w:val="48"/>
              <w:rFonts w:ascii="Times New Roman" w:hAnsi="Times New Roman"/>
              <w:highlight w:val="none"/>
            </w:rPr>
            <w:t>第7章</w:t>
          </w:r>
          <w:r>
            <w:rPr>
              <w:rFonts w:asciiTheme="minorHAnsi" w:hAnsiTheme="minorHAnsi" w:eastAsiaTheme="minorEastAsia" w:cstheme="minorBidi"/>
              <w:bCs w:val="0"/>
              <w:caps w:val="0"/>
              <w:sz w:val="24"/>
              <w:szCs w:val="24"/>
              <w:highlight w:val="none"/>
            </w:rPr>
            <w:tab/>
          </w:r>
          <w:r>
            <w:rPr>
              <w:rStyle w:val="48"/>
              <w:highlight w:val="none"/>
            </w:rPr>
            <w:t>拟签订合同文本</w:t>
          </w:r>
          <w:r>
            <w:rPr>
              <w:highlight w:val="none"/>
            </w:rPr>
            <w:tab/>
          </w:r>
          <w:r>
            <w:rPr>
              <w:highlight w:val="none"/>
            </w:rPr>
            <w:fldChar w:fldCharType="begin"/>
          </w:r>
          <w:r>
            <w:rPr>
              <w:highlight w:val="none"/>
            </w:rPr>
            <w:instrText xml:space="preserve"> PAGEREF _Toc79654121 \h </w:instrText>
          </w:r>
          <w:r>
            <w:rPr>
              <w:highlight w:val="none"/>
            </w:rPr>
            <w:fldChar w:fldCharType="separate"/>
          </w:r>
          <w:r>
            <w:rPr>
              <w:highlight w:val="none"/>
            </w:rPr>
            <w:t>128</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"_Toc79654122" </w:instrText>
          </w:r>
          <w:r>
            <w:rPr>
              <w:highlight w:val="none"/>
            </w:rPr>
            <w:fldChar w:fldCharType="separate"/>
          </w:r>
          <w:r>
            <w:rPr>
              <w:rStyle w:val="48"/>
              <w:highlight w:val="none"/>
            </w:rPr>
            <w:t>地下管线普查成果更新探测服务项目政府采购合同</w:t>
          </w:r>
          <w:r>
            <w:rPr>
              <w:highlight w:val="none"/>
            </w:rPr>
            <w:tab/>
          </w:r>
          <w:r>
            <w:rPr>
              <w:highlight w:val="none"/>
            </w:rPr>
            <w:fldChar w:fldCharType="begin"/>
          </w:r>
          <w:r>
            <w:rPr>
              <w:highlight w:val="none"/>
            </w:rPr>
            <w:instrText xml:space="preserve"> PAGEREF _Toc79654122 \h </w:instrText>
          </w:r>
          <w:r>
            <w:rPr>
              <w:highlight w:val="none"/>
            </w:rPr>
            <w:fldChar w:fldCharType="separate"/>
          </w:r>
          <w:r>
            <w:rPr>
              <w:highlight w:val="none"/>
            </w:rPr>
            <w:t>128</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"_Toc79654123" </w:instrText>
          </w:r>
          <w:r>
            <w:rPr>
              <w:highlight w:val="none"/>
            </w:rPr>
            <w:fldChar w:fldCharType="separate"/>
          </w:r>
          <w:r>
            <w:rPr>
              <w:rStyle w:val="48"/>
              <w:highlight w:val="none"/>
            </w:rPr>
            <w:t>地下管线普查成果更新监理服务项目政府采购合同</w:t>
          </w:r>
          <w:r>
            <w:rPr>
              <w:highlight w:val="none"/>
            </w:rPr>
            <w:tab/>
          </w:r>
          <w:r>
            <w:rPr>
              <w:highlight w:val="none"/>
            </w:rPr>
            <w:fldChar w:fldCharType="begin"/>
          </w:r>
          <w:r>
            <w:rPr>
              <w:highlight w:val="none"/>
            </w:rPr>
            <w:instrText xml:space="preserve"> PAGEREF _Toc79654123 \h </w:instrText>
          </w:r>
          <w:r>
            <w:rPr>
              <w:highlight w:val="none"/>
            </w:rPr>
            <w:fldChar w:fldCharType="separate"/>
          </w:r>
          <w:r>
            <w:rPr>
              <w:highlight w:val="none"/>
            </w:rPr>
            <w:t>136</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"_Toc79654124" </w:instrText>
          </w:r>
          <w:r>
            <w:rPr>
              <w:highlight w:val="none"/>
            </w:rPr>
            <w:fldChar w:fldCharType="separate"/>
          </w:r>
          <w:r>
            <w:rPr>
              <w:rStyle w:val="48"/>
              <w:highlight w:val="none"/>
            </w:rPr>
            <w:t>地下管线普查成果更新质检服务项目政府采购合同</w:t>
          </w:r>
          <w:r>
            <w:rPr>
              <w:highlight w:val="none"/>
            </w:rPr>
            <w:tab/>
          </w:r>
          <w:r>
            <w:rPr>
              <w:highlight w:val="none"/>
            </w:rPr>
            <w:fldChar w:fldCharType="begin"/>
          </w:r>
          <w:r>
            <w:rPr>
              <w:highlight w:val="none"/>
            </w:rPr>
            <w:instrText xml:space="preserve"> PAGEREF _Toc79654124 \h </w:instrText>
          </w:r>
          <w:r>
            <w:rPr>
              <w:highlight w:val="none"/>
            </w:rPr>
            <w:fldChar w:fldCharType="separate"/>
          </w:r>
          <w:r>
            <w:rPr>
              <w:highlight w:val="none"/>
            </w:rPr>
            <w:t>142</w:t>
          </w:r>
          <w:r>
            <w:rPr>
              <w:highlight w:val="none"/>
            </w:rPr>
            <w:fldChar w:fldCharType="end"/>
          </w:r>
          <w:r>
            <w:rPr>
              <w:highlight w:val="none"/>
            </w:rPr>
            <w:fldChar w:fldCharType="end"/>
          </w:r>
        </w:p>
        <w:p>
          <w:pPr>
            <w:pStyle w:val="30"/>
            <w:rPr>
              <w:rFonts w:asciiTheme="minorHAnsi" w:hAnsiTheme="minorHAnsi" w:eastAsiaTheme="minorEastAsia" w:cstheme="minorBidi"/>
              <w:bCs w:val="0"/>
              <w:caps w:val="0"/>
              <w:sz w:val="24"/>
              <w:szCs w:val="24"/>
              <w:highlight w:val="none"/>
            </w:rPr>
          </w:pPr>
          <w:r>
            <w:rPr>
              <w:highlight w:val="none"/>
            </w:rPr>
            <w:fldChar w:fldCharType="begin"/>
          </w:r>
          <w:r>
            <w:rPr>
              <w:highlight w:val="none"/>
            </w:rPr>
            <w:instrText xml:space="preserve"> HYPERLINK \l "_Toc79654125" </w:instrText>
          </w:r>
          <w:r>
            <w:rPr>
              <w:highlight w:val="none"/>
            </w:rPr>
            <w:fldChar w:fldCharType="separate"/>
          </w:r>
          <w:r>
            <w:rPr>
              <w:rStyle w:val="48"/>
              <w:rFonts w:cs="Tahoma"/>
              <w:spacing w:val="-11"/>
              <w:highlight w:val="none"/>
            </w:rPr>
            <w:t>附件1：</w:t>
          </w:r>
          <w:r>
            <w:rPr>
              <w:highlight w:val="none"/>
            </w:rPr>
            <w:tab/>
          </w:r>
          <w:r>
            <w:rPr>
              <w:highlight w:val="none"/>
            </w:rPr>
            <w:fldChar w:fldCharType="begin"/>
          </w:r>
          <w:r>
            <w:rPr>
              <w:highlight w:val="none"/>
            </w:rPr>
            <w:instrText xml:space="preserve"> PAGEREF _Toc79654125 \h </w:instrText>
          </w:r>
          <w:r>
            <w:rPr>
              <w:highlight w:val="none"/>
            </w:rPr>
            <w:fldChar w:fldCharType="separate"/>
          </w:r>
          <w:r>
            <w:rPr>
              <w:highlight w:val="none"/>
            </w:rPr>
            <w:t>147</w:t>
          </w:r>
          <w:r>
            <w:rPr>
              <w:highlight w:val="none"/>
            </w:rPr>
            <w:fldChar w:fldCharType="end"/>
          </w:r>
          <w:r>
            <w:rPr>
              <w:highlight w:val="none"/>
            </w:rPr>
            <w:fldChar w:fldCharType="end"/>
          </w:r>
        </w:p>
        <w:p>
          <w:pPr>
            <w:pStyle w:val="30"/>
            <w:tabs>
              <w:tab w:val="left" w:pos="605"/>
              <w:tab w:val="clear" w:pos="709"/>
            </w:tabs>
            <w:rPr>
              <w:rFonts w:asciiTheme="minorHAnsi" w:hAnsiTheme="minorHAnsi" w:eastAsiaTheme="minorEastAsia" w:cstheme="minorBidi"/>
              <w:bCs w:val="0"/>
              <w:caps w:val="0"/>
              <w:sz w:val="24"/>
              <w:szCs w:val="24"/>
              <w:highlight w:val="none"/>
            </w:rPr>
          </w:pPr>
          <w:r>
            <w:rPr>
              <w:highlight w:val="none"/>
            </w:rPr>
            <w:fldChar w:fldCharType="begin"/>
          </w:r>
          <w:r>
            <w:rPr>
              <w:highlight w:val="none"/>
            </w:rPr>
            <w:instrText xml:space="preserve"> HYPERLINK \l "_Toc79654126" </w:instrText>
          </w:r>
          <w:r>
            <w:rPr>
              <w:highlight w:val="none"/>
            </w:rPr>
            <w:fldChar w:fldCharType="separate"/>
          </w:r>
          <w:r>
            <w:rPr>
              <w:rStyle w:val="48"/>
              <w:highlight w:val="none"/>
            </w:rPr>
            <w:t>附录：</w:t>
          </w:r>
          <w:r>
            <w:rPr>
              <w:highlight w:val="none"/>
            </w:rPr>
            <w:tab/>
          </w:r>
          <w:r>
            <w:rPr>
              <w:highlight w:val="none"/>
            </w:rPr>
            <w:tab/>
          </w:r>
          <w:r>
            <w:rPr>
              <w:highlight w:val="none"/>
            </w:rPr>
            <w:fldChar w:fldCharType="begin"/>
          </w:r>
          <w:r>
            <w:rPr>
              <w:highlight w:val="none"/>
            </w:rPr>
            <w:instrText xml:space="preserve"> PAGEREF _Toc79654126 \h </w:instrText>
          </w:r>
          <w:r>
            <w:rPr>
              <w:highlight w:val="none"/>
            </w:rPr>
            <w:fldChar w:fldCharType="separate"/>
          </w:r>
          <w:r>
            <w:rPr>
              <w:highlight w:val="none"/>
            </w:rPr>
            <w:t>148</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"_Toc79654127" </w:instrText>
          </w:r>
          <w:r>
            <w:rPr>
              <w:highlight w:val="none"/>
            </w:rPr>
            <w:fldChar w:fldCharType="separate"/>
          </w:r>
          <w:r>
            <w:rPr>
              <w:rStyle w:val="48"/>
              <w:rFonts w:eastAsia="仿宋"/>
              <w:b/>
              <w:bCs/>
              <w:highlight w:val="none"/>
            </w:rPr>
            <w:t>附录A 成都市地下管线普查成果更新管线数据规定</w:t>
          </w:r>
          <w:r>
            <w:rPr>
              <w:highlight w:val="none"/>
            </w:rPr>
            <w:tab/>
          </w:r>
          <w:r>
            <w:rPr>
              <w:highlight w:val="none"/>
            </w:rPr>
            <w:fldChar w:fldCharType="begin"/>
          </w:r>
          <w:r>
            <w:rPr>
              <w:highlight w:val="none"/>
            </w:rPr>
            <w:instrText xml:space="preserve"> PAGEREF _Toc79654127 \h </w:instrText>
          </w:r>
          <w:r>
            <w:rPr>
              <w:highlight w:val="none"/>
            </w:rPr>
            <w:fldChar w:fldCharType="separate"/>
          </w:r>
          <w:r>
            <w:rPr>
              <w:highlight w:val="none"/>
            </w:rPr>
            <w:t>148</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"_Toc79654128" </w:instrText>
          </w:r>
          <w:r>
            <w:rPr>
              <w:highlight w:val="none"/>
            </w:rPr>
            <w:fldChar w:fldCharType="separate"/>
          </w:r>
          <w:r>
            <w:rPr>
              <w:rStyle w:val="48"/>
              <w:rFonts w:eastAsia="仿宋"/>
              <w:b/>
              <w:bCs/>
              <w:highlight w:val="none"/>
            </w:rPr>
            <w:t>附录B 地下管线探查记录表</w:t>
          </w:r>
          <w:r>
            <w:rPr>
              <w:highlight w:val="none"/>
            </w:rPr>
            <w:tab/>
          </w:r>
          <w:r>
            <w:rPr>
              <w:highlight w:val="none"/>
            </w:rPr>
            <w:fldChar w:fldCharType="begin"/>
          </w:r>
          <w:r>
            <w:rPr>
              <w:highlight w:val="none"/>
            </w:rPr>
            <w:instrText xml:space="preserve"> PAGEREF _Toc79654128 \h </w:instrText>
          </w:r>
          <w:r>
            <w:rPr>
              <w:highlight w:val="none"/>
            </w:rPr>
            <w:fldChar w:fldCharType="separate"/>
          </w:r>
          <w:r>
            <w:rPr>
              <w:highlight w:val="none"/>
            </w:rPr>
            <w:t>195</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"_Toc79654129" </w:instrText>
          </w:r>
          <w:r>
            <w:rPr>
              <w:highlight w:val="none"/>
            </w:rPr>
            <w:fldChar w:fldCharType="separate"/>
          </w:r>
          <w:r>
            <w:rPr>
              <w:rStyle w:val="48"/>
              <w:rFonts w:eastAsia="仿宋"/>
              <w:b/>
              <w:bCs/>
              <w:highlight w:val="none"/>
            </w:rPr>
            <w:t>附录C 地下管线探查检查记录表</w:t>
          </w:r>
          <w:r>
            <w:rPr>
              <w:highlight w:val="none"/>
            </w:rPr>
            <w:tab/>
          </w:r>
          <w:r>
            <w:rPr>
              <w:highlight w:val="none"/>
            </w:rPr>
            <w:fldChar w:fldCharType="begin"/>
          </w:r>
          <w:r>
            <w:rPr>
              <w:highlight w:val="none"/>
            </w:rPr>
            <w:instrText xml:space="preserve"> PAGEREF _Toc79654129 \h </w:instrText>
          </w:r>
          <w:r>
            <w:rPr>
              <w:highlight w:val="none"/>
            </w:rPr>
            <w:fldChar w:fldCharType="separate"/>
          </w:r>
          <w:r>
            <w:rPr>
              <w:highlight w:val="none"/>
            </w:rPr>
            <w:t>196</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"_Toc79654130" </w:instrText>
          </w:r>
          <w:r>
            <w:rPr>
              <w:highlight w:val="none"/>
            </w:rPr>
            <w:fldChar w:fldCharType="separate"/>
          </w:r>
          <w:r>
            <w:rPr>
              <w:rStyle w:val="48"/>
              <w:rFonts w:eastAsia="仿宋"/>
              <w:b/>
              <w:bCs/>
              <w:highlight w:val="none"/>
            </w:rPr>
            <w:t>附录D 管线成果表</w:t>
          </w:r>
          <w:r>
            <w:rPr>
              <w:highlight w:val="none"/>
            </w:rPr>
            <w:tab/>
          </w:r>
          <w:r>
            <w:rPr>
              <w:highlight w:val="none"/>
            </w:rPr>
            <w:fldChar w:fldCharType="begin"/>
          </w:r>
          <w:r>
            <w:rPr>
              <w:highlight w:val="none"/>
            </w:rPr>
            <w:instrText xml:space="preserve"> PAGEREF _Toc79654130 \h </w:instrText>
          </w:r>
          <w:r>
            <w:rPr>
              <w:highlight w:val="none"/>
            </w:rPr>
            <w:fldChar w:fldCharType="separate"/>
          </w:r>
          <w:r>
            <w:rPr>
              <w:highlight w:val="none"/>
            </w:rPr>
            <w:t>197</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"_Toc79654131" </w:instrText>
          </w:r>
          <w:r>
            <w:rPr>
              <w:highlight w:val="none"/>
            </w:rPr>
            <w:fldChar w:fldCharType="separate"/>
          </w:r>
          <w:r>
            <w:rPr>
              <w:rStyle w:val="48"/>
              <w:rFonts w:eastAsia="仿宋"/>
              <w:b/>
              <w:bCs/>
              <w:highlight w:val="none"/>
            </w:rPr>
            <w:t>附录E 地下管线探测安全保护规定</w:t>
          </w:r>
          <w:r>
            <w:rPr>
              <w:highlight w:val="none"/>
            </w:rPr>
            <w:tab/>
          </w:r>
          <w:r>
            <w:rPr>
              <w:highlight w:val="none"/>
            </w:rPr>
            <w:fldChar w:fldCharType="begin"/>
          </w:r>
          <w:r>
            <w:rPr>
              <w:highlight w:val="none"/>
            </w:rPr>
            <w:instrText xml:space="preserve"> PAGEREF _Toc79654131 \h </w:instrText>
          </w:r>
          <w:r>
            <w:rPr>
              <w:highlight w:val="none"/>
            </w:rPr>
            <w:fldChar w:fldCharType="separate"/>
          </w:r>
          <w:r>
            <w:rPr>
              <w:highlight w:val="none"/>
            </w:rPr>
            <w:t>198</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"_Toc79654132" </w:instrText>
          </w:r>
          <w:r>
            <w:rPr>
              <w:highlight w:val="none"/>
            </w:rPr>
            <w:fldChar w:fldCharType="separate"/>
          </w:r>
          <w:r>
            <w:rPr>
              <w:rStyle w:val="48"/>
              <w:rFonts w:eastAsia="仿宋"/>
              <w:b/>
              <w:bCs/>
              <w:highlight w:val="none"/>
            </w:rPr>
            <w:t>附录G 普查更新成果核验记录表</w:t>
          </w:r>
          <w:r>
            <w:rPr>
              <w:highlight w:val="none"/>
            </w:rPr>
            <w:tab/>
          </w:r>
          <w:r>
            <w:rPr>
              <w:highlight w:val="none"/>
            </w:rPr>
            <w:fldChar w:fldCharType="begin"/>
          </w:r>
          <w:r>
            <w:rPr>
              <w:highlight w:val="none"/>
            </w:rPr>
            <w:instrText xml:space="preserve"> PAGEREF _Toc79654132 \h </w:instrText>
          </w:r>
          <w:r>
            <w:rPr>
              <w:highlight w:val="none"/>
            </w:rPr>
            <w:fldChar w:fldCharType="separate"/>
          </w:r>
          <w:r>
            <w:rPr>
              <w:highlight w:val="none"/>
            </w:rPr>
            <w:t>200</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"_Toc79654133" </w:instrText>
          </w:r>
          <w:r>
            <w:rPr>
              <w:highlight w:val="none"/>
            </w:rPr>
            <w:fldChar w:fldCharType="separate"/>
          </w:r>
          <w:r>
            <w:rPr>
              <w:rStyle w:val="48"/>
              <w:rFonts w:eastAsia="仿宋"/>
              <w:b/>
              <w:bCs/>
              <w:highlight w:val="none"/>
            </w:rPr>
            <w:t>附录H 普查更新成果核验确认单</w:t>
          </w:r>
          <w:r>
            <w:rPr>
              <w:highlight w:val="none"/>
            </w:rPr>
            <w:tab/>
          </w:r>
          <w:r>
            <w:rPr>
              <w:highlight w:val="none"/>
            </w:rPr>
            <w:fldChar w:fldCharType="begin"/>
          </w:r>
          <w:r>
            <w:rPr>
              <w:highlight w:val="none"/>
            </w:rPr>
            <w:instrText xml:space="preserve"> PAGEREF _Toc79654133 \h </w:instrText>
          </w:r>
          <w:r>
            <w:rPr>
              <w:highlight w:val="none"/>
            </w:rPr>
            <w:fldChar w:fldCharType="separate"/>
          </w:r>
          <w:r>
            <w:rPr>
              <w:highlight w:val="none"/>
            </w:rPr>
            <w:t>201</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"_Toc79654134" </w:instrText>
          </w:r>
          <w:r>
            <w:rPr>
              <w:highlight w:val="none"/>
            </w:rPr>
            <w:fldChar w:fldCharType="separate"/>
          </w:r>
          <w:r>
            <w:rPr>
              <w:rStyle w:val="48"/>
              <w:rFonts w:eastAsia="仿宋"/>
              <w:b/>
              <w:bCs/>
              <w:highlight w:val="none"/>
            </w:rPr>
            <w:t>附录I 数据整合检查问题反馈意见表</w:t>
          </w:r>
          <w:r>
            <w:rPr>
              <w:highlight w:val="none"/>
            </w:rPr>
            <w:tab/>
          </w:r>
          <w:r>
            <w:rPr>
              <w:highlight w:val="none"/>
            </w:rPr>
            <w:fldChar w:fldCharType="begin"/>
          </w:r>
          <w:r>
            <w:rPr>
              <w:highlight w:val="none"/>
            </w:rPr>
            <w:instrText xml:space="preserve"> PAGEREF _Toc79654134 \h </w:instrText>
          </w:r>
          <w:r>
            <w:rPr>
              <w:highlight w:val="none"/>
            </w:rPr>
            <w:fldChar w:fldCharType="separate"/>
          </w:r>
          <w:r>
            <w:rPr>
              <w:highlight w:val="none"/>
            </w:rPr>
            <w:t>202</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"_Toc79654135" </w:instrText>
          </w:r>
          <w:r>
            <w:rPr>
              <w:highlight w:val="none"/>
            </w:rPr>
            <w:fldChar w:fldCharType="separate"/>
          </w:r>
          <w:r>
            <w:rPr>
              <w:rStyle w:val="48"/>
              <w:rFonts w:eastAsia="仿宋"/>
              <w:b/>
              <w:bCs/>
              <w:highlight w:val="none"/>
            </w:rPr>
            <w:t>附录J 数据整合检查问题核实整改情况表</w:t>
          </w:r>
          <w:r>
            <w:rPr>
              <w:highlight w:val="none"/>
            </w:rPr>
            <w:tab/>
          </w:r>
          <w:r>
            <w:rPr>
              <w:highlight w:val="none"/>
            </w:rPr>
            <w:fldChar w:fldCharType="begin"/>
          </w:r>
          <w:r>
            <w:rPr>
              <w:highlight w:val="none"/>
            </w:rPr>
            <w:instrText xml:space="preserve"> PAGEREF _Toc79654135 \h </w:instrText>
          </w:r>
          <w:r>
            <w:rPr>
              <w:highlight w:val="none"/>
            </w:rPr>
            <w:fldChar w:fldCharType="separate"/>
          </w:r>
          <w:r>
            <w:rPr>
              <w:highlight w:val="none"/>
            </w:rPr>
            <w:t>203</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"_Toc79654136" </w:instrText>
          </w:r>
          <w:r>
            <w:rPr>
              <w:highlight w:val="none"/>
            </w:rPr>
            <w:fldChar w:fldCharType="separate"/>
          </w:r>
          <w:r>
            <w:rPr>
              <w:rStyle w:val="48"/>
              <w:rFonts w:eastAsia="仿宋"/>
              <w:b/>
              <w:bCs/>
              <w:highlight w:val="none"/>
            </w:rPr>
            <w:t xml:space="preserve">附录K </w:t>
          </w:r>
          <w:r>
            <w:rPr>
              <w:rStyle w:val="48"/>
              <w:rFonts w:ascii="仿宋" w:hAnsi="仿宋" w:eastAsia="仿宋" w:cs="仿宋"/>
              <w:b/>
              <w:bCs/>
              <w:highlight w:val="none"/>
            </w:rPr>
            <w:t>成都市1:500  1:1000  1:2000地形图分幅技术规定(2020)</w:t>
          </w:r>
          <w:r>
            <w:rPr>
              <w:highlight w:val="none"/>
            </w:rPr>
            <w:tab/>
          </w:r>
          <w:r>
            <w:rPr>
              <w:highlight w:val="none"/>
            </w:rPr>
            <w:fldChar w:fldCharType="begin"/>
          </w:r>
          <w:r>
            <w:rPr>
              <w:highlight w:val="none"/>
            </w:rPr>
            <w:instrText xml:space="preserve"> PAGEREF _Toc79654136 \h </w:instrText>
          </w:r>
          <w:r>
            <w:rPr>
              <w:highlight w:val="none"/>
            </w:rPr>
            <w:fldChar w:fldCharType="separate"/>
          </w:r>
          <w:r>
            <w:rPr>
              <w:highlight w:val="none"/>
            </w:rPr>
            <w:t>204</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"_Toc79654137" </w:instrText>
          </w:r>
          <w:r>
            <w:rPr>
              <w:highlight w:val="none"/>
            </w:rPr>
            <w:fldChar w:fldCharType="separate"/>
          </w:r>
          <w:r>
            <w:rPr>
              <w:rStyle w:val="48"/>
              <w:rFonts w:eastAsia="仿宋"/>
              <w:b/>
              <w:bCs/>
              <w:highlight w:val="none"/>
            </w:rPr>
            <w:t>附录L地下管线隐患信息情况明细表</w:t>
          </w:r>
          <w:r>
            <w:rPr>
              <w:highlight w:val="none"/>
            </w:rPr>
            <w:tab/>
          </w:r>
          <w:r>
            <w:rPr>
              <w:highlight w:val="none"/>
            </w:rPr>
            <w:fldChar w:fldCharType="begin"/>
          </w:r>
          <w:r>
            <w:rPr>
              <w:highlight w:val="none"/>
            </w:rPr>
            <w:instrText xml:space="preserve"> PAGEREF _Toc79654137 \h </w:instrText>
          </w:r>
          <w:r>
            <w:rPr>
              <w:highlight w:val="none"/>
            </w:rPr>
            <w:fldChar w:fldCharType="separate"/>
          </w:r>
          <w:r>
            <w:rPr>
              <w:highlight w:val="none"/>
            </w:rPr>
            <w:t>208</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"_Toc79654138" </w:instrText>
          </w:r>
          <w:r>
            <w:rPr>
              <w:highlight w:val="none"/>
            </w:rPr>
            <w:fldChar w:fldCharType="separate"/>
          </w:r>
          <w:r>
            <w:rPr>
              <w:rStyle w:val="48"/>
              <w:rFonts w:eastAsia="仿宋"/>
              <w:b/>
              <w:bCs/>
              <w:highlight w:val="none"/>
            </w:rPr>
            <w:t>附录M 安全风险隐患类别代码表</w:t>
          </w:r>
          <w:r>
            <w:rPr>
              <w:highlight w:val="none"/>
            </w:rPr>
            <w:tab/>
          </w:r>
          <w:r>
            <w:rPr>
              <w:highlight w:val="none"/>
            </w:rPr>
            <w:fldChar w:fldCharType="begin"/>
          </w:r>
          <w:r>
            <w:rPr>
              <w:highlight w:val="none"/>
            </w:rPr>
            <w:instrText xml:space="preserve"> PAGEREF _Toc79654138 \h </w:instrText>
          </w:r>
          <w:r>
            <w:rPr>
              <w:highlight w:val="none"/>
            </w:rPr>
            <w:fldChar w:fldCharType="separate"/>
          </w:r>
          <w:r>
            <w:rPr>
              <w:highlight w:val="none"/>
            </w:rPr>
            <w:t>209</w:t>
          </w:r>
          <w:r>
            <w:rPr>
              <w:highlight w:val="none"/>
            </w:rPr>
            <w:fldChar w:fldCharType="end"/>
          </w:r>
          <w:r>
            <w:rPr>
              <w:highlight w:val="none"/>
            </w:rPr>
            <w:fldChar w:fldCharType="end"/>
          </w:r>
        </w:p>
        <w:p>
          <w:pPr>
            <w:pStyle w:val="36"/>
            <w:rPr>
              <w:rFonts w:asciiTheme="minorHAnsi" w:hAnsiTheme="minorHAnsi" w:eastAsiaTheme="minorEastAsia" w:cstheme="minorBidi"/>
              <w:smallCaps w:val="0"/>
              <w:sz w:val="24"/>
              <w:szCs w:val="24"/>
              <w:highlight w:val="none"/>
            </w:rPr>
          </w:pPr>
          <w:r>
            <w:rPr>
              <w:highlight w:val="none"/>
            </w:rPr>
            <w:fldChar w:fldCharType="begin"/>
          </w:r>
          <w:r>
            <w:rPr>
              <w:highlight w:val="none"/>
            </w:rPr>
            <w:instrText xml:space="preserve"> HYPERLINK \l "_Toc79654139" </w:instrText>
          </w:r>
          <w:r>
            <w:rPr>
              <w:highlight w:val="none"/>
            </w:rPr>
            <w:fldChar w:fldCharType="separate"/>
          </w:r>
          <w:r>
            <w:rPr>
              <w:rStyle w:val="48"/>
              <w:rFonts w:eastAsia="仿宋"/>
              <w:b/>
              <w:bCs/>
              <w:highlight w:val="none"/>
            </w:rPr>
            <w:t>附录N地下管线普查成果更新档案内容清单</w:t>
          </w:r>
          <w:r>
            <w:rPr>
              <w:highlight w:val="none"/>
            </w:rPr>
            <w:tab/>
          </w:r>
          <w:r>
            <w:rPr>
              <w:highlight w:val="none"/>
            </w:rPr>
            <w:fldChar w:fldCharType="begin"/>
          </w:r>
          <w:r>
            <w:rPr>
              <w:highlight w:val="none"/>
            </w:rPr>
            <w:instrText xml:space="preserve"> PAGEREF _Toc79654139 \h </w:instrText>
          </w:r>
          <w:r>
            <w:rPr>
              <w:highlight w:val="none"/>
            </w:rPr>
            <w:fldChar w:fldCharType="separate"/>
          </w:r>
          <w:r>
            <w:rPr>
              <w:highlight w:val="none"/>
            </w:rPr>
            <w:t>210</w:t>
          </w:r>
          <w:r>
            <w:rPr>
              <w:highlight w:val="none"/>
            </w:rPr>
            <w:fldChar w:fldCharType="end"/>
          </w:r>
          <w:r>
            <w:rPr>
              <w:highlight w:val="none"/>
            </w:rPr>
            <w:fldChar w:fldCharType="end"/>
          </w:r>
        </w:p>
        <w:p>
          <w:pPr>
            <w:pStyle w:val="36"/>
            <w:tabs>
              <w:tab w:val="right" w:leader="dot" w:pos="8647"/>
              <w:tab w:val="clear" w:pos="8364"/>
            </w:tabs>
            <w:ind w:left="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end"/>
          </w:r>
        </w:p>
      </w:sdtContent>
    </w:sdt>
    <w:p>
      <w:pPr>
        <w:pStyle w:val="2"/>
        <w:rPr>
          <w:color w:val="000000" w:themeColor="text1"/>
          <w:highlight w:val="none"/>
          <w14:textFill>
            <w14:solidFill>
              <w14:schemeClr w14:val="tx1"/>
            </w14:solidFill>
          </w14:textFill>
        </w:rPr>
      </w:pPr>
    </w:p>
    <w:p>
      <w:pPr>
        <w:pStyle w:val="4"/>
        <w:numPr>
          <w:ilvl w:val="0"/>
          <w:numId w:val="3"/>
        </w:numPr>
        <w:spacing w:before="0" w:after="0" w:line="560" w:lineRule="exact"/>
        <w:ind w:left="0" w:firstLine="0"/>
        <w:rPr>
          <w:color w:val="000000" w:themeColor="text1"/>
          <w:highlight w:val="none"/>
          <w14:textFill>
            <w14:solidFill>
              <w14:schemeClr w14:val="tx1"/>
            </w14:solidFill>
          </w14:textFill>
        </w:rPr>
      </w:pPr>
      <w:bookmarkStart w:id="4" w:name="_Toc204575871"/>
      <w:bookmarkStart w:id="5" w:name="_Toc20241"/>
      <w:bookmarkStart w:id="6" w:name="_Toc181591102"/>
      <w:bookmarkStart w:id="7" w:name="_Toc22017"/>
      <w:bookmarkStart w:id="8" w:name="_Toc79654060"/>
      <w:bookmarkStart w:id="9" w:name="_Toc181610856"/>
      <w:bookmarkStart w:id="10" w:name="_Toc25954"/>
      <w:bookmarkStart w:id="11" w:name="_Toc26321"/>
      <w:r>
        <w:rPr>
          <w:rFonts w:hint="eastAsia"/>
          <w:color w:val="000000" w:themeColor="text1"/>
          <w:highlight w:val="none"/>
          <w14:textFill>
            <w14:solidFill>
              <w14:schemeClr w14:val="tx1"/>
            </w14:solidFill>
          </w14:textFill>
        </w:rPr>
        <w:t>投标邀请</w:t>
      </w:r>
      <w:bookmarkEnd w:id="4"/>
      <w:bookmarkEnd w:id="5"/>
      <w:bookmarkEnd w:id="6"/>
      <w:bookmarkEnd w:id="7"/>
      <w:bookmarkEnd w:id="8"/>
      <w:bookmarkEnd w:id="9"/>
      <w:bookmarkEnd w:id="10"/>
      <w:bookmarkEnd w:id="11"/>
    </w:p>
    <w:p>
      <w:pPr>
        <w:tabs>
          <w:tab w:val="left" w:pos="2552"/>
        </w:tabs>
        <w:spacing w:line="560" w:lineRule="exact"/>
        <w:ind w:left="1" w:firstLine="562" w:firstLineChars="201"/>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成都市双流区公共资源交易服务中心(以下简称“区公资交易中心”)</w:t>
      </w:r>
      <w:r>
        <w:rPr>
          <w:rFonts w:hint="eastAsia" w:asciiTheme="minorEastAsia" w:hAnsiTheme="minorEastAsia" w:eastAsiaTheme="minorEastAsia"/>
          <w:color w:val="000000" w:themeColor="text1"/>
          <w:sz w:val="28"/>
          <w:szCs w:val="28"/>
          <w:highlight w:val="none"/>
          <w14:textFill>
            <w14:solidFill>
              <w14:schemeClr w14:val="tx1"/>
            </w14:solidFill>
          </w14:textFill>
        </w:rPr>
        <w:t>受</w:t>
      </w:r>
      <w:r>
        <w:rPr>
          <w:rFonts w:hint="eastAsia" w:ascii="宋体" w:hAnsi="宋体" w:eastAsiaTheme="minorEastAsia"/>
          <w:b/>
          <w:color w:val="000000" w:themeColor="text1"/>
          <w:sz w:val="28"/>
          <w:szCs w:val="28"/>
          <w:highlight w:val="none"/>
          <w14:textFill>
            <w14:solidFill>
              <w14:schemeClr w14:val="tx1"/>
            </w14:solidFill>
          </w14:textFill>
        </w:rPr>
        <w:t>成都市双流区规划和自然资源局</w:t>
      </w:r>
      <w:r>
        <w:rPr>
          <w:rFonts w:hint="eastAsia" w:asciiTheme="minorEastAsia" w:hAnsiTheme="minorEastAsia" w:eastAsiaTheme="minorEastAsia"/>
          <w:color w:val="000000" w:themeColor="text1"/>
          <w:sz w:val="28"/>
          <w:szCs w:val="28"/>
          <w:highlight w:val="none"/>
          <w14:textFill>
            <w14:solidFill>
              <w14:schemeClr w14:val="tx1"/>
            </w14:solidFill>
          </w14:textFill>
        </w:rPr>
        <w:t>委托</w:t>
      </w:r>
      <w:r>
        <w:rPr>
          <w:rFonts w:hint="eastAsia" w:ascii="宋体" w:hAnsi="宋体"/>
          <w:color w:val="000000" w:themeColor="text1"/>
          <w:sz w:val="28"/>
          <w:szCs w:val="28"/>
          <w:highlight w:val="none"/>
          <w14:textFill>
            <w14:solidFill>
              <w14:schemeClr w14:val="tx1"/>
            </w14:solidFill>
          </w14:textFill>
        </w:rPr>
        <w:t>拟对</w:t>
      </w:r>
      <w:r>
        <w:rPr>
          <w:rFonts w:hint="eastAsia" w:ascii="宋体" w:hAnsi="宋体"/>
          <w:b/>
          <w:color w:val="000000" w:themeColor="text1"/>
          <w:sz w:val="28"/>
          <w:szCs w:val="28"/>
          <w:highlight w:val="none"/>
          <w14:textFill>
            <w14:solidFill>
              <w14:schemeClr w14:val="tx1"/>
            </w14:solidFill>
          </w14:textFill>
        </w:rPr>
        <w:t>成都市双流区规划和自然资源局地下管线普查成果更新采购项目</w:t>
      </w:r>
      <w:r>
        <w:rPr>
          <w:rFonts w:hint="eastAsia" w:ascii="宋体" w:hAnsi="宋体"/>
          <w:color w:val="000000" w:themeColor="text1"/>
          <w:sz w:val="28"/>
          <w:szCs w:val="28"/>
          <w:highlight w:val="none"/>
          <w14:textFill>
            <w14:solidFill>
              <w14:schemeClr w14:val="tx1"/>
            </w14:solidFill>
          </w14:textFill>
        </w:rPr>
        <w:t>进行国内公开招标，兹邀请符合本次招标要求的供应商参加投标。</w:t>
      </w:r>
    </w:p>
    <w:p>
      <w:pPr>
        <w:numPr>
          <w:ilvl w:val="0"/>
          <w:numId w:val="4"/>
        </w:numPr>
        <w:spacing w:after="200" w:line="560" w:lineRule="exact"/>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项目编号：双流政采（2021）A0048号</w:t>
      </w:r>
    </w:p>
    <w:p>
      <w:pPr>
        <w:pStyle w:val="2"/>
        <w:ind w:firstLine="413" w:firstLineChars="14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（采购项目编号：</w:t>
      </w:r>
      <w:r>
        <w:rPr>
          <w:rFonts w:hint="eastAsia" w:ascii="宋体" w:hAnsi="宋体"/>
          <w:b/>
          <w:color w:val="000000" w:themeColor="text1"/>
          <w:kern w:val="2"/>
          <w:sz w:val="28"/>
          <w:szCs w:val="28"/>
          <w:highlight w:val="none"/>
          <w14:textFill>
            <w14:solidFill>
              <w14:schemeClr w14:val="tx1"/>
            </w14:solidFill>
          </w14:textFill>
        </w:rPr>
        <w:t>510122202100234</w:t>
      </w:r>
      <w:r>
        <w:rPr>
          <w:rFonts w:hint="eastAsia" w:ascii="宋体" w:hAnsi="宋体"/>
          <w:b/>
          <w:color w:val="000000" w:themeColor="text1"/>
          <w:sz w:val="28"/>
          <w:szCs w:val="28"/>
          <w:highlight w:val="none"/>
          <w14:textFill>
            <w14:solidFill>
              <w14:schemeClr w14:val="tx1"/>
            </w14:solidFill>
          </w14:textFill>
        </w:rPr>
        <w:t>）</w:t>
      </w:r>
    </w:p>
    <w:p>
      <w:pPr>
        <w:numPr>
          <w:ilvl w:val="0"/>
          <w:numId w:val="4"/>
        </w:numPr>
        <w:spacing w:after="200" w:line="560" w:lineRule="exact"/>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项目名称：成都市双流区规划和自然资源局地下管线普查成果更新采购项目</w:t>
      </w:r>
    </w:p>
    <w:p>
      <w:pPr>
        <w:numPr>
          <w:ilvl w:val="0"/>
          <w:numId w:val="4"/>
        </w:numPr>
        <w:spacing w:after="200" w:line="560" w:lineRule="exact"/>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资金来源、预算金额及最高限价：</w:t>
      </w:r>
      <w:r>
        <w:rPr>
          <w:rFonts w:hint="eastAsia" w:ascii="宋体" w:hAnsi="宋体"/>
          <w:color w:val="000000" w:themeColor="text1"/>
          <w:sz w:val="28"/>
          <w:szCs w:val="28"/>
          <w:highlight w:val="none"/>
          <w14:textFill>
            <w14:solidFill>
              <w14:schemeClr w14:val="tx1"/>
            </w14:solidFill>
          </w14:textFill>
        </w:rPr>
        <w:t>财政性资金，政府采购实施计划备案表号：</w:t>
      </w:r>
      <w:r>
        <w:rPr>
          <w:highlight w:val="none"/>
        </w:rPr>
        <w:fldChar w:fldCharType="begin"/>
      </w:r>
      <w:r>
        <w:rPr>
          <w:highlight w:val="none"/>
        </w:rPr>
        <w:instrText xml:space="preserve"> HYPERLINK "https://pay.zcygov.cn/purchaseplan_front/" \l "/plan/list/detail?id=1000000000005721710&amp;encrypt=5ebd9769bc3f4cf7f3e89d0795a4aac5" \t "https://www.zcygov.cn/project-center/purchasePlans/_blank" </w:instrText>
      </w:r>
      <w:r>
        <w:rPr>
          <w:highlight w:val="none"/>
        </w:rPr>
        <w:fldChar w:fldCharType="separate"/>
      </w:r>
      <w:r>
        <w:rPr>
          <w:rFonts w:hint="eastAsia" w:ascii="宋体" w:hAnsi="宋体"/>
          <w:color w:val="000000" w:themeColor="text1"/>
          <w:sz w:val="28"/>
          <w:szCs w:val="28"/>
          <w:highlight w:val="none"/>
          <w14:textFill>
            <w14:solidFill>
              <w14:schemeClr w14:val="tx1"/>
            </w14:solidFill>
          </w14:textFill>
        </w:rPr>
        <w:t>(2021)0686号</w:t>
      </w:r>
      <w:r>
        <w:rPr>
          <w:rFonts w:hint="eastAsia" w:ascii="宋体" w:hAnsi="宋体"/>
          <w:color w:val="000000" w:themeColor="text1"/>
          <w:sz w:val="28"/>
          <w:szCs w:val="28"/>
          <w:highlight w:val="none"/>
          <w14:textFill>
            <w14:solidFill>
              <w14:schemeClr w14:val="tx1"/>
            </w14:solidFill>
          </w14:textFill>
        </w:rPr>
        <w:fldChar w:fldCharType="end"/>
      </w:r>
      <w:r>
        <w:rPr>
          <w:rFonts w:hint="eastAsia" w:ascii="宋体" w:hAnsi="宋体"/>
          <w:color w:val="000000" w:themeColor="text1"/>
          <w:sz w:val="28"/>
          <w:szCs w:val="28"/>
          <w:highlight w:val="none"/>
          <w14:textFill>
            <w14:solidFill>
              <w14:schemeClr w14:val="tx1"/>
            </w14:solidFill>
          </w14:textFill>
        </w:rPr>
        <w:t>。预算品目：C0904测绘服务；预算金额：42981000.00元；本项目总最高限价：42981000.00元；</w:t>
      </w:r>
      <w:r>
        <w:rPr>
          <w:rFonts w:hint="eastAsia" w:ascii="宋体" w:hAnsi="宋体"/>
          <w:color w:val="000000" w:themeColor="text1"/>
          <w:sz w:val="28"/>
          <w:szCs w:val="28"/>
          <w:highlight w:val="none"/>
          <w:lang w:val="zh-CN"/>
          <w14:textFill>
            <w14:solidFill>
              <w14:schemeClr w14:val="tx1"/>
            </w14:solidFill>
          </w14:textFill>
        </w:rPr>
        <w:t>包件1最高限价：6567000.00元；包件2最高限价：9729000.00元；包件3最高限价：5220000.00元；包件4最高限价：6567000.00元；包件5最高限价：10047000.00元；包件6最高限价：2948000.00元；包件7最高限价：1903000.00元；单价最高限价见第4章4.2.3最高限价。</w:t>
      </w:r>
      <w:r>
        <w:rPr>
          <w:rFonts w:hint="eastAsia" w:ascii="宋体" w:hAnsi="宋体"/>
          <w:color w:val="000000" w:themeColor="text1"/>
          <w:sz w:val="28"/>
          <w:szCs w:val="28"/>
          <w:highlight w:val="none"/>
          <w14:textFill>
            <w14:solidFill>
              <w14:schemeClr w14:val="tx1"/>
            </w14:solidFill>
          </w14:textFill>
        </w:rPr>
        <w:t>采购标的：</w:t>
      </w:r>
      <w:r>
        <w:rPr>
          <w:rFonts w:hint="eastAsia" w:ascii="宋体" w:hAnsi="宋体"/>
          <w:bCs/>
          <w:color w:val="000000" w:themeColor="text1"/>
          <w:sz w:val="28"/>
          <w:szCs w:val="28"/>
          <w:highlight w:val="none"/>
          <w14:textFill>
            <w14:solidFill>
              <w14:schemeClr w14:val="tx1"/>
            </w14:solidFill>
          </w14:textFill>
        </w:rPr>
        <w:t>成都市双流区规划和自然资源局地下管线普查成果更新采购项目</w:t>
      </w:r>
      <w:r>
        <w:rPr>
          <w:rFonts w:hint="eastAsia" w:ascii="宋体" w:hAnsi="宋体"/>
          <w:color w:val="000000" w:themeColor="text1"/>
          <w:sz w:val="28"/>
          <w:szCs w:val="28"/>
          <w:highlight w:val="none"/>
          <w14:textFill>
            <w14:solidFill>
              <w14:schemeClr w14:val="tx1"/>
            </w14:solidFill>
          </w14:textFill>
        </w:rPr>
        <w:t>；所属行业：</w:t>
      </w:r>
      <w:r>
        <w:rPr>
          <w:rFonts w:hint="eastAsia" w:ascii="宋体" w:hAnsi="宋体"/>
          <w:sz w:val="28"/>
          <w:szCs w:val="28"/>
          <w:highlight w:val="none"/>
        </w:rPr>
        <w:t>其他未列明行业（专业技术服务）</w:t>
      </w:r>
      <w:r>
        <w:rPr>
          <w:rFonts w:hint="eastAsia" w:ascii="宋体" w:hAnsi="宋体"/>
          <w:color w:val="000000" w:themeColor="text1"/>
          <w:sz w:val="28"/>
          <w:szCs w:val="28"/>
          <w:highlight w:val="none"/>
          <w14:textFill>
            <w14:solidFill>
              <w14:schemeClr w14:val="tx1"/>
            </w14:solidFill>
          </w14:textFill>
        </w:rPr>
        <w:t>。</w:t>
      </w:r>
    </w:p>
    <w:p>
      <w:pPr>
        <w:numPr>
          <w:ilvl w:val="0"/>
          <w:numId w:val="4"/>
        </w:numPr>
        <w:spacing w:after="200" w:line="560" w:lineRule="exact"/>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招标项目简介</w:t>
      </w:r>
    </w:p>
    <w:p>
      <w:pPr>
        <w:pStyle w:val="156"/>
        <w:spacing w:line="360" w:lineRule="auto"/>
        <w:ind w:firstLine="560"/>
        <w:rPr>
          <w:rFonts w:ascii="宋体" w:hAnsi="宋体" w:cs="宋体"/>
          <w:bCs/>
          <w:color w:val="000000"/>
          <w:kern w:val="0"/>
          <w:sz w:val="28"/>
          <w:szCs w:val="28"/>
          <w:highlight w:val="none"/>
        </w:rPr>
      </w:pPr>
      <w:r>
        <w:rPr>
          <w:rFonts w:hint="eastAsia" w:ascii="宋体" w:hAnsi="宋体"/>
          <w:sz w:val="28"/>
          <w:szCs w:val="28"/>
          <w:highlight w:val="none"/>
        </w:rPr>
        <w:t>本项目共分为7个包件，各包件分别拟确定一名中标供应商，为</w:t>
      </w:r>
      <w:r>
        <w:rPr>
          <w:rFonts w:hint="eastAsia" w:ascii="宋体" w:hAnsi="宋体" w:eastAsiaTheme="minorEastAsia"/>
          <w:color w:val="000000" w:themeColor="text1"/>
          <w:sz w:val="28"/>
          <w:szCs w:val="28"/>
          <w:highlight w:val="none"/>
          <w14:textFill>
            <w14:solidFill>
              <w14:schemeClr w14:val="tx1"/>
            </w14:solidFill>
          </w14:textFill>
        </w:rPr>
        <w:t>成都市双流区规划和自然资源局</w:t>
      </w:r>
      <w:r>
        <w:rPr>
          <w:rFonts w:hint="eastAsia" w:ascii="宋体" w:hAnsi="宋体"/>
          <w:sz w:val="28"/>
          <w:szCs w:val="28"/>
          <w:highlight w:val="none"/>
        </w:rPr>
        <w:t>提供</w:t>
      </w:r>
      <w:r>
        <w:rPr>
          <w:rFonts w:hint="eastAsia" w:ascii="宋体" w:hAnsi="宋体"/>
          <w:color w:val="000000" w:themeColor="text1"/>
          <w:sz w:val="28"/>
          <w:szCs w:val="28"/>
          <w:highlight w:val="none"/>
          <w14:textFill>
            <w14:solidFill>
              <w14:schemeClr w14:val="tx1"/>
            </w14:solidFill>
          </w14:textFill>
        </w:rPr>
        <w:t>地下管线普查成果更新</w:t>
      </w:r>
      <w:r>
        <w:rPr>
          <w:rFonts w:hint="eastAsia" w:ascii="宋体" w:hAnsi="宋体"/>
          <w:sz w:val="28"/>
          <w:szCs w:val="28"/>
          <w:highlight w:val="none"/>
        </w:rPr>
        <w:t>服务。</w:t>
      </w:r>
      <w:r>
        <w:rPr>
          <w:rFonts w:hint="eastAsia" w:hAnsi="宋体"/>
          <w:sz w:val="28"/>
          <w:szCs w:val="28"/>
          <w:highlight w:val="none"/>
        </w:rPr>
        <w:t xml:space="preserve"> </w:t>
      </w:r>
    </w:p>
    <w:p>
      <w:pPr>
        <w:pStyle w:val="2"/>
        <w:ind w:firstLine="560" w:firstLineChars="200"/>
        <w:rPr>
          <w:b/>
          <w:color w:val="000000" w:themeColor="text1"/>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详细的服务、商务及其他要求见招标文件第4章。</w:t>
      </w:r>
    </w:p>
    <w:p>
      <w:pPr>
        <w:numPr>
          <w:ilvl w:val="0"/>
          <w:numId w:val="4"/>
        </w:numPr>
        <w:spacing w:after="200" w:line="560" w:lineRule="exact"/>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供应商参加本次政府采购活动应具备的条件</w:t>
      </w:r>
    </w:p>
    <w:p>
      <w:pPr>
        <w:spacing w:line="560" w:lineRule="exact"/>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（一）符合《政府采购法》第二十二条第一款规定的条件；</w:t>
      </w:r>
    </w:p>
    <w:p>
      <w:pPr>
        <w:tabs>
          <w:tab w:val="left" w:pos="1134"/>
        </w:tabs>
        <w:spacing w:line="560" w:lineRule="exact"/>
        <w:ind w:left="7" w:firstLine="560" w:firstLineChars="200"/>
        <w:rPr>
          <w:color w:val="000000" w:themeColor="text1"/>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（二）在中华人民共和国境内依法登记注册，并有效存续具有独立法人资格的供应商；</w:t>
      </w:r>
    </w:p>
    <w:p>
      <w:pPr>
        <w:tabs>
          <w:tab w:val="left" w:pos="1134"/>
        </w:tabs>
        <w:spacing w:line="560" w:lineRule="exact"/>
        <w:ind w:left="7"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 xml:space="preserve">（三）未被列入失信被执行人、重大税收违法案件当事人名单、政府采购严重违法失信行为记录名单； </w:t>
      </w:r>
    </w:p>
    <w:p>
      <w:pPr>
        <w:tabs>
          <w:tab w:val="left" w:pos="1134"/>
        </w:tabs>
        <w:spacing w:line="560" w:lineRule="exact"/>
        <w:ind w:left="7"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（四）在行贿犯罪信息查询期限内，供应商及其现任法定代表人、主要负责人没有行贿犯罪记录；</w:t>
      </w:r>
    </w:p>
    <w:p>
      <w:pPr>
        <w:pStyle w:val="2"/>
        <w:ind w:firstLine="560" w:firstLineChars="200"/>
        <w:rPr>
          <w:color w:val="000000" w:themeColor="text1"/>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（五）未处于被行政部门禁止参与政府采购活动的期限内；</w:t>
      </w:r>
    </w:p>
    <w:p>
      <w:pPr>
        <w:tabs>
          <w:tab w:val="left" w:pos="1134"/>
        </w:tabs>
        <w:spacing w:line="560" w:lineRule="exact"/>
        <w:ind w:left="7"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（六）不属于其他国家相关法律法规规定的禁止参加投标的供应商；</w:t>
      </w:r>
    </w:p>
    <w:p>
      <w:pPr>
        <w:pStyle w:val="2"/>
        <w:spacing w:after="0" w:line="360" w:lineRule="auto"/>
        <w:ind w:firstLine="560" w:firstLineChars="200"/>
        <w:rPr>
          <w:rFonts w:ascii="宋体" w:hAnsi="宋体"/>
          <w:color w:val="000000" w:themeColor="text1"/>
          <w:kern w:val="2"/>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（七）</w:t>
      </w:r>
      <w:r>
        <w:rPr>
          <w:rFonts w:hint="eastAsia" w:ascii="宋体" w:hAnsi="宋体"/>
          <w:color w:val="000000" w:themeColor="text1"/>
          <w:kern w:val="2"/>
          <w:sz w:val="28"/>
          <w:szCs w:val="28"/>
          <w:highlight w:val="none"/>
          <w14:textFill>
            <w14:solidFill>
              <w14:schemeClr w14:val="tx1"/>
            </w14:solidFill>
          </w14:textFill>
        </w:rPr>
        <w:t>地下管线普查成果更新探测服务（</w:t>
      </w:r>
      <w:r>
        <w:rPr>
          <w:rFonts w:hint="eastAsia" w:ascii="宋体" w:hAnsi="宋体"/>
          <w:color w:val="000000" w:themeColor="text1"/>
          <w:sz w:val="28"/>
          <w:szCs w:val="28"/>
          <w:highlight w:val="none"/>
          <w14:textFill>
            <w14:solidFill>
              <w14:schemeClr w14:val="tx1"/>
            </w14:solidFill>
          </w14:textFill>
        </w:rPr>
        <w:t>包件1-5）</w:t>
      </w:r>
      <w:r>
        <w:rPr>
          <w:rFonts w:hint="eastAsia" w:ascii="宋体" w:hAnsi="宋体"/>
          <w:color w:val="000000" w:themeColor="text1"/>
          <w:kern w:val="2"/>
          <w:sz w:val="28"/>
          <w:szCs w:val="28"/>
          <w:highlight w:val="none"/>
          <w14:textFill>
            <w14:solidFill>
              <w14:schemeClr w14:val="tx1"/>
            </w14:solidFill>
          </w14:textFill>
        </w:rPr>
        <w:t>：供应商须具备测绘地理信息主管部门颁发的测绘甲级资质证书。测绘甲级资质证书须含“工程测量”和“地理信息系统工程”专业甲级，且“工程测量”专业中必须含有“地下管线测量”子项；“地理信息系统工程”专业中必须含有“地理信息系统及数据库建设”子项。</w:t>
      </w:r>
    </w:p>
    <w:p>
      <w:pPr>
        <w:pStyle w:val="2"/>
        <w:spacing w:after="0" w:line="360" w:lineRule="auto"/>
        <w:ind w:firstLine="560" w:firstLineChars="200"/>
        <w:rPr>
          <w:rFonts w:ascii="宋体" w:hAnsi="宋体"/>
          <w:color w:val="000000" w:themeColor="text1"/>
          <w:kern w:val="2"/>
          <w:sz w:val="28"/>
          <w:szCs w:val="28"/>
          <w:highlight w:val="none"/>
          <w14:textFill>
            <w14:solidFill>
              <w14:schemeClr w14:val="tx1"/>
            </w14:solidFill>
          </w14:textFill>
        </w:rPr>
      </w:pPr>
      <w:r>
        <w:rPr>
          <w:rFonts w:hint="eastAsia" w:ascii="宋体" w:hAnsi="宋体"/>
          <w:color w:val="000000" w:themeColor="text1"/>
          <w:kern w:val="2"/>
          <w:sz w:val="28"/>
          <w:szCs w:val="28"/>
          <w:highlight w:val="none"/>
          <w14:textFill>
            <w14:solidFill>
              <w14:schemeClr w14:val="tx1"/>
            </w14:solidFill>
          </w14:textFill>
        </w:rPr>
        <w:t>（八）地下管线普查成果更新监理服务（</w:t>
      </w:r>
      <w:r>
        <w:rPr>
          <w:rFonts w:hint="eastAsia" w:ascii="宋体" w:hAnsi="宋体"/>
          <w:color w:val="000000" w:themeColor="text1"/>
          <w:sz w:val="28"/>
          <w:szCs w:val="28"/>
          <w:highlight w:val="none"/>
          <w14:textFill>
            <w14:solidFill>
              <w14:schemeClr w14:val="tx1"/>
            </w14:solidFill>
          </w14:textFill>
        </w:rPr>
        <w:t>包件</w:t>
      </w:r>
      <w:r>
        <w:rPr>
          <w:rFonts w:hint="eastAsia" w:ascii="宋体" w:hAnsi="宋体"/>
          <w:color w:val="000000" w:themeColor="text1"/>
          <w:kern w:val="2"/>
          <w:sz w:val="28"/>
          <w:szCs w:val="28"/>
          <w:highlight w:val="none"/>
          <w14:textFill>
            <w14:solidFill>
              <w14:schemeClr w14:val="tx1"/>
            </w14:solidFill>
          </w14:textFill>
        </w:rPr>
        <w:t>6）：供应商须具备测绘地理信息主管部门颁发的测绘甲级资质证书。测绘甲级资质证书须含“工程测量”专业甲级，且“工程测量”专业中须含“地下管线测量”子项。</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(九)地下管线普查成果更新质检服务（包件7）：供应商须具备省级及以上质量主管部门颁发的《计量认证证书CMA》（含管线测量）。</w:t>
      </w:r>
    </w:p>
    <w:p>
      <w:pPr>
        <w:pStyle w:val="153"/>
        <w:tabs>
          <w:tab w:val="left" w:pos="0"/>
          <w:tab w:val="left" w:pos="993"/>
          <w:tab w:val="left" w:pos="1418"/>
          <w:tab w:val="left" w:pos="1560"/>
        </w:tabs>
        <w:spacing w:line="560" w:lineRule="exact"/>
        <w:ind w:firstLine="560"/>
        <w:rPr>
          <w:rFonts w:ascii="宋体" w:hAnsi="宋体"/>
          <w:b/>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(十）本项目</w:t>
      </w:r>
      <w:r>
        <w:rPr>
          <w:rFonts w:hint="eastAsia" w:ascii="宋体" w:hAnsi="宋体"/>
          <w:b/>
          <w:bCs/>
          <w:color w:val="000000" w:themeColor="text1"/>
          <w:sz w:val="28"/>
          <w:szCs w:val="28"/>
          <w:highlight w:val="none"/>
          <w14:textFill>
            <w14:solidFill>
              <w14:schemeClr w14:val="tx1"/>
            </w14:solidFill>
          </w14:textFill>
        </w:rPr>
        <w:t>不接受</w:t>
      </w:r>
      <w:r>
        <w:rPr>
          <w:rFonts w:hint="eastAsia" w:ascii="宋体" w:hAnsi="宋体"/>
          <w:color w:val="000000" w:themeColor="text1"/>
          <w:sz w:val="28"/>
          <w:szCs w:val="28"/>
          <w:highlight w:val="none"/>
          <w14:textFill>
            <w14:solidFill>
              <w14:schemeClr w14:val="tx1"/>
            </w14:solidFill>
          </w14:textFill>
        </w:rPr>
        <w:t>联合体投标。</w:t>
      </w:r>
    </w:p>
    <w:p>
      <w:pPr>
        <w:numPr>
          <w:ilvl w:val="0"/>
          <w:numId w:val="4"/>
        </w:numPr>
        <w:spacing w:after="200" w:line="560" w:lineRule="exact"/>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招标文件获取时间</w:t>
      </w:r>
    </w:p>
    <w:p>
      <w:pPr>
        <w:numPr>
          <w:ilvl w:val="0"/>
          <w:numId w:val="5"/>
        </w:numPr>
        <w:spacing w:line="360" w:lineRule="auto"/>
        <w:ind w:left="0" w:firstLine="567"/>
        <w:rPr>
          <w:rFonts w:ascii="宋体" w:hAnsi="宋体"/>
          <w:b/>
          <w:sz w:val="28"/>
          <w:highlight w:val="none"/>
        </w:rPr>
      </w:pPr>
      <w:r>
        <w:rPr>
          <w:rFonts w:hint="eastAsia" w:ascii="宋体" w:hAnsi="宋体"/>
          <w:b/>
          <w:sz w:val="28"/>
          <w:szCs w:val="28"/>
          <w:highlight w:val="none"/>
        </w:rPr>
        <w:t>招标文件获取时间：2021年</w:t>
      </w:r>
      <w:r>
        <w:rPr>
          <w:rFonts w:hint="eastAsia" w:ascii="宋体" w:hAnsi="宋体"/>
          <w:b/>
          <w:sz w:val="28"/>
          <w:szCs w:val="28"/>
          <w:highlight w:val="none"/>
          <w:lang w:val="en-US" w:eastAsia="zh-CN"/>
        </w:rPr>
        <w:t>8</w:t>
      </w:r>
      <w:r>
        <w:rPr>
          <w:rFonts w:hint="eastAsia" w:ascii="宋体" w:hAnsi="宋体"/>
          <w:b/>
          <w:sz w:val="28"/>
          <w:szCs w:val="28"/>
          <w:highlight w:val="none"/>
        </w:rPr>
        <w:t>月</w:t>
      </w:r>
      <w:r>
        <w:rPr>
          <w:rFonts w:hint="eastAsia" w:ascii="宋体" w:hAnsi="宋体"/>
          <w:b/>
          <w:sz w:val="28"/>
          <w:szCs w:val="28"/>
          <w:highlight w:val="none"/>
          <w:lang w:val="en-US" w:eastAsia="zh-CN"/>
        </w:rPr>
        <w:t>18</w:t>
      </w:r>
      <w:r>
        <w:rPr>
          <w:rFonts w:hint="eastAsia" w:ascii="宋体" w:hAnsi="宋体"/>
          <w:b/>
          <w:sz w:val="28"/>
          <w:szCs w:val="28"/>
          <w:highlight w:val="none"/>
        </w:rPr>
        <w:t>日至</w:t>
      </w:r>
      <w:r>
        <w:rPr>
          <w:rFonts w:hint="eastAsia" w:ascii="宋体" w:hAnsi="宋体"/>
          <w:b/>
          <w:sz w:val="28"/>
          <w:szCs w:val="28"/>
          <w:highlight w:val="none"/>
          <w:lang w:val="en-US" w:eastAsia="zh-CN"/>
        </w:rPr>
        <w:t>9</w:t>
      </w:r>
      <w:r>
        <w:rPr>
          <w:rFonts w:hint="eastAsia" w:ascii="宋体" w:hAnsi="宋体"/>
          <w:b/>
          <w:sz w:val="28"/>
          <w:szCs w:val="28"/>
          <w:highlight w:val="none"/>
        </w:rPr>
        <w:t>月</w:t>
      </w:r>
      <w:r>
        <w:rPr>
          <w:rFonts w:hint="eastAsia" w:ascii="宋体" w:hAnsi="宋体"/>
          <w:b/>
          <w:sz w:val="28"/>
          <w:szCs w:val="28"/>
          <w:highlight w:val="none"/>
          <w:lang w:val="en-US" w:eastAsia="zh-CN"/>
        </w:rPr>
        <w:t>6</w:t>
      </w:r>
      <w:r>
        <w:rPr>
          <w:rFonts w:hint="eastAsia" w:ascii="宋体" w:hAnsi="宋体"/>
          <w:b/>
          <w:sz w:val="28"/>
          <w:szCs w:val="28"/>
          <w:highlight w:val="none"/>
        </w:rPr>
        <w:t>日。</w:t>
      </w:r>
    </w:p>
    <w:p>
      <w:pPr>
        <w:numPr>
          <w:ilvl w:val="0"/>
          <w:numId w:val="5"/>
        </w:numPr>
        <w:spacing w:line="360" w:lineRule="auto"/>
        <w:ind w:left="0" w:firstLine="567"/>
        <w:rPr>
          <w:rFonts w:ascii="宋体" w:hAnsi="宋体"/>
          <w:b/>
          <w:sz w:val="28"/>
          <w:highlight w:val="none"/>
        </w:rPr>
      </w:pPr>
      <w:r>
        <w:rPr>
          <w:rFonts w:hint="eastAsia" w:ascii="宋体" w:hAnsi="宋体"/>
          <w:b/>
          <w:sz w:val="28"/>
          <w:szCs w:val="28"/>
          <w:highlight w:val="none"/>
        </w:rPr>
        <w:t>公告期限：2021年</w:t>
      </w:r>
      <w:r>
        <w:rPr>
          <w:rFonts w:hint="eastAsia" w:ascii="宋体" w:hAnsi="宋体"/>
          <w:b/>
          <w:sz w:val="28"/>
          <w:szCs w:val="28"/>
          <w:highlight w:val="none"/>
          <w:lang w:val="en-US" w:eastAsia="zh-CN"/>
        </w:rPr>
        <w:t>8</w:t>
      </w:r>
      <w:r>
        <w:rPr>
          <w:rFonts w:hint="eastAsia" w:ascii="宋体" w:hAnsi="宋体"/>
          <w:b/>
          <w:sz w:val="28"/>
          <w:szCs w:val="28"/>
          <w:highlight w:val="none"/>
        </w:rPr>
        <w:t>月</w:t>
      </w:r>
      <w:r>
        <w:rPr>
          <w:rFonts w:hint="eastAsia" w:ascii="宋体" w:hAnsi="宋体"/>
          <w:b/>
          <w:sz w:val="28"/>
          <w:szCs w:val="28"/>
          <w:highlight w:val="none"/>
          <w:lang w:val="en-US" w:eastAsia="zh-CN"/>
        </w:rPr>
        <w:t>18</w:t>
      </w:r>
      <w:r>
        <w:rPr>
          <w:rFonts w:hint="eastAsia" w:ascii="宋体" w:hAnsi="宋体"/>
          <w:b/>
          <w:sz w:val="28"/>
          <w:szCs w:val="28"/>
          <w:highlight w:val="none"/>
        </w:rPr>
        <w:t>日至</w:t>
      </w:r>
      <w:r>
        <w:rPr>
          <w:rFonts w:hint="eastAsia" w:ascii="宋体" w:hAnsi="宋体"/>
          <w:b/>
          <w:sz w:val="28"/>
          <w:szCs w:val="28"/>
          <w:highlight w:val="none"/>
          <w:lang w:val="en-US" w:eastAsia="zh-CN"/>
        </w:rPr>
        <w:t>8</w:t>
      </w:r>
      <w:r>
        <w:rPr>
          <w:rFonts w:hint="eastAsia" w:ascii="宋体" w:hAnsi="宋体"/>
          <w:b/>
          <w:sz w:val="28"/>
          <w:szCs w:val="28"/>
          <w:highlight w:val="none"/>
        </w:rPr>
        <w:t>月</w:t>
      </w:r>
      <w:r>
        <w:rPr>
          <w:rFonts w:hint="eastAsia" w:ascii="宋体" w:hAnsi="宋体"/>
          <w:b/>
          <w:sz w:val="28"/>
          <w:szCs w:val="28"/>
          <w:highlight w:val="none"/>
          <w:lang w:val="en-US" w:eastAsia="zh-CN"/>
        </w:rPr>
        <w:t>24</w:t>
      </w:r>
      <w:r>
        <w:rPr>
          <w:rFonts w:hint="eastAsia" w:ascii="宋体" w:hAnsi="宋体"/>
          <w:b/>
          <w:sz w:val="28"/>
          <w:szCs w:val="28"/>
          <w:highlight w:val="none"/>
        </w:rPr>
        <w:t>日。</w:t>
      </w:r>
    </w:p>
    <w:p>
      <w:pPr>
        <w:numPr>
          <w:ilvl w:val="0"/>
          <w:numId w:val="4"/>
        </w:numPr>
        <w:spacing w:after="200" w:line="560" w:lineRule="exact"/>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招标文件获取方式</w:t>
      </w:r>
    </w:p>
    <w:p>
      <w:pPr>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提示：</w:t>
      </w:r>
    </w:p>
    <w:p>
      <w:pPr>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2）成都市公共资源交易服务中心门户网站上采购公告附件内的采购文件仅供下载阅览使用，供应商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（3）首次登录成都市公共资源交易服务中心门户网站的新用户应先点击“注册新用户”，注册成功后再登录。</w:t>
      </w:r>
    </w:p>
    <w:p>
      <w:pPr>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（4）本项目为电子招标投标项目，供应商参与本项目全过程中凡涉及系统操作请详见《成都市全流程电子化采购系统操作指南——供应商版》。</w:t>
      </w:r>
      <w:bookmarkStart w:id="12" w:name="_Toc180051012"/>
      <w:bookmarkStart w:id="13" w:name="_Toc174185149"/>
      <w:bookmarkStart w:id="14" w:name="_Toc184013605"/>
      <w:bookmarkStart w:id="15" w:name="_Toc184023104"/>
      <w:bookmarkStart w:id="16" w:name="_Toc186274101"/>
      <w:r>
        <w:rPr>
          <w:rFonts w:hint="eastAsia" w:ascii="宋体" w:hAnsi="宋体"/>
          <w:sz w:val="28"/>
          <w:szCs w:val="28"/>
          <w:highlight w:val="none"/>
        </w:rPr>
        <w:t>（操作指南请登录政府采购云平台后，点击“前台大厅</w:t>
      </w:r>
      <w:r>
        <w:rPr>
          <w:rFonts w:ascii="宋体" w:hAnsi="宋体"/>
          <w:sz w:val="28"/>
          <w:szCs w:val="28"/>
          <w:highlight w:val="none"/>
        </w:rPr>
        <w:t>—</w:t>
      </w:r>
      <w:r>
        <w:rPr>
          <w:rFonts w:hint="eastAsia" w:ascii="宋体" w:hAnsi="宋体"/>
          <w:sz w:val="28"/>
          <w:szCs w:val="28"/>
          <w:highlight w:val="none"/>
        </w:rPr>
        <w:t>操作指南</w:t>
      </w:r>
      <w:r>
        <w:rPr>
          <w:rFonts w:ascii="宋体" w:hAnsi="宋体"/>
          <w:sz w:val="28"/>
          <w:szCs w:val="28"/>
          <w:highlight w:val="none"/>
        </w:rPr>
        <w:t>—</w:t>
      </w:r>
      <w:r>
        <w:rPr>
          <w:rFonts w:hint="eastAsia" w:ascii="宋体" w:hAnsi="宋体"/>
          <w:sz w:val="28"/>
          <w:szCs w:val="28"/>
          <w:highlight w:val="none"/>
        </w:rPr>
        <w:t>供应商”处下载查看）。</w:t>
      </w:r>
    </w:p>
    <w:p>
      <w:pPr>
        <w:numPr>
          <w:ilvl w:val="0"/>
          <w:numId w:val="4"/>
        </w:numPr>
        <w:spacing w:after="200" w:line="560" w:lineRule="exact"/>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招标文件获取地点</w:t>
      </w:r>
    </w:p>
    <w:p>
      <w:pPr>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登录成都市公共资源交易服务中心门户网站（https://www.cdggzy.com/）—用户中心—政府采购云平台获取</w:t>
      </w:r>
      <w:r>
        <w:rPr>
          <w:rFonts w:hint="eastAsia" w:ascii="宋体" w:hAnsi="宋体"/>
          <w:color w:val="000000" w:themeColor="text1"/>
          <w:sz w:val="28"/>
          <w:highlight w:val="none"/>
          <w14:textFill>
            <w14:solidFill>
              <w14:schemeClr w14:val="tx1"/>
            </w14:solidFill>
          </w14:textFill>
        </w:rPr>
        <w:t>。</w:t>
      </w:r>
    </w:p>
    <w:p>
      <w:pPr>
        <w:numPr>
          <w:ilvl w:val="0"/>
          <w:numId w:val="4"/>
        </w:numPr>
        <w:spacing w:after="200" w:line="560" w:lineRule="exact"/>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投标文件递交截止时间及开标时间</w:t>
      </w:r>
      <w:bookmarkEnd w:id="12"/>
      <w:bookmarkEnd w:id="13"/>
      <w:bookmarkEnd w:id="14"/>
      <w:bookmarkEnd w:id="15"/>
      <w:bookmarkEnd w:id="16"/>
      <w:r>
        <w:rPr>
          <w:rFonts w:hint="eastAsia" w:ascii="宋体" w:hAnsi="宋体"/>
          <w:b/>
          <w:color w:val="000000" w:themeColor="text1"/>
          <w:sz w:val="28"/>
          <w:szCs w:val="28"/>
          <w:highlight w:val="none"/>
          <w14:textFill>
            <w14:solidFill>
              <w14:schemeClr w14:val="tx1"/>
            </w14:solidFill>
          </w14:textFill>
        </w:rPr>
        <w:t>(北京时间)、地点、方式</w:t>
      </w:r>
    </w:p>
    <w:p>
      <w:pPr>
        <w:spacing w:line="560" w:lineRule="exact"/>
        <w:ind w:firstLine="560" w:firstLineChars="200"/>
        <w:rPr>
          <w:rFonts w:ascii="宋体" w:hAnsi="宋体"/>
          <w:b/>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（一）投标文件递交截止时间及开标时间：</w:t>
      </w:r>
      <w:r>
        <w:rPr>
          <w:rFonts w:hint="eastAsia" w:ascii="宋体" w:hAnsi="宋体"/>
          <w:b/>
          <w:color w:val="000000" w:themeColor="text1"/>
          <w:sz w:val="28"/>
          <w:szCs w:val="28"/>
          <w:highlight w:val="none"/>
          <w14:textFill>
            <w14:solidFill>
              <w14:schemeClr w14:val="tx1"/>
            </w14:solidFill>
          </w14:textFill>
        </w:rPr>
        <w:t>2021年</w:t>
      </w:r>
      <w:r>
        <w:rPr>
          <w:rFonts w:hint="eastAsia" w:ascii="宋体" w:hAnsi="宋体"/>
          <w:b/>
          <w:color w:val="000000" w:themeColor="text1"/>
          <w:sz w:val="28"/>
          <w:szCs w:val="28"/>
          <w:highlight w:val="none"/>
          <w:lang w:val="en-US" w:eastAsia="zh-CN"/>
          <w14:textFill>
            <w14:solidFill>
              <w14:schemeClr w14:val="tx1"/>
            </w14:solidFill>
          </w14:textFill>
        </w:rPr>
        <w:t>9</w:t>
      </w:r>
      <w:r>
        <w:rPr>
          <w:rFonts w:hint="eastAsia" w:ascii="宋体" w:hAnsi="宋体"/>
          <w:b/>
          <w:color w:val="000000" w:themeColor="text1"/>
          <w:sz w:val="28"/>
          <w:szCs w:val="28"/>
          <w:highlight w:val="none"/>
          <w14:textFill>
            <w14:solidFill>
              <w14:schemeClr w14:val="tx1"/>
            </w14:solidFill>
          </w14:textFill>
        </w:rPr>
        <w:t>月</w:t>
      </w:r>
      <w:r>
        <w:rPr>
          <w:rFonts w:hint="eastAsia" w:ascii="宋体" w:hAnsi="宋体"/>
          <w:b/>
          <w:color w:val="000000" w:themeColor="text1"/>
          <w:sz w:val="28"/>
          <w:szCs w:val="28"/>
          <w:highlight w:val="none"/>
          <w:lang w:val="en-US" w:eastAsia="zh-CN"/>
          <w14:textFill>
            <w14:solidFill>
              <w14:schemeClr w14:val="tx1"/>
            </w14:solidFill>
          </w14:textFill>
        </w:rPr>
        <w:t>7</w:t>
      </w:r>
      <w:r>
        <w:rPr>
          <w:rFonts w:hint="eastAsia" w:ascii="宋体" w:hAnsi="宋体"/>
          <w:b/>
          <w:color w:val="000000" w:themeColor="text1"/>
          <w:sz w:val="28"/>
          <w:szCs w:val="28"/>
          <w:highlight w:val="none"/>
          <w14:textFill>
            <w14:solidFill>
              <w14:schemeClr w14:val="tx1"/>
            </w14:solidFill>
          </w14:textFill>
        </w:rPr>
        <w:t>日上午09:30。</w:t>
      </w:r>
    </w:p>
    <w:p>
      <w:pPr>
        <w:spacing w:line="560" w:lineRule="exact"/>
        <w:ind w:firstLine="560" w:firstLineChars="200"/>
        <w:rPr>
          <w:rFonts w:ascii="宋体" w:hAnsi="宋体"/>
          <w:b/>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（二）投标文件递交方式、地点：投标截止时间前，供应商应将加密的电子投标文件递交至“政府采购云平台”对应项目（包件）。</w:t>
      </w:r>
    </w:p>
    <w:p>
      <w:pPr>
        <w:numPr>
          <w:ilvl w:val="0"/>
          <w:numId w:val="4"/>
        </w:numPr>
        <w:spacing w:after="200" w:line="560" w:lineRule="exact"/>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开标地点</w:t>
      </w:r>
    </w:p>
    <w:p>
      <w:pPr>
        <w:spacing w:line="360" w:lineRule="auto"/>
        <w:ind w:firstLine="420" w:firstLineChars="150"/>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本项目为不见面开标项目。</w:t>
      </w:r>
    </w:p>
    <w:p>
      <w:pPr>
        <w:spacing w:line="360" w:lineRule="auto"/>
        <w:ind w:firstLine="420" w:firstLineChars="150"/>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本项目只接受供应商加密并递交至“政府采购云平台”的投标文件。</w:t>
      </w:r>
    </w:p>
    <w:p>
      <w:pPr>
        <w:numPr>
          <w:ilvl w:val="0"/>
          <w:numId w:val="4"/>
        </w:numPr>
        <w:spacing w:after="200" w:line="560" w:lineRule="exact"/>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政采中小企业政府采购信用担保融资</w:t>
      </w:r>
    </w:p>
    <w:p>
      <w:pPr>
        <w:spacing w:line="360" w:lineRule="auto"/>
        <w:ind w:firstLine="420" w:firstLineChars="150"/>
        <w:jc w:val="left"/>
        <w:rPr>
          <w:rFonts w:ascii="宋体" w:hAnsi="宋体"/>
          <w:sz w:val="28"/>
          <w:szCs w:val="28"/>
          <w:highlight w:val="none"/>
        </w:rPr>
      </w:pPr>
      <w:r>
        <w:rPr>
          <w:rFonts w:hint="eastAsia" w:ascii="宋体" w:hAnsi="宋体"/>
          <w:sz w:val="28"/>
          <w:szCs w:val="28"/>
          <w:highlight w:val="none"/>
        </w:rPr>
        <w:t>本项目属于政府采购信用融资业务项目，融资利率上浮比例不超过人民银行同期贷款基准利率30%，银行机构名单、联系方式见附件1。</w:t>
      </w:r>
      <w:r>
        <w:rPr>
          <w:rFonts w:hint="eastAsia" w:ascii="宋体" w:hAnsi="宋体"/>
          <w:sz w:val="28"/>
          <w:szCs w:val="28"/>
          <w:highlight w:val="none"/>
        </w:rPr>
        <w:tab/>
      </w:r>
    </w:p>
    <w:p>
      <w:pPr>
        <w:numPr>
          <w:ilvl w:val="0"/>
          <w:numId w:val="4"/>
        </w:numPr>
        <w:spacing w:after="200" w:line="560" w:lineRule="exact"/>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本投标邀请在“四川政府采购网”和“成都市公共资源交易服务中心”网站上以公告形式发布</w:t>
      </w:r>
    </w:p>
    <w:p>
      <w:pPr>
        <w:numPr>
          <w:ilvl w:val="0"/>
          <w:numId w:val="4"/>
        </w:numPr>
        <w:spacing w:after="200" w:line="560" w:lineRule="exact"/>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联系方式</w:t>
      </w:r>
    </w:p>
    <w:p>
      <w:pPr>
        <w:pStyle w:val="153"/>
        <w:spacing w:line="580" w:lineRule="exact"/>
        <w:ind w:firstLine="562"/>
        <w:rPr>
          <w:rFonts w:ascii="宋体" w:hAnsi="宋体"/>
          <w:b/>
          <w:color w:val="000000" w:themeColor="text1"/>
          <w:kern w:val="0"/>
          <w:sz w:val="28"/>
          <w:szCs w:val="22"/>
          <w:highlight w:val="none"/>
          <w14:textFill>
            <w14:solidFill>
              <w14:schemeClr w14:val="tx1"/>
            </w14:solidFill>
          </w14:textFill>
        </w:rPr>
      </w:pPr>
      <w:r>
        <w:rPr>
          <w:rFonts w:hint="eastAsia" w:ascii="宋体" w:hAnsi="宋体"/>
          <w:b/>
          <w:color w:val="000000" w:themeColor="text1"/>
          <w:kern w:val="0"/>
          <w:sz w:val="28"/>
          <w:szCs w:val="22"/>
          <w:highlight w:val="none"/>
          <w14:textFill>
            <w14:solidFill>
              <w14:schemeClr w14:val="tx1"/>
            </w14:solidFill>
          </w14:textFill>
        </w:rPr>
        <w:t>采购人：</w:t>
      </w:r>
      <w:r>
        <w:rPr>
          <w:rFonts w:hint="eastAsia" w:ascii="宋体" w:hAnsi="宋体"/>
          <w:b/>
          <w:color w:val="000000" w:themeColor="text1"/>
          <w:sz w:val="28"/>
          <w:szCs w:val="28"/>
          <w:highlight w:val="none"/>
          <w14:textFill>
            <w14:solidFill>
              <w14:schemeClr w14:val="tx1"/>
            </w14:solidFill>
          </w14:textFill>
        </w:rPr>
        <w:t>成都市双流区规划和自然资源局</w:t>
      </w:r>
    </w:p>
    <w:p>
      <w:pPr>
        <w:pStyle w:val="153"/>
        <w:spacing w:line="480" w:lineRule="exact"/>
        <w:ind w:firstLine="560"/>
        <w:rPr>
          <w:rFonts w:ascii="宋体" w:hAnsi="宋体" w:cs="宋体"/>
          <w:kern w:val="0"/>
          <w:sz w:val="28"/>
          <w:szCs w:val="22"/>
          <w:highlight w:val="none"/>
        </w:rPr>
      </w:pPr>
      <w:r>
        <w:rPr>
          <w:rFonts w:hint="eastAsia" w:ascii="宋体" w:hAnsi="宋体"/>
          <w:color w:val="000000" w:themeColor="text1"/>
          <w:kern w:val="0"/>
          <w:sz w:val="28"/>
          <w:szCs w:val="22"/>
          <w:highlight w:val="none"/>
          <w14:textFill>
            <w14:solidFill>
              <w14:schemeClr w14:val="tx1"/>
            </w14:solidFill>
          </w14:textFill>
        </w:rPr>
        <w:t>地  址：</w:t>
      </w:r>
      <w:r>
        <w:rPr>
          <w:rFonts w:hint="eastAsia" w:ascii="宋体" w:hAnsi="宋体" w:cs="宋体"/>
          <w:kern w:val="0"/>
          <w:sz w:val="28"/>
          <w:szCs w:val="22"/>
          <w:highlight w:val="none"/>
          <w:lang w:val="zh-CN"/>
        </w:rPr>
        <w:t>成都市双流区棠湖西路一段163号</w:t>
      </w:r>
    </w:p>
    <w:p>
      <w:pPr>
        <w:pStyle w:val="153"/>
        <w:spacing w:line="480" w:lineRule="exact"/>
        <w:ind w:firstLine="560"/>
        <w:rPr>
          <w:rFonts w:ascii="宋体" w:hAnsi="宋体" w:cs="宋体"/>
          <w:kern w:val="0"/>
          <w:sz w:val="28"/>
          <w:szCs w:val="22"/>
          <w:highlight w:val="none"/>
        </w:rPr>
      </w:pPr>
      <w:r>
        <w:rPr>
          <w:rFonts w:hint="eastAsia" w:ascii="宋体" w:hAnsi="宋体" w:cs="宋体"/>
          <w:kern w:val="0"/>
          <w:sz w:val="28"/>
          <w:szCs w:val="22"/>
          <w:highlight w:val="none"/>
        </w:rPr>
        <w:t>邮  编：610200</w:t>
      </w:r>
    </w:p>
    <w:p>
      <w:pPr>
        <w:pStyle w:val="153"/>
        <w:spacing w:line="480" w:lineRule="exact"/>
        <w:ind w:firstLine="560"/>
        <w:rPr>
          <w:rFonts w:ascii="宋体" w:hAnsi="宋体" w:cs="宋体"/>
          <w:kern w:val="0"/>
          <w:sz w:val="28"/>
          <w:szCs w:val="22"/>
          <w:highlight w:val="none"/>
        </w:rPr>
      </w:pPr>
      <w:r>
        <w:rPr>
          <w:rFonts w:hint="eastAsia" w:ascii="宋体" w:hAnsi="宋体" w:cs="宋体"/>
          <w:kern w:val="0"/>
          <w:sz w:val="28"/>
          <w:szCs w:val="22"/>
          <w:highlight w:val="none"/>
        </w:rPr>
        <w:t>联系人：袁明权 、</w:t>
      </w:r>
      <w:r>
        <w:rPr>
          <w:rFonts w:hint="eastAsia" w:ascii="宋体" w:hAnsi="宋体" w:cs="宋体"/>
          <w:kern w:val="0"/>
          <w:sz w:val="28"/>
          <w:szCs w:val="22"/>
          <w:highlight w:val="none"/>
          <w:lang w:val="zh-CN"/>
        </w:rPr>
        <w:t>张振华</w:t>
      </w:r>
    </w:p>
    <w:p>
      <w:pPr>
        <w:pStyle w:val="153"/>
        <w:spacing w:line="480" w:lineRule="exact"/>
        <w:ind w:firstLine="560"/>
        <w:rPr>
          <w:rFonts w:ascii="宋体" w:hAnsi="宋体" w:cs="宋体"/>
          <w:kern w:val="0"/>
          <w:sz w:val="28"/>
          <w:szCs w:val="22"/>
          <w:highlight w:val="none"/>
        </w:rPr>
      </w:pPr>
      <w:r>
        <w:rPr>
          <w:rFonts w:hint="eastAsia" w:ascii="宋体" w:hAnsi="宋体" w:cs="宋体"/>
          <w:kern w:val="0"/>
          <w:sz w:val="28"/>
          <w:szCs w:val="22"/>
          <w:highlight w:val="none"/>
        </w:rPr>
        <w:t>联系电话：15982033761、</w:t>
      </w:r>
      <w:r>
        <w:rPr>
          <w:rFonts w:hint="eastAsia" w:ascii="宋体" w:hAnsi="宋体" w:cs="宋体"/>
          <w:kern w:val="0"/>
          <w:sz w:val="28"/>
          <w:szCs w:val="22"/>
          <w:highlight w:val="none"/>
          <w:lang w:val="zh-CN"/>
        </w:rPr>
        <w:t>13518121242</w:t>
      </w:r>
    </w:p>
    <w:p>
      <w:pPr>
        <w:pStyle w:val="153"/>
        <w:spacing w:line="480" w:lineRule="exact"/>
        <w:ind w:firstLine="562"/>
        <w:rPr>
          <w:rFonts w:ascii="宋体" w:hAnsi="宋体"/>
          <w:b/>
          <w:color w:val="000000" w:themeColor="text1"/>
          <w:kern w:val="0"/>
          <w:sz w:val="28"/>
          <w:szCs w:val="22"/>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成都市双流区公共资源交易服务中心</w:t>
      </w:r>
    </w:p>
    <w:p>
      <w:pPr>
        <w:pStyle w:val="130"/>
        <w:tabs>
          <w:tab w:val="left" w:pos="900"/>
        </w:tabs>
        <w:spacing w:line="640" w:lineRule="exact"/>
        <w:ind w:firstLine="560"/>
        <w:jc w:val="left"/>
        <w:rPr>
          <w:rFonts w:ascii="宋体" w:hAnsi="宋体" w:eastAsia="宋体" w:cs="宋体"/>
          <w:kern w:val="0"/>
          <w:sz w:val="28"/>
          <w:highlight w:val="none"/>
        </w:rPr>
      </w:pPr>
      <w:r>
        <w:rPr>
          <w:rFonts w:hint="eastAsia" w:ascii="宋体" w:hAnsi="宋体" w:eastAsia="宋体" w:cs="宋体"/>
          <w:kern w:val="0"/>
          <w:sz w:val="28"/>
          <w:highlight w:val="none"/>
        </w:rPr>
        <w:t>地  址：</w:t>
      </w:r>
      <w:bookmarkStart w:id="17" w:name="开标地址_1589527088540"/>
      <w:r>
        <w:rPr>
          <w:rFonts w:hint="eastAsia" w:ascii="宋体" w:hAnsi="宋体" w:eastAsia="宋体" w:cs="宋体"/>
          <w:kern w:val="0"/>
          <w:sz w:val="28"/>
          <w:highlight w:val="none"/>
        </w:rPr>
        <w:t>成都市双流区西航港街道机场路土桥段八十号</w:t>
      </w:r>
      <w:bookmarkEnd w:id="17"/>
    </w:p>
    <w:p>
      <w:pPr>
        <w:pStyle w:val="130"/>
        <w:tabs>
          <w:tab w:val="left" w:pos="900"/>
        </w:tabs>
        <w:spacing w:line="640" w:lineRule="exact"/>
        <w:ind w:firstLine="560"/>
        <w:jc w:val="left"/>
        <w:rPr>
          <w:rFonts w:ascii="宋体" w:hAnsi="宋体" w:eastAsia="宋体" w:cs="宋体"/>
          <w:kern w:val="0"/>
          <w:sz w:val="28"/>
          <w:highlight w:val="none"/>
        </w:rPr>
      </w:pPr>
      <w:r>
        <w:rPr>
          <w:rFonts w:hint="eastAsia" w:ascii="宋体" w:hAnsi="宋体" w:eastAsia="宋体" w:cs="宋体"/>
          <w:kern w:val="0"/>
          <w:sz w:val="28"/>
          <w:highlight w:val="none"/>
        </w:rPr>
        <w:t>邮  编：610200</w:t>
      </w:r>
    </w:p>
    <w:p>
      <w:pPr>
        <w:pStyle w:val="130"/>
        <w:tabs>
          <w:tab w:val="left" w:pos="900"/>
        </w:tabs>
        <w:spacing w:line="640" w:lineRule="exact"/>
        <w:ind w:firstLine="560"/>
        <w:jc w:val="left"/>
        <w:rPr>
          <w:rFonts w:ascii="宋体" w:hAnsi="宋体" w:eastAsia="宋体" w:cs="宋体"/>
          <w:kern w:val="0"/>
          <w:sz w:val="28"/>
          <w:highlight w:val="none"/>
        </w:rPr>
      </w:pPr>
      <w:r>
        <w:rPr>
          <w:rFonts w:hint="eastAsia" w:ascii="宋体" w:hAnsi="宋体" w:eastAsia="宋体" w:cs="宋体"/>
          <w:kern w:val="0"/>
          <w:sz w:val="28"/>
          <w:highlight w:val="none"/>
        </w:rPr>
        <w:t>联系人：肖迪、刘刚</w:t>
      </w:r>
    </w:p>
    <w:p>
      <w:pPr>
        <w:pStyle w:val="130"/>
        <w:tabs>
          <w:tab w:val="left" w:pos="900"/>
        </w:tabs>
        <w:spacing w:line="640" w:lineRule="exact"/>
        <w:ind w:firstLine="560"/>
        <w:jc w:val="left"/>
        <w:rPr>
          <w:rFonts w:ascii="宋体" w:hAnsi="宋体" w:eastAsia="宋体" w:cs="宋体"/>
          <w:kern w:val="0"/>
          <w:sz w:val="28"/>
          <w:highlight w:val="none"/>
        </w:rPr>
      </w:pPr>
      <w:r>
        <w:rPr>
          <w:rFonts w:hint="eastAsia" w:ascii="宋体" w:hAnsi="宋体" w:eastAsia="宋体" w:cs="宋体"/>
          <w:kern w:val="0"/>
          <w:sz w:val="28"/>
          <w:highlight w:val="none"/>
        </w:rPr>
        <w:t>联系电话：028-85825029</w:t>
      </w:r>
      <w:r>
        <w:rPr>
          <w:rFonts w:hint="eastAsia" w:ascii="宋体" w:hAnsi="宋体" w:eastAsia="宋体" w:cs="宋体"/>
          <w:kern w:val="0"/>
          <w:sz w:val="28"/>
          <w:highlight w:val="none"/>
          <w:lang w:eastAsia="zh-CN"/>
        </w:rPr>
        <w:t>、</w:t>
      </w:r>
      <w:r>
        <w:rPr>
          <w:rFonts w:hint="eastAsia" w:ascii="宋体" w:hAnsi="宋体" w:eastAsia="宋体" w:cs="宋体"/>
          <w:kern w:val="0"/>
          <w:sz w:val="28"/>
          <w:highlight w:val="none"/>
        </w:rPr>
        <w:t>028-85825012</w:t>
      </w:r>
    </w:p>
    <w:p>
      <w:pPr>
        <w:pStyle w:val="153"/>
        <w:spacing w:line="560" w:lineRule="exact"/>
        <w:ind w:firstLine="562"/>
        <w:rPr>
          <w:rFonts w:ascii="宋体" w:hAnsi="宋体"/>
          <w:b/>
          <w:bCs/>
          <w:color w:val="000000" w:themeColor="text1"/>
          <w:kern w:val="0"/>
          <w:sz w:val="28"/>
          <w:highlight w:val="none"/>
          <w14:textFill>
            <w14:solidFill>
              <w14:schemeClr w14:val="tx1"/>
            </w14:solidFill>
          </w14:textFill>
        </w:rPr>
      </w:pPr>
      <w:r>
        <w:rPr>
          <w:rFonts w:hint="eastAsia" w:ascii="宋体" w:hAnsi="宋体"/>
          <w:b/>
          <w:bCs/>
          <w:color w:val="000000" w:themeColor="text1"/>
          <w:kern w:val="0"/>
          <w:sz w:val="28"/>
          <w:highlight w:val="none"/>
          <w14:textFill>
            <w14:solidFill>
              <w14:schemeClr w14:val="tx1"/>
            </w14:solidFill>
          </w14:textFill>
        </w:rPr>
        <w:t>技术支持</w:t>
      </w:r>
      <w:r>
        <w:rPr>
          <w:rFonts w:ascii="宋体" w:hAnsi="宋体"/>
          <w:b/>
          <w:bCs/>
          <w:color w:val="000000" w:themeColor="text1"/>
          <w:kern w:val="0"/>
          <w:sz w:val="28"/>
          <w:highlight w:val="none"/>
          <w14:textFill>
            <w14:solidFill>
              <w14:schemeClr w14:val="tx1"/>
            </w14:solidFill>
          </w14:textFill>
        </w:rPr>
        <w:t>联系电话：</w:t>
      </w:r>
      <w:r>
        <w:rPr>
          <w:rFonts w:hint="eastAsia" w:ascii="宋体" w:hAnsi="宋体"/>
          <w:b/>
          <w:bCs/>
          <w:sz w:val="28"/>
          <w:szCs w:val="28"/>
          <w:highlight w:val="none"/>
        </w:rPr>
        <w:t>400-881-7190</w:t>
      </w:r>
    </w:p>
    <w:p>
      <w:pPr>
        <w:pStyle w:val="130"/>
        <w:tabs>
          <w:tab w:val="left" w:pos="900"/>
        </w:tabs>
        <w:spacing w:line="560" w:lineRule="exact"/>
        <w:ind w:firstLine="562"/>
        <w:jc w:val="left"/>
        <w:rPr>
          <w:rFonts w:ascii="宋体" w:hAnsi="宋体" w:cs="Times New Roman"/>
          <w:b/>
          <w:color w:val="000000" w:themeColor="text1"/>
          <w:kern w:val="0"/>
          <w:sz w:val="28"/>
          <w:highlight w:val="none"/>
          <w14:textFill>
            <w14:solidFill>
              <w14:schemeClr w14:val="tx1"/>
            </w14:solidFill>
          </w14:textFill>
        </w:rPr>
      </w:pPr>
      <w:r>
        <w:rPr>
          <w:rFonts w:hint="eastAsia" w:ascii="宋体" w:hAnsi="宋体" w:cs="Times New Roman"/>
          <w:b/>
          <w:color w:val="000000" w:themeColor="text1"/>
          <w:sz w:val="28"/>
          <w:highlight w:val="none"/>
          <w14:textFill>
            <w14:solidFill>
              <w14:schemeClr w14:val="tx1"/>
            </w14:solidFill>
          </w14:textFill>
        </w:rPr>
        <w:t>集中采购监督机构：成都市双流区财政局</w:t>
      </w:r>
    </w:p>
    <w:p>
      <w:pPr>
        <w:pStyle w:val="130"/>
        <w:tabs>
          <w:tab w:val="left" w:pos="900"/>
        </w:tabs>
        <w:spacing w:line="640" w:lineRule="exact"/>
        <w:ind w:firstLine="560"/>
        <w:jc w:val="left"/>
        <w:rPr>
          <w:rFonts w:ascii="宋体" w:hAnsi="宋体" w:eastAsia="宋体" w:cs="宋体"/>
          <w:kern w:val="0"/>
          <w:sz w:val="28"/>
          <w:highlight w:val="none"/>
        </w:rPr>
      </w:pPr>
      <w:r>
        <w:rPr>
          <w:rFonts w:hint="eastAsia" w:ascii="宋体" w:hAnsi="宋体" w:eastAsia="宋体" w:cs="宋体"/>
          <w:kern w:val="0"/>
          <w:sz w:val="28"/>
          <w:highlight w:val="none"/>
        </w:rPr>
        <w:t>地 址：成都市双流区电视塔路2段36号</w:t>
      </w:r>
    </w:p>
    <w:p>
      <w:pPr>
        <w:pStyle w:val="130"/>
        <w:tabs>
          <w:tab w:val="left" w:pos="900"/>
        </w:tabs>
        <w:spacing w:line="640" w:lineRule="exact"/>
        <w:ind w:firstLine="560"/>
        <w:jc w:val="left"/>
        <w:rPr>
          <w:rFonts w:ascii="宋体" w:hAnsi="宋体" w:eastAsia="宋体" w:cs="宋体"/>
          <w:kern w:val="0"/>
          <w:sz w:val="28"/>
          <w:highlight w:val="none"/>
        </w:rPr>
      </w:pPr>
      <w:r>
        <w:rPr>
          <w:rFonts w:hint="eastAsia" w:ascii="宋体" w:hAnsi="宋体" w:eastAsia="宋体" w:cs="宋体"/>
          <w:kern w:val="0"/>
          <w:sz w:val="28"/>
          <w:highlight w:val="none"/>
        </w:rPr>
        <w:t>联系电话：028-85804726</w:t>
      </w:r>
    </w:p>
    <w:p>
      <w:pPr>
        <w:pStyle w:val="130"/>
        <w:tabs>
          <w:tab w:val="left" w:pos="900"/>
        </w:tabs>
        <w:ind w:firstLine="560"/>
        <w:jc w:val="left"/>
        <w:rPr>
          <w:rFonts w:ascii="宋体" w:hAnsi="宋体"/>
          <w:color w:val="000000" w:themeColor="text1"/>
          <w:sz w:val="28"/>
          <w:szCs w:val="28"/>
          <w:highlight w:val="none"/>
          <w14:textFill>
            <w14:solidFill>
              <w14:schemeClr w14:val="tx1"/>
            </w14:solidFill>
          </w14:textFill>
        </w:rPr>
      </w:pPr>
    </w:p>
    <w:p>
      <w:pPr>
        <w:pStyle w:val="130"/>
        <w:tabs>
          <w:tab w:val="left" w:pos="900"/>
        </w:tabs>
        <w:ind w:firstLine="560"/>
        <w:jc w:val="left"/>
        <w:rPr>
          <w:rFonts w:ascii="宋体" w:hAnsi="宋体"/>
          <w:color w:val="000000" w:themeColor="text1"/>
          <w:sz w:val="28"/>
          <w:szCs w:val="28"/>
          <w:highlight w:val="none"/>
          <w14:textFill>
            <w14:solidFill>
              <w14:schemeClr w14:val="tx1"/>
            </w14:solidFill>
          </w14:textFill>
        </w:rPr>
      </w:pPr>
    </w:p>
    <w:p>
      <w:pPr>
        <w:pStyle w:val="130"/>
        <w:tabs>
          <w:tab w:val="left" w:pos="900"/>
        </w:tabs>
        <w:ind w:firstLine="560"/>
        <w:jc w:val="left"/>
        <w:rPr>
          <w:rFonts w:ascii="宋体" w:hAnsi="宋体"/>
          <w:color w:val="000000" w:themeColor="text1"/>
          <w:sz w:val="28"/>
          <w:szCs w:val="28"/>
          <w:highlight w:val="none"/>
          <w14:textFill>
            <w14:solidFill>
              <w14:schemeClr w14:val="tx1"/>
            </w14:solidFill>
          </w14:textFill>
        </w:rPr>
      </w:pPr>
    </w:p>
    <w:p>
      <w:pPr>
        <w:pStyle w:val="130"/>
        <w:tabs>
          <w:tab w:val="left" w:pos="900"/>
        </w:tabs>
        <w:ind w:firstLine="560"/>
        <w:jc w:val="left"/>
        <w:rPr>
          <w:rFonts w:ascii="宋体" w:hAnsi="宋体"/>
          <w:color w:val="000000" w:themeColor="text1"/>
          <w:sz w:val="28"/>
          <w:szCs w:val="28"/>
          <w:highlight w:val="none"/>
          <w14:textFill>
            <w14:solidFill>
              <w14:schemeClr w14:val="tx1"/>
            </w14:solidFill>
          </w14:textFill>
        </w:rPr>
      </w:pPr>
    </w:p>
    <w:p>
      <w:pPr>
        <w:pStyle w:val="130"/>
        <w:tabs>
          <w:tab w:val="left" w:pos="900"/>
        </w:tabs>
        <w:ind w:firstLine="560"/>
        <w:jc w:val="left"/>
        <w:rPr>
          <w:rFonts w:ascii="宋体" w:hAnsi="宋体"/>
          <w:color w:val="000000" w:themeColor="text1"/>
          <w:sz w:val="28"/>
          <w:szCs w:val="28"/>
          <w:highlight w:val="none"/>
          <w14:textFill>
            <w14:solidFill>
              <w14:schemeClr w14:val="tx1"/>
            </w14:solidFill>
          </w14:textFill>
        </w:rPr>
      </w:pPr>
    </w:p>
    <w:p>
      <w:pPr>
        <w:pStyle w:val="130"/>
        <w:tabs>
          <w:tab w:val="left" w:pos="900"/>
        </w:tabs>
        <w:ind w:firstLine="560"/>
        <w:jc w:val="left"/>
        <w:rPr>
          <w:rFonts w:ascii="宋体" w:hAnsi="宋体"/>
          <w:color w:val="000000" w:themeColor="text1"/>
          <w:sz w:val="28"/>
          <w:szCs w:val="28"/>
          <w:highlight w:val="none"/>
          <w14:textFill>
            <w14:solidFill>
              <w14:schemeClr w14:val="tx1"/>
            </w14:solidFill>
          </w14:textFill>
        </w:rPr>
      </w:pPr>
    </w:p>
    <w:p>
      <w:pPr>
        <w:pStyle w:val="130"/>
        <w:tabs>
          <w:tab w:val="left" w:pos="900"/>
        </w:tabs>
        <w:ind w:firstLine="560"/>
        <w:jc w:val="left"/>
        <w:rPr>
          <w:rFonts w:ascii="宋体" w:hAnsi="宋体"/>
          <w:color w:val="000000" w:themeColor="text1"/>
          <w:sz w:val="28"/>
          <w:szCs w:val="28"/>
          <w:highlight w:val="none"/>
          <w14:textFill>
            <w14:solidFill>
              <w14:schemeClr w14:val="tx1"/>
            </w14:solidFill>
          </w14:textFill>
        </w:rPr>
      </w:pPr>
    </w:p>
    <w:p>
      <w:pPr>
        <w:pStyle w:val="130"/>
        <w:tabs>
          <w:tab w:val="left" w:pos="900"/>
        </w:tabs>
        <w:ind w:firstLine="560"/>
        <w:jc w:val="left"/>
        <w:rPr>
          <w:rFonts w:ascii="宋体" w:hAnsi="宋体"/>
          <w:color w:val="000000" w:themeColor="text1"/>
          <w:sz w:val="28"/>
          <w:szCs w:val="28"/>
          <w:highlight w:val="none"/>
          <w14:textFill>
            <w14:solidFill>
              <w14:schemeClr w14:val="tx1"/>
            </w14:solidFill>
          </w14:textFill>
        </w:rPr>
      </w:pPr>
    </w:p>
    <w:p>
      <w:pPr>
        <w:pStyle w:val="130"/>
        <w:tabs>
          <w:tab w:val="left" w:pos="900"/>
        </w:tabs>
        <w:ind w:firstLine="560"/>
        <w:jc w:val="left"/>
        <w:rPr>
          <w:rFonts w:ascii="宋体" w:hAnsi="宋体"/>
          <w:color w:val="000000" w:themeColor="text1"/>
          <w:sz w:val="28"/>
          <w:szCs w:val="28"/>
          <w:highlight w:val="none"/>
          <w14:textFill>
            <w14:solidFill>
              <w14:schemeClr w14:val="tx1"/>
            </w14:solidFill>
          </w14:textFill>
        </w:rPr>
      </w:pPr>
    </w:p>
    <w:p>
      <w:pPr>
        <w:pStyle w:val="130"/>
        <w:tabs>
          <w:tab w:val="left" w:pos="900"/>
        </w:tabs>
        <w:ind w:firstLine="560"/>
        <w:jc w:val="left"/>
        <w:rPr>
          <w:rFonts w:ascii="宋体" w:hAnsi="宋体"/>
          <w:color w:val="000000" w:themeColor="text1"/>
          <w:sz w:val="28"/>
          <w:szCs w:val="28"/>
          <w:highlight w:val="none"/>
          <w14:textFill>
            <w14:solidFill>
              <w14:schemeClr w14:val="tx1"/>
            </w14:solidFill>
          </w14:textFill>
        </w:rPr>
      </w:pPr>
    </w:p>
    <w:p>
      <w:pPr>
        <w:pStyle w:val="130"/>
        <w:tabs>
          <w:tab w:val="left" w:pos="900"/>
        </w:tabs>
        <w:ind w:firstLine="560"/>
        <w:jc w:val="left"/>
        <w:rPr>
          <w:rFonts w:ascii="宋体" w:hAnsi="宋体"/>
          <w:color w:val="000000" w:themeColor="text1"/>
          <w:sz w:val="28"/>
          <w:szCs w:val="28"/>
          <w:highlight w:val="none"/>
          <w14:textFill>
            <w14:solidFill>
              <w14:schemeClr w14:val="tx1"/>
            </w14:solidFill>
          </w14:textFill>
        </w:rPr>
      </w:pPr>
    </w:p>
    <w:p>
      <w:pPr>
        <w:pStyle w:val="130"/>
        <w:tabs>
          <w:tab w:val="left" w:pos="900"/>
        </w:tabs>
        <w:ind w:firstLine="560"/>
        <w:jc w:val="left"/>
        <w:rPr>
          <w:rFonts w:ascii="宋体" w:hAnsi="宋体"/>
          <w:color w:val="000000" w:themeColor="text1"/>
          <w:sz w:val="28"/>
          <w:szCs w:val="28"/>
          <w:highlight w:val="none"/>
          <w14:textFill>
            <w14:solidFill>
              <w14:schemeClr w14:val="tx1"/>
            </w14:solidFill>
          </w14:textFill>
        </w:rPr>
      </w:pPr>
    </w:p>
    <w:p>
      <w:pPr>
        <w:pStyle w:val="130"/>
        <w:tabs>
          <w:tab w:val="left" w:pos="900"/>
        </w:tabs>
        <w:ind w:firstLine="560"/>
        <w:jc w:val="left"/>
        <w:rPr>
          <w:rFonts w:ascii="宋体" w:hAnsi="宋体"/>
          <w:color w:val="000000" w:themeColor="text1"/>
          <w:sz w:val="28"/>
          <w:szCs w:val="28"/>
          <w:highlight w:val="none"/>
          <w14:textFill>
            <w14:solidFill>
              <w14:schemeClr w14:val="tx1"/>
            </w14:solidFill>
          </w14:textFill>
        </w:rPr>
      </w:pPr>
    </w:p>
    <w:p>
      <w:pPr>
        <w:pStyle w:val="130"/>
        <w:tabs>
          <w:tab w:val="left" w:pos="900"/>
        </w:tabs>
        <w:ind w:firstLine="0" w:firstLineChars="0"/>
        <w:jc w:val="left"/>
        <w:rPr>
          <w:rFonts w:ascii="宋体" w:hAnsi="宋体"/>
          <w:color w:val="000000" w:themeColor="text1"/>
          <w:sz w:val="28"/>
          <w:szCs w:val="28"/>
          <w:highlight w:val="none"/>
          <w14:textFill>
            <w14:solidFill>
              <w14:schemeClr w14:val="tx1"/>
            </w14:solidFill>
          </w14:textFill>
        </w:rPr>
      </w:pPr>
    </w:p>
    <w:p>
      <w:pPr>
        <w:pStyle w:val="4"/>
        <w:numPr>
          <w:ilvl w:val="0"/>
          <w:numId w:val="3"/>
        </w:numPr>
        <w:spacing w:before="0" w:after="0" w:line="240" w:lineRule="auto"/>
        <w:ind w:left="0" w:firstLine="0"/>
        <w:rPr>
          <w:color w:val="000000" w:themeColor="text1"/>
          <w:highlight w:val="none"/>
          <w14:textFill>
            <w14:solidFill>
              <w14:schemeClr w14:val="tx1"/>
            </w14:solidFill>
          </w14:textFill>
        </w:rPr>
      </w:pPr>
      <w:bookmarkStart w:id="18" w:name="_Toc23978"/>
      <w:bookmarkStart w:id="19" w:name="_Toc22501"/>
      <w:bookmarkStart w:id="20" w:name="_Toc11280"/>
      <w:bookmarkStart w:id="21" w:name="_Toc16071"/>
      <w:bookmarkStart w:id="22" w:name="_Toc79654061"/>
      <w:r>
        <w:rPr>
          <w:rFonts w:hint="eastAsia"/>
          <w:color w:val="000000" w:themeColor="text1"/>
          <w:highlight w:val="none"/>
          <w14:textFill>
            <w14:solidFill>
              <w14:schemeClr w14:val="tx1"/>
            </w14:solidFill>
          </w14:textFill>
        </w:rPr>
        <w:t>供应商须知</w:t>
      </w:r>
      <w:bookmarkEnd w:id="18"/>
      <w:bookmarkEnd w:id="19"/>
      <w:bookmarkEnd w:id="20"/>
      <w:bookmarkEnd w:id="21"/>
      <w:bookmarkEnd w:id="22"/>
    </w:p>
    <w:p>
      <w:pPr>
        <w:pStyle w:val="5"/>
        <w:numPr>
          <w:ilvl w:val="1"/>
          <w:numId w:val="3"/>
        </w:numPr>
        <w:spacing w:before="0" w:after="0" w:line="240" w:lineRule="auto"/>
        <w:ind w:left="2269" w:hanging="2127"/>
        <w:rPr>
          <w:color w:val="000000" w:themeColor="text1"/>
          <w:highlight w:val="none"/>
          <w14:textFill>
            <w14:solidFill>
              <w14:schemeClr w14:val="tx1"/>
            </w14:solidFill>
          </w14:textFill>
        </w:rPr>
      </w:pPr>
      <w:bookmarkStart w:id="23" w:name="_Toc79654062"/>
      <w:bookmarkStart w:id="24" w:name="_Toc14528"/>
      <w:bookmarkStart w:id="25" w:name="_Toc32366"/>
      <w:bookmarkStart w:id="26" w:name="_Toc217446032"/>
      <w:bookmarkStart w:id="27" w:name="_Toc213397010"/>
      <w:bookmarkStart w:id="28" w:name="_Toc15505"/>
      <w:bookmarkStart w:id="29" w:name="_Toc1773"/>
      <w:bookmarkStart w:id="30" w:name="_Toc213396760"/>
      <w:bookmarkStart w:id="31" w:name="_Toc213396946"/>
      <w:bookmarkStart w:id="32" w:name="_Toc189727030"/>
      <w:bookmarkStart w:id="33" w:name="_Toc213496268"/>
      <w:bookmarkStart w:id="34" w:name="_Toc316462344"/>
      <w:r>
        <w:rPr>
          <w:rFonts w:hint="eastAsia"/>
          <w:color w:val="000000" w:themeColor="text1"/>
          <w:highlight w:val="none"/>
          <w14:textFill>
            <w14:solidFill>
              <w14:schemeClr w14:val="tx1"/>
            </w14:solidFill>
          </w14:textFill>
        </w:rPr>
        <w:t>供应商须知前附表</w:t>
      </w:r>
      <w:bookmarkEnd w:id="23"/>
      <w:bookmarkEnd w:id="24"/>
      <w:bookmarkEnd w:id="25"/>
      <w:bookmarkEnd w:id="26"/>
      <w:bookmarkEnd w:id="27"/>
      <w:bookmarkEnd w:id="28"/>
      <w:bookmarkEnd w:id="29"/>
      <w:bookmarkEnd w:id="30"/>
      <w:bookmarkEnd w:id="31"/>
      <w:bookmarkEnd w:id="32"/>
      <w:bookmarkEnd w:id="33"/>
      <w:bookmarkEnd w:id="34"/>
    </w:p>
    <w:tbl>
      <w:tblPr>
        <w:tblStyle w:val="43"/>
        <w:tblW w:w="931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1942"/>
        <w:gridCol w:w="668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689"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8"/>
                <w:szCs w:val="28"/>
                <w:highlight w:val="none"/>
                <w:lang w:val="zh-CN"/>
                <w14:textFill>
                  <w14:solidFill>
                    <w14:schemeClr w14:val="tx1"/>
                  </w14:solidFill>
                </w14:textFill>
              </w:rPr>
              <w:t>序号</w:t>
            </w:r>
          </w:p>
        </w:tc>
        <w:tc>
          <w:tcPr>
            <w:tcW w:w="1942" w:type="dxa"/>
            <w:tcBorders>
              <w:top w:val="single" w:color="auto" w:sz="18" w:space="0"/>
              <w:left w:val="single" w:color="auto" w:sz="8" w:space="0"/>
              <w:bottom w:val="single" w:color="auto" w:sz="8" w:space="0"/>
              <w:right w:val="single" w:color="auto" w:sz="8" w:space="0"/>
            </w:tcBorders>
            <w:vAlign w:val="center"/>
          </w:tcPr>
          <w:p>
            <w:pPr>
              <w:pStyle w:val="122"/>
              <w:ind w:left="38"/>
              <w:jc w:val="center"/>
              <w:rPr>
                <w:b/>
                <w:color w:val="000000" w:themeColor="text1"/>
                <w:kern w:val="2"/>
                <w:highlight w:val="none"/>
                <w:lang w:val="zh-CN"/>
                <w14:textFill>
                  <w14:solidFill>
                    <w14:schemeClr w14:val="tx1"/>
                  </w14:solidFill>
                </w14:textFill>
              </w:rPr>
            </w:pPr>
            <w:r>
              <w:rPr>
                <w:rFonts w:hint="eastAsia"/>
                <w:b/>
                <w:color w:val="000000" w:themeColor="text1"/>
                <w:kern w:val="2"/>
                <w:sz w:val="28"/>
                <w:szCs w:val="28"/>
                <w:highlight w:val="none"/>
                <w:lang w:val="zh-CN"/>
                <w14:textFill>
                  <w14:solidFill>
                    <w14:schemeClr w14:val="tx1"/>
                  </w14:solidFill>
                </w14:textFill>
              </w:rPr>
              <w:t>应知事项</w:t>
            </w:r>
          </w:p>
        </w:tc>
        <w:tc>
          <w:tcPr>
            <w:tcW w:w="6681" w:type="dxa"/>
            <w:tcBorders>
              <w:top w:val="single" w:color="auto" w:sz="18" w:space="0"/>
              <w:left w:val="single" w:color="auto" w:sz="8" w:space="0"/>
              <w:bottom w:val="single" w:color="auto" w:sz="8" w:space="0"/>
              <w:right w:val="single" w:color="auto" w:sz="18" w:space="0"/>
            </w:tcBorders>
            <w:vAlign w:val="center"/>
          </w:tcPr>
          <w:p>
            <w:pPr>
              <w:pStyle w:val="122"/>
              <w:jc w:val="center"/>
              <w:rPr>
                <w:b/>
                <w:color w:val="000000" w:themeColor="text1"/>
                <w:kern w:val="2"/>
                <w:highlight w:val="none"/>
                <w:lang w:val="zh-CN"/>
                <w14:textFill>
                  <w14:solidFill>
                    <w14:schemeClr w14:val="tx1"/>
                  </w14:solidFill>
                </w14:textFill>
              </w:rPr>
            </w:pPr>
            <w:r>
              <w:rPr>
                <w:rFonts w:hint="eastAsia"/>
                <w:b/>
                <w:color w:val="000000" w:themeColor="text1"/>
                <w:kern w:val="2"/>
                <w:sz w:val="28"/>
                <w:szCs w:val="28"/>
                <w:highlight w:val="none"/>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b/>
                <w:color w:val="000000" w:themeColor="text1"/>
                <w:sz w:val="28"/>
                <w:szCs w:val="28"/>
                <w:highlight w:val="none"/>
                <w:lang w:val="zh-CN"/>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2"/>
              <w:ind w:left="38"/>
              <w:rPr>
                <w:color w:val="000000" w:themeColor="text1"/>
                <w:kern w:val="2"/>
                <w:highlight w:val="none"/>
                <w:lang w:val="zh-CN"/>
                <w14:textFill>
                  <w14:solidFill>
                    <w14:schemeClr w14:val="tx1"/>
                  </w14:solidFill>
                </w14:textFill>
              </w:rPr>
            </w:pPr>
            <w:r>
              <w:rPr>
                <w:rFonts w:hint="eastAsia"/>
                <w:color w:val="000000" w:themeColor="text1"/>
                <w:kern w:val="2"/>
                <w:highlight w:val="none"/>
                <w:lang w:val="zh-CN"/>
                <w14:textFill>
                  <w14:solidFill>
                    <w14:schemeClr w14:val="tx1"/>
                  </w14:solidFill>
                </w14:textFill>
              </w:rPr>
              <w:t>采购预算</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2"/>
              <w:rPr>
                <w:b/>
                <w:color w:val="000000" w:themeColor="text1"/>
                <w:kern w:val="2"/>
                <w:highlight w:val="none"/>
                <w:lang w:val="zh-CN"/>
                <w14:textFill>
                  <w14:solidFill>
                    <w14:schemeClr w14:val="tx1"/>
                  </w14:solidFill>
                </w14:textFill>
              </w:rPr>
            </w:pPr>
            <w:r>
              <w:rPr>
                <w:rFonts w:hint="eastAsia"/>
                <w:b/>
                <w:color w:val="000000" w:themeColor="text1"/>
                <w:kern w:val="2"/>
                <w:highlight w:val="none"/>
                <w:lang w:val="zh-CN"/>
                <w14:textFill>
                  <w14:solidFill>
                    <w14:schemeClr w14:val="tx1"/>
                  </w14:solidFill>
                </w14:textFill>
              </w:rPr>
              <w:t>人民币42981000.00元。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77"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b/>
                <w:color w:val="000000" w:themeColor="text1"/>
                <w:sz w:val="28"/>
                <w:szCs w:val="28"/>
                <w:highlight w:val="none"/>
                <w:lang w:val="zh-CN"/>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2"/>
              <w:ind w:left="38"/>
              <w:rPr>
                <w:color w:val="000000" w:themeColor="text1"/>
                <w:kern w:val="2"/>
                <w:highlight w:val="none"/>
                <w:lang w:val="zh-CN"/>
                <w14:textFill>
                  <w14:solidFill>
                    <w14:schemeClr w14:val="tx1"/>
                  </w14:solidFill>
                </w14:textFill>
              </w:rPr>
            </w:pPr>
            <w:r>
              <w:rPr>
                <w:rFonts w:hint="eastAsia"/>
                <w:color w:val="000000" w:themeColor="text1"/>
                <w:kern w:val="2"/>
                <w:highlight w:val="none"/>
                <w:lang w:val="zh-CN"/>
                <w14:textFill>
                  <w14:solidFill>
                    <w14:schemeClr w14:val="tx1"/>
                  </w14:solidFill>
                </w14:textFill>
              </w:rPr>
              <w:t>最高限价</w:t>
            </w:r>
          </w:p>
        </w:tc>
        <w:tc>
          <w:tcPr>
            <w:tcW w:w="6681" w:type="dxa"/>
            <w:tcBorders>
              <w:top w:val="single" w:color="auto" w:sz="8" w:space="0"/>
              <w:left w:val="single" w:color="auto" w:sz="8" w:space="0"/>
              <w:bottom w:val="single" w:color="auto" w:sz="8" w:space="0"/>
              <w:right w:val="single" w:color="auto" w:sz="18" w:space="0"/>
            </w:tcBorders>
            <w:vAlign w:val="center"/>
          </w:tcPr>
          <w:p>
            <w:pPr>
              <w:pStyle w:val="85"/>
              <w:tabs>
                <w:tab w:val="left" w:pos="993"/>
                <w:tab w:val="left" w:pos="1134"/>
              </w:tabs>
              <w:spacing w:line="560" w:lineRule="exact"/>
              <w:ind w:firstLine="0" w:firstLineChars="0"/>
              <w:rPr>
                <w:rFonts w:ascii="宋体" w:hAnsi="宋体" w:eastAsia="宋体" w:cs="宋体"/>
                <w:b/>
                <w:color w:val="000000" w:themeColor="text1"/>
                <w:sz w:val="24"/>
                <w:szCs w:val="24"/>
                <w:highlight w:val="none"/>
                <w:lang w:val="zh-CN"/>
                <w14:textFill>
                  <w14:solidFill>
                    <w14:schemeClr w14:val="tx1"/>
                  </w14:solidFill>
                </w14:textFill>
              </w:rPr>
            </w:pPr>
            <w:r>
              <w:rPr>
                <w:rFonts w:hint="eastAsia" w:ascii="宋体" w:hAnsi="宋体" w:eastAsia="宋体" w:cs="宋体"/>
                <w:b/>
                <w:color w:val="000000" w:themeColor="text1"/>
                <w:sz w:val="24"/>
                <w:szCs w:val="24"/>
                <w:highlight w:val="none"/>
                <w:lang w:val="zh-CN"/>
                <w14:textFill>
                  <w14:solidFill>
                    <w14:schemeClr w14:val="tx1"/>
                  </w14:solidFill>
                </w14:textFill>
              </w:rPr>
              <w:t>本</w:t>
            </w:r>
            <w:r>
              <w:rPr>
                <w:rFonts w:hint="eastAsia" w:ascii="宋体" w:hAnsi="宋体"/>
                <w:b/>
                <w:sz w:val="24"/>
                <w:szCs w:val="24"/>
                <w:highlight w:val="none"/>
                <w:lang w:val="zh-CN"/>
              </w:rPr>
              <w:t>项目投标报价总最高限价为人民币42981000.00元，包件1最高限价：6567000.00元；包件2最高限价：9729000.00元；包件3最高限价：5220000.00元；包件4最高限价：6567000.00元；包件5最高限价：10047000.00元；包件6最高限价：2948000.00元；包件7最高限价：1903000.00元；单价最高限价见第4章4.2.3最高限价。如供应商投标报价高于所投包件最高限价或单价报价高于单价最高限价的则其对应包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2"/>
              <w:ind w:left="38"/>
              <w:rPr>
                <w:color w:val="000000" w:themeColor="text1"/>
                <w:kern w:val="2"/>
                <w:highlight w:val="none"/>
                <w:lang w:val="zh-CN"/>
                <w14:textFill>
                  <w14:solidFill>
                    <w14:schemeClr w14:val="tx1"/>
                  </w14:solidFill>
                </w14:textFill>
              </w:rPr>
            </w:pPr>
            <w:r>
              <w:rPr>
                <w:rFonts w:hint="eastAsia"/>
                <w:color w:val="000000" w:themeColor="text1"/>
                <w:kern w:val="2"/>
                <w:highlight w:val="none"/>
                <w:lang w:val="zh-CN"/>
                <w14:textFill>
                  <w14:solidFill>
                    <w14:schemeClr w14:val="tx1"/>
                  </w14:solidFill>
                </w14:textFill>
              </w:rPr>
              <w:t>采购方式</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2"/>
              <w:jc w:val="both"/>
              <w:rPr>
                <w:color w:val="000000" w:themeColor="text1"/>
                <w:kern w:val="2"/>
                <w:highlight w:val="none"/>
                <w:lang w:val="zh-CN"/>
                <w14:textFill>
                  <w14:solidFill>
                    <w14:schemeClr w14:val="tx1"/>
                  </w14:solidFill>
                </w14:textFill>
              </w:rPr>
            </w:pPr>
            <w:r>
              <w:rPr>
                <w:rFonts w:hint="eastAsia"/>
                <w:color w:val="000000" w:themeColor="text1"/>
                <w:kern w:val="2"/>
                <w:highlight w:val="none"/>
                <w:lang w:val="zh-CN"/>
                <w14:textFill>
                  <w14:solidFill>
                    <w14:schemeClr w14:val="tx1"/>
                  </w14:solidFill>
                </w14:textFill>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2"/>
              <w:ind w:left="96"/>
              <w:rPr>
                <w:color w:val="000000" w:themeColor="text1"/>
                <w:kern w:val="2"/>
                <w:highlight w:val="none"/>
                <w:lang w:val="zh-CN"/>
                <w14:textFill>
                  <w14:solidFill>
                    <w14:schemeClr w14:val="tx1"/>
                  </w14:solidFill>
                </w14:textFill>
              </w:rPr>
            </w:pPr>
            <w:r>
              <w:rPr>
                <w:rFonts w:hint="eastAsia"/>
                <w:color w:val="000000" w:themeColor="text1"/>
                <w:kern w:val="2"/>
                <w:highlight w:val="none"/>
                <w:lang w:val="zh-CN"/>
                <w14:textFill>
                  <w14:solidFill>
                    <w14:schemeClr w14:val="tx1"/>
                  </w14:solidFill>
                </w14:textFill>
              </w:rPr>
              <w:t>评标方法</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2"/>
              <w:rPr>
                <w:color w:val="000000" w:themeColor="text1"/>
                <w:kern w:val="2"/>
                <w:highlight w:val="none"/>
                <w:lang w:val="zh-CN"/>
                <w14:textFill>
                  <w14:solidFill>
                    <w14:schemeClr w14:val="tx1"/>
                  </w14:solidFill>
                </w14:textFill>
              </w:rPr>
            </w:pPr>
            <w:r>
              <w:rPr>
                <w:rFonts w:hint="eastAsia"/>
                <w:color w:val="000000" w:themeColor="text1"/>
                <w:kern w:val="2"/>
                <w:highlight w:val="none"/>
                <w:lang w:val="zh-CN"/>
                <w14:textFill>
                  <w14:solidFill>
                    <w14:schemeClr w14:val="tx1"/>
                  </w14:solidFill>
                </w14:textFill>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2"/>
              <w:ind w:left="96"/>
              <w:rPr>
                <w:color w:val="000000" w:themeColor="text1"/>
                <w:kern w:val="2"/>
                <w:highlight w:val="none"/>
                <w:lang w:val="zh-CN"/>
                <w14:textFill>
                  <w14:solidFill>
                    <w14:schemeClr w14:val="tx1"/>
                  </w14:solidFill>
                </w14:textFill>
              </w:rPr>
            </w:pPr>
            <w:r>
              <w:rPr>
                <w:rFonts w:hint="eastAsia"/>
                <w:color w:val="000000" w:themeColor="text1"/>
                <w:kern w:val="2"/>
                <w:highlight w:val="none"/>
                <w:lang w:val="zh-CN"/>
                <w14:textFill>
                  <w14:solidFill>
                    <w14:schemeClr w14:val="tx1"/>
                  </w14:solidFill>
                </w14:textFill>
              </w:rPr>
              <w:t>低于成本价不正当竞争预防措施</w:t>
            </w:r>
          </w:p>
        </w:tc>
        <w:tc>
          <w:tcPr>
            <w:tcW w:w="6681" w:type="dxa"/>
            <w:tcBorders>
              <w:top w:val="single" w:color="auto" w:sz="8" w:space="0"/>
              <w:left w:val="single" w:color="auto" w:sz="8" w:space="0"/>
              <w:bottom w:val="single" w:color="auto" w:sz="8" w:space="0"/>
              <w:right w:val="single" w:color="auto" w:sz="18" w:space="0"/>
            </w:tcBorders>
            <w:vAlign w:val="center"/>
          </w:tcPr>
          <w:p>
            <w:pPr>
              <w:ind w:right="94" w:rightChars="45"/>
              <w:rPr>
                <w:rFonts w:ascii="宋体" w:hAnsi="宋体"/>
                <w:b/>
                <w:color w:val="000000" w:themeColor="text1"/>
                <w:sz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在评标过程中，评标委员会认为供应商投标报价明显低于其他通过符合性审查供应商的投标报价，有可能影响产品质量或者不能诚信履约的，评标委员会应当要求其在合理的时间内提供书面说明，必要时提交相关证明材料。供应商提交的书面说明、相关证明材料（如涉及），应当加盖供应商（法定名称）电子签章，在评标委员会要求的时间内通过政府采购云平台进行递交，否则无效。如因断电、断网、系统故障或其他不可抗力等因素，导致系统无法使用的，由供应商按评标委员会的要求进行澄清或者说明。供应商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2"/>
              <w:ind w:left="96"/>
              <w:rPr>
                <w:color w:val="000000" w:themeColor="text1"/>
                <w:kern w:val="2"/>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小微企业（监狱企业、残疾人福利性单位均视同小、微企业）价格扣除</w:t>
            </w:r>
          </w:p>
        </w:tc>
        <w:tc>
          <w:tcPr>
            <w:tcW w:w="6681" w:type="dxa"/>
            <w:tcBorders>
              <w:top w:val="single" w:color="auto" w:sz="8" w:space="0"/>
              <w:left w:val="single" w:color="auto" w:sz="8" w:space="0"/>
              <w:bottom w:val="single" w:color="auto" w:sz="8" w:space="0"/>
              <w:right w:val="single" w:color="auto" w:sz="18" w:space="0"/>
            </w:tcBorders>
            <w:vAlign w:val="center"/>
          </w:tcPr>
          <w:p>
            <w:pPr>
              <w:widowControl/>
              <w:jc w:val="left"/>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小微企业（监狱企业、残疾人福利性单位均视同小、微企业）价格扣除：</w:t>
            </w:r>
          </w:p>
          <w:p>
            <w:pPr>
              <w:widowControl/>
              <w:jc w:val="left"/>
              <w:rPr>
                <w:rFonts w:ascii="宋体" w:hAnsi="宋体" w:cs="宋体"/>
                <w:color w:val="000000" w:themeColor="text1"/>
                <w:kern w:val="0"/>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1.根据《政府采购促进中小企业发展管理办法》（财库[2020]46号）的规定，对小型和微型企业的价格给予10%的价格扣除，用扣除后的价格参与评标。2.参加政府采购活动的中小企业提供《中小企业声明函》，未提供视为放弃享受小微企业价格扣除优惠政策。3.监狱企业参加政府采购活动时，应当提供由省级以上监狱管理局、戒毒管理局（含新疆生产建设兵团）出具的属于监狱企业的证明文件复印件。4.参加政府采购活动的残疾人福利性单位应当提供《残疾人福利性单位声明函》，未提供视为放弃享受小微企业价格扣除优惠政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2"/>
              <w:ind w:left="96"/>
              <w:rPr>
                <w:color w:val="000000" w:themeColor="text1"/>
                <w:kern w:val="2"/>
                <w:highlight w:val="none"/>
                <w:lang w:val="zh-CN"/>
                <w14:textFill>
                  <w14:solidFill>
                    <w14:schemeClr w14:val="tx1"/>
                  </w14:solidFill>
                </w14:textFill>
              </w:rPr>
            </w:pPr>
            <w:r>
              <w:rPr>
                <w:rFonts w:hint="eastAsia"/>
                <w:color w:val="000000" w:themeColor="text1"/>
                <w:kern w:val="2"/>
                <w:highlight w:val="none"/>
                <w:lang w:val="zh-CN"/>
                <w14:textFill>
                  <w14:solidFill>
                    <w14:schemeClr w14:val="tx1"/>
                  </w14:solidFill>
                </w14:textFill>
              </w:rPr>
              <w:t>投标保证金</w:t>
            </w:r>
          </w:p>
        </w:tc>
        <w:tc>
          <w:tcPr>
            <w:tcW w:w="6681" w:type="dxa"/>
            <w:tcBorders>
              <w:top w:val="single" w:color="auto" w:sz="8" w:space="0"/>
              <w:left w:val="single" w:color="auto" w:sz="8" w:space="0"/>
              <w:bottom w:val="single" w:color="auto" w:sz="8" w:space="0"/>
              <w:right w:val="single" w:color="auto" w:sz="18" w:space="0"/>
            </w:tcBorders>
            <w:vAlign w:val="center"/>
          </w:tcPr>
          <w:p>
            <w:pPr>
              <w:rPr>
                <w:rFonts w:ascii="宋体" w:hAnsi="宋体"/>
                <w:color w:val="000000" w:themeColor="text1"/>
                <w:sz w:val="24"/>
                <w:highlight w:val="none"/>
                <w:lang w:val="zh-CN"/>
                <w14:textFill>
                  <w14:solidFill>
                    <w14:schemeClr w14:val="tx1"/>
                  </w14:solidFill>
                </w14:textFill>
              </w:rPr>
            </w:pPr>
            <w:r>
              <w:rPr>
                <w:rFonts w:hint="eastAsia" w:ascii="宋体" w:hAnsi="宋体"/>
                <w:color w:val="000000" w:themeColor="text1"/>
                <w:sz w:val="24"/>
                <w:highlight w:val="none"/>
                <w:lang w:val="zh-CN"/>
                <w14:textFill>
                  <w14:solidFill>
                    <w14:schemeClr w14:val="tx1"/>
                  </w14:solidFill>
                </w14:textFill>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履约保证金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详见供应商须知2.6.4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投标有效期</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color w:val="000000" w:themeColor="text1"/>
                <w:sz w:val="24"/>
                <w:highlight w:val="none"/>
                <w14:textFill>
                  <w14:solidFill>
                    <w14:schemeClr w14:val="tx1"/>
                  </w14:solidFill>
                </w14:textFill>
              </w:rPr>
            </w:pPr>
            <w:r>
              <w:rPr>
                <w:rFonts w:hint="eastAsia" w:ascii="Helvetica" w:hAnsi="Helvetica" w:cs="Helvetica"/>
                <w:color w:val="000000" w:themeColor="text1"/>
                <w:kern w:val="0"/>
                <w:sz w:val="24"/>
                <w:szCs w:val="24"/>
                <w:highlight w:val="none"/>
                <w14:textFill>
                  <w14:solidFill>
                    <w14:schemeClr w14:val="tx1"/>
                  </w14:solidFill>
                </w14:textFill>
              </w:rPr>
              <w:t>提交投标文件的截止之日起</w:t>
            </w:r>
            <w:r>
              <w:rPr>
                <w:rFonts w:hint="eastAsia" w:ascii="宋体" w:hAnsi="宋体"/>
                <w:color w:val="000000" w:themeColor="text1"/>
                <w:sz w:val="24"/>
                <w:szCs w:val="24"/>
                <w:highlight w:val="none"/>
                <w:u w:val="single"/>
                <w14:textFill>
                  <w14:solidFill>
                    <w14:schemeClr w14:val="tx1"/>
                  </w14:solidFill>
                </w14:textFill>
              </w:rPr>
              <w:t xml:space="preserve"> 120</w:t>
            </w:r>
            <w:r>
              <w:rPr>
                <w:rFonts w:hint="eastAsia" w:ascii="宋体" w:hAnsi="宋体"/>
                <w:color w:val="000000" w:themeColor="text1"/>
                <w:sz w:val="24"/>
                <w:szCs w:val="24"/>
                <w:highlight w:val="none"/>
                <w14:textFill>
                  <w14:solidFill>
                    <w14:schemeClr w14:val="tx1"/>
                  </w14:solidFill>
                </w14:textFill>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投标文件的制作和签章、加密</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2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投标文件的递交</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详见供应商须知2.4.12</w:t>
            </w:r>
          </w:p>
          <w:p>
            <w:pPr>
              <w:tabs>
                <w:tab w:val="left" w:pos="7665"/>
              </w:tabs>
              <w:snapToGrid w:val="0"/>
              <w:jc w:val="left"/>
              <w:rPr>
                <w:color w:val="000000" w:themeColor="text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注：供应商使用CA证书在投标截止时间前，将电子投标文件上传至政府采购云平台，上传前须对电子投标文件是否有电子签章等进行核对。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投标文件的补充、修改</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投标文件的撤回</w:t>
            </w:r>
          </w:p>
        </w:tc>
        <w:tc>
          <w:tcPr>
            <w:tcW w:w="6681"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详见供应商须知2.4.14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highlight w:val="none"/>
                <w14:textFill>
                  <w14:solidFill>
                    <w14:schemeClr w14:val="tx1"/>
                  </w14:solidFill>
                </w14:textFill>
              </w:rPr>
            </w:pPr>
            <w:r>
              <w:rPr>
                <w:rFonts w:hint="eastAsia"/>
                <w:b/>
                <w:color w:val="000000" w:themeColor="text1"/>
                <w:highlight w:val="none"/>
                <w14:textFill>
                  <w14:solidFill>
                    <w14:schemeClr w14:val="tx1"/>
                  </w14:solidFill>
                </w14:textFill>
              </w:rPr>
              <w:t>开标及开标程序</w:t>
            </w:r>
          </w:p>
        </w:tc>
        <w:tc>
          <w:tcPr>
            <w:tcW w:w="6681" w:type="dxa"/>
            <w:tcBorders>
              <w:top w:val="single" w:color="auto" w:sz="4"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详见供应商须知2.5.1。</w:t>
            </w:r>
          </w:p>
          <w:p>
            <w:pPr>
              <w:snapToGrid w:val="0"/>
              <w:spacing w:line="360" w:lineRule="auto"/>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投标文件解密：开启解密后，供应商应在系统提示的解密开始时间后</w:t>
            </w:r>
            <w:r>
              <w:rPr>
                <w:rFonts w:ascii="宋体" w:hAnsi="宋体"/>
                <w:b/>
                <w:color w:val="000000" w:themeColor="text1"/>
                <w:highlight w:val="none"/>
                <w14:textFill>
                  <w14:solidFill>
                    <w14:schemeClr w14:val="tx1"/>
                  </w14:solidFill>
                </w14:textFill>
              </w:rPr>
              <w:t>60</w:t>
            </w:r>
            <w:r>
              <w:rPr>
                <w:rFonts w:hint="eastAsia" w:ascii="宋体" w:hAnsi="宋体"/>
                <w:b/>
                <w:color w:val="000000" w:themeColor="text1"/>
                <w:highlight w:val="none"/>
                <w14:textFill>
                  <w14:solidFill>
                    <w14:schemeClr w14:val="tx1"/>
                  </w14:solidFill>
                </w14:textFill>
              </w:rPr>
              <w:t>分钟内 ，使用对投标文件进行加密的CA证书在线完成对供应商递交至政府采购云平台的投标文件的解密。</w:t>
            </w:r>
          </w:p>
          <w:p>
            <w:pPr>
              <w:snapToGrid w:val="0"/>
              <w:spacing w:line="360" w:lineRule="auto"/>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jc w:val="left"/>
              <w:rPr>
                <w:rFonts w:ascii="宋体" w:hAnsi="宋体"/>
                <w:color w:val="000000" w:themeColor="text1"/>
                <w:sz w:val="24"/>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6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000000" w:themeColor="text1"/>
                <w:sz w:val="24"/>
                <w:highlight w:val="none"/>
                <w14:textFill>
                  <w14:solidFill>
                    <w14:schemeClr w14:val="tx1"/>
                  </w14:solidFill>
                </w14:textFill>
              </w:rPr>
            </w:pPr>
            <w:r>
              <w:rPr>
                <w:rFonts w:hint="eastAsia" w:ascii="宋体" w:hAnsi="宋体"/>
                <w:sz w:val="24"/>
                <w:szCs w:val="24"/>
                <w:highlight w:val="none"/>
              </w:rPr>
              <w:t>对招标文件中供应商参加本次政府采购活动应当具备的条件，招标项目技术、服务、商务及其他要求，</w:t>
            </w:r>
            <w:r>
              <w:rPr>
                <w:rFonts w:ascii="宋体" w:hAnsi="宋体" w:cs="宋体"/>
                <w:sz w:val="24"/>
                <w:szCs w:val="24"/>
                <w:highlight w:val="none"/>
              </w:rPr>
              <w:t>评标细则及标准，以及关于资格审查、中标结果提出询问或质疑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Pr>
                <w:rFonts w:ascii="宋体" w:hAnsi="宋体" w:eastAsia="仿宋_GB2312" w:cs="宋体"/>
                <w:color w:val="000000" w:themeColor="text1"/>
                <w:kern w:val="0"/>
                <w:sz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应通过“政府采购云平台”向采购人提出，并由</w:t>
            </w:r>
            <w:r>
              <w:rPr>
                <w:rFonts w:hint="eastAsia" w:ascii="宋体" w:hAnsi="宋体"/>
                <w:color w:val="000000" w:themeColor="text1"/>
                <w:kern w:val="0"/>
                <w:sz w:val="24"/>
                <w:highlight w:val="none"/>
                <w14:textFill>
                  <w14:solidFill>
                    <w14:schemeClr w14:val="tx1"/>
                  </w14:solidFill>
                </w14:textFill>
              </w:rPr>
              <w:t>采购人</w:t>
            </w:r>
            <w:r>
              <w:rPr>
                <w:rFonts w:hint="eastAsia" w:ascii="宋体" w:hAnsi="宋体"/>
                <w:color w:val="000000" w:themeColor="text1"/>
                <w:sz w:val="24"/>
                <w:szCs w:val="24"/>
                <w:highlight w:val="none"/>
                <w14:textFill>
                  <w14:solidFill>
                    <w14:schemeClr w14:val="tx1"/>
                  </w14:solidFill>
                </w14:textFill>
              </w:rPr>
              <w:t>按相关规定作出答复（详见供应商须知2.8）。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000000" w:themeColor="text1"/>
                <w:sz w:val="24"/>
                <w:highlight w:val="none"/>
                <w14:textFill>
                  <w14:solidFill>
                    <w14:schemeClr w14:val="tx1"/>
                  </w14:solidFill>
                </w14:textFill>
              </w:rPr>
            </w:pPr>
            <w:r>
              <w:rPr>
                <w:rFonts w:hint="eastAsia" w:ascii="宋体" w:hAnsi="宋体"/>
                <w:sz w:val="24"/>
                <w:szCs w:val="24"/>
                <w:highlight w:val="none"/>
              </w:rPr>
              <w:t>对除上述招标文件中的其他内容，招标文件中采购程序、采购文件中供应商须知、采购合同格式、投标文件格式、以及开标过程程序提出询问或质疑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Pr>
                <w:rFonts w:ascii="宋体" w:hAnsi="宋体" w:eastAsia="仿宋_GB2312" w:cs="宋体"/>
                <w:color w:val="000000" w:themeColor="text1"/>
                <w:kern w:val="0"/>
                <w:sz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应通过“政府采购云平台”向</w:t>
            </w:r>
            <w:r>
              <w:rPr>
                <w:rFonts w:hint="eastAsia" w:ascii="宋体" w:hAnsi="宋体"/>
                <w:color w:val="000000" w:themeColor="text1"/>
                <w:kern w:val="0"/>
                <w:sz w:val="24"/>
                <w:highlight w:val="none"/>
                <w14:textFill>
                  <w14:solidFill>
                    <w14:schemeClr w14:val="tx1"/>
                  </w14:solidFill>
                </w14:textFill>
              </w:rPr>
              <w:t>区公资交易中心提出，</w:t>
            </w:r>
            <w:r>
              <w:rPr>
                <w:rFonts w:hint="eastAsia" w:ascii="宋体" w:hAnsi="宋体"/>
                <w:color w:val="000000" w:themeColor="text1"/>
                <w:sz w:val="24"/>
                <w:szCs w:val="24"/>
                <w:highlight w:val="none"/>
                <w14:textFill>
                  <w14:solidFill>
                    <w14:schemeClr w14:val="tx1"/>
                  </w14:solidFill>
                </w14:textFill>
              </w:rPr>
              <w:t>并由</w:t>
            </w:r>
            <w:r>
              <w:rPr>
                <w:rFonts w:hint="eastAsia" w:ascii="宋体" w:hAnsi="宋体"/>
                <w:color w:val="000000" w:themeColor="text1"/>
                <w:kern w:val="0"/>
                <w:sz w:val="24"/>
                <w:highlight w:val="none"/>
                <w14:textFill>
                  <w14:solidFill>
                    <w14:schemeClr w14:val="tx1"/>
                  </w14:solidFill>
                </w14:textFill>
              </w:rPr>
              <w:t>区公资交易中心</w:t>
            </w:r>
            <w:r>
              <w:rPr>
                <w:rFonts w:hint="eastAsia" w:ascii="宋体" w:hAnsi="宋体"/>
                <w:color w:val="000000" w:themeColor="text1"/>
                <w:sz w:val="24"/>
                <w:szCs w:val="24"/>
                <w:highlight w:val="none"/>
                <w14:textFill>
                  <w14:solidFill>
                    <w14:schemeClr w14:val="tx1"/>
                  </w14:solidFill>
                </w14:textFill>
              </w:rPr>
              <w:t>按相关规定作出答复（详见供应商须知2.8）。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供应商投诉</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ightChars="100"/>
              <w:rPr>
                <w:rFonts w:ascii="宋体" w:hAnsi="宋体" w:eastAsia="仿宋_GB2312" w:cs="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投诉受理单位：本项目同级财政部门，即成都市双流区财政局。</w:t>
            </w:r>
          </w:p>
          <w:p>
            <w:pPr>
              <w:widowControl/>
              <w:tabs>
                <w:tab w:val="left" w:pos="7665"/>
              </w:tabs>
              <w:jc w:val="left"/>
              <w:rPr>
                <w:rFonts w:ascii="宋体" w:hAnsi="宋体" w:cs="宋体"/>
                <w:color w:val="000000" w:themeColor="text1"/>
                <w:kern w:val="0"/>
                <w:sz w:val="24"/>
                <w:szCs w:val="24"/>
                <w:highlight w:val="none"/>
                <w:lang w:val="zh-CN"/>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联系电话：028-85804726。</w:t>
            </w:r>
          </w:p>
          <w:p>
            <w:pPr>
              <w:widowControl/>
              <w:tabs>
                <w:tab w:val="left" w:pos="7665"/>
              </w:tabs>
              <w:jc w:val="left"/>
              <w:rPr>
                <w:rFonts w:ascii="宋体" w:hAnsi="宋体" w:cs="宋体"/>
                <w:color w:val="000000" w:themeColor="text1"/>
                <w:kern w:val="0"/>
                <w:sz w:val="24"/>
                <w:szCs w:val="24"/>
                <w:highlight w:val="none"/>
                <w:lang w:val="zh-CN"/>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地址：成都市双流区电视塔路2段36号。</w:t>
            </w:r>
          </w:p>
          <w:p>
            <w:pPr>
              <w:widowControl/>
              <w:tabs>
                <w:tab w:val="left" w:pos="7665"/>
              </w:tabs>
              <w:jc w:val="left"/>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邮编：610200。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s="宋体"/>
                <w:color w:val="000000" w:themeColor="text1"/>
                <w:kern w:val="0"/>
                <w:sz w:val="24"/>
                <w:szCs w:val="24"/>
                <w:highlight w:val="none"/>
                <w:lang w:val="zh-CN"/>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评标情况公告</w:t>
            </w:r>
          </w:p>
        </w:tc>
        <w:tc>
          <w:tcPr>
            <w:tcW w:w="6681" w:type="dxa"/>
            <w:tcBorders>
              <w:top w:val="single" w:color="auto" w:sz="8" w:space="0"/>
              <w:left w:val="single" w:color="auto" w:sz="8" w:space="0"/>
              <w:bottom w:val="single" w:color="auto" w:sz="4" w:space="0"/>
              <w:right w:val="single" w:color="auto" w:sz="18" w:space="0"/>
            </w:tcBorders>
            <w:vAlign w:val="center"/>
          </w:tcPr>
          <w:p>
            <w:pPr>
              <w:widowControl/>
              <w:tabs>
                <w:tab w:val="left" w:pos="7665"/>
              </w:tabs>
              <w:jc w:val="left"/>
              <w:rPr>
                <w:rFonts w:ascii="宋体" w:hAnsi="宋体" w:cs="宋体"/>
                <w:color w:val="000000" w:themeColor="text1"/>
                <w:kern w:val="0"/>
                <w:sz w:val="24"/>
                <w:szCs w:val="24"/>
                <w:highlight w:val="none"/>
                <w:lang w:val="zh-CN"/>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所有</w:t>
            </w:r>
            <w:r>
              <w:rPr>
                <w:rFonts w:hint="eastAsia" w:ascii="宋体" w:hAnsi="宋体"/>
                <w:color w:val="000000" w:themeColor="text1"/>
                <w:sz w:val="24"/>
                <w:szCs w:val="24"/>
                <w:highlight w:val="none"/>
                <w14:textFill>
                  <w14:solidFill>
                    <w14:schemeClr w14:val="tx1"/>
                  </w14:solidFill>
                </w14:textFill>
              </w:rPr>
              <w:t>供应商</w:t>
            </w:r>
            <w:r>
              <w:rPr>
                <w:rFonts w:hint="eastAsia" w:ascii="宋体" w:hAnsi="宋体" w:cs="宋体"/>
                <w:color w:val="000000" w:themeColor="text1"/>
                <w:kern w:val="0"/>
                <w:sz w:val="24"/>
                <w:szCs w:val="24"/>
                <w:highlight w:val="none"/>
                <w:lang w:val="zh-CN"/>
                <w14:textFill>
                  <w14:solidFill>
                    <w14:schemeClr w14:val="tx1"/>
                  </w14:solidFill>
                </w14:textFill>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中标通知书</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合同签订地点</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四川省成都市双流区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ind w:right="210" w:rightChars="1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政府采购合同公告、备案</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ind w:left="-4" w:leftChars="-2" w:right="210"/>
              <w:rPr>
                <w:rFonts w:ascii="宋体" w:hAnsi="宋体"/>
                <w:color w:val="000000" w:themeColor="text1"/>
                <w:sz w:val="24"/>
                <w:highlight w:val="none"/>
                <w14:textFill>
                  <w14:solidFill>
                    <w14:schemeClr w14:val="tx1"/>
                  </w14:solidFill>
                </w14:textFill>
              </w:rPr>
            </w:pPr>
            <w:r>
              <w:rPr>
                <w:rFonts w:hint="eastAsia" w:ascii="宋体"/>
                <w:sz w:val="24"/>
                <w:szCs w:val="24"/>
                <w:highlight w:val="none"/>
              </w:rPr>
              <w:t>政府采购合同签订之日起2个工作日内，政府采购合同将在四川政府采购网公告；政府采购合同签订之日起七个工作日内，政府采购合同将向本采购项目同级财政部门，即成都市</w:t>
            </w:r>
            <w:r>
              <w:rPr>
                <w:rFonts w:hint="eastAsia" w:ascii="宋体"/>
                <w:sz w:val="24"/>
                <w:szCs w:val="24"/>
                <w:highlight w:val="none"/>
                <w:lang w:val="zh-CN"/>
              </w:rPr>
              <w:t>双流区财政局备案。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ind w:left="-4" w:leftChars="-2" w:right="210"/>
              <w:rPr>
                <w:rFonts w:ascii="宋体" w:hAnsi="宋体" w:cs="宋体"/>
                <w:color w:val="000000" w:themeColor="text1"/>
                <w:kern w:val="0"/>
                <w:sz w:val="24"/>
                <w:szCs w:val="24"/>
                <w:highlight w:val="none"/>
                <w:lang w:val="zh-CN"/>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中小企业政府采购信用融资（“蓉采贷”）</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ind w:left="-4" w:leftChars="-2" w:right="210"/>
              <w:rPr>
                <w:rFonts w:ascii="宋体" w:hAnsi="宋体" w:cs="宋体"/>
                <w:color w:val="000000" w:themeColor="text1"/>
                <w:kern w:val="0"/>
                <w:sz w:val="24"/>
                <w:szCs w:val="24"/>
                <w:highlight w:val="none"/>
                <w:lang w:val="zh-CN"/>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本项目属于政府采购信用融资业务项目，</w:t>
            </w:r>
            <w:r>
              <w:rPr>
                <w:rFonts w:asciiTheme="minorEastAsia" w:hAnsiTheme="minorEastAsia" w:eastAsiaTheme="minorEastAsia"/>
                <w:color w:val="000000" w:themeColor="text1"/>
                <w:sz w:val="24"/>
                <w:szCs w:val="24"/>
                <w:highlight w:val="none"/>
                <w14:textFill>
                  <w14:solidFill>
                    <w14:schemeClr w14:val="tx1"/>
                  </w14:solidFill>
                </w14:textFill>
              </w:rPr>
              <w:t>融资利率上浮比例不超过人</w:t>
            </w:r>
            <w:r>
              <w:rPr>
                <w:rFonts w:hint="eastAsia" w:asciiTheme="minorEastAsia" w:hAnsiTheme="minorEastAsia" w:eastAsiaTheme="minorEastAsia"/>
                <w:color w:val="000000" w:themeColor="text1"/>
                <w:sz w:val="24"/>
                <w:szCs w:val="24"/>
                <w:highlight w:val="none"/>
                <w14:textFill>
                  <w14:solidFill>
                    <w14:schemeClr w14:val="tx1"/>
                  </w14:solidFill>
                </w14:textFill>
              </w:rPr>
              <w:t>民银</w:t>
            </w:r>
            <w:r>
              <w:rPr>
                <w:rFonts w:asciiTheme="minorEastAsia" w:hAnsiTheme="minorEastAsia" w:eastAsiaTheme="minorEastAsia"/>
                <w:color w:val="000000" w:themeColor="text1"/>
                <w:sz w:val="24"/>
                <w:szCs w:val="24"/>
                <w:highlight w:val="none"/>
                <w14:textFill>
                  <w14:solidFill>
                    <w14:schemeClr w14:val="tx1"/>
                  </w14:solidFill>
                </w14:textFill>
              </w:rPr>
              <w:t>行同期贷款基准利率30%</w:t>
            </w:r>
            <w:r>
              <w:rPr>
                <w:rFonts w:hint="eastAsia" w:asciiTheme="minorEastAsia" w:hAnsiTheme="minorEastAsia" w:eastAsiaTheme="minorEastAsia"/>
                <w:color w:val="000000" w:themeColor="text1"/>
                <w:sz w:val="24"/>
                <w:szCs w:val="24"/>
                <w:highlight w:val="none"/>
                <w14:textFill>
                  <w14:solidFill>
                    <w14:schemeClr w14:val="tx1"/>
                  </w14:solidFill>
                </w14:textFill>
              </w:rPr>
              <w:t>，</w:t>
            </w:r>
            <w:r>
              <w:rPr>
                <w:rFonts w:asciiTheme="minorEastAsia" w:hAnsiTheme="minorEastAsia" w:eastAsiaTheme="minorEastAsia"/>
                <w:color w:val="000000" w:themeColor="text1"/>
                <w:sz w:val="24"/>
                <w:szCs w:val="24"/>
                <w:highlight w:val="none"/>
                <w14:textFill>
                  <w14:solidFill>
                    <w14:schemeClr w14:val="tx1"/>
                  </w14:solidFill>
                </w14:textFill>
              </w:rPr>
              <w:t>银行机构名单</w:t>
            </w:r>
            <w:r>
              <w:rPr>
                <w:rFonts w:hint="eastAsia" w:asciiTheme="minorEastAsia" w:hAnsiTheme="minorEastAsia" w:eastAsiaTheme="minorEastAsia"/>
                <w:color w:val="000000" w:themeColor="text1"/>
                <w:sz w:val="24"/>
                <w:szCs w:val="24"/>
                <w:highlight w:val="none"/>
                <w14:textFill>
                  <w14:solidFill>
                    <w14:schemeClr w14:val="tx1"/>
                  </w14:solidFill>
                </w14:textFill>
              </w:rPr>
              <w:t>联系方式见附件1。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0"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highlight w:val="none"/>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进口产品 </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highlight w:val="none"/>
                <w14:textFill>
                  <w14:solidFill>
                    <w14:schemeClr w14:val="tx1"/>
                  </w14:solidFill>
                </w14:textFill>
              </w:rPr>
            </w:pPr>
          </w:p>
        </w:tc>
        <w:tc>
          <w:tcPr>
            <w:tcW w:w="862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采购人可以要求参加政府采购的供应商提供有关资质证明文件和业绩情况，并根据《中华人民共和国政府采购法》规定的供应商条件和采购项目对供应商的特定要求，对供应商的资格进行审查。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highlight w:val="none"/>
                <w14:textFill>
                  <w14:solidFill>
                    <w14:schemeClr w14:val="tx1"/>
                  </w14:solidFill>
                </w14:textFill>
              </w:rPr>
            </w:pPr>
          </w:p>
        </w:tc>
        <w:tc>
          <w:tcPr>
            <w:tcW w:w="862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sz w:val="24"/>
                <w:highlight w:val="none"/>
              </w:rPr>
            </w:pPr>
            <w:r>
              <w:rPr>
                <w:rFonts w:hint="eastAsia" w:ascii="宋体" w:hAnsi="宋体"/>
                <w:sz w:val="24"/>
                <w:highlight w:val="none"/>
              </w:rPr>
              <w:t>供应商信用信息查询时间截止时点：信用信息查询在资格审查阶段完成。</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highlight w:val="none"/>
                <w14:textFill>
                  <w14:solidFill>
                    <w14:schemeClr w14:val="tx1"/>
                  </w14:solidFill>
                </w14:textFill>
              </w:rPr>
            </w:pPr>
          </w:p>
        </w:tc>
        <w:tc>
          <w:tcPr>
            <w:tcW w:w="862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sz w:val="24"/>
                <w:highlight w:val="none"/>
              </w:rPr>
            </w:pPr>
            <w:r>
              <w:rPr>
                <w:rFonts w:hint="eastAsia" w:ascii="宋体" w:hAnsi="宋体"/>
                <w:sz w:val="24"/>
                <w:highlight w:val="none"/>
              </w:rPr>
              <w:t>采购人须对第4章、第5章和第6章中要求供应商提供的承诺函、相关材料及证明文件进行查验并做好查验记录。查验时间截止时点：采购人在收到评标报告后，确认中标供应商前完成查验。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highlight w:val="none"/>
                <w14:textFill>
                  <w14:solidFill>
                    <w14:schemeClr w14:val="tx1"/>
                  </w14:solidFill>
                </w14:textFill>
              </w:rPr>
            </w:pPr>
          </w:p>
        </w:tc>
        <w:tc>
          <w:tcPr>
            <w:tcW w:w="862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sz w:val="24"/>
                <w:highlight w:val="none"/>
              </w:rPr>
            </w:pPr>
            <w:r>
              <w:rPr>
                <w:rFonts w:hint="eastAsia" w:ascii="宋体" w:hAnsi="宋体"/>
                <w:sz w:val="24"/>
                <w:highlight w:val="none"/>
              </w:rPr>
              <w:t>本项目不接受联合体投标。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18"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highlight w:val="none"/>
                <w14:textFill>
                  <w14:solidFill>
                    <w14:schemeClr w14:val="tx1"/>
                  </w14:solidFill>
                </w14:textFill>
              </w:rPr>
            </w:pPr>
          </w:p>
        </w:tc>
        <w:tc>
          <w:tcPr>
            <w:tcW w:w="8623" w:type="dxa"/>
            <w:gridSpan w:val="2"/>
            <w:tcBorders>
              <w:top w:val="single" w:color="auto" w:sz="4" w:space="0"/>
              <w:left w:val="single" w:color="auto" w:sz="8" w:space="0"/>
              <w:bottom w:val="single" w:color="auto" w:sz="18" w:space="0"/>
              <w:right w:val="single" w:color="auto" w:sz="18" w:space="0"/>
            </w:tcBorders>
            <w:vAlign w:val="center"/>
          </w:tcPr>
          <w:p>
            <w:pPr>
              <w:tabs>
                <w:tab w:val="left" w:pos="7665"/>
              </w:tabs>
              <w:snapToGrid w:val="0"/>
              <w:spacing w:line="360" w:lineRule="auto"/>
              <w:rPr>
                <w:rFonts w:ascii="宋体" w:hAnsi="宋体"/>
                <w:sz w:val="24"/>
                <w:highlight w:val="none"/>
              </w:rPr>
            </w:pPr>
            <w:r>
              <w:rPr>
                <w:rFonts w:hint="eastAsia" w:ascii="宋体" w:hAnsi="宋体"/>
                <w:sz w:val="24"/>
                <w:highlight w:val="none"/>
              </w:rPr>
              <w:t xml:space="preserve">本项目为非专门面向中小企业采购项目。 </w:t>
            </w:r>
          </w:p>
        </w:tc>
      </w:tr>
    </w:tbl>
    <w:p>
      <w:pPr>
        <w:pStyle w:val="5"/>
        <w:numPr>
          <w:ilvl w:val="1"/>
          <w:numId w:val="3"/>
        </w:numPr>
        <w:spacing w:before="0" w:after="0" w:line="240" w:lineRule="auto"/>
        <w:ind w:left="2269" w:hanging="2127"/>
        <w:rPr>
          <w:color w:val="000000" w:themeColor="text1"/>
          <w:highlight w:val="none"/>
          <w14:textFill>
            <w14:solidFill>
              <w14:schemeClr w14:val="tx1"/>
            </w14:solidFill>
          </w14:textFill>
        </w:rPr>
      </w:pPr>
      <w:bookmarkStart w:id="35" w:name="_Toc79654063"/>
      <w:bookmarkStart w:id="36" w:name="_Toc10565"/>
      <w:bookmarkStart w:id="37" w:name="_Toc29824"/>
      <w:bookmarkStart w:id="38" w:name="_Toc22447"/>
      <w:bookmarkStart w:id="39" w:name="_Toc30390"/>
      <w:r>
        <w:rPr>
          <w:rFonts w:hint="eastAsia"/>
          <w:color w:val="000000" w:themeColor="text1"/>
          <w:highlight w:val="none"/>
          <w14:textFill>
            <w14:solidFill>
              <w14:schemeClr w14:val="tx1"/>
            </w14:solidFill>
          </w14:textFill>
        </w:rPr>
        <w:t>总则</w:t>
      </w:r>
      <w:bookmarkEnd w:id="35"/>
      <w:bookmarkEnd w:id="36"/>
      <w:bookmarkEnd w:id="37"/>
      <w:bookmarkEnd w:id="38"/>
      <w:bookmarkEnd w:id="39"/>
    </w:p>
    <w:p>
      <w:pPr>
        <w:pStyle w:val="6"/>
        <w:numPr>
          <w:ilvl w:val="2"/>
          <w:numId w:val="3"/>
        </w:numPr>
        <w:spacing w:after="200" w:line="240" w:lineRule="auto"/>
        <w:ind w:left="-141" w:leftChars="-67"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适用范围</w:t>
      </w:r>
    </w:p>
    <w:p>
      <w:pPr>
        <w:numPr>
          <w:ilvl w:val="0"/>
          <w:numId w:val="7"/>
        </w:numPr>
        <w:tabs>
          <w:tab w:val="left" w:pos="1134"/>
        </w:tabs>
        <w:spacing w:after="200"/>
        <w:ind w:left="0"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本招标文件仅适用于本次公开招标采购项目。</w:t>
      </w:r>
    </w:p>
    <w:p>
      <w:pPr>
        <w:numPr>
          <w:ilvl w:val="0"/>
          <w:numId w:val="7"/>
        </w:numPr>
        <w:tabs>
          <w:tab w:val="left" w:pos="1134"/>
        </w:tabs>
        <w:spacing w:after="200"/>
        <w:ind w:left="0"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招标文件的最终解释权由采购人或区公资交易中心享有。对招标文件中供应商参加本次政府采购活动应当具备的条件，招标项目服务、商务及其他要求，评标细则及标准由采购人负责解释。除上述招标文件内容，其他内容由区公资交易中心负责解释。</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有关定义</w:t>
      </w:r>
    </w:p>
    <w:p>
      <w:pPr>
        <w:numPr>
          <w:ilvl w:val="0"/>
          <w:numId w:val="8"/>
        </w:numPr>
        <w:tabs>
          <w:tab w:val="left" w:pos="1134"/>
        </w:tabs>
        <w:spacing w:after="200"/>
        <w:ind w:left="0" w:firstLine="567"/>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“采购人”和“甲方”系指依法进行政府采购的成都市双流区级机关、事业单位、团体组织。本次招标的采购人是</w:t>
      </w:r>
      <w:r>
        <w:rPr>
          <w:rFonts w:hint="eastAsia" w:ascii="宋体" w:hAnsi="宋体"/>
          <w:b/>
          <w:color w:val="000000" w:themeColor="text1"/>
          <w:sz w:val="28"/>
          <w:szCs w:val="28"/>
          <w:highlight w:val="none"/>
          <w14:textFill>
            <w14:solidFill>
              <w14:schemeClr w14:val="tx1"/>
            </w14:solidFill>
          </w14:textFill>
        </w:rPr>
        <w:t>成都市双流区规划和自然资源局</w:t>
      </w:r>
      <w:r>
        <w:rPr>
          <w:rFonts w:hint="eastAsia" w:ascii="宋体" w:hAnsi="宋体"/>
          <w:color w:val="000000" w:themeColor="text1"/>
          <w:sz w:val="28"/>
          <w:szCs w:val="28"/>
          <w:highlight w:val="none"/>
          <w14:textFill>
            <w14:solidFill>
              <w14:schemeClr w14:val="tx1"/>
            </w14:solidFill>
          </w14:textFill>
        </w:rPr>
        <w:t>。</w:t>
      </w:r>
    </w:p>
    <w:p>
      <w:pPr>
        <w:numPr>
          <w:ilvl w:val="0"/>
          <w:numId w:val="8"/>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“供应商”系指在系统中成功提交《采购文件获取登记表》拟参加投标和向采购人提供货物及服务的供应商。</w:t>
      </w:r>
    </w:p>
    <w:p>
      <w:pPr>
        <w:numPr>
          <w:ilvl w:val="0"/>
          <w:numId w:val="8"/>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本招标文件各部分规定的期间以时、日、月、年计算。期间开始的时和日，不计算在期间内，而从次日开始计算。期间届满的最后一天是节假日的，以节假日后的第一日为期间届满的日期。</w:t>
      </w:r>
    </w:p>
    <w:p>
      <w:pPr>
        <w:numPr>
          <w:ilvl w:val="0"/>
          <w:numId w:val="8"/>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本招标文件各部分规定的“以上”、“以下”、“内”、“以内”，包括本数；所称的“不足”，不包括本数。</w:t>
      </w:r>
    </w:p>
    <w:p>
      <w:pPr>
        <w:numPr>
          <w:ilvl w:val="0"/>
          <w:numId w:val="8"/>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重大违法记录是指供应商因违法经营受到刑事处罚或者责令停产停业、吊销许可证或者执照、较大数额罚款等行政处罚。</w:t>
      </w:r>
    </w:p>
    <w:p>
      <w:pPr>
        <w:numPr>
          <w:ilvl w:val="0"/>
          <w:numId w:val="8"/>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sz w:val="28"/>
          <w:szCs w:val="28"/>
          <w:highlight w:val="none"/>
        </w:rPr>
        <w:t>不见面开标是指，区公资交易中心依托政府采购云平台组织开标活动，供应商在线参与开标的一种组织形式。</w:t>
      </w:r>
      <w:r>
        <w:rPr>
          <w:rFonts w:hint="eastAsia" w:ascii="宋体" w:hAnsi="宋体"/>
          <w:color w:val="000000" w:themeColor="text1"/>
          <w:sz w:val="28"/>
          <w:szCs w:val="28"/>
          <w:highlight w:val="none"/>
          <w14:textFill>
            <w14:solidFill>
              <w14:schemeClr w14:val="tx1"/>
            </w14:solidFill>
          </w14:textFill>
        </w:rPr>
        <w:t> </w:t>
      </w:r>
    </w:p>
    <w:p>
      <w:pPr>
        <w:pStyle w:val="6"/>
        <w:numPr>
          <w:ilvl w:val="2"/>
          <w:numId w:val="3"/>
        </w:numPr>
        <w:spacing w:after="200" w:line="240" w:lineRule="auto"/>
        <w:ind w:left="851"/>
        <w:rPr>
          <w:color w:val="000000" w:themeColor="text1"/>
          <w:highlight w:val="none"/>
          <w14:textFill>
            <w14:solidFill>
              <w14:schemeClr w14:val="tx1"/>
            </w14:solidFill>
          </w14:textFill>
        </w:rPr>
      </w:pPr>
      <w:bookmarkStart w:id="40" w:name="_Toc217446036"/>
      <w:bookmarkStart w:id="41" w:name="_Toc183682344"/>
      <w:bookmarkStart w:id="42" w:name="_Toc217390843"/>
      <w:bookmarkStart w:id="43" w:name="_Toc183582207"/>
      <w:r>
        <w:rPr>
          <w:rFonts w:hint="eastAsia"/>
          <w:color w:val="000000" w:themeColor="text1"/>
          <w:highlight w:val="none"/>
          <w14:textFill>
            <w14:solidFill>
              <w14:schemeClr w14:val="tx1"/>
            </w14:solidFill>
          </w14:textFill>
        </w:rPr>
        <w:t>合格的</w:t>
      </w:r>
      <w:bookmarkEnd w:id="40"/>
      <w:bookmarkEnd w:id="41"/>
      <w:bookmarkEnd w:id="42"/>
      <w:bookmarkEnd w:id="43"/>
      <w:r>
        <w:rPr>
          <w:rFonts w:hint="eastAsia"/>
          <w:color w:val="000000" w:themeColor="text1"/>
          <w:highlight w:val="none"/>
          <w14:textFill>
            <w14:solidFill>
              <w14:schemeClr w14:val="tx1"/>
            </w14:solidFill>
          </w14:textFill>
        </w:rPr>
        <w:t>供应商</w:t>
      </w:r>
    </w:p>
    <w:p>
      <w:pPr>
        <w:tabs>
          <w:tab w:val="left" w:pos="7665"/>
        </w:tabs>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合格的供应商应具备以下条件：</w:t>
      </w:r>
    </w:p>
    <w:p>
      <w:pPr>
        <w:numPr>
          <w:ilvl w:val="0"/>
          <w:numId w:val="9"/>
        </w:numPr>
        <w:tabs>
          <w:tab w:val="left" w:pos="1134"/>
        </w:tabs>
        <w:spacing w:after="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本招标文件“投标邀请”第五条规定的条件；</w:t>
      </w:r>
    </w:p>
    <w:p>
      <w:pPr>
        <w:numPr>
          <w:ilvl w:val="0"/>
          <w:numId w:val="9"/>
        </w:numPr>
        <w:tabs>
          <w:tab w:val="left" w:pos="1134"/>
        </w:tabs>
        <w:spacing w:after="200"/>
        <w:ind w:left="0" w:firstLine="568"/>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按照招标文件“投标邀请”中第六、七、八条规定获取了招标文件。</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投标费用</w:t>
      </w:r>
    </w:p>
    <w:p>
      <w:pPr>
        <w:ind w:firstLine="660" w:firstLineChars="236"/>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供应商应自行承担参加投标的全部费用。</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充分、公平竞争保障措施</w:t>
      </w:r>
    </w:p>
    <w:p>
      <w:pPr>
        <w:pStyle w:val="115"/>
        <w:tabs>
          <w:tab w:val="left" w:pos="851"/>
        </w:tabs>
        <w:spacing w:before="156" w:line="240" w:lineRule="auto"/>
        <w:ind w:firstLine="560" w:firstLineChars="200"/>
        <w:rPr>
          <w:rFonts w:hAnsi="宋体"/>
          <w:color w:val="000000" w:themeColor="text1"/>
          <w:sz w:val="28"/>
          <w:szCs w:val="28"/>
          <w:highlight w:val="none"/>
          <w14:textFill>
            <w14:solidFill>
              <w14:schemeClr w14:val="tx1"/>
            </w14:solidFill>
          </w14:textFill>
        </w:rPr>
      </w:pPr>
      <w:r>
        <w:rPr>
          <w:rFonts w:hint="eastAsia" w:hAnsi="宋体"/>
          <w:color w:val="000000" w:themeColor="text1"/>
          <w:sz w:val="28"/>
          <w:szCs w:val="28"/>
          <w:highlight w:val="none"/>
          <w14:textFill>
            <w14:solidFill>
              <w14:schemeClr w14:val="tx1"/>
            </w14:solidFill>
          </w14:textFill>
        </w:rPr>
        <w:t>一、单位负责人为同一人或者存在直接控股、管理关系的不同供应商，不得参加同一项目的投标。</w:t>
      </w:r>
    </w:p>
    <w:p>
      <w:pPr>
        <w:pStyle w:val="115"/>
        <w:tabs>
          <w:tab w:val="left" w:pos="851"/>
        </w:tabs>
        <w:spacing w:before="156" w:line="240" w:lineRule="auto"/>
        <w:ind w:left="-143" w:leftChars="-68" w:firstLine="700" w:firstLineChars="250"/>
        <w:rPr>
          <w:rFonts w:hAnsi="宋体"/>
          <w:b/>
          <w:color w:val="000000" w:themeColor="text1"/>
          <w:sz w:val="28"/>
          <w:szCs w:val="28"/>
          <w:highlight w:val="none"/>
          <w14:textFill>
            <w14:solidFill>
              <w14:schemeClr w14:val="tx1"/>
            </w14:solidFill>
          </w14:textFill>
        </w:rPr>
      </w:pPr>
      <w:r>
        <w:rPr>
          <w:rFonts w:hint="eastAsia" w:hAnsi="宋体"/>
          <w:color w:val="000000" w:themeColor="text1"/>
          <w:sz w:val="28"/>
          <w:szCs w:val="28"/>
          <w:highlight w:val="none"/>
          <w14:textFill>
            <w14:solidFill>
              <w14:schemeClr w14:val="tx1"/>
            </w14:solidFill>
          </w14:textFill>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color w:val="000000" w:themeColor="text1"/>
          <w:sz w:val="28"/>
          <w:szCs w:val="28"/>
          <w:highlight w:val="none"/>
          <w14:textFill>
            <w14:solidFill>
              <w14:schemeClr w14:val="tx1"/>
            </w14:solidFill>
          </w14:textFill>
        </w:rPr>
        <w:t>（说明：无供应商为本项目提供整体设计、规范编制或者项目管理、监理、检测等服务。）</w:t>
      </w:r>
    </w:p>
    <w:p>
      <w:pPr>
        <w:pStyle w:val="5"/>
        <w:numPr>
          <w:ilvl w:val="1"/>
          <w:numId w:val="3"/>
        </w:numPr>
        <w:spacing w:before="0" w:after="0" w:line="240" w:lineRule="auto"/>
        <w:ind w:left="2269" w:hanging="2127"/>
        <w:rPr>
          <w:color w:val="000000" w:themeColor="text1"/>
          <w:highlight w:val="none"/>
          <w14:textFill>
            <w14:solidFill>
              <w14:schemeClr w14:val="tx1"/>
            </w14:solidFill>
          </w14:textFill>
        </w:rPr>
      </w:pPr>
      <w:bookmarkStart w:id="44" w:name="_Toc79654064"/>
      <w:bookmarkStart w:id="45" w:name="_Toc14139"/>
      <w:bookmarkStart w:id="46" w:name="_Toc32420"/>
      <w:bookmarkStart w:id="47" w:name="_Toc12455"/>
      <w:bookmarkStart w:id="48" w:name="_Toc2675"/>
      <w:r>
        <w:rPr>
          <w:rFonts w:hint="eastAsia"/>
          <w:color w:val="000000" w:themeColor="text1"/>
          <w:highlight w:val="none"/>
          <w14:textFill>
            <w14:solidFill>
              <w14:schemeClr w14:val="tx1"/>
            </w14:solidFill>
          </w14:textFill>
        </w:rPr>
        <w:t>招标文件</w:t>
      </w:r>
      <w:bookmarkEnd w:id="44"/>
      <w:bookmarkEnd w:id="45"/>
      <w:bookmarkEnd w:id="46"/>
      <w:bookmarkEnd w:id="47"/>
      <w:bookmarkEnd w:id="48"/>
    </w:p>
    <w:p>
      <w:pPr>
        <w:pStyle w:val="6"/>
        <w:numPr>
          <w:ilvl w:val="2"/>
          <w:numId w:val="3"/>
        </w:numPr>
        <w:spacing w:after="200" w:line="240" w:lineRule="auto"/>
        <w:ind w:left="0" w:firstLine="0"/>
        <w:rPr>
          <w:color w:val="000000" w:themeColor="text1"/>
          <w:highlight w:val="none"/>
          <w14:textFill>
            <w14:solidFill>
              <w14:schemeClr w14:val="tx1"/>
            </w14:solidFill>
          </w14:textFill>
        </w:rPr>
      </w:pPr>
      <w:bookmarkStart w:id="49" w:name="_Toc217446039"/>
      <w:bookmarkStart w:id="50" w:name="_Toc183682347"/>
      <w:bookmarkStart w:id="51" w:name="_Toc183582210"/>
      <w:r>
        <w:rPr>
          <w:rFonts w:hint="eastAsia"/>
          <w:color w:val="000000" w:themeColor="text1"/>
          <w:highlight w:val="none"/>
          <w14:textFill>
            <w14:solidFill>
              <w14:schemeClr w14:val="tx1"/>
            </w14:solidFill>
          </w14:textFill>
        </w:rPr>
        <w:t>招标文件的构成</w:t>
      </w:r>
      <w:bookmarkEnd w:id="49"/>
      <w:bookmarkEnd w:id="50"/>
      <w:bookmarkEnd w:id="51"/>
    </w:p>
    <w:p>
      <w:pPr>
        <w:numPr>
          <w:ilvl w:val="0"/>
          <w:numId w:val="10"/>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招标文件是供应商准备投标文件和参加投标的依据，同时也是评标的重要依据。招标文件用以阐明招标项目所需的资质、服务及报价等要求、招标投标程序、有关规定和注意事项以及合同主要条款等。本招标文件包括以下内容：</w:t>
      </w:r>
    </w:p>
    <w:p>
      <w:pPr>
        <w:numPr>
          <w:ilvl w:val="1"/>
          <w:numId w:val="11"/>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投标邀请；</w:t>
      </w:r>
    </w:p>
    <w:p>
      <w:pPr>
        <w:numPr>
          <w:ilvl w:val="1"/>
          <w:numId w:val="11"/>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供应商须知；</w:t>
      </w:r>
    </w:p>
    <w:p>
      <w:pPr>
        <w:numPr>
          <w:ilvl w:val="1"/>
          <w:numId w:val="11"/>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投标文件格式；</w:t>
      </w:r>
    </w:p>
    <w:p>
      <w:pPr>
        <w:numPr>
          <w:ilvl w:val="1"/>
          <w:numId w:val="11"/>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招标项目服务、商务及其他要求；</w:t>
      </w:r>
    </w:p>
    <w:p>
      <w:pPr>
        <w:numPr>
          <w:ilvl w:val="1"/>
          <w:numId w:val="11"/>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资格性审查；</w:t>
      </w:r>
    </w:p>
    <w:p>
      <w:pPr>
        <w:numPr>
          <w:ilvl w:val="1"/>
          <w:numId w:val="11"/>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评标办法；</w:t>
      </w:r>
    </w:p>
    <w:p>
      <w:pPr>
        <w:numPr>
          <w:ilvl w:val="1"/>
          <w:numId w:val="11"/>
        </w:numPr>
        <w:tabs>
          <w:tab w:val="left" w:pos="1134"/>
        </w:tabs>
        <w:spacing w:after="200"/>
        <w:ind w:left="567" w:firstLine="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拟签订合同文本。</w:t>
      </w:r>
    </w:p>
    <w:p>
      <w:pPr>
        <w:numPr>
          <w:ilvl w:val="0"/>
          <w:numId w:val="10"/>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供应商应认真阅读和充分理解招标文件中所有的事项、格式条款和规范要求。供应商没有对招标文件全面做出实质性响应所产生的风险由供应商承担。</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bookmarkStart w:id="52" w:name="_Toc183582211"/>
      <w:bookmarkStart w:id="53" w:name="_Toc183682348"/>
      <w:bookmarkStart w:id="54" w:name="_Toc217446040"/>
      <w:r>
        <w:rPr>
          <w:rFonts w:hint="eastAsia"/>
          <w:color w:val="000000" w:themeColor="text1"/>
          <w:highlight w:val="none"/>
          <w14:textFill>
            <w14:solidFill>
              <w14:schemeClr w14:val="tx1"/>
            </w14:solidFill>
          </w14:textFill>
        </w:rPr>
        <w:t>招标文件的澄清</w:t>
      </w:r>
      <w:bookmarkEnd w:id="52"/>
      <w:bookmarkEnd w:id="53"/>
      <w:r>
        <w:rPr>
          <w:rFonts w:hint="eastAsia"/>
          <w:color w:val="000000" w:themeColor="text1"/>
          <w:highlight w:val="none"/>
          <w14:textFill>
            <w14:solidFill>
              <w14:schemeClr w14:val="tx1"/>
            </w14:solidFill>
          </w14:textFill>
        </w:rPr>
        <w:t>和修改</w:t>
      </w:r>
      <w:bookmarkEnd w:id="54"/>
      <w:bookmarkStart w:id="55" w:name="_Toc89075876"/>
      <w:bookmarkStart w:id="56" w:name="_Toc31441"/>
      <w:bookmarkStart w:id="57" w:name="_Toc77400780"/>
      <w:bookmarkStart w:id="58" w:name="_Toc183582214"/>
      <w:bookmarkStart w:id="59" w:name="_Toc19128"/>
      <w:bookmarkStart w:id="60" w:name="_Toc6071"/>
      <w:bookmarkStart w:id="61" w:name="_Toc217446042"/>
      <w:bookmarkStart w:id="62" w:name="_Toc183682351"/>
      <w:bookmarkStart w:id="63" w:name="_Toc27307"/>
    </w:p>
    <w:p>
      <w:pPr>
        <w:numPr>
          <w:ilvl w:val="0"/>
          <w:numId w:val="12"/>
        </w:numPr>
        <w:tabs>
          <w:tab w:val="left" w:pos="142"/>
          <w:tab w:val="left" w:pos="1134"/>
        </w:tabs>
        <w:spacing w:after="200" w:line="360" w:lineRule="auto"/>
        <w:ind w:left="0" w:firstLine="56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在投标截止时间前，采购人或者</w:t>
      </w:r>
      <w:r>
        <w:rPr>
          <w:rFonts w:hint="eastAsia" w:cs="Arial"/>
          <w:color w:val="000000" w:themeColor="text1"/>
          <w:sz w:val="28"/>
          <w:szCs w:val="28"/>
          <w:highlight w:val="none"/>
          <w14:textFill>
            <w14:solidFill>
              <w14:schemeClr w14:val="tx1"/>
            </w14:solidFill>
          </w14:textFill>
        </w:rPr>
        <w:t>区公资交易中心</w:t>
      </w:r>
      <w:r>
        <w:rPr>
          <w:rFonts w:hint="eastAsia" w:ascii="宋体" w:hAnsi="宋体"/>
          <w:color w:val="000000" w:themeColor="text1"/>
          <w:sz w:val="28"/>
          <w:szCs w:val="28"/>
          <w:highlight w:val="none"/>
          <w14:textFill>
            <w14:solidFill>
              <w14:schemeClr w14:val="tx1"/>
            </w14:solidFill>
          </w14:textFill>
        </w:rPr>
        <w:t>可以对已发出的招标文件进行必要的澄清或者修改。</w:t>
      </w:r>
    </w:p>
    <w:p>
      <w:pPr>
        <w:numPr>
          <w:ilvl w:val="0"/>
          <w:numId w:val="12"/>
        </w:numPr>
        <w:spacing w:after="200"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澄清或者修改的内容，区公资交易中心将在“四川政府采购网”和“成都市公共资源交易服务中心”网站上发布澄清公告，同时通过政府采购云平台将澄清或者修改的内容告知所有在系统中成功获取招标文件的潜在供应商（供应商通过账号或CA证书登录云平台查看）</w:t>
      </w:r>
    </w:p>
    <w:p>
      <w:pPr>
        <w:numPr>
          <w:ilvl w:val="0"/>
          <w:numId w:val="12"/>
        </w:numPr>
        <w:tabs>
          <w:tab w:val="left" w:pos="142"/>
          <w:tab w:val="left" w:pos="1134"/>
        </w:tabs>
        <w:spacing w:after="200" w:line="360" w:lineRule="auto"/>
        <w:ind w:left="0" w:firstLine="56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澄清或者修改的内容可能影响投标文件编制的，区公资交易中心应当在投标截止时间至少15日前，通过政府采购云平台通知所有获取招标文件的潜在供应商；不足15日的，采购人或区公资交易中心应当顺延提交投标文件的截止时间。</w:t>
      </w:r>
    </w:p>
    <w:p>
      <w:pPr>
        <w:pStyle w:val="5"/>
        <w:numPr>
          <w:ilvl w:val="1"/>
          <w:numId w:val="3"/>
        </w:numPr>
        <w:spacing w:before="0" w:after="0" w:line="240" w:lineRule="auto"/>
        <w:ind w:left="2269" w:hanging="2127"/>
        <w:rPr>
          <w:color w:val="000000" w:themeColor="text1"/>
          <w:highlight w:val="none"/>
          <w14:textFill>
            <w14:solidFill>
              <w14:schemeClr w14:val="tx1"/>
            </w14:solidFill>
          </w14:textFill>
        </w:rPr>
      </w:pPr>
      <w:bookmarkStart w:id="64" w:name="_Toc79654065"/>
      <w:r>
        <w:rPr>
          <w:rFonts w:hint="eastAsia"/>
          <w:color w:val="000000" w:themeColor="text1"/>
          <w:highlight w:val="none"/>
          <w14:textFill>
            <w14:solidFill>
              <w14:schemeClr w14:val="tx1"/>
            </w14:solidFill>
          </w14:textFill>
        </w:rPr>
        <w:t>投标文件</w:t>
      </w:r>
      <w:bookmarkEnd w:id="55"/>
      <w:bookmarkEnd w:id="56"/>
      <w:bookmarkEnd w:id="57"/>
      <w:bookmarkEnd w:id="58"/>
      <w:bookmarkEnd w:id="59"/>
      <w:bookmarkEnd w:id="60"/>
      <w:bookmarkEnd w:id="61"/>
      <w:bookmarkEnd w:id="62"/>
      <w:bookmarkEnd w:id="63"/>
      <w:bookmarkEnd w:id="64"/>
    </w:p>
    <w:p>
      <w:pPr>
        <w:pStyle w:val="6"/>
        <w:numPr>
          <w:ilvl w:val="2"/>
          <w:numId w:val="3"/>
        </w:numPr>
        <w:spacing w:after="200" w:line="240" w:lineRule="auto"/>
        <w:ind w:left="0" w:firstLine="0"/>
        <w:rPr>
          <w:color w:val="000000" w:themeColor="text1"/>
          <w:highlight w:val="none"/>
          <w14:textFill>
            <w14:solidFill>
              <w14:schemeClr w14:val="tx1"/>
            </w14:solidFill>
          </w14:textFill>
        </w:rPr>
      </w:pPr>
      <w:bookmarkStart w:id="65" w:name="_Toc217446043"/>
      <w:bookmarkStart w:id="66" w:name="_Toc183682352"/>
      <w:bookmarkStart w:id="67" w:name="_Toc183582215"/>
      <w:r>
        <w:rPr>
          <w:rFonts w:hint="eastAsia"/>
          <w:color w:val="000000" w:themeColor="text1"/>
          <w:highlight w:val="none"/>
          <w14:textFill>
            <w14:solidFill>
              <w14:schemeClr w14:val="tx1"/>
            </w14:solidFill>
          </w14:textFill>
        </w:rPr>
        <w:t>投标文件的语言</w:t>
      </w:r>
      <w:bookmarkEnd w:id="65"/>
      <w:bookmarkEnd w:id="66"/>
      <w:bookmarkEnd w:id="67"/>
    </w:p>
    <w:p>
      <w:pPr>
        <w:numPr>
          <w:ilvl w:val="0"/>
          <w:numId w:val="13"/>
        </w:numPr>
        <w:tabs>
          <w:tab w:val="left" w:pos="1134"/>
        </w:tabs>
        <w:spacing w:after="200"/>
        <w:ind w:left="0" w:firstLine="56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提交的投标文件以及供应商与采购人或区公资交易中心就有关投标的所有来往书面文件均须使用中文，投标文件中所附或引用的外文资料，应翻译成中文附在相关外文资料后面。（说明：供应商的法定代表人为外籍人士的，则法定代表人的签字和护照除外）。</w:t>
      </w:r>
    </w:p>
    <w:p>
      <w:pPr>
        <w:numPr>
          <w:ilvl w:val="0"/>
          <w:numId w:val="13"/>
        </w:numPr>
        <w:tabs>
          <w:tab w:val="left" w:pos="1134"/>
        </w:tabs>
        <w:spacing w:after="200"/>
        <w:ind w:left="0" w:firstLine="56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 xml:space="preserve">对不同文字文本投标文件的解释发生异议的，以中文文本为准。若供应商投标文件中提供的外文资料未翻译成中文，则评标委员会可将其视为无效材料。 </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bookmarkStart w:id="68" w:name="_Toc217446044"/>
      <w:bookmarkStart w:id="69" w:name="_Toc183582216"/>
      <w:bookmarkStart w:id="70" w:name="_Toc183682353"/>
      <w:r>
        <w:rPr>
          <w:rFonts w:hint="eastAsia"/>
          <w:color w:val="000000" w:themeColor="text1"/>
          <w:highlight w:val="none"/>
          <w14:textFill>
            <w14:solidFill>
              <w14:schemeClr w14:val="tx1"/>
            </w14:solidFill>
          </w14:textFill>
        </w:rPr>
        <w:t>计量单位</w:t>
      </w:r>
      <w:bookmarkEnd w:id="68"/>
      <w:bookmarkEnd w:id="69"/>
      <w:bookmarkEnd w:id="70"/>
    </w:p>
    <w:p>
      <w:pPr>
        <w:tabs>
          <w:tab w:val="left" w:pos="7665"/>
        </w:tabs>
        <w:ind w:left="13" w:firstLine="554"/>
        <w:rPr>
          <w:rFonts w:ascii="宋体" w:hAnsi="宋体"/>
          <w:color w:val="000000" w:themeColor="text1"/>
          <w:sz w:val="28"/>
          <w:szCs w:val="28"/>
          <w:highlight w:val="none"/>
          <w14:textFill>
            <w14:solidFill>
              <w14:schemeClr w14:val="tx1"/>
            </w14:solidFill>
          </w14:textFill>
        </w:rPr>
      </w:pPr>
      <w:bookmarkStart w:id="71" w:name="_Toc217446045"/>
      <w:r>
        <w:rPr>
          <w:rFonts w:hint="eastAsia" w:ascii="宋体" w:hAnsi="宋体"/>
          <w:color w:val="000000" w:themeColor="text1"/>
          <w:sz w:val="28"/>
          <w:szCs w:val="28"/>
          <w:highlight w:val="none"/>
          <w14:textFill>
            <w14:solidFill>
              <w14:schemeClr w14:val="tx1"/>
            </w14:solidFill>
          </w14:textFill>
        </w:rPr>
        <w:t>除招标文件中另有规定外，本次采购项目所有合同项下的投标均采用国家法定的计量单位。</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投标货币</w:t>
      </w:r>
      <w:bookmarkEnd w:id="71"/>
    </w:p>
    <w:p>
      <w:pPr>
        <w:tabs>
          <w:tab w:val="left" w:pos="7665"/>
        </w:tabs>
        <w:ind w:left="13" w:firstLine="554"/>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本次招标项目的投标均以人民币报价。</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bookmarkStart w:id="72" w:name="_Toc217446046"/>
      <w:r>
        <w:rPr>
          <w:rFonts w:hint="eastAsia"/>
          <w:color w:val="000000" w:themeColor="text1"/>
          <w:highlight w:val="none"/>
          <w14:textFill>
            <w14:solidFill>
              <w14:schemeClr w14:val="tx1"/>
            </w14:solidFill>
          </w14:textFill>
        </w:rPr>
        <w:t>联合体投标</w:t>
      </w:r>
      <w:bookmarkEnd w:id="72"/>
    </w:p>
    <w:p>
      <w:pPr>
        <w:tabs>
          <w:tab w:val="left" w:pos="1134"/>
        </w:tabs>
        <w:ind w:left="546"/>
        <w:rPr>
          <w:rFonts w:ascii="宋体" w:hAnsi="宋体"/>
          <w:color w:val="000000" w:themeColor="text1"/>
          <w:sz w:val="28"/>
          <w:szCs w:val="28"/>
          <w:highlight w:val="none"/>
          <w14:textFill>
            <w14:solidFill>
              <w14:schemeClr w14:val="tx1"/>
            </w14:solidFill>
          </w14:textFill>
        </w:rPr>
      </w:pPr>
      <w:bookmarkStart w:id="73" w:name="_Toc217446047"/>
      <w:r>
        <w:rPr>
          <w:rFonts w:hint="eastAsia" w:ascii="宋体" w:hAnsi="宋体"/>
          <w:color w:val="000000" w:themeColor="text1"/>
          <w:sz w:val="28"/>
          <w:szCs w:val="28"/>
          <w:highlight w:val="none"/>
          <w14:textFill>
            <w14:solidFill>
              <w14:schemeClr w14:val="tx1"/>
            </w14:solidFill>
          </w14:textFill>
        </w:rPr>
        <w:t>本次政府采购活动</w:t>
      </w:r>
      <w:r>
        <w:rPr>
          <w:rFonts w:hint="eastAsia" w:ascii="宋体" w:hAnsi="宋体"/>
          <w:b/>
          <w:color w:val="000000" w:themeColor="text1"/>
          <w:sz w:val="28"/>
          <w:szCs w:val="28"/>
          <w:highlight w:val="none"/>
          <w14:textFill>
            <w14:solidFill>
              <w14:schemeClr w14:val="tx1"/>
            </w14:solidFill>
          </w14:textFill>
        </w:rPr>
        <w:t>不接受</w:t>
      </w:r>
      <w:r>
        <w:rPr>
          <w:rFonts w:hint="eastAsia" w:ascii="宋体" w:hAnsi="宋体"/>
          <w:color w:val="000000" w:themeColor="text1"/>
          <w:sz w:val="28"/>
          <w:szCs w:val="28"/>
          <w:highlight w:val="none"/>
          <w14:textFill>
            <w14:solidFill>
              <w14:schemeClr w14:val="tx1"/>
            </w14:solidFill>
          </w14:textFill>
        </w:rPr>
        <w:t>联合体投标。</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知识产权</w:t>
      </w:r>
      <w:bookmarkEnd w:id="73"/>
    </w:p>
    <w:p>
      <w:pPr>
        <w:pStyle w:val="156"/>
        <w:numPr>
          <w:ilvl w:val="0"/>
          <w:numId w:val="14"/>
        </w:numPr>
        <w:tabs>
          <w:tab w:val="left" w:pos="1134"/>
        </w:tabs>
        <w:spacing w:after="200"/>
        <w:ind w:left="0" w:firstLine="549" w:firstLineChars="0"/>
        <w:rPr>
          <w:rFonts w:ascii="宋体" w:hAnsi="宋体"/>
          <w:color w:val="000000" w:themeColor="text1"/>
          <w:sz w:val="28"/>
          <w:szCs w:val="28"/>
          <w:highlight w:val="none"/>
          <w14:textFill>
            <w14:solidFill>
              <w14:schemeClr w14:val="tx1"/>
            </w14:solidFill>
          </w14:textFill>
        </w:rPr>
      </w:pPr>
      <w:bookmarkStart w:id="74" w:name="_Toc217446048"/>
      <w:bookmarkStart w:id="75" w:name="_Toc183682354"/>
      <w:bookmarkStart w:id="76" w:name="_Toc183582217"/>
      <w:r>
        <w:rPr>
          <w:rFonts w:hint="eastAsia" w:ascii="宋体" w:hAnsi="宋体"/>
          <w:color w:val="000000" w:themeColor="text1"/>
          <w:sz w:val="28"/>
          <w:szCs w:val="28"/>
          <w:highlight w:val="none"/>
          <w14:textFill>
            <w14:solidFill>
              <w14:schemeClr w14:val="tx1"/>
            </w14:solidFill>
          </w14:textFill>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6"/>
        <w:numPr>
          <w:ilvl w:val="0"/>
          <w:numId w:val="14"/>
        </w:numPr>
        <w:tabs>
          <w:tab w:val="left" w:pos="1134"/>
        </w:tabs>
        <w:spacing w:after="200"/>
        <w:ind w:left="0" w:firstLine="549" w:firstLineChars="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采购人享有本项目实施过程中产生的知识成果及知识产权。</w:t>
      </w:r>
    </w:p>
    <w:p>
      <w:pPr>
        <w:pStyle w:val="156"/>
        <w:numPr>
          <w:ilvl w:val="0"/>
          <w:numId w:val="14"/>
        </w:numPr>
        <w:tabs>
          <w:tab w:val="left" w:pos="1134"/>
        </w:tabs>
        <w:spacing w:after="200"/>
        <w:ind w:left="0" w:firstLine="549" w:firstLineChars="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如拟在项目实施过程中采用自有知识成果，需在投标文件中声明，并提供相关知识产权证明文件。使用该知识成果后，供应商需提供开发接口和开发手册等技术文档，并提供无限期技术支持，采购人享有永久使用权（含采购人委托第三方在该项目后续开发的使用权）。</w:t>
      </w:r>
    </w:p>
    <w:p>
      <w:pPr>
        <w:pStyle w:val="156"/>
        <w:numPr>
          <w:ilvl w:val="0"/>
          <w:numId w:val="14"/>
        </w:numPr>
        <w:tabs>
          <w:tab w:val="left" w:pos="1134"/>
        </w:tabs>
        <w:spacing w:after="200"/>
        <w:ind w:left="0" w:firstLine="549" w:firstLineChars="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如采用供应商所不拥有的知识产权，则在投标报价中必须包括合法获取该知识产权的相关费用。</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投标文件的组成</w:t>
      </w:r>
      <w:bookmarkEnd w:id="74"/>
      <w:bookmarkEnd w:id="75"/>
      <w:bookmarkEnd w:id="76"/>
    </w:p>
    <w:p>
      <w:pPr>
        <w:ind w:firstLine="548" w:firstLineChars="196"/>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供应商应按照招标文件的规定和要求编制投标文件。供应商拟在中标后将中标项目的非主体、非关键性工作交由他人完成的，应当在投标文件中载明。供应商编写的投标文件应包括下列部分：</w:t>
      </w:r>
    </w:p>
    <w:p>
      <w:pPr>
        <w:pStyle w:val="7"/>
        <w:numPr>
          <w:ilvl w:val="3"/>
          <w:numId w:val="3"/>
        </w:numPr>
        <w:spacing w:line="560" w:lineRule="exac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资格响应文件：</w:t>
      </w:r>
    </w:p>
    <w:p>
      <w:pPr>
        <w:pStyle w:val="85"/>
        <w:numPr>
          <w:ilvl w:val="0"/>
          <w:numId w:val="15"/>
        </w:numPr>
        <w:tabs>
          <w:tab w:val="left" w:pos="1134"/>
        </w:tabs>
        <w:spacing w:after="200"/>
        <w:ind w:firstLineChars="0"/>
        <w:rPr>
          <w:rFonts w:ascii="宋体" w:hAnsi="宋体"/>
          <w:b/>
          <w:color w:val="000000" w:themeColor="text1"/>
          <w:kern w:val="0"/>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关于供应商资格申明的函；</w:t>
      </w:r>
    </w:p>
    <w:p>
      <w:pPr>
        <w:pStyle w:val="85"/>
        <w:numPr>
          <w:ilvl w:val="0"/>
          <w:numId w:val="15"/>
        </w:numPr>
        <w:tabs>
          <w:tab w:val="left" w:pos="1134"/>
        </w:tabs>
        <w:spacing w:after="200"/>
        <w:ind w:firstLineChars="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声明；</w:t>
      </w:r>
    </w:p>
    <w:p>
      <w:pPr>
        <w:pStyle w:val="85"/>
        <w:numPr>
          <w:ilvl w:val="0"/>
          <w:numId w:val="15"/>
        </w:numPr>
        <w:tabs>
          <w:tab w:val="left" w:pos="1134"/>
        </w:tabs>
        <w:spacing w:after="200"/>
        <w:ind w:firstLineChars="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供应商应提交的相关资格证明材料：</w:t>
      </w:r>
    </w:p>
    <w:p>
      <w:pPr>
        <w:pStyle w:val="85"/>
        <w:numPr>
          <w:ilvl w:val="0"/>
          <w:numId w:val="16"/>
        </w:numPr>
        <w:spacing w:after="200"/>
        <w:ind w:left="0" w:firstLine="567" w:firstLineChars="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营业执照复印件（正本或副本）或法人证书复印件（正本或副本）；</w:t>
      </w:r>
    </w:p>
    <w:p>
      <w:pPr>
        <w:pStyle w:val="85"/>
        <w:numPr>
          <w:ilvl w:val="0"/>
          <w:numId w:val="16"/>
        </w:numPr>
        <w:spacing w:after="200"/>
        <w:ind w:left="0" w:firstLine="546" w:firstLineChars="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2020会计年度资产负债表复印件（说明：①可提供2020年度经审计的财务报告复印件；②也可提供2020年度供应商内部的财务报表复印件（包括资产负债表、现金流量表、利润表）；③也可提供距文件递交截止日一年内银行出具的资信证明（复印件）；④供应商注册时间至文件递交截止日不足一年的，也可提供在工商备案的公司章程（复印件）；⑤供应商为事业法人或其他组织的提供其具有健全的财务会计制度的承诺函（格式自拟）复印件。）；</w:t>
      </w:r>
    </w:p>
    <w:p>
      <w:pPr>
        <w:pStyle w:val="85"/>
        <w:numPr>
          <w:ilvl w:val="0"/>
          <w:numId w:val="16"/>
        </w:numPr>
        <w:spacing w:after="200"/>
        <w:ind w:left="0" w:firstLine="546" w:firstLineChars="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供应商缴纳</w:t>
      </w:r>
      <w:r>
        <w:rPr>
          <w:rFonts w:hint="eastAsia" w:ascii="宋体" w:hAnsi="宋体"/>
          <w:b/>
          <w:color w:val="000000" w:themeColor="text1"/>
          <w:sz w:val="28"/>
          <w:szCs w:val="28"/>
          <w:highlight w:val="none"/>
          <w:lang w:eastAsia="zh-CN"/>
          <w14:textFill>
            <w14:solidFill>
              <w14:schemeClr w14:val="tx1"/>
            </w14:solidFill>
          </w14:textFill>
        </w:rPr>
        <w:t>2021年至今任意时段的税收</w:t>
      </w:r>
      <w:r>
        <w:rPr>
          <w:rFonts w:hint="eastAsia" w:ascii="宋体" w:hAnsi="宋体"/>
          <w:b/>
          <w:color w:val="000000" w:themeColor="text1"/>
          <w:sz w:val="28"/>
          <w:szCs w:val="28"/>
          <w:highlight w:val="none"/>
          <w14:textFill>
            <w14:solidFill>
              <w14:schemeClr w14:val="tx1"/>
            </w14:solidFill>
          </w14:textFill>
        </w:rPr>
        <w:t>的银行电子回单或者行政部门出具的纳税证明或完税证明复印件或承诺函（格式自拟）复印件（依法免税的供应商，应提供相应文件证明其依法免税）；</w:t>
      </w:r>
    </w:p>
    <w:p>
      <w:pPr>
        <w:pStyle w:val="85"/>
        <w:numPr>
          <w:ilvl w:val="0"/>
          <w:numId w:val="16"/>
        </w:numPr>
        <w:spacing w:after="200"/>
        <w:ind w:left="0" w:firstLine="546" w:firstLineChars="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采购人对供应商履行合同所必须的设备和专业技术能力无其他特殊要求，供应商具有有效的营业执照或法人证书即可，可不提供其他证明材料；</w:t>
      </w:r>
    </w:p>
    <w:p>
      <w:pPr>
        <w:pStyle w:val="85"/>
        <w:numPr>
          <w:ilvl w:val="0"/>
          <w:numId w:val="16"/>
        </w:numPr>
        <w:spacing w:after="200"/>
        <w:ind w:left="0" w:firstLine="546" w:firstLineChars="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供应商缴纳</w:t>
      </w:r>
      <w:r>
        <w:rPr>
          <w:rFonts w:hint="eastAsia" w:ascii="宋体" w:hAnsi="宋体"/>
          <w:b/>
          <w:color w:val="000000" w:themeColor="text1"/>
          <w:sz w:val="28"/>
          <w:szCs w:val="28"/>
          <w:highlight w:val="none"/>
          <w:lang w:eastAsia="zh-CN"/>
          <w14:textFill>
            <w14:solidFill>
              <w14:schemeClr w14:val="tx1"/>
            </w14:solidFill>
          </w14:textFill>
        </w:rPr>
        <w:t>2021年至今任意时段的社保</w:t>
      </w:r>
      <w:r>
        <w:rPr>
          <w:rFonts w:hint="eastAsia" w:ascii="宋体" w:hAnsi="宋体"/>
          <w:b/>
          <w:color w:val="000000" w:themeColor="text1"/>
          <w:sz w:val="28"/>
          <w:szCs w:val="28"/>
          <w:highlight w:val="none"/>
          <w14:textFill>
            <w14:solidFill>
              <w14:schemeClr w14:val="tx1"/>
            </w14:solidFill>
          </w14:textFill>
        </w:rPr>
        <w:t>的银行电子回单或行政部门出具的社保缴纳证明材料复印件或承诺函（格式自拟）复印件（依法不需要缴纳社会保障资金的供应商，应提供相应文件证明其依法不需要缴纳社会保障资金）；</w:t>
      </w:r>
    </w:p>
    <w:p>
      <w:pPr>
        <w:pStyle w:val="85"/>
        <w:numPr>
          <w:ilvl w:val="0"/>
          <w:numId w:val="16"/>
        </w:numPr>
        <w:spacing w:after="200"/>
        <w:ind w:left="0" w:firstLine="546" w:firstLineChars="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采购人对法律、行政法规规定的其他条件无其他特殊要求，供应商具有有效的营业执照或法人证书即可，可不提供其他证明材料；</w:t>
      </w:r>
    </w:p>
    <w:p>
      <w:pPr>
        <w:pStyle w:val="85"/>
        <w:numPr>
          <w:ilvl w:val="0"/>
          <w:numId w:val="16"/>
        </w:numPr>
        <w:spacing w:after="200"/>
        <w:ind w:left="0" w:firstLine="546" w:firstLineChars="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地下管线普查成果更新探测服务（包件1-5）：供应商须具备测绘地理信息主管部门颁发的测绘甲级资质证书复印件。测绘甲级资质证书须含“工程测量”和“地理信息系统工程”专业甲级，且“工程测量”专业中必须含有“地下管线测量”子项；“地理信息系统工程”专业中必须含有“地理信息系统及数据库建设”子项；</w:t>
      </w:r>
    </w:p>
    <w:p>
      <w:pPr>
        <w:pStyle w:val="85"/>
        <w:numPr>
          <w:ilvl w:val="0"/>
          <w:numId w:val="16"/>
        </w:numPr>
        <w:spacing w:after="200"/>
        <w:ind w:left="0" w:firstLine="546" w:firstLineChars="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地下管线普查成果更新监理服务（包件6）：供应商须具备测绘地理信息主管部门颁发的测绘甲级资质证书复印件。测绘甲级资质证书须含“工程测量”专业甲级，且“工程测量”专业中须含“地下管线测量”子项；</w:t>
      </w:r>
    </w:p>
    <w:p>
      <w:pPr>
        <w:pStyle w:val="85"/>
        <w:numPr>
          <w:ilvl w:val="0"/>
          <w:numId w:val="16"/>
        </w:numPr>
        <w:spacing w:after="200"/>
        <w:ind w:left="0" w:firstLine="546" w:firstLineChars="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地下管线普查成果更新质检服务（包件7）：供应商须具备省级及以上质量主管部门颁发的《计量认证证书CMA》（含管线测量）复印件。</w:t>
      </w:r>
    </w:p>
    <w:p>
      <w:pPr>
        <w:pStyle w:val="7"/>
        <w:numPr>
          <w:ilvl w:val="3"/>
          <w:numId w:val="3"/>
        </w:numPr>
        <w:spacing w:line="560" w:lineRule="exac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商务技术响应文件：</w:t>
      </w:r>
    </w:p>
    <w:p>
      <w:pPr>
        <w:numPr>
          <w:ilvl w:val="0"/>
          <w:numId w:val="17"/>
        </w:numPr>
        <w:tabs>
          <w:tab w:val="left" w:pos="1134"/>
        </w:tabs>
        <w:spacing w:after="200"/>
        <w:ind w:left="0" w:firstLine="546"/>
        <w:rPr>
          <w:rFonts w:ascii="宋体" w:hAnsi="宋体"/>
          <w:b/>
          <w:color w:val="000000" w:themeColor="text1"/>
          <w:kern w:val="0"/>
          <w:sz w:val="28"/>
          <w:szCs w:val="28"/>
          <w:highlight w:val="none"/>
          <w14:textFill>
            <w14:solidFill>
              <w14:schemeClr w14:val="tx1"/>
            </w14:solidFill>
          </w14:textFill>
        </w:rPr>
      </w:pPr>
      <w:r>
        <w:rPr>
          <w:rFonts w:hint="eastAsia" w:ascii="宋体" w:hAnsi="宋体"/>
          <w:b/>
          <w:color w:val="000000" w:themeColor="text1"/>
          <w:kern w:val="0"/>
          <w:sz w:val="28"/>
          <w:szCs w:val="28"/>
          <w:highlight w:val="none"/>
          <w14:textFill>
            <w14:solidFill>
              <w14:schemeClr w14:val="tx1"/>
            </w14:solidFill>
          </w14:textFill>
        </w:rPr>
        <w:t>投标函；</w:t>
      </w:r>
    </w:p>
    <w:p>
      <w:pPr>
        <w:numPr>
          <w:ilvl w:val="0"/>
          <w:numId w:val="17"/>
        </w:numPr>
        <w:tabs>
          <w:tab w:val="left" w:pos="1134"/>
        </w:tabs>
        <w:spacing w:after="200"/>
        <w:ind w:left="0" w:firstLine="546"/>
        <w:rPr>
          <w:rFonts w:ascii="宋体" w:hAnsi="宋体"/>
          <w:b/>
          <w:color w:val="000000" w:themeColor="text1"/>
          <w:kern w:val="0"/>
          <w:sz w:val="28"/>
          <w:szCs w:val="28"/>
          <w:highlight w:val="none"/>
          <w14:textFill>
            <w14:solidFill>
              <w14:schemeClr w14:val="tx1"/>
            </w14:solidFill>
          </w14:textFill>
        </w:rPr>
      </w:pPr>
      <w:r>
        <w:rPr>
          <w:rFonts w:hint="eastAsia" w:ascii="宋体" w:hAnsi="宋体"/>
          <w:b/>
          <w:color w:val="000000" w:themeColor="text1"/>
          <w:kern w:val="0"/>
          <w:sz w:val="28"/>
          <w:szCs w:val="28"/>
          <w:highlight w:val="none"/>
          <w14:textFill>
            <w14:solidFill>
              <w14:schemeClr w14:val="tx1"/>
            </w14:solidFill>
          </w14:textFill>
        </w:rPr>
        <w:t>法定代表人身份证明书；</w:t>
      </w:r>
    </w:p>
    <w:p>
      <w:pPr>
        <w:numPr>
          <w:ilvl w:val="0"/>
          <w:numId w:val="17"/>
        </w:numPr>
        <w:tabs>
          <w:tab w:val="left" w:pos="1134"/>
        </w:tabs>
        <w:spacing w:after="200"/>
        <w:ind w:left="0" w:firstLine="546"/>
        <w:rPr>
          <w:rFonts w:ascii="宋体" w:hAnsi="宋体"/>
          <w:b/>
          <w:color w:val="000000" w:themeColor="text1"/>
          <w:kern w:val="0"/>
          <w:sz w:val="28"/>
          <w:szCs w:val="28"/>
          <w:highlight w:val="none"/>
          <w14:textFill>
            <w14:solidFill>
              <w14:schemeClr w14:val="tx1"/>
            </w14:solidFill>
          </w14:textFill>
        </w:rPr>
      </w:pPr>
      <w:r>
        <w:rPr>
          <w:rFonts w:hint="eastAsia" w:ascii="宋体" w:hAnsi="宋体"/>
          <w:b/>
          <w:color w:val="000000" w:themeColor="text1"/>
          <w:kern w:val="0"/>
          <w:sz w:val="28"/>
          <w:szCs w:val="28"/>
          <w:highlight w:val="none"/>
          <w14:textFill>
            <w14:solidFill>
              <w14:schemeClr w14:val="tx1"/>
            </w14:solidFill>
          </w14:textFill>
        </w:rPr>
        <w:t>中小企业声明函（如未提供中小企业声明函，则不能享受招标文件规定的价格扣除，但不影响供应商投标文件的有效性）；</w:t>
      </w:r>
    </w:p>
    <w:p>
      <w:pPr>
        <w:numPr>
          <w:ilvl w:val="0"/>
          <w:numId w:val="17"/>
        </w:numPr>
        <w:tabs>
          <w:tab w:val="left" w:pos="1134"/>
        </w:tabs>
        <w:spacing w:after="200"/>
        <w:ind w:left="0" w:firstLine="546"/>
        <w:rPr>
          <w:rFonts w:ascii="宋体" w:hAnsi="宋体"/>
          <w:b/>
          <w:color w:val="000000" w:themeColor="text1"/>
          <w:kern w:val="0"/>
          <w:sz w:val="28"/>
          <w:szCs w:val="28"/>
          <w:highlight w:val="none"/>
          <w14:textFill>
            <w14:solidFill>
              <w14:schemeClr w14:val="tx1"/>
            </w14:solidFill>
          </w14:textFill>
        </w:rPr>
      </w:pPr>
      <w:r>
        <w:rPr>
          <w:rFonts w:hint="eastAsia" w:ascii="宋体" w:hAnsi="宋体"/>
          <w:b/>
          <w:color w:val="000000" w:themeColor="text1"/>
          <w:kern w:val="0"/>
          <w:sz w:val="28"/>
          <w:szCs w:val="28"/>
          <w:highlight w:val="none"/>
          <w14:textFill>
            <w14:solidFill>
              <w14:schemeClr w14:val="tx1"/>
            </w14:solidFill>
          </w14:textFill>
        </w:rPr>
        <w:t>残疾人福利性单位声明函（如未提供残疾人福利性单位声明函，则不能享受招标文件规定的价格扣除，但不影响供应商投标文件的有效性）；</w:t>
      </w:r>
    </w:p>
    <w:p>
      <w:pPr>
        <w:numPr>
          <w:ilvl w:val="0"/>
          <w:numId w:val="17"/>
        </w:numPr>
        <w:tabs>
          <w:tab w:val="left" w:pos="1134"/>
        </w:tabs>
        <w:spacing w:after="200"/>
        <w:ind w:left="0" w:firstLine="546"/>
        <w:rPr>
          <w:rFonts w:ascii="宋体" w:hAnsi="宋体"/>
          <w:b/>
          <w:color w:val="000000" w:themeColor="text1"/>
          <w:kern w:val="0"/>
          <w:sz w:val="28"/>
          <w:szCs w:val="28"/>
          <w:highlight w:val="none"/>
          <w14:textFill>
            <w14:solidFill>
              <w14:schemeClr w14:val="tx1"/>
            </w14:solidFill>
          </w14:textFill>
        </w:rPr>
      </w:pPr>
      <w:r>
        <w:rPr>
          <w:rFonts w:hint="eastAsia" w:ascii="宋体" w:hAnsi="宋体" w:eastAsia="宋体" w:cs="Times New Roman"/>
          <w:b/>
          <w:color w:val="000000" w:themeColor="text1"/>
          <w:kern w:val="0"/>
          <w:sz w:val="28"/>
          <w:szCs w:val="28"/>
          <w:highlight w:val="none"/>
          <w14:textFill>
            <w14:solidFill>
              <w14:schemeClr w14:val="tx1"/>
            </w14:solidFill>
          </w14:textFill>
        </w:rPr>
        <w:t>由省级以上监狱管理局、戒毒管理局（含新疆生产建设兵团）出具的投标人属于监狱企业的证明文件复印件（说明：</w:t>
      </w:r>
      <w:r>
        <w:rPr>
          <w:rFonts w:hint="eastAsia" w:ascii="宋体" w:hAnsi="宋体"/>
          <w:b/>
          <w:color w:val="000000" w:themeColor="text1"/>
          <w:kern w:val="0"/>
          <w:sz w:val="28"/>
          <w:szCs w:val="28"/>
          <w:highlight w:val="none"/>
          <w14:textFill>
            <w14:solidFill>
              <w14:schemeClr w14:val="tx1"/>
            </w14:solidFill>
          </w14:textFill>
        </w:rPr>
        <w:t>如未提供则不能享受招标文件规定的价格扣除，但不影响供应商投标文件的有效性</w:t>
      </w:r>
      <w:r>
        <w:rPr>
          <w:rFonts w:hint="eastAsia" w:ascii="宋体" w:hAnsi="宋体" w:eastAsia="宋体" w:cs="Times New Roman"/>
          <w:b/>
          <w:color w:val="000000" w:themeColor="text1"/>
          <w:kern w:val="0"/>
          <w:sz w:val="28"/>
          <w:szCs w:val="28"/>
          <w:highlight w:val="none"/>
          <w14:textFill>
            <w14:solidFill>
              <w14:schemeClr w14:val="tx1"/>
            </w14:solidFill>
          </w14:textFill>
        </w:rPr>
        <w:t xml:space="preserve">）； </w:t>
      </w:r>
    </w:p>
    <w:p>
      <w:pPr>
        <w:numPr>
          <w:ilvl w:val="0"/>
          <w:numId w:val="17"/>
        </w:numPr>
        <w:tabs>
          <w:tab w:val="left" w:pos="1134"/>
        </w:tabs>
        <w:spacing w:after="200"/>
        <w:ind w:left="0" w:firstLine="546"/>
        <w:rPr>
          <w:rFonts w:ascii="宋体" w:hAnsi="宋体"/>
          <w:b/>
          <w:color w:val="000000" w:themeColor="text1"/>
          <w:kern w:val="0"/>
          <w:sz w:val="28"/>
          <w:szCs w:val="28"/>
          <w:highlight w:val="none"/>
          <w14:textFill>
            <w14:solidFill>
              <w14:schemeClr w14:val="tx1"/>
            </w14:solidFill>
          </w14:textFill>
        </w:rPr>
      </w:pPr>
      <w:r>
        <w:rPr>
          <w:rFonts w:hint="eastAsia" w:ascii="宋体" w:hAnsi="宋体"/>
          <w:b/>
          <w:color w:val="000000" w:themeColor="text1"/>
          <w:kern w:val="0"/>
          <w:sz w:val="28"/>
          <w:szCs w:val="28"/>
          <w:highlight w:val="none"/>
          <w14:textFill>
            <w14:solidFill>
              <w14:schemeClr w14:val="tx1"/>
            </w14:solidFill>
          </w14:textFill>
        </w:rPr>
        <w:t>供应商基本情况表；</w:t>
      </w:r>
    </w:p>
    <w:p>
      <w:pPr>
        <w:numPr>
          <w:ilvl w:val="0"/>
          <w:numId w:val="17"/>
        </w:numPr>
        <w:tabs>
          <w:tab w:val="left" w:pos="1134"/>
          <w:tab w:val="left" w:pos="1418"/>
        </w:tabs>
        <w:spacing w:after="200"/>
        <w:ind w:left="0" w:firstLine="546"/>
        <w:rPr>
          <w:rFonts w:ascii="宋体" w:hAnsi="宋体"/>
          <w:b/>
          <w:color w:val="000000" w:themeColor="text1"/>
          <w:kern w:val="0"/>
          <w:sz w:val="28"/>
          <w:szCs w:val="28"/>
          <w:highlight w:val="none"/>
          <w14:textFill>
            <w14:solidFill>
              <w14:schemeClr w14:val="tx1"/>
            </w14:solidFill>
          </w14:textFill>
        </w:rPr>
      </w:pPr>
      <w:r>
        <w:rPr>
          <w:rFonts w:hint="eastAsia" w:ascii="宋体" w:hAnsi="宋体"/>
          <w:b/>
          <w:color w:val="000000" w:themeColor="text1"/>
          <w:kern w:val="0"/>
          <w:sz w:val="28"/>
          <w:szCs w:val="28"/>
          <w:highlight w:val="none"/>
          <w14:textFill>
            <w14:solidFill>
              <w14:schemeClr w14:val="tx1"/>
            </w14:solidFill>
          </w14:textFill>
        </w:rPr>
        <w:t>服务方案及服务承诺；</w:t>
      </w:r>
    </w:p>
    <w:p>
      <w:pPr>
        <w:numPr>
          <w:ilvl w:val="0"/>
          <w:numId w:val="17"/>
        </w:numPr>
        <w:tabs>
          <w:tab w:val="left" w:pos="1134"/>
          <w:tab w:val="left" w:pos="1418"/>
        </w:tabs>
        <w:spacing w:after="200"/>
        <w:ind w:left="0" w:firstLine="546"/>
        <w:rPr>
          <w:rFonts w:ascii="宋体" w:hAnsi="宋体"/>
          <w:b/>
          <w:color w:val="000000" w:themeColor="text1"/>
          <w:kern w:val="0"/>
          <w:sz w:val="28"/>
          <w:szCs w:val="28"/>
          <w:highlight w:val="none"/>
          <w14:textFill>
            <w14:solidFill>
              <w14:schemeClr w14:val="tx1"/>
            </w14:solidFill>
          </w14:textFill>
        </w:rPr>
      </w:pPr>
      <w:r>
        <w:rPr>
          <w:rFonts w:hint="eastAsia" w:ascii="宋体" w:hAnsi="宋体"/>
          <w:b/>
          <w:color w:val="000000" w:themeColor="text1"/>
          <w:kern w:val="0"/>
          <w:sz w:val="28"/>
          <w:szCs w:val="28"/>
          <w:highlight w:val="none"/>
          <w14:textFill>
            <w14:solidFill>
              <w14:schemeClr w14:val="tx1"/>
            </w14:solidFill>
          </w14:textFill>
        </w:rPr>
        <w:t>承诺函；</w:t>
      </w:r>
    </w:p>
    <w:p>
      <w:pPr>
        <w:numPr>
          <w:ilvl w:val="0"/>
          <w:numId w:val="17"/>
        </w:numPr>
        <w:tabs>
          <w:tab w:val="left" w:pos="1134"/>
          <w:tab w:val="left" w:pos="1418"/>
        </w:tabs>
        <w:spacing w:after="200"/>
        <w:ind w:left="0" w:firstLine="546"/>
        <w:rPr>
          <w:rFonts w:ascii="宋体" w:hAnsi="宋体"/>
          <w:b/>
          <w:color w:val="000000" w:themeColor="text1"/>
          <w:kern w:val="0"/>
          <w:sz w:val="28"/>
          <w:szCs w:val="28"/>
          <w:highlight w:val="none"/>
          <w14:textFill>
            <w14:solidFill>
              <w14:schemeClr w14:val="tx1"/>
            </w14:solidFill>
          </w14:textFill>
        </w:rPr>
      </w:pPr>
      <w:r>
        <w:rPr>
          <w:rFonts w:hint="eastAsia" w:ascii="宋体" w:hAnsi="宋体"/>
          <w:b/>
          <w:color w:val="000000" w:themeColor="text1"/>
          <w:kern w:val="0"/>
          <w:sz w:val="28"/>
          <w:szCs w:val="28"/>
          <w:highlight w:val="none"/>
          <w14:textFill>
            <w14:solidFill>
              <w14:schemeClr w14:val="tx1"/>
            </w14:solidFill>
          </w14:textFill>
        </w:rPr>
        <w:t>商务应答表；</w:t>
      </w:r>
    </w:p>
    <w:p>
      <w:pPr>
        <w:numPr>
          <w:ilvl w:val="0"/>
          <w:numId w:val="17"/>
        </w:numPr>
        <w:tabs>
          <w:tab w:val="left" w:pos="1134"/>
          <w:tab w:val="left" w:pos="1418"/>
        </w:tabs>
        <w:spacing w:after="200"/>
        <w:ind w:left="0" w:firstLine="546"/>
        <w:rPr>
          <w:rFonts w:ascii="宋体" w:hAnsi="宋体"/>
          <w:b/>
          <w:color w:val="000000" w:themeColor="text1"/>
          <w:kern w:val="0"/>
          <w:sz w:val="28"/>
          <w:szCs w:val="28"/>
          <w:highlight w:val="none"/>
          <w14:textFill>
            <w14:solidFill>
              <w14:schemeClr w14:val="tx1"/>
            </w14:solidFill>
          </w14:textFill>
        </w:rPr>
      </w:pPr>
      <w:r>
        <w:rPr>
          <w:rFonts w:hint="eastAsia" w:ascii="宋体" w:hAnsi="宋体"/>
          <w:b/>
          <w:color w:val="000000" w:themeColor="text1"/>
          <w:kern w:val="0"/>
          <w:sz w:val="28"/>
          <w:szCs w:val="28"/>
          <w:highlight w:val="none"/>
          <w14:textFill>
            <w14:solidFill>
              <w14:schemeClr w14:val="tx1"/>
            </w14:solidFill>
          </w14:textFill>
        </w:rPr>
        <w:t>服务应答表。</w:t>
      </w:r>
    </w:p>
    <w:p>
      <w:pPr>
        <w:pStyle w:val="7"/>
        <w:numPr>
          <w:ilvl w:val="3"/>
          <w:numId w:val="3"/>
        </w:numPr>
        <w:spacing w:line="560" w:lineRule="exact"/>
        <w:rPr>
          <w:rFonts w:ascii="宋体" w:hAnsi="宋体"/>
          <w:b w:val="0"/>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报价</w:t>
      </w:r>
      <w:r>
        <w:rPr>
          <w:rFonts w:ascii="宋体" w:hAnsi="宋体"/>
          <w:color w:val="000000" w:themeColor="text1"/>
          <w:highlight w:val="none"/>
          <w14:textFill>
            <w14:solidFill>
              <w14:schemeClr w14:val="tx1"/>
            </w14:solidFill>
          </w14:textFill>
        </w:rPr>
        <w:t>要求响应文件</w:t>
      </w:r>
    </w:p>
    <w:p>
      <w:pPr>
        <w:tabs>
          <w:tab w:val="left" w:pos="1134"/>
          <w:tab w:val="left" w:pos="1418"/>
        </w:tabs>
        <w:spacing w:after="200"/>
        <w:ind w:firstLine="551" w:firstLineChars="196"/>
        <w:rPr>
          <w:rFonts w:ascii="宋体" w:hAnsi="宋体"/>
          <w:b/>
          <w:color w:val="000000" w:themeColor="text1"/>
          <w:kern w:val="0"/>
          <w:sz w:val="28"/>
          <w:szCs w:val="28"/>
          <w:highlight w:val="none"/>
          <w14:textFill>
            <w14:solidFill>
              <w14:schemeClr w14:val="tx1"/>
            </w14:solidFill>
          </w14:textFill>
        </w:rPr>
      </w:pPr>
      <w:r>
        <w:rPr>
          <w:rFonts w:hint="eastAsia" w:ascii="宋体" w:hAnsi="宋体"/>
          <w:b/>
          <w:color w:val="000000" w:themeColor="text1"/>
          <w:kern w:val="0"/>
          <w:sz w:val="28"/>
          <w:szCs w:val="28"/>
          <w:highlight w:val="none"/>
          <w14:textFill>
            <w14:solidFill>
              <w14:schemeClr w14:val="tx1"/>
            </w14:solidFill>
          </w14:textFill>
        </w:rPr>
        <w:t>一、开标一览表；</w:t>
      </w:r>
    </w:p>
    <w:p>
      <w:pPr>
        <w:tabs>
          <w:tab w:val="left" w:pos="1134"/>
          <w:tab w:val="left" w:pos="1418"/>
        </w:tabs>
        <w:spacing w:after="200"/>
        <w:ind w:firstLine="551" w:firstLineChars="196"/>
        <w:rPr>
          <w:rFonts w:ascii="宋体" w:hAnsi="宋体"/>
          <w:b/>
          <w:color w:val="000000" w:themeColor="text1"/>
          <w:kern w:val="0"/>
          <w:sz w:val="28"/>
          <w:szCs w:val="28"/>
          <w:highlight w:val="none"/>
          <w14:textFill>
            <w14:solidFill>
              <w14:schemeClr w14:val="tx1"/>
            </w14:solidFill>
          </w14:textFill>
        </w:rPr>
      </w:pPr>
      <w:r>
        <w:rPr>
          <w:rFonts w:hint="eastAsia" w:ascii="宋体" w:hAnsi="宋体"/>
          <w:b/>
          <w:color w:val="000000" w:themeColor="text1"/>
          <w:kern w:val="0"/>
          <w:sz w:val="28"/>
          <w:szCs w:val="28"/>
          <w:highlight w:val="none"/>
          <w14:textFill>
            <w14:solidFill>
              <w14:schemeClr w14:val="tx1"/>
            </w14:solidFill>
          </w14:textFill>
        </w:rPr>
        <w:t>二、分项报价明细表。</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bookmarkStart w:id="77" w:name="_Toc316291395"/>
      <w:bookmarkEnd w:id="77"/>
      <w:bookmarkStart w:id="78" w:name="_Toc316291396"/>
      <w:bookmarkEnd w:id="78"/>
      <w:bookmarkStart w:id="79" w:name="_Toc316292019"/>
      <w:bookmarkEnd w:id="79"/>
      <w:bookmarkStart w:id="80" w:name="_Toc316292020"/>
      <w:bookmarkEnd w:id="80"/>
      <w:bookmarkStart w:id="81" w:name="_Toc183682355"/>
      <w:bookmarkStart w:id="82" w:name="_Toc217446049"/>
      <w:bookmarkStart w:id="83" w:name="_Toc183582218"/>
      <w:r>
        <w:rPr>
          <w:rFonts w:hint="eastAsia"/>
          <w:color w:val="000000" w:themeColor="text1"/>
          <w:highlight w:val="none"/>
          <w14:textFill>
            <w14:solidFill>
              <w14:schemeClr w14:val="tx1"/>
            </w14:solidFill>
          </w14:textFill>
        </w:rPr>
        <w:t>投标文件格式</w:t>
      </w:r>
      <w:bookmarkEnd w:id="81"/>
      <w:bookmarkEnd w:id="82"/>
      <w:bookmarkEnd w:id="83"/>
      <w:r>
        <w:rPr>
          <w:rFonts w:hint="eastAsia"/>
          <w:color w:val="000000" w:themeColor="text1"/>
          <w:highlight w:val="none"/>
          <w14:textFill>
            <w14:solidFill>
              <w14:schemeClr w14:val="tx1"/>
            </w14:solidFill>
          </w14:textFill>
        </w:rPr>
        <w:tab/>
      </w:r>
    </w:p>
    <w:p>
      <w:pPr>
        <w:numPr>
          <w:ilvl w:val="0"/>
          <w:numId w:val="18"/>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供应商应按照招标文件第3章中提供的“投标文件格式”填写相关内容。</w:t>
      </w:r>
    </w:p>
    <w:p>
      <w:pPr>
        <w:numPr>
          <w:ilvl w:val="0"/>
          <w:numId w:val="18"/>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对于没有格式要求的投标文件由供应商自行编写。</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bookmarkStart w:id="84" w:name="_Toc217446050"/>
      <w:bookmarkStart w:id="85" w:name="_Toc183582223"/>
      <w:bookmarkStart w:id="86" w:name="_Toc183682360"/>
      <w:r>
        <w:rPr>
          <w:rFonts w:hint="eastAsia"/>
          <w:color w:val="000000" w:themeColor="text1"/>
          <w:highlight w:val="none"/>
          <w14:textFill>
            <w14:solidFill>
              <w14:schemeClr w14:val="tx1"/>
            </w14:solidFill>
          </w14:textFill>
        </w:rPr>
        <w:t>投标报价</w:t>
      </w:r>
    </w:p>
    <w:p>
      <w:pPr>
        <w:numPr>
          <w:ilvl w:val="0"/>
          <w:numId w:val="19"/>
        </w:numPr>
        <w:tabs>
          <w:tab w:val="left" w:pos="1134"/>
        </w:tabs>
        <w:spacing w:line="360" w:lineRule="auto"/>
        <w:ind w:left="0" w:firstLine="56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供应商的报价是供应商响应招标项目要求的全部工作内容的价格体现，包括供应商完成本项目所需的一切费用。</w:t>
      </w:r>
    </w:p>
    <w:p>
      <w:pPr>
        <w:numPr>
          <w:ilvl w:val="0"/>
          <w:numId w:val="19"/>
        </w:numPr>
        <w:tabs>
          <w:tab w:val="left" w:pos="1134"/>
        </w:tabs>
        <w:spacing w:line="360" w:lineRule="auto"/>
        <w:ind w:left="0" w:firstLine="56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三、投标文件报价出现前后不一致的，按照下列规定修正：（1）大写金额和小写金额不一致的，以大写金额为准，但大写金额出现文字错误，导致金额无法判断的除外；（</w:t>
      </w:r>
      <w:r>
        <w:rPr>
          <w:rFonts w:ascii="宋体" w:hAnsi="宋体"/>
          <w:color w:val="000000" w:themeColor="text1"/>
          <w:sz w:val="28"/>
          <w:szCs w:val="28"/>
          <w:highlight w:val="none"/>
          <w14:textFill>
            <w14:solidFill>
              <w14:schemeClr w14:val="tx1"/>
            </w14:solidFill>
          </w14:textFill>
        </w:rPr>
        <w:t>2</w:t>
      </w:r>
      <w:r>
        <w:rPr>
          <w:rFonts w:hint="eastAsia" w:ascii="宋体" w:hAnsi="宋体"/>
          <w:color w:val="000000" w:themeColor="text1"/>
          <w:sz w:val="28"/>
          <w:szCs w:val="28"/>
          <w:highlight w:val="none"/>
          <w14:textFill>
            <w14:solidFill>
              <w14:schemeClr w14:val="tx1"/>
            </w14:solidFill>
          </w14:textFill>
        </w:rPr>
        <w:t>）单价金额小数点或者百分比有明显错位的，应以总价为准，并修改单价；（</w:t>
      </w:r>
      <w:r>
        <w:rPr>
          <w:rFonts w:ascii="宋体" w:hAnsi="宋体"/>
          <w:color w:val="000000" w:themeColor="text1"/>
          <w:sz w:val="28"/>
          <w:szCs w:val="28"/>
          <w:highlight w:val="none"/>
          <w14:textFill>
            <w14:solidFill>
              <w14:schemeClr w14:val="tx1"/>
            </w14:solidFill>
          </w14:textFill>
        </w:rPr>
        <w:t>3</w:t>
      </w:r>
      <w:r>
        <w:rPr>
          <w:rFonts w:hint="eastAsia" w:ascii="宋体" w:hAnsi="宋体"/>
          <w:color w:val="000000" w:themeColor="text1"/>
          <w:sz w:val="28"/>
          <w:szCs w:val="28"/>
          <w:highlight w:val="none"/>
          <w14:textFill>
            <w14:solidFill>
              <w14:schemeClr w14:val="tx1"/>
            </w14:solidFill>
          </w14:textFill>
        </w:rPr>
        <w:t>）总价金额与按单价汇总金额不一致的，以单价金额计算结果为准。</w:t>
      </w:r>
    </w:p>
    <w:p>
      <w:pPr>
        <w:tabs>
          <w:tab w:val="left" w:pos="1134"/>
        </w:tabs>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cs="Arial"/>
          <w:color w:val="000000" w:themeColor="text1"/>
          <w:sz w:val="28"/>
          <w:szCs w:val="28"/>
          <w:highlight w:val="none"/>
          <w14:textFill>
            <w14:solidFill>
              <w14:schemeClr w14:val="tx1"/>
            </w14:solidFill>
          </w14:textFill>
        </w:rPr>
        <w:t>同时出现两种以上不一致的，按照前款规定的顺序修正。修正后的报价经供应商以书面形式通过政府采购云平台进行确认，并加盖供应商（法定名称）电子签章，供应商逾时确认的，其投标无效。</w:t>
      </w:r>
      <w:r>
        <w:rPr>
          <w:rFonts w:hint="eastAsia" w:ascii="宋体" w:hAnsi="宋体"/>
          <w:color w:val="000000" w:themeColor="text1"/>
          <w:sz w:val="28"/>
          <w:szCs w:val="28"/>
          <w:highlight w:val="none"/>
          <w14:textFill>
            <w14:solidFill>
              <w14:schemeClr w14:val="tx1"/>
            </w14:solidFill>
          </w14:textFill>
        </w:rPr>
        <w:t>如因断电、断网、系统故障或其他不可抗力等因素</w:t>
      </w:r>
      <w:r>
        <w:rPr>
          <w:rFonts w:hint="eastAsia" w:cs="Arial"/>
          <w:color w:val="000000" w:themeColor="text1"/>
          <w:sz w:val="28"/>
          <w:szCs w:val="28"/>
          <w:highlight w:val="none"/>
          <w14:textFill>
            <w14:solidFill>
              <w14:schemeClr w14:val="tx1"/>
            </w14:solidFill>
          </w14:textFill>
        </w:rPr>
        <w:t>，导致系统无法使用的，由供应商按评标委员会的要求进行澄清或者说明。</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投标保证金</w:t>
      </w:r>
      <w:bookmarkEnd w:id="84"/>
      <w:bookmarkEnd w:id="85"/>
      <w:bookmarkEnd w:id="86"/>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本项目不收取投标保证金。</w:t>
      </w:r>
    </w:p>
    <w:p>
      <w:pPr>
        <w:pStyle w:val="6"/>
        <w:numPr>
          <w:ilvl w:val="2"/>
          <w:numId w:val="3"/>
        </w:numPr>
        <w:tabs>
          <w:tab w:val="left" w:pos="851"/>
        </w:tabs>
        <w:spacing w:after="200" w:line="240" w:lineRule="auto"/>
        <w:ind w:left="0" w:firstLine="0"/>
        <w:rPr>
          <w:color w:val="000000" w:themeColor="text1"/>
          <w:highlight w:val="none"/>
          <w14:textFill>
            <w14:solidFill>
              <w14:schemeClr w14:val="tx1"/>
            </w14:solidFill>
          </w14:textFill>
        </w:rPr>
      </w:pPr>
      <w:bookmarkStart w:id="87" w:name="_Toc316292024"/>
      <w:bookmarkEnd w:id="87"/>
      <w:bookmarkStart w:id="88" w:name="_Toc316291400"/>
      <w:bookmarkEnd w:id="88"/>
      <w:bookmarkStart w:id="89" w:name="_Toc183682361"/>
      <w:bookmarkStart w:id="90" w:name="_Toc183582224"/>
      <w:bookmarkStart w:id="91" w:name="_Toc217446051"/>
      <w:r>
        <w:rPr>
          <w:rFonts w:hint="eastAsia"/>
          <w:color w:val="000000" w:themeColor="text1"/>
          <w:highlight w:val="none"/>
          <w14:textFill>
            <w14:solidFill>
              <w14:schemeClr w14:val="tx1"/>
            </w14:solidFill>
          </w14:textFill>
        </w:rPr>
        <w:t>投标有效期</w:t>
      </w:r>
      <w:bookmarkEnd w:id="89"/>
      <w:bookmarkEnd w:id="90"/>
      <w:bookmarkEnd w:id="91"/>
    </w:p>
    <w:p>
      <w:pPr>
        <w:numPr>
          <w:ilvl w:val="0"/>
          <w:numId w:val="20"/>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投标有效期为</w:t>
      </w:r>
      <w:r>
        <w:rPr>
          <w:rFonts w:hint="eastAsia" w:ascii="Helvetica" w:hAnsi="Helvetica" w:cs="Helvetica"/>
          <w:color w:val="000000" w:themeColor="text1"/>
          <w:sz w:val="28"/>
          <w:szCs w:val="28"/>
          <w:highlight w:val="none"/>
          <w14:textFill>
            <w14:solidFill>
              <w14:schemeClr w14:val="tx1"/>
            </w14:solidFill>
          </w14:textFill>
        </w:rPr>
        <w:t>提交投标文件的截止之日起</w:t>
      </w:r>
      <w:r>
        <w:rPr>
          <w:rFonts w:hint="eastAsia" w:ascii="宋体" w:hAnsi="宋体"/>
          <w:color w:val="000000" w:themeColor="text1"/>
          <w:sz w:val="28"/>
          <w:szCs w:val="28"/>
          <w:highlight w:val="none"/>
          <w:u w:val="single"/>
          <w14:textFill>
            <w14:solidFill>
              <w14:schemeClr w14:val="tx1"/>
            </w14:solidFill>
          </w14:textFill>
        </w:rPr>
        <w:t>120</w:t>
      </w:r>
      <w:r>
        <w:rPr>
          <w:rFonts w:hint="eastAsia" w:ascii="宋体" w:hAnsi="宋体"/>
          <w:color w:val="000000" w:themeColor="text1"/>
          <w:sz w:val="28"/>
          <w:szCs w:val="28"/>
          <w:highlight w:val="none"/>
          <w14:textFill>
            <w14:solidFill>
              <w14:schemeClr w14:val="tx1"/>
            </w14:solidFill>
          </w14:textFill>
        </w:rPr>
        <w:t>天。投标有效期短于此规定期限的或不作响应的，则其投标文件将按无效投标文件处理。</w:t>
      </w:r>
    </w:p>
    <w:p>
      <w:pPr>
        <w:numPr>
          <w:ilvl w:val="0"/>
          <w:numId w:val="20"/>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bookmarkStart w:id="92" w:name="_Toc183582225"/>
      <w:bookmarkStart w:id="93" w:name="_Toc217446052"/>
      <w:bookmarkStart w:id="94" w:name="_Toc183682362"/>
      <w:r>
        <w:rPr>
          <w:rFonts w:hint="eastAsia" w:ascii="宋体" w:hAnsi="宋体"/>
          <w:color w:val="000000" w:themeColor="text1"/>
          <w:sz w:val="28"/>
          <w:szCs w:val="28"/>
          <w:highlight w:val="none"/>
          <w14:textFill>
            <w14:solidFill>
              <w14:schemeClr w14:val="tx1"/>
            </w14:solidFill>
          </w14:textFill>
        </w:rPr>
        <w:t>特殊情况下，采购人可于投标有效期满之前要求供应商同意延长有效期，要求与答复均应为书面形式。供应商可以拒绝上述要求，其投标保证金不被没收。同意延长投标有效期的供应商不能修改其投标文件，关于投标保证金的有关规定在延长的投标有效期内继续有效。</w:t>
      </w:r>
    </w:p>
    <w:p>
      <w:pPr>
        <w:pStyle w:val="6"/>
        <w:numPr>
          <w:ilvl w:val="2"/>
          <w:numId w:val="3"/>
        </w:numPr>
        <w:tabs>
          <w:tab w:val="left" w:pos="851"/>
        </w:tabs>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投标文件的制作和签章、加密</w:t>
      </w:r>
      <w:bookmarkEnd w:id="92"/>
      <w:bookmarkEnd w:id="93"/>
      <w:bookmarkEnd w:id="94"/>
      <w:bookmarkStart w:id="95" w:name="_Toc316475581"/>
      <w:bookmarkEnd w:id="95"/>
      <w:bookmarkStart w:id="96" w:name="_Toc316475580"/>
      <w:bookmarkEnd w:id="96"/>
      <w:bookmarkStart w:id="97" w:name="_Toc316475578"/>
      <w:bookmarkEnd w:id="97"/>
      <w:bookmarkStart w:id="98" w:name="_Toc316475577"/>
      <w:bookmarkEnd w:id="98"/>
      <w:bookmarkStart w:id="99" w:name="_Toc316475582"/>
      <w:bookmarkEnd w:id="99"/>
      <w:bookmarkStart w:id="100" w:name="_Toc316475583"/>
      <w:bookmarkEnd w:id="100"/>
      <w:bookmarkStart w:id="101" w:name="_Toc316475579"/>
      <w:bookmarkEnd w:id="101"/>
      <w:bookmarkStart w:id="102" w:name="_Toc183582227"/>
      <w:bookmarkStart w:id="103" w:name="_Toc183682364"/>
      <w:bookmarkStart w:id="104" w:name="_Toc217446054"/>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一、投标文件应根据招标文件的要求进行制作。</w:t>
      </w:r>
      <w:r>
        <w:rPr>
          <w:rFonts w:hint="eastAsia" w:ascii="宋体" w:hAnsi="宋体"/>
          <w:b/>
          <w:bCs/>
          <w:color w:val="000000" w:themeColor="text1"/>
          <w:sz w:val="28"/>
          <w:szCs w:val="28"/>
          <w:highlight w:val="none"/>
          <w14:textFill>
            <w14:solidFill>
              <w14:schemeClr w14:val="tx1"/>
            </w14:solidFill>
          </w14:textFill>
        </w:rPr>
        <w:t>（说明：1、招标文件中要求提供复印件证明材料的，包含提供原件的影印件或复印件。</w:t>
      </w:r>
      <w:r>
        <w:rPr>
          <w:rFonts w:hint="eastAsia" w:ascii="宋体" w:hAnsi="宋体"/>
          <w:b/>
          <w:bCs/>
          <w:sz w:val="28"/>
          <w:szCs w:val="28"/>
        </w:rPr>
        <w:t>2、要求提供复印件的证明材料须清晰可辨，如供应商提供复印件的证明材料使</w:t>
      </w:r>
      <w:r>
        <w:rPr>
          <w:rFonts w:hint="eastAsia" w:ascii="宋体" w:hAnsi="宋体"/>
          <w:b/>
          <w:bCs/>
          <w:sz w:val="28"/>
          <w:szCs w:val="28"/>
          <w:lang w:eastAsia="zh-CN"/>
        </w:rPr>
        <w:t>评审</w:t>
      </w:r>
      <w:r>
        <w:rPr>
          <w:rFonts w:hint="eastAsia" w:ascii="宋体" w:hAnsi="宋体"/>
          <w:b/>
          <w:bCs/>
          <w:sz w:val="28"/>
          <w:szCs w:val="28"/>
        </w:rPr>
        <w:t>小组无法辨别、不予认可，由供应商自行承担可能产生的一切后果。</w:t>
      </w:r>
      <w:r>
        <w:rPr>
          <w:rFonts w:hint="eastAsia" w:ascii="宋体" w:hAnsi="宋体"/>
          <w:b/>
          <w:bCs/>
          <w:color w:val="000000" w:themeColor="text1"/>
          <w:sz w:val="28"/>
          <w:szCs w:val="28"/>
          <w:highlight w:val="none"/>
          <w14:textFill>
            <w14:solidFill>
              <w14:schemeClr w14:val="tx1"/>
            </w14:solidFill>
          </w14:textFill>
        </w:rPr>
        <w:t>）</w:t>
      </w: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二、投标文件制作详情：</w:t>
      </w: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1、本项目实行电子投标。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应按招标文件要求，通过“政采云投标客户端”制作、加密并提交投标文件。</w:t>
      </w: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2、投标文件应加盖供应商（法定名称）电子签章，不得使用供应商专用章（如经济合同章、投标专用章等）或下属单位印章代替。</w:t>
      </w: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3、供应商应使用本企业CA数字证书对投标文件进行加密。</w:t>
      </w: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4、招标文件有修改的，供应商须重新下载修改后的招标文件（修改后的招标文件在更正公告中下载），根据修改后的招标文件制作、撤回修改，并递交投标文件。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投标。</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投标文件的</w:t>
      </w:r>
      <w:bookmarkEnd w:id="102"/>
      <w:bookmarkEnd w:id="103"/>
      <w:r>
        <w:rPr>
          <w:rFonts w:hint="eastAsia"/>
          <w:color w:val="000000" w:themeColor="text1"/>
          <w:highlight w:val="none"/>
          <w14:textFill>
            <w14:solidFill>
              <w14:schemeClr w14:val="tx1"/>
            </w14:solidFill>
          </w14:textFill>
        </w:rPr>
        <w:t>递交</w:t>
      </w:r>
      <w:bookmarkEnd w:id="104"/>
    </w:p>
    <w:p>
      <w:pPr>
        <w:tabs>
          <w:tab w:val="left" w:pos="0"/>
        </w:tabs>
        <w:spacing w:line="360" w:lineRule="auto"/>
        <w:ind w:firstLine="420" w:firstLineChars="150"/>
        <w:rPr>
          <w:rFonts w:ascii="宋体" w:hAnsi="宋体" w:eastAsiaTheme="minorEastAsia" w:cstheme="minorBidi"/>
          <w:bCs/>
          <w:color w:val="000000" w:themeColor="text1"/>
          <w:sz w:val="28"/>
          <w:szCs w:val="28"/>
          <w:highlight w:val="none"/>
          <w14:textFill>
            <w14:solidFill>
              <w14:schemeClr w14:val="tx1"/>
            </w14:solidFill>
          </w14:textFill>
        </w:rPr>
      </w:pPr>
      <w:r>
        <w:rPr>
          <w:rFonts w:hint="eastAsia" w:ascii="宋体" w:hAnsi="宋体" w:eastAsiaTheme="minorEastAsia" w:cstheme="minorBidi"/>
          <w:bCs/>
          <w:color w:val="000000" w:themeColor="text1"/>
          <w:sz w:val="28"/>
          <w:szCs w:val="28"/>
          <w:highlight w:val="none"/>
          <w14:textFill>
            <w14:solidFill>
              <w14:schemeClr w14:val="tx1"/>
            </w14:solidFill>
          </w14:textFill>
        </w:rPr>
        <w:t>一、供应商应当在投标文件递交截止时间前，将生成的已加密的电子投标文件成功递交至“政府采购云平台”。</w:t>
      </w:r>
    </w:p>
    <w:p>
      <w:pPr>
        <w:tabs>
          <w:tab w:val="left" w:pos="0"/>
        </w:tabs>
        <w:spacing w:line="360" w:lineRule="auto"/>
        <w:ind w:firstLine="420" w:firstLineChars="150"/>
        <w:rPr>
          <w:rFonts w:ascii="宋体" w:hAnsi="宋体" w:eastAsiaTheme="minorEastAsia" w:cstheme="minorBidi"/>
          <w:bCs/>
          <w:color w:val="000000" w:themeColor="text1"/>
          <w:sz w:val="28"/>
          <w:szCs w:val="28"/>
          <w:highlight w:val="none"/>
          <w14:textFill>
            <w14:solidFill>
              <w14:schemeClr w14:val="tx1"/>
            </w14:solidFill>
          </w14:textFill>
        </w:rPr>
      </w:pPr>
      <w:r>
        <w:rPr>
          <w:rFonts w:hint="eastAsia" w:ascii="宋体" w:hAnsi="宋体" w:eastAsiaTheme="minorEastAsia" w:cstheme="minorBidi"/>
          <w:bCs/>
          <w:color w:val="000000" w:themeColor="text1"/>
          <w:sz w:val="28"/>
          <w:szCs w:val="28"/>
          <w:highlight w:val="none"/>
          <w14:textFill>
            <w14:solidFill>
              <w14:schemeClr w14:val="tx1"/>
            </w14:solidFill>
          </w14:textFill>
        </w:rPr>
        <w:t>二、因招标文件的修改推迟投标截止日期的，供应商按区公资交易中心在“四川政府采购网”和“成都市公共资源交易服务中心”网站上发布的澄清公告中修改的时间递交投标文件，同时通过“政府采购云平台”将澄清或者修改的内容告知所有在系统中成功获取招标文件的潜在供应商。</w:t>
      </w:r>
    </w:p>
    <w:p>
      <w:pPr>
        <w:tabs>
          <w:tab w:val="left" w:pos="0"/>
        </w:tabs>
        <w:spacing w:line="360" w:lineRule="auto"/>
        <w:ind w:firstLine="420" w:firstLineChars="150"/>
        <w:rPr>
          <w:rFonts w:ascii="宋体" w:hAnsi="宋体"/>
          <w:bCs/>
          <w:color w:val="000000" w:themeColor="text1"/>
          <w:sz w:val="28"/>
          <w:szCs w:val="28"/>
          <w:highlight w:val="none"/>
          <w14:textFill>
            <w14:solidFill>
              <w14:schemeClr w14:val="tx1"/>
            </w14:solidFill>
          </w14:textFill>
        </w:rPr>
      </w:pPr>
      <w:r>
        <w:rPr>
          <w:rFonts w:hint="eastAsia" w:ascii="宋体" w:hAnsi="宋体" w:eastAsiaTheme="minorEastAsia" w:cstheme="minorBidi"/>
          <w:bCs/>
          <w:color w:val="000000" w:themeColor="text1"/>
          <w:sz w:val="28"/>
          <w:szCs w:val="28"/>
          <w:highlight w:val="none"/>
          <w14:textFill>
            <w14:solidFill>
              <w14:schemeClr w14:val="tx1"/>
            </w14:solidFill>
          </w14:textFill>
        </w:rPr>
        <w:t>三、供应商应充分考虑递交文件的不可预见因素，未在投标截止时间前完成递交的，在投标截止时间后将无法递交</w:t>
      </w:r>
      <w:r>
        <w:rPr>
          <w:rFonts w:hint="eastAsia" w:ascii="宋体" w:hAnsi="宋体"/>
          <w:bCs/>
          <w:color w:val="000000" w:themeColor="text1"/>
          <w:sz w:val="28"/>
          <w:szCs w:val="28"/>
          <w:highlight w:val="none"/>
          <w14:textFill>
            <w14:solidFill>
              <w14:schemeClr w14:val="tx1"/>
            </w14:solidFill>
          </w14:textFill>
        </w:rPr>
        <w:t>。</w:t>
      </w:r>
    </w:p>
    <w:p>
      <w:pPr>
        <w:pStyle w:val="6"/>
        <w:numPr>
          <w:ilvl w:val="2"/>
          <w:numId w:val="3"/>
        </w:numPr>
        <w:spacing w:after="200" w:line="276"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投标文件的补充、修改</w:t>
      </w:r>
    </w:p>
    <w:p>
      <w:pPr>
        <w:numPr>
          <w:ilvl w:val="0"/>
          <w:numId w:val="21"/>
        </w:numPr>
        <w:spacing w:before="120" w:after="200"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在投标截止时间之前，供应商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1"/>
        </w:numPr>
        <w:spacing w:before="120" w:after="200"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在投标截止时间之后，供应商不得对其递交的投标文件做任何补充、修改。</w:t>
      </w:r>
    </w:p>
    <w:p>
      <w:pPr>
        <w:pStyle w:val="6"/>
        <w:numPr>
          <w:ilvl w:val="2"/>
          <w:numId w:val="3"/>
        </w:numPr>
        <w:spacing w:after="200"/>
        <w:ind w:left="85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投标文件的撤回</w:t>
      </w:r>
    </w:p>
    <w:p>
      <w:pPr>
        <w:spacing w:before="120" w:after="200" w:line="360" w:lineRule="auto"/>
        <w:ind w:firstLine="560" w:firstLineChars="200"/>
        <w:rPr>
          <w:rFonts w:ascii="宋体" w:hAnsi="宋体"/>
          <w:bCs/>
          <w:color w:val="000000" w:themeColor="text1"/>
          <w:sz w:val="28"/>
          <w:szCs w:val="28"/>
          <w:highlight w:val="non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在投标截止时间之前，供应商可对已递交的投标文件进行撤回。在投标截止时间之后，供应商不得撤回投标文件。</w:t>
      </w:r>
    </w:p>
    <w:p>
      <w:pPr>
        <w:pStyle w:val="6"/>
        <w:numPr>
          <w:ilvl w:val="2"/>
          <w:numId w:val="3"/>
        </w:numPr>
        <w:spacing w:after="200" w:line="240" w:lineRule="auto"/>
        <w:ind w:left="85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投标文件的解密</w:t>
      </w:r>
    </w:p>
    <w:p>
      <w:pPr>
        <w:tabs>
          <w:tab w:val="left" w:pos="1134"/>
        </w:tabs>
        <w:spacing w:before="120" w:line="360" w:lineRule="auto"/>
        <w:ind w:firstLine="565" w:firstLineChars="202"/>
        <w:rPr>
          <w:rFonts w:ascii="宋体" w:hAnsi="宋体"/>
          <w:bCs/>
          <w:color w:val="000000" w:themeColor="text1"/>
          <w:sz w:val="28"/>
          <w:szCs w:val="28"/>
          <w:highlight w:val="non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供应商</w:t>
      </w:r>
      <w:r>
        <w:rPr>
          <w:rFonts w:hint="eastAsia" w:ascii="宋体" w:hAnsi="宋体"/>
          <w:color w:val="000000" w:themeColor="text1"/>
          <w:sz w:val="28"/>
          <w:szCs w:val="28"/>
          <w:highlight w:val="none"/>
          <w14:textFill>
            <w14:solidFill>
              <w14:schemeClr w14:val="tx1"/>
            </w14:solidFill>
          </w14:textFill>
        </w:rPr>
        <w:t>登录政府采购云平台，点击“项目采购—开标评标”模块，找到对应项目，进入“开标大厅”，等待区公资交易中心开启解密后，进行线上解密。</w:t>
      </w:r>
      <w:r>
        <w:rPr>
          <w:rFonts w:hint="eastAsia" w:ascii="宋体" w:hAnsi="宋体"/>
          <w:bCs/>
          <w:color w:val="000000" w:themeColor="text1"/>
          <w:sz w:val="28"/>
          <w:szCs w:val="28"/>
          <w:highlight w:val="none"/>
          <w14:textFill>
            <w14:solidFill>
              <w14:schemeClr w14:val="tx1"/>
            </w14:solidFill>
          </w14:textFill>
        </w:rPr>
        <w:t>除因</w:t>
      </w:r>
      <w:r>
        <w:rPr>
          <w:rFonts w:hint="eastAsia" w:ascii="宋体" w:hAnsi="宋体"/>
          <w:color w:val="000000" w:themeColor="text1"/>
          <w:sz w:val="28"/>
          <w:szCs w:val="28"/>
          <w:highlight w:val="none"/>
          <w14:textFill>
            <w14:solidFill>
              <w14:schemeClr w14:val="tx1"/>
            </w14:solidFill>
          </w14:textFill>
        </w:rPr>
        <w:t>区公资交易中心</w:t>
      </w:r>
      <w:r>
        <w:rPr>
          <w:rFonts w:hint="eastAsia" w:ascii="宋体" w:hAnsi="宋体"/>
          <w:bCs/>
          <w:color w:val="000000" w:themeColor="text1"/>
          <w:sz w:val="28"/>
          <w:szCs w:val="28"/>
          <w:highlight w:val="none"/>
          <w14:textFill>
            <w14:solidFill>
              <w14:schemeClr w14:val="tx1"/>
            </w14:solidFill>
          </w14:textFill>
        </w:rPr>
        <w:t>断电、断网、系统故障或其他不可抗力等因素，导致系统无法使用外，供应商在规定的解密时间内，未成功解密的投标文件将视为无效投标文件。</w:t>
      </w:r>
    </w:p>
    <w:p>
      <w:pPr>
        <w:pStyle w:val="5"/>
        <w:numPr>
          <w:ilvl w:val="1"/>
          <w:numId w:val="3"/>
        </w:numPr>
        <w:spacing w:before="0" w:after="0" w:line="240" w:lineRule="auto"/>
        <w:ind w:left="2269" w:hanging="2269"/>
        <w:rPr>
          <w:color w:val="000000" w:themeColor="text1"/>
          <w:highlight w:val="none"/>
          <w14:textFill>
            <w14:solidFill>
              <w14:schemeClr w14:val="tx1"/>
            </w14:solidFill>
          </w14:textFill>
        </w:rPr>
      </w:pPr>
      <w:bookmarkStart w:id="105" w:name="_Toc316475587"/>
      <w:bookmarkEnd w:id="105"/>
      <w:bookmarkStart w:id="106" w:name="_Toc316475586"/>
      <w:bookmarkEnd w:id="106"/>
      <w:bookmarkStart w:id="107" w:name="_Toc31524"/>
      <w:bookmarkStart w:id="108" w:name="_Toc89075878"/>
      <w:bookmarkStart w:id="109" w:name="_Toc183682368"/>
      <w:bookmarkStart w:id="110" w:name="_Toc28766"/>
      <w:bookmarkStart w:id="111" w:name="_Toc16979"/>
      <w:bookmarkStart w:id="112" w:name="_Toc183582231"/>
      <w:bookmarkStart w:id="113" w:name="_Toc217446056"/>
      <w:bookmarkStart w:id="114" w:name="_Toc4457"/>
      <w:bookmarkStart w:id="115" w:name="_Toc77400782"/>
      <w:bookmarkStart w:id="116" w:name="_Toc79654066"/>
      <w:r>
        <w:rPr>
          <w:rFonts w:hint="eastAsia"/>
          <w:color w:val="000000" w:themeColor="text1"/>
          <w:highlight w:val="none"/>
          <w14:textFill>
            <w14:solidFill>
              <w14:schemeClr w14:val="tx1"/>
            </w14:solidFill>
          </w14:textFill>
        </w:rPr>
        <w:t>开标、资格审查、评标和中标</w:t>
      </w:r>
      <w:bookmarkEnd w:id="107"/>
      <w:bookmarkEnd w:id="108"/>
      <w:bookmarkEnd w:id="109"/>
      <w:bookmarkEnd w:id="110"/>
      <w:bookmarkEnd w:id="111"/>
      <w:bookmarkEnd w:id="112"/>
      <w:bookmarkEnd w:id="113"/>
      <w:bookmarkEnd w:id="114"/>
      <w:bookmarkEnd w:id="115"/>
      <w:bookmarkEnd w:id="116"/>
    </w:p>
    <w:p>
      <w:pPr>
        <w:keepNext/>
        <w:keepLines/>
        <w:numPr>
          <w:ilvl w:val="2"/>
          <w:numId w:val="3"/>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bookmarkStart w:id="117" w:name="_Toc183682369"/>
      <w:bookmarkStart w:id="118" w:name="_Toc183582232"/>
      <w:bookmarkStart w:id="119" w:name="_Toc217446057"/>
      <w:r>
        <w:rPr>
          <w:rFonts w:hint="eastAsia" w:ascii="宋体" w:hAnsi="宋体"/>
          <w:b/>
          <w:bCs/>
          <w:color w:val="000000" w:themeColor="text1"/>
          <w:sz w:val="28"/>
          <w:szCs w:val="28"/>
          <w:highlight w:val="none"/>
          <w14:textFill>
            <w14:solidFill>
              <w14:schemeClr w14:val="tx1"/>
            </w14:solidFill>
          </w14:textFill>
        </w:rPr>
        <w:t>开标</w:t>
      </w:r>
      <w:bookmarkEnd w:id="117"/>
      <w:bookmarkEnd w:id="118"/>
      <w:bookmarkEnd w:id="119"/>
      <w:r>
        <w:rPr>
          <w:rFonts w:hint="eastAsia" w:ascii="宋体" w:hAnsi="宋体"/>
          <w:b/>
          <w:bCs/>
          <w:color w:val="000000" w:themeColor="text1"/>
          <w:sz w:val="28"/>
          <w:szCs w:val="28"/>
          <w:highlight w:val="none"/>
          <w14:textFill>
            <w14:solidFill>
              <w14:schemeClr w14:val="tx1"/>
            </w14:solidFill>
          </w14:textFill>
        </w:rPr>
        <w:t>及开标程序</w:t>
      </w:r>
    </w:p>
    <w:p>
      <w:pPr>
        <w:pStyle w:val="85"/>
        <w:numPr>
          <w:ilvl w:val="0"/>
          <w:numId w:val="22"/>
        </w:numPr>
        <w:spacing w:before="120" w:after="200" w:line="360" w:lineRule="auto"/>
        <w:ind w:left="0" w:right="210" w:firstLine="567" w:firstLineChars="0"/>
        <w:rPr>
          <w:rFonts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本项目为不见面开标项目。递交电子投标文件的供应商不足3家的，不予开标。</w:t>
      </w:r>
    </w:p>
    <w:p>
      <w:pPr>
        <w:pStyle w:val="85"/>
        <w:numPr>
          <w:ilvl w:val="0"/>
          <w:numId w:val="22"/>
        </w:numPr>
        <w:spacing w:before="120" w:after="200" w:line="360" w:lineRule="auto"/>
        <w:ind w:left="0" w:right="210" w:firstLine="567" w:firstLineChars="0"/>
        <w:rPr>
          <w:rFonts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开标准备工作。供应商需在开标当日、投标截止时间前登录“政府采购云平台”，通过“开标大厅”参与不见面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5"/>
        <w:numPr>
          <w:ilvl w:val="0"/>
          <w:numId w:val="22"/>
        </w:numPr>
        <w:spacing w:before="120" w:after="200" w:line="360" w:lineRule="auto"/>
        <w:ind w:left="0" w:right="210" w:firstLine="567" w:firstLineChars="0"/>
        <w:rPr>
          <w:rFonts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解密投标文件。等待区公资交易中心开启解密后，供应商进行线上解密。开启解密后，供应商应在60分钟内，使用加密该投标文件的CA数字证书在线完成投标文件的解密。除因区公资交易中心断电、断网、系统故障或其他不可抗力等因素，导致系统无法使用外，供应商在规定的解密时间内，未成功解密的投标文件将视为无效投标文件。</w:t>
      </w:r>
    </w:p>
    <w:p>
      <w:pPr>
        <w:pStyle w:val="85"/>
        <w:numPr>
          <w:ilvl w:val="0"/>
          <w:numId w:val="22"/>
        </w:numPr>
        <w:spacing w:before="120" w:after="200" w:line="360" w:lineRule="auto"/>
        <w:ind w:left="0" w:right="210" w:firstLine="567" w:firstLineChars="0"/>
        <w:rPr>
          <w:rFonts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确认开标记录。解密时间截止或者所有供应商投标文件均完成解密后（以发生在先的时间为准），由“政府采购云平台”系统展示供应商名称、投标文件解密情况、投标报价等唱标内容。如成功解密投标文件的供应商不足三家的，则只展示供应商名称、投标文件解密情况。供应商对开标记录（包含解密情况、投标报价、其他情况等）在规定时间内确认，如未确认，视为认同开标记录。</w:t>
      </w:r>
    </w:p>
    <w:p>
      <w:pPr>
        <w:pStyle w:val="85"/>
        <w:numPr>
          <w:ilvl w:val="0"/>
          <w:numId w:val="22"/>
        </w:numPr>
        <w:spacing w:before="120" w:after="200" w:line="360" w:lineRule="auto"/>
        <w:ind w:left="0" w:right="210" w:firstLine="567" w:firstLineChars="0"/>
        <w:rPr>
          <w:rFonts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供应商对开标过程和开标记录有疑义，以及认为采购人、区公资交易中心相关工作人员有需要回避的情形的，及时向工作人员提出询问或者回避申请。采购人、区公资交易中心对供应商提出的询问或者回避申请应当及时处理。</w:t>
      </w:r>
    </w:p>
    <w:p>
      <w:pPr>
        <w:pStyle w:val="85"/>
        <w:numPr>
          <w:ilvl w:val="0"/>
          <w:numId w:val="22"/>
        </w:numPr>
        <w:spacing w:before="120" w:after="200" w:line="360" w:lineRule="auto"/>
        <w:ind w:left="0" w:right="210" w:firstLine="567" w:firstLineChars="0"/>
        <w:rPr>
          <w:rFonts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5"/>
        <w:numPr>
          <w:ilvl w:val="0"/>
          <w:numId w:val="22"/>
        </w:numPr>
        <w:spacing w:before="120" w:after="200" w:line="360" w:lineRule="auto"/>
        <w:ind w:left="0" w:right="210" w:firstLine="567" w:firstLineChars="0"/>
        <w:rPr>
          <w:rFonts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因区公资交易中心断电、断网、系统故障或其他不可抗力等因素导致不见面开标系统无法正常运行的，开标活动中止或延迟，待系统恢复正常后继续进行开标活动。</w:t>
      </w:r>
    </w:p>
    <w:p>
      <w:pPr>
        <w:pStyle w:val="85"/>
        <w:numPr>
          <w:ilvl w:val="0"/>
          <w:numId w:val="22"/>
        </w:numPr>
        <w:spacing w:before="120" w:after="200" w:line="360" w:lineRule="auto"/>
        <w:ind w:left="0" w:right="210" w:firstLine="567" w:firstLineChars="0"/>
        <w:rPr>
          <w:rFonts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不见面开标过程中，各方主体均应遵守互联网有关规定，不得发表与交易活动无关的言论。</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资格审查</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详见招标文件第5章。</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评标</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详见招标文件第6章。</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bookmarkStart w:id="120" w:name="_Toc183682375"/>
      <w:bookmarkStart w:id="121" w:name="_Toc183582238"/>
      <w:bookmarkStart w:id="122" w:name="_Toc217446063"/>
      <w:r>
        <w:rPr>
          <w:rFonts w:hint="eastAsia"/>
          <w:color w:val="000000" w:themeColor="text1"/>
          <w:highlight w:val="none"/>
          <w14:textFill>
            <w14:solidFill>
              <w14:schemeClr w14:val="tx1"/>
            </w14:solidFill>
          </w14:textFill>
        </w:rPr>
        <w:t>中标通知</w:t>
      </w:r>
      <w:bookmarkEnd w:id="120"/>
      <w:bookmarkEnd w:id="121"/>
      <w:r>
        <w:rPr>
          <w:rFonts w:hint="eastAsia"/>
          <w:color w:val="000000" w:themeColor="text1"/>
          <w:highlight w:val="none"/>
          <w14:textFill>
            <w14:solidFill>
              <w14:schemeClr w14:val="tx1"/>
            </w14:solidFill>
          </w14:textFill>
        </w:rPr>
        <w:t>书</w:t>
      </w:r>
      <w:bookmarkEnd w:id="122"/>
    </w:p>
    <w:p>
      <w:pPr>
        <w:widowControl/>
        <w:ind w:right="210" w:firstLine="560" w:firstLineChars="200"/>
        <w:jc w:val="left"/>
        <w:rPr>
          <w:rFonts w:ascii="宋体" w:hAnsi="宋体"/>
          <w:color w:val="000000" w:themeColor="text1"/>
          <w:sz w:val="28"/>
          <w:szCs w:val="28"/>
          <w:highlight w:val="none"/>
          <w14:textFill>
            <w14:solidFill>
              <w14:schemeClr w14:val="tx1"/>
            </w14:solidFill>
          </w14:textFill>
        </w:rPr>
      </w:pPr>
      <w:bookmarkStart w:id="123" w:name="_Toc217446064"/>
      <w:bookmarkStart w:id="124" w:name="_Toc183582240"/>
      <w:bookmarkStart w:id="125" w:name="_Toc183682377"/>
      <w:r>
        <w:rPr>
          <w:rFonts w:hint="eastAsia" w:ascii="宋体" w:hAnsi="宋体"/>
          <w:color w:val="000000" w:themeColor="text1"/>
          <w:sz w:val="28"/>
          <w:szCs w:val="28"/>
          <w:highlight w:val="none"/>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三、中标公告在四川政府采购网上公告后，中标供应商自行登录政府采购云平台下载中标通知书。</w:t>
      </w:r>
    </w:p>
    <w:p>
      <w:pPr>
        <w:pStyle w:val="5"/>
        <w:numPr>
          <w:ilvl w:val="1"/>
          <w:numId w:val="3"/>
        </w:numPr>
        <w:spacing w:before="0" w:after="0" w:line="240" w:lineRule="auto"/>
        <w:ind w:left="2269" w:hanging="2269"/>
        <w:rPr>
          <w:color w:val="000000" w:themeColor="text1"/>
          <w:highlight w:val="none"/>
          <w14:textFill>
            <w14:solidFill>
              <w14:schemeClr w14:val="tx1"/>
            </w14:solidFill>
          </w14:textFill>
        </w:rPr>
      </w:pPr>
      <w:bookmarkStart w:id="126" w:name="_Toc12385"/>
      <w:bookmarkStart w:id="127" w:name="_Toc19973"/>
      <w:bookmarkStart w:id="128" w:name="_Toc18993"/>
      <w:bookmarkStart w:id="129" w:name="_Toc6010"/>
      <w:bookmarkStart w:id="130" w:name="_Toc79654067"/>
      <w:r>
        <w:rPr>
          <w:rFonts w:hint="eastAsia"/>
          <w:color w:val="000000" w:themeColor="text1"/>
          <w:highlight w:val="none"/>
          <w14:textFill>
            <w14:solidFill>
              <w14:schemeClr w14:val="tx1"/>
            </w14:solidFill>
          </w14:textFill>
        </w:rPr>
        <w:t>签订及履行合同</w:t>
      </w:r>
      <w:bookmarkEnd w:id="123"/>
      <w:r>
        <w:rPr>
          <w:rFonts w:hint="eastAsia"/>
          <w:color w:val="000000" w:themeColor="text1"/>
          <w:highlight w:val="none"/>
          <w14:textFill>
            <w14:solidFill>
              <w14:schemeClr w14:val="tx1"/>
            </w14:solidFill>
          </w14:textFill>
        </w:rPr>
        <w:t>和验收</w:t>
      </w:r>
      <w:bookmarkEnd w:id="126"/>
      <w:bookmarkEnd w:id="127"/>
      <w:bookmarkEnd w:id="128"/>
      <w:bookmarkEnd w:id="129"/>
      <w:bookmarkEnd w:id="130"/>
    </w:p>
    <w:p>
      <w:pPr>
        <w:pStyle w:val="6"/>
        <w:numPr>
          <w:ilvl w:val="2"/>
          <w:numId w:val="3"/>
        </w:numPr>
        <w:spacing w:after="200" w:line="240" w:lineRule="auto"/>
        <w:ind w:left="0" w:firstLine="0"/>
        <w:rPr>
          <w:color w:val="000000" w:themeColor="text1"/>
          <w:highlight w:val="none"/>
          <w14:textFill>
            <w14:solidFill>
              <w14:schemeClr w14:val="tx1"/>
            </w14:solidFill>
          </w14:textFill>
        </w:rPr>
      </w:pPr>
      <w:bookmarkStart w:id="131" w:name="_Toc217446065"/>
      <w:r>
        <w:rPr>
          <w:rFonts w:hint="eastAsia"/>
          <w:color w:val="000000" w:themeColor="text1"/>
          <w:highlight w:val="none"/>
          <w14:textFill>
            <w14:solidFill>
              <w14:schemeClr w14:val="tx1"/>
            </w14:solidFill>
          </w14:textFill>
        </w:rPr>
        <w:t>签订合同</w:t>
      </w:r>
      <w:bookmarkEnd w:id="131"/>
    </w:p>
    <w:p>
      <w:pPr>
        <w:numPr>
          <w:ilvl w:val="0"/>
          <w:numId w:val="23"/>
        </w:numPr>
        <w:tabs>
          <w:tab w:val="left" w:pos="1134"/>
        </w:tabs>
        <w:spacing w:line="360" w:lineRule="auto"/>
        <w:ind w:left="0" w:firstLine="565" w:firstLineChars="202"/>
        <w:rPr>
          <w:rFonts w:ascii="宋体" w:hAnsi="宋体"/>
          <w:sz w:val="28"/>
          <w:szCs w:val="28"/>
          <w:highlight w:val="none"/>
        </w:rPr>
      </w:pPr>
      <w:bookmarkStart w:id="132" w:name="_Toc315871033"/>
      <w:bookmarkEnd w:id="132"/>
      <w:bookmarkStart w:id="133" w:name="_Toc217446066"/>
      <w:bookmarkStart w:id="134" w:name="_Toc217446069"/>
      <w:r>
        <w:rPr>
          <w:rFonts w:hint="eastAsia" w:ascii="宋体" w:hAnsi="宋体"/>
          <w:sz w:val="28"/>
          <w:szCs w:val="28"/>
          <w:highlight w:val="none"/>
        </w:rPr>
        <w:t>中标人应在中标通知书发出之日起30天内与采购人签订采购合同，因中标人的原因</w:t>
      </w:r>
      <w:r>
        <w:rPr>
          <w:rFonts w:ascii="宋体" w:hAnsi="宋体"/>
          <w:sz w:val="28"/>
          <w:szCs w:val="28"/>
          <w:highlight w:val="none"/>
        </w:rPr>
        <w:t>在</w:t>
      </w:r>
      <w:r>
        <w:rPr>
          <w:rFonts w:hint="eastAsia" w:ascii="宋体" w:hAnsi="宋体"/>
          <w:sz w:val="28"/>
          <w:szCs w:val="28"/>
          <w:highlight w:val="none"/>
        </w:rPr>
        <w:t>中标通知书发出之日起</w:t>
      </w:r>
      <w:r>
        <w:rPr>
          <w:rFonts w:ascii="宋体" w:hAnsi="宋体"/>
          <w:sz w:val="28"/>
          <w:szCs w:val="28"/>
          <w:highlight w:val="none"/>
        </w:rPr>
        <w:t>30日</w:t>
      </w:r>
      <w:r>
        <w:rPr>
          <w:rFonts w:hint="eastAsia" w:ascii="宋体" w:hAnsi="宋体"/>
          <w:sz w:val="28"/>
          <w:szCs w:val="28"/>
          <w:highlight w:val="none"/>
        </w:rPr>
        <w:t>内未与采购人签订采购合同或者中标人拒绝与采购人签订合同的，采购人可以按照评审报告推荐的中标候选人名单排序，确定下一候选人为中标供应商，也可以重新开展政府采购活动。</w:t>
      </w:r>
    </w:p>
    <w:p>
      <w:pPr>
        <w:numPr>
          <w:ilvl w:val="0"/>
          <w:numId w:val="23"/>
        </w:numPr>
        <w:tabs>
          <w:tab w:val="left" w:pos="1134"/>
        </w:tabs>
        <w:spacing w:line="360" w:lineRule="auto"/>
        <w:ind w:left="0" w:firstLine="565" w:firstLineChars="202"/>
        <w:rPr>
          <w:rFonts w:ascii="宋体" w:hAnsi="宋体"/>
          <w:sz w:val="28"/>
          <w:szCs w:val="28"/>
          <w:highlight w:val="none"/>
        </w:rPr>
      </w:pPr>
      <w:r>
        <w:rPr>
          <w:rFonts w:hint="eastAsia" w:ascii="宋体" w:hAnsi="宋体"/>
          <w:sz w:val="28"/>
          <w:szCs w:val="28"/>
          <w:highlight w:val="none"/>
        </w:rPr>
        <w:t>采购人不得向中标人提出任何不合理的要求，作为签订合同的条件，不得与中标人私下订立背离合同实质性内容的任何协议，所签订的合同不得对招标文件和中标人投标文件作实质性修改。</w:t>
      </w:r>
    </w:p>
    <w:p>
      <w:pPr>
        <w:numPr>
          <w:ilvl w:val="0"/>
          <w:numId w:val="23"/>
        </w:numPr>
        <w:tabs>
          <w:tab w:val="left" w:pos="1134"/>
        </w:tabs>
        <w:spacing w:line="360" w:lineRule="auto"/>
        <w:ind w:left="0" w:firstLine="565" w:firstLineChars="202"/>
        <w:rPr>
          <w:rFonts w:ascii="宋体" w:hAnsi="宋体"/>
          <w:kern w:val="0"/>
          <w:sz w:val="28"/>
          <w:szCs w:val="28"/>
          <w:highlight w:val="none"/>
        </w:rPr>
      </w:pPr>
      <w:r>
        <w:rPr>
          <w:rFonts w:hint="eastAsia" w:ascii="宋体" w:hAnsi="宋体"/>
          <w:sz w:val="28"/>
          <w:szCs w:val="28"/>
          <w:highlight w:val="none"/>
        </w:rPr>
        <w:t>招标文件、投标文件、中标通知书等一切与本项目评标结果有关且经责任主体确认的资料均为合同的有效组成部分。</w:t>
      </w:r>
    </w:p>
    <w:p>
      <w:pPr>
        <w:numPr>
          <w:ilvl w:val="0"/>
          <w:numId w:val="23"/>
        </w:numPr>
        <w:tabs>
          <w:tab w:val="left" w:pos="1134"/>
        </w:tabs>
        <w:spacing w:line="360" w:lineRule="auto"/>
        <w:ind w:left="0" w:firstLine="565" w:firstLineChars="202"/>
        <w:rPr>
          <w:rFonts w:ascii="宋体" w:hAnsi="宋体"/>
          <w:kern w:val="0"/>
          <w:sz w:val="28"/>
          <w:szCs w:val="28"/>
          <w:highlight w:val="none"/>
        </w:rPr>
      </w:pPr>
      <w:r>
        <w:rPr>
          <w:rFonts w:hint="eastAsia" w:ascii="宋体" w:hAnsi="宋体"/>
          <w:kern w:val="0"/>
          <w:sz w:val="28"/>
          <w:szCs w:val="28"/>
          <w:highlight w:val="none"/>
        </w:rPr>
        <w:t>询问或者质疑事项可能影响中标、成交结果的，采购人应当暂停签订合同，已经签订合同的，应当中止履行合同。</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合同分包</w:t>
      </w:r>
      <w:bookmarkEnd w:id="133"/>
      <w:r>
        <w:rPr>
          <w:rFonts w:hint="eastAsia"/>
          <w:color w:val="000000" w:themeColor="text1"/>
          <w:highlight w:val="none"/>
          <w14:textFill>
            <w14:solidFill>
              <w14:schemeClr w14:val="tx1"/>
            </w14:solidFill>
          </w14:textFill>
        </w:rPr>
        <w:t>和转包</w:t>
      </w:r>
    </w:p>
    <w:p>
      <w:pPr>
        <w:pStyle w:val="6"/>
        <w:numPr>
          <w:ilvl w:val="3"/>
          <w:numId w:val="3"/>
        </w:numPr>
        <w:spacing w:after="200" w:line="240" w:lineRule="auto"/>
        <w:rPr>
          <w:color w:val="000000" w:themeColor="text1"/>
          <w:highlight w:val="none"/>
          <w14:textFill>
            <w14:solidFill>
              <w14:schemeClr w14:val="tx1"/>
            </w14:solidFill>
          </w14:textFill>
        </w:rPr>
      </w:pPr>
      <w:bookmarkStart w:id="135" w:name="_Toc217446067"/>
      <w:r>
        <w:rPr>
          <w:rFonts w:hint="eastAsia"/>
          <w:color w:val="000000" w:themeColor="text1"/>
          <w:highlight w:val="none"/>
          <w14:textFill>
            <w14:solidFill>
              <w14:schemeClr w14:val="tx1"/>
            </w14:solidFill>
          </w14:textFill>
        </w:rPr>
        <w:t>合同分包</w:t>
      </w:r>
    </w:p>
    <w:p>
      <w:pPr>
        <w:pStyle w:val="122"/>
        <w:spacing w:line="360" w:lineRule="auto"/>
        <w:ind w:firstLine="560" w:firstLineChars="200"/>
        <w:rPr>
          <w:rFonts w:cs="Times New Roman"/>
          <w:color w:val="000000" w:themeColor="text1"/>
          <w:sz w:val="28"/>
          <w:szCs w:val="28"/>
          <w:highlight w:val="none"/>
          <w:lang w:val="zh-CN"/>
          <w14:textFill>
            <w14:solidFill>
              <w14:schemeClr w14:val="tx1"/>
            </w14:solidFill>
          </w14:textFill>
        </w:rPr>
      </w:pPr>
      <w:r>
        <w:rPr>
          <w:rFonts w:hint="eastAsia" w:cs="Times New Roman"/>
          <w:color w:val="000000" w:themeColor="text1"/>
          <w:sz w:val="28"/>
          <w:szCs w:val="28"/>
          <w:highlight w:val="none"/>
          <w:lang w:val="zh-CN"/>
          <w14:textFill>
            <w14:solidFill>
              <w14:schemeClr w14:val="tx1"/>
            </w14:solidFill>
          </w14:textFill>
        </w:rPr>
        <w:t>本</w:t>
      </w:r>
      <w:r>
        <w:rPr>
          <w:rFonts w:cs="Times New Roman"/>
          <w:color w:val="000000" w:themeColor="text1"/>
          <w:sz w:val="28"/>
          <w:szCs w:val="28"/>
          <w:highlight w:val="none"/>
          <w:lang w:val="zh-CN"/>
          <w14:textFill>
            <w14:solidFill>
              <w14:schemeClr w14:val="tx1"/>
            </w14:solidFill>
          </w14:textFill>
        </w:rPr>
        <w:t>项目</w:t>
      </w:r>
      <w:r>
        <w:rPr>
          <w:rFonts w:cs="Times New Roman"/>
          <w:b/>
          <w:bCs/>
          <w:color w:val="000000" w:themeColor="text1"/>
          <w:sz w:val="28"/>
          <w:szCs w:val="28"/>
          <w:highlight w:val="none"/>
          <w:lang w:val="zh-CN"/>
          <w14:textFill>
            <w14:solidFill>
              <w14:schemeClr w14:val="tx1"/>
            </w14:solidFill>
          </w14:textFill>
        </w:rPr>
        <w:t>不允许</w:t>
      </w:r>
      <w:r>
        <w:rPr>
          <w:rFonts w:cs="Times New Roman"/>
          <w:color w:val="000000" w:themeColor="text1"/>
          <w:sz w:val="28"/>
          <w:szCs w:val="28"/>
          <w:highlight w:val="none"/>
          <w:lang w:val="zh-CN"/>
          <w14:textFill>
            <w14:solidFill>
              <w14:schemeClr w14:val="tx1"/>
            </w14:solidFill>
          </w14:textFill>
        </w:rPr>
        <w:t>分包</w:t>
      </w:r>
      <w:r>
        <w:rPr>
          <w:rFonts w:hint="eastAsia" w:cs="Times New Roman"/>
          <w:color w:val="000000" w:themeColor="text1"/>
          <w:sz w:val="28"/>
          <w:szCs w:val="28"/>
          <w:highlight w:val="none"/>
          <w:lang w:val="zh-CN"/>
          <w14:textFill>
            <w14:solidFill>
              <w14:schemeClr w14:val="tx1"/>
            </w14:solidFill>
          </w14:textFill>
        </w:rPr>
        <w:t>。</w:t>
      </w:r>
    </w:p>
    <w:p>
      <w:pPr>
        <w:pStyle w:val="6"/>
        <w:numPr>
          <w:ilvl w:val="3"/>
          <w:numId w:val="3"/>
        </w:numPr>
        <w:spacing w:after="200" w:line="24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合同转包</w:t>
      </w:r>
    </w:p>
    <w:p>
      <w:pPr>
        <w:ind w:firstLine="560" w:firstLineChars="200"/>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一、严禁中标供应商将本项目转包。本项目所称转包，是指</w:t>
      </w:r>
      <w:r>
        <w:rPr>
          <w:rFonts w:hint="eastAsia" w:ascii="宋体" w:hAnsi="宋体" w:cs="宋体"/>
          <w:color w:val="000000" w:themeColor="text1"/>
          <w:kern w:val="0"/>
          <w:sz w:val="28"/>
          <w:szCs w:val="28"/>
          <w:highlight w:val="none"/>
          <w14:textFill>
            <w14:solidFill>
              <w14:schemeClr w14:val="tx1"/>
            </w14:solidFill>
          </w14:textFill>
        </w:rPr>
        <w:t xml:space="preserve">将本项目转给他人或者将本项目全部肢解以后以分包的名义分别转给他人的行为。 </w:t>
      </w:r>
    </w:p>
    <w:p>
      <w:pPr>
        <w:ind w:firstLine="49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二、中标供应商转包的，视同拒绝履行政府采购合同，将依法追究法律责任。</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采购人增加合同标的的权</w:t>
      </w:r>
      <w:bookmarkEnd w:id="135"/>
      <w:r>
        <w:rPr>
          <w:rFonts w:hint="eastAsia"/>
          <w:color w:val="000000" w:themeColor="text1"/>
          <w:highlight w:val="none"/>
          <w14:textFill>
            <w14:solidFill>
              <w14:schemeClr w14:val="tx1"/>
            </w14:solidFill>
          </w14:textFill>
        </w:rPr>
        <w:t>利</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bookmarkStart w:id="136" w:name="_Toc217446068"/>
      <w:r>
        <w:rPr>
          <w:rFonts w:hint="eastAsia"/>
          <w:color w:val="000000" w:themeColor="text1"/>
          <w:highlight w:val="none"/>
          <w14:textFill>
            <w14:solidFill>
              <w14:schemeClr w14:val="tx1"/>
            </w14:solidFill>
          </w14:textFill>
        </w:rPr>
        <w:t>履约保证金</w:t>
      </w:r>
      <w:bookmarkEnd w:id="136"/>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本项目</w:t>
      </w:r>
      <w:r>
        <w:rPr>
          <w:rFonts w:hint="eastAsia" w:ascii="宋体" w:hAnsi="宋体"/>
          <w:b/>
          <w:bCs/>
          <w:color w:val="000000" w:themeColor="text1"/>
          <w:sz w:val="28"/>
          <w:szCs w:val="28"/>
          <w:highlight w:val="none"/>
          <w14:textFill>
            <w14:solidFill>
              <w14:schemeClr w14:val="tx1"/>
            </w14:solidFill>
          </w14:textFill>
        </w:rPr>
        <w:t>不</w:t>
      </w:r>
      <w:r>
        <w:rPr>
          <w:rFonts w:ascii="宋体" w:hAnsi="宋体"/>
          <w:b/>
          <w:bCs/>
          <w:color w:val="000000" w:themeColor="text1"/>
          <w:sz w:val="28"/>
          <w:szCs w:val="28"/>
          <w:highlight w:val="none"/>
          <w14:textFill>
            <w14:solidFill>
              <w14:schemeClr w14:val="tx1"/>
            </w14:solidFill>
          </w14:textFill>
        </w:rPr>
        <w:t>收取</w:t>
      </w:r>
      <w:r>
        <w:rPr>
          <w:rFonts w:ascii="宋体" w:hAnsi="宋体"/>
          <w:color w:val="000000" w:themeColor="text1"/>
          <w:sz w:val="28"/>
          <w:szCs w:val="28"/>
          <w:highlight w:val="none"/>
          <w14:textFill>
            <w14:solidFill>
              <w14:schemeClr w14:val="tx1"/>
            </w14:solidFill>
          </w14:textFill>
        </w:rPr>
        <w:t>履约保证金</w:t>
      </w:r>
      <w:r>
        <w:rPr>
          <w:rFonts w:hint="eastAsia" w:ascii="宋体" w:hAnsi="宋体"/>
          <w:color w:val="000000" w:themeColor="text1"/>
          <w:sz w:val="28"/>
          <w:szCs w:val="28"/>
          <w:highlight w:val="none"/>
          <w14:textFill>
            <w14:solidFill>
              <w14:schemeClr w14:val="tx1"/>
            </w14:solidFill>
          </w14:textFill>
        </w:rPr>
        <w:t>。</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合同公告</w:t>
      </w:r>
    </w:p>
    <w:p>
      <w:pPr>
        <w:pStyle w:val="14"/>
        <w:spacing w:line="24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采购人应当自政府采购合同签订之日起2个工作日内，在四川政府采购网公告，但政府采购合同中涉及国家秘密、商业秘密的内容除外。</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合同备案</w:t>
      </w:r>
    </w:p>
    <w:p>
      <w:pPr>
        <w:pStyle w:val="14"/>
        <w:spacing w:line="360" w:lineRule="auto"/>
        <w:ind w:firstLine="560" w:firstLineChars="200"/>
        <w:rPr>
          <w:highlight w:val="none"/>
        </w:rPr>
      </w:pPr>
      <w:r>
        <w:rPr>
          <w:rFonts w:hint="eastAsia" w:ascii="宋体" w:hAnsi="宋体"/>
          <w:sz w:val="28"/>
          <w:szCs w:val="28"/>
          <w:highlight w:val="none"/>
        </w:rPr>
        <w:t>政府采购合同签订之日起2个工作日内，政府采购合同将在四川政府采购网公告；政府采购合同签订之日起七个工作日内，政府采购合同将向本采购项目同级财政部门，即成都市</w:t>
      </w:r>
      <w:r>
        <w:rPr>
          <w:rFonts w:hint="eastAsia" w:ascii="宋体" w:hAnsi="宋体"/>
          <w:sz w:val="28"/>
          <w:szCs w:val="28"/>
          <w:highlight w:val="none"/>
          <w:lang w:val="zh-CN"/>
        </w:rPr>
        <w:t>双流区财政局备案。</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履行合同</w:t>
      </w:r>
      <w:bookmarkEnd w:id="134"/>
    </w:p>
    <w:p>
      <w:pPr>
        <w:numPr>
          <w:ilvl w:val="0"/>
          <w:numId w:val="24"/>
        </w:numPr>
        <w:tabs>
          <w:tab w:val="left" w:pos="1134"/>
        </w:tabs>
        <w:spacing w:after="200"/>
        <w:ind w:left="0"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合同一经签订，双方应严格履行合同规定的义务。</w:t>
      </w:r>
    </w:p>
    <w:p>
      <w:pPr>
        <w:numPr>
          <w:ilvl w:val="0"/>
          <w:numId w:val="24"/>
        </w:numPr>
        <w:tabs>
          <w:tab w:val="left" w:pos="1134"/>
        </w:tabs>
        <w:spacing w:after="200"/>
        <w:ind w:left="0"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在合同履行过程中，如发生合同纠纷，合同双方应按照《中华人民共和国民法典》及合同条款的有关规定进行处理。</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bookmarkStart w:id="137" w:name="_Toc217446070"/>
      <w:r>
        <w:rPr>
          <w:rFonts w:hint="eastAsia"/>
          <w:color w:val="000000" w:themeColor="text1"/>
          <w:highlight w:val="none"/>
          <w14:textFill>
            <w14:solidFill>
              <w14:schemeClr w14:val="tx1"/>
            </w14:solidFill>
          </w14:textFill>
        </w:rPr>
        <w:t>验收或考核</w:t>
      </w:r>
    </w:p>
    <w:p>
      <w:pPr>
        <w:pStyle w:val="14"/>
        <w:spacing w:after="0" w:line="240" w:lineRule="auto"/>
        <w:ind w:firstLine="560" w:firstLineChars="200"/>
        <w:rPr>
          <w:rFonts w:ascii="宋体" w:hAnsi="宋体"/>
          <w:b/>
          <w:color w:val="000000" w:themeColor="text1"/>
          <w:highlight w:val="none"/>
          <w14:textFill>
            <w14:solidFill>
              <w14:schemeClr w14:val="tx1"/>
            </w14:solidFill>
          </w14:textFill>
        </w:rPr>
      </w:pPr>
      <w:bookmarkStart w:id="138" w:name="_Toc217446071"/>
      <w:r>
        <w:rPr>
          <w:rFonts w:hint="eastAsia" w:ascii="宋体" w:hAnsi="宋体"/>
          <w:color w:val="000000" w:themeColor="text1"/>
          <w:sz w:val="28"/>
          <w:szCs w:val="28"/>
          <w:highlight w:val="none"/>
          <w14:textFill>
            <w14:solidFill>
              <w14:schemeClr w14:val="tx1"/>
            </w14:solidFill>
          </w14:textFill>
        </w:rPr>
        <w:t>采购人严格按照国家相关法律法规的要求组织验收或考核。</w:t>
      </w:r>
      <w:bookmarkEnd w:id="138"/>
    </w:p>
    <w:p>
      <w:pPr>
        <w:pStyle w:val="6"/>
        <w:numPr>
          <w:ilvl w:val="2"/>
          <w:numId w:val="3"/>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资金支付</w:t>
      </w:r>
    </w:p>
    <w:p>
      <w:pPr>
        <w:pStyle w:val="40"/>
        <w:shd w:val="clear" w:color="auto" w:fill="FFFFFF"/>
        <w:spacing w:before="0" w:beforeAutospacing="0" w:after="0" w:afterAutospacing="0"/>
        <w:ind w:firstLine="570"/>
        <w:rPr>
          <w:rFonts w:cs="Helvetica"/>
          <w:color w:val="000000" w:themeColor="text1"/>
          <w:sz w:val="28"/>
          <w:szCs w:val="28"/>
          <w:highlight w:val="none"/>
          <w14:textFill>
            <w14:solidFill>
              <w14:schemeClr w14:val="tx1"/>
            </w14:solidFill>
          </w14:textFill>
        </w:rPr>
      </w:pPr>
      <w:r>
        <w:rPr>
          <w:rFonts w:hint="eastAsia" w:cs="Helvetica"/>
          <w:color w:val="000000" w:themeColor="text1"/>
          <w:sz w:val="28"/>
          <w:szCs w:val="28"/>
          <w:highlight w:val="none"/>
          <w14:textFill>
            <w14:solidFill>
              <w14:schemeClr w14:val="tx1"/>
            </w14:solidFill>
          </w14:textFill>
        </w:rPr>
        <w:t>采购人按财政部门的相关规定及采购合同的约定进行支付。</w:t>
      </w:r>
    </w:p>
    <w:bookmarkEnd w:id="124"/>
    <w:bookmarkEnd w:id="125"/>
    <w:bookmarkEnd w:id="137"/>
    <w:p>
      <w:pPr>
        <w:pStyle w:val="5"/>
        <w:numPr>
          <w:ilvl w:val="1"/>
          <w:numId w:val="3"/>
        </w:numPr>
        <w:spacing w:before="0" w:after="0" w:line="240" w:lineRule="auto"/>
        <w:ind w:left="2269" w:hanging="2269"/>
        <w:rPr>
          <w:color w:val="000000" w:themeColor="text1"/>
          <w:highlight w:val="none"/>
          <w14:textFill>
            <w14:solidFill>
              <w14:schemeClr w14:val="tx1"/>
            </w14:solidFill>
          </w14:textFill>
        </w:rPr>
      </w:pPr>
      <w:bookmarkStart w:id="139" w:name="_Toc12434"/>
      <w:bookmarkStart w:id="140" w:name="_Toc13859"/>
      <w:bookmarkStart w:id="141" w:name="_Toc217446074"/>
      <w:bookmarkStart w:id="142" w:name="_Toc30945"/>
      <w:bookmarkStart w:id="143" w:name="_Toc6102"/>
      <w:bookmarkStart w:id="144" w:name="_Toc79654068"/>
      <w:bookmarkStart w:id="145" w:name="_Toc183682380"/>
      <w:bookmarkStart w:id="146" w:name="_Toc183582243"/>
      <w:r>
        <w:rPr>
          <w:rFonts w:hint="eastAsia"/>
          <w:color w:val="000000" w:themeColor="text1"/>
          <w:highlight w:val="none"/>
          <w14:textFill>
            <w14:solidFill>
              <w14:schemeClr w14:val="tx1"/>
            </w14:solidFill>
          </w14:textFill>
        </w:rPr>
        <w:t>投标纪律要求</w:t>
      </w:r>
      <w:bookmarkEnd w:id="139"/>
      <w:bookmarkEnd w:id="140"/>
      <w:bookmarkEnd w:id="141"/>
      <w:bookmarkEnd w:id="142"/>
      <w:bookmarkEnd w:id="143"/>
      <w:bookmarkEnd w:id="144"/>
    </w:p>
    <w:p>
      <w:pPr>
        <w:pStyle w:val="6"/>
        <w:numPr>
          <w:ilvl w:val="2"/>
          <w:numId w:val="3"/>
        </w:numPr>
        <w:spacing w:after="200" w:line="240" w:lineRule="auto"/>
        <w:ind w:left="0" w:firstLine="0"/>
        <w:rPr>
          <w:color w:val="000000" w:themeColor="text1"/>
          <w:highlight w:val="none"/>
          <w14:textFill>
            <w14:solidFill>
              <w14:schemeClr w14:val="tx1"/>
            </w14:solidFill>
          </w14:textFill>
        </w:rPr>
      </w:pPr>
      <w:bookmarkStart w:id="147" w:name="_Toc217446075"/>
      <w:r>
        <w:rPr>
          <w:rFonts w:hint="eastAsia"/>
          <w:color w:val="000000" w:themeColor="text1"/>
          <w:highlight w:val="none"/>
          <w14:textFill>
            <w14:solidFill>
              <w14:schemeClr w14:val="tx1"/>
            </w14:solidFill>
          </w14:textFill>
        </w:rPr>
        <w:t>供应商不得具有的情形</w:t>
      </w:r>
      <w:bookmarkEnd w:id="147"/>
    </w:p>
    <w:p>
      <w:pPr>
        <w:pStyle w:val="14"/>
        <w:spacing w:line="240" w:lineRule="auto"/>
        <w:ind w:firstLine="567"/>
        <w:rPr>
          <w:rFonts w:ascii="宋体" w:hAnsi="宋体"/>
          <w:color w:val="000000" w:themeColor="text1"/>
          <w:sz w:val="28"/>
          <w:szCs w:val="28"/>
          <w:highlight w:val="none"/>
          <w14:textFill>
            <w14:solidFill>
              <w14:schemeClr w14:val="tx1"/>
            </w14:solidFill>
          </w14:textFill>
        </w:rPr>
      </w:pPr>
      <w:bookmarkStart w:id="148" w:name="_Toc314574786"/>
      <w:r>
        <w:rPr>
          <w:rFonts w:hint="eastAsia" w:ascii="宋体" w:hAnsi="宋体"/>
          <w:color w:val="000000" w:themeColor="text1"/>
          <w:sz w:val="28"/>
          <w:szCs w:val="28"/>
          <w:highlight w:val="none"/>
          <w14:textFill>
            <w14:solidFill>
              <w14:schemeClr w14:val="tx1"/>
            </w14:solidFill>
          </w14:textFill>
        </w:rPr>
        <w:t>供应商参加投标不得有下列情形：</w:t>
      </w:r>
    </w:p>
    <w:p>
      <w:pPr>
        <w:numPr>
          <w:ilvl w:val="1"/>
          <w:numId w:val="25"/>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有下列情形之一的，视为供应商串通投标：</w:t>
      </w:r>
    </w:p>
    <w:p>
      <w:pPr>
        <w:tabs>
          <w:tab w:val="left" w:pos="1134"/>
        </w:tabs>
        <w:ind w:left="42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（一）不同供应商的投标文件由同一单位或者个人编制；</w:t>
      </w:r>
    </w:p>
    <w:p>
      <w:pPr>
        <w:tabs>
          <w:tab w:val="left" w:pos="1134"/>
        </w:tabs>
        <w:ind w:left="42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（二）不同供应商委托同一单位或者个人办理投标事宜；</w:t>
      </w:r>
    </w:p>
    <w:p>
      <w:pPr>
        <w:tabs>
          <w:tab w:val="left" w:pos="1134"/>
        </w:tabs>
        <w:ind w:firstLine="425" w:firstLineChars="15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（三）不同供应商的投标文件载明的项目管理成员或者联系人员为同一人；</w:t>
      </w:r>
    </w:p>
    <w:p>
      <w:pPr>
        <w:tabs>
          <w:tab w:val="left" w:pos="1134"/>
        </w:tabs>
        <w:ind w:firstLine="420" w:firstLineChars="15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（四）不同供应商的投标文件异常一致或者投标报价呈规律性差异；</w:t>
      </w:r>
    </w:p>
    <w:p>
      <w:pPr>
        <w:tabs>
          <w:tab w:val="left" w:pos="1134"/>
        </w:tabs>
        <w:ind w:firstLine="420" w:firstLineChars="15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（五）不同供应商的投标文件相互混装；</w:t>
      </w:r>
    </w:p>
    <w:p>
      <w:pPr>
        <w:tabs>
          <w:tab w:val="left" w:pos="1134"/>
        </w:tabs>
        <w:ind w:left="42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（六）不同供应商的投标保证金从同一单位或者个人的账户转出；</w:t>
      </w:r>
    </w:p>
    <w:p>
      <w:pPr>
        <w:numPr>
          <w:ilvl w:val="1"/>
          <w:numId w:val="25"/>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提供虚假材料谋取中标；</w:t>
      </w:r>
    </w:p>
    <w:p>
      <w:pPr>
        <w:numPr>
          <w:ilvl w:val="1"/>
          <w:numId w:val="25"/>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采取不正当手段诋毁、排挤其他供应商；</w:t>
      </w:r>
    </w:p>
    <w:p>
      <w:pPr>
        <w:numPr>
          <w:ilvl w:val="1"/>
          <w:numId w:val="25"/>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与采购人或</w:t>
      </w:r>
      <w:r>
        <w:rPr>
          <w:rFonts w:hint="eastAsia" w:cs="Arial"/>
          <w:color w:val="000000" w:themeColor="text1"/>
          <w:sz w:val="28"/>
          <w:szCs w:val="28"/>
          <w:highlight w:val="none"/>
          <w14:textFill>
            <w14:solidFill>
              <w14:schemeClr w14:val="tx1"/>
            </w14:solidFill>
          </w14:textFill>
        </w:rPr>
        <w:t>区公资交易中心</w:t>
      </w:r>
      <w:r>
        <w:rPr>
          <w:rFonts w:hint="eastAsia" w:ascii="宋体" w:hAnsi="宋体"/>
          <w:color w:val="000000" w:themeColor="text1"/>
          <w:sz w:val="28"/>
          <w:szCs w:val="28"/>
          <w:highlight w:val="none"/>
          <w14:textFill>
            <w14:solidFill>
              <w14:schemeClr w14:val="tx1"/>
            </w14:solidFill>
          </w14:textFill>
        </w:rPr>
        <w:t>、其他供应商恶意串通；</w:t>
      </w:r>
    </w:p>
    <w:p>
      <w:pPr>
        <w:numPr>
          <w:ilvl w:val="1"/>
          <w:numId w:val="25"/>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向采购人或</w:t>
      </w:r>
      <w:r>
        <w:rPr>
          <w:rFonts w:hint="eastAsia" w:cs="Arial"/>
          <w:color w:val="000000" w:themeColor="text1"/>
          <w:sz w:val="28"/>
          <w:szCs w:val="28"/>
          <w:highlight w:val="none"/>
          <w14:textFill>
            <w14:solidFill>
              <w14:schemeClr w14:val="tx1"/>
            </w14:solidFill>
          </w14:textFill>
        </w:rPr>
        <w:t>区公资交易中心</w:t>
      </w:r>
      <w:r>
        <w:rPr>
          <w:rFonts w:hint="eastAsia" w:ascii="宋体" w:hAnsi="宋体"/>
          <w:color w:val="000000" w:themeColor="text1"/>
          <w:sz w:val="28"/>
          <w:szCs w:val="28"/>
          <w:highlight w:val="none"/>
          <w14:textFill>
            <w14:solidFill>
              <w14:schemeClr w14:val="tx1"/>
            </w14:solidFill>
          </w14:textFill>
        </w:rPr>
        <w:t>、评标委员会成员行贿或者提供其他不正当利益；</w:t>
      </w:r>
    </w:p>
    <w:p>
      <w:pPr>
        <w:numPr>
          <w:ilvl w:val="1"/>
          <w:numId w:val="25"/>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在招标过程中与采购人或</w:t>
      </w:r>
      <w:r>
        <w:rPr>
          <w:rFonts w:hint="eastAsia" w:cs="Arial"/>
          <w:color w:val="000000" w:themeColor="text1"/>
          <w:sz w:val="28"/>
          <w:szCs w:val="28"/>
          <w:highlight w:val="none"/>
          <w14:textFill>
            <w14:solidFill>
              <w14:schemeClr w14:val="tx1"/>
            </w14:solidFill>
          </w14:textFill>
        </w:rPr>
        <w:t>区公资交易中心</w:t>
      </w:r>
      <w:r>
        <w:rPr>
          <w:rFonts w:hint="eastAsia" w:ascii="宋体" w:hAnsi="宋体"/>
          <w:color w:val="000000" w:themeColor="text1"/>
          <w:sz w:val="28"/>
          <w:szCs w:val="28"/>
          <w:highlight w:val="none"/>
          <w14:textFill>
            <w14:solidFill>
              <w14:schemeClr w14:val="tx1"/>
            </w14:solidFill>
          </w14:textFill>
        </w:rPr>
        <w:t>进行协商</w:t>
      </w:r>
      <w:r>
        <w:rPr>
          <w:rFonts w:hint="eastAsia" w:ascii="宋体" w:hAnsi="宋体"/>
          <w:color w:val="000000" w:themeColor="text1"/>
          <w:sz w:val="28"/>
          <w:szCs w:val="28"/>
          <w:highlight w:val="none"/>
          <w:lang w:eastAsia="zh-CN"/>
          <w14:textFill>
            <w14:solidFill>
              <w14:schemeClr w14:val="tx1"/>
            </w14:solidFill>
          </w14:textFill>
        </w:rPr>
        <w:t>招标</w:t>
      </w:r>
      <w:r>
        <w:rPr>
          <w:rFonts w:hint="eastAsia" w:ascii="宋体" w:hAnsi="宋体"/>
          <w:color w:val="000000" w:themeColor="text1"/>
          <w:sz w:val="28"/>
          <w:szCs w:val="28"/>
          <w:highlight w:val="none"/>
          <w14:textFill>
            <w14:solidFill>
              <w14:schemeClr w14:val="tx1"/>
            </w14:solidFill>
          </w14:textFill>
        </w:rPr>
        <w:t>；</w:t>
      </w:r>
    </w:p>
    <w:p>
      <w:pPr>
        <w:numPr>
          <w:ilvl w:val="1"/>
          <w:numId w:val="25"/>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中标后无正当理由拒不与采购人签订政府采购合同；</w:t>
      </w:r>
    </w:p>
    <w:p>
      <w:pPr>
        <w:numPr>
          <w:ilvl w:val="1"/>
          <w:numId w:val="25"/>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未按照采购文件确定的事项签订政府采购合同；</w:t>
      </w:r>
    </w:p>
    <w:p>
      <w:pPr>
        <w:numPr>
          <w:ilvl w:val="1"/>
          <w:numId w:val="25"/>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将政府采购合同转包或者违规分包；</w:t>
      </w:r>
    </w:p>
    <w:p>
      <w:pPr>
        <w:numPr>
          <w:ilvl w:val="1"/>
          <w:numId w:val="25"/>
        </w:numPr>
        <w:tabs>
          <w:tab w:val="left" w:pos="1134"/>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提供假冒伪劣产品；</w:t>
      </w:r>
    </w:p>
    <w:p>
      <w:pPr>
        <w:numPr>
          <w:ilvl w:val="1"/>
          <w:numId w:val="25"/>
        </w:numPr>
        <w:tabs>
          <w:tab w:val="left" w:pos="1134"/>
          <w:tab w:val="left" w:pos="1418"/>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擅自变更、中止或者终止政府采购合同；</w:t>
      </w:r>
    </w:p>
    <w:p>
      <w:pPr>
        <w:tabs>
          <w:tab w:val="left" w:pos="1134"/>
        </w:tabs>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十二、被列入失信被执行人、重大税收违法案件当事人名单、政府采购严重违法失信行为记录名单。参加政府采购活动前三年内，在经营活动中有重大违法记录；</w:t>
      </w:r>
    </w:p>
    <w:p>
      <w:pPr>
        <w:tabs>
          <w:tab w:val="left" w:pos="1134"/>
        </w:tabs>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十三、在行贿犯罪信息查询期限内，根据中国裁判文书网（https://wenshu.court.gov.cn）查询结果供应商及其现任法定代表人、主要负责人有行贿犯罪记录；</w:t>
      </w:r>
    </w:p>
    <w:p>
      <w:pPr>
        <w:tabs>
          <w:tab w:val="left" w:pos="1134"/>
        </w:tabs>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十四、处于被行政部门禁止参与政府采购活动的期限内；</w:t>
      </w:r>
    </w:p>
    <w:p>
      <w:pPr>
        <w:tabs>
          <w:tab w:val="left" w:pos="1134"/>
        </w:tabs>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十五、拒绝有关部门的监督检查或者向监督检查部门提供虚假情况；</w:t>
      </w:r>
    </w:p>
    <w:p>
      <w:pPr>
        <w:pStyle w:val="14"/>
        <w:spacing w:line="24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十六、法律法规规定的其他情形。</w:t>
      </w:r>
    </w:p>
    <w:p>
      <w:pPr>
        <w:tabs>
          <w:tab w:val="left" w:pos="1134"/>
        </w:tabs>
        <w:ind w:firstLine="568" w:firstLineChars="202"/>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供应商有上述情形的，按照规定追究法律责任，具备一至十四条情形之一的，同时将认定供应商投标无效或不确定其为中标人，或者取消中标资格或认定中标无效。</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保密</w:t>
      </w:r>
      <w:bookmarkEnd w:id="148"/>
    </w:p>
    <w:p>
      <w:pPr>
        <w:pStyle w:val="14"/>
        <w:numPr>
          <w:ilvl w:val="0"/>
          <w:numId w:val="26"/>
        </w:numPr>
        <w:tabs>
          <w:tab w:val="left" w:pos="1134"/>
        </w:tabs>
        <w:spacing w:after="0" w:line="24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不得透露有关在系统中成功提交《采购文件获取登记表》的潜在供应商的任何情况。</w:t>
      </w:r>
    </w:p>
    <w:p>
      <w:pPr>
        <w:pStyle w:val="14"/>
        <w:numPr>
          <w:ilvl w:val="0"/>
          <w:numId w:val="26"/>
        </w:numPr>
        <w:tabs>
          <w:tab w:val="left" w:pos="1134"/>
        </w:tabs>
        <w:spacing w:after="0" w:line="24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有关投标文件的审查、澄清、评估和比较以及合同授予意向等情况都不得对外透露。</w:t>
      </w:r>
    </w:p>
    <w:p>
      <w:pPr>
        <w:pStyle w:val="6"/>
        <w:numPr>
          <w:ilvl w:val="2"/>
          <w:numId w:val="3"/>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回避</w:t>
      </w:r>
    </w:p>
    <w:p>
      <w:pPr>
        <w:pStyle w:val="40"/>
        <w:shd w:val="clear" w:color="auto" w:fill="FFFFFF"/>
        <w:spacing w:before="0" w:beforeAutospacing="0" w:after="0" w:afterAutospacing="0"/>
        <w:ind w:firstLine="560" w:firstLineChars="200"/>
        <w:rPr>
          <w:rFonts w:cs="Helvetica"/>
          <w:color w:val="000000" w:themeColor="text1"/>
          <w:sz w:val="28"/>
          <w:szCs w:val="28"/>
          <w:highlight w:val="none"/>
          <w14:textFill>
            <w14:solidFill>
              <w14:schemeClr w14:val="tx1"/>
            </w14:solidFill>
          </w14:textFill>
        </w:rPr>
      </w:pPr>
      <w:r>
        <w:rPr>
          <w:rFonts w:hint="eastAsia" w:cs="Helvetica"/>
          <w:color w:val="000000" w:themeColor="text1"/>
          <w:sz w:val="28"/>
          <w:szCs w:val="28"/>
          <w:highlight w:val="none"/>
          <w14:textFill>
            <w14:solidFill>
              <w14:schemeClr w14:val="tx1"/>
            </w14:solidFill>
          </w14:textFill>
        </w:rPr>
        <w:t>在政府采购活动中，采购人员（如</w:t>
      </w:r>
      <w:r>
        <w:rPr>
          <w:rFonts w:hint="eastAsia"/>
          <w:color w:val="000000" w:themeColor="text1"/>
          <w:sz w:val="28"/>
          <w:szCs w:val="28"/>
          <w:highlight w:val="none"/>
          <w14:textFill>
            <w14:solidFill>
              <w14:schemeClr w14:val="tx1"/>
            </w14:solidFill>
          </w14:textFill>
        </w:rPr>
        <w:t>采购人内部负责采购项目的具体经办工作人员或直接分管采购项目的负责人、</w:t>
      </w:r>
      <w:r>
        <w:rPr>
          <w:rFonts w:hint="eastAsia" w:cs="Arial"/>
          <w:color w:val="000000" w:themeColor="text1"/>
          <w:sz w:val="28"/>
          <w:szCs w:val="28"/>
          <w:highlight w:val="none"/>
          <w14:textFill>
            <w14:solidFill>
              <w14:schemeClr w14:val="tx1"/>
            </w14:solidFill>
          </w14:textFill>
        </w:rPr>
        <w:t>区公资交易中心</w:t>
      </w:r>
      <w:r>
        <w:rPr>
          <w:rFonts w:hint="eastAsia"/>
          <w:color w:val="000000" w:themeColor="text1"/>
          <w:sz w:val="28"/>
          <w:szCs w:val="28"/>
          <w:highlight w:val="none"/>
          <w14:textFill>
            <w14:solidFill>
              <w14:schemeClr w14:val="tx1"/>
            </w14:solidFill>
          </w14:textFill>
        </w:rPr>
        <w:t>负责采购项目的具体经办工作人员或直接分管采购活动的负责人等</w:t>
      </w:r>
      <w:r>
        <w:rPr>
          <w:rFonts w:hint="eastAsia" w:cs="Helvetica"/>
          <w:color w:val="000000" w:themeColor="text1"/>
          <w:sz w:val="28"/>
          <w:szCs w:val="28"/>
          <w:highlight w:val="none"/>
          <w14:textFill>
            <w14:solidFill>
              <w14:schemeClr w14:val="tx1"/>
            </w14:solidFill>
          </w14:textFill>
        </w:rPr>
        <w:t>）及相关人员与供应商有下列利害关系之一的，应当回避：</w:t>
      </w:r>
    </w:p>
    <w:p>
      <w:pPr>
        <w:pStyle w:val="40"/>
        <w:shd w:val="clear" w:color="auto" w:fill="FFFFFF"/>
        <w:spacing w:before="0" w:beforeAutospacing="0" w:after="0" w:afterAutospacing="0"/>
        <w:ind w:firstLine="560" w:firstLineChars="200"/>
        <w:rPr>
          <w:rFonts w:cs="Helvetica"/>
          <w:color w:val="000000" w:themeColor="text1"/>
          <w:sz w:val="28"/>
          <w:szCs w:val="28"/>
          <w:highlight w:val="none"/>
          <w14:textFill>
            <w14:solidFill>
              <w14:schemeClr w14:val="tx1"/>
            </w14:solidFill>
          </w14:textFill>
        </w:rPr>
      </w:pPr>
      <w:r>
        <w:rPr>
          <w:rFonts w:hint="eastAsia" w:cs="Helvetica"/>
          <w:color w:val="000000" w:themeColor="text1"/>
          <w:sz w:val="28"/>
          <w:szCs w:val="28"/>
          <w:highlight w:val="none"/>
          <w14:textFill>
            <w14:solidFill>
              <w14:schemeClr w14:val="tx1"/>
            </w14:solidFill>
          </w14:textFill>
        </w:rPr>
        <w:t>（一）参加采购活动前3年内与供应商存在劳动关系；</w:t>
      </w:r>
    </w:p>
    <w:p>
      <w:pPr>
        <w:pStyle w:val="40"/>
        <w:shd w:val="clear" w:color="auto" w:fill="FFFFFF"/>
        <w:spacing w:before="0" w:beforeAutospacing="0" w:after="0" w:afterAutospacing="0"/>
        <w:ind w:firstLine="560" w:firstLineChars="200"/>
        <w:rPr>
          <w:rFonts w:cs="Helvetica"/>
          <w:color w:val="000000" w:themeColor="text1"/>
          <w:sz w:val="28"/>
          <w:szCs w:val="28"/>
          <w:highlight w:val="none"/>
          <w14:textFill>
            <w14:solidFill>
              <w14:schemeClr w14:val="tx1"/>
            </w14:solidFill>
          </w14:textFill>
        </w:rPr>
      </w:pPr>
      <w:r>
        <w:rPr>
          <w:rFonts w:hint="eastAsia" w:cs="Helvetica"/>
          <w:color w:val="000000" w:themeColor="text1"/>
          <w:sz w:val="28"/>
          <w:szCs w:val="28"/>
          <w:highlight w:val="none"/>
          <w14:textFill>
            <w14:solidFill>
              <w14:schemeClr w14:val="tx1"/>
            </w14:solidFill>
          </w14:textFill>
        </w:rPr>
        <w:t>（二）参加采购活动前3年内担任供应商的董事、监事；</w:t>
      </w:r>
    </w:p>
    <w:p>
      <w:pPr>
        <w:pStyle w:val="40"/>
        <w:shd w:val="clear" w:color="auto" w:fill="FFFFFF"/>
        <w:spacing w:before="0" w:beforeAutospacing="0" w:after="0" w:afterAutospacing="0"/>
        <w:ind w:firstLine="562" w:firstLineChars="201"/>
        <w:rPr>
          <w:rFonts w:cs="Helvetica"/>
          <w:color w:val="000000" w:themeColor="text1"/>
          <w:sz w:val="28"/>
          <w:szCs w:val="28"/>
          <w:highlight w:val="none"/>
          <w14:textFill>
            <w14:solidFill>
              <w14:schemeClr w14:val="tx1"/>
            </w14:solidFill>
          </w14:textFill>
        </w:rPr>
      </w:pPr>
      <w:r>
        <w:rPr>
          <w:rFonts w:hint="eastAsia" w:cs="Helvetica"/>
          <w:color w:val="000000" w:themeColor="text1"/>
          <w:sz w:val="28"/>
          <w:szCs w:val="28"/>
          <w:highlight w:val="none"/>
          <w14:textFill>
            <w14:solidFill>
              <w14:schemeClr w14:val="tx1"/>
            </w14:solidFill>
          </w14:textFill>
        </w:rPr>
        <w:t>（三）参加采购活动前3年内是供应商的控股股东或者实际控制人；</w:t>
      </w:r>
    </w:p>
    <w:p>
      <w:pPr>
        <w:pStyle w:val="40"/>
        <w:shd w:val="clear" w:color="auto" w:fill="FFFFFF"/>
        <w:spacing w:before="0" w:beforeAutospacing="0" w:after="0" w:afterAutospacing="0"/>
        <w:ind w:firstLine="560" w:firstLineChars="200"/>
        <w:rPr>
          <w:rFonts w:cs="Helvetica"/>
          <w:color w:val="000000" w:themeColor="text1"/>
          <w:sz w:val="28"/>
          <w:szCs w:val="28"/>
          <w:highlight w:val="none"/>
          <w14:textFill>
            <w14:solidFill>
              <w14:schemeClr w14:val="tx1"/>
            </w14:solidFill>
          </w14:textFill>
        </w:rPr>
      </w:pPr>
      <w:r>
        <w:rPr>
          <w:rFonts w:hint="eastAsia" w:cs="Helvetica"/>
          <w:color w:val="000000" w:themeColor="text1"/>
          <w:sz w:val="28"/>
          <w:szCs w:val="28"/>
          <w:highlight w:val="none"/>
          <w14:textFill>
            <w14:solidFill>
              <w14:schemeClr w14:val="tx1"/>
            </w14:solidFill>
          </w14:textFill>
        </w:rPr>
        <w:t>（四）与供应商的法定代表人或者负责人有夫妻、直系血亲、三代以内旁系血亲或者近姻亲关系；</w:t>
      </w:r>
    </w:p>
    <w:p>
      <w:pPr>
        <w:pStyle w:val="40"/>
        <w:shd w:val="clear" w:color="auto" w:fill="FFFFFF"/>
        <w:spacing w:before="0" w:beforeAutospacing="0" w:after="0" w:afterAutospacing="0"/>
        <w:ind w:firstLine="560" w:firstLineChars="200"/>
        <w:rPr>
          <w:rFonts w:cs="Helvetica"/>
          <w:color w:val="000000" w:themeColor="text1"/>
          <w:sz w:val="28"/>
          <w:szCs w:val="28"/>
          <w:highlight w:val="none"/>
          <w14:textFill>
            <w14:solidFill>
              <w14:schemeClr w14:val="tx1"/>
            </w14:solidFill>
          </w14:textFill>
        </w:rPr>
      </w:pPr>
      <w:r>
        <w:rPr>
          <w:rFonts w:hint="eastAsia" w:cs="Helvetica"/>
          <w:color w:val="000000" w:themeColor="text1"/>
          <w:sz w:val="28"/>
          <w:szCs w:val="28"/>
          <w:highlight w:val="none"/>
          <w14:textFill>
            <w14:solidFill>
              <w14:schemeClr w14:val="tx1"/>
            </w14:solidFill>
          </w14:textFill>
        </w:rPr>
        <w:t>（五）与供应商有其他可能影响政府采购活动公平、公正进行的关系。</w:t>
      </w:r>
    </w:p>
    <w:p>
      <w:pPr>
        <w:pStyle w:val="40"/>
        <w:shd w:val="clear" w:color="auto" w:fill="FFFFFF"/>
        <w:spacing w:before="0" w:beforeAutospacing="0" w:after="0" w:afterAutospacing="0"/>
        <w:ind w:firstLine="560" w:firstLineChars="200"/>
        <w:rPr>
          <w:rFonts w:ascii="Calibri" w:hAnsi="Calibri"/>
          <w:color w:val="000000" w:themeColor="text1"/>
          <w:kern w:val="2"/>
          <w:sz w:val="28"/>
          <w:szCs w:val="28"/>
          <w:highlight w:val="none"/>
          <w14:textFill>
            <w14:solidFill>
              <w14:schemeClr w14:val="tx1"/>
            </w14:solidFill>
          </w14:textFill>
        </w:rPr>
      </w:pPr>
      <w:r>
        <w:rPr>
          <w:rFonts w:hint="eastAsia" w:ascii="Calibri" w:hAnsi="Calibri"/>
          <w:color w:val="000000" w:themeColor="text1"/>
          <w:kern w:val="2"/>
          <w:sz w:val="28"/>
          <w:szCs w:val="28"/>
          <w:highlight w:val="none"/>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bookmarkEnd w:id="145"/>
    <w:bookmarkEnd w:id="146"/>
    <w:p>
      <w:pPr>
        <w:pStyle w:val="5"/>
        <w:numPr>
          <w:ilvl w:val="1"/>
          <w:numId w:val="3"/>
        </w:numPr>
        <w:spacing w:before="0" w:after="0" w:line="240" w:lineRule="auto"/>
        <w:ind w:left="993" w:hanging="993"/>
        <w:rPr>
          <w:color w:val="000000" w:themeColor="text1"/>
          <w:highlight w:val="none"/>
          <w14:textFill>
            <w14:solidFill>
              <w14:schemeClr w14:val="tx1"/>
            </w14:solidFill>
          </w14:textFill>
        </w:rPr>
      </w:pPr>
      <w:bookmarkStart w:id="149" w:name="_Toc26656"/>
      <w:bookmarkStart w:id="150" w:name="_Toc15833"/>
      <w:bookmarkStart w:id="151" w:name="_Toc21164"/>
      <w:bookmarkStart w:id="152" w:name="_Toc8315"/>
      <w:bookmarkStart w:id="153" w:name="_Toc217446078"/>
      <w:bookmarkStart w:id="154" w:name="_Toc446402234"/>
      <w:bookmarkStart w:id="155" w:name="_Toc79654069"/>
      <w:bookmarkStart w:id="156" w:name="_Toc374971122"/>
      <w:bookmarkStart w:id="157" w:name="_Toc379536619"/>
      <w:r>
        <w:rPr>
          <w:rFonts w:hint="eastAsia"/>
          <w:color w:val="000000" w:themeColor="text1"/>
          <w:highlight w:val="none"/>
          <w14:textFill>
            <w14:solidFill>
              <w14:schemeClr w14:val="tx1"/>
            </w14:solidFill>
          </w14:textFill>
        </w:rPr>
        <w:t>询问、质疑和投诉</w:t>
      </w:r>
      <w:bookmarkEnd w:id="149"/>
      <w:bookmarkEnd w:id="150"/>
      <w:bookmarkEnd w:id="151"/>
      <w:bookmarkEnd w:id="152"/>
      <w:bookmarkEnd w:id="153"/>
      <w:bookmarkEnd w:id="154"/>
      <w:bookmarkEnd w:id="155"/>
      <w:bookmarkStart w:id="158" w:name="_Toc217446079"/>
    </w:p>
    <w:p>
      <w:pPr>
        <w:numPr>
          <w:ilvl w:val="0"/>
          <w:numId w:val="27"/>
        </w:numPr>
        <w:spacing w:line="500" w:lineRule="exact"/>
        <w:ind w:left="0" w:firstLine="567"/>
        <w:jc w:val="left"/>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highlight w:val="none"/>
          <w14:textFill>
            <w14:solidFill>
              <w14:schemeClr w14:val="tx1"/>
            </w14:solidFill>
          </w14:textFill>
        </w:rPr>
        <w:t>87</w:t>
      </w:r>
      <w:r>
        <w:rPr>
          <w:rFonts w:hint="eastAsia"/>
          <w:color w:val="000000" w:themeColor="text1"/>
          <w:sz w:val="28"/>
          <w:szCs w:val="28"/>
          <w:highlight w:val="none"/>
          <w14:textFill>
            <w14:solidFill>
              <w14:schemeClr w14:val="tx1"/>
            </w14:solidFill>
          </w14:textFill>
        </w:rPr>
        <w:t>号令）和《政府采购质疑和投诉办法》（财政部</w:t>
      </w:r>
      <w:r>
        <w:rPr>
          <w:color w:val="000000" w:themeColor="text1"/>
          <w:sz w:val="28"/>
          <w:szCs w:val="28"/>
          <w:highlight w:val="none"/>
          <w14:textFill>
            <w14:solidFill>
              <w14:schemeClr w14:val="tx1"/>
            </w14:solidFill>
          </w14:textFill>
        </w:rPr>
        <w:t>94</w:t>
      </w:r>
      <w:r>
        <w:rPr>
          <w:rFonts w:hint="eastAsia"/>
          <w:color w:val="000000" w:themeColor="text1"/>
          <w:sz w:val="28"/>
          <w:szCs w:val="28"/>
          <w:highlight w:val="none"/>
          <w14:textFill>
            <w14:solidFill>
              <w14:schemeClr w14:val="tx1"/>
            </w14:solidFill>
          </w14:textFill>
        </w:rPr>
        <w:t>号令）的规定办理。</w:t>
      </w:r>
    </w:p>
    <w:p>
      <w:pPr>
        <w:numPr>
          <w:ilvl w:val="0"/>
          <w:numId w:val="27"/>
        </w:numPr>
        <w:spacing w:line="500" w:lineRule="exact"/>
        <w:ind w:left="0" w:firstLine="567"/>
        <w:jc w:val="left"/>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供应商</w:t>
      </w:r>
      <w:r>
        <w:rPr>
          <w:rFonts w:hint="eastAsia" w:ascii="宋体" w:hAnsi="宋体"/>
          <w:color w:val="000000" w:themeColor="text1"/>
          <w:sz w:val="28"/>
          <w:szCs w:val="28"/>
          <w:highlight w:val="none"/>
          <w14:textFill>
            <w14:solidFill>
              <w14:schemeClr w14:val="tx1"/>
            </w14:solidFill>
          </w14:textFill>
        </w:rPr>
        <w:t>询问、质疑的对象</w:t>
      </w:r>
    </w:p>
    <w:p>
      <w:pPr>
        <w:numPr>
          <w:ilvl w:val="1"/>
          <w:numId w:val="28"/>
        </w:numPr>
        <w:tabs>
          <w:tab w:val="left" w:pos="0"/>
          <w:tab w:val="left" w:pos="1276"/>
        </w:tabs>
        <w:spacing w:after="120" w:line="500" w:lineRule="exact"/>
        <w:ind w:left="0" w:firstLine="567"/>
        <w:rPr>
          <w:rFonts w:ascii="宋体" w:hAnsi="宋体"/>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供应商</w:t>
      </w:r>
      <w:r>
        <w:rPr>
          <w:rFonts w:hint="eastAsia" w:ascii="宋体" w:hAnsi="宋体"/>
          <w:color w:val="000000" w:themeColor="text1"/>
          <w:sz w:val="28"/>
          <w:szCs w:val="28"/>
          <w:highlight w:val="none"/>
          <w14:textFill>
            <w14:solidFill>
              <w14:schemeClr w14:val="tx1"/>
            </w14:solidFill>
          </w14:textFill>
        </w:rPr>
        <w:t>对招标文件中</w:t>
      </w:r>
      <w:r>
        <w:rPr>
          <w:rFonts w:hint="eastAsia"/>
          <w:color w:val="000000" w:themeColor="text1"/>
          <w:sz w:val="28"/>
          <w:szCs w:val="28"/>
          <w:highlight w:val="none"/>
          <w14:textFill>
            <w14:solidFill>
              <w14:schemeClr w14:val="tx1"/>
            </w14:solidFill>
          </w14:textFill>
        </w:rPr>
        <w:t>供应商</w:t>
      </w:r>
      <w:r>
        <w:rPr>
          <w:rFonts w:hint="eastAsia" w:ascii="宋体" w:hAnsi="宋体"/>
          <w:color w:val="000000" w:themeColor="text1"/>
          <w:sz w:val="28"/>
          <w:szCs w:val="28"/>
          <w:highlight w:val="none"/>
          <w14:textFill>
            <w14:solidFill>
              <w14:schemeClr w14:val="tx1"/>
            </w14:solidFill>
          </w14:textFill>
        </w:rPr>
        <w:t>参加本次政府采购活动应当具备的条件，</w:t>
      </w:r>
      <w:r>
        <w:rPr>
          <w:rFonts w:hint="eastAsia" w:cs="Helvetica"/>
          <w:sz w:val="28"/>
          <w:szCs w:val="28"/>
          <w:highlight w:val="none"/>
        </w:rPr>
        <w:t>招标项目技术、服务、商务及其他要求，评标细则及标准，以及关于资格审查、中标结果提出询问或质疑的，应通过“政府采购云平台”向采购人提出</w:t>
      </w:r>
      <w:r>
        <w:rPr>
          <w:rFonts w:hint="eastAsia" w:ascii="宋体" w:hAnsi="宋体"/>
          <w:color w:val="000000" w:themeColor="text1"/>
          <w:sz w:val="28"/>
          <w:szCs w:val="28"/>
          <w:highlight w:val="none"/>
          <w14:textFill>
            <w14:solidFill>
              <w14:schemeClr w14:val="tx1"/>
            </w14:solidFill>
          </w14:textFill>
        </w:rPr>
        <w:t>；</w:t>
      </w:r>
    </w:p>
    <w:p>
      <w:pPr>
        <w:numPr>
          <w:ilvl w:val="1"/>
          <w:numId w:val="28"/>
        </w:numPr>
        <w:spacing w:after="120" w:line="500" w:lineRule="exact"/>
        <w:ind w:left="0" w:firstLine="567"/>
        <w:rPr>
          <w:rFonts w:ascii="宋体" w:hAnsi="宋体"/>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供应商</w:t>
      </w:r>
      <w:r>
        <w:rPr>
          <w:rFonts w:hint="eastAsia" w:cs="Helvetica"/>
          <w:sz w:val="28"/>
          <w:szCs w:val="28"/>
          <w:highlight w:val="none"/>
        </w:rPr>
        <w:t>对除上述招标文件中的其他内容，招标文件中采购程序、采购文件中供应商须知、采购合同格式、投标文件格式、以及开标过程程序提出询问或质疑的，应通过“政府采购云平台”向区公资交易中心提出</w:t>
      </w:r>
      <w:r>
        <w:rPr>
          <w:rFonts w:hint="eastAsia" w:ascii="宋体" w:hAnsi="宋体"/>
          <w:color w:val="000000" w:themeColor="text1"/>
          <w:sz w:val="28"/>
          <w:szCs w:val="28"/>
          <w:highlight w:val="none"/>
          <w14:textFill>
            <w14:solidFill>
              <w14:schemeClr w14:val="tx1"/>
            </w14:solidFill>
          </w14:textFill>
        </w:rPr>
        <w:t>。</w:t>
      </w:r>
    </w:p>
    <w:p>
      <w:pPr>
        <w:numPr>
          <w:ilvl w:val="0"/>
          <w:numId w:val="27"/>
        </w:numPr>
        <w:tabs>
          <w:tab w:val="left" w:pos="1134"/>
        </w:tabs>
        <w:spacing w:after="120" w:line="50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供应商提出的询问，应当明确询问事项，如以书面形式提出的，应由供应商签字并加盖公章。</w:t>
      </w:r>
    </w:p>
    <w:p>
      <w:pPr>
        <w:numPr>
          <w:ilvl w:val="0"/>
          <w:numId w:val="27"/>
        </w:numPr>
        <w:tabs>
          <w:tab w:val="left" w:pos="1134"/>
        </w:tabs>
        <w:spacing w:after="120" w:line="50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供应商应在法定质疑期内一次性提出针对同一采购程序环节的质疑。</w:t>
      </w:r>
    </w:p>
    <w:p>
      <w:pPr>
        <w:numPr>
          <w:ilvl w:val="0"/>
          <w:numId w:val="27"/>
        </w:numPr>
        <w:tabs>
          <w:tab w:val="left" w:pos="1134"/>
        </w:tabs>
        <w:spacing w:after="120" w:line="50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供应商提出质疑时应当准备的资料</w:t>
      </w:r>
    </w:p>
    <w:p>
      <w:pPr>
        <w:pStyle w:val="40"/>
        <w:shd w:val="clear" w:color="auto" w:fill="FFFFFF"/>
        <w:spacing w:before="0" w:beforeAutospacing="0" w:after="0" w:afterAutospacing="0"/>
        <w:ind w:firstLine="560" w:firstLineChars="200"/>
        <w:rPr>
          <w:rFonts w:cs="Helvetica"/>
          <w:color w:val="auto"/>
          <w:sz w:val="28"/>
          <w:szCs w:val="28"/>
          <w:highlight w:val="none"/>
        </w:rPr>
      </w:pPr>
      <w:r>
        <w:rPr>
          <w:rFonts w:hint="eastAsia" w:cs="Helvetica"/>
          <w:color w:val="auto"/>
          <w:sz w:val="28"/>
          <w:szCs w:val="28"/>
          <w:highlight w:val="none"/>
        </w:rPr>
        <w:t>（一）质疑书正本1份，副本2份（加盖公章，如果涉及更多的供应商须提供相应数量的副本）；</w:t>
      </w:r>
    </w:p>
    <w:p>
      <w:pPr>
        <w:pStyle w:val="40"/>
        <w:shd w:val="clear" w:color="auto" w:fill="FFFFFF"/>
        <w:spacing w:before="0" w:beforeAutospacing="0" w:after="0" w:afterAutospacing="0"/>
        <w:ind w:firstLine="560" w:firstLineChars="200"/>
        <w:rPr>
          <w:rFonts w:cs="Helvetica"/>
          <w:color w:val="auto"/>
          <w:sz w:val="28"/>
          <w:szCs w:val="28"/>
          <w:highlight w:val="none"/>
        </w:rPr>
      </w:pPr>
      <w:r>
        <w:rPr>
          <w:rFonts w:hint="eastAsia" w:cs="Helvetica"/>
          <w:color w:val="auto"/>
          <w:sz w:val="28"/>
          <w:szCs w:val="28"/>
          <w:highlight w:val="none"/>
        </w:rPr>
        <w:t>（二）法定代表人授权委托书1份（加盖公章，委托代理人办理质疑事宜的需提供）；</w:t>
      </w:r>
    </w:p>
    <w:p>
      <w:pPr>
        <w:pStyle w:val="40"/>
        <w:shd w:val="clear" w:color="auto" w:fill="FFFFFF"/>
        <w:spacing w:before="0" w:beforeAutospacing="0" w:after="0" w:afterAutospacing="0"/>
        <w:ind w:firstLine="560" w:firstLineChars="200"/>
        <w:rPr>
          <w:rFonts w:cs="Helvetica"/>
          <w:color w:val="auto"/>
          <w:sz w:val="28"/>
          <w:szCs w:val="28"/>
          <w:highlight w:val="none"/>
        </w:rPr>
      </w:pPr>
      <w:r>
        <w:rPr>
          <w:rFonts w:hint="eastAsia" w:cs="Helvetica"/>
          <w:color w:val="auto"/>
          <w:sz w:val="28"/>
          <w:szCs w:val="28"/>
          <w:highlight w:val="none"/>
        </w:rPr>
        <w:t>（三）营业执照或法人证书复印件1份（加盖公章）；</w:t>
      </w:r>
    </w:p>
    <w:p>
      <w:pPr>
        <w:pStyle w:val="40"/>
        <w:shd w:val="clear" w:color="auto" w:fill="FFFFFF"/>
        <w:spacing w:before="0" w:beforeAutospacing="0" w:after="0" w:afterAutospacing="0"/>
        <w:ind w:firstLine="560" w:firstLineChars="200"/>
        <w:rPr>
          <w:rFonts w:cs="Helvetica"/>
          <w:color w:val="auto"/>
          <w:sz w:val="28"/>
          <w:szCs w:val="28"/>
          <w:highlight w:val="none"/>
        </w:rPr>
      </w:pPr>
      <w:r>
        <w:rPr>
          <w:rFonts w:hint="eastAsia" w:cs="Helvetica"/>
          <w:color w:val="auto"/>
          <w:sz w:val="28"/>
          <w:szCs w:val="28"/>
          <w:highlight w:val="none"/>
        </w:rPr>
        <w:t>（四）法定代表人身份证复印件1份（加盖公章）；</w:t>
      </w:r>
    </w:p>
    <w:p>
      <w:pPr>
        <w:pStyle w:val="40"/>
        <w:shd w:val="clear" w:color="auto" w:fill="FFFFFF"/>
        <w:spacing w:before="0" w:beforeAutospacing="0" w:after="0" w:afterAutospacing="0"/>
        <w:ind w:firstLine="560" w:firstLineChars="200"/>
        <w:rPr>
          <w:rFonts w:cs="Helvetica"/>
          <w:color w:val="auto"/>
          <w:sz w:val="28"/>
          <w:szCs w:val="28"/>
          <w:highlight w:val="none"/>
        </w:rPr>
      </w:pPr>
      <w:r>
        <w:rPr>
          <w:rFonts w:hint="eastAsia" w:cs="Helvetica"/>
          <w:color w:val="auto"/>
          <w:sz w:val="28"/>
          <w:szCs w:val="28"/>
          <w:highlight w:val="none"/>
        </w:rPr>
        <w:t>（五）委托代理人身份证复印件1份（加盖公章，委托代理人办理质疑事宜的需提供）；</w:t>
      </w:r>
    </w:p>
    <w:p>
      <w:pPr>
        <w:pStyle w:val="40"/>
        <w:shd w:val="clear" w:color="auto" w:fill="FFFFFF"/>
        <w:spacing w:before="0" w:beforeAutospacing="0" w:after="0" w:afterAutospacing="0"/>
        <w:ind w:firstLine="560" w:firstLineChars="200"/>
        <w:rPr>
          <w:rFonts w:cs="Helvetica"/>
          <w:color w:val="auto"/>
          <w:sz w:val="28"/>
          <w:szCs w:val="28"/>
          <w:highlight w:val="none"/>
        </w:rPr>
      </w:pPr>
      <w:r>
        <w:rPr>
          <w:rFonts w:hint="eastAsia" w:cs="Helvetica"/>
          <w:color w:val="auto"/>
          <w:sz w:val="28"/>
          <w:szCs w:val="28"/>
          <w:highlight w:val="none"/>
        </w:rPr>
        <w:t>（六）针对质疑事项必要的证明材料（加盖公章）。</w:t>
      </w:r>
    </w:p>
    <w:p>
      <w:pPr>
        <w:numPr>
          <w:ilvl w:val="0"/>
          <w:numId w:val="27"/>
        </w:numPr>
        <w:tabs>
          <w:tab w:val="left" w:pos="1134"/>
        </w:tabs>
        <w:spacing w:line="50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供应商对采购人</w:t>
      </w:r>
      <w:r>
        <w:rPr>
          <w:rFonts w:ascii="宋体" w:hAnsi="宋体"/>
          <w:color w:val="000000" w:themeColor="text1"/>
          <w:sz w:val="28"/>
          <w:szCs w:val="28"/>
          <w:highlight w:val="none"/>
          <w14:textFill>
            <w14:solidFill>
              <w14:schemeClr w14:val="tx1"/>
            </w14:solidFill>
          </w14:textFill>
        </w:rPr>
        <w:t>或</w:t>
      </w:r>
      <w:r>
        <w:rPr>
          <w:rFonts w:hint="eastAsia" w:ascii="宋体" w:hAnsi="宋体"/>
          <w:color w:val="000000" w:themeColor="text1"/>
          <w:sz w:val="28"/>
          <w:szCs w:val="28"/>
          <w:highlight w:val="none"/>
          <w14:textFill>
            <w14:solidFill>
              <w14:schemeClr w14:val="tx1"/>
            </w14:solidFill>
          </w14:textFill>
        </w:rPr>
        <w:t>区公资交易中心的质疑答复不满意，或者采购人</w:t>
      </w:r>
      <w:r>
        <w:rPr>
          <w:rFonts w:ascii="宋体" w:hAnsi="宋体"/>
          <w:color w:val="000000" w:themeColor="text1"/>
          <w:sz w:val="28"/>
          <w:szCs w:val="28"/>
          <w:highlight w:val="none"/>
          <w14:textFill>
            <w14:solidFill>
              <w14:schemeClr w14:val="tx1"/>
            </w14:solidFill>
          </w14:textFill>
        </w:rPr>
        <w:t>或</w:t>
      </w:r>
      <w:r>
        <w:rPr>
          <w:rFonts w:hint="eastAsia" w:ascii="宋体" w:hAnsi="宋体"/>
          <w:color w:val="000000" w:themeColor="text1"/>
          <w:sz w:val="28"/>
          <w:szCs w:val="28"/>
          <w:highlight w:val="none"/>
          <w14:textFill>
            <w14:solidFill>
              <w14:schemeClr w14:val="tx1"/>
            </w14:solidFill>
          </w14:textFill>
        </w:rPr>
        <w:t>区公资交易中心未在规定期限内作出答复的，供应商可以在答复期满后15个工作日内向同级财政部门提起投诉。</w:t>
      </w:r>
    </w:p>
    <w:bookmarkEnd w:id="158"/>
    <w:p>
      <w:pPr>
        <w:pStyle w:val="5"/>
        <w:numPr>
          <w:ilvl w:val="1"/>
          <w:numId w:val="3"/>
        </w:numPr>
        <w:spacing w:before="0" w:after="0" w:line="240" w:lineRule="auto"/>
        <w:ind w:left="2269" w:hanging="2269"/>
        <w:rPr>
          <w:color w:val="000000" w:themeColor="text1"/>
          <w:sz w:val="36"/>
          <w:szCs w:val="36"/>
          <w:highlight w:val="none"/>
          <w14:textFill>
            <w14:solidFill>
              <w14:schemeClr w14:val="tx1"/>
            </w14:solidFill>
          </w14:textFill>
        </w:rPr>
      </w:pPr>
      <w:bookmarkStart w:id="159" w:name="_Toc10245"/>
      <w:bookmarkStart w:id="160" w:name="_Toc1212"/>
      <w:bookmarkStart w:id="161" w:name="_Toc8941"/>
      <w:bookmarkStart w:id="162" w:name="_Toc11597"/>
      <w:bookmarkStart w:id="163" w:name="_Toc79654070"/>
      <w:r>
        <w:rPr>
          <w:rFonts w:hint="eastAsia"/>
          <w:color w:val="000000" w:themeColor="text1"/>
          <w:highlight w:val="none"/>
          <w14:textFill>
            <w14:solidFill>
              <w14:schemeClr w14:val="tx1"/>
            </w14:solidFill>
          </w14:textFill>
        </w:rPr>
        <w:t>中小企业政府采购信用融资</w:t>
      </w:r>
      <w:bookmarkEnd w:id="156"/>
      <w:bookmarkEnd w:id="157"/>
      <w:bookmarkEnd w:id="159"/>
      <w:bookmarkEnd w:id="160"/>
      <w:bookmarkEnd w:id="161"/>
      <w:bookmarkEnd w:id="162"/>
      <w:bookmarkEnd w:id="163"/>
    </w:p>
    <w:p>
      <w:pPr>
        <w:ind w:firstLine="413" w:firstLineChars="147"/>
        <w:rPr>
          <w:rFonts w:ascii="宋体" w:hAnsi="宋体"/>
          <w:b/>
          <w:color w:val="000000" w:themeColor="text1"/>
          <w:sz w:val="28"/>
          <w:szCs w:val="28"/>
          <w:highlight w:val="none"/>
          <w14:textFill>
            <w14:solidFill>
              <w14:schemeClr w14:val="tx1"/>
            </w14:solidFill>
          </w14:textFill>
        </w:rPr>
      </w:pPr>
      <w:bookmarkStart w:id="164" w:name="_Toc315871045"/>
      <w:bookmarkEnd w:id="164"/>
      <w:bookmarkStart w:id="165" w:name="_Toc315871050"/>
      <w:bookmarkEnd w:id="165"/>
      <w:bookmarkStart w:id="166" w:name="_Toc315871049"/>
      <w:bookmarkEnd w:id="166"/>
      <w:bookmarkStart w:id="167" w:name="_Toc316292050"/>
      <w:bookmarkEnd w:id="167"/>
      <w:bookmarkStart w:id="168" w:name="_Toc315871047"/>
      <w:bookmarkEnd w:id="168"/>
      <w:bookmarkStart w:id="169" w:name="_Toc316292049"/>
      <w:bookmarkEnd w:id="169"/>
      <w:bookmarkStart w:id="170" w:name="_Toc316292052"/>
      <w:bookmarkEnd w:id="170"/>
      <w:bookmarkStart w:id="171" w:name="_Toc316292048"/>
      <w:bookmarkEnd w:id="171"/>
      <w:bookmarkStart w:id="172" w:name="_Toc315871048"/>
      <w:bookmarkEnd w:id="172"/>
      <w:bookmarkStart w:id="173" w:name="_Toc316292051"/>
      <w:bookmarkEnd w:id="173"/>
      <w:bookmarkStart w:id="174" w:name="_Toc315871046"/>
      <w:bookmarkEnd w:id="174"/>
      <w:bookmarkStart w:id="175" w:name="_Toc7919"/>
      <w:bookmarkStart w:id="176" w:name="_Toc24366"/>
      <w:bookmarkStart w:id="177" w:name="_Toc18757"/>
      <w:bookmarkStart w:id="178" w:name="_Toc21267"/>
      <w:bookmarkStart w:id="179" w:name="_Toc16542"/>
      <w:bookmarkStart w:id="180" w:name="_Toc21629"/>
      <w:bookmarkStart w:id="181" w:name="_Toc13269"/>
      <w:bookmarkStart w:id="182" w:name="_Toc31026"/>
      <w:bookmarkStart w:id="183" w:name="_Toc29599"/>
      <w:bookmarkStart w:id="184" w:name="_Toc17294"/>
      <w:bookmarkStart w:id="185" w:name="_Toc631"/>
      <w:bookmarkStart w:id="186" w:name="_Toc26253"/>
      <w:bookmarkStart w:id="187" w:name="_Toc32192"/>
      <w:bookmarkStart w:id="188" w:name="_Toc21854"/>
      <w:bookmarkStart w:id="189" w:name="_Toc20306"/>
      <w:bookmarkStart w:id="190" w:name="_Toc512"/>
      <w:bookmarkStart w:id="191" w:name="_Toc8836"/>
      <w:bookmarkStart w:id="192" w:name="_Toc7565"/>
      <w:bookmarkStart w:id="193" w:name="_Toc17383"/>
      <w:bookmarkStart w:id="194" w:name="_Toc29131"/>
      <w:r>
        <w:rPr>
          <w:rFonts w:hint="eastAsia" w:ascii="宋体" w:hAnsi="宋体"/>
          <w:b/>
          <w:color w:val="000000" w:themeColor="text1"/>
          <w:sz w:val="28"/>
          <w:szCs w:val="28"/>
          <w:highlight w:val="none"/>
          <w14:textFill>
            <w14:solidFill>
              <w14:schemeClr w14:val="tx1"/>
            </w14:solidFill>
          </w14:textFill>
        </w:rPr>
        <w:t>本项目属于政府采购信用融资业务项目，</w:t>
      </w:r>
      <w:r>
        <w:rPr>
          <w:rFonts w:ascii="宋体" w:hAnsi="宋体"/>
          <w:b/>
          <w:color w:val="000000" w:themeColor="text1"/>
          <w:sz w:val="28"/>
          <w:szCs w:val="28"/>
          <w:highlight w:val="none"/>
          <w14:textFill>
            <w14:solidFill>
              <w14:schemeClr w14:val="tx1"/>
            </w14:solidFill>
          </w14:textFill>
        </w:rPr>
        <w:t>融资利率上浮比例不超过人</w:t>
      </w:r>
      <w:r>
        <w:rPr>
          <w:rFonts w:hint="eastAsia" w:ascii="宋体" w:hAnsi="宋体"/>
          <w:b/>
          <w:color w:val="000000" w:themeColor="text1"/>
          <w:sz w:val="28"/>
          <w:szCs w:val="28"/>
          <w:highlight w:val="none"/>
          <w14:textFill>
            <w14:solidFill>
              <w14:schemeClr w14:val="tx1"/>
            </w14:solidFill>
          </w14:textFill>
        </w:rPr>
        <w:t>民银</w:t>
      </w:r>
      <w:r>
        <w:rPr>
          <w:rFonts w:ascii="宋体" w:hAnsi="宋体"/>
          <w:b/>
          <w:color w:val="000000" w:themeColor="text1"/>
          <w:sz w:val="28"/>
          <w:szCs w:val="28"/>
          <w:highlight w:val="none"/>
          <w14:textFill>
            <w14:solidFill>
              <w14:schemeClr w14:val="tx1"/>
            </w14:solidFill>
          </w14:textFill>
        </w:rPr>
        <w:t>行同期贷款基准利率30%</w:t>
      </w:r>
      <w:r>
        <w:rPr>
          <w:rFonts w:hint="eastAsia" w:ascii="宋体" w:hAnsi="宋体"/>
          <w:b/>
          <w:color w:val="000000" w:themeColor="text1"/>
          <w:sz w:val="28"/>
          <w:szCs w:val="28"/>
          <w:highlight w:val="none"/>
          <w14:textFill>
            <w14:solidFill>
              <w14:schemeClr w14:val="tx1"/>
            </w14:solidFill>
          </w14:textFill>
        </w:rPr>
        <w:t>，</w:t>
      </w:r>
      <w:r>
        <w:rPr>
          <w:rFonts w:ascii="宋体" w:hAnsi="宋体"/>
          <w:b/>
          <w:color w:val="000000" w:themeColor="text1"/>
          <w:sz w:val="28"/>
          <w:szCs w:val="28"/>
          <w:highlight w:val="none"/>
          <w14:textFill>
            <w14:solidFill>
              <w14:schemeClr w14:val="tx1"/>
            </w14:solidFill>
          </w14:textFill>
        </w:rPr>
        <w:t>银行机构名单</w:t>
      </w:r>
      <w:r>
        <w:rPr>
          <w:rFonts w:hint="eastAsia" w:ascii="宋体" w:hAnsi="宋体"/>
          <w:b/>
          <w:color w:val="000000" w:themeColor="text1"/>
          <w:sz w:val="28"/>
          <w:szCs w:val="28"/>
          <w:highlight w:val="none"/>
          <w14:textFill>
            <w14:solidFill>
              <w14:schemeClr w14:val="tx1"/>
            </w14:solidFill>
          </w14:textFill>
        </w:rPr>
        <w:t>和联系方式见附件1。</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rPr>
          <w:rFonts w:asciiTheme="minorEastAsia" w:hAnsiTheme="minorEastAsia" w:eastAsiaTheme="minorEastAsia"/>
          <w:sz w:val="24"/>
          <w:highlight w:val="none"/>
        </w:rPr>
      </w:pPr>
    </w:p>
    <w:p>
      <w:pPr>
        <w:pStyle w:val="2"/>
        <w:rPr>
          <w:rFonts w:asciiTheme="minorEastAsia" w:hAnsiTheme="minorEastAsia" w:eastAsiaTheme="minorEastAsia"/>
          <w:sz w:val="24"/>
          <w:highlight w:val="none"/>
        </w:rPr>
      </w:pPr>
    </w:p>
    <w:p>
      <w:pPr>
        <w:pStyle w:val="3"/>
        <w:ind w:firstLine="240"/>
        <w:rPr>
          <w:rFonts w:asciiTheme="minorEastAsia" w:hAnsiTheme="minorEastAsia" w:eastAsiaTheme="minorEastAsia"/>
          <w:sz w:val="24"/>
          <w:highlight w:val="none"/>
        </w:rPr>
      </w:pPr>
    </w:p>
    <w:p>
      <w:pPr>
        <w:pStyle w:val="3"/>
        <w:ind w:firstLine="240"/>
        <w:rPr>
          <w:rFonts w:asciiTheme="minorEastAsia" w:hAnsiTheme="minorEastAsia" w:eastAsiaTheme="minorEastAsia"/>
          <w:sz w:val="24"/>
          <w:highlight w:val="none"/>
        </w:rPr>
      </w:pPr>
    </w:p>
    <w:p>
      <w:pPr>
        <w:pStyle w:val="3"/>
        <w:ind w:firstLine="240"/>
        <w:rPr>
          <w:rFonts w:asciiTheme="minorEastAsia" w:hAnsiTheme="minorEastAsia" w:eastAsiaTheme="minorEastAsia"/>
          <w:sz w:val="24"/>
          <w:highlight w:val="none"/>
        </w:rPr>
      </w:pPr>
    </w:p>
    <w:p>
      <w:pPr>
        <w:pStyle w:val="3"/>
        <w:ind w:firstLine="240"/>
        <w:rPr>
          <w:rFonts w:asciiTheme="minorEastAsia" w:hAnsiTheme="minorEastAsia" w:eastAsiaTheme="minorEastAsia"/>
          <w:sz w:val="24"/>
          <w:highlight w:val="none"/>
        </w:rPr>
      </w:pPr>
    </w:p>
    <w:p>
      <w:pPr>
        <w:pStyle w:val="3"/>
        <w:ind w:firstLine="240"/>
        <w:rPr>
          <w:rFonts w:asciiTheme="minorEastAsia" w:hAnsiTheme="minorEastAsia" w:eastAsiaTheme="minorEastAsia"/>
          <w:sz w:val="24"/>
          <w:highlight w:val="none"/>
        </w:rPr>
      </w:pPr>
    </w:p>
    <w:p>
      <w:pPr>
        <w:pStyle w:val="3"/>
        <w:ind w:firstLine="240"/>
        <w:rPr>
          <w:rFonts w:asciiTheme="minorEastAsia" w:hAnsiTheme="minorEastAsia" w:eastAsiaTheme="minorEastAsia"/>
          <w:sz w:val="24"/>
          <w:highlight w:val="none"/>
        </w:rPr>
      </w:pPr>
    </w:p>
    <w:p>
      <w:pPr>
        <w:pStyle w:val="3"/>
        <w:ind w:firstLine="240"/>
        <w:rPr>
          <w:rFonts w:asciiTheme="minorEastAsia" w:hAnsiTheme="minorEastAsia" w:eastAsiaTheme="minorEastAsia"/>
          <w:sz w:val="24"/>
          <w:highlight w:val="none"/>
        </w:rPr>
      </w:pPr>
    </w:p>
    <w:p>
      <w:pPr>
        <w:pStyle w:val="3"/>
        <w:ind w:firstLine="240"/>
        <w:rPr>
          <w:rFonts w:asciiTheme="minorEastAsia" w:hAnsiTheme="minorEastAsia" w:eastAsiaTheme="minorEastAsia"/>
          <w:sz w:val="24"/>
          <w:highlight w:val="none"/>
        </w:rPr>
      </w:pPr>
    </w:p>
    <w:p>
      <w:pPr>
        <w:pStyle w:val="3"/>
        <w:ind w:firstLine="240"/>
        <w:rPr>
          <w:rFonts w:asciiTheme="minorEastAsia" w:hAnsiTheme="minorEastAsia" w:eastAsiaTheme="minorEastAsia"/>
          <w:sz w:val="24"/>
          <w:highlight w:val="none"/>
        </w:rPr>
      </w:pPr>
    </w:p>
    <w:p>
      <w:pPr>
        <w:pStyle w:val="3"/>
        <w:ind w:firstLine="240"/>
        <w:rPr>
          <w:rFonts w:asciiTheme="minorEastAsia" w:hAnsiTheme="minorEastAsia" w:eastAsiaTheme="minorEastAsia"/>
          <w:sz w:val="24"/>
          <w:highlight w:val="none"/>
        </w:rPr>
      </w:pPr>
    </w:p>
    <w:p>
      <w:pPr>
        <w:pStyle w:val="3"/>
        <w:ind w:firstLine="240"/>
        <w:rPr>
          <w:rFonts w:asciiTheme="minorEastAsia" w:hAnsiTheme="minorEastAsia" w:eastAsiaTheme="minorEastAsia"/>
          <w:sz w:val="24"/>
          <w:highlight w:val="none"/>
        </w:rPr>
      </w:pPr>
    </w:p>
    <w:p>
      <w:pPr>
        <w:pStyle w:val="3"/>
        <w:ind w:firstLine="240"/>
        <w:rPr>
          <w:rFonts w:asciiTheme="minorEastAsia" w:hAnsiTheme="minorEastAsia" w:eastAsiaTheme="minorEastAsia"/>
          <w:sz w:val="24"/>
          <w:highlight w:val="none"/>
        </w:rPr>
      </w:pPr>
    </w:p>
    <w:p>
      <w:pPr>
        <w:pStyle w:val="3"/>
        <w:ind w:left="0" w:leftChars="0" w:firstLine="0" w:firstLineChars="0"/>
        <w:rPr>
          <w:rFonts w:asciiTheme="minorEastAsia" w:hAnsiTheme="minorEastAsia" w:eastAsiaTheme="minorEastAsia"/>
          <w:sz w:val="24"/>
          <w:highlight w:val="none"/>
        </w:rPr>
      </w:pPr>
    </w:p>
    <w:p>
      <w:pPr>
        <w:pStyle w:val="4"/>
        <w:numPr>
          <w:ilvl w:val="0"/>
          <w:numId w:val="3"/>
        </w:numPr>
        <w:spacing w:line="240" w:lineRule="auto"/>
        <w:rPr>
          <w:color w:val="000000" w:themeColor="text1"/>
          <w:highlight w:val="none"/>
          <w14:textFill>
            <w14:solidFill>
              <w14:schemeClr w14:val="tx1"/>
            </w14:solidFill>
          </w14:textFill>
        </w:rPr>
      </w:pPr>
      <w:bookmarkStart w:id="195" w:name="_Toc79654071"/>
      <w:r>
        <w:rPr>
          <w:rFonts w:hint="eastAsia"/>
          <w:color w:val="000000" w:themeColor="text1"/>
          <w:highlight w:val="none"/>
          <w14:textFill>
            <w14:solidFill>
              <w14:schemeClr w14:val="tx1"/>
            </w14:solidFill>
          </w14:textFill>
        </w:rPr>
        <w:t>投标文件格式</w:t>
      </w:r>
      <w:bookmarkEnd w:id="191"/>
      <w:bookmarkEnd w:id="192"/>
      <w:bookmarkEnd w:id="193"/>
      <w:bookmarkEnd w:id="194"/>
      <w:bookmarkEnd w:id="195"/>
    </w:p>
    <w:p>
      <w:pPr>
        <w:pStyle w:val="5"/>
        <w:numPr>
          <w:ilvl w:val="1"/>
          <w:numId w:val="3"/>
        </w:numPr>
        <w:spacing w:line="240" w:lineRule="auto"/>
        <w:ind w:left="2269" w:hanging="2269"/>
        <w:rPr>
          <w:color w:val="000000" w:themeColor="text1"/>
          <w:highlight w:val="none"/>
          <w14:textFill>
            <w14:solidFill>
              <w14:schemeClr w14:val="tx1"/>
            </w14:solidFill>
          </w14:textFill>
        </w:rPr>
      </w:pPr>
      <w:bookmarkStart w:id="196" w:name="_Toc287367101"/>
      <w:bookmarkStart w:id="197" w:name="_Toc294701519"/>
      <w:bookmarkStart w:id="198" w:name="_Toc182759327"/>
      <w:bookmarkStart w:id="199" w:name="_Toc295978802"/>
      <w:bookmarkStart w:id="200" w:name="_Toc316462354"/>
      <w:bookmarkStart w:id="201" w:name="_Toc187"/>
      <w:bookmarkStart w:id="202" w:name="_Toc211218954"/>
      <w:bookmarkStart w:id="203" w:name="_Toc182629023"/>
      <w:bookmarkStart w:id="204" w:name="_Toc23011"/>
      <w:bookmarkStart w:id="205" w:name="_Toc2879"/>
      <w:bookmarkStart w:id="206" w:name="_Toc15035"/>
      <w:bookmarkStart w:id="207" w:name="_Toc294688711"/>
      <w:bookmarkStart w:id="208" w:name="_Toc79654072"/>
      <w:r>
        <w:rPr>
          <w:rFonts w:hint="eastAsia"/>
          <w:color w:val="000000" w:themeColor="text1"/>
          <w:highlight w:val="none"/>
          <w14:textFill>
            <w14:solidFill>
              <w14:schemeClr w14:val="tx1"/>
            </w14:solidFill>
          </w14:textFill>
        </w:rPr>
        <w:t>投标文件封面格式</w:t>
      </w:r>
      <w:bookmarkEnd w:id="196"/>
      <w:bookmarkEnd w:id="197"/>
      <w:bookmarkEnd w:id="198"/>
      <w:bookmarkEnd w:id="199"/>
      <w:bookmarkEnd w:id="200"/>
      <w:bookmarkEnd w:id="201"/>
      <w:bookmarkEnd w:id="202"/>
      <w:bookmarkEnd w:id="203"/>
      <w:bookmarkEnd w:id="204"/>
      <w:bookmarkEnd w:id="205"/>
      <w:bookmarkEnd w:id="206"/>
      <w:bookmarkEnd w:id="207"/>
      <w:bookmarkEnd w:id="208"/>
    </w:p>
    <w:p>
      <w:pPr>
        <w:rPr>
          <w:rFonts w:ascii="宋体" w:hAnsi="宋体"/>
          <w:bCs/>
          <w:color w:val="000000" w:themeColor="text1"/>
          <w:szCs w:val="21"/>
          <w:highlight w:val="none"/>
          <w14:textFill>
            <w14:solidFill>
              <w14:schemeClr w14:val="tx1"/>
            </w14:solidFill>
          </w14:textFill>
        </w:rPr>
      </w:pPr>
    </w:p>
    <w:p>
      <w:pPr>
        <w:rPr>
          <w:rFonts w:ascii="宋体" w:hAnsi="宋体"/>
          <w:bCs/>
          <w:color w:val="000000" w:themeColor="text1"/>
          <w:szCs w:val="21"/>
          <w:highlight w:val="none"/>
          <w14:textFill>
            <w14:solidFill>
              <w14:schemeClr w14:val="tx1"/>
            </w14:solidFill>
          </w14:textFill>
        </w:rPr>
      </w:pPr>
    </w:p>
    <w:p>
      <w:pPr>
        <w:rPr>
          <w:rFonts w:ascii="宋体" w:hAnsi="宋体"/>
          <w:bCs/>
          <w:color w:val="000000" w:themeColor="text1"/>
          <w:szCs w:val="21"/>
          <w:highlight w:val="none"/>
          <w14:textFill>
            <w14:solidFill>
              <w14:schemeClr w14:val="tx1"/>
            </w14:solidFill>
          </w14:textFill>
        </w:rPr>
      </w:pPr>
    </w:p>
    <w:p>
      <w:pPr>
        <w:jc w:val="right"/>
        <w:rPr>
          <w:rFonts w:ascii="宋体" w:hAnsi="宋体"/>
          <w:color w:val="000000" w:themeColor="text1"/>
          <w:sz w:val="24"/>
          <w:highlight w:val="none"/>
          <w14:textFill>
            <w14:solidFill>
              <w14:schemeClr w14:val="tx1"/>
            </w14:solidFill>
          </w14:textFill>
        </w:rPr>
      </w:pPr>
    </w:p>
    <w:p>
      <w:pPr>
        <w:jc w:val="center"/>
        <w:rPr>
          <w:rFonts w:ascii="宋体" w:hAnsi="宋体"/>
          <w:color w:val="000000" w:themeColor="text1"/>
          <w:spacing w:val="78"/>
          <w:sz w:val="120"/>
          <w:szCs w:val="120"/>
          <w:highlight w:val="none"/>
          <w14:textFill>
            <w14:solidFill>
              <w14:schemeClr w14:val="tx1"/>
            </w14:solidFill>
          </w14:textFill>
        </w:rPr>
      </w:pPr>
      <w:r>
        <w:rPr>
          <w:rFonts w:hint="eastAsia" w:ascii="宋体" w:hAnsi="宋体"/>
          <w:color w:val="000000" w:themeColor="text1"/>
          <w:spacing w:val="78"/>
          <w:sz w:val="120"/>
          <w:szCs w:val="120"/>
          <w:highlight w:val="none"/>
          <w14:textFill>
            <w14:solidFill>
              <w14:schemeClr w14:val="tx1"/>
            </w14:solidFill>
          </w14:textFill>
        </w:rPr>
        <w:t>投标文件</w:t>
      </w:r>
    </w:p>
    <w:p>
      <w:pPr>
        <w:rPr>
          <w:rFonts w:ascii="宋体" w:hAnsi="宋体"/>
          <w:bCs/>
          <w:color w:val="000000" w:themeColor="text1"/>
          <w:sz w:val="36"/>
          <w:highlight w:val="none"/>
          <w14:textFill>
            <w14:solidFill>
              <w14:schemeClr w14:val="tx1"/>
            </w14:solidFill>
          </w14:textFill>
        </w:rPr>
      </w:pPr>
    </w:p>
    <w:p>
      <w:pPr>
        <w:tabs>
          <w:tab w:val="left" w:pos="665"/>
          <w:tab w:val="left" w:pos="3241"/>
          <w:tab w:val="left" w:pos="3525"/>
          <w:tab w:val="left" w:pos="3994"/>
          <w:tab w:val="left" w:pos="4234"/>
        </w:tabs>
        <w:ind w:left="2125" w:leftChars="270" w:hanging="1558" w:hangingChars="485"/>
        <w:jc w:val="left"/>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项目名称：成都市双流区规划和自然资源局地下管线普查成果更新采购项目</w:t>
      </w:r>
    </w:p>
    <w:p>
      <w:pPr>
        <w:tabs>
          <w:tab w:val="left" w:pos="665"/>
        </w:tabs>
        <w:ind w:firstLine="565" w:firstLineChars="176"/>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项目编号：双流政采（2021）A0048号</w:t>
      </w:r>
    </w:p>
    <w:p>
      <w:pPr>
        <w:tabs>
          <w:tab w:val="left" w:pos="665"/>
        </w:tabs>
        <w:ind w:firstLine="565" w:firstLineChars="176"/>
        <w:rPr>
          <w:rFonts w:ascii="宋体" w:hAnsi="宋体"/>
          <w:b/>
          <w:bCs/>
          <w:sz w:val="32"/>
          <w:szCs w:val="32"/>
          <w:highlight w:val="none"/>
        </w:rPr>
      </w:pPr>
      <w:r>
        <w:rPr>
          <w:rFonts w:hint="eastAsia" w:ascii="宋体" w:hAnsi="宋体"/>
          <w:b/>
          <w:bCs/>
          <w:sz w:val="32"/>
          <w:szCs w:val="32"/>
          <w:highlight w:val="none"/>
        </w:rPr>
        <w:t>包件号：XXX</w:t>
      </w:r>
    </w:p>
    <w:p>
      <w:pPr>
        <w:pStyle w:val="2"/>
        <w:rPr>
          <w:highlight w:val="none"/>
        </w:rPr>
      </w:pPr>
    </w:p>
    <w:p>
      <w:pPr>
        <w:jc w:val="left"/>
        <w:rPr>
          <w:rFonts w:ascii="宋体" w:hAnsi="宋体"/>
          <w:b/>
          <w:bCs/>
          <w:color w:val="000000" w:themeColor="text1"/>
          <w:sz w:val="36"/>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ind w:firstLine="630" w:firstLineChars="196"/>
        <w:jc w:val="left"/>
        <w:rPr>
          <w:rFonts w:ascii="宋体" w:hAnsi="宋体"/>
          <w:b/>
          <w:bCs/>
          <w:color w:val="000000" w:themeColor="text1"/>
          <w:sz w:val="32"/>
          <w:szCs w:val="32"/>
          <w:highlight w:val="none"/>
          <w:u w:val="singl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供应商名称：</w:t>
      </w:r>
      <w:r>
        <w:rPr>
          <w:rFonts w:hint="eastAsia" w:ascii="宋体" w:hAnsi="宋体"/>
          <w:b/>
          <w:color w:val="000000" w:themeColor="text1"/>
          <w:sz w:val="32"/>
          <w:szCs w:val="28"/>
          <w:highlight w:val="none"/>
          <w14:textFill>
            <w14:solidFill>
              <w14:schemeClr w14:val="tx1"/>
            </w14:solidFill>
          </w14:textFill>
        </w:rPr>
        <w:t>XXXX</w:t>
      </w:r>
    </w:p>
    <w:p>
      <w:pPr>
        <w:ind w:firstLine="569" w:firstLineChars="177"/>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日      期：20XX年XX月XX日</w:t>
      </w:r>
    </w:p>
    <w:p>
      <w:pPr>
        <w:pStyle w:val="2"/>
        <w:rPr>
          <w:color w:val="000000" w:themeColor="text1"/>
          <w:highlight w:val="none"/>
          <w14:textFill>
            <w14:solidFill>
              <w14:schemeClr w14:val="tx1"/>
            </w14:solidFill>
          </w14:textFill>
        </w:rPr>
      </w:pPr>
    </w:p>
    <w:p>
      <w:pPr>
        <w:pStyle w:val="5"/>
        <w:numPr>
          <w:ilvl w:val="1"/>
          <w:numId w:val="3"/>
        </w:numPr>
        <w:spacing w:before="0" w:after="0" w:line="240" w:lineRule="auto"/>
        <w:ind w:left="2269" w:hanging="2269"/>
        <w:rPr>
          <w:color w:val="000000" w:themeColor="text1"/>
          <w:highlight w:val="none"/>
          <w14:textFill>
            <w14:solidFill>
              <w14:schemeClr w14:val="tx1"/>
            </w14:solidFill>
          </w14:textFill>
        </w:rPr>
      </w:pPr>
      <w:bookmarkStart w:id="209" w:name="_Toc729"/>
      <w:bookmarkStart w:id="210" w:name="_Toc22607"/>
      <w:bookmarkStart w:id="211" w:name="_Toc22488"/>
      <w:bookmarkStart w:id="212" w:name="_Toc9940"/>
      <w:bookmarkStart w:id="213" w:name="_Toc79654073"/>
      <w:bookmarkStart w:id="214" w:name="_Toc217446082"/>
      <w:r>
        <w:rPr>
          <w:rFonts w:hint="eastAsia"/>
          <w:color w:val="000000" w:themeColor="text1"/>
          <w:highlight w:val="none"/>
          <w14:textFill>
            <w14:solidFill>
              <w14:schemeClr w14:val="tx1"/>
            </w14:solidFill>
          </w14:textFill>
        </w:rPr>
        <w:t>资格</w:t>
      </w:r>
      <w:bookmarkEnd w:id="209"/>
      <w:bookmarkEnd w:id="210"/>
      <w:bookmarkEnd w:id="211"/>
      <w:bookmarkEnd w:id="212"/>
      <w:r>
        <w:rPr>
          <w:rFonts w:hint="eastAsia"/>
          <w:color w:val="000000" w:themeColor="text1"/>
          <w:highlight w:val="none"/>
          <w14:textFill>
            <w14:solidFill>
              <w14:schemeClr w14:val="tx1"/>
            </w14:solidFill>
          </w14:textFill>
        </w:rPr>
        <w:t>响应文件</w:t>
      </w:r>
      <w:bookmarkEnd w:id="213"/>
    </w:p>
    <w:p>
      <w:pPr>
        <w:pStyle w:val="6"/>
        <w:numPr>
          <w:ilvl w:val="2"/>
          <w:numId w:val="3"/>
        </w:numPr>
        <w:spacing w:after="200" w:line="240" w:lineRule="auto"/>
        <w:ind w:left="85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关于供应商资格申明的函</w:t>
      </w:r>
    </w:p>
    <w:p>
      <w:pPr>
        <w:rPr>
          <w:rFonts w:ascii="宋体" w:hAnsi="宋体"/>
          <w:color w:val="000000" w:themeColor="text1"/>
          <w:sz w:val="28"/>
          <w:szCs w:val="28"/>
          <w:highlight w:val="none"/>
          <w14:textFill>
            <w14:solidFill>
              <w14:schemeClr w14:val="tx1"/>
            </w14:solidFill>
          </w14:textFill>
        </w:rPr>
      </w:pPr>
      <w:bookmarkStart w:id="215" w:name="_Toc238581782"/>
      <w:bookmarkStart w:id="216" w:name="_Toc119203988"/>
      <w:bookmarkStart w:id="217" w:name="_Toc119295087"/>
      <w:bookmarkStart w:id="218" w:name="_Toc119296788"/>
      <w:bookmarkStart w:id="219" w:name="_Toc146903609"/>
      <w:bookmarkStart w:id="220" w:name="_Toc52184753"/>
      <w:r>
        <w:rPr>
          <w:rFonts w:hint="eastAsia" w:ascii="宋体" w:hAnsi="宋体"/>
          <w:color w:val="000000" w:themeColor="text1"/>
          <w:sz w:val="28"/>
          <w:szCs w:val="28"/>
          <w:highlight w:val="none"/>
          <w14:textFill>
            <w14:solidFill>
              <w14:schemeClr w14:val="tx1"/>
            </w14:solidFill>
          </w14:textFill>
        </w:rPr>
        <w:t>致：</w:t>
      </w:r>
      <w:bookmarkEnd w:id="215"/>
      <w:r>
        <w:rPr>
          <w:rFonts w:hint="eastAsia" w:ascii="宋体" w:hAnsi="宋体"/>
          <w:color w:val="000000" w:themeColor="text1"/>
          <w:sz w:val="28"/>
          <w:szCs w:val="28"/>
          <w:highlight w:val="none"/>
          <w14:textFill>
            <w14:solidFill>
              <w14:schemeClr w14:val="tx1"/>
            </w14:solidFill>
          </w14:textFill>
        </w:rPr>
        <w:t>成都市双流区公共资源交易服务中心</w:t>
      </w:r>
    </w:p>
    <w:p>
      <w:pPr>
        <w:tabs>
          <w:tab w:val="left" w:pos="665"/>
        </w:tabs>
        <w:ind w:firstLine="492" w:firstLineChars="176"/>
        <w:rPr>
          <w:rFonts w:ascii="宋体" w:hAnsi="宋体"/>
          <w:color w:val="000000" w:themeColor="text1"/>
          <w:sz w:val="28"/>
          <w:szCs w:val="28"/>
          <w:highlight w:val="none"/>
          <w14:textFill>
            <w14:solidFill>
              <w14:schemeClr w14:val="tx1"/>
            </w14:solidFill>
          </w14:textFill>
        </w:rPr>
      </w:pPr>
      <w:bookmarkStart w:id="221" w:name="_Toc238581783"/>
      <w:r>
        <w:rPr>
          <w:rFonts w:hint="eastAsia" w:ascii="宋体" w:hAnsi="宋体"/>
          <w:color w:val="000000" w:themeColor="text1"/>
          <w:sz w:val="28"/>
          <w:szCs w:val="28"/>
          <w:highlight w:val="none"/>
          <w14:textFill>
            <w14:solidFill>
              <w14:schemeClr w14:val="tx1"/>
            </w14:solidFill>
          </w14:textFill>
        </w:rPr>
        <w:t>关于我方对</w:t>
      </w:r>
      <w:r>
        <w:rPr>
          <w:rFonts w:hint="eastAsia" w:ascii="宋体" w:hAnsi="宋体"/>
          <w:b/>
          <w:color w:val="000000" w:themeColor="text1"/>
          <w:sz w:val="28"/>
          <w:szCs w:val="28"/>
          <w:highlight w:val="none"/>
          <w:u w:val="single"/>
          <w14:textFill>
            <w14:solidFill>
              <w14:schemeClr w14:val="tx1"/>
            </w14:solidFill>
          </w14:textFill>
        </w:rPr>
        <w:t>成都市双流区规划和自然资源局地下管线普查成果更新采购项目（项目编号：双流政采（2021）A0048号）包件号：XXX</w:t>
      </w:r>
      <w:r>
        <w:rPr>
          <w:rFonts w:hint="eastAsia" w:ascii="宋体" w:hAnsi="宋体"/>
          <w:color w:val="000000" w:themeColor="text1"/>
          <w:sz w:val="28"/>
          <w:szCs w:val="28"/>
          <w:highlight w:val="none"/>
          <w14:textFill>
            <w14:solidFill>
              <w14:schemeClr w14:val="tx1"/>
            </w14:solidFill>
          </w14:textFill>
        </w:rPr>
        <w:t>的公开招标，提交的下列文件和说明是准确的和真实的。</w:t>
      </w:r>
      <w:bookmarkEnd w:id="221"/>
    </w:p>
    <w:p>
      <w:pPr>
        <w:widowControl/>
        <w:numPr>
          <w:ilvl w:val="2"/>
          <w:numId w:val="29"/>
        </w:numPr>
        <w:spacing w:after="200"/>
        <w:ind w:left="0" w:firstLine="560" w:firstLineChars="200"/>
        <w:rPr>
          <w:rFonts w:ascii="宋体" w:hAnsi="宋体"/>
          <w:color w:val="000000" w:themeColor="text1"/>
          <w:sz w:val="28"/>
          <w:szCs w:val="28"/>
          <w:highlight w:val="none"/>
          <w14:textFill>
            <w14:solidFill>
              <w14:schemeClr w14:val="tx1"/>
            </w14:solidFill>
          </w14:textFill>
        </w:rPr>
      </w:pPr>
      <w:bookmarkStart w:id="222" w:name="_Toc238581784"/>
      <w:r>
        <w:rPr>
          <w:rFonts w:hint="eastAsia" w:ascii="宋体" w:hAnsi="宋体"/>
          <w:color w:val="000000" w:themeColor="text1"/>
          <w:sz w:val="28"/>
          <w:szCs w:val="28"/>
          <w:highlight w:val="none"/>
          <w14:textFill>
            <w14:solidFill>
              <w14:schemeClr w14:val="tx1"/>
            </w14:solidFill>
          </w14:textFill>
        </w:rPr>
        <w:t>供应商名称及概况：</w:t>
      </w:r>
      <w:bookmarkEnd w:id="216"/>
      <w:bookmarkEnd w:id="217"/>
      <w:bookmarkEnd w:id="218"/>
      <w:bookmarkEnd w:id="219"/>
      <w:bookmarkEnd w:id="220"/>
      <w:bookmarkEnd w:id="222"/>
    </w:p>
    <w:p>
      <w:pPr>
        <w:widowControl/>
        <w:numPr>
          <w:ilvl w:val="0"/>
          <w:numId w:val="30"/>
        </w:numPr>
        <w:spacing w:after="200"/>
        <w:ind w:left="0" w:firstLine="560" w:firstLineChars="200"/>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供应商名称：XXXX</w:t>
      </w:r>
    </w:p>
    <w:p>
      <w:pPr>
        <w:widowControl/>
        <w:numPr>
          <w:ilvl w:val="0"/>
          <w:numId w:val="30"/>
        </w:numPr>
        <w:spacing w:after="200"/>
        <w:ind w:left="0" w:firstLine="560" w:firstLineChars="200"/>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地址：XXXX      邮编：XXXX</w:t>
      </w:r>
    </w:p>
    <w:p>
      <w:pPr>
        <w:widowControl/>
        <w:ind w:left="1261"/>
        <w:jc w:val="left"/>
        <w:rPr>
          <w:rFonts w:ascii="宋体" w:hAnsi="宋体"/>
          <w:color w:val="000000" w:themeColor="text1"/>
          <w:sz w:val="28"/>
          <w:szCs w:val="28"/>
          <w:highlight w:val="none"/>
          <w:u w:val="singl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传真/电话： XXXX</w:t>
      </w:r>
    </w:p>
    <w:p>
      <w:pPr>
        <w:widowControl/>
        <w:numPr>
          <w:ilvl w:val="0"/>
          <w:numId w:val="30"/>
        </w:numPr>
        <w:spacing w:after="200"/>
        <w:ind w:left="0" w:firstLine="560" w:firstLineChars="200"/>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成立日期或注册日期：XXXX</w:t>
      </w:r>
    </w:p>
    <w:p>
      <w:pPr>
        <w:widowControl/>
        <w:numPr>
          <w:ilvl w:val="0"/>
          <w:numId w:val="30"/>
        </w:numPr>
        <w:spacing w:after="200"/>
        <w:ind w:left="0" w:firstLine="560" w:firstLineChars="200"/>
        <w:jc w:val="left"/>
        <w:rPr>
          <w:rFonts w:ascii="宋体" w:hAnsi="宋体"/>
          <w:color w:val="000000" w:themeColor="text1"/>
          <w:sz w:val="28"/>
          <w:szCs w:val="28"/>
          <w:highlight w:val="none"/>
          <w:u w:val="singl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法定代表人姓名：XXXX</w:t>
      </w:r>
    </w:p>
    <w:p>
      <w:pPr>
        <w:widowControl/>
        <w:numPr>
          <w:ilvl w:val="2"/>
          <w:numId w:val="29"/>
        </w:numPr>
        <w:tabs>
          <w:tab w:val="left" w:pos="1276"/>
        </w:tabs>
        <w:spacing w:after="200"/>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开户银行名称：XXXX</w:t>
      </w:r>
    </w:p>
    <w:p>
      <w:pPr>
        <w:ind w:firstLine="1260" w:firstLineChars="450"/>
        <w:rPr>
          <w:rFonts w:ascii="宋体" w:hAnsi="宋体"/>
          <w:color w:val="000000" w:themeColor="text1"/>
          <w:sz w:val="28"/>
          <w:szCs w:val="28"/>
          <w:highlight w:val="none"/>
          <w:u w:val="singl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地址：XXXX</w:t>
      </w:r>
    </w:p>
    <w:p>
      <w:pPr>
        <w:ind w:firstLine="1260" w:firstLineChars="45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账号：XXXX</w:t>
      </w:r>
    </w:p>
    <w:p>
      <w:pPr>
        <w:pStyle w:val="3"/>
        <w:ind w:firstLine="180"/>
        <w:rPr>
          <w:highlight w:val="none"/>
        </w:rPr>
      </w:pP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供应商名称：XXXX</w:t>
      </w:r>
    </w:p>
    <w:p>
      <w:pPr>
        <w:ind w:left="283" w:leftChars="135" w:firstLine="280" w:firstLineChars="100"/>
        <w:rPr>
          <w:rFonts w:ascii="宋体" w:hAnsi="宋体"/>
          <w:bCs/>
          <w:color w:val="000000" w:themeColor="text1"/>
          <w:sz w:val="28"/>
          <w:highlight w:val="non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日    期：</w:t>
      </w:r>
      <w:r>
        <w:rPr>
          <w:rFonts w:hint="eastAsia" w:ascii="宋体" w:hAnsi="宋体"/>
          <w:bCs/>
          <w:color w:val="000000" w:themeColor="text1"/>
          <w:sz w:val="28"/>
          <w:highlight w:val="none"/>
          <w14:textFill>
            <w14:solidFill>
              <w14:schemeClr w14:val="tx1"/>
            </w14:solidFill>
          </w14:textFill>
        </w:rPr>
        <w:t>20XX年XX月XX日</w:t>
      </w:r>
    </w:p>
    <w:p>
      <w:pPr>
        <w:pStyle w:val="2"/>
        <w:rPr>
          <w:rFonts w:ascii="宋体" w:hAnsi="宋体"/>
          <w:bCs/>
          <w:color w:val="000000" w:themeColor="text1"/>
          <w:sz w:val="28"/>
          <w:highlight w:val="none"/>
          <w14:textFill>
            <w14:solidFill>
              <w14:schemeClr w14:val="tx1"/>
            </w14:solidFill>
          </w14:textFill>
        </w:rPr>
      </w:pPr>
    </w:p>
    <w:p>
      <w:pPr>
        <w:pStyle w:val="3"/>
        <w:ind w:firstLine="180"/>
        <w:rPr>
          <w:highlight w:val="none"/>
        </w:rPr>
      </w:pPr>
    </w:p>
    <w:p>
      <w:pPr>
        <w:pStyle w:val="6"/>
        <w:numPr>
          <w:ilvl w:val="2"/>
          <w:numId w:val="3"/>
        </w:numPr>
        <w:spacing w:after="200" w:line="240" w:lineRule="auto"/>
        <w:ind w:left="85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声明</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致：成都市双流区公共资源交易服务中心</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我单位作为</w:t>
      </w:r>
      <w:r>
        <w:rPr>
          <w:rFonts w:hint="eastAsia" w:ascii="宋体" w:hAnsi="宋体"/>
          <w:b/>
          <w:color w:val="000000" w:themeColor="text1"/>
          <w:sz w:val="28"/>
          <w:szCs w:val="28"/>
          <w:highlight w:val="none"/>
          <w:u w:val="single"/>
          <w14:textFill>
            <w14:solidFill>
              <w14:schemeClr w14:val="tx1"/>
            </w14:solidFill>
          </w14:textFill>
        </w:rPr>
        <w:t>成都市双流区规划和自然资源局地下管线普查成果更新采购项目（项目编号：双流政采（2021）A0048号）包件号：XXX</w:t>
      </w:r>
      <w:r>
        <w:rPr>
          <w:rFonts w:hint="eastAsia" w:ascii="宋体" w:hAnsi="宋体"/>
          <w:color w:val="000000" w:themeColor="text1"/>
          <w:sz w:val="28"/>
          <w:szCs w:val="28"/>
          <w:highlight w:val="none"/>
          <w14:textFill>
            <w14:solidFill>
              <w14:schemeClr w14:val="tx1"/>
            </w14:solidFill>
          </w14:textFill>
        </w:rPr>
        <w:t>的供应商，在此郑重声明：</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一、我单位参加政府采购活动前三年内，在经营活动中</w:t>
      </w:r>
      <w:r>
        <w:rPr>
          <w:rFonts w:hint="eastAsia" w:ascii="宋体" w:hAnsi="宋体"/>
          <w:b/>
          <w:color w:val="000000" w:themeColor="text1"/>
          <w:sz w:val="28"/>
          <w:szCs w:val="28"/>
          <w:highlight w:val="none"/>
          <w:u w:val="single"/>
          <w14:textFill>
            <w14:solidFill>
              <w14:schemeClr w14:val="tx1"/>
            </w14:solidFill>
          </w14:textFill>
        </w:rPr>
        <w:t>（说明：填写“没有”或“有”）</w:t>
      </w:r>
      <w:r>
        <w:rPr>
          <w:rFonts w:hint="eastAsia" w:ascii="宋体" w:hAnsi="宋体"/>
          <w:color w:val="000000" w:themeColor="text1"/>
          <w:sz w:val="28"/>
          <w:szCs w:val="28"/>
          <w:highlight w:val="none"/>
          <w14:textFill>
            <w14:solidFill>
              <w14:schemeClr w14:val="tx1"/>
            </w14:solidFill>
          </w14:textFill>
        </w:rPr>
        <w:t>重大违法记录。</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二、我单位</w:t>
      </w:r>
      <w:r>
        <w:rPr>
          <w:rFonts w:hint="eastAsia" w:ascii="宋体" w:hAnsi="宋体"/>
          <w:b/>
          <w:color w:val="000000" w:themeColor="text1"/>
          <w:sz w:val="28"/>
          <w:szCs w:val="28"/>
          <w:highlight w:val="none"/>
          <w:u w:val="single"/>
          <w14:textFill>
            <w14:solidFill>
              <w14:schemeClr w14:val="tx1"/>
            </w14:solidFill>
          </w14:textFill>
        </w:rPr>
        <w:t>（说明：填写“具有”或“不具有”）</w:t>
      </w:r>
      <w:r>
        <w:rPr>
          <w:rFonts w:hint="eastAsia" w:ascii="宋体" w:hAnsi="宋体"/>
          <w:color w:val="000000" w:themeColor="text1"/>
          <w:sz w:val="28"/>
          <w:szCs w:val="28"/>
          <w:highlight w:val="none"/>
          <w14:textFill>
            <w14:solidFill>
              <w14:schemeClr w14:val="tx1"/>
            </w14:solidFill>
          </w14:textFill>
        </w:rPr>
        <w:t>良好的商业信誉。</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三、与我单位负责人为同一人或者存在直接控股、管理关系的相关供应商：</w:t>
      </w:r>
      <w:r>
        <w:rPr>
          <w:rFonts w:hint="eastAsia" w:ascii="宋体" w:hAnsi="宋体"/>
          <w:b/>
          <w:color w:val="000000" w:themeColor="text1"/>
          <w:sz w:val="28"/>
          <w:szCs w:val="28"/>
          <w:highlight w:val="none"/>
          <w:u w:val="single"/>
          <w14:textFill>
            <w14:solidFill>
              <w14:schemeClr w14:val="tx1"/>
            </w14:solidFill>
          </w14:textFill>
        </w:rPr>
        <w:t>（说明：填写“无”或“（一）供应商名称１；（二）供应商名称２；（三）……”）</w:t>
      </w:r>
      <w:r>
        <w:rPr>
          <w:rFonts w:hint="eastAsia" w:ascii="宋体" w:hAnsi="宋体"/>
          <w:color w:val="000000" w:themeColor="text1"/>
          <w:sz w:val="28"/>
          <w:szCs w:val="28"/>
          <w:highlight w:val="none"/>
          <w14:textFill>
            <w14:solidFill>
              <w14:schemeClr w14:val="tx1"/>
            </w14:solidFill>
          </w14:textFill>
        </w:rPr>
        <w:t xml:space="preserve"> 。</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四、在行贿犯罪信息查询期限内，我单位及我单位现任法定代表人、主要负责人</w:t>
      </w:r>
      <w:r>
        <w:rPr>
          <w:rFonts w:hint="eastAsia" w:ascii="宋体" w:hAnsi="宋体"/>
          <w:b/>
          <w:color w:val="000000" w:themeColor="text1"/>
          <w:sz w:val="28"/>
          <w:szCs w:val="28"/>
          <w:highlight w:val="none"/>
          <w:u w:val="single"/>
          <w14:textFill>
            <w14:solidFill>
              <w14:schemeClr w14:val="tx1"/>
            </w14:solidFill>
          </w14:textFill>
        </w:rPr>
        <w:t>（说明：填写“没有”或“有”）</w:t>
      </w:r>
      <w:r>
        <w:rPr>
          <w:rFonts w:hint="eastAsia" w:ascii="宋体" w:hAnsi="宋体"/>
          <w:color w:val="000000" w:themeColor="text1"/>
          <w:sz w:val="28"/>
          <w:szCs w:val="28"/>
          <w:highlight w:val="none"/>
          <w14:textFill>
            <w14:solidFill>
              <w14:schemeClr w14:val="tx1"/>
            </w14:solidFill>
          </w14:textFill>
        </w:rPr>
        <w:t>行贿犯罪记录。</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五、我单位</w:t>
      </w:r>
      <w:r>
        <w:rPr>
          <w:rFonts w:hint="eastAsia" w:ascii="宋体" w:hAnsi="宋体"/>
          <w:b/>
          <w:color w:val="000000" w:themeColor="text1"/>
          <w:sz w:val="28"/>
          <w:szCs w:val="28"/>
          <w:highlight w:val="none"/>
          <w:u w:val="single"/>
          <w14:textFill>
            <w14:solidFill>
              <w14:schemeClr w14:val="tx1"/>
            </w14:solidFill>
          </w14:textFill>
        </w:rPr>
        <w:t>（说明：填写“未列入”或“被列入”）</w:t>
      </w:r>
      <w:r>
        <w:rPr>
          <w:rFonts w:hint="eastAsia" w:ascii="宋体" w:hAnsi="宋体"/>
          <w:color w:val="000000" w:themeColor="text1"/>
          <w:sz w:val="28"/>
          <w:szCs w:val="28"/>
          <w:highlight w:val="none"/>
          <w14:textFill>
            <w14:solidFill>
              <w14:schemeClr w14:val="tx1"/>
            </w14:solidFill>
          </w14:textFill>
        </w:rPr>
        <w:t>失信被执行人、重大税收违法案件当事人名单。</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我单位</w:t>
      </w:r>
      <w:r>
        <w:rPr>
          <w:rFonts w:hint="eastAsia" w:ascii="宋体" w:hAnsi="宋体"/>
          <w:b/>
          <w:color w:val="000000" w:themeColor="text1"/>
          <w:sz w:val="28"/>
          <w:szCs w:val="28"/>
          <w:highlight w:val="none"/>
          <w:u w:val="single"/>
          <w14:textFill>
            <w14:solidFill>
              <w14:schemeClr w14:val="tx1"/>
            </w14:solidFill>
          </w14:textFill>
        </w:rPr>
        <w:t>（说明：填写“未列入”或“被列入”）</w:t>
      </w:r>
      <w:r>
        <w:rPr>
          <w:rFonts w:hint="eastAsia" w:ascii="宋体" w:hAnsi="宋体"/>
          <w:color w:val="000000" w:themeColor="text1"/>
          <w:sz w:val="28"/>
          <w:szCs w:val="28"/>
          <w:highlight w:val="none"/>
          <w14:textFill>
            <w14:solidFill>
              <w14:schemeClr w14:val="tx1"/>
            </w14:solidFill>
          </w14:textFill>
        </w:rPr>
        <w:t>政府采购严重违法失信行为记录名单。</w:t>
      </w:r>
    </w:p>
    <w:p>
      <w:pPr>
        <w:ind w:firstLine="560" w:firstLineChars="200"/>
        <w:rPr>
          <w:bCs/>
          <w:color w:val="000000" w:themeColor="text1"/>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六、我单位</w:t>
      </w:r>
      <w:r>
        <w:rPr>
          <w:rFonts w:hint="eastAsia" w:ascii="宋体" w:hAnsi="宋体"/>
          <w:b/>
          <w:color w:val="000000" w:themeColor="text1"/>
          <w:sz w:val="28"/>
          <w:szCs w:val="28"/>
          <w:highlight w:val="none"/>
          <w:u w:val="single"/>
          <w14:textFill>
            <w14:solidFill>
              <w14:schemeClr w14:val="tx1"/>
            </w14:solidFill>
          </w14:textFill>
        </w:rPr>
        <w:t>（说明：填写“未处于”或“处于”）</w:t>
      </w:r>
      <w:r>
        <w:rPr>
          <w:rFonts w:hint="eastAsia" w:ascii="宋体" w:hAnsi="宋体"/>
          <w:bCs/>
          <w:color w:val="000000" w:themeColor="text1"/>
          <w:sz w:val="28"/>
          <w:szCs w:val="28"/>
          <w:highlight w:val="none"/>
          <w14:textFill>
            <w14:solidFill>
              <w14:schemeClr w14:val="tx1"/>
            </w14:solidFill>
          </w14:textFill>
        </w:rPr>
        <w:t>被行政部门禁止参与政府采购活动的期限内。</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特此声明。</w:t>
      </w:r>
    </w:p>
    <w:p>
      <w:pPr>
        <w:pStyle w:val="2"/>
        <w:rPr>
          <w:highlight w:val="none"/>
        </w:rPr>
      </w:pP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供应商名称：XXXX</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日    期：20XX年XX月XX日</w:t>
      </w:r>
    </w:p>
    <w:p>
      <w:pPr>
        <w:pStyle w:val="2"/>
        <w:rPr>
          <w:highlight w:val="none"/>
        </w:rPr>
      </w:pP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说明： 1.对声明中第一条的说明：如供应商在参加政府采购活动前三年内，在经营活动中有重大违法记录的，应填写“有”，供应商将被认定投标无效或被取消中标资格；</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2.</w:t>
      </w:r>
      <w:r>
        <w:rPr>
          <w:rFonts w:hint="eastAsia" w:ascii="宋体" w:hAnsi="宋体"/>
          <w:sz w:val="28"/>
          <w:szCs w:val="28"/>
          <w:highlight w:val="none"/>
        </w:rPr>
        <w:t>对声明中第三条的说明：单位负责人为同一人或者存在直接控股、管理关系的不同供应商，不得参加同一包件合同项下的政府采购活动；</w:t>
      </w:r>
      <w:r>
        <w:rPr>
          <w:rFonts w:hint="eastAsia" w:ascii="宋体" w:hAnsi="宋体"/>
          <w:color w:val="000000" w:themeColor="text1"/>
          <w:sz w:val="28"/>
          <w:szCs w:val="28"/>
          <w:highlight w:val="none"/>
          <w14:textFill>
            <w14:solidFill>
              <w14:schemeClr w14:val="tx1"/>
            </w14:solidFill>
          </w14:textFill>
        </w:rPr>
        <w:t>；</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3.对声明中第四条的说明：在行贿犯罪信息查询期限内，供应商根据中国裁判文书网（https://wenshu.court.gov.cn）查询结果，如果供应商及其现任法定代表人、主要负责人有行贿犯罪记录的，供应商应填写“有”，供应商将被认定投标无效或被取消中标资格；</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4.对声明中第五条的说明：供应商如被列入失信被执行人、重大税收违法案件当事人名单，应填写“被列入”，供应商将被认定投标无效或被取消中标资格；供应商如被列入政府采购严重违法失信行为记录名单，应填写“被列入”，供应商将被认定投标无效或被取消中标资格；</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5.对声明中第六条的说明：如供应商处于被行政部门禁止参加政府采购活动期限内的，该声明填“处于”，供应商将被认定投标无效或被取消中标资格。</w:t>
      </w:r>
    </w:p>
    <w:p>
      <w:pPr>
        <w:ind w:firstLine="560" w:firstLineChars="200"/>
        <w:rPr>
          <w:rFonts w:ascii="宋体" w:hAnsi="宋体"/>
          <w:color w:val="000000" w:themeColor="text1"/>
          <w:sz w:val="28"/>
          <w:szCs w:val="28"/>
          <w:highlight w:val="none"/>
          <w14:textFill>
            <w14:solidFill>
              <w14:schemeClr w14:val="tx1"/>
            </w14:solidFill>
          </w14:textFill>
        </w:rPr>
      </w:pPr>
    </w:p>
    <w:p>
      <w:pPr>
        <w:ind w:firstLine="560" w:firstLineChars="200"/>
        <w:rPr>
          <w:rFonts w:ascii="宋体" w:hAnsi="宋体"/>
          <w:color w:val="000000" w:themeColor="text1"/>
          <w:sz w:val="28"/>
          <w:szCs w:val="28"/>
          <w:highlight w:val="none"/>
          <w14:textFill>
            <w14:solidFill>
              <w14:schemeClr w14:val="tx1"/>
            </w14:solidFill>
          </w14:textFill>
        </w:rPr>
      </w:pPr>
    </w:p>
    <w:p>
      <w:pPr>
        <w:pStyle w:val="3"/>
        <w:ind w:left="0" w:leftChars="0" w:firstLine="0" w:firstLineChars="0"/>
        <w:rPr>
          <w:highlight w:val="none"/>
        </w:rPr>
      </w:pPr>
    </w:p>
    <w:p>
      <w:pPr>
        <w:pStyle w:val="6"/>
        <w:numPr>
          <w:ilvl w:val="2"/>
          <w:numId w:val="3"/>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供应商应提交的相关资格证明材料</w:t>
      </w:r>
    </w:p>
    <w:p>
      <w:pPr>
        <w:ind w:firstLine="560" w:firstLineChars="200"/>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供应商按招标文件要求，应提供以下相关资格证明材料：</w:t>
      </w:r>
    </w:p>
    <w:p>
      <w:pPr>
        <w:numPr>
          <w:ilvl w:val="0"/>
          <w:numId w:val="31"/>
        </w:numPr>
        <w:tabs>
          <w:tab w:val="left" w:pos="709"/>
        </w:tabs>
        <w:spacing w:after="200"/>
        <w:ind w:left="0" w:firstLine="54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营业执照复印件（正本或副本）或法人证书复印件（正本或副本）；</w:t>
      </w:r>
    </w:p>
    <w:p>
      <w:pPr>
        <w:numPr>
          <w:ilvl w:val="0"/>
          <w:numId w:val="31"/>
        </w:numPr>
        <w:tabs>
          <w:tab w:val="left" w:pos="709"/>
        </w:tabs>
        <w:spacing w:after="200"/>
        <w:ind w:left="0" w:firstLine="54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2020会计年度资产负债表复印件（说明：①可提供2020年度经审计的财务报告复印件；②也可提供2020年度供应商内部的财务报表复印件（包括资产负债表、现金流量表、利润表）；③也可提供距文件递交截止日一年内银行出具的资信证明（复印件）；④供应商注册时间至文件递交截止日不足一年的，也可提供在工商备案的公司章程（复印件）；⑤供应商为事业法人或其他组织的提供其具有健全的财务会计制度的承诺函（格式自拟）复印件。）；</w:t>
      </w:r>
    </w:p>
    <w:p>
      <w:pPr>
        <w:numPr>
          <w:ilvl w:val="0"/>
          <w:numId w:val="31"/>
        </w:numPr>
        <w:tabs>
          <w:tab w:val="left" w:pos="1134"/>
        </w:tabs>
        <w:spacing w:after="200"/>
        <w:ind w:left="0" w:firstLine="54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供应商缴纳</w:t>
      </w:r>
      <w:r>
        <w:rPr>
          <w:rFonts w:hint="eastAsia" w:ascii="宋体" w:hAnsi="宋体"/>
          <w:color w:val="000000" w:themeColor="text1"/>
          <w:kern w:val="0"/>
          <w:sz w:val="28"/>
          <w:szCs w:val="28"/>
          <w:highlight w:val="none"/>
          <w:lang w:eastAsia="zh-CN"/>
          <w14:textFill>
            <w14:solidFill>
              <w14:schemeClr w14:val="tx1"/>
            </w14:solidFill>
          </w14:textFill>
        </w:rPr>
        <w:t>2021年至今任意时段的税收</w:t>
      </w:r>
      <w:r>
        <w:rPr>
          <w:rFonts w:hint="eastAsia" w:ascii="宋体" w:hAnsi="宋体"/>
          <w:color w:val="000000" w:themeColor="text1"/>
          <w:kern w:val="0"/>
          <w:sz w:val="28"/>
          <w:szCs w:val="28"/>
          <w:highlight w:val="none"/>
          <w14:textFill>
            <w14:solidFill>
              <w14:schemeClr w14:val="tx1"/>
            </w14:solidFill>
          </w14:textFill>
        </w:rPr>
        <w:t>的银行电子回单或者行政部门出具的纳税证明或完税证明复印件或承诺函（格式自拟）复印件（依法免税的供应商，应提供相应文件证明其依法免税）；采购人对供应商履行合同所必须的设备和专业技术能力无其他特殊要求，供应商具有有效的营业执照或法人证书即可，可不提供其他证明材料；</w:t>
      </w:r>
    </w:p>
    <w:p>
      <w:pPr>
        <w:numPr>
          <w:ilvl w:val="0"/>
          <w:numId w:val="31"/>
        </w:numPr>
        <w:tabs>
          <w:tab w:val="left" w:pos="1134"/>
        </w:tabs>
        <w:spacing w:after="200"/>
        <w:ind w:left="0" w:firstLine="54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供应商缴纳</w:t>
      </w:r>
      <w:r>
        <w:rPr>
          <w:rFonts w:hint="eastAsia" w:ascii="宋体" w:hAnsi="宋体"/>
          <w:color w:val="000000" w:themeColor="text1"/>
          <w:kern w:val="0"/>
          <w:sz w:val="28"/>
          <w:szCs w:val="28"/>
          <w:highlight w:val="none"/>
          <w:lang w:eastAsia="zh-CN"/>
          <w14:textFill>
            <w14:solidFill>
              <w14:schemeClr w14:val="tx1"/>
            </w14:solidFill>
          </w14:textFill>
        </w:rPr>
        <w:t>2021年至今任意时段的社保</w:t>
      </w:r>
      <w:r>
        <w:rPr>
          <w:rFonts w:hint="eastAsia" w:ascii="宋体" w:hAnsi="宋体"/>
          <w:color w:val="000000" w:themeColor="text1"/>
          <w:kern w:val="0"/>
          <w:sz w:val="28"/>
          <w:szCs w:val="28"/>
          <w:highlight w:val="none"/>
          <w14:textFill>
            <w14:solidFill>
              <w14:schemeClr w14:val="tx1"/>
            </w14:solidFill>
          </w14:textFill>
        </w:rPr>
        <w:t>的银行电子回单或行政部门出具的社保缴纳证明材料复印件或承诺函（格式自拟）复印件（依法不需要缴纳社会保障资金的供应商，应提供相应文件证明其依法不需要缴纳社会保障资金）；</w:t>
      </w:r>
    </w:p>
    <w:p>
      <w:pPr>
        <w:numPr>
          <w:ilvl w:val="0"/>
          <w:numId w:val="31"/>
        </w:numPr>
        <w:tabs>
          <w:tab w:val="left" w:pos="1134"/>
        </w:tabs>
        <w:spacing w:after="200"/>
        <w:ind w:left="0" w:firstLine="54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采购人对法律、行政法规规定的其他条件无其他特殊要求，供应商具有有效的营业执照或法人证书即可，可不提供其他证明材料；</w:t>
      </w:r>
    </w:p>
    <w:p>
      <w:pPr>
        <w:numPr>
          <w:ilvl w:val="0"/>
          <w:numId w:val="31"/>
        </w:numPr>
        <w:tabs>
          <w:tab w:val="left" w:pos="1134"/>
        </w:tabs>
        <w:spacing w:after="200"/>
        <w:ind w:left="0" w:firstLine="54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地下管线普查成果更新探测服务（包件1-5）：供应商须具备测绘地理信息主管部门颁发的测绘甲级资质证书复印件。测绘甲级资质证书须含“工程测量”和“地理信息系统工程”专业甲级，且“工程测量”专业中必须含有“地下管线测量”子项；“地理信息系统工程”专业中必须含有“地理信息系统及数据库建设”子项；</w:t>
      </w:r>
    </w:p>
    <w:p>
      <w:pPr>
        <w:numPr>
          <w:ilvl w:val="0"/>
          <w:numId w:val="31"/>
        </w:numPr>
        <w:tabs>
          <w:tab w:val="left" w:pos="1134"/>
        </w:tabs>
        <w:spacing w:after="200"/>
        <w:ind w:left="0" w:firstLine="54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地下管线普查成果更新监理服务（包件6）：供应商须具备测绘地理信息主管部门颁发的测绘甲级资质证书复印件。测绘甲级资质证书须含“工程测量”专业甲级，且“工程测量”专业中须含“地下管线测量”子项；</w:t>
      </w:r>
    </w:p>
    <w:p>
      <w:pPr>
        <w:numPr>
          <w:ilvl w:val="0"/>
          <w:numId w:val="31"/>
        </w:numPr>
        <w:tabs>
          <w:tab w:val="left" w:pos="1134"/>
        </w:tabs>
        <w:spacing w:after="200"/>
        <w:ind w:left="0" w:firstLine="54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地下管线普查成果更新质检服务（包件7）：供应商须具备省级及以上质量主管部门颁发的《计量认证证书CMA》（含管线测量）复印件。</w:t>
      </w:r>
    </w:p>
    <w:p>
      <w:pPr>
        <w:pStyle w:val="209"/>
        <w:rPr>
          <w:color w:val="000000" w:themeColor="text1"/>
          <w:highlight w:val="none"/>
          <w14:textFill>
            <w14:solidFill>
              <w14:schemeClr w14:val="tx1"/>
            </w14:solidFill>
          </w14:textFill>
        </w:rPr>
      </w:pPr>
    </w:p>
    <w:p>
      <w:pPr>
        <w:pStyle w:val="209"/>
        <w:rPr>
          <w:color w:val="000000" w:themeColor="text1"/>
          <w:highlight w:val="none"/>
          <w14:textFill>
            <w14:solidFill>
              <w14:schemeClr w14:val="tx1"/>
            </w14:solidFill>
          </w14:textFill>
        </w:rPr>
      </w:pPr>
    </w:p>
    <w:p>
      <w:pPr>
        <w:pStyle w:val="209"/>
        <w:rPr>
          <w:color w:val="000000" w:themeColor="text1"/>
          <w:highlight w:val="none"/>
          <w14:textFill>
            <w14:solidFill>
              <w14:schemeClr w14:val="tx1"/>
            </w14:solidFill>
          </w14:textFill>
        </w:rPr>
      </w:pPr>
    </w:p>
    <w:p>
      <w:pPr>
        <w:pStyle w:val="209"/>
        <w:rPr>
          <w:color w:val="000000" w:themeColor="text1"/>
          <w:highlight w:val="none"/>
          <w14:textFill>
            <w14:solidFill>
              <w14:schemeClr w14:val="tx1"/>
            </w14:solidFill>
          </w14:textFill>
        </w:rPr>
      </w:pPr>
    </w:p>
    <w:p>
      <w:pPr>
        <w:pStyle w:val="209"/>
        <w:rPr>
          <w:color w:val="000000" w:themeColor="text1"/>
          <w:highlight w:val="none"/>
          <w14:textFill>
            <w14:solidFill>
              <w14:schemeClr w14:val="tx1"/>
            </w14:solidFill>
          </w14:textFill>
        </w:rPr>
      </w:pPr>
    </w:p>
    <w:p>
      <w:pPr>
        <w:pStyle w:val="209"/>
        <w:rPr>
          <w:color w:val="000000" w:themeColor="text1"/>
          <w:highlight w:val="none"/>
          <w14:textFill>
            <w14:solidFill>
              <w14:schemeClr w14:val="tx1"/>
            </w14:solidFill>
          </w14:textFill>
        </w:rPr>
      </w:pPr>
    </w:p>
    <w:p>
      <w:pPr>
        <w:pStyle w:val="209"/>
        <w:rPr>
          <w:color w:val="000000" w:themeColor="text1"/>
          <w:highlight w:val="none"/>
          <w14:textFill>
            <w14:solidFill>
              <w14:schemeClr w14:val="tx1"/>
            </w14:solidFill>
          </w14:textFill>
        </w:rPr>
      </w:pPr>
    </w:p>
    <w:p>
      <w:pPr>
        <w:pStyle w:val="209"/>
        <w:rPr>
          <w:color w:val="000000" w:themeColor="text1"/>
          <w:highlight w:val="none"/>
          <w14:textFill>
            <w14:solidFill>
              <w14:schemeClr w14:val="tx1"/>
            </w14:solidFill>
          </w14:textFill>
        </w:rPr>
      </w:pPr>
    </w:p>
    <w:p>
      <w:pPr>
        <w:pStyle w:val="209"/>
        <w:rPr>
          <w:color w:val="000000" w:themeColor="text1"/>
          <w:highlight w:val="none"/>
          <w14:textFill>
            <w14:solidFill>
              <w14:schemeClr w14:val="tx1"/>
            </w14:solidFill>
          </w14:textFill>
        </w:rPr>
      </w:pPr>
    </w:p>
    <w:p>
      <w:pPr>
        <w:pStyle w:val="209"/>
        <w:rPr>
          <w:color w:val="000000" w:themeColor="text1"/>
          <w:highlight w:val="none"/>
          <w14:textFill>
            <w14:solidFill>
              <w14:schemeClr w14:val="tx1"/>
            </w14:solidFill>
          </w14:textFill>
        </w:rPr>
      </w:pPr>
    </w:p>
    <w:p>
      <w:pPr>
        <w:pStyle w:val="209"/>
        <w:rPr>
          <w:color w:val="000000" w:themeColor="text1"/>
          <w:highlight w:val="none"/>
          <w14:textFill>
            <w14:solidFill>
              <w14:schemeClr w14:val="tx1"/>
            </w14:solidFill>
          </w14:textFill>
        </w:rPr>
      </w:pPr>
    </w:p>
    <w:p>
      <w:pPr>
        <w:pStyle w:val="5"/>
        <w:numPr>
          <w:ilvl w:val="1"/>
          <w:numId w:val="3"/>
        </w:numPr>
        <w:spacing w:before="0" w:after="0" w:line="240" w:lineRule="auto"/>
        <w:ind w:left="2269" w:hanging="2269"/>
        <w:rPr>
          <w:color w:val="000000" w:themeColor="text1"/>
          <w:highlight w:val="none"/>
          <w14:textFill>
            <w14:solidFill>
              <w14:schemeClr w14:val="tx1"/>
            </w14:solidFill>
          </w14:textFill>
        </w:rPr>
      </w:pPr>
      <w:bookmarkStart w:id="223" w:name="_Toc79654074"/>
      <w:r>
        <w:rPr>
          <w:rFonts w:hint="eastAsia"/>
          <w:color w:val="000000" w:themeColor="text1"/>
          <w:highlight w:val="none"/>
          <w14:textFill>
            <w14:solidFill>
              <w14:schemeClr w14:val="tx1"/>
            </w14:solidFill>
          </w14:textFill>
        </w:rPr>
        <w:t>商务技术</w:t>
      </w:r>
      <w:r>
        <w:rPr>
          <w:color w:val="000000" w:themeColor="text1"/>
          <w:highlight w:val="none"/>
          <w14:textFill>
            <w14:solidFill>
              <w14:schemeClr w14:val="tx1"/>
            </w14:solidFill>
          </w14:textFill>
        </w:rPr>
        <w:t>响应文件</w:t>
      </w:r>
      <w:bookmarkEnd w:id="223"/>
    </w:p>
    <w:p>
      <w:pPr>
        <w:pStyle w:val="6"/>
        <w:numPr>
          <w:ilvl w:val="2"/>
          <w:numId w:val="3"/>
        </w:numPr>
        <w:spacing w:after="200" w:line="240" w:lineRule="auto"/>
        <w:ind w:left="85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投标函</w:t>
      </w:r>
      <w:bookmarkEnd w:id="214"/>
    </w:p>
    <w:p>
      <w:pPr>
        <w:pStyle w:val="26"/>
        <w:spacing w:after="0" w:line="500" w:lineRule="exact"/>
        <w:ind w:left="0" w:leftChars="0"/>
        <w:rPr>
          <w:rFonts w:ascii="宋体" w:hAnsi="宋体"/>
          <w:bCs/>
          <w:color w:val="000000" w:themeColor="text1"/>
          <w:sz w:val="28"/>
          <w:szCs w:val="28"/>
          <w:highlight w:val="non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成都市双流区公共资源交易服务中心：</w:t>
      </w:r>
    </w:p>
    <w:p>
      <w:pPr>
        <w:pStyle w:val="26"/>
        <w:spacing w:after="0" w:line="500" w:lineRule="exact"/>
        <w:ind w:left="0" w:leftChars="0" w:firstLine="560" w:firstLineChars="200"/>
        <w:rPr>
          <w:rFonts w:ascii="宋体" w:hAnsi="宋体"/>
          <w:bCs/>
          <w:color w:val="000000" w:themeColor="text1"/>
          <w:sz w:val="28"/>
          <w:szCs w:val="28"/>
          <w:highlight w:val="non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我方全面研究了</w:t>
      </w:r>
      <w:r>
        <w:rPr>
          <w:rFonts w:hint="eastAsia" w:ascii="宋体" w:hAnsi="宋体"/>
          <w:b/>
          <w:color w:val="000000" w:themeColor="text1"/>
          <w:sz w:val="28"/>
          <w:szCs w:val="28"/>
          <w:highlight w:val="none"/>
          <w:u w:val="single"/>
          <w14:textFill>
            <w14:solidFill>
              <w14:schemeClr w14:val="tx1"/>
            </w14:solidFill>
          </w14:textFill>
        </w:rPr>
        <w:t>成都市双流区规划和自然资源局地下管线普查成果更新采购项目</w:t>
      </w:r>
      <w:r>
        <w:rPr>
          <w:rFonts w:hint="eastAsia" w:ascii="宋体" w:hAnsi="宋体"/>
          <w:b/>
          <w:bCs/>
          <w:color w:val="000000" w:themeColor="text1"/>
          <w:sz w:val="28"/>
          <w:szCs w:val="28"/>
          <w:highlight w:val="none"/>
          <w:u w:val="single"/>
          <w14:textFill>
            <w14:solidFill>
              <w14:schemeClr w14:val="tx1"/>
            </w14:solidFill>
          </w14:textFill>
        </w:rPr>
        <w:t>（项目编号：双流政采（2021）A0048号）</w:t>
      </w:r>
      <w:r>
        <w:rPr>
          <w:rFonts w:hint="eastAsia" w:ascii="宋体" w:hAnsi="宋体"/>
          <w:b/>
          <w:color w:val="000000" w:themeColor="text1"/>
          <w:sz w:val="28"/>
          <w:szCs w:val="28"/>
          <w:highlight w:val="none"/>
          <w:u w:val="single"/>
          <w14:textFill>
            <w14:solidFill>
              <w14:schemeClr w14:val="tx1"/>
            </w14:solidFill>
          </w14:textFill>
        </w:rPr>
        <w:t>包件号：XXX</w:t>
      </w:r>
      <w:r>
        <w:rPr>
          <w:rFonts w:hint="eastAsia" w:ascii="宋体" w:hAnsi="宋体"/>
          <w:bCs/>
          <w:color w:val="000000" w:themeColor="text1"/>
          <w:sz w:val="28"/>
          <w:szCs w:val="28"/>
          <w:highlight w:val="none"/>
          <w14:textFill>
            <w14:solidFill>
              <w14:schemeClr w14:val="tx1"/>
            </w14:solidFill>
          </w14:textFill>
        </w:rPr>
        <w:t>招标文件，决定参加贵单位组织的本项目的投标。我方授权</w:t>
      </w:r>
      <w:r>
        <w:rPr>
          <w:rFonts w:hint="eastAsia" w:ascii="宋体" w:hAnsi="宋体"/>
          <w:bCs/>
          <w:color w:val="000000" w:themeColor="text1"/>
          <w:sz w:val="28"/>
          <w:szCs w:val="28"/>
          <w:highlight w:val="none"/>
          <w:u w:val="single"/>
          <w14:textFill>
            <w14:solidFill>
              <w14:schemeClr w14:val="tx1"/>
            </w14:solidFill>
          </w14:textFill>
        </w:rPr>
        <w:t>XXX（姓名、职务）</w:t>
      </w:r>
      <w:r>
        <w:rPr>
          <w:rFonts w:hint="eastAsia" w:ascii="宋体" w:hAnsi="宋体"/>
          <w:bCs/>
          <w:color w:val="000000" w:themeColor="text1"/>
          <w:sz w:val="28"/>
          <w:szCs w:val="28"/>
          <w:highlight w:val="none"/>
          <w14:textFill>
            <w14:solidFill>
              <w14:schemeClr w14:val="tx1"/>
            </w14:solidFill>
          </w14:textFill>
        </w:rPr>
        <w:t>代表我方</w:t>
      </w:r>
      <w:r>
        <w:rPr>
          <w:rFonts w:hint="eastAsia" w:ascii="宋体" w:hAnsi="宋体"/>
          <w:bCs/>
          <w:color w:val="000000" w:themeColor="text1"/>
          <w:sz w:val="28"/>
          <w:szCs w:val="28"/>
          <w:highlight w:val="none"/>
          <w:u w:val="single"/>
          <w14:textFill>
            <w14:solidFill>
              <w14:schemeClr w14:val="tx1"/>
            </w14:solidFill>
          </w14:textFill>
        </w:rPr>
        <w:t>XXX（供应商名称）</w:t>
      </w:r>
      <w:r>
        <w:rPr>
          <w:rFonts w:hint="eastAsia" w:ascii="宋体" w:hAnsi="宋体"/>
          <w:bCs/>
          <w:color w:val="000000" w:themeColor="text1"/>
          <w:sz w:val="28"/>
          <w:szCs w:val="28"/>
          <w:highlight w:val="none"/>
          <w14:textFill>
            <w14:solidFill>
              <w14:schemeClr w14:val="tx1"/>
            </w14:solidFill>
          </w14:textFill>
        </w:rPr>
        <w:t>全权处理本项目投标的有关事宜。</w:t>
      </w:r>
    </w:p>
    <w:p>
      <w:pPr>
        <w:numPr>
          <w:ilvl w:val="1"/>
          <w:numId w:val="32"/>
        </w:numPr>
        <w:tabs>
          <w:tab w:val="left" w:pos="1134"/>
        </w:tabs>
        <w:spacing w:after="200" w:line="50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我方自愿按照招标文件规定的各项要求向采购人提供所需服务，</w:t>
      </w:r>
      <w:r>
        <w:rPr>
          <w:rFonts w:hint="eastAsia" w:ascii="宋体" w:hAnsi="宋体"/>
          <w:b/>
          <w:color w:val="000000" w:themeColor="text1"/>
          <w:sz w:val="28"/>
          <w:szCs w:val="28"/>
          <w:highlight w:val="none"/>
          <w14:textFill>
            <w14:solidFill>
              <w14:schemeClr w14:val="tx1"/>
            </w14:solidFill>
          </w14:textFill>
        </w:rPr>
        <w:t>投标报价以《开标一览表》为准</w:t>
      </w:r>
      <w:r>
        <w:rPr>
          <w:rFonts w:hint="eastAsia" w:ascii="宋体" w:hAnsi="宋体"/>
          <w:color w:val="000000" w:themeColor="text1"/>
          <w:sz w:val="28"/>
          <w:szCs w:val="28"/>
          <w:highlight w:val="none"/>
          <w14:textFill>
            <w14:solidFill>
              <w14:schemeClr w14:val="tx1"/>
            </w14:solidFill>
          </w14:textFill>
        </w:rPr>
        <w:t>。</w:t>
      </w:r>
    </w:p>
    <w:p>
      <w:pPr>
        <w:numPr>
          <w:ilvl w:val="1"/>
          <w:numId w:val="32"/>
        </w:numPr>
        <w:tabs>
          <w:tab w:val="left" w:pos="1134"/>
        </w:tabs>
        <w:spacing w:after="200" w:line="50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如果我方中标，我方将严格履行合同规定的责任和义务，否则将承担由此产生的一切责任。</w:t>
      </w:r>
    </w:p>
    <w:p>
      <w:pPr>
        <w:numPr>
          <w:ilvl w:val="1"/>
          <w:numId w:val="32"/>
        </w:numPr>
        <w:tabs>
          <w:tab w:val="left" w:pos="1134"/>
        </w:tabs>
        <w:spacing w:after="200" w:line="50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我方已知晓全部招标文件的内容，包括修改文件（如有）以及全部相关资料和有关附件，并对上述文件均无异议。</w:t>
      </w:r>
    </w:p>
    <w:p>
      <w:pPr>
        <w:numPr>
          <w:ilvl w:val="1"/>
          <w:numId w:val="32"/>
        </w:numPr>
        <w:tabs>
          <w:tab w:val="left" w:pos="1134"/>
        </w:tabs>
        <w:spacing w:after="200" w:line="50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投标有效期为从投标截止之日起120天。</w:t>
      </w:r>
    </w:p>
    <w:p>
      <w:pPr>
        <w:numPr>
          <w:ilvl w:val="1"/>
          <w:numId w:val="32"/>
        </w:numPr>
        <w:tabs>
          <w:tab w:val="left" w:pos="1134"/>
        </w:tabs>
        <w:spacing w:after="200" w:line="50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我方愿意提供贵中心可能另外要求的，与投标有关的文件资料，并保证我方已提供和将要提供的文件资料是真实、准确的，并对此承担一切法律后果。</w:t>
      </w:r>
    </w:p>
    <w:p>
      <w:pPr>
        <w:numPr>
          <w:ilvl w:val="1"/>
          <w:numId w:val="32"/>
        </w:numPr>
        <w:tabs>
          <w:tab w:val="left" w:pos="1134"/>
        </w:tabs>
        <w:spacing w:after="200" w:line="50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我单位联系方式：XXXX</w:t>
      </w:r>
    </w:p>
    <w:p>
      <w:pPr>
        <w:tabs>
          <w:tab w:val="left" w:pos="1134"/>
        </w:tabs>
        <w:spacing w:line="500" w:lineRule="exact"/>
        <w:ind w:left="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地    址：XXXX</w:t>
      </w:r>
    </w:p>
    <w:p>
      <w:pPr>
        <w:tabs>
          <w:tab w:val="left" w:pos="1134"/>
        </w:tabs>
        <w:spacing w:line="500" w:lineRule="exact"/>
        <w:ind w:left="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传    真：XXXX</w:t>
      </w:r>
    </w:p>
    <w:p>
      <w:pPr>
        <w:tabs>
          <w:tab w:val="left" w:pos="1134"/>
        </w:tabs>
        <w:spacing w:line="500" w:lineRule="exact"/>
        <w:ind w:left="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邮政编码：XXXX</w:t>
      </w:r>
    </w:p>
    <w:p>
      <w:pPr>
        <w:tabs>
          <w:tab w:val="left" w:pos="1134"/>
        </w:tabs>
        <w:spacing w:line="500" w:lineRule="exact"/>
        <w:ind w:left="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供应商名称：XXXX</w:t>
      </w:r>
    </w:p>
    <w:p>
      <w:pPr>
        <w:tabs>
          <w:tab w:val="left" w:pos="1134"/>
        </w:tabs>
        <w:spacing w:line="500" w:lineRule="exact"/>
        <w:ind w:left="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日    期：20XX年XX月XX日</w:t>
      </w:r>
    </w:p>
    <w:p>
      <w:pPr>
        <w:pStyle w:val="14"/>
        <w:spacing w:after="0" w:line="240" w:lineRule="auto"/>
        <w:ind w:firstLine="0"/>
        <w:rPr>
          <w:rFonts w:ascii="宋体" w:hAnsi="宋体"/>
          <w:bCs/>
          <w:color w:val="000000" w:themeColor="text1"/>
          <w:sz w:val="28"/>
          <w:szCs w:val="28"/>
          <w:highlight w:val="none"/>
          <w:u w:val="single"/>
          <w14:textFill>
            <w14:solidFill>
              <w14:schemeClr w14:val="tx1"/>
            </w14:solidFill>
          </w14:textFill>
        </w:rPr>
      </w:pPr>
    </w:p>
    <w:p>
      <w:pPr>
        <w:pStyle w:val="6"/>
        <w:numPr>
          <w:ilvl w:val="2"/>
          <w:numId w:val="3"/>
        </w:numPr>
        <w:spacing w:after="200" w:line="240" w:lineRule="auto"/>
        <w:ind w:left="851"/>
        <w:rPr>
          <w:color w:val="000000" w:themeColor="text1"/>
          <w:highlight w:val="none"/>
          <w14:textFill>
            <w14:solidFill>
              <w14:schemeClr w14:val="tx1"/>
            </w14:solidFill>
          </w14:textFill>
        </w:rPr>
      </w:pPr>
      <w:bookmarkStart w:id="224" w:name="_Toc265494342"/>
      <w:bookmarkStart w:id="225" w:name="_Toc239846734"/>
      <w:bookmarkStart w:id="226" w:name="_Toc240865266"/>
      <w:bookmarkStart w:id="227" w:name="_Toc240367172"/>
      <w:bookmarkStart w:id="228" w:name="_Toc237145395"/>
      <w:bookmarkStart w:id="229" w:name="_Toc239849853"/>
      <w:bookmarkStart w:id="230" w:name="_Toc231030275"/>
      <w:bookmarkStart w:id="231" w:name="_Toc229802674"/>
      <w:bookmarkStart w:id="232" w:name="_Toc314574804"/>
      <w:r>
        <w:rPr>
          <w:rFonts w:hint="eastAsia"/>
          <w:color w:val="000000" w:themeColor="text1"/>
          <w:highlight w:val="none"/>
          <w14:textFill>
            <w14:solidFill>
              <w14:schemeClr w14:val="tx1"/>
            </w14:solidFill>
          </w14:textFill>
        </w:rPr>
        <w:t>法定代表人身份证明书</w:t>
      </w:r>
    </w:p>
    <w:p>
      <w:pPr>
        <w:tabs>
          <w:tab w:val="left" w:pos="6300"/>
        </w:tabs>
        <w:ind w:firstLine="573"/>
        <w:rPr>
          <w:rFonts w:ascii="宋体" w:hAnsi="宋体"/>
          <w:color w:val="000000" w:themeColor="text1"/>
          <w:sz w:val="28"/>
          <w:highlight w:val="none"/>
          <w:u w:val="single"/>
          <w:lang w:val="zh-CN"/>
          <w14:textFill>
            <w14:solidFill>
              <w14:schemeClr w14:val="tx1"/>
            </w14:solidFill>
          </w14:textFill>
        </w:rPr>
      </w:pPr>
    </w:p>
    <w:p>
      <w:pPr>
        <w:tabs>
          <w:tab w:val="left" w:pos="6300"/>
        </w:tabs>
        <w:ind w:firstLine="573"/>
        <w:rPr>
          <w:rFonts w:ascii="宋体" w:hAnsi="宋体"/>
          <w:color w:val="000000" w:themeColor="text1"/>
          <w:sz w:val="28"/>
          <w:highlight w:val="none"/>
          <w:lang w:val="zh-CN"/>
          <w14:textFill>
            <w14:solidFill>
              <w14:schemeClr w14:val="tx1"/>
            </w14:solidFill>
          </w14:textFill>
        </w:rPr>
      </w:pPr>
      <w:r>
        <w:rPr>
          <w:rFonts w:hint="eastAsia" w:ascii="宋体" w:hAnsi="宋体"/>
          <w:color w:val="000000" w:themeColor="text1"/>
          <w:sz w:val="28"/>
          <w:szCs w:val="28"/>
          <w:highlight w:val="none"/>
          <w:u w:val="single"/>
          <w14:textFill>
            <w14:solidFill>
              <w14:schemeClr w14:val="tx1"/>
            </w14:solidFill>
          </w14:textFill>
        </w:rPr>
        <w:t>XXXX</w:t>
      </w:r>
      <w:r>
        <w:rPr>
          <w:rFonts w:hint="eastAsia" w:ascii="宋体" w:hAnsi="宋体"/>
          <w:color w:val="000000" w:themeColor="text1"/>
          <w:sz w:val="28"/>
          <w:highlight w:val="none"/>
          <w:u w:val="single"/>
          <w:lang w:val="zh-CN"/>
          <w14:textFill>
            <w14:solidFill>
              <w14:schemeClr w14:val="tx1"/>
            </w14:solidFill>
          </w14:textFill>
        </w:rPr>
        <w:t>（法定代表人姓名）</w:t>
      </w:r>
      <w:r>
        <w:rPr>
          <w:rFonts w:hint="eastAsia" w:ascii="宋体" w:hAnsi="宋体"/>
          <w:color w:val="000000" w:themeColor="text1"/>
          <w:sz w:val="28"/>
          <w:highlight w:val="none"/>
          <w:lang w:val="zh-CN"/>
          <w14:textFill>
            <w14:solidFill>
              <w14:schemeClr w14:val="tx1"/>
            </w14:solidFill>
          </w14:textFill>
        </w:rPr>
        <w:t>在</w:t>
      </w:r>
      <w:r>
        <w:rPr>
          <w:rFonts w:hint="eastAsia" w:ascii="宋体" w:hAnsi="宋体"/>
          <w:color w:val="000000" w:themeColor="text1"/>
          <w:sz w:val="28"/>
          <w:szCs w:val="28"/>
          <w:highlight w:val="none"/>
          <w:u w:val="single"/>
          <w14:textFill>
            <w14:solidFill>
              <w14:schemeClr w14:val="tx1"/>
            </w14:solidFill>
          </w14:textFill>
        </w:rPr>
        <w:t>XXXX</w:t>
      </w:r>
      <w:r>
        <w:rPr>
          <w:rFonts w:hint="eastAsia" w:ascii="宋体" w:hAnsi="宋体"/>
          <w:color w:val="000000" w:themeColor="text1"/>
          <w:sz w:val="28"/>
          <w:highlight w:val="none"/>
          <w:u w:val="single"/>
          <w:lang w:val="zh-CN"/>
          <w14:textFill>
            <w14:solidFill>
              <w14:schemeClr w14:val="tx1"/>
            </w14:solidFill>
          </w14:textFill>
        </w:rPr>
        <w:t xml:space="preserve"> （供应商名称）</w:t>
      </w:r>
      <w:r>
        <w:rPr>
          <w:rFonts w:hint="eastAsia" w:ascii="宋体" w:hAnsi="宋体"/>
          <w:color w:val="000000" w:themeColor="text1"/>
          <w:sz w:val="28"/>
          <w:highlight w:val="none"/>
          <w:lang w:val="zh-CN"/>
          <w14:textFill>
            <w14:solidFill>
              <w14:schemeClr w14:val="tx1"/>
            </w14:solidFill>
          </w14:textFill>
        </w:rPr>
        <w:t>处任</w:t>
      </w:r>
      <w:r>
        <w:rPr>
          <w:rFonts w:hint="eastAsia" w:ascii="宋体" w:hAnsi="宋体"/>
          <w:color w:val="000000" w:themeColor="text1"/>
          <w:sz w:val="28"/>
          <w:highlight w:val="none"/>
          <w:u w:val="single"/>
          <w:lang w:val="zh-CN"/>
          <w14:textFill>
            <w14:solidFill>
              <w14:schemeClr w14:val="tx1"/>
            </w14:solidFill>
          </w14:textFill>
        </w:rPr>
        <w:t xml:space="preserve">         XXXX（职务名称）</w:t>
      </w:r>
      <w:r>
        <w:rPr>
          <w:rFonts w:hint="eastAsia" w:ascii="宋体" w:hAnsi="宋体"/>
          <w:color w:val="000000" w:themeColor="text1"/>
          <w:sz w:val="28"/>
          <w:highlight w:val="none"/>
          <w:lang w:val="zh-CN"/>
          <w14:textFill>
            <w14:solidFill>
              <w14:schemeClr w14:val="tx1"/>
            </w14:solidFill>
          </w14:textFill>
        </w:rPr>
        <w:t>职务，是</w:t>
      </w:r>
      <w:r>
        <w:rPr>
          <w:rFonts w:hint="eastAsia" w:ascii="宋体" w:hAnsi="宋体"/>
          <w:color w:val="000000" w:themeColor="text1"/>
          <w:sz w:val="28"/>
          <w:szCs w:val="28"/>
          <w:highlight w:val="none"/>
          <w:u w:val="single"/>
          <w14:textFill>
            <w14:solidFill>
              <w14:schemeClr w14:val="tx1"/>
            </w14:solidFill>
          </w14:textFill>
        </w:rPr>
        <w:t>XXXX</w:t>
      </w:r>
      <w:r>
        <w:rPr>
          <w:rFonts w:hint="eastAsia" w:ascii="宋体" w:hAnsi="宋体"/>
          <w:color w:val="000000" w:themeColor="text1"/>
          <w:sz w:val="28"/>
          <w:highlight w:val="none"/>
          <w:u w:val="single"/>
          <w:lang w:val="zh-CN"/>
          <w14:textFill>
            <w14:solidFill>
              <w14:schemeClr w14:val="tx1"/>
            </w14:solidFill>
          </w14:textFill>
        </w:rPr>
        <w:t>（供应商名称）</w:t>
      </w:r>
      <w:r>
        <w:rPr>
          <w:rFonts w:hint="eastAsia" w:ascii="宋体" w:hAnsi="宋体"/>
          <w:color w:val="000000" w:themeColor="text1"/>
          <w:sz w:val="28"/>
          <w:highlight w:val="none"/>
          <w:lang w:val="zh-CN"/>
          <w14:textFill>
            <w14:solidFill>
              <w14:schemeClr w14:val="tx1"/>
            </w14:solidFill>
          </w14:textFill>
        </w:rPr>
        <w:t>的法定代表人。</w:t>
      </w:r>
    </w:p>
    <w:p>
      <w:pPr>
        <w:tabs>
          <w:tab w:val="left" w:pos="6300"/>
        </w:tabs>
        <w:rPr>
          <w:rFonts w:ascii="宋体" w:hAnsi="宋体"/>
          <w:color w:val="000000" w:themeColor="text1"/>
          <w:sz w:val="28"/>
          <w:highlight w:val="none"/>
          <w:lang w:val="zh-CN"/>
          <w14:textFill>
            <w14:solidFill>
              <w14:schemeClr w14:val="tx1"/>
            </w14:solidFill>
          </w14:textFill>
        </w:rPr>
      </w:pPr>
    </w:p>
    <w:p>
      <w:pPr>
        <w:tabs>
          <w:tab w:val="left" w:pos="6300"/>
        </w:tabs>
        <w:rPr>
          <w:rFonts w:ascii="宋体" w:hAnsi="宋体"/>
          <w:color w:val="000000" w:themeColor="text1"/>
          <w:sz w:val="28"/>
          <w:highlight w:val="none"/>
          <w:lang w:val="zh-CN"/>
          <w14:textFill>
            <w14:solidFill>
              <w14:schemeClr w14:val="tx1"/>
            </w14:solidFill>
          </w14:textFill>
        </w:rPr>
      </w:pPr>
    </w:p>
    <w:p>
      <w:pPr>
        <w:tabs>
          <w:tab w:val="left" w:pos="6300"/>
        </w:tabs>
        <w:rPr>
          <w:rFonts w:ascii="宋体" w:hAnsi="宋体"/>
          <w:color w:val="000000" w:themeColor="text1"/>
          <w:sz w:val="28"/>
          <w:highlight w:val="none"/>
          <w:lang w:val="zh-CN"/>
          <w14:textFill>
            <w14:solidFill>
              <w14:schemeClr w14:val="tx1"/>
            </w14:solidFill>
          </w14:textFill>
        </w:rPr>
      </w:pPr>
    </w:p>
    <w:p>
      <w:pPr>
        <w:tabs>
          <w:tab w:val="left" w:pos="6300"/>
        </w:tabs>
        <w:rPr>
          <w:rFonts w:ascii="宋体" w:hAnsi="宋体"/>
          <w:color w:val="000000" w:themeColor="text1"/>
          <w:sz w:val="28"/>
          <w:highlight w:val="none"/>
          <w:lang w:val="zh-CN"/>
          <w14:textFill>
            <w14:solidFill>
              <w14:schemeClr w14:val="tx1"/>
            </w14:solidFill>
          </w14:textFill>
        </w:rPr>
      </w:pPr>
    </w:p>
    <w:p>
      <w:pPr>
        <w:tabs>
          <w:tab w:val="left" w:pos="6300"/>
        </w:tabs>
        <w:rPr>
          <w:rFonts w:ascii="宋体" w:hAnsi="宋体"/>
          <w:color w:val="000000" w:themeColor="text1"/>
          <w:sz w:val="28"/>
          <w:highlight w:val="none"/>
          <w:lang w:val="zh-CN"/>
          <w14:textFill>
            <w14:solidFill>
              <w14:schemeClr w14:val="tx1"/>
            </w14:solidFill>
          </w14:textFill>
        </w:rPr>
      </w:pPr>
    </w:p>
    <w:p>
      <w:pPr>
        <w:tabs>
          <w:tab w:val="left" w:pos="6300"/>
        </w:tabs>
        <w:rPr>
          <w:rFonts w:ascii="宋体" w:hAnsi="宋体"/>
          <w:color w:val="000000" w:themeColor="text1"/>
          <w:sz w:val="28"/>
          <w:highlight w:val="none"/>
          <w:lang w:val="zh-CN"/>
          <w14:textFill>
            <w14:solidFill>
              <w14:schemeClr w14:val="tx1"/>
            </w14:solidFill>
          </w14:textFill>
        </w:rPr>
      </w:pPr>
    </w:p>
    <w:p>
      <w:pPr>
        <w:tabs>
          <w:tab w:val="left" w:pos="6300"/>
        </w:tabs>
        <w:ind w:firstLine="573"/>
        <w:rPr>
          <w:rFonts w:ascii="宋体" w:hAnsi="宋体"/>
          <w:color w:val="000000" w:themeColor="text1"/>
          <w:sz w:val="28"/>
          <w:highlight w:val="none"/>
          <w:lang w:val="zh-CN"/>
          <w14:textFill>
            <w14:solidFill>
              <w14:schemeClr w14:val="tx1"/>
            </w14:solidFill>
          </w14:textFill>
        </w:rPr>
      </w:pPr>
    </w:p>
    <w:p>
      <w:pPr>
        <w:tabs>
          <w:tab w:val="left" w:pos="6300"/>
        </w:tabs>
        <w:ind w:firstLine="573"/>
        <w:rPr>
          <w:rFonts w:ascii="宋体" w:hAnsi="宋体"/>
          <w:color w:val="000000" w:themeColor="text1"/>
          <w:sz w:val="28"/>
          <w:highlight w:val="none"/>
          <w:lang w:val="zh-CN"/>
          <w14:textFill>
            <w14:solidFill>
              <w14:schemeClr w14:val="tx1"/>
            </w14:solidFill>
          </w14:textFill>
        </w:rPr>
      </w:pPr>
      <w:bookmarkStart w:id="233" w:name="_Toc263768866"/>
      <w:r>
        <w:rPr>
          <w:rFonts w:hint="eastAsia" w:ascii="宋体" w:hAnsi="宋体"/>
          <w:color w:val="000000" w:themeColor="text1"/>
          <w:sz w:val="28"/>
          <w:highlight w:val="none"/>
          <w:lang w:val="zh-CN"/>
          <w14:textFill>
            <w14:solidFill>
              <w14:schemeClr w14:val="tx1"/>
            </w14:solidFill>
          </w14:textFill>
        </w:rPr>
        <w:t>特此证明。</w:t>
      </w:r>
      <w:bookmarkEnd w:id="233"/>
    </w:p>
    <w:p>
      <w:pPr>
        <w:tabs>
          <w:tab w:val="left" w:pos="6300"/>
        </w:tabs>
        <w:rPr>
          <w:rFonts w:ascii="宋体" w:hAnsi="宋体"/>
          <w:color w:val="000000" w:themeColor="text1"/>
          <w:sz w:val="28"/>
          <w:highlight w:val="none"/>
          <w:lang w:val="zh-CN"/>
          <w14:textFill>
            <w14:solidFill>
              <w14:schemeClr w14:val="tx1"/>
            </w14:solidFill>
          </w14:textFill>
        </w:rPr>
      </w:pPr>
    </w:p>
    <w:p>
      <w:pPr>
        <w:tabs>
          <w:tab w:val="left" w:pos="6300"/>
        </w:tabs>
        <w:rPr>
          <w:rFonts w:ascii="宋体" w:hAnsi="宋体"/>
          <w:color w:val="000000" w:themeColor="text1"/>
          <w:sz w:val="28"/>
          <w:highlight w:val="none"/>
          <w:lang w:val="zh-CN"/>
          <w14:textFill>
            <w14:solidFill>
              <w14:schemeClr w14:val="tx1"/>
            </w14:solidFill>
          </w14:textFill>
        </w:rPr>
      </w:pPr>
    </w:p>
    <w:p>
      <w:pPr>
        <w:ind w:firstLine="560" w:firstLineChars="200"/>
        <w:rPr>
          <w:rFonts w:ascii="宋体" w:hAnsi="宋体"/>
          <w:color w:val="000000" w:themeColor="text1"/>
          <w:sz w:val="28"/>
          <w:highlight w:val="none"/>
          <w:lang w:val="zh-CN"/>
          <w14:textFill>
            <w14:solidFill>
              <w14:schemeClr w14:val="tx1"/>
            </w14:solidFill>
          </w14:textFill>
        </w:rPr>
      </w:pPr>
      <w:r>
        <w:rPr>
          <w:rFonts w:hint="eastAsia" w:ascii="宋体" w:hAnsi="宋体"/>
          <w:color w:val="000000" w:themeColor="text1"/>
          <w:sz w:val="28"/>
          <w:highlight w:val="none"/>
          <w:lang w:val="zh-CN"/>
          <w14:textFill>
            <w14:solidFill>
              <w14:schemeClr w14:val="tx1"/>
            </w14:solidFill>
          </w14:textFill>
        </w:rPr>
        <w:t>供应商名称：</w:t>
      </w:r>
      <w:r>
        <w:rPr>
          <w:rFonts w:hint="eastAsia" w:ascii="宋体" w:hAnsi="宋体"/>
          <w:color w:val="000000" w:themeColor="text1"/>
          <w:sz w:val="28"/>
          <w:szCs w:val="28"/>
          <w:highlight w:val="none"/>
          <w14:textFill>
            <w14:solidFill>
              <w14:schemeClr w14:val="tx1"/>
            </w14:solidFill>
          </w14:textFill>
        </w:rPr>
        <w:t>XXXX</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日期：</w:t>
      </w:r>
      <w:r>
        <w:rPr>
          <w:rFonts w:hint="eastAsia" w:ascii="宋体" w:hAnsi="宋体"/>
          <w:color w:val="000000" w:themeColor="text1"/>
          <w:sz w:val="28"/>
          <w:szCs w:val="28"/>
          <w:highlight w:val="none"/>
          <w14:textFill>
            <w14:solidFill>
              <w14:schemeClr w14:val="tx1"/>
            </w14:solidFill>
          </w14:textFill>
        </w:rPr>
        <w:t>20XX</w:t>
      </w:r>
      <w:r>
        <w:rPr>
          <w:rFonts w:hint="eastAsia" w:ascii="宋体" w:hAnsi="宋体"/>
          <w:color w:val="000000" w:themeColor="text1"/>
          <w:sz w:val="28"/>
          <w:highlight w:val="none"/>
          <w14:textFill>
            <w14:solidFill>
              <w14:schemeClr w14:val="tx1"/>
            </w14:solidFill>
          </w14:textFill>
        </w:rPr>
        <w:t xml:space="preserve"> 年</w:t>
      </w:r>
      <w:r>
        <w:rPr>
          <w:rFonts w:hint="eastAsia" w:ascii="宋体" w:hAnsi="宋体"/>
          <w:color w:val="000000" w:themeColor="text1"/>
          <w:sz w:val="28"/>
          <w:szCs w:val="28"/>
          <w:highlight w:val="none"/>
          <w14:textFill>
            <w14:solidFill>
              <w14:schemeClr w14:val="tx1"/>
            </w14:solidFill>
          </w14:textFill>
        </w:rPr>
        <w:t>XX</w:t>
      </w:r>
      <w:r>
        <w:rPr>
          <w:rFonts w:hint="eastAsia" w:ascii="宋体" w:hAnsi="宋体"/>
          <w:color w:val="000000" w:themeColor="text1"/>
          <w:sz w:val="28"/>
          <w:highlight w:val="none"/>
          <w14:textFill>
            <w14:solidFill>
              <w14:schemeClr w14:val="tx1"/>
            </w14:solidFill>
          </w14:textFill>
        </w:rPr>
        <w:t>月</w:t>
      </w:r>
      <w:r>
        <w:rPr>
          <w:rFonts w:hint="eastAsia" w:ascii="宋体" w:hAnsi="宋体"/>
          <w:color w:val="000000" w:themeColor="text1"/>
          <w:sz w:val="28"/>
          <w:szCs w:val="28"/>
          <w:highlight w:val="none"/>
          <w14:textFill>
            <w14:solidFill>
              <w14:schemeClr w14:val="tx1"/>
            </w14:solidFill>
          </w14:textFill>
        </w:rPr>
        <w:t>XX</w:t>
      </w:r>
      <w:r>
        <w:rPr>
          <w:rFonts w:hint="eastAsia" w:ascii="宋体" w:hAnsi="宋体"/>
          <w:color w:val="000000" w:themeColor="text1"/>
          <w:sz w:val="28"/>
          <w:highlight w:val="none"/>
          <w14:textFill>
            <w14:solidFill>
              <w14:schemeClr w14:val="tx1"/>
            </w14:solidFill>
          </w14:textFill>
        </w:rPr>
        <w:t>日</w:t>
      </w:r>
    </w:p>
    <w:p>
      <w:pPr>
        <w:tabs>
          <w:tab w:val="left" w:pos="6300"/>
        </w:tabs>
        <w:rPr>
          <w:rFonts w:ascii="宋体" w:hAnsi="宋体"/>
          <w:b/>
          <w:color w:val="000000" w:themeColor="text1"/>
          <w:sz w:val="28"/>
          <w:highlight w:val="none"/>
          <w:u w:val="single"/>
          <w:lang w:val="zh-CN"/>
          <w14:textFill>
            <w14:solidFill>
              <w14:schemeClr w14:val="tx1"/>
            </w14:solidFill>
          </w14:textFill>
        </w:rPr>
      </w:pPr>
    </w:p>
    <w:p>
      <w:pPr>
        <w:pStyle w:val="14"/>
        <w:spacing w:line="240" w:lineRule="auto"/>
        <w:ind w:firstLine="568" w:firstLineChars="202"/>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说明：上述证明文件在投标文件中附有法定代表人身份证复印件（身份证两面均应复印）或护照复印件（供应商的法定代表人为外籍人士的，则提供护照复印件）时才能生效。</w:t>
      </w:r>
    </w:p>
    <w:p>
      <w:pPr>
        <w:pStyle w:val="14"/>
        <w:spacing w:line="240" w:lineRule="auto"/>
        <w:ind w:firstLine="568" w:firstLineChars="202"/>
        <w:rPr>
          <w:rFonts w:ascii="宋体" w:hAnsi="宋体"/>
          <w:b/>
          <w:color w:val="000000" w:themeColor="text1"/>
          <w:sz w:val="28"/>
          <w:szCs w:val="28"/>
          <w:highlight w:val="none"/>
          <w14:textFill>
            <w14:solidFill>
              <w14:schemeClr w14:val="tx1"/>
            </w14:solidFill>
          </w14:textFill>
        </w:rPr>
      </w:pPr>
    </w:p>
    <w:p>
      <w:pPr>
        <w:pStyle w:val="6"/>
        <w:numPr>
          <w:ilvl w:val="2"/>
          <w:numId w:val="3"/>
        </w:numPr>
        <w:spacing w:after="200" w:line="240" w:lineRule="auto"/>
        <w:ind w:left="851"/>
        <w:rPr>
          <w:color w:val="000000" w:themeColor="text1"/>
          <w:highlight w:val="none"/>
          <w14:textFill>
            <w14:solidFill>
              <w14:schemeClr w14:val="tx1"/>
            </w14:solidFill>
          </w14:textFill>
        </w:rPr>
      </w:pPr>
      <w:bookmarkStart w:id="234" w:name="_Toc448132270"/>
      <w:bookmarkStart w:id="235" w:name="_Toc430250269"/>
      <w:r>
        <w:rPr>
          <w:rFonts w:hint="eastAsia"/>
          <w:color w:val="000000" w:themeColor="text1"/>
          <w:highlight w:val="none"/>
          <w14:textFill>
            <w14:solidFill>
              <w14:schemeClr w14:val="tx1"/>
            </w14:solidFill>
          </w14:textFill>
        </w:rPr>
        <w:t>中小企业声明函</w:t>
      </w:r>
      <w:bookmarkEnd w:id="234"/>
    </w:p>
    <w:bookmarkEnd w:id="224"/>
    <w:bookmarkEnd w:id="225"/>
    <w:bookmarkEnd w:id="226"/>
    <w:bookmarkEnd w:id="227"/>
    <w:bookmarkEnd w:id="228"/>
    <w:bookmarkEnd w:id="229"/>
    <w:bookmarkEnd w:id="230"/>
    <w:bookmarkEnd w:id="231"/>
    <w:bookmarkEnd w:id="232"/>
    <w:bookmarkEnd w:id="235"/>
    <w:p>
      <w:pPr>
        <w:spacing w:line="500" w:lineRule="exact"/>
        <w:jc w:val="center"/>
        <w:rPr>
          <w:rFonts w:ascii="宋体" w:hAnsi="宋体"/>
          <w:b/>
          <w:color w:val="000000" w:themeColor="text1"/>
          <w:spacing w:val="6"/>
          <w:sz w:val="28"/>
          <w:szCs w:val="28"/>
          <w:highlight w:val="none"/>
          <w14:textFill>
            <w14:solidFill>
              <w14:schemeClr w14:val="tx1"/>
            </w14:solidFill>
          </w14:textFill>
        </w:rPr>
      </w:pPr>
      <w:bookmarkStart w:id="236" w:name="_Toc302997926"/>
      <w:bookmarkStart w:id="237" w:name="_Toc220299393"/>
      <w:bookmarkStart w:id="238" w:name="_Toc263768870"/>
      <w:bookmarkStart w:id="239" w:name="_Toc263753605"/>
      <w:bookmarkStart w:id="240" w:name="_Toc217446083"/>
      <w:r>
        <w:rPr>
          <w:rFonts w:hint="eastAsia" w:ascii="宋体" w:hAnsi="宋体"/>
          <w:b/>
          <w:color w:val="000000" w:themeColor="text1"/>
          <w:spacing w:val="6"/>
          <w:sz w:val="28"/>
          <w:szCs w:val="28"/>
          <w:highlight w:val="none"/>
          <w14:textFill>
            <w14:solidFill>
              <w14:schemeClr w14:val="tx1"/>
            </w14:solidFill>
          </w14:textFill>
        </w:rPr>
        <w:t>中小企业声明函</w:t>
      </w:r>
    </w:p>
    <w:p>
      <w:pPr>
        <w:spacing w:line="500" w:lineRule="exact"/>
        <w:ind w:firstLine="584" w:firstLineChars="200"/>
        <w:rPr>
          <w:rFonts w:ascii="宋体" w:hAnsi="宋体"/>
          <w:color w:val="000000" w:themeColor="text1"/>
          <w:spacing w:val="6"/>
          <w:sz w:val="28"/>
          <w:szCs w:val="28"/>
          <w:highlight w:val="none"/>
          <w14:textFill>
            <w14:solidFill>
              <w14:schemeClr w14:val="tx1"/>
            </w14:solidFill>
          </w14:textFill>
        </w:rPr>
      </w:pPr>
      <w:r>
        <w:rPr>
          <w:rFonts w:hint="eastAsia" w:ascii="宋体" w:hAnsi="宋体"/>
          <w:color w:val="000000" w:themeColor="text1"/>
          <w:spacing w:val="6"/>
          <w:sz w:val="28"/>
          <w:szCs w:val="28"/>
          <w:highlight w:val="none"/>
          <w14:textFill>
            <w14:solidFill>
              <w14:schemeClr w14:val="tx1"/>
            </w14:solidFill>
          </w14:textFill>
        </w:rPr>
        <w:t>本公司郑重声明，根据《政府采购促进中小企业发展管理办法》（财库〔</w:t>
      </w:r>
      <w:r>
        <w:rPr>
          <w:rFonts w:ascii="宋体" w:hAnsi="宋体"/>
          <w:color w:val="000000" w:themeColor="text1"/>
          <w:spacing w:val="6"/>
          <w:sz w:val="28"/>
          <w:szCs w:val="28"/>
          <w:highlight w:val="none"/>
          <w14:textFill>
            <w14:solidFill>
              <w14:schemeClr w14:val="tx1"/>
            </w14:solidFill>
          </w14:textFill>
        </w:rPr>
        <w:t>2020〕46号）的规定，本公司参加</w:t>
      </w:r>
      <w:r>
        <w:rPr>
          <w:rFonts w:hint="eastAsia" w:ascii="宋体" w:hAnsi="宋体"/>
          <w:b/>
          <w:color w:val="000000" w:themeColor="text1"/>
          <w:sz w:val="28"/>
          <w:szCs w:val="28"/>
          <w:highlight w:val="none"/>
          <w:u w:val="single"/>
          <w14:textFill>
            <w14:solidFill>
              <w14:schemeClr w14:val="tx1"/>
            </w14:solidFill>
          </w14:textFill>
        </w:rPr>
        <w:t>成都市双流区规划和自然资源局</w:t>
      </w:r>
      <w:r>
        <w:rPr>
          <w:rFonts w:hint="eastAsia" w:ascii="宋体" w:hAnsi="宋体"/>
          <w:bCs/>
          <w:color w:val="000000" w:themeColor="text1"/>
          <w:sz w:val="28"/>
          <w:szCs w:val="28"/>
          <w:highlight w:val="none"/>
          <w14:textFill>
            <w14:solidFill>
              <w14:schemeClr w14:val="tx1"/>
            </w14:solidFill>
          </w14:textFill>
        </w:rPr>
        <w:t>的</w:t>
      </w:r>
      <w:r>
        <w:rPr>
          <w:rFonts w:hint="eastAsia" w:ascii="宋体" w:hAnsi="宋体"/>
          <w:b/>
          <w:color w:val="000000" w:themeColor="text1"/>
          <w:sz w:val="28"/>
          <w:szCs w:val="28"/>
          <w:highlight w:val="none"/>
          <w:u w:val="single"/>
          <w14:textFill>
            <w14:solidFill>
              <w14:schemeClr w14:val="tx1"/>
            </w14:solidFill>
          </w14:textFill>
        </w:rPr>
        <w:t>成都市双流区规划和自然资源局地下管线普查成果更新采购项目</w:t>
      </w:r>
      <w:r>
        <w:rPr>
          <w:rFonts w:hint="eastAsia" w:ascii="宋体" w:hAnsi="宋体"/>
          <w:b/>
          <w:bCs/>
          <w:color w:val="000000" w:themeColor="text1"/>
          <w:sz w:val="28"/>
          <w:szCs w:val="28"/>
          <w:highlight w:val="none"/>
          <w:u w:val="single"/>
          <w14:textFill>
            <w14:solidFill>
              <w14:schemeClr w14:val="tx1"/>
            </w14:solidFill>
          </w14:textFill>
        </w:rPr>
        <w:t>（项目编号：双流政采（2021）A0048号）</w:t>
      </w:r>
      <w:r>
        <w:rPr>
          <w:rFonts w:hint="eastAsia" w:ascii="宋体" w:hAnsi="宋体"/>
          <w:b/>
          <w:color w:val="000000" w:themeColor="text1"/>
          <w:sz w:val="28"/>
          <w:szCs w:val="28"/>
          <w:highlight w:val="none"/>
          <w:u w:val="single"/>
          <w14:textFill>
            <w14:solidFill>
              <w14:schemeClr w14:val="tx1"/>
            </w14:solidFill>
          </w14:textFill>
        </w:rPr>
        <w:t>包件号：XXX</w:t>
      </w:r>
      <w:r>
        <w:rPr>
          <w:rFonts w:hint="eastAsia" w:ascii="宋体" w:hAnsi="宋体"/>
          <w:color w:val="000000" w:themeColor="text1"/>
          <w:spacing w:val="6"/>
          <w:sz w:val="28"/>
          <w:szCs w:val="28"/>
          <w:highlight w:val="none"/>
          <w14:textFill>
            <w14:solidFill>
              <w14:schemeClr w14:val="tx1"/>
            </w14:solidFill>
          </w14:textFill>
        </w:rPr>
        <w:t>采购活动，服务全部由符合政策要求的中小企业承接。相关企业的具体情况如下：</w:t>
      </w:r>
    </w:p>
    <w:p>
      <w:pPr>
        <w:tabs>
          <w:tab w:val="left" w:pos="1134"/>
        </w:tabs>
        <w:spacing w:line="500" w:lineRule="exact"/>
        <w:ind w:firstLine="562" w:firstLineChars="200"/>
        <w:rPr>
          <w:rFonts w:ascii="宋体" w:hAnsi="宋体"/>
          <w:color w:val="000000" w:themeColor="text1"/>
          <w:spacing w:val="6"/>
          <w:sz w:val="28"/>
          <w:szCs w:val="28"/>
          <w:highlight w:val="none"/>
          <w14:textFill>
            <w14:solidFill>
              <w14:schemeClr w14:val="tx1"/>
            </w14:solidFill>
          </w14:textFill>
        </w:rPr>
      </w:pPr>
      <w:r>
        <w:rPr>
          <w:rFonts w:hint="eastAsia" w:ascii="宋体" w:hAnsi="宋体"/>
          <w:b/>
          <w:color w:val="000000" w:themeColor="text1"/>
          <w:sz w:val="28"/>
          <w:szCs w:val="28"/>
          <w:highlight w:val="none"/>
          <w:u w:val="single"/>
          <w14:textFill>
            <w14:solidFill>
              <w14:schemeClr w14:val="tx1"/>
            </w14:solidFill>
          </w14:textFill>
        </w:rPr>
        <w:t>成都市双流区规划和自然资源局地下管线普查成果更新采购项目</w:t>
      </w:r>
      <w:r>
        <w:rPr>
          <w:rFonts w:hint="eastAsia" w:ascii="宋体" w:hAnsi="宋体"/>
          <w:color w:val="000000" w:themeColor="text1"/>
          <w:spacing w:val="6"/>
          <w:sz w:val="28"/>
          <w:szCs w:val="28"/>
          <w:highlight w:val="none"/>
          <w14:textFill>
            <w14:solidFill>
              <w14:schemeClr w14:val="tx1"/>
            </w14:solidFill>
          </w14:textFill>
        </w:rPr>
        <w:t>，属于</w:t>
      </w:r>
      <w:r>
        <w:rPr>
          <w:rFonts w:hint="eastAsia" w:ascii="宋体" w:hAnsi="宋体"/>
          <w:sz w:val="28"/>
          <w:szCs w:val="28"/>
          <w:highlight w:val="none"/>
        </w:rPr>
        <w:t>其他未列明行业（专业技术服务）</w:t>
      </w:r>
      <w:r>
        <w:rPr>
          <w:rFonts w:hint="eastAsia" w:ascii="宋体" w:hAnsi="宋体"/>
          <w:color w:val="000000" w:themeColor="text1"/>
          <w:spacing w:val="6"/>
          <w:sz w:val="28"/>
          <w:szCs w:val="28"/>
          <w:highlight w:val="none"/>
          <w14:textFill>
            <w14:solidFill>
              <w14:schemeClr w14:val="tx1"/>
            </w14:solidFill>
          </w14:textFill>
        </w:rPr>
        <w:t>；承接企业为</w:t>
      </w:r>
      <w:r>
        <w:rPr>
          <w:rFonts w:ascii="宋体" w:hAnsi="宋体"/>
          <w:color w:val="000000" w:themeColor="text1"/>
          <w:spacing w:val="6"/>
          <w:sz w:val="28"/>
          <w:szCs w:val="28"/>
          <w:highlight w:val="none"/>
          <w:u w:val="single"/>
          <w14:textFill>
            <w14:solidFill>
              <w14:schemeClr w14:val="tx1"/>
            </w14:solidFill>
          </w14:textFill>
        </w:rPr>
        <w:t>XXX</w:t>
      </w:r>
      <w:r>
        <w:rPr>
          <w:rFonts w:hint="eastAsia" w:ascii="宋体" w:hAnsi="宋体"/>
          <w:color w:val="000000" w:themeColor="text1"/>
          <w:spacing w:val="6"/>
          <w:sz w:val="28"/>
          <w:szCs w:val="28"/>
          <w:highlight w:val="none"/>
          <w:u w:val="single"/>
          <w14:textFill>
            <w14:solidFill>
              <w14:schemeClr w14:val="tx1"/>
            </w14:solidFill>
          </w14:textFill>
        </w:rPr>
        <w:t>X</w:t>
      </w:r>
      <w:r>
        <w:rPr>
          <w:rFonts w:ascii="宋体" w:hAnsi="宋体"/>
          <w:color w:val="000000" w:themeColor="text1"/>
          <w:spacing w:val="6"/>
          <w:sz w:val="28"/>
          <w:szCs w:val="28"/>
          <w:highlight w:val="none"/>
          <w:u w:val="single"/>
          <w14:textFill>
            <w14:solidFill>
              <w14:schemeClr w14:val="tx1"/>
            </w14:solidFill>
          </w14:textFill>
        </w:rPr>
        <w:t>（企业名称）</w:t>
      </w:r>
      <w:r>
        <w:rPr>
          <w:rFonts w:hint="eastAsia" w:ascii="宋体" w:hAnsi="宋体"/>
          <w:color w:val="000000" w:themeColor="text1"/>
          <w:spacing w:val="6"/>
          <w:sz w:val="28"/>
          <w:szCs w:val="28"/>
          <w:highlight w:val="none"/>
          <w14:textFill>
            <w14:solidFill>
              <w14:schemeClr w14:val="tx1"/>
            </w14:solidFill>
          </w14:textFill>
        </w:rPr>
        <w:t>，从业人员</w:t>
      </w:r>
      <w:r>
        <w:rPr>
          <w:rFonts w:ascii="宋体" w:hAnsi="宋体"/>
          <w:color w:val="000000" w:themeColor="text1"/>
          <w:spacing w:val="6"/>
          <w:sz w:val="28"/>
          <w:szCs w:val="28"/>
          <w:highlight w:val="none"/>
          <w:u w:val="single"/>
          <w14:textFill>
            <w14:solidFill>
              <w14:schemeClr w14:val="tx1"/>
            </w14:solidFill>
          </w14:textFill>
        </w:rPr>
        <w:t>XX</w:t>
      </w:r>
      <w:r>
        <w:rPr>
          <w:rFonts w:hint="eastAsia" w:ascii="宋体" w:hAnsi="宋体"/>
          <w:color w:val="000000" w:themeColor="text1"/>
          <w:spacing w:val="6"/>
          <w:sz w:val="28"/>
          <w:szCs w:val="28"/>
          <w:highlight w:val="none"/>
          <w14:textFill>
            <w14:solidFill>
              <w14:schemeClr w14:val="tx1"/>
            </w14:solidFill>
          </w14:textFill>
        </w:rPr>
        <w:t>人，营业收入为</w:t>
      </w:r>
      <w:r>
        <w:rPr>
          <w:rFonts w:ascii="宋体" w:hAnsi="宋体"/>
          <w:color w:val="000000" w:themeColor="text1"/>
          <w:spacing w:val="6"/>
          <w:sz w:val="28"/>
          <w:szCs w:val="28"/>
          <w:highlight w:val="none"/>
          <w:u w:val="single"/>
          <w14:textFill>
            <w14:solidFill>
              <w14:schemeClr w14:val="tx1"/>
            </w14:solidFill>
          </w14:textFill>
        </w:rPr>
        <w:t>XX</w:t>
      </w:r>
      <w:r>
        <w:rPr>
          <w:rFonts w:hint="eastAsia" w:ascii="宋体" w:hAnsi="宋体"/>
          <w:color w:val="000000" w:themeColor="text1"/>
          <w:spacing w:val="6"/>
          <w:sz w:val="28"/>
          <w:szCs w:val="28"/>
          <w:highlight w:val="none"/>
          <w14:textFill>
            <w14:solidFill>
              <w14:schemeClr w14:val="tx1"/>
            </w14:solidFill>
          </w14:textFill>
        </w:rPr>
        <w:t>万元，资产总额为</w:t>
      </w:r>
      <w:r>
        <w:rPr>
          <w:rFonts w:ascii="宋体" w:hAnsi="宋体"/>
          <w:color w:val="000000" w:themeColor="text1"/>
          <w:spacing w:val="6"/>
          <w:sz w:val="28"/>
          <w:szCs w:val="28"/>
          <w:highlight w:val="none"/>
          <w:u w:val="single"/>
          <w14:textFill>
            <w14:solidFill>
              <w14:schemeClr w14:val="tx1"/>
            </w14:solidFill>
          </w14:textFill>
        </w:rPr>
        <w:t>XX</w:t>
      </w:r>
      <w:r>
        <w:rPr>
          <w:rFonts w:hint="eastAsia" w:ascii="宋体" w:hAnsi="宋体"/>
          <w:color w:val="000000" w:themeColor="text1"/>
          <w:spacing w:val="6"/>
          <w:sz w:val="28"/>
          <w:szCs w:val="28"/>
          <w:highlight w:val="none"/>
          <w14:textFill>
            <w14:solidFill>
              <w14:schemeClr w14:val="tx1"/>
            </w14:solidFill>
          </w14:textFill>
        </w:rPr>
        <w:t>万元，属于</w:t>
      </w:r>
      <w:r>
        <w:rPr>
          <w:rFonts w:ascii="宋体" w:hAnsi="宋体"/>
          <w:color w:val="000000" w:themeColor="text1"/>
          <w:spacing w:val="6"/>
          <w:sz w:val="28"/>
          <w:szCs w:val="28"/>
          <w:highlight w:val="none"/>
          <w:u w:val="single"/>
          <w14:textFill>
            <w14:solidFill>
              <w14:schemeClr w14:val="tx1"/>
            </w14:solidFill>
          </w14:textFill>
        </w:rPr>
        <w:t>XXXX（中型企业、小型企业、微型企业）</w:t>
      </w:r>
      <w:r>
        <w:rPr>
          <w:rFonts w:hint="eastAsia" w:ascii="宋体" w:hAnsi="宋体"/>
          <w:color w:val="000000" w:themeColor="text1"/>
          <w:spacing w:val="6"/>
          <w:sz w:val="28"/>
          <w:szCs w:val="28"/>
          <w:highlight w:val="none"/>
          <w14:textFill>
            <w14:solidFill>
              <w14:schemeClr w14:val="tx1"/>
            </w14:solidFill>
          </w14:textFill>
        </w:rPr>
        <w:t>。</w:t>
      </w:r>
    </w:p>
    <w:p>
      <w:pPr>
        <w:tabs>
          <w:tab w:val="left" w:pos="1134"/>
        </w:tabs>
        <w:spacing w:line="500" w:lineRule="exact"/>
        <w:ind w:firstLine="584" w:firstLineChars="200"/>
        <w:rPr>
          <w:rFonts w:ascii="宋体" w:hAnsi="宋体"/>
          <w:color w:val="000000" w:themeColor="text1"/>
          <w:spacing w:val="6"/>
          <w:sz w:val="28"/>
          <w:szCs w:val="28"/>
          <w:highlight w:val="none"/>
          <w14:textFill>
            <w14:solidFill>
              <w14:schemeClr w14:val="tx1"/>
            </w14:solidFill>
          </w14:textFill>
        </w:rPr>
      </w:pPr>
      <w:r>
        <w:rPr>
          <w:rFonts w:hint="eastAsia" w:ascii="宋体" w:hAnsi="宋体"/>
          <w:color w:val="000000" w:themeColor="text1"/>
          <w:spacing w:val="6"/>
          <w:sz w:val="28"/>
          <w:szCs w:val="28"/>
          <w:highlight w:val="none"/>
          <w14:textFill>
            <w14:solidFill>
              <w14:schemeClr w14:val="tx1"/>
            </w14:solidFill>
          </w14:textFill>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color w:val="000000" w:themeColor="text1"/>
          <w:spacing w:val="6"/>
          <w:sz w:val="28"/>
          <w:szCs w:val="28"/>
          <w:highlight w:val="none"/>
          <w14:textFill>
            <w14:solidFill>
              <w14:schemeClr w14:val="tx1"/>
            </w14:solidFill>
          </w14:textFill>
        </w:rPr>
      </w:pPr>
      <w:r>
        <w:rPr>
          <w:rFonts w:hint="eastAsia" w:ascii="宋体" w:hAnsi="宋体"/>
          <w:color w:val="000000" w:themeColor="text1"/>
          <w:spacing w:val="6"/>
          <w:sz w:val="28"/>
          <w:szCs w:val="28"/>
          <w:highlight w:val="none"/>
          <w14:textFill>
            <w14:solidFill>
              <w14:schemeClr w14:val="tx1"/>
            </w14:solidFill>
          </w14:textFill>
        </w:rPr>
        <w:t>本企业对上述声明内容的真实性负责。如有虚假，将依法承担相应责任。</w:t>
      </w:r>
    </w:p>
    <w:p>
      <w:pPr>
        <w:spacing w:line="500" w:lineRule="exact"/>
        <w:rPr>
          <w:rFonts w:ascii="宋体" w:hAnsi="宋体"/>
          <w:b/>
          <w:color w:val="000000" w:themeColor="text1"/>
          <w:spacing w:val="6"/>
          <w:sz w:val="28"/>
          <w:szCs w:val="28"/>
          <w:highlight w:val="none"/>
          <w14:textFill>
            <w14:solidFill>
              <w14:schemeClr w14:val="tx1"/>
            </w14:solidFill>
          </w14:textFill>
        </w:rPr>
      </w:pPr>
    </w:p>
    <w:p>
      <w:pPr>
        <w:spacing w:line="500" w:lineRule="exact"/>
        <w:ind w:firstLine="586" w:firstLineChars="200"/>
        <w:rPr>
          <w:rFonts w:ascii="宋体" w:hAnsi="宋体"/>
          <w:b/>
          <w:color w:val="000000" w:themeColor="text1"/>
          <w:spacing w:val="6"/>
          <w:sz w:val="28"/>
          <w:szCs w:val="28"/>
          <w:highlight w:val="none"/>
          <w14:textFill>
            <w14:solidFill>
              <w14:schemeClr w14:val="tx1"/>
            </w14:solidFill>
          </w14:textFill>
        </w:rPr>
      </w:pPr>
    </w:p>
    <w:p>
      <w:pPr>
        <w:spacing w:line="500" w:lineRule="exact"/>
        <w:ind w:firstLine="586" w:firstLineChars="200"/>
        <w:rPr>
          <w:rFonts w:ascii="宋体" w:hAnsi="宋体"/>
          <w:b/>
          <w:color w:val="000000" w:themeColor="text1"/>
          <w:spacing w:val="6"/>
          <w:sz w:val="28"/>
          <w:szCs w:val="28"/>
          <w:highlight w:val="none"/>
          <w14:textFill>
            <w14:solidFill>
              <w14:schemeClr w14:val="tx1"/>
            </w14:solidFill>
          </w14:textFill>
        </w:rPr>
      </w:pPr>
    </w:p>
    <w:p>
      <w:pPr>
        <w:tabs>
          <w:tab w:val="left" w:pos="3969"/>
        </w:tabs>
        <w:spacing w:line="500" w:lineRule="exact"/>
        <w:ind w:right="-58" w:firstLine="584" w:firstLineChars="200"/>
        <w:jc w:val="left"/>
        <w:rPr>
          <w:rFonts w:ascii="宋体" w:hAnsi="宋体"/>
          <w:color w:val="000000" w:themeColor="text1"/>
          <w:spacing w:val="6"/>
          <w:sz w:val="28"/>
          <w:szCs w:val="28"/>
          <w:highlight w:val="none"/>
          <w14:textFill>
            <w14:solidFill>
              <w14:schemeClr w14:val="tx1"/>
            </w14:solidFill>
          </w14:textFill>
        </w:rPr>
      </w:pPr>
      <w:r>
        <w:rPr>
          <w:rFonts w:hint="eastAsia" w:ascii="宋体" w:hAnsi="宋体"/>
          <w:color w:val="000000" w:themeColor="text1"/>
          <w:spacing w:val="6"/>
          <w:sz w:val="28"/>
          <w:szCs w:val="28"/>
          <w:highlight w:val="none"/>
          <w14:textFill>
            <w14:solidFill>
              <w14:schemeClr w14:val="tx1"/>
            </w14:solidFill>
          </w14:textFill>
        </w:rPr>
        <w:t>企业名称：</w:t>
      </w:r>
      <w:r>
        <w:rPr>
          <w:rFonts w:ascii="宋体" w:hAnsi="宋体"/>
          <w:color w:val="000000" w:themeColor="text1"/>
          <w:sz w:val="28"/>
          <w:szCs w:val="28"/>
          <w:highlight w:val="none"/>
          <w:u w:val="single"/>
          <w14:textFill>
            <w14:solidFill>
              <w14:schemeClr w14:val="tx1"/>
            </w14:solidFill>
          </w14:textFill>
        </w:rPr>
        <w:t>XXXX</w:t>
      </w:r>
      <w:r>
        <w:rPr>
          <w:rFonts w:ascii="宋体" w:hAnsi="宋体"/>
          <w:color w:val="000000" w:themeColor="text1"/>
          <w:spacing w:val="6"/>
          <w:sz w:val="28"/>
          <w:szCs w:val="28"/>
          <w:highlight w:val="none"/>
          <w14:textFill>
            <w14:solidFill>
              <w14:schemeClr w14:val="tx1"/>
            </w14:solidFill>
          </w14:textFill>
        </w:rPr>
        <w:t xml:space="preserve"> </w:t>
      </w:r>
    </w:p>
    <w:p>
      <w:pPr>
        <w:tabs>
          <w:tab w:val="left" w:pos="3969"/>
        </w:tabs>
        <w:spacing w:line="500" w:lineRule="exact"/>
        <w:ind w:right="-58" w:firstLine="584" w:firstLineChars="200"/>
        <w:jc w:val="left"/>
        <w:rPr>
          <w:color w:val="000000" w:themeColor="text1"/>
          <w:sz w:val="28"/>
          <w:szCs w:val="28"/>
          <w:highlight w:val="none"/>
          <w14:textFill>
            <w14:solidFill>
              <w14:schemeClr w14:val="tx1"/>
            </w14:solidFill>
          </w14:textFill>
        </w:rPr>
      </w:pPr>
      <w:r>
        <w:rPr>
          <w:rFonts w:hint="eastAsia" w:ascii="宋体" w:hAnsi="宋体"/>
          <w:color w:val="000000" w:themeColor="text1"/>
          <w:spacing w:val="6"/>
          <w:sz w:val="28"/>
          <w:szCs w:val="28"/>
          <w:highlight w:val="none"/>
          <w14:textFill>
            <w14:solidFill>
              <w14:schemeClr w14:val="tx1"/>
            </w14:solidFill>
          </w14:textFill>
        </w:rPr>
        <w:t>日</w:t>
      </w:r>
      <w:r>
        <w:rPr>
          <w:rFonts w:ascii="宋体" w:hAnsi="宋体"/>
          <w:color w:val="000000" w:themeColor="text1"/>
          <w:spacing w:val="6"/>
          <w:sz w:val="28"/>
          <w:szCs w:val="28"/>
          <w:highlight w:val="none"/>
          <w14:textFill>
            <w14:solidFill>
              <w14:schemeClr w14:val="tx1"/>
            </w14:solidFill>
          </w14:textFill>
        </w:rPr>
        <w:t xml:space="preserve">  </w:t>
      </w:r>
      <w:r>
        <w:rPr>
          <w:rFonts w:hint="eastAsia" w:ascii="宋体" w:hAnsi="宋体"/>
          <w:color w:val="000000" w:themeColor="text1"/>
          <w:spacing w:val="6"/>
          <w:sz w:val="28"/>
          <w:szCs w:val="28"/>
          <w:highlight w:val="none"/>
          <w14:textFill>
            <w14:solidFill>
              <w14:schemeClr w14:val="tx1"/>
            </w14:solidFill>
          </w14:textFill>
        </w:rPr>
        <w:t>期：</w:t>
      </w:r>
      <w:r>
        <w:rPr>
          <w:rFonts w:ascii="宋体" w:hAnsi="宋体"/>
          <w:color w:val="000000" w:themeColor="text1"/>
          <w:sz w:val="28"/>
          <w:szCs w:val="28"/>
          <w:highlight w:val="none"/>
          <w14:textFill>
            <w14:solidFill>
              <w14:schemeClr w14:val="tx1"/>
            </w14:solidFill>
          </w14:textFill>
        </w:rPr>
        <w:t>20</w:t>
      </w:r>
      <w:r>
        <w:rPr>
          <w:rFonts w:ascii="宋体" w:hAnsi="宋体"/>
          <w:color w:val="000000" w:themeColor="text1"/>
          <w:sz w:val="28"/>
          <w:szCs w:val="28"/>
          <w:highlight w:val="none"/>
          <w:u w:val="single"/>
          <w14:textFill>
            <w14:solidFill>
              <w14:schemeClr w14:val="tx1"/>
            </w14:solidFill>
          </w14:textFill>
        </w:rPr>
        <w:t>XX</w:t>
      </w:r>
      <w:r>
        <w:rPr>
          <w:rFonts w:ascii="宋体" w:hAnsi="宋体"/>
          <w:color w:val="000000" w:themeColor="text1"/>
          <w:sz w:val="28"/>
          <w:szCs w:val="28"/>
          <w:highlight w:val="none"/>
          <w14:textFill>
            <w14:solidFill>
              <w14:schemeClr w14:val="tx1"/>
            </w14:solidFill>
          </w14:textFill>
        </w:rPr>
        <w:t>年</w:t>
      </w:r>
      <w:r>
        <w:rPr>
          <w:rFonts w:ascii="宋体" w:hAnsi="宋体"/>
          <w:color w:val="000000" w:themeColor="text1"/>
          <w:sz w:val="28"/>
          <w:szCs w:val="28"/>
          <w:highlight w:val="none"/>
          <w:u w:val="single"/>
          <w14:textFill>
            <w14:solidFill>
              <w14:schemeClr w14:val="tx1"/>
            </w14:solidFill>
          </w14:textFill>
        </w:rPr>
        <w:t>XX</w:t>
      </w:r>
      <w:r>
        <w:rPr>
          <w:rFonts w:ascii="宋体" w:hAnsi="宋体"/>
          <w:color w:val="000000" w:themeColor="text1"/>
          <w:sz w:val="28"/>
          <w:szCs w:val="28"/>
          <w:highlight w:val="none"/>
          <w14:textFill>
            <w14:solidFill>
              <w14:schemeClr w14:val="tx1"/>
            </w14:solidFill>
          </w14:textFill>
        </w:rPr>
        <w:t>月</w:t>
      </w:r>
      <w:r>
        <w:rPr>
          <w:rFonts w:ascii="宋体" w:hAnsi="宋体"/>
          <w:color w:val="000000" w:themeColor="text1"/>
          <w:sz w:val="28"/>
          <w:szCs w:val="28"/>
          <w:highlight w:val="none"/>
          <w:u w:val="single"/>
          <w14:textFill>
            <w14:solidFill>
              <w14:schemeClr w14:val="tx1"/>
            </w14:solidFill>
          </w14:textFill>
        </w:rPr>
        <w:t>XX</w:t>
      </w:r>
      <w:r>
        <w:rPr>
          <w:rFonts w:ascii="宋体" w:hAnsi="宋体"/>
          <w:color w:val="000000" w:themeColor="text1"/>
          <w:sz w:val="28"/>
          <w:szCs w:val="28"/>
          <w:highlight w:val="none"/>
          <w14:textFill>
            <w14:solidFill>
              <w14:schemeClr w14:val="tx1"/>
            </w14:solidFill>
          </w14:textFill>
        </w:rPr>
        <w:t>日</w:t>
      </w:r>
    </w:p>
    <w:p>
      <w:pPr>
        <w:pStyle w:val="85"/>
        <w:tabs>
          <w:tab w:val="left" w:pos="567"/>
          <w:tab w:val="left" w:pos="709"/>
          <w:tab w:val="left" w:pos="851"/>
        </w:tabs>
        <w:spacing w:before="60" w:line="360" w:lineRule="auto"/>
        <w:ind w:firstLine="562"/>
        <w:rPr>
          <w:rFonts w:hint="eastAsia" w:ascii="宋体" w:hAnsi="宋体" w:eastAsiaTheme="minorEastAsia"/>
          <w:b/>
          <w:color w:val="000000" w:themeColor="text1"/>
          <w:sz w:val="28"/>
          <w:szCs w:val="28"/>
          <w:highlight w:val="none"/>
          <w:lang w:val="en-US" w:eastAsia="zh-CN"/>
          <w14:textFill>
            <w14:solidFill>
              <w14:schemeClr w14:val="tx1"/>
            </w14:solidFill>
          </w14:textFill>
        </w:rPr>
      </w:pPr>
      <w:r>
        <w:rPr>
          <w:rFonts w:hint="eastAsia" w:ascii="宋体" w:hAnsi="宋体"/>
          <w:b/>
          <w:color w:val="000000" w:themeColor="text1"/>
          <w:kern w:val="0"/>
          <w:sz w:val="28"/>
          <w:szCs w:val="28"/>
          <w:highlight w:val="none"/>
          <w14:textFill>
            <w14:solidFill>
              <w14:schemeClr w14:val="tx1"/>
            </w14:solidFill>
          </w14:textFill>
        </w:rPr>
        <w:t>说明：</w:t>
      </w:r>
      <w:r>
        <w:rPr>
          <w:rFonts w:hint="eastAsia" w:ascii="宋体" w:hAnsi="宋体"/>
          <w:b/>
          <w:color w:val="000000" w:themeColor="text1"/>
          <w:kern w:val="0"/>
          <w:sz w:val="28"/>
          <w:szCs w:val="28"/>
          <w:highlight w:val="none"/>
          <w:lang w:val="en-US" w:eastAsia="zh-CN"/>
          <w14:textFill>
            <w14:solidFill>
              <w14:schemeClr w14:val="tx1"/>
            </w14:solidFill>
          </w14:textFill>
        </w:rPr>
        <w:t>1、</w:t>
      </w:r>
      <w:r>
        <w:rPr>
          <w:rFonts w:ascii="宋体" w:hAnsi="宋体"/>
          <w:b/>
          <w:color w:val="000000" w:themeColor="text1"/>
          <w:sz w:val="28"/>
          <w:szCs w:val="28"/>
          <w:highlight w:val="none"/>
          <w14:textFill>
            <w14:solidFill>
              <w14:schemeClr w14:val="tx1"/>
            </w14:solidFill>
          </w14:textFill>
        </w:rPr>
        <w:t>从业人员、营业收入、资产总额填报上</w:t>
      </w:r>
      <w:r>
        <w:rPr>
          <w:rFonts w:hint="eastAsia" w:ascii="宋体" w:hAnsi="宋体"/>
          <w:b/>
          <w:color w:val="000000" w:themeColor="text1"/>
          <w:sz w:val="28"/>
          <w:szCs w:val="28"/>
          <w:highlight w:val="none"/>
          <w14:textFill>
            <w14:solidFill>
              <w14:schemeClr w14:val="tx1"/>
            </w14:solidFill>
          </w14:textFill>
        </w:rPr>
        <w:t>一</w:t>
      </w:r>
      <w:r>
        <w:rPr>
          <w:rFonts w:ascii="宋体" w:hAnsi="宋体"/>
          <w:b/>
          <w:color w:val="000000" w:themeColor="text1"/>
          <w:sz w:val="28"/>
          <w:szCs w:val="28"/>
          <w:highlight w:val="none"/>
          <w14:textFill>
            <w14:solidFill>
              <w14:schemeClr w14:val="tx1"/>
            </w14:solidFill>
          </w14:textFill>
        </w:rPr>
        <w:t>年度数据，无上一年度</w:t>
      </w:r>
      <w:r>
        <w:rPr>
          <w:rFonts w:hint="eastAsia" w:ascii="宋体" w:hAnsi="宋体"/>
          <w:b/>
          <w:color w:val="000000" w:themeColor="text1"/>
          <w:sz w:val="28"/>
          <w:szCs w:val="28"/>
          <w:highlight w:val="none"/>
          <w14:textFill>
            <w14:solidFill>
              <w14:schemeClr w14:val="tx1"/>
            </w14:solidFill>
          </w14:textFill>
        </w:rPr>
        <w:t>数据</w:t>
      </w:r>
      <w:r>
        <w:rPr>
          <w:rFonts w:ascii="宋体" w:hAnsi="宋体"/>
          <w:b/>
          <w:color w:val="000000" w:themeColor="text1"/>
          <w:sz w:val="28"/>
          <w:szCs w:val="28"/>
          <w:highlight w:val="none"/>
          <w14:textFill>
            <w14:solidFill>
              <w14:schemeClr w14:val="tx1"/>
            </w14:solidFill>
          </w14:textFill>
        </w:rPr>
        <w:t>的新成立企业可不填报。</w:t>
      </w:r>
      <w:r>
        <w:rPr>
          <w:rFonts w:hint="eastAsia" w:ascii="宋体" w:hAnsi="宋体"/>
          <w:b/>
          <w:color w:val="000000" w:themeColor="text1"/>
          <w:sz w:val="28"/>
          <w:szCs w:val="28"/>
          <w:highlight w:val="none"/>
          <w:lang w:val="en-US" w:eastAsia="zh-CN"/>
          <w14:textFill>
            <w14:solidFill>
              <w14:schemeClr w14:val="tx1"/>
            </w14:solidFill>
          </w14:textFill>
        </w:rPr>
        <w:t>2、</w:t>
      </w:r>
      <w:r>
        <w:rPr>
          <w:rFonts w:hint="eastAsia" w:ascii="宋体" w:hAnsi="宋体"/>
          <w:b/>
          <w:color w:val="000000" w:themeColor="text1"/>
          <w:sz w:val="28"/>
          <w:szCs w:val="28"/>
          <w:highlight w:val="none"/>
          <w14:textFill>
            <w14:solidFill>
              <w14:schemeClr w14:val="tx1"/>
            </w14:solidFill>
          </w14:textFill>
        </w:rPr>
        <w:t>非专门面向中小企业采购的项目，如未提供</w:t>
      </w:r>
      <w:r>
        <w:rPr>
          <w:rFonts w:hint="eastAsia" w:ascii="宋体" w:hAnsi="宋体"/>
          <w:b/>
          <w:color w:val="000000" w:themeColor="text1"/>
          <w:sz w:val="28"/>
          <w:szCs w:val="28"/>
          <w:highlight w:val="none"/>
          <w:lang w:eastAsia="zh-CN"/>
          <w14:textFill>
            <w14:solidFill>
              <w14:schemeClr w14:val="tx1"/>
            </w14:solidFill>
          </w14:textFill>
        </w:rPr>
        <w:t>中小企业声明函</w:t>
      </w:r>
      <w:r>
        <w:rPr>
          <w:rFonts w:hint="eastAsia" w:ascii="宋体" w:hAnsi="宋体"/>
          <w:b/>
          <w:color w:val="000000" w:themeColor="text1"/>
          <w:sz w:val="28"/>
          <w:szCs w:val="28"/>
          <w:highlight w:val="none"/>
          <w14:textFill>
            <w14:solidFill>
              <w14:schemeClr w14:val="tx1"/>
            </w14:solidFill>
          </w14:textFill>
        </w:rPr>
        <w:t>或声明函签字盖章等不符合</w:t>
      </w:r>
      <w:r>
        <w:rPr>
          <w:rFonts w:hint="eastAsia" w:ascii="宋体" w:hAnsi="宋体"/>
          <w:b/>
          <w:color w:val="000000" w:themeColor="text1"/>
          <w:sz w:val="28"/>
          <w:szCs w:val="28"/>
          <w:highlight w:val="none"/>
          <w:lang w:eastAsia="zh-CN"/>
          <w14:textFill>
            <w14:solidFill>
              <w14:schemeClr w14:val="tx1"/>
            </w14:solidFill>
          </w14:textFill>
        </w:rPr>
        <w:t>招标</w:t>
      </w:r>
      <w:r>
        <w:rPr>
          <w:rFonts w:hint="eastAsia" w:ascii="宋体" w:hAnsi="宋体"/>
          <w:b/>
          <w:color w:val="000000" w:themeColor="text1"/>
          <w:sz w:val="28"/>
          <w:szCs w:val="28"/>
          <w:highlight w:val="none"/>
          <w14:textFill>
            <w14:solidFill>
              <w14:schemeClr w14:val="tx1"/>
            </w14:solidFill>
          </w14:textFill>
        </w:rPr>
        <w:t>文件要求的，不能享受</w:t>
      </w:r>
      <w:r>
        <w:rPr>
          <w:rFonts w:hint="eastAsia" w:ascii="宋体" w:hAnsi="宋体"/>
          <w:b/>
          <w:color w:val="000000" w:themeColor="text1"/>
          <w:sz w:val="28"/>
          <w:szCs w:val="28"/>
          <w:highlight w:val="none"/>
          <w:lang w:eastAsia="zh-CN"/>
          <w14:textFill>
            <w14:solidFill>
              <w14:schemeClr w14:val="tx1"/>
            </w14:solidFill>
          </w14:textFill>
        </w:rPr>
        <w:t>招标</w:t>
      </w:r>
      <w:r>
        <w:rPr>
          <w:rFonts w:hint="eastAsia" w:ascii="宋体" w:hAnsi="宋体"/>
          <w:b/>
          <w:color w:val="000000" w:themeColor="text1"/>
          <w:sz w:val="28"/>
          <w:szCs w:val="28"/>
          <w:highlight w:val="none"/>
          <w14:textFill>
            <w14:solidFill>
              <w14:schemeClr w14:val="tx1"/>
            </w14:solidFill>
          </w14:textFill>
        </w:rPr>
        <w:t>文件规定的价格扣除，但不影响供应商</w:t>
      </w:r>
      <w:r>
        <w:rPr>
          <w:rFonts w:hint="eastAsia" w:ascii="宋体" w:hAnsi="宋体"/>
          <w:b/>
          <w:color w:val="000000" w:themeColor="text1"/>
          <w:sz w:val="28"/>
          <w:szCs w:val="28"/>
          <w:highlight w:val="none"/>
          <w:lang w:eastAsia="zh-CN"/>
          <w14:textFill>
            <w14:solidFill>
              <w14:schemeClr w14:val="tx1"/>
            </w14:solidFill>
          </w14:textFill>
        </w:rPr>
        <w:t>投标</w:t>
      </w:r>
      <w:r>
        <w:rPr>
          <w:rFonts w:hint="eastAsia" w:ascii="宋体" w:hAnsi="宋体"/>
          <w:b/>
          <w:color w:val="000000" w:themeColor="text1"/>
          <w:sz w:val="28"/>
          <w:szCs w:val="28"/>
          <w:highlight w:val="none"/>
          <w14:textFill>
            <w14:solidFill>
              <w14:schemeClr w14:val="tx1"/>
            </w14:solidFill>
          </w14:textFill>
        </w:rPr>
        <w:t>文件的有效性。</w:t>
      </w:r>
    </w:p>
    <w:p>
      <w:pPr>
        <w:pStyle w:val="6"/>
        <w:numPr>
          <w:ilvl w:val="2"/>
          <w:numId w:val="3"/>
        </w:numPr>
        <w:spacing w:after="200" w:line="240" w:lineRule="auto"/>
        <w:ind w:left="85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残疾人福利性单位声明函</w:t>
      </w:r>
    </w:p>
    <w:p>
      <w:pPr>
        <w:spacing w:line="500" w:lineRule="exact"/>
        <w:jc w:val="center"/>
        <w:rPr>
          <w:rFonts w:ascii="宋体" w:hAnsi="宋体"/>
          <w:b/>
          <w:color w:val="000000" w:themeColor="text1"/>
          <w:spacing w:val="6"/>
          <w:sz w:val="28"/>
          <w:szCs w:val="28"/>
          <w:highlight w:val="none"/>
          <w14:textFill>
            <w14:solidFill>
              <w14:schemeClr w14:val="tx1"/>
            </w14:solidFill>
          </w14:textFill>
        </w:rPr>
      </w:pPr>
      <w:r>
        <w:rPr>
          <w:rFonts w:hint="eastAsia" w:ascii="宋体" w:hAnsi="宋体"/>
          <w:b/>
          <w:color w:val="000000" w:themeColor="text1"/>
          <w:spacing w:val="6"/>
          <w:sz w:val="28"/>
          <w:szCs w:val="28"/>
          <w:highlight w:val="none"/>
          <w14:textFill>
            <w14:solidFill>
              <w14:schemeClr w14:val="tx1"/>
            </w14:solidFill>
          </w14:textFill>
        </w:rPr>
        <w:t>残疾人福利性单位声明函</w:t>
      </w:r>
    </w:p>
    <w:p>
      <w:pPr>
        <w:spacing w:line="440" w:lineRule="exact"/>
        <w:rPr>
          <w:rFonts w:ascii="仿宋_GB2312" w:eastAsia="仿宋_GB2312"/>
          <w:b/>
          <w:color w:val="000000" w:themeColor="text1"/>
          <w:spacing w:val="6"/>
          <w:sz w:val="30"/>
          <w:szCs w:val="30"/>
          <w:highlight w:val="none"/>
          <w14:textFill>
            <w14:solidFill>
              <w14:schemeClr w14:val="tx1"/>
            </w14:solidFill>
          </w14:textFill>
        </w:rPr>
      </w:pPr>
    </w:p>
    <w:p>
      <w:pPr>
        <w:tabs>
          <w:tab w:val="left" w:pos="1134"/>
        </w:tabs>
        <w:spacing w:line="500" w:lineRule="exact"/>
        <w:ind w:firstLine="584" w:firstLineChars="200"/>
        <w:rPr>
          <w:rFonts w:ascii="宋体" w:hAnsi="宋体"/>
          <w:color w:val="000000" w:themeColor="text1"/>
          <w:spacing w:val="6"/>
          <w:sz w:val="28"/>
          <w:szCs w:val="28"/>
          <w:highlight w:val="none"/>
          <w14:textFill>
            <w14:solidFill>
              <w14:schemeClr w14:val="tx1"/>
            </w14:solidFill>
          </w14:textFill>
        </w:rPr>
      </w:pPr>
      <w:r>
        <w:rPr>
          <w:rFonts w:hint="eastAsia" w:ascii="宋体" w:hAnsi="宋体"/>
          <w:color w:val="000000" w:themeColor="text1"/>
          <w:spacing w:val="6"/>
          <w:sz w:val="28"/>
          <w:szCs w:val="28"/>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color w:val="000000" w:themeColor="text1"/>
          <w:sz w:val="28"/>
          <w:szCs w:val="28"/>
          <w:highlight w:val="none"/>
          <w:u w:val="single"/>
          <w14:textFill>
            <w14:solidFill>
              <w14:schemeClr w14:val="tx1"/>
            </w14:solidFill>
          </w14:textFill>
        </w:rPr>
        <w:t>成都市双流区规划和自然资源局</w:t>
      </w:r>
      <w:r>
        <w:rPr>
          <w:rFonts w:hint="eastAsia" w:ascii="宋体" w:hAnsi="宋体"/>
          <w:color w:val="000000" w:themeColor="text1"/>
          <w:spacing w:val="6"/>
          <w:sz w:val="28"/>
          <w:szCs w:val="28"/>
          <w:highlight w:val="none"/>
          <w14:textFill>
            <w14:solidFill>
              <w14:schemeClr w14:val="tx1"/>
            </w14:solidFill>
          </w14:textFill>
        </w:rPr>
        <w:t>单位的</w:t>
      </w:r>
      <w:r>
        <w:rPr>
          <w:rFonts w:hint="eastAsia" w:ascii="宋体" w:hAnsi="宋体"/>
          <w:b/>
          <w:color w:val="000000" w:themeColor="text1"/>
          <w:sz w:val="28"/>
          <w:szCs w:val="28"/>
          <w:highlight w:val="none"/>
          <w:u w:val="single"/>
          <w14:textFill>
            <w14:solidFill>
              <w14:schemeClr w14:val="tx1"/>
            </w14:solidFill>
          </w14:textFill>
        </w:rPr>
        <w:t>成都市双流区规划和自然资源局地下管线普查成果更新采购</w:t>
      </w:r>
      <w:r>
        <w:rPr>
          <w:rFonts w:hint="eastAsia" w:ascii="宋体" w:hAnsi="宋体"/>
          <w:color w:val="000000" w:themeColor="text1"/>
          <w:spacing w:val="6"/>
          <w:sz w:val="28"/>
          <w:szCs w:val="28"/>
          <w:highlight w:val="none"/>
          <w14:textFill>
            <w14:solidFill>
              <w14:schemeClr w14:val="tx1"/>
            </w14:solidFill>
          </w14:textFill>
        </w:rPr>
        <w:t>项目</w:t>
      </w:r>
      <w:r>
        <w:rPr>
          <w:rFonts w:hint="eastAsia" w:ascii="宋体" w:hAnsi="宋体"/>
          <w:b/>
          <w:color w:val="000000" w:themeColor="text1"/>
          <w:sz w:val="28"/>
          <w:szCs w:val="28"/>
          <w:highlight w:val="none"/>
          <w:u w:val="single"/>
          <w14:textFill>
            <w14:solidFill>
              <w14:schemeClr w14:val="tx1"/>
            </w14:solidFill>
          </w14:textFill>
        </w:rPr>
        <w:t>包件号：XXX</w:t>
      </w:r>
      <w:r>
        <w:rPr>
          <w:rFonts w:hint="eastAsia" w:ascii="宋体" w:hAnsi="宋体"/>
          <w:color w:val="000000" w:themeColor="text1"/>
          <w:spacing w:val="6"/>
          <w:sz w:val="28"/>
          <w:szCs w:val="28"/>
          <w:highlight w:val="none"/>
          <w14:textFill>
            <w14:solidFill>
              <w14:schemeClr w14:val="tx1"/>
            </w14:solidFill>
          </w14:textFill>
        </w:rPr>
        <w:t>采购活动由本单位提供服务。</w:t>
      </w:r>
    </w:p>
    <w:p>
      <w:pPr>
        <w:tabs>
          <w:tab w:val="left" w:pos="1134"/>
        </w:tabs>
        <w:spacing w:line="500" w:lineRule="exact"/>
        <w:ind w:firstLine="584" w:firstLineChars="200"/>
        <w:rPr>
          <w:rFonts w:ascii="宋体" w:hAnsi="宋体"/>
          <w:color w:val="000000" w:themeColor="text1"/>
          <w:spacing w:val="6"/>
          <w:sz w:val="28"/>
          <w:szCs w:val="28"/>
          <w:highlight w:val="none"/>
          <w14:textFill>
            <w14:solidFill>
              <w14:schemeClr w14:val="tx1"/>
            </w14:solidFill>
          </w14:textFill>
        </w:rPr>
      </w:pPr>
      <w:r>
        <w:rPr>
          <w:rFonts w:hint="eastAsia" w:ascii="宋体" w:hAnsi="宋体"/>
          <w:color w:val="000000" w:themeColor="text1"/>
          <w:spacing w:val="6"/>
          <w:sz w:val="28"/>
          <w:szCs w:val="28"/>
          <w:highlight w:val="none"/>
          <w14:textFill>
            <w14:solidFill>
              <w14:schemeClr w14:val="tx1"/>
            </w14:solidFill>
          </w14:textFill>
        </w:rPr>
        <w:t>本单位对上述声明的真实性负责。如有虚假，将依法承担相应责任。</w:t>
      </w:r>
    </w:p>
    <w:p>
      <w:pPr>
        <w:overflowPunct w:val="0"/>
        <w:spacing w:line="520" w:lineRule="exact"/>
        <w:ind w:firstLine="560" w:firstLineChars="200"/>
        <w:rPr>
          <w:rFonts w:ascii="Times New Roman" w:hAnsi="Times New Roman" w:eastAsia="仿宋_GB2312"/>
          <w:bCs/>
          <w:color w:val="000000" w:themeColor="text1"/>
          <w:sz w:val="28"/>
          <w:szCs w:val="28"/>
          <w:highlight w:val="none"/>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highlight w:val="none"/>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highlight w:val="none"/>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highlight w:val="none"/>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highlight w:val="none"/>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highlight w:val="none"/>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highlight w:val="none"/>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highlight w:val="none"/>
          <w14:textFill>
            <w14:solidFill>
              <w14:schemeClr w14:val="tx1"/>
            </w14:solidFill>
          </w14:textFill>
        </w:rPr>
      </w:pPr>
    </w:p>
    <w:p>
      <w:pPr>
        <w:tabs>
          <w:tab w:val="left" w:pos="3969"/>
        </w:tabs>
        <w:spacing w:line="500" w:lineRule="exact"/>
        <w:ind w:right="-58" w:firstLine="584" w:firstLineChars="200"/>
        <w:jc w:val="left"/>
        <w:rPr>
          <w:rFonts w:ascii="宋体" w:hAnsi="宋体"/>
          <w:color w:val="000000" w:themeColor="text1"/>
          <w:spacing w:val="6"/>
          <w:sz w:val="28"/>
          <w:szCs w:val="28"/>
          <w:highlight w:val="none"/>
          <w14:textFill>
            <w14:solidFill>
              <w14:schemeClr w14:val="tx1"/>
            </w14:solidFill>
          </w14:textFill>
        </w:rPr>
      </w:pPr>
      <w:r>
        <w:rPr>
          <w:rFonts w:hint="eastAsia" w:ascii="宋体" w:hAnsi="宋体"/>
          <w:color w:val="000000" w:themeColor="text1"/>
          <w:spacing w:val="6"/>
          <w:sz w:val="28"/>
          <w:szCs w:val="28"/>
          <w:highlight w:val="none"/>
          <w14:textFill>
            <w14:solidFill>
              <w14:schemeClr w14:val="tx1"/>
            </w14:solidFill>
          </w14:textFill>
        </w:rPr>
        <w:t>单位名称：</w:t>
      </w:r>
      <w:r>
        <w:rPr>
          <w:rFonts w:ascii="宋体" w:hAnsi="宋体"/>
          <w:color w:val="000000" w:themeColor="text1"/>
          <w:sz w:val="28"/>
          <w:szCs w:val="28"/>
          <w:highlight w:val="none"/>
          <w:u w:val="single"/>
          <w14:textFill>
            <w14:solidFill>
              <w14:schemeClr w14:val="tx1"/>
            </w14:solidFill>
          </w14:textFill>
        </w:rPr>
        <w:t>XXXX</w:t>
      </w:r>
      <w:r>
        <w:rPr>
          <w:rFonts w:ascii="宋体" w:hAnsi="宋体"/>
          <w:color w:val="000000" w:themeColor="text1"/>
          <w:spacing w:val="6"/>
          <w:sz w:val="28"/>
          <w:szCs w:val="28"/>
          <w:highlight w:val="none"/>
          <w14:textFill>
            <w14:solidFill>
              <w14:schemeClr w14:val="tx1"/>
            </w14:solidFill>
          </w14:textFill>
        </w:rPr>
        <w:t xml:space="preserve"> </w:t>
      </w:r>
    </w:p>
    <w:p>
      <w:pPr>
        <w:tabs>
          <w:tab w:val="left" w:pos="3969"/>
        </w:tabs>
        <w:spacing w:line="500" w:lineRule="exact"/>
        <w:ind w:right="-58" w:firstLine="584" w:firstLineChars="200"/>
        <w:jc w:val="left"/>
        <w:rPr>
          <w:color w:val="000000" w:themeColor="text1"/>
          <w:sz w:val="28"/>
          <w:szCs w:val="28"/>
          <w:highlight w:val="none"/>
          <w14:textFill>
            <w14:solidFill>
              <w14:schemeClr w14:val="tx1"/>
            </w14:solidFill>
          </w14:textFill>
        </w:rPr>
      </w:pPr>
      <w:r>
        <w:rPr>
          <w:rFonts w:hint="eastAsia" w:ascii="宋体" w:hAnsi="宋体"/>
          <w:color w:val="000000" w:themeColor="text1"/>
          <w:spacing w:val="6"/>
          <w:sz w:val="28"/>
          <w:szCs w:val="28"/>
          <w:highlight w:val="none"/>
          <w14:textFill>
            <w14:solidFill>
              <w14:schemeClr w14:val="tx1"/>
            </w14:solidFill>
          </w14:textFill>
        </w:rPr>
        <w:t>日</w:t>
      </w:r>
      <w:r>
        <w:rPr>
          <w:rFonts w:ascii="宋体" w:hAnsi="宋体"/>
          <w:color w:val="000000" w:themeColor="text1"/>
          <w:spacing w:val="6"/>
          <w:sz w:val="28"/>
          <w:szCs w:val="28"/>
          <w:highlight w:val="none"/>
          <w14:textFill>
            <w14:solidFill>
              <w14:schemeClr w14:val="tx1"/>
            </w14:solidFill>
          </w14:textFill>
        </w:rPr>
        <w:t xml:space="preserve">  </w:t>
      </w:r>
      <w:r>
        <w:rPr>
          <w:rFonts w:hint="eastAsia" w:ascii="宋体" w:hAnsi="宋体"/>
          <w:color w:val="000000" w:themeColor="text1"/>
          <w:spacing w:val="6"/>
          <w:sz w:val="28"/>
          <w:szCs w:val="28"/>
          <w:highlight w:val="none"/>
          <w14:textFill>
            <w14:solidFill>
              <w14:schemeClr w14:val="tx1"/>
            </w14:solidFill>
          </w14:textFill>
        </w:rPr>
        <w:t>期：</w:t>
      </w:r>
      <w:r>
        <w:rPr>
          <w:rFonts w:ascii="宋体" w:hAnsi="宋体"/>
          <w:color w:val="000000" w:themeColor="text1"/>
          <w:sz w:val="28"/>
          <w:szCs w:val="28"/>
          <w:highlight w:val="none"/>
          <w14:textFill>
            <w14:solidFill>
              <w14:schemeClr w14:val="tx1"/>
            </w14:solidFill>
          </w14:textFill>
        </w:rPr>
        <w:t>20</w:t>
      </w:r>
      <w:r>
        <w:rPr>
          <w:rFonts w:ascii="宋体" w:hAnsi="宋体"/>
          <w:color w:val="000000" w:themeColor="text1"/>
          <w:sz w:val="28"/>
          <w:szCs w:val="28"/>
          <w:highlight w:val="none"/>
          <w:u w:val="single"/>
          <w14:textFill>
            <w14:solidFill>
              <w14:schemeClr w14:val="tx1"/>
            </w14:solidFill>
          </w14:textFill>
        </w:rPr>
        <w:t>XX</w:t>
      </w:r>
      <w:r>
        <w:rPr>
          <w:rFonts w:ascii="宋体" w:hAnsi="宋体"/>
          <w:color w:val="000000" w:themeColor="text1"/>
          <w:sz w:val="28"/>
          <w:szCs w:val="28"/>
          <w:highlight w:val="none"/>
          <w14:textFill>
            <w14:solidFill>
              <w14:schemeClr w14:val="tx1"/>
            </w14:solidFill>
          </w14:textFill>
        </w:rPr>
        <w:t>年</w:t>
      </w:r>
      <w:r>
        <w:rPr>
          <w:rFonts w:ascii="宋体" w:hAnsi="宋体"/>
          <w:color w:val="000000" w:themeColor="text1"/>
          <w:sz w:val="28"/>
          <w:szCs w:val="28"/>
          <w:highlight w:val="none"/>
          <w:u w:val="single"/>
          <w14:textFill>
            <w14:solidFill>
              <w14:schemeClr w14:val="tx1"/>
            </w14:solidFill>
          </w14:textFill>
        </w:rPr>
        <w:t>XX</w:t>
      </w:r>
      <w:r>
        <w:rPr>
          <w:rFonts w:ascii="宋体" w:hAnsi="宋体"/>
          <w:color w:val="000000" w:themeColor="text1"/>
          <w:sz w:val="28"/>
          <w:szCs w:val="28"/>
          <w:highlight w:val="none"/>
          <w14:textFill>
            <w14:solidFill>
              <w14:schemeClr w14:val="tx1"/>
            </w14:solidFill>
          </w14:textFill>
        </w:rPr>
        <w:t>月</w:t>
      </w:r>
      <w:r>
        <w:rPr>
          <w:rFonts w:ascii="宋体" w:hAnsi="宋体"/>
          <w:color w:val="000000" w:themeColor="text1"/>
          <w:sz w:val="28"/>
          <w:szCs w:val="28"/>
          <w:highlight w:val="none"/>
          <w:u w:val="single"/>
          <w14:textFill>
            <w14:solidFill>
              <w14:schemeClr w14:val="tx1"/>
            </w14:solidFill>
          </w14:textFill>
        </w:rPr>
        <w:t>XX</w:t>
      </w:r>
      <w:r>
        <w:rPr>
          <w:rFonts w:ascii="宋体" w:hAnsi="宋体"/>
          <w:color w:val="000000" w:themeColor="text1"/>
          <w:sz w:val="28"/>
          <w:szCs w:val="28"/>
          <w:highlight w:val="none"/>
          <w14:textFill>
            <w14:solidFill>
              <w14:schemeClr w14:val="tx1"/>
            </w14:solidFill>
          </w14:textFill>
        </w:rPr>
        <w:t>日</w:t>
      </w:r>
    </w:p>
    <w:p>
      <w:pPr>
        <w:ind w:firstLine="563"/>
        <w:rPr>
          <w:rFonts w:ascii="宋体" w:hAnsi="宋体"/>
          <w:b/>
          <w:color w:val="000000" w:themeColor="text1"/>
          <w:kern w:val="0"/>
          <w:sz w:val="28"/>
          <w:szCs w:val="28"/>
          <w:highlight w:val="none"/>
          <w14:textFill>
            <w14:solidFill>
              <w14:schemeClr w14:val="tx1"/>
            </w14:solidFill>
          </w14:textFill>
        </w:rPr>
      </w:pPr>
    </w:p>
    <w:p>
      <w:pPr>
        <w:pStyle w:val="209"/>
        <w:rPr>
          <w:color w:val="000000" w:themeColor="text1"/>
          <w:highlight w:val="none"/>
          <w14:textFill>
            <w14:solidFill>
              <w14:schemeClr w14:val="tx1"/>
            </w14:solidFill>
          </w14:textFill>
        </w:rPr>
      </w:pPr>
    </w:p>
    <w:p>
      <w:pPr>
        <w:pStyle w:val="209"/>
        <w:rPr>
          <w:color w:val="000000" w:themeColor="text1"/>
          <w:highlight w:val="none"/>
          <w14:textFill>
            <w14:solidFill>
              <w14:schemeClr w14:val="tx1"/>
            </w14:solidFill>
          </w14:textFill>
        </w:rPr>
      </w:pPr>
      <w:r>
        <w:rPr>
          <w:rFonts w:hint="eastAsia" w:ascii="宋体" w:hAnsi="宋体"/>
          <w:bCs/>
          <w:color w:val="000000" w:themeColor="text1"/>
          <w:sz w:val="28"/>
          <w:szCs w:val="28"/>
          <w:lang w:eastAsia="zh-CN"/>
          <w14:textFill>
            <w14:solidFill>
              <w14:schemeClr w14:val="tx1"/>
            </w14:solidFill>
          </w14:textFill>
        </w:rPr>
        <w:t>说明：</w:t>
      </w:r>
      <w:r>
        <w:rPr>
          <w:rFonts w:hint="eastAsia" w:ascii="宋体" w:hAnsi="宋体"/>
          <w:bCs/>
          <w:color w:val="000000" w:themeColor="text1"/>
          <w:sz w:val="28"/>
          <w:szCs w:val="28"/>
          <w14:textFill>
            <w14:solidFill>
              <w14:schemeClr w14:val="tx1"/>
            </w14:solidFill>
          </w14:textFill>
        </w:rPr>
        <w:t>非专门面向中小企业采购的项目，如未提供残疾人福利性单位声明函或声明函签字盖章等不符合</w:t>
      </w:r>
      <w:r>
        <w:rPr>
          <w:rFonts w:hint="eastAsia" w:ascii="宋体" w:hAnsi="宋体"/>
          <w:bCs/>
          <w:color w:val="000000" w:themeColor="text1"/>
          <w:sz w:val="28"/>
          <w:szCs w:val="28"/>
          <w:lang w:eastAsia="zh-CN"/>
          <w14:textFill>
            <w14:solidFill>
              <w14:schemeClr w14:val="tx1"/>
            </w14:solidFill>
          </w14:textFill>
        </w:rPr>
        <w:t>招标</w:t>
      </w:r>
      <w:r>
        <w:rPr>
          <w:rFonts w:hint="eastAsia" w:ascii="宋体" w:hAnsi="宋体"/>
          <w:bCs/>
          <w:color w:val="000000" w:themeColor="text1"/>
          <w:sz w:val="28"/>
          <w:szCs w:val="28"/>
          <w14:textFill>
            <w14:solidFill>
              <w14:schemeClr w14:val="tx1"/>
            </w14:solidFill>
          </w14:textFill>
        </w:rPr>
        <w:t>文件要求的，不能享受</w:t>
      </w:r>
      <w:r>
        <w:rPr>
          <w:rFonts w:hint="eastAsia" w:ascii="宋体" w:hAnsi="宋体"/>
          <w:bCs/>
          <w:color w:val="000000" w:themeColor="text1"/>
          <w:sz w:val="28"/>
          <w:szCs w:val="28"/>
          <w:lang w:eastAsia="zh-CN"/>
          <w14:textFill>
            <w14:solidFill>
              <w14:schemeClr w14:val="tx1"/>
            </w14:solidFill>
          </w14:textFill>
        </w:rPr>
        <w:t>招标</w:t>
      </w:r>
      <w:r>
        <w:rPr>
          <w:rFonts w:hint="eastAsia" w:ascii="宋体" w:hAnsi="宋体"/>
          <w:bCs/>
          <w:color w:val="000000" w:themeColor="text1"/>
          <w:sz w:val="28"/>
          <w:szCs w:val="28"/>
          <w14:textFill>
            <w14:solidFill>
              <w14:schemeClr w14:val="tx1"/>
            </w14:solidFill>
          </w14:textFill>
        </w:rPr>
        <w:t>文件规定的价格扣除，但不影响供应商</w:t>
      </w:r>
      <w:r>
        <w:rPr>
          <w:rFonts w:hint="eastAsia" w:ascii="宋体" w:hAnsi="宋体"/>
          <w:bCs/>
          <w:color w:val="000000" w:themeColor="text1"/>
          <w:sz w:val="28"/>
          <w:szCs w:val="28"/>
          <w:lang w:eastAsia="zh-CN"/>
          <w14:textFill>
            <w14:solidFill>
              <w14:schemeClr w14:val="tx1"/>
            </w14:solidFill>
          </w14:textFill>
        </w:rPr>
        <w:t>投标</w:t>
      </w:r>
      <w:r>
        <w:rPr>
          <w:rFonts w:hint="eastAsia" w:ascii="宋体" w:hAnsi="宋体"/>
          <w:bCs/>
          <w:color w:val="000000" w:themeColor="text1"/>
          <w:sz w:val="28"/>
          <w:szCs w:val="28"/>
          <w14:textFill>
            <w14:solidFill>
              <w14:schemeClr w14:val="tx1"/>
            </w14:solidFill>
          </w14:textFill>
        </w:rPr>
        <w:t>文件的有效性。</w:t>
      </w:r>
    </w:p>
    <w:p>
      <w:pPr>
        <w:pStyle w:val="209"/>
        <w:rPr>
          <w:color w:val="000000" w:themeColor="text1"/>
          <w:highlight w:val="none"/>
          <w14:textFill>
            <w14:solidFill>
              <w14:schemeClr w14:val="tx1"/>
            </w14:solidFill>
          </w14:textFill>
        </w:rPr>
      </w:pPr>
    </w:p>
    <w:p>
      <w:pPr>
        <w:pStyle w:val="209"/>
        <w:rPr>
          <w:color w:val="000000" w:themeColor="text1"/>
          <w:highlight w:val="none"/>
          <w14:textFill>
            <w14:solidFill>
              <w14:schemeClr w14:val="tx1"/>
            </w14:solidFill>
          </w14:textFill>
        </w:rPr>
      </w:pPr>
    </w:p>
    <w:p>
      <w:pPr>
        <w:pStyle w:val="6"/>
        <w:numPr>
          <w:ilvl w:val="2"/>
          <w:numId w:val="3"/>
        </w:numPr>
        <w:spacing w:after="200" w:line="240" w:lineRule="auto"/>
        <w:ind w:left="85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供应商基本情况表</w:t>
      </w:r>
      <w:bookmarkEnd w:id="236"/>
    </w:p>
    <w:tbl>
      <w:tblPr>
        <w:tblStyle w:val="43"/>
        <w:tblW w:w="852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977"/>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供应商名称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color w:val="000000" w:themeColor="text1"/>
                <w:kern w:val="0"/>
                <w:szCs w:val="21"/>
                <w:highlight w:val="none"/>
                <w14:textFill>
                  <w14:solidFill>
                    <w14:schemeClr w14:val="tx1"/>
                  </w14:solidFill>
                </w14:textFill>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jc w:val="center"/>
              <w:rPr>
                <w:rFonts w:ascii="宋体" w:hAnsi="宋体"/>
                <w:bCs/>
                <w:color w:val="000000" w:themeColor="text1"/>
                <w:kern w:val="0"/>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ind w:firstLine="1470" w:firstLineChars="7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000000" w:themeColor="text1"/>
                <w:kern w:val="0"/>
                <w:szCs w:val="21"/>
                <w:highlight w:val="none"/>
                <w14:textFill>
                  <w14:solidFill>
                    <w14:schemeClr w14:val="tx1"/>
                  </w14:solidFill>
                </w14:textFill>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000000" w:themeColor="text1"/>
                <w:kern w:val="0"/>
                <w:szCs w:val="21"/>
                <w:highlight w:val="none"/>
                <w14:textFill>
                  <w14:solidFill>
                    <w14:schemeClr w14:val="tx1"/>
                  </w14:solidFill>
                </w14:textFill>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000000" w:themeColor="text1"/>
                <w:kern w:val="0"/>
                <w:szCs w:val="21"/>
                <w:highlight w:val="none"/>
                <w14:textFill>
                  <w14:solidFill>
                    <w14:schemeClr w14:val="tx1"/>
                  </w14:solidFill>
                </w14:textFill>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000000" w:themeColor="text1"/>
                <w:kern w:val="0"/>
                <w:szCs w:val="21"/>
                <w:highlight w:val="none"/>
                <w14:textFill>
                  <w14:solidFill>
                    <w14:schemeClr w14:val="tx1"/>
                  </w14:solidFill>
                </w14:textFill>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37"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rPr>
                <w:rFonts w:ascii="宋体" w:hAnsi="宋体"/>
                <w:bCs/>
                <w:color w:val="000000" w:themeColor="text1"/>
                <w:kern w:val="0"/>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jc w:val="left"/>
              <w:rPr>
                <w:rFonts w:ascii="宋体" w:hAnsi="宋体"/>
                <w:color w:val="000000" w:themeColor="text1"/>
                <w:kern w:val="0"/>
                <w:szCs w:val="21"/>
                <w:highlight w:val="none"/>
                <w14:textFill>
                  <w14:solidFill>
                    <w14:schemeClr w14:val="tx1"/>
                  </w14:solidFill>
                </w14:textFill>
              </w:rPr>
            </w:pPr>
          </w:p>
        </w:tc>
      </w:tr>
    </w:tbl>
    <w:p>
      <w:pPr>
        <w:adjustRightInd w:val="0"/>
        <w:jc w:val="left"/>
        <w:rPr>
          <w:rFonts w:ascii="宋体" w:hAnsi="宋体"/>
          <w:bCs/>
          <w:color w:val="000000" w:themeColor="text1"/>
          <w:sz w:val="28"/>
          <w:szCs w:val="28"/>
          <w:highlight w:val="none"/>
          <w14:textFill>
            <w14:solidFill>
              <w14:schemeClr w14:val="tx1"/>
            </w14:solidFill>
          </w14:textFill>
        </w:rPr>
      </w:pPr>
    </w:p>
    <w:p>
      <w:pPr>
        <w:pStyle w:val="26"/>
        <w:spacing w:line="240" w:lineRule="auto"/>
        <w:ind w:firstLine="288" w:firstLineChars="103"/>
        <w:rPr>
          <w:rFonts w:ascii="宋体" w:hAnsi="宋体"/>
          <w:bCs/>
          <w:color w:val="000000" w:themeColor="text1"/>
          <w:sz w:val="28"/>
          <w:szCs w:val="28"/>
          <w:highlight w:val="non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供应商名称：XXXX</w:t>
      </w:r>
    </w:p>
    <w:p>
      <w:pPr>
        <w:adjustRightInd w:val="0"/>
        <w:ind w:firstLine="700" w:firstLineChars="250"/>
        <w:jc w:val="left"/>
        <w:rPr>
          <w:rFonts w:ascii="宋体" w:hAnsi="宋体"/>
          <w:bCs/>
          <w:color w:val="000000" w:themeColor="text1"/>
          <w:sz w:val="28"/>
          <w:szCs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日期：</w:t>
      </w:r>
      <w:r>
        <w:rPr>
          <w:rFonts w:hint="eastAsia" w:ascii="宋体" w:hAnsi="宋体"/>
          <w:bCs/>
          <w:color w:val="000000" w:themeColor="text1"/>
          <w:sz w:val="28"/>
          <w:highlight w:val="none"/>
          <w14:textFill>
            <w14:solidFill>
              <w14:schemeClr w14:val="tx1"/>
            </w14:solidFill>
          </w14:textFill>
        </w:rPr>
        <w:t>20XX年XX</w:t>
      </w:r>
      <w:r>
        <w:rPr>
          <w:rFonts w:hint="eastAsia" w:ascii="宋体" w:hAnsi="宋体"/>
          <w:bCs/>
          <w:color w:val="000000" w:themeColor="text1"/>
          <w:sz w:val="28"/>
          <w:szCs w:val="28"/>
          <w:highlight w:val="none"/>
          <w14:textFill>
            <w14:solidFill>
              <w14:schemeClr w14:val="tx1"/>
            </w14:solidFill>
          </w14:textFill>
        </w:rPr>
        <w:t>月</w:t>
      </w:r>
      <w:r>
        <w:rPr>
          <w:rFonts w:hint="eastAsia" w:ascii="宋体" w:hAnsi="宋体"/>
          <w:bCs/>
          <w:color w:val="000000" w:themeColor="text1"/>
          <w:sz w:val="28"/>
          <w:highlight w:val="none"/>
          <w14:textFill>
            <w14:solidFill>
              <w14:schemeClr w14:val="tx1"/>
            </w14:solidFill>
          </w14:textFill>
        </w:rPr>
        <w:t>XX</w:t>
      </w:r>
      <w:r>
        <w:rPr>
          <w:rFonts w:hint="eastAsia" w:ascii="宋体" w:hAnsi="宋体"/>
          <w:bCs/>
          <w:color w:val="000000" w:themeColor="text1"/>
          <w:sz w:val="28"/>
          <w:szCs w:val="28"/>
          <w:highlight w:val="none"/>
          <w14:textFill>
            <w14:solidFill>
              <w14:schemeClr w14:val="tx1"/>
            </w14:solidFill>
          </w14:textFill>
        </w:rPr>
        <w:t>日</w:t>
      </w:r>
      <w:bookmarkEnd w:id="237"/>
      <w:bookmarkEnd w:id="238"/>
      <w:bookmarkEnd w:id="239"/>
      <w:bookmarkStart w:id="241" w:name="_Toc220299404"/>
      <w:bookmarkStart w:id="242" w:name="_Toc263768873"/>
      <w:bookmarkStart w:id="243" w:name="_Toc263753615"/>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6"/>
        <w:numPr>
          <w:ilvl w:val="2"/>
          <w:numId w:val="3"/>
        </w:numPr>
        <w:spacing w:after="200" w:line="240" w:lineRule="auto"/>
        <w:ind w:left="85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服务方案及服务承诺</w:t>
      </w:r>
    </w:p>
    <w:p>
      <w:pPr>
        <w:snapToGrid w:val="0"/>
        <w:rPr>
          <w:rFonts w:ascii="宋体" w:hAnsi="宋体"/>
          <w:b/>
          <w:color w:val="000000" w:themeColor="text1"/>
          <w:spacing w:val="-20"/>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项目名称：</w:t>
      </w:r>
      <w:r>
        <w:rPr>
          <w:rFonts w:hint="eastAsia" w:ascii="宋体" w:hAnsi="宋体"/>
          <w:b/>
          <w:color w:val="000000" w:themeColor="text1"/>
          <w:sz w:val="28"/>
          <w:szCs w:val="28"/>
          <w:highlight w:val="none"/>
          <w:u w:val="single"/>
          <w14:textFill>
            <w14:solidFill>
              <w14:schemeClr w14:val="tx1"/>
            </w14:solidFill>
          </w14:textFill>
        </w:rPr>
        <w:t>成都市双流区规划和自然资源局地下管线普查成果更新采购项目</w:t>
      </w:r>
    </w:p>
    <w:p>
      <w:pPr>
        <w:snapToGrid w:val="0"/>
        <w:rPr>
          <w:rFonts w:ascii="宋体" w:hAnsi="宋体"/>
          <w:b/>
          <w:color w:val="000000" w:themeColor="text1"/>
          <w:sz w:val="28"/>
          <w:szCs w:val="28"/>
          <w:highlight w:val="none"/>
          <w:u w:val="singl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项目编号：</w:t>
      </w:r>
      <w:r>
        <w:rPr>
          <w:rFonts w:hint="eastAsia" w:ascii="宋体" w:hAnsi="宋体"/>
          <w:b/>
          <w:color w:val="000000" w:themeColor="text1"/>
          <w:sz w:val="28"/>
          <w:szCs w:val="28"/>
          <w:highlight w:val="none"/>
          <w:u w:val="single"/>
          <w14:textFill>
            <w14:solidFill>
              <w14:schemeClr w14:val="tx1"/>
            </w14:solidFill>
          </w14:textFill>
        </w:rPr>
        <w:t>双流政采（2021）A0048号</w:t>
      </w:r>
    </w:p>
    <w:p>
      <w:pPr>
        <w:pStyle w:val="26"/>
        <w:spacing w:line="240" w:lineRule="auto"/>
        <w:ind w:left="0" w:leftChars="0"/>
        <w:rPr>
          <w:rFonts w:ascii="宋体" w:hAnsi="宋体"/>
          <w:b/>
          <w:color w:val="000000" w:themeColor="text1"/>
          <w:kern w:val="2"/>
          <w:sz w:val="28"/>
          <w:szCs w:val="28"/>
          <w:highlight w:val="none"/>
          <w14:textFill>
            <w14:solidFill>
              <w14:schemeClr w14:val="tx1"/>
            </w14:solidFill>
          </w14:textFill>
        </w:rPr>
      </w:pPr>
      <w:r>
        <w:rPr>
          <w:rFonts w:hint="eastAsia" w:ascii="宋体" w:hAnsi="宋体"/>
          <w:b/>
          <w:color w:val="000000" w:themeColor="text1"/>
          <w:kern w:val="2"/>
          <w:sz w:val="28"/>
          <w:szCs w:val="28"/>
          <w:highlight w:val="none"/>
          <w14:textFill>
            <w14:solidFill>
              <w14:schemeClr w14:val="tx1"/>
            </w14:solidFill>
          </w14:textFill>
        </w:rPr>
        <w:t>包件号：XXX</w:t>
      </w:r>
    </w:p>
    <w:p>
      <w:pPr>
        <w:pStyle w:val="26"/>
        <w:spacing w:line="240" w:lineRule="auto"/>
        <w:rPr>
          <w:rFonts w:ascii="宋体" w:hAnsi="宋体"/>
          <w:bCs/>
          <w:color w:val="000000" w:themeColor="text1"/>
          <w:sz w:val="28"/>
          <w:szCs w:val="28"/>
          <w:highlight w:val="none"/>
          <w14:textFill>
            <w14:solidFill>
              <w14:schemeClr w14:val="tx1"/>
            </w14:solidFill>
          </w14:textFill>
        </w:rPr>
      </w:pPr>
    </w:p>
    <w:p>
      <w:pPr>
        <w:pStyle w:val="26"/>
        <w:spacing w:line="240" w:lineRule="auto"/>
        <w:rPr>
          <w:rFonts w:ascii="宋体" w:hAnsi="宋体"/>
          <w:bCs/>
          <w:color w:val="000000" w:themeColor="text1"/>
          <w:sz w:val="28"/>
          <w:szCs w:val="28"/>
          <w:highlight w:val="none"/>
          <w14:textFill>
            <w14:solidFill>
              <w14:schemeClr w14:val="tx1"/>
            </w14:solidFill>
          </w14:textFill>
        </w:rPr>
      </w:pPr>
    </w:p>
    <w:p>
      <w:pPr>
        <w:pStyle w:val="26"/>
        <w:spacing w:line="240" w:lineRule="auto"/>
        <w:rPr>
          <w:rFonts w:ascii="宋体" w:hAnsi="宋体"/>
          <w:bCs/>
          <w:color w:val="000000" w:themeColor="text1"/>
          <w:sz w:val="28"/>
          <w:szCs w:val="28"/>
          <w:highlight w:val="none"/>
          <w14:textFill>
            <w14:solidFill>
              <w14:schemeClr w14:val="tx1"/>
            </w14:solidFill>
          </w14:textFill>
        </w:rPr>
      </w:pPr>
    </w:p>
    <w:p>
      <w:pPr>
        <w:pStyle w:val="26"/>
        <w:spacing w:line="240" w:lineRule="auto"/>
        <w:rPr>
          <w:rFonts w:ascii="宋体" w:hAnsi="宋体"/>
          <w:bCs/>
          <w:color w:val="000000" w:themeColor="text1"/>
          <w:sz w:val="28"/>
          <w:szCs w:val="28"/>
          <w:highlight w:val="none"/>
          <w14:textFill>
            <w14:solidFill>
              <w14:schemeClr w14:val="tx1"/>
            </w14:solidFill>
          </w14:textFill>
        </w:rPr>
      </w:pPr>
    </w:p>
    <w:p>
      <w:pPr>
        <w:pStyle w:val="26"/>
        <w:spacing w:line="240" w:lineRule="auto"/>
        <w:rPr>
          <w:rFonts w:ascii="宋体" w:hAnsi="宋体"/>
          <w:bCs/>
          <w:color w:val="000000" w:themeColor="text1"/>
          <w:sz w:val="28"/>
          <w:szCs w:val="28"/>
          <w:highlight w:val="none"/>
          <w14:textFill>
            <w14:solidFill>
              <w14:schemeClr w14:val="tx1"/>
            </w14:solidFill>
          </w14:textFill>
        </w:rPr>
      </w:pPr>
    </w:p>
    <w:p>
      <w:pPr>
        <w:pStyle w:val="26"/>
        <w:spacing w:line="240" w:lineRule="auto"/>
        <w:rPr>
          <w:rFonts w:ascii="宋体" w:hAnsi="宋体"/>
          <w:bCs/>
          <w:color w:val="000000" w:themeColor="text1"/>
          <w:sz w:val="28"/>
          <w:szCs w:val="28"/>
          <w:highlight w:val="none"/>
          <w14:textFill>
            <w14:solidFill>
              <w14:schemeClr w14:val="tx1"/>
            </w14:solidFill>
          </w14:textFill>
        </w:rPr>
      </w:pPr>
    </w:p>
    <w:p>
      <w:pPr>
        <w:pStyle w:val="26"/>
        <w:spacing w:line="240" w:lineRule="auto"/>
        <w:rPr>
          <w:rFonts w:ascii="宋体" w:hAnsi="宋体"/>
          <w:bCs/>
          <w:color w:val="000000" w:themeColor="text1"/>
          <w:sz w:val="28"/>
          <w:szCs w:val="28"/>
          <w:highlight w:val="none"/>
          <w14:textFill>
            <w14:solidFill>
              <w14:schemeClr w14:val="tx1"/>
            </w14:solidFill>
          </w14:textFill>
        </w:rPr>
      </w:pPr>
    </w:p>
    <w:p>
      <w:pPr>
        <w:pStyle w:val="26"/>
        <w:spacing w:line="240" w:lineRule="auto"/>
        <w:rPr>
          <w:rFonts w:ascii="宋体" w:hAnsi="宋体"/>
          <w:bCs/>
          <w:color w:val="000000" w:themeColor="text1"/>
          <w:sz w:val="28"/>
          <w:szCs w:val="28"/>
          <w:highlight w:val="none"/>
          <w14:textFill>
            <w14:solidFill>
              <w14:schemeClr w14:val="tx1"/>
            </w14:solidFill>
          </w14:textFill>
        </w:rPr>
      </w:pPr>
    </w:p>
    <w:p>
      <w:pPr>
        <w:pStyle w:val="26"/>
        <w:spacing w:line="240" w:lineRule="auto"/>
        <w:rPr>
          <w:rFonts w:ascii="宋体" w:hAnsi="宋体"/>
          <w:bCs/>
          <w:color w:val="000000" w:themeColor="text1"/>
          <w:sz w:val="28"/>
          <w:szCs w:val="28"/>
          <w:highlight w:val="none"/>
          <w14:textFill>
            <w14:solidFill>
              <w14:schemeClr w14:val="tx1"/>
            </w14:solidFill>
          </w14:textFill>
        </w:rPr>
      </w:pPr>
    </w:p>
    <w:p>
      <w:pPr>
        <w:pStyle w:val="26"/>
        <w:spacing w:line="240" w:lineRule="auto"/>
        <w:rPr>
          <w:rFonts w:ascii="宋体" w:hAnsi="宋体"/>
          <w:bCs/>
          <w:color w:val="000000" w:themeColor="text1"/>
          <w:sz w:val="28"/>
          <w:szCs w:val="28"/>
          <w:highlight w:val="non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供应商名称：XXXX</w:t>
      </w:r>
    </w:p>
    <w:p>
      <w:pPr>
        <w:adjustRightInd w:val="0"/>
        <w:ind w:firstLine="420" w:firstLineChars="150"/>
        <w:jc w:val="left"/>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日期：20XX年XX月XX日</w:t>
      </w: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6"/>
        <w:numPr>
          <w:ilvl w:val="2"/>
          <w:numId w:val="3"/>
        </w:numPr>
        <w:spacing w:after="200" w:line="240" w:lineRule="auto"/>
        <w:ind w:left="851"/>
        <w:rPr>
          <w:bCs w:val="0"/>
          <w:color w:val="000000" w:themeColor="text1"/>
          <w:highlight w:val="none"/>
          <w14:textFill>
            <w14:solidFill>
              <w14:schemeClr w14:val="tx1"/>
            </w14:solidFill>
          </w14:textFill>
        </w:rPr>
      </w:pPr>
      <w:r>
        <w:rPr>
          <w:rFonts w:hint="eastAsia"/>
          <w:bCs w:val="0"/>
          <w:color w:val="000000" w:themeColor="text1"/>
          <w:highlight w:val="none"/>
          <w14:textFill>
            <w14:solidFill>
              <w14:schemeClr w14:val="tx1"/>
            </w14:solidFill>
          </w14:textFill>
        </w:rPr>
        <w:t>承诺函</w:t>
      </w:r>
    </w:p>
    <w:p>
      <w:pPr>
        <w:snapToGrid w:val="0"/>
        <w:rPr>
          <w:rFonts w:ascii="宋体" w:hAnsi="宋体"/>
          <w:b/>
          <w:color w:val="000000" w:themeColor="text1"/>
          <w:spacing w:val="-20"/>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项目名称：</w:t>
      </w:r>
      <w:r>
        <w:rPr>
          <w:rFonts w:hint="eastAsia" w:ascii="宋体" w:hAnsi="宋体"/>
          <w:b/>
          <w:color w:val="000000" w:themeColor="text1"/>
          <w:sz w:val="28"/>
          <w:szCs w:val="28"/>
          <w:highlight w:val="none"/>
          <w:u w:val="single"/>
          <w14:textFill>
            <w14:solidFill>
              <w14:schemeClr w14:val="tx1"/>
            </w14:solidFill>
          </w14:textFill>
        </w:rPr>
        <w:t>成都市双流区规划和自然资源局地下管线普查成果更新采购项目</w:t>
      </w:r>
    </w:p>
    <w:p>
      <w:pPr>
        <w:snapToGrid w:val="0"/>
        <w:rPr>
          <w:rFonts w:ascii="宋体" w:hAnsi="宋体"/>
          <w:b/>
          <w:color w:val="000000" w:themeColor="text1"/>
          <w:sz w:val="28"/>
          <w:szCs w:val="28"/>
          <w:highlight w:val="none"/>
          <w:u w:val="singl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项目编号：</w:t>
      </w:r>
      <w:r>
        <w:rPr>
          <w:rFonts w:hint="eastAsia" w:ascii="宋体" w:hAnsi="宋体"/>
          <w:b/>
          <w:color w:val="000000" w:themeColor="text1"/>
          <w:sz w:val="28"/>
          <w:szCs w:val="28"/>
          <w:highlight w:val="none"/>
          <w:u w:val="single"/>
          <w14:textFill>
            <w14:solidFill>
              <w14:schemeClr w14:val="tx1"/>
            </w14:solidFill>
          </w14:textFill>
        </w:rPr>
        <w:t>双流政采（2021）A0048号</w:t>
      </w:r>
    </w:p>
    <w:p>
      <w:pPr>
        <w:adjustRightInd w:val="0"/>
        <w:snapToGrid w:val="0"/>
        <w:spacing w:line="360" w:lineRule="auto"/>
        <w:rPr>
          <w:rFonts w:ascii="宋体" w:hAnsi="宋体"/>
          <w:color w:val="000000" w:themeColor="text1"/>
          <w:sz w:val="30"/>
          <w:szCs w:val="30"/>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包件号：XXX</w:t>
      </w:r>
    </w:p>
    <w:p>
      <w:pPr>
        <w:adjustRightInd w:val="0"/>
        <w:snapToGrid w:val="0"/>
        <w:spacing w:line="360" w:lineRule="auto"/>
        <w:ind w:firstLine="602" w:firstLineChars="201"/>
        <w:rPr>
          <w:rFonts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t>我公司作为参加本项目的供应商，在此郑重承诺：</w:t>
      </w:r>
    </w:p>
    <w:p>
      <w:pPr>
        <w:spacing w:line="560" w:lineRule="exact"/>
        <w:ind w:firstLine="560" w:firstLineChars="200"/>
        <w:rPr>
          <w:rFonts w:asciiTheme="minorEastAsia" w:hAnsiTheme="minorEastAsia"/>
          <w:sz w:val="28"/>
          <w:szCs w:val="28"/>
          <w:highlight w:val="none"/>
        </w:rPr>
      </w:pPr>
      <w:r>
        <w:rPr>
          <w:rFonts w:hint="eastAsia" w:ascii="宋体" w:hAnsi="宋体"/>
          <w:color w:val="000000" w:themeColor="text1"/>
          <w:sz w:val="28"/>
          <w:szCs w:val="28"/>
          <w:highlight w:val="none"/>
          <w14:textFill>
            <w14:solidFill>
              <w14:schemeClr w14:val="tx1"/>
            </w14:solidFill>
          </w14:textFill>
        </w:rPr>
        <w:t>一、为本项目提供的所有服务符合现行的强制性国家相关标准、行业标准。</w:t>
      </w:r>
    </w:p>
    <w:p>
      <w:pPr>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二、我方承诺为本项目配备的工作人员薪资不得低于成都市最低薪酬标准，在职期间为其购买劳动法规定的各项保险，其人员工资标准、劳保、福利等应执行国家和地方政府的相关法律、法规和部门规章。</w:t>
      </w:r>
    </w:p>
    <w:p>
      <w:pPr>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三</w:t>
      </w:r>
      <w:r>
        <w:rPr>
          <w:rFonts w:ascii="宋体" w:hAnsi="宋体"/>
          <w:color w:val="000000" w:themeColor="text1"/>
          <w:sz w:val="28"/>
          <w:szCs w:val="28"/>
          <w:highlight w:val="none"/>
          <w14:textFill>
            <w14:solidFill>
              <w14:schemeClr w14:val="tx1"/>
            </w14:solidFill>
          </w14:textFill>
        </w:rPr>
        <w:t>、</w:t>
      </w:r>
      <w:r>
        <w:rPr>
          <w:rFonts w:hint="eastAsia" w:ascii="宋体" w:hAnsi="宋体"/>
          <w:color w:val="000000" w:themeColor="text1"/>
          <w:sz w:val="28"/>
          <w:szCs w:val="28"/>
          <w:highlight w:val="none"/>
          <w14:textFill>
            <w14:solidFill>
              <w14:schemeClr w14:val="tx1"/>
            </w14:solidFill>
          </w14:textFill>
        </w:rPr>
        <w:t>我方负责员工工作期间的人身安全。</w:t>
      </w:r>
    </w:p>
    <w:p>
      <w:pPr>
        <w:pStyle w:val="3"/>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w:t>
      </w:r>
    </w:p>
    <w:p>
      <w:pPr>
        <w:pStyle w:val="3"/>
        <w:ind w:firstLine="280"/>
        <w:rPr>
          <w:rFonts w:ascii="宋体" w:hAnsi="宋体"/>
          <w:color w:val="000000" w:themeColor="text1"/>
          <w:sz w:val="28"/>
          <w:szCs w:val="28"/>
          <w:highlight w:val="none"/>
          <w14:textFill>
            <w14:solidFill>
              <w14:schemeClr w14:val="tx1"/>
            </w14:solidFill>
          </w14:textFill>
        </w:rPr>
      </w:pPr>
    </w:p>
    <w:p>
      <w:pPr>
        <w:pStyle w:val="3"/>
        <w:ind w:firstLine="280"/>
        <w:rPr>
          <w:rFonts w:ascii="宋体" w:hAnsi="宋体"/>
          <w:color w:val="000000" w:themeColor="text1"/>
          <w:sz w:val="28"/>
          <w:szCs w:val="28"/>
          <w:highlight w:val="none"/>
          <w14:textFill>
            <w14:solidFill>
              <w14:schemeClr w14:val="tx1"/>
            </w14:solidFill>
          </w14:textFill>
        </w:rPr>
      </w:pPr>
    </w:p>
    <w:p>
      <w:pPr>
        <w:pStyle w:val="3"/>
        <w:ind w:firstLine="280"/>
        <w:rPr>
          <w:rFonts w:ascii="宋体" w:hAnsi="宋体"/>
          <w:color w:val="000000" w:themeColor="text1"/>
          <w:sz w:val="28"/>
          <w:szCs w:val="28"/>
          <w:highlight w:val="none"/>
          <w14:textFill>
            <w14:solidFill>
              <w14:schemeClr w14:val="tx1"/>
            </w14:solidFill>
          </w14:textFill>
        </w:rPr>
      </w:pPr>
    </w:p>
    <w:p>
      <w:pPr>
        <w:pStyle w:val="3"/>
        <w:ind w:firstLine="280"/>
        <w:rPr>
          <w:rFonts w:ascii="宋体" w:hAnsi="宋体"/>
          <w:color w:val="000000" w:themeColor="text1"/>
          <w:sz w:val="28"/>
          <w:szCs w:val="28"/>
          <w:highlight w:val="none"/>
          <w14:textFill>
            <w14:solidFill>
              <w14:schemeClr w14:val="tx1"/>
            </w14:solidFill>
          </w14:textFill>
        </w:rPr>
      </w:pPr>
    </w:p>
    <w:p>
      <w:pPr>
        <w:pStyle w:val="3"/>
        <w:ind w:firstLine="280"/>
        <w:rPr>
          <w:rFonts w:ascii="宋体" w:hAnsi="宋体"/>
          <w:color w:val="000000" w:themeColor="text1"/>
          <w:sz w:val="28"/>
          <w:szCs w:val="28"/>
          <w:highlight w:val="none"/>
          <w14:textFill>
            <w14:solidFill>
              <w14:schemeClr w14:val="tx1"/>
            </w14:solidFill>
          </w14:textFill>
        </w:rPr>
      </w:pPr>
    </w:p>
    <w:p>
      <w:pPr>
        <w:pStyle w:val="26"/>
        <w:spacing w:line="240" w:lineRule="auto"/>
        <w:rPr>
          <w:rFonts w:ascii="宋体" w:hAnsi="宋体"/>
          <w:bCs/>
          <w:color w:val="000000" w:themeColor="text1"/>
          <w:sz w:val="28"/>
          <w:szCs w:val="28"/>
          <w:highlight w:val="non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供应商名称：XXXX</w:t>
      </w:r>
    </w:p>
    <w:p>
      <w:pPr>
        <w:adjustRightInd w:val="0"/>
        <w:ind w:firstLine="420" w:firstLineChars="150"/>
        <w:jc w:val="left"/>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日期：20XX年XX月XX日</w:t>
      </w:r>
    </w:p>
    <w:p>
      <w:pPr>
        <w:pStyle w:val="3"/>
        <w:ind w:firstLine="280"/>
        <w:rPr>
          <w:rFonts w:ascii="宋体" w:hAnsi="宋体"/>
          <w:color w:val="000000" w:themeColor="text1"/>
          <w:sz w:val="28"/>
          <w:szCs w:val="28"/>
          <w:highlight w:val="none"/>
          <w14:textFill>
            <w14:solidFill>
              <w14:schemeClr w14:val="tx1"/>
            </w14:solidFill>
          </w14:textFill>
        </w:rPr>
      </w:pPr>
    </w:p>
    <w:p>
      <w:pPr>
        <w:pStyle w:val="5"/>
        <w:numPr>
          <w:ilvl w:val="1"/>
          <w:numId w:val="3"/>
        </w:numPr>
        <w:spacing w:before="0" w:after="0" w:line="240" w:lineRule="auto"/>
        <w:ind w:left="2269" w:hanging="2269"/>
        <w:rPr>
          <w:color w:val="000000" w:themeColor="text1"/>
          <w:highlight w:val="none"/>
          <w14:textFill>
            <w14:solidFill>
              <w14:schemeClr w14:val="tx1"/>
            </w14:solidFill>
          </w14:textFill>
        </w:rPr>
      </w:pPr>
      <w:bookmarkStart w:id="244" w:name="_Toc73619745"/>
      <w:bookmarkStart w:id="245" w:name="_Toc79654075"/>
      <w:r>
        <w:rPr>
          <w:rFonts w:hint="eastAsia"/>
          <w:color w:val="000000" w:themeColor="text1"/>
          <w:highlight w:val="none"/>
          <w14:textFill>
            <w14:solidFill>
              <w14:schemeClr w14:val="tx1"/>
            </w14:solidFill>
          </w14:textFill>
        </w:rPr>
        <w:t>报价要求响应文件</w:t>
      </w:r>
      <w:bookmarkEnd w:id="244"/>
      <w:bookmarkEnd w:id="245"/>
    </w:p>
    <w:p>
      <w:pPr>
        <w:keepNext/>
        <w:keepLines/>
        <w:numPr>
          <w:ilvl w:val="2"/>
          <w:numId w:val="3"/>
        </w:numPr>
        <w:spacing w:line="360" w:lineRule="auto"/>
        <w:ind w:left="3119" w:hanging="3119"/>
        <w:outlineLvl w:val="2"/>
        <w:rPr>
          <w:rFonts w:ascii="宋体" w:hAnsi="宋体"/>
          <w:b/>
          <w:bCs/>
          <w:sz w:val="28"/>
          <w:szCs w:val="28"/>
          <w:highlight w:val="none"/>
        </w:rPr>
      </w:pPr>
      <w:r>
        <w:rPr>
          <w:rFonts w:hint="eastAsia" w:ascii="宋体" w:hAnsi="宋体"/>
          <w:b/>
          <w:bCs/>
          <w:kern w:val="0"/>
          <w:sz w:val="28"/>
          <w:szCs w:val="28"/>
          <w:highlight w:val="none"/>
        </w:rPr>
        <w:t>开标一览表</w:t>
      </w:r>
    </w:p>
    <w:p>
      <w:pPr>
        <w:tabs>
          <w:tab w:val="left" w:pos="1134"/>
        </w:tabs>
        <w:spacing w:line="560" w:lineRule="exact"/>
        <w:ind w:firstLine="427" w:firstLineChars="152"/>
        <w:rPr>
          <w:rFonts w:ascii="宋体" w:hAnsi="宋体"/>
          <w:b/>
          <w:bCs/>
          <w:sz w:val="28"/>
          <w:szCs w:val="28"/>
          <w:highlight w:val="none"/>
        </w:rPr>
      </w:pPr>
      <w:r>
        <w:rPr>
          <w:rFonts w:hint="eastAsia" w:ascii="宋体" w:hAnsi="宋体"/>
          <w:b/>
          <w:bCs/>
          <w:sz w:val="28"/>
          <w:szCs w:val="28"/>
          <w:highlight w:val="none"/>
        </w:rPr>
        <w:t xml:space="preserve">包件号XXX： </w:t>
      </w:r>
    </w:p>
    <w:tbl>
      <w:tblPr>
        <w:tblStyle w:val="44"/>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highlight w:val="none"/>
              </w:rPr>
            </w:pPr>
            <w:r>
              <w:rPr>
                <w:rFonts w:hint="eastAsia" w:ascii="宋体" w:hAnsi="宋体"/>
                <w:kern w:val="0"/>
                <w:sz w:val="28"/>
                <w:szCs w:val="28"/>
                <w:highlight w:val="none"/>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kern w:val="0"/>
                <w:sz w:val="28"/>
                <w:szCs w:val="28"/>
                <w:highlight w:val="none"/>
              </w:rPr>
            </w:pPr>
          </w:p>
        </w:tc>
      </w:tr>
    </w:tbl>
    <w:p>
      <w:pPr>
        <w:spacing w:line="360" w:lineRule="auto"/>
        <w:ind w:firstLine="689" w:firstLineChars="245"/>
        <w:rPr>
          <w:rFonts w:ascii="宋体" w:hAnsi="宋体" w:cs="宋体"/>
          <w:b/>
          <w:sz w:val="28"/>
          <w:szCs w:val="28"/>
          <w:highlight w:val="none"/>
          <w:u w:val="single"/>
        </w:rPr>
      </w:pPr>
      <w:r>
        <w:rPr>
          <w:rFonts w:hint="eastAsia" w:ascii="宋体" w:hAnsi="宋体" w:cs="宋体"/>
          <w:b/>
          <w:sz w:val="28"/>
          <w:szCs w:val="28"/>
          <w:highlight w:val="none"/>
        </w:rPr>
        <w:t>投标报价（人民币大写）：</w:t>
      </w:r>
      <w:r>
        <w:rPr>
          <w:rFonts w:hint="eastAsia" w:ascii="宋体" w:hAnsi="宋体" w:cs="宋体"/>
          <w:b/>
          <w:sz w:val="28"/>
          <w:szCs w:val="28"/>
          <w:highlight w:val="none"/>
          <w:u w:val="single"/>
        </w:rPr>
        <w:t>XXXX元</w:t>
      </w:r>
    </w:p>
    <w:p>
      <w:pPr>
        <w:tabs>
          <w:tab w:val="left" w:pos="1134"/>
        </w:tabs>
        <w:spacing w:line="560" w:lineRule="exact"/>
        <w:ind w:firstLine="425" w:firstLineChars="152"/>
        <w:rPr>
          <w:rFonts w:ascii="宋体" w:hAnsi="宋体"/>
          <w:sz w:val="28"/>
          <w:szCs w:val="28"/>
          <w:highlight w:val="none"/>
        </w:rPr>
      </w:pPr>
    </w:p>
    <w:p>
      <w:pPr>
        <w:tabs>
          <w:tab w:val="left" w:pos="1134"/>
        </w:tabs>
        <w:spacing w:line="560" w:lineRule="exact"/>
        <w:ind w:firstLine="427" w:firstLineChars="152"/>
        <w:rPr>
          <w:rFonts w:ascii="宋体" w:hAnsi="宋体"/>
          <w:b/>
          <w:bCs/>
          <w:sz w:val="28"/>
          <w:highlight w:val="none"/>
        </w:rPr>
      </w:pPr>
      <w:r>
        <w:rPr>
          <w:rFonts w:hint="eastAsia" w:ascii="宋体" w:hAnsi="宋体"/>
          <w:b/>
          <w:sz w:val="28"/>
          <w:szCs w:val="28"/>
          <w:highlight w:val="none"/>
        </w:rPr>
        <w:t>注：投标报价应为包括招标文件对应包件规定的全部投标内容的报价；投标报价以供应商在政府采购云平台开标一览表中填写的报价为准。</w:t>
      </w:r>
    </w:p>
    <w:p>
      <w:pPr>
        <w:snapToGrid w:val="0"/>
        <w:spacing w:line="500" w:lineRule="exact"/>
        <w:ind w:left="1445" w:right="-57" w:rightChars="-27" w:hanging="1445" w:hangingChars="514"/>
        <w:rPr>
          <w:rFonts w:ascii="宋体" w:hAnsi="宋体"/>
          <w:b/>
          <w:bCs/>
          <w:sz w:val="28"/>
          <w:highlight w:val="none"/>
          <w:u w:val="single"/>
        </w:rPr>
      </w:pPr>
    </w:p>
    <w:p>
      <w:pPr>
        <w:spacing w:line="360" w:lineRule="auto"/>
        <w:rPr>
          <w:rFonts w:ascii="宋体" w:hAnsi="宋体"/>
          <w:b/>
          <w:sz w:val="28"/>
          <w:szCs w:val="28"/>
          <w:highlight w:val="none"/>
          <w:u w:val="single"/>
        </w:rPr>
      </w:pPr>
    </w:p>
    <w:p>
      <w:pPr>
        <w:spacing w:line="440" w:lineRule="atLeast"/>
        <w:ind w:firstLine="419" w:firstLineChars="149"/>
        <w:rPr>
          <w:rFonts w:ascii="宋体" w:hAnsi="宋体"/>
          <w:b/>
          <w:sz w:val="28"/>
          <w:szCs w:val="28"/>
          <w:highlight w:val="none"/>
        </w:rPr>
      </w:pPr>
    </w:p>
    <w:p>
      <w:pPr>
        <w:spacing w:line="440" w:lineRule="atLeast"/>
        <w:ind w:firstLine="419" w:firstLineChars="149"/>
        <w:rPr>
          <w:rFonts w:ascii="宋体" w:hAnsi="宋体"/>
          <w:b/>
          <w:sz w:val="28"/>
          <w:szCs w:val="28"/>
          <w:highlight w:val="none"/>
        </w:rPr>
      </w:pPr>
    </w:p>
    <w:p>
      <w:pPr>
        <w:spacing w:line="440" w:lineRule="atLeast"/>
        <w:ind w:firstLine="419" w:firstLineChars="149"/>
        <w:rPr>
          <w:rFonts w:ascii="宋体" w:hAnsi="宋体"/>
          <w:b/>
          <w:sz w:val="28"/>
          <w:szCs w:val="28"/>
          <w:highlight w:val="none"/>
        </w:rPr>
      </w:pPr>
    </w:p>
    <w:p>
      <w:pPr>
        <w:spacing w:line="440" w:lineRule="atLeast"/>
        <w:ind w:firstLine="419" w:firstLineChars="149"/>
        <w:rPr>
          <w:rFonts w:ascii="宋体" w:hAnsi="宋体"/>
          <w:b/>
          <w:sz w:val="28"/>
          <w:szCs w:val="28"/>
          <w:highlight w:val="none"/>
        </w:rPr>
      </w:pPr>
    </w:p>
    <w:p>
      <w:pPr>
        <w:rPr>
          <w:rFonts w:ascii="宋体" w:hAnsi="宋体"/>
          <w:sz w:val="28"/>
          <w:highlight w:val="none"/>
          <w:lang w:val="zh-CN"/>
        </w:rPr>
      </w:pPr>
      <w:r>
        <w:rPr>
          <w:rFonts w:hint="eastAsia" w:ascii="宋体" w:hAnsi="宋体"/>
          <w:sz w:val="28"/>
          <w:highlight w:val="none"/>
          <w:lang w:val="zh-CN"/>
        </w:rPr>
        <w:t>供应商名称：XXXX</w:t>
      </w:r>
    </w:p>
    <w:p>
      <w:pPr>
        <w:rPr>
          <w:rFonts w:ascii="宋体" w:hAnsi="宋体"/>
          <w:bCs/>
          <w:sz w:val="28"/>
          <w:szCs w:val="28"/>
          <w:highlight w:val="none"/>
        </w:rPr>
      </w:pPr>
      <w:r>
        <w:rPr>
          <w:rFonts w:hint="eastAsia" w:ascii="宋体" w:hAnsi="宋体"/>
          <w:sz w:val="28"/>
          <w:highlight w:val="none"/>
        </w:rPr>
        <w:t>日期：</w:t>
      </w:r>
      <w:r>
        <w:rPr>
          <w:rFonts w:hint="eastAsia" w:ascii="宋体" w:hAnsi="宋体"/>
          <w:bCs/>
          <w:sz w:val="28"/>
          <w:highlight w:val="none"/>
        </w:rPr>
        <w:t>20XX年XX月XX日</w:t>
      </w:r>
    </w:p>
    <w:p>
      <w:pPr>
        <w:spacing w:line="440" w:lineRule="atLeast"/>
        <w:ind w:firstLine="419" w:firstLineChars="149"/>
        <w:rPr>
          <w:rFonts w:ascii="宋体" w:hAnsi="宋体"/>
          <w:b/>
          <w:sz w:val="28"/>
          <w:szCs w:val="28"/>
          <w:highlight w:val="none"/>
        </w:rPr>
      </w:pPr>
    </w:p>
    <w:p>
      <w:pPr>
        <w:spacing w:line="440" w:lineRule="atLeast"/>
        <w:ind w:firstLine="419" w:firstLineChars="149"/>
        <w:rPr>
          <w:rFonts w:ascii="宋体" w:hAnsi="宋体"/>
          <w:b/>
          <w:sz w:val="28"/>
          <w:szCs w:val="28"/>
          <w:highlight w:val="none"/>
        </w:rPr>
      </w:pPr>
    </w:p>
    <w:p>
      <w:pPr>
        <w:spacing w:line="440" w:lineRule="atLeast"/>
        <w:ind w:firstLine="419" w:firstLineChars="149"/>
        <w:rPr>
          <w:rFonts w:ascii="宋体" w:hAnsi="宋体"/>
          <w:b/>
          <w:sz w:val="28"/>
          <w:szCs w:val="28"/>
          <w:highlight w:val="none"/>
        </w:rPr>
      </w:pPr>
    </w:p>
    <w:p>
      <w:pPr>
        <w:spacing w:line="440" w:lineRule="atLeast"/>
        <w:ind w:firstLine="419" w:firstLineChars="149"/>
        <w:rPr>
          <w:rFonts w:ascii="宋体" w:hAnsi="宋体"/>
          <w:b/>
          <w:sz w:val="28"/>
          <w:szCs w:val="28"/>
          <w:highlight w:val="none"/>
        </w:rPr>
      </w:pPr>
    </w:p>
    <w:p>
      <w:pPr>
        <w:spacing w:line="440" w:lineRule="atLeast"/>
        <w:rPr>
          <w:rFonts w:ascii="宋体" w:hAnsi="宋体"/>
          <w:b/>
          <w:sz w:val="28"/>
          <w:szCs w:val="28"/>
          <w:highlight w:val="none"/>
        </w:rPr>
      </w:pPr>
    </w:p>
    <w:p>
      <w:pPr>
        <w:keepNext/>
        <w:keepLines/>
        <w:numPr>
          <w:ilvl w:val="2"/>
          <w:numId w:val="3"/>
        </w:numPr>
        <w:spacing w:line="360" w:lineRule="auto"/>
        <w:ind w:left="3119" w:hanging="3119"/>
        <w:outlineLvl w:val="2"/>
        <w:rPr>
          <w:rFonts w:ascii="宋体" w:hAnsi="宋体"/>
          <w:b/>
          <w:bCs/>
          <w:sz w:val="28"/>
          <w:szCs w:val="28"/>
          <w:highlight w:val="none"/>
        </w:rPr>
      </w:pPr>
      <w:r>
        <w:rPr>
          <w:rFonts w:hint="eastAsia" w:ascii="宋体" w:hAnsi="宋体"/>
          <w:b/>
          <w:bCs/>
          <w:sz w:val="28"/>
          <w:szCs w:val="28"/>
          <w:highlight w:val="none"/>
        </w:rPr>
        <w:t>分项报价明细表</w:t>
      </w:r>
    </w:p>
    <w:p>
      <w:pPr>
        <w:snapToGrid w:val="0"/>
        <w:spacing w:line="440" w:lineRule="exact"/>
        <w:ind w:right="-624" w:rightChars="-297"/>
        <w:rPr>
          <w:rFonts w:ascii="宋体" w:hAnsi="宋体"/>
          <w:b/>
          <w:sz w:val="28"/>
          <w:highlight w:val="none"/>
        </w:rPr>
      </w:pPr>
      <w:r>
        <w:rPr>
          <w:rFonts w:hint="eastAsia" w:ascii="宋体" w:hAnsi="宋体"/>
          <w:b/>
          <w:sz w:val="28"/>
          <w:highlight w:val="none"/>
        </w:rPr>
        <w:t>项目名称：</w:t>
      </w:r>
      <w:r>
        <w:rPr>
          <w:rFonts w:hint="eastAsia" w:ascii="宋体" w:hAnsi="宋体"/>
          <w:b/>
          <w:sz w:val="28"/>
          <w:szCs w:val="28"/>
          <w:highlight w:val="none"/>
          <w:u w:val="single"/>
        </w:rPr>
        <w:t>成都市双流区规划和自然资源局地下管线普查成果更新采购项目</w:t>
      </w:r>
    </w:p>
    <w:p>
      <w:pPr>
        <w:tabs>
          <w:tab w:val="left" w:pos="7560"/>
        </w:tabs>
        <w:spacing w:after="180" w:line="440" w:lineRule="exact"/>
        <w:rPr>
          <w:rFonts w:ascii="宋体" w:hAnsi="宋体"/>
          <w:b/>
          <w:sz w:val="28"/>
          <w:szCs w:val="20"/>
          <w:highlight w:val="none"/>
        </w:rPr>
      </w:pPr>
      <w:r>
        <w:rPr>
          <w:rFonts w:hint="eastAsia" w:ascii="宋体" w:hAnsi="宋体"/>
          <w:b/>
          <w:sz w:val="28"/>
          <w:szCs w:val="20"/>
          <w:highlight w:val="none"/>
        </w:rPr>
        <w:t>项目编号：</w:t>
      </w:r>
      <w:r>
        <w:rPr>
          <w:rFonts w:hint="eastAsia" w:ascii="宋体" w:hAnsi="宋体"/>
          <w:b/>
          <w:sz w:val="28"/>
          <w:szCs w:val="20"/>
          <w:highlight w:val="none"/>
          <w:u w:val="single"/>
        </w:rPr>
        <w:t>双流政采（2021）A0048号</w:t>
      </w:r>
    </w:p>
    <w:p>
      <w:pPr>
        <w:jc w:val="left"/>
        <w:rPr>
          <w:rFonts w:ascii="宋体" w:hAnsi="宋体"/>
          <w:sz w:val="28"/>
          <w:highlight w:val="none"/>
          <w:lang w:val="zh-CN"/>
        </w:rPr>
      </w:pPr>
      <w:r>
        <w:rPr>
          <w:rFonts w:hint="eastAsia" w:ascii="宋体" w:hAnsi="宋体"/>
          <w:b/>
          <w:bCs/>
          <w:sz w:val="28"/>
          <w:szCs w:val="28"/>
          <w:highlight w:val="none"/>
        </w:rPr>
        <w:t>包件号XXX：</w:t>
      </w:r>
    </w:p>
    <w:tbl>
      <w:tblPr>
        <w:tblStyle w:val="43"/>
        <w:tblW w:w="9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724"/>
        <w:gridCol w:w="989"/>
        <w:gridCol w:w="2761"/>
        <w:gridCol w:w="1965"/>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42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i/>
                <w:sz w:val="24"/>
                <w:szCs w:val="24"/>
                <w:highlight w:val="none"/>
              </w:rPr>
            </w:pPr>
            <w:r>
              <w:rPr>
                <w:rFonts w:hint="eastAsia" w:ascii="宋体" w:hAnsi="宋体" w:cs="宋体"/>
                <w:b/>
                <w:bCs/>
                <w:sz w:val="24"/>
                <w:szCs w:val="24"/>
                <w:highlight w:val="none"/>
              </w:rPr>
              <w:t>包件号</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i/>
                <w:sz w:val="24"/>
                <w:szCs w:val="24"/>
                <w:highlight w:val="none"/>
              </w:rPr>
            </w:pPr>
            <w:r>
              <w:rPr>
                <w:rFonts w:hint="eastAsia" w:ascii="宋体" w:hAnsi="宋体" w:cs="宋体"/>
                <w:b/>
                <w:bCs/>
                <w:sz w:val="24"/>
                <w:szCs w:val="24"/>
                <w:highlight w:val="none"/>
              </w:rPr>
              <w:t>名称</w:t>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24"/>
                <w:szCs w:val="24"/>
                <w:highlight w:val="none"/>
              </w:rPr>
            </w:pPr>
            <w:r>
              <w:rPr>
                <w:rFonts w:hint="eastAsia" w:ascii="宋体" w:hAnsi="宋体" w:cs="宋体"/>
                <w:b/>
                <w:bCs/>
                <w:sz w:val="24"/>
                <w:szCs w:val="24"/>
                <w:highlight w:val="none"/>
              </w:rPr>
              <w:t>预估</w:t>
            </w:r>
          </w:p>
          <w:p>
            <w:pPr>
              <w:jc w:val="center"/>
              <w:rPr>
                <w:rFonts w:ascii="宋体" w:hAnsi="宋体" w:cs="宋体"/>
                <w:b/>
                <w:bCs/>
                <w:sz w:val="24"/>
                <w:szCs w:val="24"/>
                <w:highlight w:val="none"/>
              </w:rPr>
            </w:pPr>
            <w:r>
              <w:rPr>
                <w:rFonts w:hint="eastAsia" w:ascii="宋体" w:hAnsi="宋体" w:cs="宋体"/>
                <w:b/>
                <w:bCs/>
                <w:sz w:val="24"/>
                <w:szCs w:val="24"/>
                <w:highlight w:val="none"/>
              </w:rPr>
              <w:t>面积</w:t>
            </w:r>
          </w:p>
          <w:p>
            <w:pPr>
              <w:jc w:val="center"/>
              <w:rPr>
                <w:rFonts w:ascii="宋体" w:hAnsi="宋体" w:cs="宋体"/>
                <w:b/>
                <w:bCs/>
                <w:sz w:val="24"/>
                <w:szCs w:val="24"/>
                <w:highlight w:val="none"/>
              </w:rPr>
            </w:pPr>
            <w:r>
              <w:rPr>
                <w:rFonts w:hint="eastAsia" w:ascii="宋体" w:hAnsi="宋体" w:cs="宋体"/>
                <w:b/>
                <w:bCs/>
                <w:sz w:val="24"/>
                <w:szCs w:val="24"/>
                <w:highlight w:val="none"/>
              </w:rPr>
              <w:t>（平方公里）</w:t>
            </w:r>
          </w:p>
        </w:tc>
        <w:tc>
          <w:tcPr>
            <w:tcW w:w="276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24"/>
                <w:szCs w:val="24"/>
                <w:highlight w:val="none"/>
              </w:rPr>
            </w:pPr>
            <w:r>
              <w:rPr>
                <w:rFonts w:hint="eastAsia" w:ascii="宋体" w:hAnsi="宋体" w:cs="宋体"/>
                <w:b/>
                <w:bCs/>
                <w:sz w:val="24"/>
                <w:szCs w:val="24"/>
                <w:highlight w:val="none"/>
              </w:rPr>
              <w:t>预估管线长度（公里）</w:t>
            </w:r>
          </w:p>
        </w:tc>
        <w:tc>
          <w:tcPr>
            <w:tcW w:w="19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i/>
                <w:sz w:val="24"/>
                <w:szCs w:val="24"/>
                <w:highlight w:val="none"/>
              </w:rPr>
            </w:pPr>
            <w:r>
              <w:rPr>
                <w:rFonts w:hint="eastAsia" w:ascii="宋体" w:hAnsi="宋体" w:cs="宋体"/>
                <w:b/>
                <w:bCs/>
                <w:sz w:val="24"/>
                <w:szCs w:val="24"/>
                <w:highlight w:val="none"/>
              </w:rPr>
              <w:t>单价</w:t>
            </w:r>
          </w:p>
        </w:tc>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i/>
                <w:sz w:val="24"/>
                <w:szCs w:val="24"/>
                <w:highlight w:val="none"/>
              </w:rPr>
            </w:pPr>
            <w:r>
              <w:rPr>
                <w:rFonts w:hint="eastAsia" w:ascii="宋体" w:hAnsi="宋体" w:cs="宋体"/>
                <w:b/>
                <w:bCs/>
                <w:sz w:val="24"/>
                <w:szCs w:val="24"/>
                <w:highlight w:val="none"/>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jc w:val="center"/>
        </w:trPr>
        <w:tc>
          <w:tcPr>
            <w:tcW w:w="42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Cs/>
                <w:sz w:val="24"/>
                <w:szCs w:val="24"/>
                <w:highlight w:val="none"/>
              </w:rPr>
            </w:pPr>
            <w:r>
              <w:rPr>
                <w:rFonts w:hint="eastAsia" w:ascii="宋体" w:hAnsi="宋体" w:cs="宋体"/>
                <w:iCs/>
                <w:sz w:val="24"/>
                <w:szCs w:val="24"/>
                <w:highlight w:val="none"/>
              </w:rPr>
              <w:t>1</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Cs/>
                <w:sz w:val="24"/>
                <w:szCs w:val="24"/>
                <w:highlight w:val="none"/>
              </w:rPr>
            </w:pPr>
            <w:r>
              <w:rPr>
                <w:rFonts w:hint="eastAsia" w:ascii="宋体" w:hAnsi="宋体" w:cs="宋体"/>
                <w:bCs/>
                <w:iCs/>
                <w:sz w:val="24"/>
                <w:szCs w:val="24"/>
                <w:highlight w:val="none"/>
              </w:rPr>
              <w:t>成都市双流区地下管线普查成果更新项目采购(包件1)</w:t>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highlight w:val="none"/>
              </w:rPr>
            </w:pPr>
            <w:r>
              <w:rPr>
                <w:rFonts w:hint="eastAsia" w:ascii="宋体" w:hAnsi="宋体" w:cs="宋体"/>
                <w:sz w:val="24"/>
                <w:szCs w:val="24"/>
                <w:highlight w:val="none"/>
              </w:rPr>
              <w:t>144.43</w:t>
            </w:r>
          </w:p>
        </w:tc>
        <w:tc>
          <w:tcPr>
            <w:tcW w:w="27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highlight w:val="none"/>
              </w:rPr>
            </w:pPr>
            <w:r>
              <w:rPr>
                <w:rFonts w:hint="eastAsia" w:ascii="宋体" w:hAnsi="宋体" w:cs="宋体"/>
                <w:sz w:val="24"/>
                <w:szCs w:val="24"/>
                <w:highlight w:val="none"/>
              </w:rPr>
              <w:t>1、全野外探测700公里。</w:t>
            </w:r>
          </w:p>
          <w:p>
            <w:pPr>
              <w:rPr>
                <w:rFonts w:ascii="宋体" w:hAnsi="宋体" w:cs="宋体"/>
                <w:sz w:val="24"/>
                <w:szCs w:val="24"/>
                <w:highlight w:val="none"/>
              </w:rPr>
            </w:pPr>
            <w:r>
              <w:rPr>
                <w:rFonts w:hint="eastAsia" w:ascii="宋体" w:hAnsi="宋体" w:cs="宋体"/>
                <w:sz w:val="24"/>
                <w:szCs w:val="24"/>
                <w:highlight w:val="none"/>
              </w:rPr>
              <w:t>2、内外业结合1200公里。</w:t>
            </w:r>
          </w:p>
          <w:p>
            <w:pPr>
              <w:rPr>
                <w:rFonts w:ascii="宋体" w:hAnsi="宋体" w:cs="宋体"/>
                <w:sz w:val="24"/>
                <w:szCs w:val="24"/>
                <w:highlight w:val="none"/>
              </w:rPr>
            </w:pPr>
            <w:r>
              <w:rPr>
                <w:rFonts w:hint="eastAsia" w:ascii="宋体" w:hAnsi="宋体" w:cs="宋体"/>
                <w:sz w:val="24"/>
                <w:szCs w:val="24"/>
                <w:highlight w:val="none"/>
              </w:rPr>
              <w:t>共计长度1900公里。</w:t>
            </w:r>
          </w:p>
        </w:tc>
        <w:tc>
          <w:tcPr>
            <w:tcW w:w="196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highlight w:val="none"/>
              </w:rPr>
            </w:pPr>
            <w:r>
              <w:rPr>
                <w:rFonts w:hint="eastAsia" w:ascii="宋体" w:hAnsi="宋体" w:cs="宋体"/>
                <w:sz w:val="24"/>
                <w:szCs w:val="24"/>
                <w:highlight w:val="none"/>
              </w:rPr>
              <w:t>1、全野外探测单价：xxx 元/公里。</w:t>
            </w:r>
          </w:p>
          <w:p>
            <w:pPr>
              <w:widowControl/>
              <w:jc w:val="left"/>
              <w:rPr>
                <w:rFonts w:ascii="宋体" w:hAnsi="宋体" w:cs="宋体"/>
                <w:sz w:val="24"/>
                <w:szCs w:val="24"/>
                <w:highlight w:val="none"/>
              </w:rPr>
            </w:pPr>
            <w:r>
              <w:rPr>
                <w:rFonts w:hint="eastAsia" w:ascii="宋体" w:hAnsi="宋体" w:cs="宋体"/>
                <w:sz w:val="24"/>
                <w:szCs w:val="24"/>
                <w:highlight w:val="none"/>
              </w:rPr>
              <w:t>2、内外业结合核实探测单价：xxx元/公里</w:t>
            </w:r>
          </w:p>
        </w:tc>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Cs/>
                <w:sz w:val="24"/>
                <w:szCs w:val="24"/>
                <w:highlight w:val="none"/>
              </w:rPr>
            </w:pPr>
            <w:r>
              <w:rPr>
                <w:rFonts w:hint="eastAsia" w:ascii="宋体" w:hAnsi="宋体" w:cs="宋体"/>
                <w:bCs/>
                <w:iCs/>
                <w:sz w:val="24"/>
                <w:szCs w:val="24"/>
                <w:highlight w:val="none"/>
              </w:rPr>
              <w:t>xxx元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42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Cs/>
                <w:sz w:val="24"/>
                <w:szCs w:val="24"/>
                <w:highlight w:val="none"/>
              </w:rPr>
            </w:pPr>
            <w:r>
              <w:rPr>
                <w:rFonts w:hint="eastAsia" w:ascii="宋体" w:hAnsi="宋体" w:cs="宋体"/>
                <w:iCs/>
                <w:sz w:val="24"/>
                <w:szCs w:val="24"/>
                <w:highlight w:val="none"/>
              </w:rPr>
              <w:t>2</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Cs/>
                <w:sz w:val="24"/>
                <w:szCs w:val="24"/>
                <w:highlight w:val="none"/>
              </w:rPr>
            </w:pPr>
            <w:r>
              <w:rPr>
                <w:rFonts w:hint="eastAsia" w:ascii="宋体" w:hAnsi="宋体" w:cs="宋体"/>
                <w:bCs/>
                <w:iCs/>
                <w:sz w:val="24"/>
                <w:szCs w:val="24"/>
                <w:highlight w:val="none"/>
              </w:rPr>
              <w:t>成都市双流区地下管线普查成果更新项目采购(包件2)</w:t>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highlight w:val="none"/>
              </w:rPr>
            </w:pPr>
            <w:r>
              <w:rPr>
                <w:rFonts w:hint="eastAsia" w:ascii="宋体" w:hAnsi="宋体" w:cs="宋体"/>
                <w:sz w:val="24"/>
                <w:szCs w:val="24"/>
                <w:highlight w:val="none"/>
              </w:rPr>
              <w:t>47.7</w:t>
            </w:r>
          </w:p>
        </w:tc>
        <w:tc>
          <w:tcPr>
            <w:tcW w:w="27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highlight w:val="none"/>
              </w:rPr>
            </w:pPr>
            <w:r>
              <w:rPr>
                <w:rFonts w:hint="eastAsia" w:ascii="宋体" w:hAnsi="宋体" w:cs="宋体"/>
                <w:sz w:val="24"/>
                <w:szCs w:val="24"/>
                <w:highlight w:val="none"/>
              </w:rPr>
              <w:t>1、全野外探测1100公里。</w:t>
            </w:r>
          </w:p>
          <w:p>
            <w:pPr>
              <w:rPr>
                <w:rFonts w:ascii="宋体" w:hAnsi="宋体" w:cs="宋体"/>
                <w:sz w:val="24"/>
                <w:szCs w:val="24"/>
                <w:highlight w:val="none"/>
              </w:rPr>
            </w:pPr>
            <w:r>
              <w:rPr>
                <w:rFonts w:hint="eastAsia" w:ascii="宋体" w:hAnsi="宋体" w:cs="宋体"/>
                <w:sz w:val="24"/>
                <w:szCs w:val="24"/>
                <w:highlight w:val="none"/>
              </w:rPr>
              <w:t>2、内外业结合1700公里。</w:t>
            </w:r>
          </w:p>
          <w:p>
            <w:pPr>
              <w:rPr>
                <w:rFonts w:ascii="宋体" w:hAnsi="宋体" w:cs="宋体"/>
                <w:sz w:val="24"/>
                <w:szCs w:val="24"/>
                <w:highlight w:val="none"/>
              </w:rPr>
            </w:pPr>
            <w:r>
              <w:rPr>
                <w:rFonts w:hint="eastAsia" w:ascii="宋体" w:hAnsi="宋体" w:cs="宋体"/>
                <w:sz w:val="24"/>
                <w:szCs w:val="24"/>
                <w:highlight w:val="none"/>
              </w:rPr>
              <w:t>共计长度2800公里。</w:t>
            </w:r>
          </w:p>
        </w:tc>
        <w:tc>
          <w:tcPr>
            <w:tcW w:w="196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highlight w:val="none"/>
              </w:rPr>
            </w:pPr>
            <w:r>
              <w:rPr>
                <w:rFonts w:hint="eastAsia" w:ascii="宋体" w:hAnsi="宋体" w:cs="宋体"/>
                <w:sz w:val="24"/>
                <w:szCs w:val="24"/>
                <w:highlight w:val="none"/>
              </w:rPr>
              <w:t>1、全野外探测单价：xxx 元/公里。</w:t>
            </w:r>
          </w:p>
          <w:p>
            <w:pPr>
              <w:widowControl/>
              <w:jc w:val="left"/>
              <w:rPr>
                <w:rFonts w:ascii="宋体" w:hAnsi="宋体" w:cs="宋体"/>
                <w:sz w:val="24"/>
                <w:szCs w:val="24"/>
                <w:highlight w:val="none"/>
              </w:rPr>
            </w:pPr>
            <w:r>
              <w:rPr>
                <w:rFonts w:hint="eastAsia" w:ascii="宋体" w:hAnsi="宋体" w:cs="宋体"/>
                <w:sz w:val="24"/>
                <w:szCs w:val="24"/>
                <w:highlight w:val="none"/>
              </w:rPr>
              <w:t>2、内外业结合核实探测单价：xxx元/公里</w:t>
            </w:r>
          </w:p>
        </w:tc>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Cs/>
                <w:sz w:val="24"/>
                <w:szCs w:val="24"/>
                <w:highlight w:val="none"/>
              </w:rPr>
            </w:pPr>
            <w:r>
              <w:rPr>
                <w:rFonts w:hint="eastAsia" w:ascii="宋体" w:hAnsi="宋体" w:cs="宋体"/>
                <w:bCs/>
                <w:iCs/>
                <w:sz w:val="24"/>
                <w:szCs w:val="24"/>
                <w:highlight w:val="none"/>
              </w:rPr>
              <w:t>xxx元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42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Cs/>
                <w:sz w:val="24"/>
                <w:szCs w:val="24"/>
                <w:highlight w:val="none"/>
              </w:rPr>
            </w:pPr>
            <w:r>
              <w:rPr>
                <w:rFonts w:hint="eastAsia" w:ascii="宋体" w:hAnsi="宋体" w:cs="宋体"/>
                <w:iCs/>
                <w:sz w:val="24"/>
                <w:szCs w:val="24"/>
                <w:highlight w:val="none"/>
              </w:rPr>
              <w:t>3</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Cs/>
                <w:sz w:val="24"/>
                <w:szCs w:val="24"/>
                <w:highlight w:val="none"/>
              </w:rPr>
            </w:pPr>
            <w:r>
              <w:rPr>
                <w:rFonts w:hint="eastAsia" w:ascii="宋体" w:hAnsi="宋体" w:cs="宋体"/>
                <w:bCs/>
                <w:iCs/>
                <w:sz w:val="24"/>
                <w:szCs w:val="24"/>
                <w:highlight w:val="none"/>
              </w:rPr>
              <w:t>成都市双流区地下管线普查成果更新项目采购(包件3)</w:t>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highlight w:val="none"/>
              </w:rPr>
            </w:pPr>
            <w:r>
              <w:rPr>
                <w:rFonts w:hint="eastAsia" w:ascii="宋体" w:hAnsi="宋体" w:cs="宋体"/>
                <w:sz w:val="24"/>
                <w:szCs w:val="24"/>
                <w:highlight w:val="none"/>
              </w:rPr>
              <w:t>32.83</w:t>
            </w:r>
          </w:p>
        </w:tc>
        <w:tc>
          <w:tcPr>
            <w:tcW w:w="27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highlight w:val="none"/>
              </w:rPr>
            </w:pPr>
            <w:r>
              <w:rPr>
                <w:rFonts w:hint="eastAsia" w:ascii="宋体" w:hAnsi="宋体" w:cs="宋体"/>
                <w:sz w:val="24"/>
                <w:szCs w:val="24"/>
                <w:highlight w:val="none"/>
              </w:rPr>
              <w:t>1、全野外探测600公里。</w:t>
            </w:r>
          </w:p>
          <w:p>
            <w:pPr>
              <w:rPr>
                <w:rFonts w:ascii="宋体" w:hAnsi="宋体" w:cs="宋体"/>
                <w:sz w:val="24"/>
                <w:szCs w:val="24"/>
                <w:highlight w:val="none"/>
              </w:rPr>
            </w:pPr>
            <w:r>
              <w:rPr>
                <w:rFonts w:hint="eastAsia" w:ascii="宋体" w:hAnsi="宋体" w:cs="宋体"/>
                <w:sz w:val="24"/>
                <w:szCs w:val="24"/>
                <w:highlight w:val="none"/>
              </w:rPr>
              <w:t>2、内外业结合900公里。</w:t>
            </w:r>
          </w:p>
          <w:p>
            <w:pPr>
              <w:rPr>
                <w:rFonts w:ascii="宋体" w:hAnsi="宋体" w:cs="宋体"/>
                <w:sz w:val="24"/>
                <w:szCs w:val="24"/>
                <w:highlight w:val="none"/>
              </w:rPr>
            </w:pPr>
            <w:r>
              <w:rPr>
                <w:rFonts w:hint="eastAsia" w:ascii="宋体" w:hAnsi="宋体" w:cs="宋体"/>
                <w:sz w:val="24"/>
                <w:szCs w:val="24"/>
                <w:highlight w:val="none"/>
              </w:rPr>
              <w:t>共计长度1500公里。</w:t>
            </w:r>
          </w:p>
        </w:tc>
        <w:tc>
          <w:tcPr>
            <w:tcW w:w="196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highlight w:val="none"/>
              </w:rPr>
            </w:pPr>
            <w:r>
              <w:rPr>
                <w:rFonts w:hint="eastAsia" w:ascii="宋体" w:hAnsi="宋体" w:cs="宋体"/>
                <w:sz w:val="24"/>
                <w:szCs w:val="24"/>
                <w:highlight w:val="none"/>
              </w:rPr>
              <w:t>1、全野外探测单价：xxx 元/公里。</w:t>
            </w:r>
          </w:p>
          <w:p>
            <w:pPr>
              <w:widowControl/>
              <w:jc w:val="left"/>
              <w:rPr>
                <w:rFonts w:ascii="宋体" w:hAnsi="宋体" w:cs="宋体"/>
                <w:sz w:val="24"/>
                <w:szCs w:val="24"/>
                <w:highlight w:val="none"/>
              </w:rPr>
            </w:pPr>
            <w:r>
              <w:rPr>
                <w:rFonts w:hint="eastAsia" w:ascii="宋体" w:hAnsi="宋体" w:cs="宋体"/>
                <w:sz w:val="24"/>
                <w:szCs w:val="24"/>
                <w:highlight w:val="none"/>
              </w:rPr>
              <w:t>2、内外业结合核实探测单价：xxx元/公里</w:t>
            </w:r>
          </w:p>
        </w:tc>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highlight w:val="none"/>
              </w:rPr>
            </w:pPr>
            <w:r>
              <w:rPr>
                <w:rFonts w:hint="eastAsia" w:ascii="宋体" w:hAnsi="宋体" w:cs="宋体"/>
                <w:bCs/>
                <w:iCs/>
                <w:sz w:val="24"/>
                <w:szCs w:val="24"/>
                <w:highlight w:val="none"/>
              </w:rPr>
              <w:t>xxx元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Cs/>
                <w:sz w:val="24"/>
                <w:szCs w:val="24"/>
                <w:highlight w:val="none"/>
              </w:rPr>
            </w:pPr>
            <w:r>
              <w:rPr>
                <w:rFonts w:hint="eastAsia" w:ascii="宋体" w:hAnsi="宋体" w:cs="宋体"/>
                <w:iCs/>
                <w:sz w:val="24"/>
                <w:szCs w:val="24"/>
                <w:highlight w:val="none"/>
              </w:rPr>
              <w:t>4</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Cs/>
                <w:sz w:val="24"/>
                <w:szCs w:val="24"/>
                <w:highlight w:val="none"/>
              </w:rPr>
            </w:pPr>
            <w:r>
              <w:rPr>
                <w:rFonts w:hint="eastAsia" w:ascii="宋体" w:hAnsi="宋体" w:cs="宋体"/>
                <w:bCs/>
                <w:iCs/>
                <w:sz w:val="24"/>
                <w:szCs w:val="24"/>
                <w:highlight w:val="none"/>
              </w:rPr>
              <w:t>成都市双流区地下管线普查成果更新项目采购(包件4)</w:t>
            </w:r>
          </w:p>
        </w:tc>
        <w:tc>
          <w:tcPr>
            <w:tcW w:w="9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81.82</w:t>
            </w:r>
          </w:p>
        </w:tc>
        <w:tc>
          <w:tcPr>
            <w:tcW w:w="27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highlight w:val="none"/>
              </w:rPr>
            </w:pPr>
            <w:r>
              <w:rPr>
                <w:rFonts w:hint="eastAsia" w:ascii="宋体" w:hAnsi="宋体" w:cs="宋体"/>
                <w:sz w:val="24"/>
                <w:szCs w:val="24"/>
                <w:highlight w:val="none"/>
              </w:rPr>
              <w:t>1、全野外探测700公里。</w:t>
            </w:r>
          </w:p>
          <w:p>
            <w:pPr>
              <w:spacing w:line="360" w:lineRule="auto"/>
              <w:rPr>
                <w:rFonts w:ascii="宋体" w:hAnsi="宋体" w:cs="宋体"/>
                <w:sz w:val="24"/>
                <w:szCs w:val="24"/>
                <w:highlight w:val="none"/>
              </w:rPr>
            </w:pPr>
            <w:r>
              <w:rPr>
                <w:rFonts w:hint="eastAsia" w:ascii="宋体" w:hAnsi="宋体" w:cs="宋体"/>
                <w:sz w:val="24"/>
                <w:szCs w:val="24"/>
                <w:highlight w:val="none"/>
              </w:rPr>
              <w:t>2、内外业结合1200公里。</w:t>
            </w:r>
          </w:p>
          <w:p>
            <w:pPr>
              <w:spacing w:line="360" w:lineRule="auto"/>
              <w:rPr>
                <w:rFonts w:ascii="宋体" w:hAnsi="宋体" w:cs="宋体"/>
                <w:sz w:val="24"/>
                <w:szCs w:val="24"/>
                <w:highlight w:val="none"/>
              </w:rPr>
            </w:pPr>
            <w:r>
              <w:rPr>
                <w:rFonts w:hint="eastAsia" w:ascii="宋体" w:hAnsi="宋体" w:cs="宋体"/>
                <w:sz w:val="24"/>
                <w:szCs w:val="24"/>
                <w:highlight w:val="none"/>
              </w:rPr>
              <w:t>共计长度1900公里。</w:t>
            </w:r>
          </w:p>
        </w:tc>
        <w:tc>
          <w:tcPr>
            <w:tcW w:w="196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highlight w:val="none"/>
              </w:rPr>
            </w:pPr>
            <w:r>
              <w:rPr>
                <w:rFonts w:hint="eastAsia" w:ascii="宋体" w:hAnsi="宋体" w:cs="宋体"/>
                <w:sz w:val="24"/>
                <w:szCs w:val="24"/>
                <w:highlight w:val="none"/>
              </w:rPr>
              <w:t>1、全野外探测单价：xxx 元/公里。</w:t>
            </w:r>
          </w:p>
          <w:p>
            <w:pPr>
              <w:widowControl/>
              <w:jc w:val="left"/>
              <w:rPr>
                <w:rFonts w:ascii="宋体" w:hAnsi="宋体" w:cs="宋体"/>
                <w:sz w:val="24"/>
                <w:szCs w:val="24"/>
                <w:highlight w:val="none"/>
              </w:rPr>
            </w:pPr>
            <w:r>
              <w:rPr>
                <w:rFonts w:hint="eastAsia" w:ascii="宋体" w:hAnsi="宋体" w:cs="宋体"/>
                <w:sz w:val="24"/>
                <w:szCs w:val="24"/>
                <w:highlight w:val="none"/>
              </w:rPr>
              <w:t>2、内外业结合核实探测单价：xxx元/公里</w:t>
            </w:r>
          </w:p>
        </w:tc>
        <w:tc>
          <w:tcPr>
            <w:tcW w:w="12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bCs/>
                <w:iCs/>
                <w:sz w:val="24"/>
                <w:szCs w:val="24"/>
                <w:highlight w:val="none"/>
              </w:rPr>
              <w:t>xxx元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Cs/>
                <w:sz w:val="24"/>
                <w:szCs w:val="24"/>
                <w:highlight w:val="none"/>
              </w:rPr>
            </w:pPr>
            <w:r>
              <w:rPr>
                <w:rFonts w:hint="eastAsia" w:ascii="宋体" w:hAnsi="宋体" w:cs="宋体"/>
                <w:iCs/>
                <w:sz w:val="24"/>
                <w:szCs w:val="24"/>
                <w:highlight w:val="none"/>
              </w:rPr>
              <w:t>5</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iCs/>
                <w:sz w:val="24"/>
                <w:szCs w:val="24"/>
                <w:highlight w:val="none"/>
              </w:rPr>
            </w:pPr>
            <w:r>
              <w:rPr>
                <w:rFonts w:hint="eastAsia" w:ascii="宋体" w:hAnsi="宋体" w:cs="宋体"/>
                <w:bCs/>
                <w:iCs/>
                <w:sz w:val="24"/>
                <w:szCs w:val="24"/>
                <w:highlight w:val="none"/>
              </w:rPr>
              <w:t>成都市双流区地下管线普查成果更新项目采购(包件5)</w:t>
            </w:r>
          </w:p>
        </w:tc>
        <w:tc>
          <w:tcPr>
            <w:tcW w:w="9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160.44</w:t>
            </w:r>
          </w:p>
        </w:tc>
        <w:tc>
          <w:tcPr>
            <w:tcW w:w="27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highlight w:val="none"/>
              </w:rPr>
            </w:pPr>
            <w:r>
              <w:rPr>
                <w:rFonts w:hint="eastAsia" w:ascii="宋体" w:hAnsi="宋体" w:cs="宋体"/>
                <w:sz w:val="24"/>
                <w:szCs w:val="24"/>
                <w:highlight w:val="none"/>
              </w:rPr>
              <w:t>1、全野外探测1100公里。</w:t>
            </w:r>
          </w:p>
          <w:p>
            <w:pPr>
              <w:spacing w:line="360" w:lineRule="auto"/>
              <w:rPr>
                <w:rFonts w:ascii="宋体" w:hAnsi="宋体" w:cs="宋体"/>
                <w:sz w:val="24"/>
                <w:szCs w:val="24"/>
                <w:highlight w:val="none"/>
              </w:rPr>
            </w:pPr>
            <w:r>
              <w:rPr>
                <w:rFonts w:hint="eastAsia" w:ascii="宋体" w:hAnsi="宋体" w:cs="宋体"/>
                <w:sz w:val="24"/>
                <w:szCs w:val="24"/>
                <w:highlight w:val="none"/>
              </w:rPr>
              <w:t>2、内外业结合1800公里。</w:t>
            </w:r>
          </w:p>
          <w:p>
            <w:pPr>
              <w:spacing w:line="360" w:lineRule="auto"/>
              <w:rPr>
                <w:rFonts w:ascii="宋体" w:hAnsi="宋体" w:cs="宋体"/>
                <w:sz w:val="24"/>
                <w:szCs w:val="24"/>
                <w:highlight w:val="none"/>
              </w:rPr>
            </w:pPr>
            <w:r>
              <w:rPr>
                <w:rFonts w:hint="eastAsia" w:ascii="宋体" w:hAnsi="宋体" w:cs="宋体"/>
                <w:sz w:val="24"/>
                <w:szCs w:val="24"/>
                <w:highlight w:val="none"/>
              </w:rPr>
              <w:t>共计长度2900公里。</w:t>
            </w:r>
          </w:p>
        </w:tc>
        <w:tc>
          <w:tcPr>
            <w:tcW w:w="196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highlight w:val="none"/>
              </w:rPr>
            </w:pPr>
            <w:r>
              <w:rPr>
                <w:rFonts w:hint="eastAsia" w:ascii="宋体" w:hAnsi="宋体" w:cs="宋体"/>
                <w:sz w:val="24"/>
                <w:szCs w:val="24"/>
                <w:highlight w:val="none"/>
              </w:rPr>
              <w:t>1、全野外探测单价：xxx 元/公里。</w:t>
            </w:r>
          </w:p>
          <w:p>
            <w:pPr>
              <w:widowControl/>
              <w:jc w:val="left"/>
              <w:rPr>
                <w:rFonts w:ascii="宋体" w:hAnsi="宋体" w:cs="宋体"/>
                <w:sz w:val="24"/>
                <w:szCs w:val="24"/>
                <w:highlight w:val="none"/>
              </w:rPr>
            </w:pPr>
            <w:r>
              <w:rPr>
                <w:rFonts w:hint="eastAsia" w:ascii="宋体" w:hAnsi="宋体" w:cs="宋体"/>
                <w:sz w:val="24"/>
                <w:szCs w:val="24"/>
                <w:highlight w:val="none"/>
              </w:rPr>
              <w:t>2、内外业结合核实探测单价：xxx元/公里</w:t>
            </w:r>
          </w:p>
        </w:tc>
        <w:tc>
          <w:tcPr>
            <w:tcW w:w="12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iCs/>
                <w:sz w:val="24"/>
                <w:szCs w:val="24"/>
                <w:highlight w:val="none"/>
              </w:rPr>
            </w:pPr>
            <w:r>
              <w:rPr>
                <w:rFonts w:hint="eastAsia" w:ascii="宋体" w:hAnsi="宋体" w:cs="宋体"/>
                <w:bCs/>
                <w:iCs/>
                <w:sz w:val="24"/>
                <w:szCs w:val="24"/>
                <w:highlight w:val="none"/>
              </w:rPr>
              <w:t>xxx元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jc w:val="center"/>
        </w:trPr>
        <w:tc>
          <w:tcPr>
            <w:tcW w:w="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Cs/>
                <w:sz w:val="24"/>
                <w:szCs w:val="24"/>
                <w:highlight w:val="none"/>
              </w:rPr>
            </w:pPr>
            <w:r>
              <w:rPr>
                <w:rFonts w:hint="eastAsia" w:ascii="宋体" w:hAnsi="宋体" w:cs="宋体"/>
                <w:iCs/>
                <w:sz w:val="24"/>
                <w:szCs w:val="24"/>
                <w:highlight w:val="none"/>
              </w:rPr>
              <w:t>6</w:t>
            </w:r>
          </w:p>
        </w:tc>
        <w:tc>
          <w:tcPr>
            <w:tcW w:w="17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iCs/>
                <w:sz w:val="24"/>
                <w:szCs w:val="24"/>
                <w:highlight w:val="none"/>
              </w:rPr>
            </w:pPr>
            <w:r>
              <w:rPr>
                <w:rFonts w:hint="eastAsia" w:ascii="宋体" w:hAnsi="宋体" w:cs="宋体"/>
                <w:bCs/>
                <w:iCs/>
                <w:sz w:val="24"/>
                <w:szCs w:val="24"/>
                <w:highlight w:val="none"/>
              </w:rPr>
              <w:t>成都市双流区地下管线普查成果更新项目采购（包件6）</w:t>
            </w:r>
          </w:p>
        </w:tc>
        <w:tc>
          <w:tcPr>
            <w:tcW w:w="9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w:t>
            </w:r>
          </w:p>
        </w:tc>
        <w:tc>
          <w:tcPr>
            <w:tcW w:w="2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长度11000公里。</w:t>
            </w:r>
          </w:p>
        </w:tc>
        <w:tc>
          <w:tcPr>
            <w:tcW w:w="196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highlight w:val="none"/>
              </w:rPr>
            </w:pPr>
            <w:r>
              <w:rPr>
                <w:rFonts w:hint="eastAsia" w:ascii="宋体" w:hAnsi="宋体" w:cs="宋体"/>
                <w:sz w:val="24"/>
                <w:szCs w:val="24"/>
                <w:highlight w:val="none"/>
              </w:rPr>
              <w:t>单价：xxx元/公里</w:t>
            </w:r>
          </w:p>
        </w:tc>
        <w:tc>
          <w:tcPr>
            <w:tcW w:w="12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iCs/>
                <w:sz w:val="24"/>
                <w:szCs w:val="24"/>
                <w:highlight w:val="none"/>
              </w:rPr>
            </w:pPr>
            <w:r>
              <w:rPr>
                <w:rFonts w:hint="eastAsia" w:ascii="宋体" w:hAnsi="宋体" w:cs="宋体"/>
                <w:bCs/>
                <w:iCs/>
                <w:sz w:val="24"/>
                <w:szCs w:val="24"/>
                <w:highlight w:val="none"/>
              </w:rPr>
              <w:t>xxx元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Cs/>
                <w:sz w:val="24"/>
                <w:szCs w:val="24"/>
                <w:highlight w:val="none"/>
              </w:rPr>
            </w:pPr>
            <w:r>
              <w:rPr>
                <w:rFonts w:hint="eastAsia" w:ascii="宋体" w:hAnsi="宋体" w:cs="宋体"/>
                <w:iCs/>
                <w:sz w:val="24"/>
                <w:szCs w:val="24"/>
                <w:highlight w:val="none"/>
              </w:rPr>
              <w:t>7</w:t>
            </w:r>
          </w:p>
        </w:tc>
        <w:tc>
          <w:tcPr>
            <w:tcW w:w="17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iCs/>
                <w:sz w:val="24"/>
                <w:szCs w:val="24"/>
                <w:highlight w:val="none"/>
              </w:rPr>
            </w:pPr>
            <w:r>
              <w:rPr>
                <w:rFonts w:hint="eastAsia" w:ascii="宋体" w:hAnsi="宋体" w:cs="宋体"/>
                <w:bCs/>
                <w:iCs/>
                <w:sz w:val="24"/>
                <w:szCs w:val="24"/>
                <w:highlight w:val="none"/>
              </w:rPr>
              <w:t>成都市双流区地下管线普查成果更新项目采购（包件7）</w:t>
            </w:r>
          </w:p>
        </w:tc>
        <w:tc>
          <w:tcPr>
            <w:tcW w:w="9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w:t>
            </w:r>
          </w:p>
        </w:tc>
        <w:tc>
          <w:tcPr>
            <w:tcW w:w="2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长度11000公里。</w:t>
            </w:r>
          </w:p>
        </w:tc>
        <w:tc>
          <w:tcPr>
            <w:tcW w:w="196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highlight w:val="none"/>
              </w:rPr>
            </w:pPr>
            <w:r>
              <w:rPr>
                <w:rFonts w:hint="eastAsia" w:ascii="宋体" w:hAnsi="宋体" w:cs="宋体"/>
                <w:sz w:val="24"/>
                <w:szCs w:val="24"/>
                <w:highlight w:val="none"/>
              </w:rPr>
              <w:t>单价：xxx元/公里</w:t>
            </w:r>
          </w:p>
        </w:tc>
        <w:tc>
          <w:tcPr>
            <w:tcW w:w="12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iCs/>
                <w:sz w:val="24"/>
                <w:szCs w:val="24"/>
                <w:highlight w:val="none"/>
              </w:rPr>
            </w:pPr>
            <w:r>
              <w:rPr>
                <w:rFonts w:hint="eastAsia" w:ascii="宋体" w:hAnsi="宋体" w:cs="宋体"/>
                <w:bCs/>
                <w:iCs/>
                <w:sz w:val="24"/>
                <w:szCs w:val="24"/>
                <w:highlight w:val="none"/>
              </w:rPr>
              <w:t>xxx元</w:t>
            </w:r>
          </w:p>
        </w:tc>
      </w:tr>
    </w:tbl>
    <w:p>
      <w:pPr>
        <w:jc w:val="center"/>
        <w:rPr>
          <w:rFonts w:ascii="宋体" w:hAnsi="宋体"/>
          <w:sz w:val="28"/>
          <w:highlight w:val="none"/>
          <w:lang w:val="zh-CN"/>
        </w:rPr>
      </w:pPr>
    </w:p>
    <w:p>
      <w:pPr>
        <w:pStyle w:val="2"/>
        <w:rPr>
          <w:rFonts w:ascii="宋体" w:hAnsi="宋体"/>
          <w:sz w:val="28"/>
          <w:highlight w:val="none"/>
          <w:lang w:val="zh-CN"/>
        </w:rPr>
      </w:pPr>
    </w:p>
    <w:p>
      <w:pPr>
        <w:pStyle w:val="3"/>
        <w:ind w:firstLine="280"/>
        <w:rPr>
          <w:rFonts w:ascii="宋体" w:hAnsi="宋体"/>
          <w:sz w:val="28"/>
          <w:highlight w:val="none"/>
          <w:lang w:val="zh-CN"/>
        </w:rPr>
      </w:pPr>
    </w:p>
    <w:p>
      <w:pPr>
        <w:pStyle w:val="3"/>
        <w:ind w:firstLine="280"/>
        <w:rPr>
          <w:rFonts w:ascii="宋体" w:hAnsi="宋体"/>
          <w:sz w:val="28"/>
          <w:highlight w:val="none"/>
          <w:lang w:val="zh-CN"/>
        </w:rPr>
      </w:pPr>
    </w:p>
    <w:p>
      <w:pPr>
        <w:pStyle w:val="3"/>
        <w:ind w:firstLine="280"/>
        <w:rPr>
          <w:rFonts w:ascii="宋体" w:hAnsi="宋体"/>
          <w:sz w:val="28"/>
          <w:highlight w:val="none"/>
          <w:lang w:val="zh-CN"/>
        </w:rPr>
      </w:pPr>
    </w:p>
    <w:p>
      <w:pPr>
        <w:rPr>
          <w:rFonts w:ascii="宋体" w:hAnsi="宋体"/>
          <w:sz w:val="28"/>
          <w:highlight w:val="none"/>
          <w:lang w:val="zh-CN"/>
        </w:rPr>
      </w:pPr>
    </w:p>
    <w:p>
      <w:pPr>
        <w:rPr>
          <w:rFonts w:ascii="宋体" w:hAnsi="宋体"/>
          <w:sz w:val="28"/>
          <w:highlight w:val="none"/>
          <w:lang w:val="zh-CN"/>
        </w:rPr>
      </w:pPr>
      <w:r>
        <w:rPr>
          <w:rFonts w:hint="eastAsia" w:ascii="宋体" w:hAnsi="宋体"/>
          <w:sz w:val="28"/>
          <w:highlight w:val="none"/>
          <w:lang w:val="zh-CN"/>
        </w:rPr>
        <w:t>供应商名称：XXXX</w:t>
      </w:r>
    </w:p>
    <w:p>
      <w:pPr>
        <w:rPr>
          <w:rFonts w:ascii="宋体" w:hAnsi="宋体"/>
          <w:bCs/>
          <w:sz w:val="28"/>
          <w:szCs w:val="28"/>
          <w:highlight w:val="none"/>
        </w:rPr>
      </w:pPr>
      <w:r>
        <w:rPr>
          <w:rFonts w:hint="eastAsia" w:ascii="宋体" w:hAnsi="宋体"/>
          <w:sz w:val="28"/>
          <w:highlight w:val="none"/>
        </w:rPr>
        <w:t>日期：</w:t>
      </w:r>
      <w:r>
        <w:rPr>
          <w:rFonts w:hint="eastAsia" w:ascii="宋体" w:hAnsi="宋体"/>
          <w:bCs/>
          <w:sz w:val="28"/>
          <w:highlight w:val="none"/>
        </w:rPr>
        <w:t>20XX年XX月XX日</w:t>
      </w:r>
    </w:p>
    <w:p>
      <w:pPr>
        <w:pStyle w:val="14"/>
        <w:spacing w:after="0" w:line="240" w:lineRule="auto"/>
        <w:ind w:firstLine="0"/>
        <w:rPr>
          <w:rFonts w:ascii="宋体" w:hAnsi="宋体"/>
          <w:b/>
          <w:sz w:val="28"/>
          <w:highlight w:val="none"/>
        </w:rPr>
      </w:pPr>
      <w:r>
        <w:rPr>
          <w:rFonts w:hint="eastAsia" w:ascii="宋体" w:hAnsi="宋体"/>
          <w:b/>
          <w:sz w:val="28"/>
          <w:highlight w:val="none"/>
        </w:rPr>
        <w:t>说明：1.供应商根据所投包件填写对应包件的分项报价明细表，总价金额须与</w:t>
      </w:r>
      <w:r>
        <w:rPr>
          <w:rFonts w:ascii="Times New Roman" w:hAnsi="Times New Roman" w:cs="Times New Roman"/>
          <w:b/>
          <w:sz w:val="28"/>
          <w:highlight w:val="none"/>
        </w:rPr>
        <w:t>3.4.1</w:t>
      </w:r>
      <w:r>
        <w:rPr>
          <w:rFonts w:hint="eastAsia" w:ascii="Times New Roman" w:hAnsi="Times New Roman" w:cs="Times New Roman"/>
          <w:b/>
          <w:sz w:val="28"/>
          <w:highlight w:val="none"/>
        </w:rPr>
        <w:t>对应包件</w:t>
      </w:r>
      <w:r>
        <w:rPr>
          <w:rFonts w:hint="eastAsia" w:ascii="宋体" w:hAnsi="宋体"/>
          <w:b/>
          <w:sz w:val="28"/>
          <w:highlight w:val="none"/>
        </w:rPr>
        <w:t>开标一览表一致；</w:t>
      </w:r>
    </w:p>
    <w:p>
      <w:pPr>
        <w:pStyle w:val="14"/>
        <w:spacing w:after="0" w:line="240" w:lineRule="auto"/>
        <w:ind w:firstLine="0"/>
        <w:rPr>
          <w:rFonts w:ascii="宋体" w:hAnsi="宋体"/>
          <w:b/>
          <w:sz w:val="28"/>
          <w:highlight w:val="none"/>
        </w:rPr>
      </w:pPr>
      <w:r>
        <w:rPr>
          <w:rFonts w:hint="eastAsia" w:ascii="宋体" w:hAnsi="宋体"/>
          <w:b/>
          <w:sz w:val="28"/>
          <w:highlight w:val="none"/>
        </w:rPr>
        <w:t>2.报价合计应包括供应商完成本项目所需的一切费用。</w:t>
      </w:r>
    </w:p>
    <w:p>
      <w:pPr>
        <w:pStyle w:val="14"/>
        <w:spacing w:after="0" w:line="240" w:lineRule="auto"/>
        <w:ind w:firstLine="0"/>
        <w:rPr>
          <w:rFonts w:ascii="宋体" w:hAnsi="宋体"/>
          <w:b/>
          <w:sz w:val="28"/>
          <w:highlight w:val="none"/>
        </w:rPr>
      </w:pPr>
    </w:p>
    <w:p>
      <w:pPr>
        <w:pStyle w:val="14"/>
        <w:spacing w:after="0" w:line="240" w:lineRule="auto"/>
        <w:ind w:firstLine="0"/>
        <w:rPr>
          <w:rFonts w:ascii="宋体" w:hAnsi="宋体"/>
          <w:b/>
          <w:sz w:val="28"/>
          <w:highlight w:val="none"/>
        </w:rPr>
      </w:pPr>
    </w:p>
    <w:p>
      <w:pPr>
        <w:pStyle w:val="14"/>
        <w:spacing w:after="0" w:line="240" w:lineRule="auto"/>
        <w:ind w:firstLine="0"/>
        <w:rPr>
          <w:rFonts w:ascii="宋体" w:hAnsi="宋体"/>
          <w:b/>
          <w:sz w:val="28"/>
          <w:highlight w:val="none"/>
        </w:rPr>
      </w:pPr>
    </w:p>
    <w:p>
      <w:pPr>
        <w:keepNext/>
        <w:keepLines/>
        <w:numPr>
          <w:ilvl w:val="2"/>
          <w:numId w:val="3"/>
        </w:numPr>
        <w:spacing w:line="360" w:lineRule="auto"/>
        <w:ind w:left="3119" w:hanging="3119"/>
        <w:outlineLvl w:val="2"/>
        <w:rPr>
          <w:rFonts w:ascii="宋体" w:hAnsi="宋体"/>
          <w:b/>
          <w:bCs/>
          <w:sz w:val="28"/>
          <w:szCs w:val="28"/>
          <w:highlight w:val="none"/>
        </w:rPr>
      </w:pPr>
      <w:r>
        <w:rPr>
          <w:rFonts w:hint="eastAsia" w:ascii="宋体" w:hAnsi="宋体"/>
          <w:b/>
          <w:bCs/>
          <w:sz w:val="28"/>
          <w:szCs w:val="28"/>
          <w:highlight w:val="none"/>
        </w:rPr>
        <w:t>商务应答表</w:t>
      </w:r>
    </w:p>
    <w:p>
      <w:pPr>
        <w:snapToGrid w:val="0"/>
        <w:spacing w:line="360" w:lineRule="auto"/>
        <w:rPr>
          <w:rFonts w:ascii="宋体" w:hAnsi="宋体"/>
          <w:spacing w:val="6"/>
          <w:sz w:val="28"/>
          <w:szCs w:val="28"/>
          <w:highlight w:val="none"/>
        </w:rPr>
      </w:pPr>
      <w:r>
        <w:rPr>
          <w:rFonts w:hint="eastAsia" w:ascii="宋体" w:hAnsi="宋体"/>
          <w:spacing w:val="6"/>
          <w:sz w:val="28"/>
          <w:szCs w:val="28"/>
          <w:highlight w:val="none"/>
        </w:rPr>
        <w:t xml:space="preserve">项目编号：   </w:t>
      </w:r>
    </w:p>
    <w:p>
      <w:pPr>
        <w:snapToGrid w:val="0"/>
        <w:spacing w:line="360" w:lineRule="auto"/>
        <w:rPr>
          <w:rFonts w:ascii="宋体" w:hAnsi="宋体"/>
          <w:spacing w:val="6"/>
          <w:sz w:val="28"/>
          <w:szCs w:val="28"/>
          <w:highlight w:val="none"/>
        </w:rPr>
      </w:pPr>
      <w:r>
        <w:rPr>
          <w:rFonts w:hint="eastAsia" w:ascii="宋体" w:hAnsi="宋体"/>
          <w:spacing w:val="6"/>
          <w:sz w:val="28"/>
          <w:szCs w:val="28"/>
          <w:highlight w:val="none"/>
        </w:rPr>
        <w:t xml:space="preserve">项目名称：                              </w:t>
      </w:r>
      <w:r>
        <w:rPr>
          <w:rFonts w:hint="eastAsia" w:ascii="宋体" w:hAnsi="宋体" w:cs="宋体"/>
          <w:kern w:val="0"/>
          <w:sz w:val="28"/>
          <w:szCs w:val="28"/>
          <w:highlight w:val="none"/>
        </w:rPr>
        <w:t>包件号：XXX</w:t>
      </w:r>
      <w:r>
        <w:rPr>
          <w:rFonts w:hint="eastAsia" w:ascii="宋体" w:hAnsi="宋体"/>
          <w:spacing w:val="6"/>
          <w:sz w:val="28"/>
          <w:szCs w:val="28"/>
          <w:highlight w:val="none"/>
        </w:rPr>
        <w:t xml:space="preserve">          </w:t>
      </w:r>
    </w:p>
    <w:tbl>
      <w:tblPr>
        <w:tblStyle w:val="43"/>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992"/>
        <w:gridCol w:w="3260"/>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93" w:type="dxa"/>
            <w:vAlign w:val="center"/>
          </w:tcPr>
          <w:p>
            <w:pPr>
              <w:tabs>
                <w:tab w:val="left" w:pos="3969"/>
              </w:tabs>
              <w:spacing w:line="588" w:lineRule="exact"/>
              <w:ind w:right="-58"/>
              <w:jc w:val="left"/>
              <w:rPr>
                <w:rFonts w:ascii="宋体" w:hAnsi="宋体"/>
                <w:spacing w:val="6"/>
                <w:sz w:val="28"/>
                <w:szCs w:val="28"/>
                <w:highlight w:val="none"/>
              </w:rPr>
            </w:pPr>
            <w:r>
              <w:rPr>
                <w:rFonts w:hint="eastAsia" w:ascii="宋体" w:hAnsi="宋体"/>
                <w:spacing w:val="6"/>
                <w:sz w:val="28"/>
                <w:szCs w:val="28"/>
                <w:highlight w:val="none"/>
              </w:rPr>
              <w:t>序号</w:t>
            </w:r>
          </w:p>
        </w:tc>
        <w:tc>
          <w:tcPr>
            <w:tcW w:w="992" w:type="dxa"/>
            <w:vAlign w:val="center"/>
          </w:tcPr>
          <w:p>
            <w:pPr>
              <w:tabs>
                <w:tab w:val="left" w:pos="3969"/>
              </w:tabs>
              <w:spacing w:line="588" w:lineRule="exact"/>
              <w:ind w:right="-58"/>
              <w:jc w:val="left"/>
              <w:rPr>
                <w:rFonts w:ascii="宋体" w:hAnsi="宋体"/>
                <w:spacing w:val="6"/>
                <w:sz w:val="28"/>
                <w:szCs w:val="28"/>
                <w:highlight w:val="none"/>
              </w:rPr>
            </w:pPr>
            <w:r>
              <w:rPr>
                <w:rFonts w:hint="eastAsia" w:ascii="宋体" w:hAnsi="宋体"/>
                <w:spacing w:val="6"/>
                <w:sz w:val="28"/>
                <w:szCs w:val="28"/>
                <w:highlight w:val="none"/>
              </w:rPr>
              <w:t>包件号</w:t>
            </w:r>
          </w:p>
        </w:tc>
        <w:tc>
          <w:tcPr>
            <w:tcW w:w="3260" w:type="dxa"/>
            <w:vAlign w:val="center"/>
          </w:tcPr>
          <w:p>
            <w:pPr>
              <w:tabs>
                <w:tab w:val="left" w:pos="3969"/>
              </w:tabs>
              <w:spacing w:line="588" w:lineRule="exact"/>
              <w:ind w:right="-58"/>
              <w:jc w:val="left"/>
              <w:rPr>
                <w:rFonts w:ascii="宋体" w:hAnsi="宋体"/>
                <w:spacing w:val="6"/>
                <w:sz w:val="28"/>
                <w:szCs w:val="28"/>
                <w:highlight w:val="none"/>
              </w:rPr>
            </w:pPr>
            <w:r>
              <w:rPr>
                <w:rFonts w:hint="eastAsia" w:ascii="宋体" w:hAnsi="宋体"/>
                <w:spacing w:val="6"/>
                <w:sz w:val="28"/>
                <w:szCs w:val="28"/>
                <w:highlight w:val="none"/>
              </w:rPr>
              <w:t>招标要求</w:t>
            </w:r>
          </w:p>
        </w:tc>
        <w:tc>
          <w:tcPr>
            <w:tcW w:w="3260" w:type="dxa"/>
            <w:vAlign w:val="center"/>
          </w:tcPr>
          <w:p>
            <w:pPr>
              <w:tabs>
                <w:tab w:val="left" w:pos="3969"/>
              </w:tabs>
              <w:spacing w:line="588" w:lineRule="exact"/>
              <w:ind w:right="-58"/>
              <w:jc w:val="left"/>
              <w:rPr>
                <w:rFonts w:ascii="宋体" w:hAnsi="宋体"/>
                <w:spacing w:val="6"/>
                <w:sz w:val="28"/>
                <w:szCs w:val="28"/>
                <w:highlight w:val="none"/>
              </w:rPr>
            </w:pPr>
            <w:r>
              <w:rPr>
                <w:rFonts w:hint="eastAsia" w:ascii="宋体" w:hAnsi="宋体"/>
                <w:spacing w:val="6"/>
                <w:sz w:val="28"/>
                <w:szCs w:val="28"/>
                <w:highlight w:val="none"/>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93" w:type="dxa"/>
          </w:tcPr>
          <w:p>
            <w:pPr>
              <w:tabs>
                <w:tab w:val="left" w:pos="3969"/>
              </w:tabs>
              <w:spacing w:line="588" w:lineRule="exact"/>
              <w:ind w:right="-58"/>
              <w:jc w:val="left"/>
              <w:rPr>
                <w:rFonts w:ascii="宋体" w:hAnsi="宋体"/>
                <w:spacing w:val="6"/>
                <w:sz w:val="28"/>
                <w:szCs w:val="28"/>
                <w:highlight w:val="none"/>
              </w:rPr>
            </w:pPr>
          </w:p>
        </w:tc>
        <w:tc>
          <w:tcPr>
            <w:tcW w:w="992" w:type="dxa"/>
          </w:tcPr>
          <w:p>
            <w:pPr>
              <w:tabs>
                <w:tab w:val="left" w:pos="3969"/>
              </w:tabs>
              <w:spacing w:line="588" w:lineRule="exact"/>
              <w:ind w:right="-58"/>
              <w:jc w:val="left"/>
              <w:rPr>
                <w:rFonts w:ascii="宋体" w:hAnsi="宋体"/>
                <w:spacing w:val="6"/>
                <w:sz w:val="28"/>
                <w:szCs w:val="28"/>
                <w:highlight w:val="none"/>
              </w:rPr>
            </w:pPr>
          </w:p>
        </w:tc>
        <w:tc>
          <w:tcPr>
            <w:tcW w:w="3260" w:type="dxa"/>
          </w:tcPr>
          <w:p>
            <w:pPr>
              <w:tabs>
                <w:tab w:val="left" w:pos="3969"/>
              </w:tabs>
              <w:spacing w:line="588" w:lineRule="exact"/>
              <w:ind w:right="-58"/>
              <w:jc w:val="left"/>
              <w:rPr>
                <w:rFonts w:ascii="宋体" w:hAnsi="宋体"/>
                <w:spacing w:val="6"/>
                <w:sz w:val="28"/>
                <w:szCs w:val="28"/>
                <w:highlight w:val="none"/>
              </w:rPr>
            </w:pPr>
          </w:p>
        </w:tc>
        <w:tc>
          <w:tcPr>
            <w:tcW w:w="3260" w:type="dxa"/>
          </w:tcPr>
          <w:p>
            <w:pPr>
              <w:tabs>
                <w:tab w:val="left" w:pos="3969"/>
              </w:tabs>
              <w:spacing w:line="588" w:lineRule="exact"/>
              <w:ind w:right="-58"/>
              <w:jc w:val="left"/>
              <w:rPr>
                <w:rFonts w:ascii="宋体" w:hAnsi="宋体"/>
                <w:spacing w:val="6"/>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93" w:type="dxa"/>
          </w:tcPr>
          <w:p>
            <w:pPr>
              <w:tabs>
                <w:tab w:val="left" w:pos="3969"/>
              </w:tabs>
              <w:spacing w:line="588" w:lineRule="exact"/>
              <w:ind w:right="-58"/>
              <w:jc w:val="left"/>
              <w:rPr>
                <w:rFonts w:ascii="宋体" w:hAnsi="宋体"/>
                <w:spacing w:val="6"/>
                <w:sz w:val="28"/>
                <w:szCs w:val="28"/>
                <w:highlight w:val="none"/>
              </w:rPr>
            </w:pPr>
          </w:p>
        </w:tc>
        <w:tc>
          <w:tcPr>
            <w:tcW w:w="992" w:type="dxa"/>
          </w:tcPr>
          <w:p>
            <w:pPr>
              <w:tabs>
                <w:tab w:val="left" w:pos="3969"/>
              </w:tabs>
              <w:spacing w:line="588" w:lineRule="exact"/>
              <w:ind w:right="-58"/>
              <w:jc w:val="left"/>
              <w:rPr>
                <w:rFonts w:ascii="宋体" w:hAnsi="宋体"/>
                <w:spacing w:val="6"/>
                <w:sz w:val="28"/>
                <w:szCs w:val="28"/>
                <w:highlight w:val="none"/>
              </w:rPr>
            </w:pPr>
          </w:p>
        </w:tc>
        <w:tc>
          <w:tcPr>
            <w:tcW w:w="3260" w:type="dxa"/>
          </w:tcPr>
          <w:p>
            <w:pPr>
              <w:tabs>
                <w:tab w:val="left" w:pos="3969"/>
              </w:tabs>
              <w:spacing w:line="588" w:lineRule="exact"/>
              <w:ind w:right="-58"/>
              <w:jc w:val="left"/>
              <w:rPr>
                <w:rFonts w:ascii="宋体" w:hAnsi="宋体"/>
                <w:spacing w:val="6"/>
                <w:sz w:val="28"/>
                <w:szCs w:val="28"/>
                <w:highlight w:val="none"/>
              </w:rPr>
            </w:pPr>
          </w:p>
        </w:tc>
        <w:tc>
          <w:tcPr>
            <w:tcW w:w="3260" w:type="dxa"/>
          </w:tcPr>
          <w:p>
            <w:pPr>
              <w:tabs>
                <w:tab w:val="left" w:pos="3969"/>
              </w:tabs>
              <w:spacing w:line="588" w:lineRule="exact"/>
              <w:ind w:right="-58"/>
              <w:jc w:val="left"/>
              <w:rPr>
                <w:rFonts w:ascii="宋体" w:hAnsi="宋体"/>
                <w:spacing w:val="6"/>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93" w:type="dxa"/>
          </w:tcPr>
          <w:p>
            <w:pPr>
              <w:tabs>
                <w:tab w:val="left" w:pos="3969"/>
              </w:tabs>
              <w:spacing w:line="588" w:lineRule="exact"/>
              <w:ind w:right="-58"/>
              <w:jc w:val="left"/>
              <w:rPr>
                <w:rFonts w:ascii="宋体" w:hAnsi="宋体"/>
                <w:spacing w:val="6"/>
                <w:sz w:val="28"/>
                <w:szCs w:val="28"/>
                <w:highlight w:val="none"/>
              </w:rPr>
            </w:pPr>
          </w:p>
        </w:tc>
        <w:tc>
          <w:tcPr>
            <w:tcW w:w="992" w:type="dxa"/>
          </w:tcPr>
          <w:p>
            <w:pPr>
              <w:tabs>
                <w:tab w:val="left" w:pos="3969"/>
              </w:tabs>
              <w:spacing w:line="588" w:lineRule="exact"/>
              <w:ind w:right="-58"/>
              <w:jc w:val="left"/>
              <w:rPr>
                <w:rFonts w:ascii="宋体" w:hAnsi="宋体"/>
                <w:spacing w:val="6"/>
                <w:sz w:val="28"/>
                <w:szCs w:val="28"/>
                <w:highlight w:val="none"/>
              </w:rPr>
            </w:pPr>
          </w:p>
        </w:tc>
        <w:tc>
          <w:tcPr>
            <w:tcW w:w="3260" w:type="dxa"/>
          </w:tcPr>
          <w:p>
            <w:pPr>
              <w:tabs>
                <w:tab w:val="left" w:pos="3969"/>
              </w:tabs>
              <w:spacing w:line="588" w:lineRule="exact"/>
              <w:ind w:right="-58"/>
              <w:jc w:val="left"/>
              <w:rPr>
                <w:rFonts w:ascii="宋体" w:hAnsi="宋体"/>
                <w:spacing w:val="6"/>
                <w:sz w:val="28"/>
                <w:szCs w:val="28"/>
                <w:highlight w:val="none"/>
              </w:rPr>
            </w:pPr>
          </w:p>
        </w:tc>
        <w:tc>
          <w:tcPr>
            <w:tcW w:w="3260" w:type="dxa"/>
          </w:tcPr>
          <w:p>
            <w:pPr>
              <w:tabs>
                <w:tab w:val="left" w:pos="3969"/>
              </w:tabs>
              <w:spacing w:line="588" w:lineRule="exact"/>
              <w:ind w:right="-58"/>
              <w:jc w:val="left"/>
              <w:rPr>
                <w:rFonts w:ascii="宋体" w:hAnsi="宋体"/>
                <w:spacing w:val="6"/>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93" w:type="dxa"/>
          </w:tcPr>
          <w:p>
            <w:pPr>
              <w:tabs>
                <w:tab w:val="left" w:pos="3969"/>
              </w:tabs>
              <w:spacing w:line="588" w:lineRule="exact"/>
              <w:ind w:right="-58"/>
              <w:jc w:val="left"/>
              <w:rPr>
                <w:rFonts w:ascii="宋体" w:hAnsi="宋体"/>
                <w:spacing w:val="6"/>
                <w:sz w:val="28"/>
                <w:szCs w:val="28"/>
                <w:highlight w:val="none"/>
              </w:rPr>
            </w:pPr>
          </w:p>
        </w:tc>
        <w:tc>
          <w:tcPr>
            <w:tcW w:w="992" w:type="dxa"/>
          </w:tcPr>
          <w:p>
            <w:pPr>
              <w:tabs>
                <w:tab w:val="left" w:pos="3969"/>
              </w:tabs>
              <w:spacing w:line="588" w:lineRule="exact"/>
              <w:ind w:right="-58"/>
              <w:jc w:val="left"/>
              <w:rPr>
                <w:rFonts w:ascii="宋体" w:hAnsi="宋体"/>
                <w:spacing w:val="6"/>
                <w:sz w:val="28"/>
                <w:szCs w:val="28"/>
                <w:highlight w:val="none"/>
              </w:rPr>
            </w:pPr>
          </w:p>
        </w:tc>
        <w:tc>
          <w:tcPr>
            <w:tcW w:w="3260" w:type="dxa"/>
          </w:tcPr>
          <w:p>
            <w:pPr>
              <w:tabs>
                <w:tab w:val="left" w:pos="3969"/>
              </w:tabs>
              <w:spacing w:line="588" w:lineRule="exact"/>
              <w:ind w:right="-58"/>
              <w:jc w:val="left"/>
              <w:rPr>
                <w:rFonts w:ascii="宋体" w:hAnsi="宋体"/>
                <w:spacing w:val="6"/>
                <w:sz w:val="28"/>
                <w:szCs w:val="28"/>
                <w:highlight w:val="none"/>
              </w:rPr>
            </w:pPr>
          </w:p>
        </w:tc>
        <w:tc>
          <w:tcPr>
            <w:tcW w:w="3260" w:type="dxa"/>
          </w:tcPr>
          <w:p>
            <w:pPr>
              <w:tabs>
                <w:tab w:val="left" w:pos="3969"/>
              </w:tabs>
              <w:spacing w:line="588" w:lineRule="exact"/>
              <w:ind w:right="-58"/>
              <w:jc w:val="left"/>
              <w:rPr>
                <w:rFonts w:ascii="宋体" w:hAnsi="宋体"/>
                <w:spacing w:val="6"/>
                <w:sz w:val="28"/>
                <w:szCs w:val="28"/>
                <w:highlight w:val="none"/>
              </w:rPr>
            </w:pPr>
          </w:p>
        </w:tc>
      </w:tr>
    </w:tbl>
    <w:p>
      <w:pPr>
        <w:tabs>
          <w:tab w:val="left" w:pos="3969"/>
        </w:tabs>
        <w:spacing w:line="588" w:lineRule="exact"/>
        <w:ind w:right="-58"/>
        <w:jc w:val="left"/>
        <w:rPr>
          <w:rFonts w:ascii="宋体" w:hAnsi="宋体"/>
          <w:spacing w:val="6"/>
          <w:sz w:val="28"/>
          <w:szCs w:val="28"/>
          <w:highlight w:val="none"/>
        </w:rPr>
      </w:pPr>
      <w:r>
        <w:rPr>
          <w:rFonts w:hint="eastAsia" w:ascii="宋体" w:hAnsi="宋体"/>
          <w:spacing w:val="6"/>
          <w:sz w:val="28"/>
          <w:szCs w:val="28"/>
          <w:highlight w:val="none"/>
        </w:rPr>
        <w:t>注：供应商必须据实填写，不得虚假应答，否则将取消其投标或中标资格。</w:t>
      </w:r>
    </w:p>
    <w:p>
      <w:pPr>
        <w:adjustRightInd w:val="0"/>
        <w:spacing w:line="400" w:lineRule="exact"/>
        <w:ind w:firstLine="490" w:firstLineChars="175"/>
        <w:jc w:val="left"/>
        <w:rPr>
          <w:rFonts w:ascii="宋体" w:hAnsi="宋体"/>
          <w:bCs/>
          <w:sz w:val="28"/>
          <w:szCs w:val="28"/>
          <w:highlight w:val="none"/>
        </w:rPr>
      </w:pPr>
    </w:p>
    <w:p>
      <w:pPr>
        <w:tabs>
          <w:tab w:val="left" w:pos="3969"/>
        </w:tabs>
        <w:spacing w:line="588" w:lineRule="exact"/>
        <w:ind w:right="-58"/>
        <w:jc w:val="left"/>
        <w:rPr>
          <w:rFonts w:ascii="宋体" w:hAnsi="宋体"/>
          <w:spacing w:val="6"/>
          <w:sz w:val="28"/>
          <w:szCs w:val="28"/>
          <w:highlight w:val="none"/>
        </w:rPr>
      </w:pPr>
      <w:r>
        <w:rPr>
          <w:rFonts w:hint="eastAsia" w:ascii="宋体" w:hAnsi="宋体"/>
          <w:spacing w:val="6"/>
          <w:sz w:val="28"/>
          <w:szCs w:val="28"/>
          <w:highlight w:val="none"/>
        </w:rPr>
        <w:t>供应商名称：</w:t>
      </w:r>
      <w:r>
        <w:rPr>
          <w:rFonts w:hint="eastAsia" w:ascii="宋体" w:hAnsi="宋体"/>
          <w:bCs/>
          <w:sz w:val="28"/>
          <w:szCs w:val="28"/>
          <w:highlight w:val="none"/>
          <w:u w:val="single"/>
        </w:rPr>
        <w:t>XXXX</w:t>
      </w:r>
    </w:p>
    <w:p>
      <w:pPr>
        <w:tabs>
          <w:tab w:val="left" w:pos="3969"/>
        </w:tabs>
        <w:spacing w:line="588" w:lineRule="exact"/>
        <w:ind w:right="-58"/>
        <w:jc w:val="left"/>
        <w:rPr>
          <w:rFonts w:ascii="宋体" w:hAnsi="宋体"/>
          <w:bCs/>
          <w:sz w:val="28"/>
          <w:highlight w:val="none"/>
        </w:rPr>
      </w:pPr>
      <w:r>
        <w:rPr>
          <w:rFonts w:hint="eastAsia" w:ascii="宋体" w:hAnsi="宋体"/>
          <w:spacing w:val="6"/>
          <w:sz w:val="28"/>
          <w:szCs w:val="28"/>
          <w:highlight w:val="none"/>
        </w:rPr>
        <w:t>日  期：</w:t>
      </w:r>
      <w:r>
        <w:rPr>
          <w:rFonts w:hint="eastAsia" w:ascii="宋体" w:hAnsi="宋体"/>
          <w:bCs/>
          <w:sz w:val="28"/>
          <w:highlight w:val="none"/>
        </w:rPr>
        <w:t>20</w:t>
      </w:r>
      <w:r>
        <w:rPr>
          <w:rFonts w:hint="eastAsia" w:ascii="宋体" w:hAnsi="宋体"/>
          <w:sz w:val="28"/>
          <w:szCs w:val="28"/>
          <w:highlight w:val="none"/>
          <w:u w:val="single"/>
        </w:rPr>
        <w:t>X</w:t>
      </w:r>
      <w:r>
        <w:rPr>
          <w:rFonts w:hint="eastAsia" w:ascii="宋体" w:hAnsi="宋体"/>
          <w:bCs/>
          <w:sz w:val="28"/>
          <w:highlight w:val="none"/>
          <w:u w:val="single"/>
        </w:rPr>
        <w:t>X</w:t>
      </w:r>
      <w:r>
        <w:rPr>
          <w:rFonts w:hint="eastAsia" w:ascii="宋体" w:hAnsi="宋体"/>
          <w:bCs/>
          <w:sz w:val="28"/>
          <w:highlight w:val="none"/>
        </w:rPr>
        <w:t>年</w:t>
      </w:r>
      <w:r>
        <w:rPr>
          <w:rFonts w:hint="eastAsia" w:ascii="宋体" w:hAnsi="宋体"/>
          <w:bCs/>
          <w:sz w:val="28"/>
          <w:highlight w:val="none"/>
          <w:u w:val="single"/>
        </w:rPr>
        <w:t>XX</w:t>
      </w:r>
      <w:r>
        <w:rPr>
          <w:rFonts w:hint="eastAsia" w:ascii="宋体" w:hAnsi="宋体"/>
          <w:bCs/>
          <w:sz w:val="28"/>
          <w:highlight w:val="none"/>
        </w:rPr>
        <w:t>月</w:t>
      </w:r>
      <w:r>
        <w:rPr>
          <w:rFonts w:hint="eastAsia" w:ascii="宋体" w:hAnsi="宋体"/>
          <w:bCs/>
          <w:sz w:val="28"/>
          <w:highlight w:val="none"/>
          <w:u w:val="single"/>
        </w:rPr>
        <w:t>XX</w:t>
      </w:r>
      <w:r>
        <w:rPr>
          <w:rFonts w:hint="eastAsia" w:ascii="宋体" w:hAnsi="宋体"/>
          <w:bCs/>
          <w:sz w:val="28"/>
          <w:highlight w:val="none"/>
        </w:rPr>
        <w:t>日</w:t>
      </w:r>
    </w:p>
    <w:p>
      <w:pPr>
        <w:pStyle w:val="2"/>
        <w:rPr>
          <w:rFonts w:ascii="宋体" w:hAnsi="宋体"/>
          <w:bCs/>
          <w:sz w:val="28"/>
          <w:highlight w:val="none"/>
        </w:rPr>
      </w:pPr>
    </w:p>
    <w:p>
      <w:pPr>
        <w:pStyle w:val="3"/>
        <w:ind w:firstLine="280"/>
        <w:rPr>
          <w:rFonts w:ascii="宋体" w:hAnsi="宋体"/>
          <w:bCs/>
          <w:sz w:val="28"/>
          <w:highlight w:val="none"/>
        </w:rPr>
      </w:pPr>
    </w:p>
    <w:p>
      <w:pPr>
        <w:pStyle w:val="3"/>
        <w:ind w:firstLine="280"/>
        <w:rPr>
          <w:rFonts w:ascii="宋体" w:hAnsi="宋体"/>
          <w:bCs/>
          <w:sz w:val="28"/>
          <w:highlight w:val="none"/>
        </w:rPr>
      </w:pPr>
    </w:p>
    <w:p>
      <w:pPr>
        <w:pStyle w:val="3"/>
        <w:ind w:firstLine="280"/>
        <w:rPr>
          <w:rFonts w:ascii="宋体" w:hAnsi="宋体"/>
          <w:bCs/>
          <w:sz w:val="28"/>
          <w:highlight w:val="none"/>
        </w:rPr>
      </w:pPr>
    </w:p>
    <w:p>
      <w:pPr>
        <w:pStyle w:val="3"/>
        <w:ind w:firstLine="0" w:firstLineChars="0"/>
        <w:rPr>
          <w:rFonts w:ascii="宋体" w:hAnsi="宋体"/>
          <w:bCs/>
          <w:sz w:val="28"/>
          <w:highlight w:val="none"/>
        </w:rPr>
      </w:pPr>
    </w:p>
    <w:p>
      <w:pPr>
        <w:keepNext/>
        <w:keepLines/>
        <w:numPr>
          <w:ilvl w:val="2"/>
          <w:numId w:val="3"/>
        </w:numPr>
        <w:spacing w:line="360" w:lineRule="auto"/>
        <w:ind w:left="3119" w:hanging="3119"/>
        <w:outlineLvl w:val="2"/>
        <w:rPr>
          <w:rFonts w:ascii="宋体" w:hAnsi="宋体"/>
          <w:b/>
          <w:bCs/>
          <w:sz w:val="28"/>
          <w:szCs w:val="28"/>
          <w:highlight w:val="none"/>
        </w:rPr>
      </w:pPr>
      <w:r>
        <w:rPr>
          <w:rFonts w:hint="eastAsia" w:ascii="宋体" w:hAnsi="宋体"/>
          <w:b/>
          <w:bCs/>
          <w:sz w:val="28"/>
          <w:szCs w:val="28"/>
          <w:highlight w:val="none"/>
        </w:rPr>
        <w:t xml:space="preserve"> 服务应答表</w:t>
      </w:r>
    </w:p>
    <w:p>
      <w:pPr>
        <w:snapToGrid w:val="0"/>
        <w:spacing w:line="360" w:lineRule="auto"/>
        <w:rPr>
          <w:rFonts w:ascii="宋体" w:hAnsi="宋体"/>
          <w:spacing w:val="6"/>
          <w:sz w:val="28"/>
          <w:szCs w:val="28"/>
          <w:highlight w:val="none"/>
        </w:rPr>
      </w:pPr>
      <w:r>
        <w:rPr>
          <w:rFonts w:hint="eastAsia" w:ascii="宋体" w:hAnsi="宋体"/>
          <w:spacing w:val="6"/>
          <w:sz w:val="28"/>
          <w:szCs w:val="28"/>
          <w:highlight w:val="none"/>
        </w:rPr>
        <w:t xml:space="preserve">项目编号：   </w:t>
      </w:r>
    </w:p>
    <w:p>
      <w:pPr>
        <w:pStyle w:val="2"/>
        <w:rPr>
          <w:highlight w:val="none"/>
        </w:rPr>
      </w:pPr>
      <w:r>
        <w:rPr>
          <w:rFonts w:hint="eastAsia" w:ascii="宋体" w:hAnsi="宋体"/>
          <w:spacing w:val="6"/>
          <w:sz w:val="28"/>
          <w:szCs w:val="28"/>
          <w:highlight w:val="none"/>
        </w:rPr>
        <w:t xml:space="preserve">项目名称：                              </w:t>
      </w:r>
      <w:r>
        <w:rPr>
          <w:rFonts w:hint="eastAsia" w:ascii="宋体" w:hAnsi="宋体" w:cs="宋体"/>
          <w:sz w:val="28"/>
          <w:szCs w:val="28"/>
          <w:highlight w:val="none"/>
        </w:rPr>
        <w:t>包件号：XXX</w:t>
      </w:r>
      <w:r>
        <w:rPr>
          <w:rFonts w:hint="eastAsia" w:ascii="宋体" w:hAnsi="宋体"/>
          <w:spacing w:val="6"/>
          <w:sz w:val="28"/>
          <w:szCs w:val="28"/>
          <w:highlight w:val="none"/>
        </w:rPr>
        <w:t xml:space="preserve">   </w:t>
      </w:r>
    </w:p>
    <w:tbl>
      <w:tblPr>
        <w:tblStyle w:val="4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96"/>
        <w:gridCol w:w="1714"/>
        <w:gridCol w:w="3119"/>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137"/>
              <w:jc w:val="center"/>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序号</w:t>
            </w:r>
          </w:p>
        </w:tc>
        <w:tc>
          <w:tcPr>
            <w:tcW w:w="696" w:type="dxa"/>
            <w:vAlign w:val="center"/>
          </w:tcPr>
          <w:p>
            <w:pPr>
              <w:pStyle w:val="137"/>
              <w:jc w:val="center"/>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包件号</w:t>
            </w:r>
          </w:p>
        </w:tc>
        <w:tc>
          <w:tcPr>
            <w:tcW w:w="1714" w:type="dxa"/>
            <w:vAlign w:val="center"/>
          </w:tcPr>
          <w:p>
            <w:pPr>
              <w:pStyle w:val="137"/>
              <w:jc w:val="center"/>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招标文件条目号</w:t>
            </w:r>
          </w:p>
        </w:tc>
        <w:tc>
          <w:tcPr>
            <w:tcW w:w="3119" w:type="dxa"/>
            <w:vAlign w:val="center"/>
          </w:tcPr>
          <w:p>
            <w:pPr>
              <w:pStyle w:val="137"/>
              <w:jc w:val="center"/>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招标文件要求</w:t>
            </w:r>
          </w:p>
        </w:tc>
        <w:tc>
          <w:tcPr>
            <w:tcW w:w="2835" w:type="dxa"/>
            <w:vAlign w:val="center"/>
          </w:tcPr>
          <w:p>
            <w:pPr>
              <w:pStyle w:val="137"/>
              <w:jc w:val="center"/>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投标文件的应答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pStyle w:val="137"/>
              <w:rPr>
                <w:rFonts w:asciiTheme="minorEastAsia" w:hAnsiTheme="minorEastAsia" w:eastAsiaTheme="minorEastAsia" w:cstheme="minorEastAsia"/>
                <w:sz w:val="28"/>
                <w:szCs w:val="28"/>
                <w:highlight w:val="none"/>
              </w:rPr>
            </w:pPr>
          </w:p>
        </w:tc>
        <w:tc>
          <w:tcPr>
            <w:tcW w:w="696" w:type="dxa"/>
          </w:tcPr>
          <w:p>
            <w:pPr>
              <w:pStyle w:val="137"/>
              <w:rPr>
                <w:rFonts w:asciiTheme="minorEastAsia" w:hAnsiTheme="minorEastAsia" w:eastAsiaTheme="minorEastAsia" w:cstheme="minorEastAsia"/>
                <w:sz w:val="28"/>
                <w:szCs w:val="28"/>
                <w:highlight w:val="none"/>
              </w:rPr>
            </w:pPr>
          </w:p>
        </w:tc>
        <w:tc>
          <w:tcPr>
            <w:tcW w:w="1714" w:type="dxa"/>
          </w:tcPr>
          <w:p>
            <w:pPr>
              <w:pStyle w:val="137"/>
              <w:rPr>
                <w:rFonts w:asciiTheme="minorEastAsia" w:hAnsiTheme="minorEastAsia" w:eastAsiaTheme="minorEastAsia" w:cstheme="minorEastAsia"/>
                <w:sz w:val="28"/>
                <w:szCs w:val="28"/>
                <w:highlight w:val="none"/>
              </w:rPr>
            </w:pPr>
          </w:p>
        </w:tc>
        <w:tc>
          <w:tcPr>
            <w:tcW w:w="3119" w:type="dxa"/>
          </w:tcPr>
          <w:p>
            <w:pPr>
              <w:pStyle w:val="137"/>
              <w:rPr>
                <w:rFonts w:asciiTheme="minorEastAsia" w:hAnsiTheme="minorEastAsia" w:eastAsiaTheme="minorEastAsia" w:cstheme="minorEastAsia"/>
                <w:sz w:val="28"/>
                <w:szCs w:val="28"/>
                <w:highlight w:val="none"/>
              </w:rPr>
            </w:pPr>
          </w:p>
        </w:tc>
        <w:tc>
          <w:tcPr>
            <w:tcW w:w="2835" w:type="dxa"/>
          </w:tcPr>
          <w:p>
            <w:pPr>
              <w:pStyle w:val="137"/>
              <w:rPr>
                <w:rFonts w:asciiTheme="minorEastAsia" w:hAnsiTheme="minorEastAsia" w:eastAsiaTheme="minorEastAsia" w:cstheme="minorEastAsia"/>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pStyle w:val="137"/>
              <w:rPr>
                <w:rFonts w:asciiTheme="minorEastAsia" w:hAnsiTheme="minorEastAsia" w:eastAsiaTheme="minorEastAsia" w:cstheme="minorEastAsia"/>
                <w:sz w:val="28"/>
                <w:szCs w:val="28"/>
                <w:highlight w:val="none"/>
              </w:rPr>
            </w:pPr>
          </w:p>
        </w:tc>
        <w:tc>
          <w:tcPr>
            <w:tcW w:w="696" w:type="dxa"/>
          </w:tcPr>
          <w:p>
            <w:pPr>
              <w:pStyle w:val="137"/>
              <w:rPr>
                <w:rFonts w:asciiTheme="minorEastAsia" w:hAnsiTheme="minorEastAsia" w:eastAsiaTheme="minorEastAsia" w:cstheme="minorEastAsia"/>
                <w:sz w:val="28"/>
                <w:szCs w:val="28"/>
                <w:highlight w:val="none"/>
              </w:rPr>
            </w:pPr>
          </w:p>
        </w:tc>
        <w:tc>
          <w:tcPr>
            <w:tcW w:w="1714" w:type="dxa"/>
          </w:tcPr>
          <w:p>
            <w:pPr>
              <w:pStyle w:val="137"/>
              <w:rPr>
                <w:rFonts w:asciiTheme="minorEastAsia" w:hAnsiTheme="minorEastAsia" w:eastAsiaTheme="minorEastAsia" w:cstheme="minorEastAsia"/>
                <w:sz w:val="28"/>
                <w:szCs w:val="28"/>
                <w:highlight w:val="none"/>
              </w:rPr>
            </w:pPr>
          </w:p>
        </w:tc>
        <w:tc>
          <w:tcPr>
            <w:tcW w:w="3119" w:type="dxa"/>
          </w:tcPr>
          <w:p>
            <w:pPr>
              <w:pStyle w:val="137"/>
              <w:rPr>
                <w:rFonts w:asciiTheme="minorEastAsia" w:hAnsiTheme="minorEastAsia" w:eastAsiaTheme="minorEastAsia" w:cstheme="minorEastAsia"/>
                <w:sz w:val="28"/>
                <w:szCs w:val="28"/>
                <w:highlight w:val="none"/>
              </w:rPr>
            </w:pPr>
          </w:p>
        </w:tc>
        <w:tc>
          <w:tcPr>
            <w:tcW w:w="2835" w:type="dxa"/>
          </w:tcPr>
          <w:p>
            <w:pPr>
              <w:pStyle w:val="137"/>
              <w:rPr>
                <w:rFonts w:asciiTheme="minorEastAsia" w:hAnsiTheme="minorEastAsia" w:eastAsiaTheme="minorEastAsia" w:cstheme="minorEastAsia"/>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nil"/>
            </w:tcBorders>
          </w:tcPr>
          <w:p>
            <w:pPr>
              <w:pStyle w:val="137"/>
              <w:rPr>
                <w:rFonts w:asciiTheme="minorEastAsia" w:hAnsiTheme="minorEastAsia" w:eastAsiaTheme="minorEastAsia" w:cstheme="minorEastAsia"/>
                <w:sz w:val="28"/>
                <w:szCs w:val="28"/>
                <w:highlight w:val="none"/>
              </w:rPr>
            </w:pPr>
          </w:p>
        </w:tc>
        <w:tc>
          <w:tcPr>
            <w:tcW w:w="696" w:type="dxa"/>
            <w:tcBorders>
              <w:top w:val="nil"/>
            </w:tcBorders>
          </w:tcPr>
          <w:p>
            <w:pPr>
              <w:pStyle w:val="137"/>
              <w:rPr>
                <w:rFonts w:asciiTheme="minorEastAsia" w:hAnsiTheme="minorEastAsia" w:eastAsiaTheme="minorEastAsia" w:cstheme="minorEastAsia"/>
                <w:sz w:val="28"/>
                <w:szCs w:val="28"/>
                <w:highlight w:val="none"/>
              </w:rPr>
            </w:pPr>
          </w:p>
        </w:tc>
        <w:tc>
          <w:tcPr>
            <w:tcW w:w="1714" w:type="dxa"/>
          </w:tcPr>
          <w:p>
            <w:pPr>
              <w:pStyle w:val="137"/>
              <w:rPr>
                <w:rFonts w:asciiTheme="minorEastAsia" w:hAnsiTheme="minorEastAsia" w:eastAsiaTheme="minorEastAsia" w:cstheme="minorEastAsia"/>
                <w:sz w:val="28"/>
                <w:szCs w:val="28"/>
                <w:highlight w:val="none"/>
              </w:rPr>
            </w:pPr>
          </w:p>
        </w:tc>
        <w:tc>
          <w:tcPr>
            <w:tcW w:w="3119" w:type="dxa"/>
          </w:tcPr>
          <w:p>
            <w:pPr>
              <w:pStyle w:val="137"/>
              <w:rPr>
                <w:rFonts w:asciiTheme="minorEastAsia" w:hAnsiTheme="minorEastAsia" w:eastAsiaTheme="minorEastAsia" w:cstheme="minorEastAsia"/>
                <w:sz w:val="28"/>
                <w:szCs w:val="28"/>
                <w:highlight w:val="none"/>
              </w:rPr>
            </w:pPr>
          </w:p>
        </w:tc>
        <w:tc>
          <w:tcPr>
            <w:tcW w:w="2835" w:type="dxa"/>
          </w:tcPr>
          <w:p>
            <w:pPr>
              <w:pStyle w:val="137"/>
              <w:rPr>
                <w:rFonts w:asciiTheme="minorEastAsia" w:hAnsiTheme="minorEastAsia" w:eastAsiaTheme="minorEastAsia" w:cstheme="minorEastAsia"/>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pStyle w:val="137"/>
              <w:rPr>
                <w:rFonts w:asciiTheme="minorEastAsia" w:hAnsiTheme="minorEastAsia" w:eastAsiaTheme="minorEastAsia" w:cstheme="minorEastAsia"/>
                <w:sz w:val="28"/>
                <w:szCs w:val="28"/>
                <w:highlight w:val="none"/>
              </w:rPr>
            </w:pPr>
          </w:p>
        </w:tc>
        <w:tc>
          <w:tcPr>
            <w:tcW w:w="696" w:type="dxa"/>
          </w:tcPr>
          <w:p>
            <w:pPr>
              <w:pStyle w:val="137"/>
              <w:rPr>
                <w:rFonts w:asciiTheme="minorEastAsia" w:hAnsiTheme="minorEastAsia" w:eastAsiaTheme="minorEastAsia" w:cstheme="minorEastAsia"/>
                <w:sz w:val="28"/>
                <w:szCs w:val="28"/>
                <w:highlight w:val="none"/>
              </w:rPr>
            </w:pPr>
          </w:p>
        </w:tc>
        <w:tc>
          <w:tcPr>
            <w:tcW w:w="1714" w:type="dxa"/>
          </w:tcPr>
          <w:p>
            <w:pPr>
              <w:pStyle w:val="137"/>
              <w:rPr>
                <w:rFonts w:asciiTheme="minorEastAsia" w:hAnsiTheme="minorEastAsia" w:eastAsiaTheme="minorEastAsia" w:cstheme="minorEastAsia"/>
                <w:sz w:val="28"/>
                <w:szCs w:val="28"/>
                <w:highlight w:val="none"/>
              </w:rPr>
            </w:pPr>
          </w:p>
        </w:tc>
        <w:tc>
          <w:tcPr>
            <w:tcW w:w="3119" w:type="dxa"/>
          </w:tcPr>
          <w:p>
            <w:pPr>
              <w:pStyle w:val="137"/>
              <w:rPr>
                <w:rFonts w:asciiTheme="minorEastAsia" w:hAnsiTheme="minorEastAsia" w:eastAsiaTheme="minorEastAsia" w:cstheme="minorEastAsia"/>
                <w:sz w:val="28"/>
                <w:szCs w:val="28"/>
                <w:highlight w:val="none"/>
              </w:rPr>
            </w:pPr>
          </w:p>
        </w:tc>
        <w:tc>
          <w:tcPr>
            <w:tcW w:w="2835" w:type="dxa"/>
          </w:tcPr>
          <w:p>
            <w:pPr>
              <w:pStyle w:val="137"/>
              <w:rPr>
                <w:rFonts w:asciiTheme="minorEastAsia" w:hAnsiTheme="minorEastAsia" w:eastAsiaTheme="minorEastAsia" w:cstheme="minorEastAsia"/>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pStyle w:val="137"/>
              <w:rPr>
                <w:rFonts w:asciiTheme="minorEastAsia" w:hAnsiTheme="minorEastAsia" w:eastAsiaTheme="minorEastAsia" w:cstheme="minorEastAsia"/>
                <w:sz w:val="28"/>
                <w:szCs w:val="28"/>
                <w:highlight w:val="none"/>
              </w:rPr>
            </w:pPr>
          </w:p>
        </w:tc>
        <w:tc>
          <w:tcPr>
            <w:tcW w:w="696" w:type="dxa"/>
          </w:tcPr>
          <w:p>
            <w:pPr>
              <w:pStyle w:val="137"/>
              <w:rPr>
                <w:rFonts w:asciiTheme="minorEastAsia" w:hAnsiTheme="minorEastAsia" w:eastAsiaTheme="minorEastAsia" w:cstheme="minorEastAsia"/>
                <w:sz w:val="28"/>
                <w:szCs w:val="28"/>
                <w:highlight w:val="none"/>
              </w:rPr>
            </w:pPr>
          </w:p>
        </w:tc>
        <w:tc>
          <w:tcPr>
            <w:tcW w:w="1714" w:type="dxa"/>
          </w:tcPr>
          <w:p>
            <w:pPr>
              <w:pStyle w:val="137"/>
              <w:rPr>
                <w:rFonts w:asciiTheme="minorEastAsia" w:hAnsiTheme="minorEastAsia" w:eastAsiaTheme="minorEastAsia" w:cstheme="minorEastAsia"/>
                <w:sz w:val="28"/>
                <w:szCs w:val="28"/>
                <w:highlight w:val="none"/>
              </w:rPr>
            </w:pPr>
          </w:p>
        </w:tc>
        <w:tc>
          <w:tcPr>
            <w:tcW w:w="3119" w:type="dxa"/>
          </w:tcPr>
          <w:p>
            <w:pPr>
              <w:pStyle w:val="137"/>
              <w:rPr>
                <w:rFonts w:asciiTheme="minorEastAsia" w:hAnsiTheme="minorEastAsia" w:eastAsiaTheme="minorEastAsia" w:cstheme="minorEastAsia"/>
                <w:sz w:val="28"/>
                <w:szCs w:val="28"/>
                <w:highlight w:val="none"/>
              </w:rPr>
            </w:pPr>
          </w:p>
        </w:tc>
        <w:tc>
          <w:tcPr>
            <w:tcW w:w="2835" w:type="dxa"/>
          </w:tcPr>
          <w:p>
            <w:pPr>
              <w:pStyle w:val="137"/>
              <w:rPr>
                <w:rFonts w:asciiTheme="minorEastAsia" w:hAnsiTheme="minorEastAsia" w:eastAsiaTheme="minorEastAsia" w:cstheme="minorEastAsia"/>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pStyle w:val="137"/>
              <w:rPr>
                <w:rFonts w:asciiTheme="minorEastAsia" w:hAnsiTheme="minorEastAsia" w:eastAsiaTheme="minorEastAsia" w:cstheme="minorEastAsia"/>
                <w:sz w:val="28"/>
                <w:szCs w:val="28"/>
                <w:highlight w:val="none"/>
              </w:rPr>
            </w:pPr>
          </w:p>
        </w:tc>
        <w:tc>
          <w:tcPr>
            <w:tcW w:w="696" w:type="dxa"/>
          </w:tcPr>
          <w:p>
            <w:pPr>
              <w:pStyle w:val="137"/>
              <w:rPr>
                <w:rFonts w:asciiTheme="minorEastAsia" w:hAnsiTheme="minorEastAsia" w:eastAsiaTheme="minorEastAsia" w:cstheme="minorEastAsia"/>
                <w:sz w:val="28"/>
                <w:szCs w:val="28"/>
                <w:highlight w:val="none"/>
              </w:rPr>
            </w:pPr>
          </w:p>
        </w:tc>
        <w:tc>
          <w:tcPr>
            <w:tcW w:w="1714" w:type="dxa"/>
          </w:tcPr>
          <w:p>
            <w:pPr>
              <w:pStyle w:val="137"/>
              <w:rPr>
                <w:rFonts w:asciiTheme="minorEastAsia" w:hAnsiTheme="minorEastAsia" w:eastAsiaTheme="minorEastAsia" w:cstheme="minorEastAsia"/>
                <w:sz w:val="28"/>
                <w:szCs w:val="28"/>
                <w:highlight w:val="none"/>
              </w:rPr>
            </w:pPr>
          </w:p>
        </w:tc>
        <w:tc>
          <w:tcPr>
            <w:tcW w:w="3119" w:type="dxa"/>
          </w:tcPr>
          <w:p>
            <w:pPr>
              <w:pStyle w:val="137"/>
              <w:rPr>
                <w:rFonts w:asciiTheme="minorEastAsia" w:hAnsiTheme="minorEastAsia" w:eastAsiaTheme="minorEastAsia" w:cstheme="minorEastAsia"/>
                <w:sz w:val="28"/>
                <w:szCs w:val="28"/>
                <w:highlight w:val="none"/>
              </w:rPr>
            </w:pPr>
          </w:p>
        </w:tc>
        <w:tc>
          <w:tcPr>
            <w:tcW w:w="2835" w:type="dxa"/>
          </w:tcPr>
          <w:p>
            <w:pPr>
              <w:pStyle w:val="137"/>
              <w:rPr>
                <w:rFonts w:asciiTheme="minorEastAsia" w:hAnsiTheme="minorEastAsia" w:eastAsiaTheme="minorEastAsia" w:cstheme="minorEastAsia"/>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pStyle w:val="137"/>
              <w:rPr>
                <w:rFonts w:asciiTheme="minorEastAsia" w:hAnsiTheme="minorEastAsia" w:eastAsiaTheme="minorEastAsia" w:cstheme="minorEastAsia"/>
                <w:sz w:val="28"/>
                <w:szCs w:val="28"/>
                <w:highlight w:val="none"/>
              </w:rPr>
            </w:pPr>
          </w:p>
        </w:tc>
        <w:tc>
          <w:tcPr>
            <w:tcW w:w="696" w:type="dxa"/>
          </w:tcPr>
          <w:p>
            <w:pPr>
              <w:pStyle w:val="137"/>
              <w:rPr>
                <w:rFonts w:asciiTheme="minorEastAsia" w:hAnsiTheme="minorEastAsia" w:eastAsiaTheme="minorEastAsia" w:cstheme="minorEastAsia"/>
                <w:sz w:val="28"/>
                <w:szCs w:val="28"/>
                <w:highlight w:val="none"/>
              </w:rPr>
            </w:pPr>
          </w:p>
        </w:tc>
        <w:tc>
          <w:tcPr>
            <w:tcW w:w="1714" w:type="dxa"/>
          </w:tcPr>
          <w:p>
            <w:pPr>
              <w:pStyle w:val="137"/>
              <w:rPr>
                <w:rFonts w:asciiTheme="minorEastAsia" w:hAnsiTheme="minorEastAsia" w:eastAsiaTheme="minorEastAsia" w:cstheme="minorEastAsia"/>
                <w:sz w:val="28"/>
                <w:szCs w:val="28"/>
                <w:highlight w:val="none"/>
              </w:rPr>
            </w:pPr>
          </w:p>
        </w:tc>
        <w:tc>
          <w:tcPr>
            <w:tcW w:w="3119" w:type="dxa"/>
          </w:tcPr>
          <w:p>
            <w:pPr>
              <w:pStyle w:val="137"/>
              <w:rPr>
                <w:rFonts w:asciiTheme="minorEastAsia" w:hAnsiTheme="minorEastAsia" w:eastAsiaTheme="minorEastAsia" w:cstheme="minorEastAsia"/>
                <w:sz w:val="28"/>
                <w:szCs w:val="28"/>
                <w:highlight w:val="none"/>
              </w:rPr>
            </w:pPr>
          </w:p>
        </w:tc>
        <w:tc>
          <w:tcPr>
            <w:tcW w:w="2835" w:type="dxa"/>
          </w:tcPr>
          <w:p>
            <w:pPr>
              <w:pStyle w:val="137"/>
              <w:rPr>
                <w:rFonts w:asciiTheme="minorEastAsia" w:hAnsiTheme="minorEastAsia" w:eastAsiaTheme="minorEastAsia" w:cstheme="minorEastAsia"/>
                <w:sz w:val="28"/>
                <w:szCs w:val="28"/>
                <w:highlight w:val="none"/>
              </w:rPr>
            </w:pPr>
          </w:p>
        </w:tc>
      </w:tr>
    </w:tbl>
    <w:p>
      <w:pPr>
        <w:spacing w:line="400" w:lineRule="exact"/>
        <w:ind w:left="680" w:leftChars="57" w:hanging="560" w:hangingChars="200"/>
        <w:rPr>
          <w:rFonts w:asciiTheme="minorEastAsia" w:hAnsiTheme="minorEastAsia" w:eastAsiaTheme="minorEastAsia" w:cstheme="minorEastAsia"/>
          <w:sz w:val="28"/>
          <w:szCs w:val="28"/>
          <w:highlight w:val="none"/>
        </w:rPr>
      </w:pPr>
    </w:p>
    <w:p>
      <w:pPr>
        <w:spacing w:line="360" w:lineRule="auto"/>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注：1. 供应商必须把招标项目对应包件的全部服务内容事项列入此表。</w:t>
      </w:r>
    </w:p>
    <w:p>
      <w:pPr>
        <w:spacing w:line="360" w:lineRule="auto"/>
        <w:ind w:firstLine="560" w:firstLineChars="200"/>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2．按照招标项目对应包件服务要求的顺序对应填写。</w:t>
      </w:r>
    </w:p>
    <w:p>
      <w:pPr>
        <w:spacing w:line="360" w:lineRule="auto"/>
        <w:ind w:firstLine="560" w:firstLineChars="200"/>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3．供应商必须据实填写，不得虚假填写，否则将取消其投标或中标资格。</w:t>
      </w:r>
    </w:p>
    <w:p>
      <w:pPr>
        <w:spacing w:line="360" w:lineRule="auto"/>
        <w:rPr>
          <w:sz w:val="24"/>
          <w:highlight w:val="none"/>
        </w:rPr>
      </w:pPr>
    </w:p>
    <w:p>
      <w:pPr>
        <w:tabs>
          <w:tab w:val="left" w:pos="3969"/>
        </w:tabs>
        <w:spacing w:line="588" w:lineRule="exact"/>
        <w:ind w:right="-58"/>
        <w:jc w:val="left"/>
        <w:rPr>
          <w:rFonts w:ascii="宋体" w:hAnsi="宋体"/>
          <w:spacing w:val="6"/>
          <w:sz w:val="28"/>
          <w:szCs w:val="28"/>
          <w:highlight w:val="none"/>
        </w:rPr>
      </w:pPr>
      <w:r>
        <w:rPr>
          <w:rFonts w:hint="eastAsia" w:ascii="宋体" w:hAnsi="宋体"/>
          <w:spacing w:val="6"/>
          <w:sz w:val="28"/>
          <w:szCs w:val="28"/>
          <w:highlight w:val="none"/>
        </w:rPr>
        <w:t>供应商名称：</w:t>
      </w:r>
      <w:r>
        <w:rPr>
          <w:rFonts w:hint="eastAsia" w:ascii="宋体" w:hAnsi="宋体"/>
          <w:bCs/>
          <w:sz w:val="28"/>
          <w:szCs w:val="28"/>
          <w:highlight w:val="none"/>
          <w:u w:val="single"/>
        </w:rPr>
        <w:t>XXXX</w:t>
      </w:r>
    </w:p>
    <w:p>
      <w:pPr>
        <w:tabs>
          <w:tab w:val="left" w:pos="3969"/>
        </w:tabs>
        <w:spacing w:line="588" w:lineRule="exact"/>
        <w:ind w:right="-58"/>
        <w:jc w:val="left"/>
        <w:rPr>
          <w:rFonts w:ascii="宋体" w:hAnsi="宋体"/>
          <w:bCs/>
          <w:sz w:val="28"/>
          <w:highlight w:val="none"/>
        </w:rPr>
      </w:pPr>
      <w:r>
        <w:rPr>
          <w:rFonts w:hint="eastAsia" w:ascii="宋体" w:hAnsi="宋体"/>
          <w:spacing w:val="6"/>
          <w:sz w:val="28"/>
          <w:szCs w:val="28"/>
          <w:highlight w:val="none"/>
        </w:rPr>
        <w:t>日  期：</w:t>
      </w:r>
      <w:r>
        <w:rPr>
          <w:rFonts w:hint="eastAsia" w:ascii="宋体" w:hAnsi="宋体"/>
          <w:bCs/>
          <w:sz w:val="28"/>
          <w:highlight w:val="none"/>
        </w:rPr>
        <w:t>20</w:t>
      </w:r>
      <w:r>
        <w:rPr>
          <w:rFonts w:hint="eastAsia" w:ascii="宋体" w:hAnsi="宋体"/>
          <w:sz w:val="28"/>
          <w:szCs w:val="28"/>
          <w:highlight w:val="none"/>
          <w:u w:val="single"/>
        </w:rPr>
        <w:t>X</w:t>
      </w:r>
      <w:r>
        <w:rPr>
          <w:rFonts w:hint="eastAsia" w:ascii="宋体" w:hAnsi="宋体"/>
          <w:bCs/>
          <w:sz w:val="28"/>
          <w:highlight w:val="none"/>
          <w:u w:val="single"/>
        </w:rPr>
        <w:t>X</w:t>
      </w:r>
      <w:r>
        <w:rPr>
          <w:rFonts w:hint="eastAsia" w:ascii="宋体" w:hAnsi="宋体"/>
          <w:bCs/>
          <w:sz w:val="28"/>
          <w:highlight w:val="none"/>
        </w:rPr>
        <w:t>年</w:t>
      </w:r>
      <w:r>
        <w:rPr>
          <w:rFonts w:hint="eastAsia" w:ascii="宋体" w:hAnsi="宋体"/>
          <w:bCs/>
          <w:sz w:val="28"/>
          <w:highlight w:val="none"/>
          <w:u w:val="single"/>
        </w:rPr>
        <w:t>XX</w:t>
      </w:r>
      <w:r>
        <w:rPr>
          <w:rFonts w:hint="eastAsia" w:ascii="宋体" w:hAnsi="宋体"/>
          <w:bCs/>
          <w:sz w:val="28"/>
          <w:highlight w:val="none"/>
        </w:rPr>
        <w:t>月</w:t>
      </w:r>
      <w:r>
        <w:rPr>
          <w:rFonts w:hint="eastAsia" w:ascii="宋体" w:hAnsi="宋体"/>
          <w:bCs/>
          <w:sz w:val="28"/>
          <w:highlight w:val="none"/>
          <w:u w:val="single"/>
        </w:rPr>
        <w:t>XX</w:t>
      </w:r>
      <w:r>
        <w:rPr>
          <w:rFonts w:hint="eastAsia" w:ascii="宋体" w:hAnsi="宋体"/>
          <w:bCs/>
          <w:sz w:val="28"/>
          <w:highlight w:val="none"/>
        </w:rPr>
        <w:t>日</w:t>
      </w:r>
    </w:p>
    <w:p>
      <w:pPr>
        <w:pStyle w:val="2"/>
        <w:rPr>
          <w:highlight w:val="none"/>
        </w:rPr>
      </w:pPr>
    </w:p>
    <w:p>
      <w:pPr>
        <w:pStyle w:val="3"/>
        <w:ind w:firstLine="180"/>
        <w:rPr>
          <w:highlight w:val="none"/>
        </w:rPr>
      </w:pPr>
    </w:p>
    <w:p>
      <w:pPr>
        <w:pStyle w:val="3"/>
        <w:ind w:firstLine="180"/>
        <w:rPr>
          <w:highlight w:val="none"/>
        </w:rPr>
      </w:pPr>
    </w:p>
    <w:p>
      <w:pPr>
        <w:pStyle w:val="3"/>
        <w:ind w:firstLine="180"/>
        <w:rPr>
          <w:highlight w:val="none"/>
        </w:rPr>
      </w:pPr>
    </w:p>
    <w:p>
      <w:pPr>
        <w:pStyle w:val="3"/>
        <w:ind w:firstLine="180"/>
        <w:rPr>
          <w:highlight w:val="none"/>
        </w:rPr>
      </w:pPr>
    </w:p>
    <w:p>
      <w:pPr>
        <w:pStyle w:val="3"/>
        <w:ind w:firstLine="180"/>
        <w:rPr>
          <w:highlight w:val="none"/>
        </w:rPr>
      </w:pPr>
    </w:p>
    <w:p>
      <w:pPr>
        <w:pStyle w:val="3"/>
        <w:ind w:firstLine="180"/>
        <w:rPr>
          <w:highlight w:val="none"/>
        </w:rPr>
      </w:pPr>
    </w:p>
    <w:p>
      <w:pPr>
        <w:keepNext/>
        <w:keepLines/>
        <w:numPr>
          <w:ilvl w:val="2"/>
          <w:numId w:val="3"/>
        </w:numPr>
        <w:spacing w:line="360" w:lineRule="auto"/>
        <w:ind w:left="3119" w:hanging="3119"/>
        <w:outlineLvl w:val="2"/>
        <w:rPr>
          <w:rFonts w:ascii="宋体" w:hAnsi="宋体"/>
          <w:b/>
          <w:bCs/>
          <w:sz w:val="28"/>
          <w:szCs w:val="28"/>
          <w:highlight w:val="none"/>
        </w:rPr>
      </w:pPr>
      <w:bookmarkStart w:id="246" w:name="_Toc514319662"/>
      <w:bookmarkStart w:id="247" w:name="_Toc22568"/>
      <w:r>
        <w:rPr>
          <w:rFonts w:hint="eastAsia" w:ascii="宋体" w:hAnsi="宋体"/>
          <w:b/>
          <w:bCs/>
          <w:sz w:val="28"/>
          <w:szCs w:val="28"/>
          <w:highlight w:val="none"/>
        </w:rPr>
        <w:t>其他供应商认为需要提供的文件和资料</w:t>
      </w:r>
      <w:bookmarkEnd w:id="246"/>
      <w:bookmarkEnd w:id="247"/>
    </w:p>
    <w:p>
      <w:pPr>
        <w:pStyle w:val="3"/>
        <w:ind w:firstLine="180"/>
        <w:rPr>
          <w:highlight w:val="none"/>
        </w:rPr>
      </w:pPr>
    </w:p>
    <w:p>
      <w:pPr>
        <w:pStyle w:val="2"/>
        <w:ind w:firstLine="1405" w:firstLineChars="500"/>
        <w:rPr>
          <w:rFonts w:ascii="宋体" w:hAnsi="宋体" w:cs="宋体"/>
          <w:b/>
          <w:sz w:val="28"/>
          <w:szCs w:val="28"/>
          <w:highlight w:val="none"/>
        </w:rPr>
      </w:pPr>
    </w:p>
    <w:p>
      <w:pPr>
        <w:pStyle w:val="2"/>
        <w:ind w:firstLine="1405" w:firstLineChars="500"/>
        <w:rPr>
          <w:rFonts w:ascii="宋体" w:hAnsi="宋体" w:cs="宋体"/>
          <w:b/>
          <w:sz w:val="28"/>
          <w:szCs w:val="28"/>
          <w:highlight w:val="none"/>
        </w:rPr>
      </w:pPr>
    </w:p>
    <w:p>
      <w:pPr>
        <w:pStyle w:val="2"/>
        <w:ind w:firstLine="3092" w:firstLineChars="1100"/>
        <w:rPr>
          <w:rFonts w:ascii="宋体" w:hAnsi="宋体" w:cs="宋体"/>
          <w:b/>
          <w:sz w:val="32"/>
          <w:szCs w:val="28"/>
          <w:highlight w:val="none"/>
        </w:rPr>
      </w:pPr>
      <w:r>
        <w:rPr>
          <w:rFonts w:hint="eastAsia" w:ascii="宋体" w:hAnsi="宋体" w:cs="宋体"/>
          <w:b/>
          <w:sz w:val="28"/>
          <w:szCs w:val="28"/>
          <w:highlight w:val="none"/>
        </w:rPr>
        <w:t>包件号：XXX</w:t>
      </w:r>
    </w:p>
    <w:p>
      <w:pPr>
        <w:pStyle w:val="2"/>
        <w:ind w:firstLine="1606" w:firstLineChars="500"/>
        <w:jc w:val="center"/>
        <w:rPr>
          <w:rFonts w:ascii="宋体" w:hAnsi="宋体" w:cs="宋体"/>
          <w:b/>
          <w:sz w:val="32"/>
          <w:szCs w:val="28"/>
          <w:highlight w:val="none"/>
        </w:rPr>
      </w:pPr>
    </w:p>
    <w:p>
      <w:pPr>
        <w:pStyle w:val="2"/>
        <w:ind w:firstLine="1606" w:firstLineChars="500"/>
        <w:jc w:val="center"/>
        <w:rPr>
          <w:rFonts w:ascii="宋体" w:hAnsi="宋体" w:cs="宋体"/>
          <w:b/>
          <w:sz w:val="32"/>
          <w:szCs w:val="28"/>
          <w:highlight w:val="none"/>
        </w:rPr>
      </w:pPr>
    </w:p>
    <w:p>
      <w:pPr>
        <w:pStyle w:val="14"/>
        <w:spacing w:after="0" w:line="240" w:lineRule="auto"/>
        <w:ind w:firstLine="0"/>
        <w:jc w:val="center"/>
        <w:rPr>
          <w:rFonts w:ascii="宋体" w:hAnsi="宋体" w:cs="宋体"/>
          <w:b/>
          <w:kern w:val="0"/>
          <w:sz w:val="32"/>
          <w:szCs w:val="28"/>
          <w:highlight w:val="none"/>
        </w:rPr>
      </w:pPr>
      <w:r>
        <w:rPr>
          <w:rFonts w:hint="eastAsia" w:ascii="宋体" w:hAnsi="宋体" w:cs="宋体"/>
          <w:b/>
          <w:kern w:val="0"/>
          <w:sz w:val="32"/>
          <w:szCs w:val="28"/>
          <w:highlight w:val="none"/>
        </w:rPr>
        <w:t>（具体内容由各供应商自拟）</w:t>
      </w:r>
    </w:p>
    <w:p>
      <w:pPr>
        <w:pStyle w:val="14"/>
        <w:spacing w:after="0" w:line="240" w:lineRule="auto"/>
        <w:ind w:firstLine="0"/>
        <w:jc w:val="center"/>
        <w:rPr>
          <w:rFonts w:ascii="宋体" w:hAnsi="宋体" w:cs="宋体"/>
          <w:b/>
          <w:kern w:val="0"/>
          <w:sz w:val="32"/>
          <w:szCs w:val="28"/>
          <w:highlight w:val="none"/>
        </w:rPr>
      </w:pPr>
    </w:p>
    <w:p>
      <w:pPr>
        <w:pStyle w:val="14"/>
        <w:spacing w:after="0" w:line="240" w:lineRule="auto"/>
        <w:ind w:firstLine="0"/>
        <w:jc w:val="center"/>
        <w:rPr>
          <w:rFonts w:ascii="宋体" w:hAnsi="宋体" w:cs="宋体"/>
          <w:b/>
          <w:kern w:val="0"/>
          <w:sz w:val="32"/>
          <w:szCs w:val="28"/>
          <w:highlight w:val="none"/>
        </w:rPr>
      </w:pPr>
    </w:p>
    <w:p>
      <w:pPr>
        <w:pStyle w:val="14"/>
        <w:spacing w:after="0" w:line="240" w:lineRule="auto"/>
        <w:ind w:firstLine="0"/>
        <w:jc w:val="center"/>
        <w:rPr>
          <w:rFonts w:ascii="宋体" w:hAnsi="宋体" w:cs="宋体"/>
          <w:b/>
          <w:kern w:val="0"/>
          <w:sz w:val="32"/>
          <w:szCs w:val="28"/>
          <w:highlight w:val="none"/>
        </w:rPr>
      </w:pPr>
    </w:p>
    <w:p>
      <w:pPr>
        <w:pStyle w:val="14"/>
        <w:spacing w:after="0" w:line="240" w:lineRule="auto"/>
        <w:ind w:firstLine="0"/>
        <w:jc w:val="center"/>
        <w:rPr>
          <w:rFonts w:ascii="宋体" w:hAnsi="宋体" w:cs="宋体"/>
          <w:b/>
          <w:kern w:val="0"/>
          <w:sz w:val="32"/>
          <w:szCs w:val="28"/>
          <w:highlight w:val="none"/>
        </w:rPr>
      </w:pPr>
    </w:p>
    <w:p>
      <w:pPr>
        <w:pStyle w:val="14"/>
        <w:spacing w:after="0" w:line="240" w:lineRule="auto"/>
        <w:ind w:firstLine="0"/>
        <w:jc w:val="center"/>
        <w:rPr>
          <w:rFonts w:ascii="宋体" w:hAnsi="宋体" w:cs="宋体"/>
          <w:b/>
          <w:kern w:val="0"/>
          <w:sz w:val="32"/>
          <w:szCs w:val="28"/>
          <w:highlight w:val="none"/>
        </w:rPr>
      </w:pPr>
    </w:p>
    <w:p>
      <w:pPr>
        <w:pStyle w:val="14"/>
        <w:spacing w:after="0" w:line="240" w:lineRule="auto"/>
        <w:ind w:firstLine="0"/>
        <w:jc w:val="center"/>
        <w:rPr>
          <w:rFonts w:ascii="宋体" w:hAnsi="宋体" w:cs="宋体"/>
          <w:b/>
          <w:kern w:val="0"/>
          <w:sz w:val="32"/>
          <w:szCs w:val="28"/>
          <w:highlight w:val="none"/>
        </w:rPr>
      </w:pPr>
    </w:p>
    <w:p>
      <w:pPr>
        <w:pStyle w:val="14"/>
        <w:spacing w:after="0" w:line="240" w:lineRule="auto"/>
        <w:ind w:firstLine="0"/>
        <w:jc w:val="center"/>
        <w:rPr>
          <w:rFonts w:ascii="宋体" w:hAnsi="宋体" w:cs="宋体"/>
          <w:b/>
          <w:kern w:val="0"/>
          <w:sz w:val="32"/>
          <w:szCs w:val="28"/>
          <w:highlight w:val="none"/>
        </w:rPr>
      </w:pPr>
    </w:p>
    <w:p>
      <w:pPr>
        <w:pStyle w:val="14"/>
        <w:spacing w:after="0" w:line="240" w:lineRule="auto"/>
        <w:ind w:firstLine="0"/>
        <w:jc w:val="center"/>
        <w:rPr>
          <w:rFonts w:ascii="宋体" w:hAnsi="宋体" w:cs="宋体"/>
          <w:b/>
          <w:kern w:val="0"/>
          <w:sz w:val="32"/>
          <w:szCs w:val="28"/>
          <w:highlight w:val="none"/>
        </w:rPr>
      </w:pPr>
    </w:p>
    <w:p>
      <w:pPr>
        <w:pStyle w:val="14"/>
        <w:spacing w:after="0" w:line="240" w:lineRule="auto"/>
        <w:ind w:firstLine="0"/>
        <w:jc w:val="center"/>
        <w:rPr>
          <w:rFonts w:ascii="宋体" w:hAnsi="宋体" w:cs="宋体"/>
          <w:b/>
          <w:kern w:val="0"/>
          <w:sz w:val="32"/>
          <w:szCs w:val="28"/>
          <w:highlight w:val="none"/>
        </w:rPr>
      </w:pPr>
    </w:p>
    <w:p>
      <w:pPr>
        <w:pStyle w:val="14"/>
        <w:spacing w:after="0" w:line="240" w:lineRule="auto"/>
        <w:ind w:firstLine="0"/>
        <w:jc w:val="center"/>
        <w:rPr>
          <w:rFonts w:ascii="宋体" w:hAnsi="宋体" w:cs="宋体"/>
          <w:b/>
          <w:kern w:val="0"/>
          <w:sz w:val="32"/>
          <w:szCs w:val="28"/>
          <w:highlight w:val="none"/>
        </w:rPr>
      </w:pPr>
    </w:p>
    <w:p>
      <w:pPr>
        <w:pStyle w:val="14"/>
        <w:spacing w:after="0" w:line="240" w:lineRule="auto"/>
        <w:ind w:firstLine="0"/>
        <w:jc w:val="center"/>
        <w:rPr>
          <w:rFonts w:ascii="宋体" w:hAnsi="宋体" w:cs="宋体"/>
          <w:b/>
          <w:kern w:val="0"/>
          <w:sz w:val="32"/>
          <w:szCs w:val="28"/>
          <w:highlight w:val="none"/>
        </w:rPr>
      </w:pPr>
    </w:p>
    <w:p>
      <w:pPr>
        <w:pStyle w:val="14"/>
        <w:spacing w:after="0" w:line="240" w:lineRule="auto"/>
        <w:ind w:firstLine="0"/>
        <w:jc w:val="center"/>
        <w:rPr>
          <w:rFonts w:ascii="宋体" w:hAnsi="宋体" w:cs="宋体"/>
          <w:b/>
          <w:kern w:val="0"/>
          <w:sz w:val="32"/>
          <w:szCs w:val="28"/>
          <w:highlight w:val="none"/>
        </w:rPr>
      </w:pPr>
    </w:p>
    <w:p>
      <w:pPr>
        <w:pStyle w:val="14"/>
        <w:spacing w:after="0" w:line="240" w:lineRule="auto"/>
        <w:ind w:firstLine="0"/>
        <w:jc w:val="center"/>
        <w:rPr>
          <w:rFonts w:ascii="宋体" w:hAnsi="宋体" w:cs="宋体"/>
          <w:b/>
          <w:kern w:val="0"/>
          <w:sz w:val="32"/>
          <w:szCs w:val="28"/>
          <w:highlight w:val="none"/>
        </w:rPr>
      </w:pPr>
    </w:p>
    <w:bookmarkEnd w:id="240"/>
    <w:bookmarkEnd w:id="241"/>
    <w:bookmarkEnd w:id="242"/>
    <w:bookmarkEnd w:id="243"/>
    <w:p>
      <w:pPr>
        <w:pStyle w:val="4"/>
        <w:numPr>
          <w:ilvl w:val="0"/>
          <w:numId w:val="3"/>
        </w:numPr>
        <w:rPr>
          <w:highlight w:val="none"/>
        </w:rPr>
      </w:pPr>
      <w:bookmarkStart w:id="248" w:name="_Toc24469"/>
      <w:bookmarkStart w:id="249" w:name="_Toc17291826"/>
      <w:bookmarkStart w:id="250" w:name="_Toc4768"/>
      <w:bookmarkStart w:id="251" w:name="_Toc30585"/>
      <w:bookmarkStart w:id="252" w:name="_Toc1870"/>
      <w:bookmarkStart w:id="253" w:name="_Toc321382057"/>
      <w:bookmarkStart w:id="254" w:name="_Toc316292231"/>
      <w:bookmarkStart w:id="255" w:name="_Toc79654076"/>
      <w:r>
        <w:rPr>
          <w:rFonts w:hint="eastAsia"/>
          <w:color w:val="000000" w:themeColor="text1"/>
          <w:highlight w:val="none"/>
          <w14:textFill>
            <w14:solidFill>
              <w14:schemeClr w14:val="tx1"/>
            </w14:solidFill>
          </w14:textFill>
        </w:rPr>
        <w:t>招标项目服务、商务及其他要求</w:t>
      </w:r>
      <w:bookmarkEnd w:id="248"/>
      <w:bookmarkEnd w:id="249"/>
      <w:bookmarkEnd w:id="250"/>
      <w:bookmarkEnd w:id="251"/>
      <w:bookmarkEnd w:id="252"/>
      <w:bookmarkEnd w:id="253"/>
      <w:bookmarkEnd w:id="254"/>
      <w:bookmarkEnd w:id="255"/>
      <w:bookmarkStart w:id="256" w:name="_Toc24101"/>
      <w:bookmarkStart w:id="257" w:name="_Toc8639"/>
      <w:bookmarkStart w:id="258" w:name="_Toc26497"/>
      <w:bookmarkStart w:id="259" w:name="_Toc21821"/>
      <w:bookmarkStart w:id="260" w:name="_Toc5355"/>
    </w:p>
    <w:p>
      <w:pPr>
        <w:pStyle w:val="3"/>
        <w:ind w:firstLine="0" w:firstLineChars="0"/>
        <w:outlineLvl w:val="1"/>
        <w:rPr>
          <w:rStyle w:val="169"/>
          <w:rFonts w:hint="default"/>
          <w:sz w:val="28"/>
          <w:szCs w:val="28"/>
          <w:highlight w:val="none"/>
        </w:rPr>
      </w:pPr>
      <w:bookmarkStart w:id="261" w:name="_Toc79654077"/>
      <w:r>
        <w:rPr>
          <w:rStyle w:val="169"/>
          <w:rFonts w:hint="default" w:ascii="Times New Roman" w:hAnsi="Times New Roman"/>
          <w:sz w:val="28"/>
          <w:szCs w:val="28"/>
          <w:highlight w:val="none"/>
        </w:rPr>
        <w:t>4.1</w:t>
      </w:r>
      <w:r>
        <w:rPr>
          <w:rStyle w:val="169"/>
          <w:rFonts w:hint="default"/>
          <w:sz w:val="28"/>
          <w:szCs w:val="28"/>
          <w:highlight w:val="none"/>
        </w:rPr>
        <w:t>项目概况</w:t>
      </w:r>
      <w:bookmarkEnd w:id="261"/>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119"/>
        <w:gridCol w:w="4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675" w:type="dxa"/>
            <w:vAlign w:val="center"/>
          </w:tcPr>
          <w:p>
            <w:pPr>
              <w:adjustRightInd w:val="0"/>
              <w:snapToGrid w:val="0"/>
              <w:jc w:val="center"/>
              <w:rPr>
                <w:rFonts w:ascii="宋体" w:hAnsi="宋体" w:cs="宋体"/>
                <w:sz w:val="24"/>
                <w:szCs w:val="24"/>
                <w:highlight w:val="none"/>
              </w:rPr>
            </w:pPr>
            <w:r>
              <w:rPr>
                <w:rFonts w:hint="eastAsia" w:ascii="宋体" w:hAnsi="宋体" w:cs="宋体"/>
                <w:sz w:val="24"/>
                <w:szCs w:val="24"/>
                <w:highlight w:val="none"/>
              </w:rPr>
              <w:t>序号</w:t>
            </w:r>
          </w:p>
        </w:tc>
        <w:tc>
          <w:tcPr>
            <w:tcW w:w="3119" w:type="dxa"/>
            <w:vAlign w:val="center"/>
          </w:tcPr>
          <w:p>
            <w:pPr>
              <w:adjustRightInd w:val="0"/>
              <w:snapToGrid w:val="0"/>
              <w:jc w:val="center"/>
              <w:rPr>
                <w:rFonts w:ascii="宋体" w:hAnsi="宋体" w:cs="宋体"/>
                <w:sz w:val="24"/>
                <w:szCs w:val="24"/>
                <w:highlight w:val="none"/>
              </w:rPr>
            </w:pPr>
            <w:r>
              <w:rPr>
                <w:rFonts w:hint="eastAsia" w:ascii="宋体" w:hAnsi="宋体" w:cs="宋体"/>
                <w:sz w:val="24"/>
                <w:szCs w:val="24"/>
                <w:highlight w:val="none"/>
              </w:rPr>
              <w:t>名称</w:t>
            </w:r>
          </w:p>
        </w:tc>
        <w:tc>
          <w:tcPr>
            <w:tcW w:w="4579" w:type="dxa"/>
            <w:vAlign w:val="center"/>
          </w:tcPr>
          <w:p>
            <w:pPr>
              <w:adjustRightInd w:val="0"/>
              <w:snapToGrid w:val="0"/>
              <w:jc w:val="center"/>
              <w:rPr>
                <w:rFonts w:ascii="宋体" w:hAnsi="宋体" w:cs="宋体"/>
                <w:sz w:val="24"/>
                <w:szCs w:val="24"/>
                <w:highlight w:val="none"/>
              </w:rPr>
            </w:pPr>
            <w:r>
              <w:rPr>
                <w:rFonts w:hint="eastAsia" w:ascii="宋体" w:hAnsi="宋体" w:cs="宋体"/>
                <w:sz w:val="24"/>
                <w:szCs w:val="24"/>
                <w:highlight w:val="none"/>
              </w:rPr>
              <w:t>服务范围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75" w:type="dxa"/>
            <w:vMerge w:val="restart"/>
            <w:vAlign w:val="center"/>
          </w:tcPr>
          <w:p>
            <w:pPr>
              <w:snapToGrid w:val="0"/>
              <w:spacing w:line="300" w:lineRule="auto"/>
              <w:jc w:val="center"/>
              <w:rPr>
                <w:rFonts w:ascii="宋体" w:hAnsi="宋体" w:cs="宋体"/>
                <w:sz w:val="24"/>
                <w:szCs w:val="24"/>
                <w:highlight w:val="none"/>
              </w:rPr>
            </w:pPr>
            <w:r>
              <w:rPr>
                <w:rFonts w:hint="eastAsia" w:ascii="宋体" w:hAnsi="宋体" w:cs="宋体"/>
                <w:sz w:val="24"/>
                <w:szCs w:val="24"/>
                <w:highlight w:val="none"/>
              </w:rPr>
              <w:t>1</w:t>
            </w:r>
          </w:p>
        </w:tc>
        <w:tc>
          <w:tcPr>
            <w:tcW w:w="3119" w:type="dxa"/>
            <w:vMerge w:val="restart"/>
            <w:vAlign w:val="center"/>
          </w:tcPr>
          <w:p>
            <w:pPr>
              <w:snapToGrid w:val="0"/>
              <w:spacing w:line="300" w:lineRule="auto"/>
              <w:rPr>
                <w:rFonts w:ascii="宋体" w:hAnsi="宋体" w:cs="宋体"/>
                <w:sz w:val="24"/>
                <w:szCs w:val="24"/>
                <w:highlight w:val="none"/>
              </w:rPr>
            </w:pPr>
            <w:r>
              <w:rPr>
                <w:rFonts w:hint="eastAsia" w:ascii="宋体" w:hAnsi="宋体" w:cs="宋体"/>
                <w:sz w:val="24"/>
                <w:szCs w:val="24"/>
                <w:highlight w:val="none"/>
              </w:rPr>
              <w:t>地下管线普查成果更新探测服务（包件1-5）</w:t>
            </w:r>
          </w:p>
        </w:tc>
        <w:tc>
          <w:tcPr>
            <w:tcW w:w="4579" w:type="dxa"/>
            <w:vAlign w:val="center"/>
          </w:tcPr>
          <w:p>
            <w:pPr>
              <w:snapToGrid w:val="0"/>
              <w:spacing w:line="300" w:lineRule="auto"/>
              <w:rPr>
                <w:rFonts w:ascii="宋体" w:hAnsi="宋体" w:cs="宋体"/>
                <w:sz w:val="24"/>
                <w:szCs w:val="24"/>
                <w:highlight w:val="none"/>
              </w:rPr>
            </w:pPr>
            <w:r>
              <w:rPr>
                <w:rFonts w:hint="eastAsia" w:ascii="宋体" w:hAnsi="宋体" w:cs="宋体"/>
                <w:sz w:val="24"/>
                <w:szCs w:val="24"/>
                <w:highlight w:val="none"/>
              </w:rPr>
              <w:t>包件1为双楠大道以北（西）；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75" w:type="dxa"/>
            <w:vMerge w:val="continue"/>
            <w:vAlign w:val="center"/>
          </w:tcPr>
          <w:p>
            <w:pPr>
              <w:snapToGrid w:val="0"/>
              <w:spacing w:line="300" w:lineRule="auto"/>
              <w:jc w:val="center"/>
              <w:rPr>
                <w:rFonts w:ascii="宋体" w:hAnsi="宋体" w:cs="宋体"/>
                <w:sz w:val="24"/>
                <w:szCs w:val="24"/>
                <w:highlight w:val="none"/>
              </w:rPr>
            </w:pPr>
          </w:p>
        </w:tc>
        <w:tc>
          <w:tcPr>
            <w:tcW w:w="3119" w:type="dxa"/>
            <w:vMerge w:val="continue"/>
            <w:vAlign w:val="center"/>
          </w:tcPr>
          <w:p>
            <w:pPr>
              <w:snapToGrid w:val="0"/>
              <w:spacing w:line="300" w:lineRule="auto"/>
              <w:rPr>
                <w:rFonts w:ascii="宋体" w:hAnsi="宋体" w:cs="宋体"/>
                <w:sz w:val="24"/>
                <w:szCs w:val="24"/>
                <w:highlight w:val="none"/>
              </w:rPr>
            </w:pPr>
          </w:p>
        </w:tc>
        <w:tc>
          <w:tcPr>
            <w:tcW w:w="4579" w:type="dxa"/>
            <w:vAlign w:val="center"/>
          </w:tcPr>
          <w:p>
            <w:pPr>
              <w:snapToGrid w:val="0"/>
              <w:spacing w:line="300" w:lineRule="auto"/>
              <w:rPr>
                <w:rFonts w:ascii="宋体" w:hAnsi="宋体" w:cs="宋体"/>
                <w:sz w:val="24"/>
                <w:szCs w:val="24"/>
                <w:highlight w:val="none"/>
              </w:rPr>
            </w:pPr>
            <w:r>
              <w:rPr>
                <w:rFonts w:hint="eastAsia" w:ascii="宋体" w:hAnsi="宋体" w:cs="宋体"/>
                <w:sz w:val="24"/>
                <w:szCs w:val="24"/>
                <w:highlight w:val="none"/>
              </w:rPr>
              <w:t>包件2为双楠大道以南（东）、大件路以北、机场南四路以西；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75" w:type="dxa"/>
            <w:vMerge w:val="continue"/>
            <w:vAlign w:val="center"/>
          </w:tcPr>
          <w:p>
            <w:pPr>
              <w:snapToGrid w:val="0"/>
              <w:spacing w:line="300" w:lineRule="auto"/>
              <w:jc w:val="center"/>
              <w:rPr>
                <w:rFonts w:ascii="宋体" w:hAnsi="宋体" w:cs="宋体"/>
                <w:sz w:val="24"/>
                <w:szCs w:val="24"/>
                <w:highlight w:val="none"/>
              </w:rPr>
            </w:pPr>
          </w:p>
        </w:tc>
        <w:tc>
          <w:tcPr>
            <w:tcW w:w="3119" w:type="dxa"/>
            <w:vMerge w:val="continue"/>
            <w:vAlign w:val="center"/>
          </w:tcPr>
          <w:p>
            <w:pPr>
              <w:snapToGrid w:val="0"/>
              <w:spacing w:line="300" w:lineRule="auto"/>
              <w:rPr>
                <w:rFonts w:ascii="宋体" w:hAnsi="宋体" w:cs="宋体"/>
                <w:sz w:val="24"/>
                <w:szCs w:val="24"/>
                <w:highlight w:val="none"/>
              </w:rPr>
            </w:pPr>
          </w:p>
        </w:tc>
        <w:tc>
          <w:tcPr>
            <w:tcW w:w="4579" w:type="dxa"/>
            <w:vAlign w:val="center"/>
          </w:tcPr>
          <w:p>
            <w:pPr>
              <w:snapToGrid w:val="0"/>
              <w:spacing w:line="300" w:lineRule="auto"/>
              <w:rPr>
                <w:rFonts w:ascii="宋体" w:hAnsi="宋体" w:cs="宋体"/>
                <w:sz w:val="24"/>
                <w:szCs w:val="24"/>
                <w:highlight w:val="none"/>
              </w:rPr>
            </w:pPr>
            <w:r>
              <w:rPr>
                <w:rFonts w:hint="eastAsia" w:ascii="宋体" w:hAnsi="宋体" w:cs="宋体"/>
                <w:sz w:val="24"/>
                <w:szCs w:val="24"/>
                <w:highlight w:val="none"/>
              </w:rPr>
              <w:t>包件3为机场南四路-航枢大道以东、双华路以北、成昆铁路以西；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75" w:type="dxa"/>
            <w:vMerge w:val="continue"/>
            <w:vAlign w:val="center"/>
          </w:tcPr>
          <w:p>
            <w:pPr>
              <w:snapToGrid w:val="0"/>
              <w:spacing w:line="300" w:lineRule="auto"/>
              <w:jc w:val="center"/>
              <w:rPr>
                <w:rFonts w:ascii="宋体" w:hAnsi="宋体" w:cs="宋体"/>
                <w:sz w:val="24"/>
                <w:szCs w:val="24"/>
                <w:highlight w:val="none"/>
              </w:rPr>
            </w:pPr>
          </w:p>
        </w:tc>
        <w:tc>
          <w:tcPr>
            <w:tcW w:w="3119" w:type="dxa"/>
            <w:vMerge w:val="continue"/>
            <w:vAlign w:val="center"/>
          </w:tcPr>
          <w:p>
            <w:pPr>
              <w:snapToGrid w:val="0"/>
              <w:spacing w:line="300" w:lineRule="auto"/>
              <w:rPr>
                <w:rFonts w:ascii="宋体" w:hAnsi="宋体" w:cs="宋体"/>
                <w:sz w:val="24"/>
                <w:szCs w:val="24"/>
                <w:highlight w:val="none"/>
              </w:rPr>
            </w:pPr>
          </w:p>
        </w:tc>
        <w:tc>
          <w:tcPr>
            <w:tcW w:w="4579" w:type="dxa"/>
            <w:vAlign w:val="center"/>
          </w:tcPr>
          <w:p>
            <w:pPr>
              <w:snapToGrid w:val="0"/>
              <w:spacing w:line="300" w:lineRule="auto"/>
              <w:rPr>
                <w:rFonts w:ascii="宋体" w:hAnsi="宋体" w:cs="宋体"/>
                <w:sz w:val="24"/>
                <w:szCs w:val="24"/>
                <w:highlight w:val="none"/>
              </w:rPr>
            </w:pPr>
            <w:r>
              <w:rPr>
                <w:rFonts w:hint="eastAsia" w:ascii="宋体" w:hAnsi="宋体" w:cs="宋体"/>
                <w:sz w:val="24"/>
                <w:szCs w:val="24"/>
                <w:highlight w:val="none"/>
              </w:rPr>
              <w:t>包件4为大件路以东、航枢大道-双华路以南、成昆铁路以西；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75" w:type="dxa"/>
            <w:vMerge w:val="continue"/>
            <w:vAlign w:val="center"/>
          </w:tcPr>
          <w:p>
            <w:pPr>
              <w:snapToGrid w:val="0"/>
              <w:spacing w:line="300" w:lineRule="auto"/>
              <w:jc w:val="center"/>
              <w:rPr>
                <w:rFonts w:ascii="宋体" w:hAnsi="宋体" w:cs="宋体"/>
                <w:sz w:val="24"/>
                <w:szCs w:val="24"/>
                <w:highlight w:val="none"/>
              </w:rPr>
            </w:pPr>
          </w:p>
        </w:tc>
        <w:tc>
          <w:tcPr>
            <w:tcW w:w="3119" w:type="dxa"/>
            <w:vMerge w:val="continue"/>
            <w:vAlign w:val="center"/>
          </w:tcPr>
          <w:p>
            <w:pPr>
              <w:snapToGrid w:val="0"/>
              <w:spacing w:line="300" w:lineRule="auto"/>
              <w:rPr>
                <w:rFonts w:ascii="宋体" w:hAnsi="宋体" w:cs="宋体"/>
                <w:sz w:val="24"/>
                <w:szCs w:val="24"/>
                <w:highlight w:val="none"/>
              </w:rPr>
            </w:pPr>
          </w:p>
        </w:tc>
        <w:tc>
          <w:tcPr>
            <w:tcW w:w="4579" w:type="dxa"/>
            <w:vAlign w:val="center"/>
          </w:tcPr>
          <w:p>
            <w:pPr>
              <w:snapToGrid w:val="0"/>
              <w:spacing w:line="300" w:lineRule="auto"/>
              <w:rPr>
                <w:rFonts w:ascii="宋体" w:hAnsi="宋体" w:cs="宋体"/>
                <w:sz w:val="24"/>
                <w:szCs w:val="24"/>
                <w:highlight w:val="none"/>
              </w:rPr>
            </w:pPr>
            <w:r>
              <w:rPr>
                <w:rFonts w:hint="eastAsia" w:ascii="宋体" w:hAnsi="宋体" w:cs="宋体"/>
                <w:sz w:val="24"/>
                <w:szCs w:val="24"/>
                <w:highlight w:val="none"/>
              </w:rPr>
              <w:t>包件5为成昆铁路以东（南）。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5" w:type="dxa"/>
            <w:vAlign w:val="center"/>
          </w:tcPr>
          <w:p>
            <w:pPr>
              <w:snapToGrid w:val="0"/>
              <w:spacing w:line="300" w:lineRule="auto"/>
              <w:jc w:val="center"/>
              <w:rPr>
                <w:rFonts w:ascii="宋体" w:hAnsi="宋体" w:cs="宋体"/>
                <w:sz w:val="24"/>
                <w:szCs w:val="24"/>
                <w:highlight w:val="none"/>
              </w:rPr>
            </w:pPr>
            <w:r>
              <w:rPr>
                <w:rFonts w:hint="eastAsia" w:ascii="宋体" w:hAnsi="宋体" w:cs="宋体"/>
                <w:sz w:val="24"/>
                <w:szCs w:val="24"/>
                <w:highlight w:val="none"/>
              </w:rPr>
              <w:t>2</w:t>
            </w:r>
          </w:p>
        </w:tc>
        <w:tc>
          <w:tcPr>
            <w:tcW w:w="3119" w:type="dxa"/>
            <w:vAlign w:val="center"/>
          </w:tcPr>
          <w:p>
            <w:pPr>
              <w:snapToGrid w:val="0"/>
              <w:spacing w:line="300" w:lineRule="auto"/>
              <w:rPr>
                <w:rFonts w:ascii="宋体" w:hAnsi="宋体" w:cs="宋体"/>
                <w:sz w:val="24"/>
                <w:szCs w:val="24"/>
                <w:highlight w:val="none"/>
              </w:rPr>
            </w:pPr>
            <w:r>
              <w:rPr>
                <w:rFonts w:hint="eastAsia" w:ascii="宋体" w:hAnsi="宋体" w:cs="宋体"/>
                <w:sz w:val="24"/>
                <w:szCs w:val="24"/>
                <w:highlight w:val="none"/>
              </w:rPr>
              <w:t>地下管线普查成果更新监理服务(包件6)</w:t>
            </w:r>
          </w:p>
        </w:tc>
        <w:tc>
          <w:tcPr>
            <w:tcW w:w="4579" w:type="dxa"/>
            <w:vAlign w:val="center"/>
          </w:tcPr>
          <w:p>
            <w:pPr>
              <w:snapToGrid w:val="0"/>
              <w:spacing w:line="300" w:lineRule="auto"/>
              <w:rPr>
                <w:rFonts w:ascii="宋体" w:hAnsi="宋体" w:cs="宋体"/>
                <w:sz w:val="24"/>
                <w:szCs w:val="24"/>
                <w:highlight w:val="none"/>
              </w:rPr>
            </w:pPr>
            <w:r>
              <w:rPr>
                <w:rFonts w:hint="eastAsia" w:ascii="宋体" w:hAnsi="宋体" w:cs="宋体"/>
                <w:sz w:val="24"/>
                <w:szCs w:val="24"/>
                <w:highlight w:val="none"/>
              </w:rPr>
              <w:t>成都市双流区行政管理范围（城区范围、政府所在地城区范围）面积约466平方公里范围内地下管线普查进行工程监理。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5" w:type="dxa"/>
            <w:vAlign w:val="center"/>
          </w:tcPr>
          <w:p>
            <w:pPr>
              <w:snapToGrid w:val="0"/>
              <w:spacing w:line="300" w:lineRule="auto"/>
              <w:jc w:val="center"/>
              <w:rPr>
                <w:rFonts w:ascii="宋体" w:hAnsi="宋体" w:cs="宋体"/>
                <w:sz w:val="24"/>
                <w:szCs w:val="24"/>
                <w:highlight w:val="none"/>
              </w:rPr>
            </w:pPr>
            <w:r>
              <w:rPr>
                <w:rFonts w:hint="eastAsia" w:ascii="宋体" w:hAnsi="宋体" w:cs="宋体"/>
                <w:sz w:val="24"/>
                <w:szCs w:val="24"/>
                <w:highlight w:val="none"/>
              </w:rPr>
              <w:t>3</w:t>
            </w:r>
          </w:p>
        </w:tc>
        <w:tc>
          <w:tcPr>
            <w:tcW w:w="3119" w:type="dxa"/>
            <w:vAlign w:val="center"/>
          </w:tcPr>
          <w:p>
            <w:pPr>
              <w:snapToGrid w:val="0"/>
              <w:spacing w:line="300" w:lineRule="auto"/>
              <w:rPr>
                <w:rFonts w:ascii="宋体" w:hAnsi="宋体" w:cs="宋体"/>
                <w:sz w:val="24"/>
                <w:szCs w:val="24"/>
                <w:highlight w:val="none"/>
              </w:rPr>
            </w:pPr>
            <w:r>
              <w:rPr>
                <w:rFonts w:hint="eastAsia" w:ascii="宋体" w:hAnsi="宋体" w:cs="宋体"/>
                <w:sz w:val="24"/>
                <w:szCs w:val="24"/>
                <w:highlight w:val="none"/>
              </w:rPr>
              <w:t>地下管线普查成果更新质检服务(包件7)</w:t>
            </w:r>
          </w:p>
        </w:tc>
        <w:tc>
          <w:tcPr>
            <w:tcW w:w="4579" w:type="dxa"/>
            <w:vAlign w:val="center"/>
          </w:tcPr>
          <w:p>
            <w:pPr>
              <w:snapToGrid w:val="0"/>
              <w:spacing w:line="300" w:lineRule="auto"/>
              <w:rPr>
                <w:rFonts w:ascii="宋体" w:hAnsi="宋体" w:cs="宋体"/>
                <w:sz w:val="24"/>
                <w:szCs w:val="24"/>
                <w:highlight w:val="none"/>
              </w:rPr>
            </w:pPr>
            <w:r>
              <w:rPr>
                <w:rFonts w:hint="eastAsia" w:ascii="宋体" w:hAnsi="宋体" w:cs="宋体"/>
                <w:sz w:val="24"/>
                <w:szCs w:val="24"/>
                <w:highlight w:val="none"/>
              </w:rPr>
              <w:t>成都市双流区行政管理范围（城区范围、政府所在地城区范围）面积约466平方公里范围内地下管线普查进行质量检查。</w:t>
            </w:r>
          </w:p>
        </w:tc>
      </w:tr>
    </w:tbl>
    <w:p>
      <w:pPr>
        <w:rPr>
          <w:highlight w:val="none"/>
        </w:rPr>
      </w:pPr>
    </w:p>
    <w:p>
      <w:pPr>
        <w:pStyle w:val="209"/>
        <w:outlineLvl w:val="1"/>
        <w:rPr>
          <w:rStyle w:val="169"/>
          <w:rFonts w:hint="default"/>
          <w:sz w:val="28"/>
          <w:szCs w:val="28"/>
          <w:highlight w:val="none"/>
        </w:rPr>
      </w:pPr>
      <w:bookmarkStart w:id="262" w:name="_Toc79654078"/>
      <w:r>
        <w:rPr>
          <w:rStyle w:val="169"/>
          <w:rFonts w:hint="default" w:ascii="Times New Roman" w:hAnsi="Times New Roman" w:cstheme="minorBidi"/>
          <w:color w:val="auto"/>
          <w:sz w:val="28"/>
          <w:szCs w:val="28"/>
          <w:highlight w:val="none"/>
        </w:rPr>
        <w:t xml:space="preserve">4.2 </w:t>
      </w:r>
      <w:r>
        <w:rPr>
          <w:rStyle w:val="169"/>
          <w:rFonts w:hint="default"/>
          <w:sz w:val="28"/>
          <w:szCs w:val="28"/>
          <w:highlight w:val="none"/>
        </w:rPr>
        <w:t>项目主要内容</w:t>
      </w:r>
      <w:bookmarkEnd w:id="262"/>
    </w:p>
    <w:p>
      <w:pPr>
        <w:pStyle w:val="6"/>
        <w:rPr>
          <w:highlight w:val="none"/>
        </w:rPr>
      </w:pPr>
      <w:r>
        <w:rPr>
          <w:rStyle w:val="169"/>
          <w:rFonts w:hint="default" w:ascii="Times New Roman" w:hAnsi="Times New Roman" w:cstheme="minorBidi"/>
          <w:b/>
          <w:bCs w:val="0"/>
          <w:color w:val="auto"/>
          <w:sz w:val="28"/>
          <w:highlight w:val="none"/>
        </w:rPr>
        <w:t xml:space="preserve">4.2.1 </w:t>
      </w:r>
      <w:r>
        <w:rPr>
          <w:rFonts w:hint="eastAsia"/>
          <w:highlight w:val="none"/>
        </w:rPr>
        <w:t>服务要求</w:t>
      </w:r>
    </w:p>
    <w:p>
      <w:pPr>
        <w:widowControl/>
        <w:adjustRightInd w:val="0"/>
        <w:snapToGrid w:val="0"/>
        <w:spacing w:line="400" w:lineRule="exact"/>
        <w:ind w:firstLine="472" w:firstLineChars="196"/>
        <w:jc w:val="left"/>
        <w:rPr>
          <w:rFonts w:ascii="宋体" w:hAnsi="宋体" w:cs="宋体"/>
          <w:color w:val="000000"/>
          <w:kern w:val="0"/>
          <w:sz w:val="24"/>
          <w:szCs w:val="24"/>
          <w:highlight w:val="none"/>
        </w:rPr>
      </w:pPr>
      <w:r>
        <w:rPr>
          <w:rFonts w:hint="eastAsia" w:ascii="宋体" w:hAnsi="宋体" w:cs="宋体"/>
          <w:b/>
          <w:bCs/>
          <w:color w:val="000000"/>
          <w:kern w:val="0"/>
          <w:sz w:val="24"/>
          <w:szCs w:val="24"/>
          <w:highlight w:val="none"/>
        </w:rPr>
        <w:t>1．地下管线普查成果更新探测服务（包件1-5）：</w:t>
      </w:r>
      <w:r>
        <w:rPr>
          <w:rFonts w:hint="eastAsia" w:ascii="宋体" w:hAnsi="宋体"/>
          <w:sz w:val="24"/>
          <w:highlight w:val="none"/>
        </w:rPr>
        <w:t>根据《国务院办公厅关于加强城市地下管线建设管理的指导意见》（国办发〔2014〕27号）、《四川省人民政府关于加强城镇地下管线建设管理的意见》（川府发〔2014〕52号）、《住房和城乡建设部工业和信息化部国家广播电视总局国家能源局关于进一步加强城市地下管线建设管理有关工作的通知》（建城〔2019〕100号）等文件要求</w:t>
      </w:r>
      <w:r>
        <w:rPr>
          <w:rFonts w:hint="eastAsia" w:ascii="宋体" w:hAnsi="宋体" w:cs="宋体"/>
          <w:color w:val="000000"/>
          <w:kern w:val="0"/>
          <w:sz w:val="24"/>
          <w:szCs w:val="24"/>
          <w:highlight w:val="none"/>
        </w:rPr>
        <w:t>。</w:t>
      </w:r>
    </w:p>
    <w:p>
      <w:pPr>
        <w:widowControl/>
        <w:adjustRightInd w:val="0"/>
        <w:snapToGrid w:val="0"/>
        <w:spacing w:line="400" w:lineRule="exact"/>
        <w:ind w:firstLine="472" w:firstLineChars="196"/>
        <w:jc w:val="left"/>
        <w:rPr>
          <w:rFonts w:ascii="宋体" w:hAnsi="宋体" w:cs="宋体"/>
          <w:color w:val="000000"/>
          <w:kern w:val="0"/>
          <w:sz w:val="24"/>
          <w:szCs w:val="24"/>
          <w:highlight w:val="none"/>
        </w:rPr>
      </w:pPr>
      <w:r>
        <w:rPr>
          <w:rFonts w:hint="eastAsia" w:ascii="宋体" w:hAnsi="宋体" w:cs="宋体"/>
          <w:b/>
          <w:bCs/>
          <w:color w:val="000000"/>
          <w:kern w:val="0"/>
          <w:sz w:val="24"/>
          <w:szCs w:val="24"/>
          <w:highlight w:val="none"/>
        </w:rPr>
        <w:t>2．地下管线普查成果更新监理服务(包件6)：</w:t>
      </w:r>
      <w:r>
        <w:rPr>
          <w:rFonts w:hint="eastAsia" w:ascii="宋体" w:hAnsi="宋体"/>
          <w:sz w:val="24"/>
          <w:highlight w:val="none"/>
        </w:rPr>
        <w:t>根据《国务院办公厅关于加强城市地下管线建设管理的指导意见》（国办发〔2014〕27号）、《四川省人民政府关于加强城镇地下管线建设管理的意见》（川府发〔2014〕52号）、《住房和城乡建设部工业和信息化部国家广播电视总局国家能源局关于进一步加强城市地下管线建设管理有关工作的通知》（建城〔2019〕100号）等文件要求</w:t>
      </w:r>
      <w:r>
        <w:rPr>
          <w:rFonts w:hint="eastAsia" w:ascii="宋体" w:hAnsi="宋体" w:cs="宋体"/>
          <w:color w:val="000000"/>
          <w:kern w:val="0"/>
          <w:sz w:val="24"/>
          <w:szCs w:val="24"/>
          <w:highlight w:val="none"/>
        </w:rPr>
        <w:t>。</w:t>
      </w:r>
    </w:p>
    <w:p>
      <w:pPr>
        <w:widowControl/>
        <w:wordWrap w:val="0"/>
        <w:spacing w:line="360" w:lineRule="auto"/>
        <w:ind w:firstLine="472" w:firstLineChars="196"/>
        <w:rPr>
          <w:rFonts w:ascii="宋体" w:hAnsi="宋体" w:cs="宋体"/>
          <w:color w:val="000000"/>
          <w:sz w:val="24"/>
          <w:szCs w:val="24"/>
          <w:highlight w:val="none"/>
        </w:rPr>
      </w:pPr>
      <w:r>
        <w:rPr>
          <w:rFonts w:hint="eastAsia" w:ascii="宋体" w:hAnsi="宋体" w:cs="宋体"/>
          <w:b/>
          <w:bCs/>
          <w:color w:val="000000"/>
          <w:kern w:val="0"/>
          <w:sz w:val="24"/>
          <w:szCs w:val="24"/>
          <w:highlight w:val="none"/>
        </w:rPr>
        <w:t>3．地下管线普查成果更新质检服务(包件7)：</w:t>
      </w:r>
      <w:r>
        <w:rPr>
          <w:rFonts w:hint="eastAsia" w:ascii="宋体" w:hAnsi="宋体"/>
          <w:sz w:val="24"/>
          <w:highlight w:val="none"/>
        </w:rPr>
        <w:t>根据《国务院办公厅关于加强城市地下管线建设管理的指导意见》（国办发〔2014〕27号）、《四川省人民政府关于加强城镇地下管线建设管理的意见》（川府发〔2014〕52号）、《住房和城乡建设部工业和信息化部国家广播电视总局国家能源局关于进一步加强城市地下管线建设管理有关工作的通知》（建城〔2019〕100号）等文件要求</w:t>
      </w:r>
      <w:r>
        <w:rPr>
          <w:rFonts w:hint="eastAsia" w:ascii="宋体" w:hAnsi="宋体" w:cs="宋体"/>
          <w:color w:val="000000"/>
          <w:kern w:val="0"/>
          <w:sz w:val="24"/>
          <w:szCs w:val="24"/>
          <w:highlight w:val="none"/>
        </w:rPr>
        <w:t>。</w:t>
      </w:r>
    </w:p>
    <w:p>
      <w:pPr>
        <w:pStyle w:val="6"/>
        <w:rPr>
          <w:highlight w:val="none"/>
        </w:rPr>
      </w:pPr>
      <w:r>
        <w:rPr>
          <w:rStyle w:val="169"/>
          <w:rFonts w:hint="default" w:ascii="Times New Roman" w:hAnsi="Times New Roman" w:cstheme="minorBidi"/>
          <w:b/>
          <w:bCs w:val="0"/>
          <w:color w:val="auto"/>
          <w:sz w:val="28"/>
          <w:highlight w:val="none"/>
        </w:rPr>
        <w:t xml:space="preserve">4.2.2 </w:t>
      </w:r>
      <w:r>
        <w:rPr>
          <w:rFonts w:hint="eastAsia"/>
          <w:highlight w:val="none"/>
        </w:rPr>
        <w:t>服务标准及范围：</w:t>
      </w:r>
    </w:p>
    <w:p>
      <w:pPr>
        <w:pStyle w:val="209"/>
        <w:ind w:firstLine="472" w:firstLineChars="196"/>
        <w:rPr>
          <w:rFonts w:hAnsi="宋体"/>
          <w:b/>
          <w:bCs/>
          <w:highlight w:val="none"/>
        </w:rPr>
      </w:pPr>
      <w:r>
        <w:rPr>
          <w:rFonts w:hint="eastAsia" w:hAnsi="宋体"/>
          <w:b/>
          <w:bCs/>
          <w:highlight w:val="none"/>
        </w:rPr>
        <w:t>1．地下管线普查成果更新探测服务（包件1-5）</w:t>
      </w:r>
    </w:p>
    <w:p>
      <w:pPr>
        <w:pStyle w:val="209"/>
        <w:ind w:firstLine="472" w:firstLineChars="196"/>
        <w:rPr>
          <w:rFonts w:hAnsi="宋体"/>
          <w:highlight w:val="none"/>
        </w:rPr>
      </w:pPr>
      <w:r>
        <w:rPr>
          <w:rFonts w:hint="eastAsia" w:hAnsi="宋体"/>
          <w:b/>
          <w:bCs/>
          <w:highlight w:val="none"/>
        </w:rPr>
        <w:t>服务标准：</w:t>
      </w:r>
      <w:r>
        <w:rPr>
          <w:rFonts w:hint="eastAsia" w:hAnsi="宋体" w:cs="Times New Roman"/>
          <w:color w:val="auto"/>
          <w:kern w:val="2"/>
          <w:szCs w:val="22"/>
          <w:highlight w:val="none"/>
        </w:rPr>
        <w:t>结合成都市地下管线普查成果更新工作领导小组印发的《成都市地下管线普查成果更新工作方案》（成管普领〔2020〕1号）、领导小组办公室印发的《成都市地下管线普查成果更新实施方案》（成管普办〔2020〕4号）及《成都市地下管线普查成果更新技术方案》（成管普办〔2020〕7号）等文件通知，在现有地下管线普查成果基础上，开展城市地下管线普查成果更新工作。</w:t>
      </w:r>
    </w:p>
    <w:p>
      <w:pPr>
        <w:pStyle w:val="209"/>
        <w:ind w:firstLine="472" w:firstLineChars="196"/>
        <w:rPr>
          <w:highlight w:val="none"/>
        </w:rPr>
      </w:pPr>
      <w:r>
        <w:rPr>
          <w:rFonts w:hint="eastAsia" w:hAnsi="宋体"/>
          <w:b/>
          <w:bCs/>
          <w:highlight w:val="none"/>
        </w:rPr>
        <w:t>范围：</w:t>
      </w:r>
      <w:r>
        <w:rPr>
          <w:rFonts w:hint="eastAsia" w:hAnsi="宋体"/>
          <w:highlight w:val="none"/>
        </w:rPr>
        <w:t>探测服务分为5个包，其中包件1为双楠大道以北（西）；包件2为双楠大道以南（东）、大件路以北、机场南四路以西；包件3为机场南四路-航枢大道以东、双华路以北、成昆铁路以西；包件4为大件路以东、航枢大道-双华路以南、成昆铁路以西；包件5为成昆铁路以东（南）。（具体详见采购需求中普查更新范围图）</w:t>
      </w:r>
    </w:p>
    <w:p>
      <w:pPr>
        <w:widowControl/>
        <w:adjustRightInd w:val="0"/>
        <w:snapToGrid w:val="0"/>
        <w:spacing w:line="400" w:lineRule="exact"/>
        <w:ind w:firstLine="472" w:firstLineChars="196"/>
        <w:jc w:val="left"/>
        <w:rPr>
          <w:rFonts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2．地下管线普查成果更新监理服务(包件6)</w:t>
      </w:r>
    </w:p>
    <w:p>
      <w:pPr>
        <w:widowControl/>
        <w:adjustRightInd w:val="0"/>
        <w:snapToGrid w:val="0"/>
        <w:spacing w:line="400" w:lineRule="exact"/>
        <w:ind w:firstLine="472" w:firstLineChars="196"/>
        <w:jc w:val="left"/>
        <w:rPr>
          <w:rFonts w:ascii="宋体" w:hAnsi="宋体" w:cs="宋体"/>
          <w:color w:val="000000"/>
          <w:kern w:val="0"/>
          <w:sz w:val="24"/>
          <w:szCs w:val="24"/>
          <w:highlight w:val="none"/>
        </w:rPr>
      </w:pPr>
      <w:r>
        <w:rPr>
          <w:rFonts w:hint="eastAsia" w:ascii="宋体" w:hAnsi="宋体" w:cs="宋体"/>
          <w:b/>
          <w:bCs/>
          <w:color w:val="000000"/>
          <w:kern w:val="0"/>
          <w:sz w:val="24"/>
          <w:szCs w:val="24"/>
          <w:highlight w:val="none"/>
        </w:rPr>
        <w:t>服务标准：</w:t>
      </w:r>
      <w:r>
        <w:rPr>
          <w:rFonts w:hint="eastAsia" w:ascii="宋体" w:hAnsi="宋体"/>
          <w:sz w:val="24"/>
          <w:highlight w:val="none"/>
        </w:rPr>
        <w:t>结合成都市地下管线普查成果更新工作领导小组印发的《成都市</w:t>
      </w:r>
      <w:r>
        <w:rPr>
          <w:rFonts w:ascii="宋体" w:hAnsi="宋体"/>
          <w:sz w:val="24"/>
          <w:highlight w:val="none"/>
        </w:rPr>
        <w:t>地下管线普查成果更新</w:t>
      </w:r>
      <w:r>
        <w:rPr>
          <w:rFonts w:hint="eastAsia" w:ascii="宋体" w:hAnsi="宋体"/>
          <w:sz w:val="24"/>
          <w:highlight w:val="none"/>
        </w:rPr>
        <w:t>工作</w:t>
      </w:r>
      <w:r>
        <w:rPr>
          <w:rFonts w:ascii="宋体" w:hAnsi="宋体"/>
          <w:sz w:val="24"/>
          <w:highlight w:val="none"/>
        </w:rPr>
        <w:t>方案</w:t>
      </w:r>
      <w:r>
        <w:rPr>
          <w:rFonts w:hint="eastAsia" w:ascii="宋体" w:hAnsi="宋体"/>
          <w:sz w:val="24"/>
          <w:highlight w:val="none"/>
        </w:rPr>
        <w:t>》（成管</w:t>
      </w:r>
      <w:r>
        <w:rPr>
          <w:rFonts w:ascii="宋体" w:hAnsi="宋体"/>
          <w:sz w:val="24"/>
          <w:highlight w:val="none"/>
        </w:rPr>
        <w:t>普领</w:t>
      </w:r>
      <w:r>
        <w:rPr>
          <w:rFonts w:hint="eastAsia" w:ascii="宋体" w:hAnsi="宋体"/>
          <w:sz w:val="24"/>
          <w:highlight w:val="none"/>
        </w:rPr>
        <w:t>〔20</w:t>
      </w:r>
      <w:r>
        <w:rPr>
          <w:rFonts w:ascii="宋体" w:hAnsi="宋体"/>
          <w:sz w:val="24"/>
          <w:highlight w:val="none"/>
        </w:rPr>
        <w:t>20</w:t>
      </w:r>
      <w:r>
        <w:rPr>
          <w:rFonts w:hint="eastAsia" w:ascii="宋体" w:hAnsi="宋体"/>
          <w:sz w:val="24"/>
          <w:highlight w:val="none"/>
        </w:rPr>
        <w:t>〕1号）、领导小组办公室印发的《成都市</w:t>
      </w:r>
      <w:r>
        <w:rPr>
          <w:rFonts w:ascii="宋体" w:hAnsi="宋体"/>
          <w:sz w:val="24"/>
          <w:highlight w:val="none"/>
        </w:rPr>
        <w:t>地下管线普查成果更新</w:t>
      </w:r>
      <w:r>
        <w:rPr>
          <w:rFonts w:hint="eastAsia" w:ascii="宋体" w:hAnsi="宋体"/>
          <w:sz w:val="24"/>
          <w:highlight w:val="none"/>
        </w:rPr>
        <w:t>实施</w:t>
      </w:r>
      <w:r>
        <w:rPr>
          <w:rFonts w:ascii="宋体" w:hAnsi="宋体"/>
          <w:sz w:val="24"/>
          <w:highlight w:val="none"/>
        </w:rPr>
        <w:t>方案</w:t>
      </w:r>
      <w:r>
        <w:rPr>
          <w:rFonts w:hint="eastAsia" w:ascii="宋体" w:hAnsi="宋体"/>
          <w:sz w:val="24"/>
          <w:highlight w:val="none"/>
        </w:rPr>
        <w:t>》（成管</w:t>
      </w:r>
      <w:r>
        <w:rPr>
          <w:rFonts w:ascii="宋体" w:hAnsi="宋体"/>
          <w:sz w:val="24"/>
          <w:highlight w:val="none"/>
        </w:rPr>
        <w:t>普</w:t>
      </w:r>
      <w:r>
        <w:rPr>
          <w:rFonts w:hint="eastAsia" w:ascii="宋体" w:hAnsi="宋体"/>
          <w:sz w:val="24"/>
          <w:highlight w:val="none"/>
        </w:rPr>
        <w:t>办〔20</w:t>
      </w:r>
      <w:r>
        <w:rPr>
          <w:rFonts w:ascii="宋体" w:hAnsi="宋体"/>
          <w:sz w:val="24"/>
          <w:highlight w:val="none"/>
        </w:rPr>
        <w:t>20</w:t>
      </w:r>
      <w:r>
        <w:rPr>
          <w:rFonts w:hint="eastAsia" w:ascii="宋体" w:hAnsi="宋体"/>
          <w:sz w:val="24"/>
          <w:highlight w:val="none"/>
        </w:rPr>
        <w:t>〕</w:t>
      </w:r>
      <w:r>
        <w:rPr>
          <w:rFonts w:ascii="宋体" w:hAnsi="宋体"/>
          <w:sz w:val="24"/>
          <w:highlight w:val="none"/>
        </w:rPr>
        <w:t>4</w:t>
      </w:r>
      <w:r>
        <w:rPr>
          <w:rFonts w:hint="eastAsia" w:ascii="宋体" w:hAnsi="宋体"/>
          <w:sz w:val="24"/>
          <w:highlight w:val="none"/>
        </w:rPr>
        <w:t>号）及《成都市</w:t>
      </w:r>
      <w:r>
        <w:rPr>
          <w:rFonts w:ascii="宋体" w:hAnsi="宋体"/>
          <w:sz w:val="24"/>
          <w:highlight w:val="none"/>
        </w:rPr>
        <w:t>地下管线普查成果更新</w:t>
      </w:r>
      <w:r>
        <w:rPr>
          <w:rFonts w:hint="eastAsia" w:ascii="宋体" w:hAnsi="宋体"/>
          <w:sz w:val="24"/>
          <w:highlight w:val="none"/>
        </w:rPr>
        <w:t>技术</w:t>
      </w:r>
      <w:r>
        <w:rPr>
          <w:rFonts w:ascii="宋体" w:hAnsi="宋体"/>
          <w:sz w:val="24"/>
          <w:highlight w:val="none"/>
        </w:rPr>
        <w:t>方案</w:t>
      </w:r>
      <w:r>
        <w:rPr>
          <w:rFonts w:hint="eastAsia" w:ascii="宋体" w:hAnsi="宋体"/>
          <w:sz w:val="24"/>
          <w:highlight w:val="none"/>
        </w:rPr>
        <w:t>》（成管</w:t>
      </w:r>
      <w:r>
        <w:rPr>
          <w:rFonts w:ascii="宋体" w:hAnsi="宋体"/>
          <w:sz w:val="24"/>
          <w:highlight w:val="none"/>
        </w:rPr>
        <w:t>普</w:t>
      </w:r>
      <w:r>
        <w:rPr>
          <w:rFonts w:hint="eastAsia" w:ascii="宋体" w:hAnsi="宋体"/>
          <w:sz w:val="24"/>
          <w:highlight w:val="none"/>
        </w:rPr>
        <w:t>办〔20</w:t>
      </w:r>
      <w:r>
        <w:rPr>
          <w:rFonts w:ascii="宋体" w:hAnsi="宋体"/>
          <w:sz w:val="24"/>
          <w:highlight w:val="none"/>
        </w:rPr>
        <w:t>20</w:t>
      </w:r>
      <w:r>
        <w:rPr>
          <w:rFonts w:hint="eastAsia" w:ascii="宋体" w:hAnsi="宋体"/>
          <w:sz w:val="24"/>
          <w:highlight w:val="none"/>
        </w:rPr>
        <w:t>〕7号）等文件</w:t>
      </w:r>
      <w:r>
        <w:rPr>
          <w:rFonts w:ascii="宋体" w:hAnsi="宋体"/>
          <w:sz w:val="24"/>
          <w:highlight w:val="none"/>
        </w:rPr>
        <w:t>通知，</w:t>
      </w:r>
      <w:r>
        <w:rPr>
          <w:rFonts w:hint="eastAsia" w:ascii="宋体" w:hAnsi="宋体"/>
          <w:sz w:val="24"/>
          <w:highlight w:val="none"/>
        </w:rPr>
        <w:t>在现有地下管线普查成果基础上，开展城市地下管线普查成果更新工作</w:t>
      </w:r>
      <w:r>
        <w:rPr>
          <w:rFonts w:hint="eastAsia" w:ascii="宋体" w:hAnsi="宋体" w:cs="宋体"/>
          <w:color w:val="000000"/>
          <w:kern w:val="0"/>
          <w:sz w:val="24"/>
          <w:szCs w:val="24"/>
          <w:highlight w:val="none"/>
        </w:rPr>
        <w:t>。</w:t>
      </w:r>
    </w:p>
    <w:p>
      <w:pPr>
        <w:widowControl/>
        <w:adjustRightInd w:val="0"/>
        <w:snapToGrid w:val="0"/>
        <w:spacing w:line="400" w:lineRule="exact"/>
        <w:ind w:firstLine="472" w:firstLineChars="196"/>
        <w:jc w:val="left"/>
        <w:rPr>
          <w:rFonts w:ascii="宋体" w:hAnsi="宋体" w:cs="宋体"/>
          <w:color w:val="000000"/>
          <w:kern w:val="0"/>
          <w:sz w:val="24"/>
          <w:szCs w:val="24"/>
          <w:highlight w:val="none"/>
        </w:rPr>
      </w:pPr>
      <w:r>
        <w:rPr>
          <w:rFonts w:hint="eastAsia" w:ascii="宋体" w:hAnsi="宋体" w:cs="宋体"/>
          <w:b/>
          <w:bCs/>
          <w:color w:val="000000"/>
          <w:kern w:val="0"/>
          <w:sz w:val="24"/>
          <w:szCs w:val="24"/>
          <w:highlight w:val="none"/>
        </w:rPr>
        <w:t>范围：采购人指定地点。</w:t>
      </w:r>
    </w:p>
    <w:p>
      <w:pPr>
        <w:widowControl/>
        <w:wordWrap w:val="0"/>
        <w:spacing w:line="360" w:lineRule="auto"/>
        <w:ind w:firstLine="472" w:firstLineChars="196"/>
        <w:rPr>
          <w:rFonts w:ascii="宋体" w:hAnsi="宋体"/>
          <w:sz w:val="24"/>
          <w:highlight w:val="none"/>
        </w:rPr>
      </w:pPr>
      <w:r>
        <w:rPr>
          <w:rFonts w:hint="eastAsia" w:ascii="宋体" w:hAnsi="宋体" w:cs="宋体"/>
          <w:b/>
          <w:bCs/>
          <w:color w:val="000000"/>
          <w:kern w:val="0"/>
          <w:sz w:val="24"/>
          <w:szCs w:val="24"/>
          <w:highlight w:val="none"/>
        </w:rPr>
        <w:t>3．地下管线普查成果更新质检服务(包件7)：</w:t>
      </w:r>
      <w:r>
        <w:rPr>
          <w:rFonts w:hint="eastAsia" w:ascii="宋体" w:hAnsi="宋体"/>
          <w:sz w:val="24"/>
          <w:highlight w:val="none"/>
        </w:rPr>
        <w:t>结合《成都市</w:t>
      </w:r>
      <w:r>
        <w:rPr>
          <w:rFonts w:ascii="宋体" w:hAnsi="宋体"/>
          <w:sz w:val="24"/>
          <w:highlight w:val="none"/>
        </w:rPr>
        <w:t>地下管线普查成果更新</w:t>
      </w:r>
      <w:r>
        <w:rPr>
          <w:rFonts w:hint="eastAsia" w:ascii="宋体" w:hAnsi="宋体"/>
          <w:sz w:val="24"/>
          <w:highlight w:val="none"/>
        </w:rPr>
        <w:t>工作</w:t>
      </w:r>
      <w:r>
        <w:rPr>
          <w:rFonts w:ascii="宋体" w:hAnsi="宋体"/>
          <w:sz w:val="24"/>
          <w:highlight w:val="none"/>
        </w:rPr>
        <w:t>方案</w:t>
      </w:r>
      <w:r>
        <w:rPr>
          <w:rFonts w:hint="eastAsia" w:ascii="宋体" w:hAnsi="宋体"/>
          <w:sz w:val="24"/>
          <w:highlight w:val="none"/>
        </w:rPr>
        <w:t>》（成管</w:t>
      </w:r>
      <w:r>
        <w:rPr>
          <w:rFonts w:ascii="宋体" w:hAnsi="宋体"/>
          <w:sz w:val="24"/>
          <w:highlight w:val="none"/>
        </w:rPr>
        <w:t>普领</w:t>
      </w:r>
      <w:r>
        <w:rPr>
          <w:rFonts w:hint="eastAsia" w:ascii="宋体" w:hAnsi="宋体"/>
          <w:sz w:val="24"/>
          <w:highlight w:val="none"/>
        </w:rPr>
        <w:t>〔20</w:t>
      </w:r>
      <w:r>
        <w:rPr>
          <w:rFonts w:ascii="宋体" w:hAnsi="宋体"/>
          <w:sz w:val="24"/>
          <w:highlight w:val="none"/>
        </w:rPr>
        <w:t>20</w:t>
      </w:r>
      <w:r>
        <w:rPr>
          <w:rFonts w:hint="eastAsia" w:ascii="宋体" w:hAnsi="宋体"/>
          <w:sz w:val="24"/>
          <w:highlight w:val="none"/>
        </w:rPr>
        <w:t>〕1号）、《成都市</w:t>
      </w:r>
      <w:r>
        <w:rPr>
          <w:rFonts w:ascii="宋体" w:hAnsi="宋体"/>
          <w:sz w:val="24"/>
          <w:highlight w:val="none"/>
        </w:rPr>
        <w:t>地下管线普查成果更新</w:t>
      </w:r>
      <w:r>
        <w:rPr>
          <w:rFonts w:hint="eastAsia" w:ascii="宋体" w:hAnsi="宋体"/>
          <w:sz w:val="24"/>
          <w:highlight w:val="none"/>
        </w:rPr>
        <w:t>实施</w:t>
      </w:r>
      <w:r>
        <w:rPr>
          <w:rFonts w:ascii="宋体" w:hAnsi="宋体"/>
          <w:sz w:val="24"/>
          <w:highlight w:val="none"/>
        </w:rPr>
        <w:t>方案</w:t>
      </w:r>
      <w:r>
        <w:rPr>
          <w:rFonts w:hint="eastAsia" w:ascii="宋体" w:hAnsi="宋体"/>
          <w:sz w:val="24"/>
          <w:highlight w:val="none"/>
        </w:rPr>
        <w:t>》（成管</w:t>
      </w:r>
      <w:r>
        <w:rPr>
          <w:rFonts w:ascii="宋体" w:hAnsi="宋体"/>
          <w:sz w:val="24"/>
          <w:highlight w:val="none"/>
        </w:rPr>
        <w:t>普</w:t>
      </w:r>
      <w:r>
        <w:rPr>
          <w:rFonts w:hint="eastAsia" w:ascii="宋体" w:hAnsi="宋体"/>
          <w:sz w:val="24"/>
          <w:highlight w:val="none"/>
        </w:rPr>
        <w:t>办〔20</w:t>
      </w:r>
      <w:r>
        <w:rPr>
          <w:rFonts w:ascii="宋体" w:hAnsi="宋体"/>
          <w:sz w:val="24"/>
          <w:highlight w:val="none"/>
        </w:rPr>
        <w:t>20</w:t>
      </w:r>
      <w:r>
        <w:rPr>
          <w:rFonts w:hint="eastAsia" w:ascii="宋体" w:hAnsi="宋体"/>
          <w:sz w:val="24"/>
          <w:highlight w:val="none"/>
        </w:rPr>
        <w:t>〕</w:t>
      </w:r>
      <w:r>
        <w:rPr>
          <w:rFonts w:ascii="宋体" w:hAnsi="宋体"/>
          <w:sz w:val="24"/>
          <w:highlight w:val="none"/>
        </w:rPr>
        <w:t>4</w:t>
      </w:r>
      <w:r>
        <w:rPr>
          <w:rFonts w:hint="eastAsia" w:ascii="宋体" w:hAnsi="宋体"/>
          <w:sz w:val="24"/>
          <w:highlight w:val="none"/>
        </w:rPr>
        <w:t>号）、《成都市</w:t>
      </w:r>
      <w:r>
        <w:rPr>
          <w:rFonts w:ascii="宋体" w:hAnsi="宋体"/>
          <w:sz w:val="24"/>
          <w:highlight w:val="none"/>
        </w:rPr>
        <w:t>地下管线普查成果更新</w:t>
      </w:r>
      <w:r>
        <w:rPr>
          <w:rFonts w:hint="eastAsia" w:ascii="宋体" w:hAnsi="宋体"/>
          <w:sz w:val="24"/>
          <w:highlight w:val="none"/>
        </w:rPr>
        <w:t>技术</w:t>
      </w:r>
      <w:r>
        <w:rPr>
          <w:rFonts w:ascii="宋体" w:hAnsi="宋体"/>
          <w:sz w:val="24"/>
          <w:highlight w:val="none"/>
        </w:rPr>
        <w:t>方案</w:t>
      </w:r>
      <w:r>
        <w:rPr>
          <w:rFonts w:hint="eastAsia" w:ascii="宋体" w:hAnsi="宋体"/>
          <w:sz w:val="24"/>
          <w:highlight w:val="none"/>
        </w:rPr>
        <w:t>》（成管</w:t>
      </w:r>
      <w:r>
        <w:rPr>
          <w:rFonts w:ascii="宋体" w:hAnsi="宋体"/>
          <w:sz w:val="24"/>
          <w:highlight w:val="none"/>
        </w:rPr>
        <w:t>普</w:t>
      </w:r>
      <w:r>
        <w:rPr>
          <w:rFonts w:hint="eastAsia" w:ascii="宋体" w:hAnsi="宋体"/>
          <w:sz w:val="24"/>
          <w:highlight w:val="none"/>
        </w:rPr>
        <w:t>办〔20</w:t>
      </w:r>
      <w:r>
        <w:rPr>
          <w:rFonts w:ascii="宋体" w:hAnsi="宋体"/>
          <w:sz w:val="24"/>
          <w:highlight w:val="none"/>
        </w:rPr>
        <w:t>20</w:t>
      </w:r>
      <w:r>
        <w:rPr>
          <w:rFonts w:hint="eastAsia" w:ascii="宋体" w:hAnsi="宋体"/>
          <w:sz w:val="24"/>
          <w:highlight w:val="none"/>
        </w:rPr>
        <w:t>〕7号）等文件</w:t>
      </w:r>
      <w:r>
        <w:rPr>
          <w:rFonts w:ascii="宋体" w:hAnsi="宋体"/>
          <w:sz w:val="24"/>
          <w:highlight w:val="none"/>
        </w:rPr>
        <w:t>通知，</w:t>
      </w:r>
      <w:r>
        <w:rPr>
          <w:rFonts w:hint="eastAsia" w:ascii="宋体" w:hAnsi="宋体"/>
          <w:sz w:val="24"/>
          <w:highlight w:val="none"/>
        </w:rPr>
        <w:t>在现有地下管线普查成果基础上，开展城市地下管线普查成果更新工作。</w:t>
      </w:r>
    </w:p>
    <w:p>
      <w:pPr>
        <w:widowControl/>
        <w:wordWrap w:val="0"/>
        <w:spacing w:line="360" w:lineRule="auto"/>
        <w:ind w:firstLine="472" w:firstLineChars="196"/>
        <w:rPr>
          <w:rFonts w:ascii="_x000B_" w:hAnsi="_x000B_" w:eastAsia="黑体" w:cs="黑体"/>
          <w:color w:val="000000"/>
          <w:kern w:val="0"/>
          <w:sz w:val="30"/>
          <w:szCs w:val="30"/>
          <w:highlight w:val="none"/>
          <w:u w:val="single"/>
        </w:rPr>
      </w:pPr>
      <w:r>
        <w:rPr>
          <w:rFonts w:hint="eastAsia" w:ascii="宋体" w:hAnsi="宋体" w:cs="宋体"/>
          <w:b/>
          <w:bCs/>
          <w:color w:val="000000"/>
          <w:kern w:val="0"/>
          <w:sz w:val="24"/>
          <w:szCs w:val="24"/>
          <w:highlight w:val="none"/>
        </w:rPr>
        <w:t>范围：采购人指定地点</w:t>
      </w:r>
      <w:r>
        <w:rPr>
          <w:rFonts w:hint="eastAsia" w:ascii="宋体" w:hAnsi="宋体" w:cs="宋体"/>
          <w:color w:val="000000"/>
          <w:kern w:val="0"/>
          <w:sz w:val="24"/>
          <w:szCs w:val="24"/>
          <w:highlight w:val="none"/>
        </w:rPr>
        <w:t>。</w:t>
      </w:r>
    </w:p>
    <w:p>
      <w:pPr>
        <w:pStyle w:val="6"/>
        <w:rPr>
          <w:highlight w:val="none"/>
        </w:rPr>
      </w:pPr>
      <w:r>
        <w:rPr>
          <w:rStyle w:val="169"/>
          <w:rFonts w:hint="default" w:ascii="Times New Roman" w:hAnsi="Times New Roman" w:cstheme="minorBidi"/>
          <w:b/>
          <w:bCs w:val="0"/>
          <w:color w:val="auto"/>
          <w:sz w:val="28"/>
          <w:highlight w:val="none"/>
        </w:rPr>
        <w:t xml:space="preserve">*4.2.3 </w:t>
      </w:r>
      <w:r>
        <w:rPr>
          <w:rFonts w:hint="eastAsia"/>
          <w:highlight w:val="none"/>
        </w:rPr>
        <w:t>最高限价</w:t>
      </w:r>
    </w:p>
    <w:tbl>
      <w:tblPr>
        <w:tblStyle w:val="43"/>
        <w:tblW w:w="9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949"/>
        <w:gridCol w:w="764"/>
        <w:gridCol w:w="1639"/>
        <w:gridCol w:w="2761"/>
        <w:gridCol w:w="125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2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i/>
                <w:sz w:val="24"/>
                <w:szCs w:val="24"/>
                <w:highlight w:val="none"/>
              </w:rPr>
            </w:pPr>
            <w:r>
              <w:rPr>
                <w:rFonts w:hint="eastAsia" w:ascii="宋体" w:hAnsi="宋体" w:cs="宋体"/>
                <w:b/>
                <w:bCs/>
                <w:sz w:val="24"/>
                <w:szCs w:val="24"/>
                <w:highlight w:val="none"/>
              </w:rPr>
              <w:t>包件号</w:t>
            </w:r>
          </w:p>
        </w:tc>
        <w:tc>
          <w:tcPr>
            <w:tcW w:w="19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i/>
                <w:sz w:val="24"/>
                <w:szCs w:val="24"/>
                <w:highlight w:val="none"/>
              </w:rPr>
            </w:pPr>
            <w:r>
              <w:rPr>
                <w:rFonts w:hint="eastAsia" w:ascii="宋体" w:hAnsi="宋体" w:cs="宋体"/>
                <w:b/>
                <w:bCs/>
                <w:sz w:val="24"/>
                <w:szCs w:val="24"/>
                <w:highlight w:val="none"/>
              </w:rPr>
              <w:t>名称</w:t>
            </w:r>
          </w:p>
        </w:tc>
        <w:tc>
          <w:tcPr>
            <w:tcW w:w="76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24"/>
                <w:szCs w:val="24"/>
                <w:highlight w:val="none"/>
              </w:rPr>
            </w:pPr>
            <w:r>
              <w:rPr>
                <w:rFonts w:hint="eastAsia" w:ascii="宋体" w:hAnsi="宋体" w:cs="宋体"/>
                <w:b/>
                <w:bCs/>
                <w:sz w:val="24"/>
                <w:szCs w:val="24"/>
                <w:highlight w:val="none"/>
              </w:rPr>
              <w:t>预估面积</w:t>
            </w:r>
          </w:p>
          <w:p>
            <w:pPr>
              <w:jc w:val="center"/>
              <w:rPr>
                <w:rFonts w:ascii="宋体" w:hAnsi="宋体" w:cs="宋体"/>
                <w:b/>
                <w:bCs/>
                <w:sz w:val="24"/>
                <w:szCs w:val="24"/>
                <w:highlight w:val="none"/>
              </w:rPr>
            </w:pPr>
            <w:r>
              <w:rPr>
                <w:rFonts w:hint="eastAsia" w:ascii="宋体" w:hAnsi="宋体" w:cs="宋体"/>
                <w:b/>
                <w:bCs/>
                <w:sz w:val="24"/>
                <w:szCs w:val="24"/>
                <w:highlight w:val="none"/>
              </w:rPr>
              <w:t>（平方公里）</w:t>
            </w:r>
          </w:p>
        </w:tc>
        <w:tc>
          <w:tcPr>
            <w:tcW w:w="16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24"/>
                <w:szCs w:val="24"/>
                <w:highlight w:val="none"/>
              </w:rPr>
            </w:pPr>
            <w:r>
              <w:rPr>
                <w:rFonts w:hint="eastAsia" w:ascii="宋体" w:hAnsi="宋体" w:cs="宋体"/>
                <w:b/>
                <w:bCs/>
                <w:sz w:val="24"/>
                <w:szCs w:val="24"/>
                <w:highlight w:val="none"/>
              </w:rPr>
              <w:t>服务内容</w:t>
            </w:r>
          </w:p>
        </w:tc>
        <w:tc>
          <w:tcPr>
            <w:tcW w:w="276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24"/>
                <w:szCs w:val="24"/>
                <w:highlight w:val="none"/>
              </w:rPr>
            </w:pPr>
            <w:r>
              <w:rPr>
                <w:rFonts w:hint="eastAsia" w:ascii="宋体" w:hAnsi="宋体" w:cs="宋体"/>
                <w:b/>
                <w:bCs/>
                <w:sz w:val="24"/>
                <w:szCs w:val="24"/>
                <w:highlight w:val="none"/>
              </w:rPr>
              <w:t>预估管线长度（公里）</w:t>
            </w:r>
          </w:p>
        </w:tc>
        <w:tc>
          <w:tcPr>
            <w:tcW w:w="12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i/>
                <w:sz w:val="24"/>
                <w:szCs w:val="24"/>
                <w:highlight w:val="none"/>
              </w:rPr>
            </w:pPr>
            <w:r>
              <w:rPr>
                <w:rFonts w:hint="eastAsia" w:ascii="宋体" w:hAnsi="宋体" w:cs="宋体"/>
                <w:b/>
                <w:bCs/>
                <w:sz w:val="24"/>
                <w:szCs w:val="24"/>
                <w:highlight w:val="none"/>
              </w:rPr>
              <w:t>单价（最高限价）</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i/>
                <w:sz w:val="24"/>
                <w:szCs w:val="24"/>
                <w:highlight w:val="none"/>
              </w:rPr>
            </w:pPr>
            <w:r>
              <w:rPr>
                <w:rFonts w:hint="eastAsia" w:ascii="宋体" w:hAnsi="宋体" w:cs="宋体"/>
                <w:b/>
                <w:bCs/>
                <w:sz w:val="24"/>
                <w:szCs w:val="24"/>
                <w:highlight w:val="none"/>
              </w:rPr>
              <w:t>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42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Cs/>
                <w:sz w:val="24"/>
                <w:szCs w:val="24"/>
                <w:highlight w:val="none"/>
              </w:rPr>
            </w:pPr>
            <w:r>
              <w:rPr>
                <w:rFonts w:hint="eastAsia" w:ascii="宋体" w:hAnsi="宋体" w:cs="宋体"/>
                <w:iCs/>
                <w:sz w:val="24"/>
                <w:szCs w:val="24"/>
                <w:highlight w:val="none"/>
              </w:rPr>
              <w:t>1</w:t>
            </w:r>
          </w:p>
        </w:tc>
        <w:tc>
          <w:tcPr>
            <w:tcW w:w="19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Cs/>
                <w:sz w:val="24"/>
                <w:szCs w:val="24"/>
                <w:highlight w:val="none"/>
              </w:rPr>
            </w:pPr>
            <w:r>
              <w:rPr>
                <w:rFonts w:hint="eastAsia" w:ascii="宋体" w:hAnsi="宋体" w:cs="宋体"/>
                <w:bCs/>
                <w:iCs/>
                <w:sz w:val="24"/>
                <w:szCs w:val="24"/>
                <w:highlight w:val="none"/>
              </w:rPr>
              <w:t>成都市双流区地下管线普查成果更新项目采购(包件1)</w:t>
            </w:r>
          </w:p>
        </w:tc>
        <w:tc>
          <w:tcPr>
            <w:tcW w:w="76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highlight w:val="none"/>
              </w:rPr>
            </w:pPr>
            <w:r>
              <w:rPr>
                <w:rFonts w:hint="eastAsia" w:ascii="宋体" w:hAnsi="宋体" w:cs="宋体"/>
                <w:sz w:val="24"/>
                <w:szCs w:val="24"/>
                <w:highlight w:val="none"/>
              </w:rPr>
              <w:t>144.43</w:t>
            </w:r>
          </w:p>
        </w:tc>
        <w:tc>
          <w:tcPr>
            <w:tcW w:w="16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highlight w:val="none"/>
              </w:rPr>
            </w:pPr>
            <w:r>
              <w:rPr>
                <w:rFonts w:hint="eastAsia" w:ascii="宋体" w:hAnsi="宋体" w:cs="宋体"/>
                <w:iCs/>
                <w:sz w:val="24"/>
                <w:szCs w:val="24"/>
                <w:highlight w:val="none"/>
              </w:rPr>
              <w:t>地下管线普查成果更新探测服务</w:t>
            </w:r>
          </w:p>
        </w:tc>
        <w:tc>
          <w:tcPr>
            <w:tcW w:w="27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highlight w:val="none"/>
              </w:rPr>
            </w:pPr>
            <w:r>
              <w:rPr>
                <w:rFonts w:hint="eastAsia" w:ascii="宋体" w:hAnsi="宋体" w:cs="宋体"/>
                <w:sz w:val="24"/>
                <w:szCs w:val="24"/>
                <w:highlight w:val="none"/>
              </w:rPr>
              <w:t>1、全野外探测700公里。</w:t>
            </w:r>
          </w:p>
          <w:p>
            <w:pPr>
              <w:rPr>
                <w:rFonts w:ascii="宋体" w:hAnsi="宋体" w:cs="宋体"/>
                <w:sz w:val="24"/>
                <w:szCs w:val="24"/>
                <w:highlight w:val="none"/>
              </w:rPr>
            </w:pPr>
            <w:r>
              <w:rPr>
                <w:rFonts w:hint="eastAsia" w:ascii="宋体" w:hAnsi="宋体" w:cs="宋体"/>
                <w:sz w:val="24"/>
                <w:szCs w:val="24"/>
                <w:highlight w:val="none"/>
              </w:rPr>
              <w:t>2、内外业结合1200公里。</w:t>
            </w:r>
          </w:p>
          <w:p>
            <w:pPr>
              <w:rPr>
                <w:rFonts w:ascii="宋体" w:hAnsi="宋体" w:cs="宋体"/>
                <w:sz w:val="24"/>
                <w:szCs w:val="24"/>
                <w:highlight w:val="none"/>
              </w:rPr>
            </w:pPr>
            <w:r>
              <w:rPr>
                <w:rFonts w:hint="eastAsia" w:ascii="宋体" w:hAnsi="宋体" w:cs="宋体"/>
                <w:sz w:val="24"/>
                <w:szCs w:val="24"/>
                <w:highlight w:val="none"/>
              </w:rPr>
              <w:t>共计长度1900公里。</w:t>
            </w:r>
          </w:p>
        </w:tc>
        <w:tc>
          <w:tcPr>
            <w:tcW w:w="1255"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highlight w:val="none"/>
              </w:rPr>
            </w:pPr>
            <w:r>
              <w:rPr>
                <w:rFonts w:hint="eastAsia" w:ascii="宋体" w:hAnsi="宋体" w:cs="宋体"/>
                <w:sz w:val="24"/>
                <w:szCs w:val="24"/>
                <w:highlight w:val="none"/>
              </w:rPr>
              <w:t>1、全野外探测单价最高限价：3930 元/公里。</w:t>
            </w:r>
          </w:p>
          <w:p>
            <w:pPr>
              <w:spacing w:line="360" w:lineRule="auto"/>
              <w:rPr>
                <w:rFonts w:ascii="宋体" w:hAnsi="宋体" w:cs="宋体"/>
                <w:bCs/>
                <w:iCs/>
                <w:sz w:val="24"/>
                <w:szCs w:val="24"/>
                <w:highlight w:val="none"/>
              </w:rPr>
            </w:pPr>
            <w:r>
              <w:rPr>
                <w:rFonts w:hint="eastAsia" w:ascii="宋体" w:hAnsi="宋体" w:cs="宋体"/>
                <w:sz w:val="24"/>
                <w:szCs w:val="24"/>
                <w:highlight w:val="none"/>
              </w:rPr>
              <w:t>2、内外业结合核实探测单价最高限价：3180元/公里</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Cs/>
                <w:sz w:val="24"/>
                <w:szCs w:val="24"/>
                <w:highlight w:val="none"/>
              </w:rPr>
            </w:pPr>
            <w:r>
              <w:rPr>
                <w:rFonts w:hint="eastAsia" w:ascii="宋体" w:hAnsi="宋体" w:cs="宋体"/>
                <w:bCs/>
                <w:iCs/>
                <w:sz w:val="24"/>
                <w:szCs w:val="24"/>
                <w:highlight w:val="none"/>
              </w:rPr>
              <w:t>656.7万元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42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Cs/>
                <w:sz w:val="24"/>
                <w:szCs w:val="24"/>
                <w:highlight w:val="none"/>
              </w:rPr>
            </w:pPr>
            <w:r>
              <w:rPr>
                <w:rFonts w:hint="eastAsia" w:ascii="宋体" w:hAnsi="宋体" w:cs="宋体"/>
                <w:iCs/>
                <w:sz w:val="24"/>
                <w:szCs w:val="24"/>
                <w:highlight w:val="none"/>
              </w:rPr>
              <w:t>2</w:t>
            </w:r>
          </w:p>
        </w:tc>
        <w:tc>
          <w:tcPr>
            <w:tcW w:w="19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Cs/>
                <w:sz w:val="24"/>
                <w:szCs w:val="24"/>
                <w:highlight w:val="none"/>
              </w:rPr>
            </w:pPr>
            <w:r>
              <w:rPr>
                <w:rFonts w:hint="eastAsia" w:ascii="宋体" w:hAnsi="宋体" w:cs="宋体"/>
                <w:bCs/>
                <w:iCs/>
                <w:sz w:val="24"/>
                <w:szCs w:val="24"/>
                <w:highlight w:val="none"/>
              </w:rPr>
              <w:t>成都市双流区地下管线普查成果更新项目采购(包件2)</w:t>
            </w:r>
          </w:p>
        </w:tc>
        <w:tc>
          <w:tcPr>
            <w:tcW w:w="76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highlight w:val="none"/>
              </w:rPr>
            </w:pPr>
            <w:r>
              <w:rPr>
                <w:rFonts w:hint="eastAsia" w:ascii="宋体" w:hAnsi="宋体" w:cs="宋体"/>
                <w:sz w:val="24"/>
                <w:szCs w:val="24"/>
                <w:highlight w:val="none"/>
              </w:rPr>
              <w:t>47.7</w:t>
            </w:r>
          </w:p>
        </w:tc>
        <w:tc>
          <w:tcPr>
            <w:tcW w:w="16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highlight w:val="none"/>
              </w:rPr>
            </w:pPr>
            <w:r>
              <w:rPr>
                <w:rFonts w:hint="eastAsia" w:ascii="宋体" w:hAnsi="宋体" w:cs="宋体"/>
                <w:iCs/>
                <w:sz w:val="24"/>
                <w:szCs w:val="24"/>
                <w:highlight w:val="none"/>
              </w:rPr>
              <w:t>地下管线普查成果更新探测服务</w:t>
            </w:r>
          </w:p>
        </w:tc>
        <w:tc>
          <w:tcPr>
            <w:tcW w:w="27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highlight w:val="none"/>
              </w:rPr>
            </w:pPr>
            <w:r>
              <w:rPr>
                <w:rFonts w:hint="eastAsia" w:ascii="宋体" w:hAnsi="宋体" w:cs="宋体"/>
                <w:sz w:val="24"/>
                <w:szCs w:val="24"/>
                <w:highlight w:val="none"/>
              </w:rPr>
              <w:t>1、全野外探测1100公里。</w:t>
            </w:r>
          </w:p>
          <w:p>
            <w:pPr>
              <w:rPr>
                <w:rFonts w:ascii="宋体" w:hAnsi="宋体" w:cs="宋体"/>
                <w:sz w:val="24"/>
                <w:szCs w:val="24"/>
                <w:highlight w:val="none"/>
              </w:rPr>
            </w:pPr>
            <w:r>
              <w:rPr>
                <w:rFonts w:hint="eastAsia" w:ascii="宋体" w:hAnsi="宋体" w:cs="宋体"/>
                <w:sz w:val="24"/>
                <w:szCs w:val="24"/>
                <w:highlight w:val="none"/>
              </w:rPr>
              <w:t>2、内外业结合1700公里。</w:t>
            </w:r>
          </w:p>
          <w:p>
            <w:pPr>
              <w:rPr>
                <w:rFonts w:ascii="宋体" w:hAnsi="宋体" w:cs="宋体"/>
                <w:sz w:val="24"/>
                <w:szCs w:val="24"/>
                <w:highlight w:val="none"/>
              </w:rPr>
            </w:pPr>
            <w:r>
              <w:rPr>
                <w:rFonts w:hint="eastAsia" w:ascii="宋体" w:hAnsi="宋体" w:cs="宋体"/>
                <w:sz w:val="24"/>
                <w:szCs w:val="24"/>
                <w:highlight w:val="none"/>
              </w:rPr>
              <w:t>共计长度2800公里。</w:t>
            </w:r>
          </w:p>
        </w:tc>
        <w:tc>
          <w:tcPr>
            <w:tcW w:w="12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iCs/>
                <w:sz w:val="24"/>
                <w:szCs w:val="24"/>
                <w:highlight w:val="none"/>
              </w:rPr>
            </w:pP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Cs/>
                <w:sz w:val="24"/>
                <w:szCs w:val="24"/>
                <w:highlight w:val="none"/>
              </w:rPr>
            </w:pPr>
            <w:r>
              <w:rPr>
                <w:rFonts w:hint="eastAsia" w:ascii="宋体" w:hAnsi="宋体" w:cs="宋体"/>
                <w:bCs/>
                <w:iCs/>
                <w:sz w:val="24"/>
                <w:szCs w:val="24"/>
                <w:highlight w:val="none"/>
              </w:rPr>
              <w:t>972.9万元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42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Cs/>
                <w:sz w:val="24"/>
                <w:szCs w:val="24"/>
                <w:highlight w:val="none"/>
              </w:rPr>
            </w:pPr>
            <w:r>
              <w:rPr>
                <w:rFonts w:hint="eastAsia" w:ascii="宋体" w:hAnsi="宋体" w:cs="宋体"/>
                <w:iCs/>
                <w:sz w:val="24"/>
                <w:szCs w:val="24"/>
                <w:highlight w:val="none"/>
              </w:rPr>
              <w:t>3</w:t>
            </w:r>
          </w:p>
        </w:tc>
        <w:tc>
          <w:tcPr>
            <w:tcW w:w="19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Cs/>
                <w:sz w:val="24"/>
                <w:szCs w:val="24"/>
                <w:highlight w:val="none"/>
              </w:rPr>
            </w:pPr>
            <w:r>
              <w:rPr>
                <w:rFonts w:hint="eastAsia" w:ascii="宋体" w:hAnsi="宋体" w:cs="宋体"/>
                <w:bCs/>
                <w:iCs/>
                <w:sz w:val="24"/>
                <w:szCs w:val="24"/>
                <w:highlight w:val="none"/>
              </w:rPr>
              <w:t>成都市双流区地下管线普查成果更新项目采购(包件3)</w:t>
            </w:r>
          </w:p>
        </w:tc>
        <w:tc>
          <w:tcPr>
            <w:tcW w:w="76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highlight w:val="none"/>
              </w:rPr>
            </w:pPr>
            <w:r>
              <w:rPr>
                <w:rFonts w:hint="eastAsia" w:ascii="宋体" w:hAnsi="宋体" w:cs="宋体"/>
                <w:sz w:val="24"/>
                <w:szCs w:val="24"/>
                <w:highlight w:val="none"/>
              </w:rPr>
              <w:t>32.83</w:t>
            </w:r>
          </w:p>
        </w:tc>
        <w:tc>
          <w:tcPr>
            <w:tcW w:w="16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highlight w:val="none"/>
              </w:rPr>
            </w:pPr>
            <w:r>
              <w:rPr>
                <w:rFonts w:hint="eastAsia" w:ascii="宋体" w:hAnsi="宋体" w:cs="宋体"/>
                <w:iCs/>
                <w:sz w:val="24"/>
                <w:szCs w:val="24"/>
                <w:highlight w:val="none"/>
              </w:rPr>
              <w:t>地下管线普查成果更新探测服务</w:t>
            </w:r>
          </w:p>
        </w:tc>
        <w:tc>
          <w:tcPr>
            <w:tcW w:w="27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highlight w:val="none"/>
              </w:rPr>
            </w:pPr>
            <w:r>
              <w:rPr>
                <w:rFonts w:hint="eastAsia" w:ascii="宋体" w:hAnsi="宋体" w:cs="宋体"/>
                <w:sz w:val="24"/>
                <w:szCs w:val="24"/>
                <w:highlight w:val="none"/>
              </w:rPr>
              <w:t>1、全野外探测600公里。</w:t>
            </w:r>
          </w:p>
          <w:p>
            <w:pPr>
              <w:rPr>
                <w:rFonts w:ascii="宋体" w:hAnsi="宋体" w:cs="宋体"/>
                <w:sz w:val="24"/>
                <w:szCs w:val="24"/>
                <w:highlight w:val="none"/>
              </w:rPr>
            </w:pPr>
            <w:r>
              <w:rPr>
                <w:rFonts w:hint="eastAsia" w:ascii="宋体" w:hAnsi="宋体" w:cs="宋体"/>
                <w:sz w:val="24"/>
                <w:szCs w:val="24"/>
                <w:highlight w:val="none"/>
              </w:rPr>
              <w:t>2、内外业结合900公里。</w:t>
            </w:r>
          </w:p>
          <w:p>
            <w:pPr>
              <w:rPr>
                <w:rFonts w:ascii="宋体" w:hAnsi="宋体" w:cs="宋体"/>
                <w:sz w:val="24"/>
                <w:szCs w:val="24"/>
                <w:highlight w:val="none"/>
              </w:rPr>
            </w:pPr>
            <w:r>
              <w:rPr>
                <w:rFonts w:hint="eastAsia" w:ascii="宋体" w:hAnsi="宋体" w:cs="宋体"/>
                <w:sz w:val="24"/>
                <w:szCs w:val="24"/>
                <w:highlight w:val="none"/>
              </w:rPr>
              <w:t>共计长度1500公里。</w:t>
            </w:r>
          </w:p>
        </w:tc>
        <w:tc>
          <w:tcPr>
            <w:tcW w:w="12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iCs/>
                <w:sz w:val="24"/>
                <w:szCs w:val="24"/>
                <w:highlight w:val="none"/>
              </w:rPr>
            </w:pP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highlight w:val="none"/>
              </w:rPr>
            </w:pPr>
            <w:r>
              <w:rPr>
                <w:rFonts w:hint="eastAsia" w:ascii="宋体" w:hAnsi="宋体" w:cs="宋体"/>
                <w:bCs/>
                <w:iCs/>
                <w:sz w:val="24"/>
                <w:szCs w:val="24"/>
                <w:highlight w:val="none"/>
              </w:rPr>
              <w:t>522万元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Cs/>
                <w:sz w:val="24"/>
                <w:szCs w:val="24"/>
                <w:highlight w:val="none"/>
              </w:rPr>
            </w:pPr>
            <w:r>
              <w:rPr>
                <w:rFonts w:hint="eastAsia" w:ascii="宋体" w:hAnsi="宋体" w:cs="宋体"/>
                <w:iCs/>
                <w:sz w:val="24"/>
                <w:szCs w:val="24"/>
                <w:highlight w:val="none"/>
              </w:rPr>
              <w:t>4</w:t>
            </w:r>
          </w:p>
        </w:tc>
        <w:tc>
          <w:tcPr>
            <w:tcW w:w="19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Cs/>
                <w:sz w:val="24"/>
                <w:szCs w:val="24"/>
                <w:highlight w:val="none"/>
              </w:rPr>
            </w:pPr>
            <w:r>
              <w:rPr>
                <w:rFonts w:hint="eastAsia" w:ascii="宋体" w:hAnsi="宋体" w:cs="宋体"/>
                <w:bCs/>
                <w:iCs/>
                <w:sz w:val="24"/>
                <w:szCs w:val="24"/>
                <w:highlight w:val="none"/>
              </w:rPr>
              <w:t>成都市双流区地下管线普查成果更新项目采购(包件4)</w:t>
            </w:r>
          </w:p>
        </w:tc>
        <w:tc>
          <w:tcPr>
            <w:tcW w:w="76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81.82</w:t>
            </w:r>
          </w:p>
        </w:tc>
        <w:tc>
          <w:tcPr>
            <w:tcW w:w="16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highlight w:val="none"/>
              </w:rPr>
            </w:pPr>
            <w:r>
              <w:rPr>
                <w:rFonts w:hint="eastAsia" w:ascii="宋体" w:hAnsi="宋体" w:cs="宋体"/>
                <w:iCs/>
                <w:sz w:val="24"/>
                <w:szCs w:val="24"/>
                <w:highlight w:val="none"/>
              </w:rPr>
              <w:t>地下管线普查成果更新探测服务</w:t>
            </w:r>
          </w:p>
        </w:tc>
        <w:tc>
          <w:tcPr>
            <w:tcW w:w="27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highlight w:val="none"/>
              </w:rPr>
            </w:pPr>
            <w:r>
              <w:rPr>
                <w:rFonts w:hint="eastAsia" w:ascii="宋体" w:hAnsi="宋体" w:cs="宋体"/>
                <w:sz w:val="24"/>
                <w:szCs w:val="24"/>
                <w:highlight w:val="none"/>
              </w:rPr>
              <w:t>1、全野外探测700公里。</w:t>
            </w:r>
          </w:p>
          <w:p>
            <w:pPr>
              <w:spacing w:line="360" w:lineRule="auto"/>
              <w:rPr>
                <w:rFonts w:ascii="宋体" w:hAnsi="宋体" w:cs="宋体"/>
                <w:sz w:val="24"/>
                <w:szCs w:val="24"/>
                <w:highlight w:val="none"/>
              </w:rPr>
            </w:pPr>
            <w:r>
              <w:rPr>
                <w:rFonts w:hint="eastAsia" w:ascii="宋体" w:hAnsi="宋体" w:cs="宋体"/>
                <w:sz w:val="24"/>
                <w:szCs w:val="24"/>
                <w:highlight w:val="none"/>
              </w:rPr>
              <w:t>2、内外业结合1200公里。</w:t>
            </w:r>
          </w:p>
          <w:p>
            <w:pPr>
              <w:spacing w:line="360" w:lineRule="auto"/>
              <w:rPr>
                <w:rFonts w:ascii="宋体" w:hAnsi="宋体" w:cs="宋体"/>
                <w:sz w:val="24"/>
                <w:szCs w:val="24"/>
                <w:highlight w:val="none"/>
              </w:rPr>
            </w:pPr>
            <w:r>
              <w:rPr>
                <w:rFonts w:hint="eastAsia" w:ascii="宋体" w:hAnsi="宋体" w:cs="宋体"/>
                <w:sz w:val="24"/>
                <w:szCs w:val="24"/>
                <w:highlight w:val="none"/>
              </w:rPr>
              <w:t>共计长度1900公里。</w:t>
            </w:r>
          </w:p>
        </w:tc>
        <w:tc>
          <w:tcPr>
            <w:tcW w:w="12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iCs/>
                <w:sz w:val="24"/>
                <w:szCs w:val="24"/>
                <w:highlight w:val="none"/>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bCs/>
                <w:iCs/>
                <w:sz w:val="24"/>
                <w:szCs w:val="24"/>
                <w:highlight w:val="none"/>
              </w:rPr>
              <w:t>656.7万元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Cs/>
                <w:sz w:val="24"/>
                <w:szCs w:val="24"/>
                <w:highlight w:val="none"/>
              </w:rPr>
            </w:pPr>
            <w:r>
              <w:rPr>
                <w:rFonts w:hint="eastAsia" w:ascii="宋体" w:hAnsi="宋体" w:cs="宋体"/>
                <w:iCs/>
                <w:sz w:val="24"/>
                <w:szCs w:val="24"/>
                <w:highlight w:val="none"/>
              </w:rPr>
              <w:t>5</w:t>
            </w:r>
          </w:p>
        </w:tc>
        <w:tc>
          <w:tcPr>
            <w:tcW w:w="19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iCs/>
                <w:sz w:val="24"/>
                <w:szCs w:val="24"/>
                <w:highlight w:val="none"/>
              </w:rPr>
            </w:pPr>
            <w:r>
              <w:rPr>
                <w:rFonts w:hint="eastAsia" w:ascii="宋体" w:hAnsi="宋体" w:cs="宋体"/>
                <w:bCs/>
                <w:iCs/>
                <w:sz w:val="24"/>
                <w:szCs w:val="24"/>
                <w:highlight w:val="none"/>
              </w:rPr>
              <w:t>成都市双流区地下管线普查成果更新项目采购(包件5)</w:t>
            </w:r>
          </w:p>
        </w:tc>
        <w:tc>
          <w:tcPr>
            <w:tcW w:w="76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160.44</w:t>
            </w:r>
          </w:p>
        </w:tc>
        <w:tc>
          <w:tcPr>
            <w:tcW w:w="16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highlight w:val="none"/>
              </w:rPr>
            </w:pPr>
            <w:r>
              <w:rPr>
                <w:rFonts w:hint="eastAsia" w:ascii="宋体" w:hAnsi="宋体" w:cs="宋体"/>
                <w:iCs/>
                <w:sz w:val="24"/>
                <w:szCs w:val="24"/>
                <w:highlight w:val="none"/>
              </w:rPr>
              <w:t>地下管线普查成果更新探测服务</w:t>
            </w:r>
          </w:p>
        </w:tc>
        <w:tc>
          <w:tcPr>
            <w:tcW w:w="27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highlight w:val="none"/>
              </w:rPr>
            </w:pPr>
            <w:r>
              <w:rPr>
                <w:rFonts w:hint="eastAsia" w:ascii="宋体" w:hAnsi="宋体" w:cs="宋体"/>
                <w:sz w:val="24"/>
                <w:szCs w:val="24"/>
                <w:highlight w:val="none"/>
              </w:rPr>
              <w:t>1、全野外探测1100公里。</w:t>
            </w:r>
          </w:p>
          <w:p>
            <w:pPr>
              <w:spacing w:line="360" w:lineRule="auto"/>
              <w:rPr>
                <w:rFonts w:ascii="宋体" w:hAnsi="宋体" w:cs="宋体"/>
                <w:sz w:val="24"/>
                <w:szCs w:val="24"/>
                <w:highlight w:val="none"/>
              </w:rPr>
            </w:pPr>
            <w:r>
              <w:rPr>
                <w:rFonts w:hint="eastAsia" w:ascii="宋体" w:hAnsi="宋体" w:cs="宋体"/>
                <w:sz w:val="24"/>
                <w:szCs w:val="24"/>
                <w:highlight w:val="none"/>
              </w:rPr>
              <w:t>2、内外业结合1800公里。</w:t>
            </w:r>
          </w:p>
          <w:p>
            <w:pPr>
              <w:spacing w:line="360" w:lineRule="auto"/>
              <w:rPr>
                <w:rFonts w:ascii="宋体" w:hAnsi="宋体" w:cs="宋体"/>
                <w:sz w:val="24"/>
                <w:szCs w:val="24"/>
                <w:highlight w:val="none"/>
              </w:rPr>
            </w:pPr>
            <w:r>
              <w:rPr>
                <w:rFonts w:hint="eastAsia" w:ascii="宋体" w:hAnsi="宋体" w:cs="宋体"/>
                <w:sz w:val="24"/>
                <w:szCs w:val="24"/>
                <w:highlight w:val="none"/>
              </w:rPr>
              <w:t>共计长度2900公里。</w:t>
            </w:r>
          </w:p>
        </w:tc>
        <w:tc>
          <w:tcPr>
            <w:tcW w:w="12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iCs/>
                <w:sz w:val="24"/>
                <w:szCs w:val="24"/>
                <w:highlight w:val="none"/>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iCs/>
                <w:sz w:val="24"/>
                <w:szCs w:val="24"/>
                <w:highlight w:val="none"/>
              </w:rPr>
            </w:pPr>
            <w:r>
              <w:rPr>
                <w:rFonts w:hint="eastAsia" w:ascii="宋体" w:hAnsi="宋体" w:cs="宋体"/>
                <w:bCs/>
                <w:iCs/>
                <w:sz w:val="24"/>
                <w:szCs w:val="24"/>
                <w:highlight w:val="none"/>
              </w:rPr>
              <w:t>1004.7万元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Cs/>
                <w:sz w:val="24"/>
                <w:szCs w:val="24"/>
                <w:highlight w:val="none"/>
              </w:rPr>
            </w:pPr>
            <w:r>
              <w:rPr>
                <w:rFonts w:hint="eastAsia" w:ascii="宋体" w:hAnsi="宋体" w:cs="宋体"/>
                <w:iCs/>
                <w:sz w:val="24"/>
                <w:szCs w:val="24"/>
                <w:highlight w:val="none"/>
              </w:rPr>
              <w:t>6</w:t>
            </w:r>
          </w:p>
        </w:tc>
        <w:tc>
          <w:tcPr>
            <w:tcW w:w="1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iCs/>
                <w:sz w:val="24"/>
                <w:szCs w:val="24"/>
                <w:highlight w:val="none"/>
              </w:rPr>
            </w:pPr>
            <w:r>
              <w:rPr>
                <w:rFonts w:hint="eastAsia" w:ascii="宋体" w:hAnsi="宋体" w:cs="宋体"/>
                <w:bCs/>
                <w:iCs/>
                <w:sz w:val="24"/>
                <w:szCs w:val="24"/>
                <w:highlight w:val="none"/>
              </w:rPr>
              <w:t>成都市双流区地下管线普查成果更新项目采购（包件6）</w:t>
            </w:r>
          </w:p>
        </w:tc>
        <w:tc>
          <w:tcPr>
            <w:tcW w:w="76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w:t>
            </w:r>
          </w:p>
        </w:tc>
        <w:tc>
          <w:tcPr>
            <w:tcW w:w="16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iCs/>
                <w:sz w:val="24"/>
                <w:szCs w:val="24"/>
                <w:highlight w:val="none"/>
              </w:rPr>
              <w:t>地下管线普查成果更新监理服务</w:t>
            </w:r>
          </w:p>
        </w:tc>
        <w:tc>
          <w:tcPr>
            <w:tcW w:w="2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长度11000公里。</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highlight w:val="none"/>
              </w:rPr>
            </w:pPr>
            <w:r>
              <w:rPr>
                <w:rFonts w:hint="eastAsia" w:ascii="宋体" w:hAnsi="宋体" w:cs="宋体"/>
                <w:sz w:val="24"/>
                <w:szCs w:val="24"/>
                <w:highlight w:val="none"/>
              </w:rPr>
              <w:t>单价最高限价：268元/公里。</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iCs/>
                <w:sz w:val="24"/>
                <w:szCs w:val="24"/>
                <w:highlight w:val="none"/>
              </w:rPr>
            </w:pPr>
            <w:r>
              <w:rPr>
                <w:rFonts w:hint="eastAsia" w:ascii="宋体" w:hAnsi="宋体" w:cs="宋体"/>
                <w:bCs/>
                <w:iCs/>
                <w:sz w:val="24"/>
                <w:szCs w:val="24"/>
                <w:highlight w:val="none"/>
              </w:rPr>
              <w:t>294.8万元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Cs/>
                <w:sz w:val="24"/>
                <w:szCs w:val="24"/>
                <w:highlight w:val="none"/>
              </w:rPr>
            </w:pPr>
            <w:r>
              <w:rPr>
                <w:rFonts w:hint="eastAsia" w:ascii="宋体" w:hAnsi="宋体" w:cs="宋体"/>
                <w:iCs/>
                <w:sz w:val="24"/>
                <w:szCs w:val="24"/>
                <w:highlight w:val="none"/>
              </w:rPr>
              <w:t>7</w:t>
            </w:r>
          </w:p>
        </w:tc>
        <w:tc>
          <w:tcPr>
            <w:tcW w:w="1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iCs/>
                <w:sz w:val="24"/>
                <w:szCs w:val="24"/>
                <w:highlight w:val="none"/>
              </w:rPr>
            </w:pPr>
            <w:r>
              <w:rPr>
                <w:rFonts w:hint="eastAsia" w:ascii="宋体" w:hAnsi="宋体" w:cs="宋体"/>
                <w:bCs/>
                <w:iCs/>
                <w:sz w:val="24"/>
                <w:szCs w:val="24"/>
                <w:highlight w:val="none"/>
              </w:rPr>
              <w:t>成都市双流区地下管线普查成果更新项目采购（包件7）</w:t>
            </w:r>
          </w:p>
        </w:tc>
        <w:tc>
          <w:tcPr>
            <w:tcW w:w="76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w:t>
            </w:r>
          </w:p>
        </w:tc>
        <w:tc>
          <w:tcPr>
            <w:tcW w:w="16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iCs/>
                <w:sz w:val="24"/>
                <w:szCs w:val="24"/>
                <w:highlight w:val="none"/>
              </w:rPr>
              <w:t>地下管线普查成果更新质检服务</w:t>
            </w:r>
          </w:p>
        </w:tc>
        <w:tc>
          <w:tcPr>
            <w:tcW w:w="2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长度11000公里。</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highlight w:val="none"/>
              </w:rPr>
            </w:pPr>
            <w:r>
              <w:rPr>
                <w:rFonts w:hint="eastAsia" w:ascii="宋体" w:hAnsi="宋体" w:cs="宋体"/>
                <w:sz w:val="24"/>
                <w:szCs w:val="24"/>
                <w:highlight w:val="none"/>
              </w:rPr>
              <w:t>单价最高限价：173元/公里</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iCs/>
                <w:sz w:val="24"/>
                <w:szCs w:val="24"/>
                <w:highlight w:val="none"/>
              </w:rPr>
            </w:pPr>
            <w:r>
              <w:rPr>
                <w:rFonts w:hint="eastAsia" w:ascii="宋体" w:hAnsi="宋体" w:cs="宋体"/>
                <w:bCs/>
                <w:iCs/>
                <w:sz w:val="24"/>
                <w:szCs w:val="24"/>
                <w:highlight w:val="none"/>
              </w:rPr>
              <w:t>190.3万元</w:t>
            </w:r>
          </w:p>
        </w:tc>
      </w:tr>
    </w:tbl>
    <w:p>
      <w:pPr>
        <w:pStyle w:val="209"/>
        <w:rPr>
          <w:rStyle w:val="169"/>
          <w:rFonts w:hint="default"/>
          <w:highlight w:val="none"/>
        </w:rPr>
      </w:pPr>
    </w:p>
    <w:p>
      <w:pPr>
        <w:pStyle w:val="209"/>
        <w:outlineLvl w:val="1"/>
        <w:rPr>
          <w:rStyle w:val="169"/>
          <w:rFonts w:hint="default"/>
          <w:sz w:val="28"/>
          <w:szCs w:val="28"/>
          <w:highlight w:val="none"/>
        </w:rPr>
      </w:pPr>
      <w:bookmarkStart w:id="263" w:name="_Toc79654079"/>
      <w:r>
        <w:rPr>
          <w:rStyle w:val="169"/>
          <w:rFonts w:hint="default" w:ascii="Times New Roman" w:hAnsi="Times New Roman" w:cs="Times New Roman"/>
          <w:sz w:val="28"/>
          <w:szCs w:val="28"/>
          <w:highlight w:val="none"/>
        </w:rPr>
        <w:t xml:space="preserve">4.3 </w:t>
      </w:r>
      <w:r>
        <w:rPr>
          <w:rStyle w:val="169"/>
          <w:rFonts w:hint="default"/>
          <w:sz w:val="28"/>
          <w:szCs w:val="28"/>
          <w:highlight w:val="none"/>
        </w:rPr>
        <w:t>各包件详细内容</w:t>
      </w:r>
      <w:bookmarkEnd w:id="263"/>
    </w:p>
    <w:p>
      <w:pPr>
        <w:pStyle w:val="5"/>
        <w:rPr>
          <w:highlight w:val="none"/>
        </w:rPr>
      </w:pPr>
      <w:bookmarkStart w:id="264" w:name="_Toc79654080"/>
      <w:r>
        <w:rPr>
          <w:rStyle w:val="169"/>
          <w:rFonts w:hint="default" w:ascii="Times New Roman" w:hAnsi="Times New Roman" w:cs="Times New Roman"/>
          <w:b/>
          <w:bCs w:val="0"/>
          <w:color w:val="000000"/>
          <w:sz w:val="24"/>
          <w:szCs w:val="24"/>
          <w:highlight w:val="none"/>
        </w:rPr>
        <w:t xml:space="preserve">4.3.1 </w:t>
      </w:r>
      <w:r>
        <w:rPr>
          <w:rFonts w:hint="eastAsia"/>
          <w:iCs/>
          <w:sz w:val="24"/>
          <w:highlight w:val="none"/>
        </w:rPr>
        <w:t>地下管线普查成果更新探测服务（包件1-5）</w:t>
      </w:r>
      <w:bookmarkEnd w:id="264"/>
    </w:p>
    <w:p>
      <w:pPr>
        <w:pStyle w:val="6"/>
        <w:rPr>
          <w:sz w:val="24"/>
          <w:highlight w:val="none"/>
        </w:rPr>
      </w:pPr>
      <w:r>
        <w:rPr>
          <w:rStyle w:val="169"/>
          <w:rFonts w:hint="default" w:ascii="Times New Roman" w:hAnsi="Times New Roman" w:cs="Times New Roman"/>
          <w:b/>
          <w:bCs w:val="0"/>
          <w:sz w:val="24"/>
          <w:szCs w:val="24"/>
          <w:highlight w:val="none"/>
        </w:rPr>
        <w:t>4.3.1</w:t>
      </w:r>
      <w:r>
        <w:rPr>
          <w:rStyle w:val="169"/>
          <w:rFonts w:hint="default" w:ascii="Times New Roman" w:hAnsi="Times New Roman" w:cs="Times New Roman"/>
          <w:b w:val="0"/>
          <w:bCs w:val="0"/>
          <w:sz w:val="24"/>
          <w:szCs w:val="24"/>
          <w:highlight w:val="none"/>
        </w:rPr>
        <w:t>.1</w:t>
      </w:r>
      <w:r>
        <w:rPr>
          <w:rFonts w:hint="eastAsia"/>
          <w:sz w:val="24"/>
          <w:highlight w:val="none"/>
        </w:rPr>
        <w:t>项目概述</w:t>
      </w:r>
    </w:p>
    <w:p>
      <w:pPr>
        <w:spacing w:line="360" w:lineRule="auto"/>
        <w:ind w:firstLine="480" w:firstLineChars="200"/>
        <w:rPr>
          <w:rFonts w:ascii="宋体" w:hAnsi="宋体"/>
          <w:color w:val="FF0000"/>
          <w:sz w:val="24"/>
          <w:highlight w:val="none"/>
        </w:rPr>
      </w:pPr>
      <w:r>
        <w:rPr>
          <w:rFonts w:hint="eastAsia" w:ascii="宋体" w:hAnsi="宋体"/>
          <w:sz w:val="24"/>
          <w:highlight w:val="none"/>
        </w:rPr>
        <w:t>根据《国务院办公厅关于加强城市地下管线建设管理的指导意见》（国办发〔2014〕27号）、《四川省人民政府关于加强城镇地下管线建设管理的意见》（川府发〔2014〕52号）、《住房和城乡建设部工业和信息化部国家广播电视总局国家能源局关于进一步加强城市地下管线建设管理有关工作的通知》（建城〔2019〕100号）等文件要求，结合成都市地下管线普查成果更新工作领导小组印发的《成都市</w:t>
      </w:r>
      <w:r>
        <w:rPr>
          <w:rFonts w:ascii="宋体" w:hAnsi="宋体"/>
          <w:sz w:val="24"/>
          <w:highlight w:val="none"/>
        </w:rPr>
        <w:t>地下管线普查成果更新</w:t>
      </w:r>
      <w:r>
        <w:rPr>
          <w:rFonts w:hint="eastAsia" w:ascii="宋体" w:hAnsi="宋体"/>
          <w:sz w:val="24"/>
          <w:highlight w:val="none"/>
        </w:rPr>
        <w:t>工作</w:t>
      </w:r>
      <w:r>
        <w:rPr>
          <w:rFonts w:ascii="宋体" w:hAnsi="宋体"/>
          <w:sz w:val="24"/>
          <w:highlight w:val="none"/>
        </w:rPr>
        <w:t>方案</w:t>
      </w:r>
      <w:r>
        <w:rPr>
          <w:rFonts w:hint="eastAsia" w:ascii="宋体" w:hAnsi="宋体"/>
          <w:sz w:val="24"/>
          <w:highlight w:val="none"/>
        </w:rPr>
        <w:t>》（成管</w:t>
      </w:r>
      <w:r>
        <w:rPr>
          <w:rFonts w:ascii="宋体" w:hAnsi="宋体"/>
          <w:sz w:val="24"/>
          <w:highlight w:val="none"/>
        </w:rPr>
        <w:t>普领</w:t>
      </w:r>
      <w:r>
        <w:rPr>
          <w:rFonts w:hint="eastAsia" w:ascii="宋体" w:hAnsi="宋体"/>
          <w:sz w:val="24"/>
          <w:highlight w:val="none"/>
        </w:rPr>
        <w:t>〔20</w:t>
      </w:r>
      <w:r>
        <w:rPr>
          <w:rFonts w:ascii="宋体" w:hAnsi="宋体"/>
          <w:sz w:val="24"/>
          <w:highlight w:val="none"/>
        </w:rPr>
        <w:t>20</w:t>
      </w:r>
      <w:r>
        <w:rPr>
          <w:rFonts w:hint="eastAsia" w:ascii="宋体" w:hAnsi="宋体"/>
          <w:sz w:val="24"/>
          <w:highlight w:val="none"/>
        </w:rPr>
        <w:t>〕1号）、领导小组办公室印发的《成都市</w:t>
      </w:r>
      <w:r>
        <w:rPr>
          <w:rFonts w:ascii="宋体" w:hAnsi="宋体"/>
          <w:sz w:val="24"/>
          <w:highlight w:val="none"/>
        </w:rPr>
        <w:t>地下管线普查成果更新</w:t>
      </w:r>
      <w:r>
        <w:rPr>
          <w:rFonts w:hint="eastAsia" w:ascii="宋体" w:hAnsi="宋体"/>
          <w:sz w:val="24"/>
          <w:highlight w:val="none"/>
        </w:rPr>
        <w:t>实施</w:t>
      </w:r>
      <w:r>
        <w:rPr>
          <w:rFonts w:ascii="宋体" w:hAnsi="宋体"/>
          <w:sz w:val="24"/>
          <w:highlight w:val="none"/>
        </w:rPr>
        <w:t>方案</w:t>
      </w:r>
      <w:r>
        <w:rPr>
          <w:rFonts w:hint="eastAsia" w:ascii="宋体" w:hAnsi="宋体"/>
          <w:sz w:val="24"/>
          <w:highlight w:val="none"/>
        </w:rPr>
        <w:t>》（成管</w:t>
      </w:r>
      <w:r>
        <w:rPr>
          <w:rFonts w:ascii="宋体" w:hAnsi="宋体"/>
          <w:sz w:val="24"/>
          <w:highlight w:val="none"/>
        </w:rPr>
        <w:t>普</w:t>
      </w:r>
      <w:r>
        <w:rPr>
          <w:rFonts w:hint="eastAsia" w:ascii="宋体" w:hAnsi="宋体"/>
          <w:sz w:val="24"/>
          <w:highlight w:val="none"/>
        </w:rPr>
        <w:t>办〔20</w:t>
      </w:r>
      <w:r>
        <w:rPr>
          <w:rFonts w:ascii="宋体" w:hAnsi="宋体"/>
          <w:sz w:val="24"/>
          <w:highlight w:val="none"/>
        </w:rPr>
        <w:t>20</w:t>
      </w:r>
      <w:r>
        <w:rPr>
          <w:rFonts w:hint="eastAsia" w:ascii="宋体" w:hAnsi="宋体"/>
          <w:sz w:val="24"/>
          <w:highlight w:val="none"/>
        </w:rPr>
        <w:t>〕</w:t>
      </w:r>
      <w:r>
        <w:rPr>
          <w:rFonts w:ascii="宋体" w:hAnsi="宋体"/>
          <w:sz w:val="24"/>
          <w:highlight w:val="none"/>
        </w:rPr>
        <w:t>4</w:t>
      </w:r>
      <w:r>
        <w:rPr>
          <w:rFonts w:hint="eastAsia" w:ascii="宋体" w:hAnsi="宋体"/>
          <w:sz w:val="24"/>
          <w:highlight w:val="none"/>
        </w:rPr>
        <w:t>号）及《成都市</w:t>
      </w:r>
      <w:r>
        <w:rPr>
          <w:rFonts w:ascii="宋体" w:hAnsi="宋体"/>
          <w:sz w:val="24"/>
          <w:highlight w:val="none"/>
        </w:rPr>
        <w:t>地下管线普查成果更新</w:t>
      </w:r>
      <w:r>
        <w:rPr>
          <w:rFonts w:hint="eastAsia" w:ascii="宋体" w:hAnsi="宋体"/>
          <w:sz w:val="24"/>
          <w:highlight w:val="none"/>
        </w:rPr>
        <w:t>技术</w:t>
      </w:r>
      <w:r>
        <w:rPr>
          <w:rFonts w:ascii="宋体" w:hAnsi="宋体"/>
          <w:sz w:val="24"/>
          <w:highlight w:val="none"/>
        </w:rPr>
        <w:t>方案</w:t>
      </w:r>
      <w:r>
        <w:rPr>
          <w:rFonts w:hint="eastAsia" w:ascii="宋体" w:hAnsi="宋体"/>
          <w:sz w:val="24"/>
          <w:highlight w:val="none"/>
        </w:rPr>
        <w:t>》（成管</w:t>
      </w:r>
      <w:r>
        <w:rPr>
          <w:rFonts w:ascii="宋体" w:hAnsi="宋体"/>
          <w:sz w:val="24"/>
          <w:highlight w:val="none"/>
        </w:rPr>
        <w:t>普</w:t>
      </w:r>
      <w:r>
        <w:rPr>
          <w:rFonts w:hint="eastAsia" w:ascii="宋体" w:hAnsi="宋体"/>
          <w:sz w:val="24"/>
          <w:highlight w:val="none"/>
        </w:rPr>
        <w:t>办〔20</w:t>
      </w:r>
      <w:r>
        <w:rPr>
          <w:rFonts w:ascii="宋体" w:hAnsi="宋体"/>
          <w:sz w:val="24"/>
          <w:highlight w:val="none"/>
        </w:rPr>
        <w:t>20</w:t>
      </w:r>
      <w:r>
        <w:rPr>
          <w:rFonts w:hint="eastAsia" w:ascii="宋体" w:hAnsi="宋体"/>
          <w:sz w:val="24"/>
          <w:highlight w:val="none"/>
        </w:rPr>
        <w:t>〕7号）等文件</w:t>
      </w:r>
      <w:r>
        <w:rPr>
          <w:rFonts w:ascii="宋体" w:hAnsi="宋体"/>
          <w:sz w:val="24"/>
          <w:highlight w:val="none"/>
        </w:rPr>
        <w:t>通知，</w:t>
      </w:r>
      <w:r>
        <w:rPr>
          <w:rFonts w:hint="eastAsia" w:ascii="宋体" w:hAnsi="宋体"/>
          <w:sz w:val="24"/>
          <w:highlight w:val="none"/>
        </w:rPr>
        <w:t>在现有地下管线普查成果基础上，开展城市地下管线普查成果更新工作。我区（市）县拟按照上级要求，结合本地实际情况，摸清</w:t>
      </w:r>
      <w:r>
        <w:rPr>
          <w:rFonts w:ascii="宋体" w:hAnsi="宋体"/>
          <w:sz w:val="24"/>
          <w:highlight w:val="none"/>
        </w:rPr>
        <w:t>城市地下管线</w:t>
      </w:r>
      <w:r>
        <w:rPr>
          <w:rFonts w:hint="eastAsia" w:ascii="宋体" w:hAnsi="宋体"/>
          <w:sz w:val="24"/>
          <w:highlight w:val="none"/>
        </w:rPr>
        <w:t>现状</w:t>
      </w:r>
      <w:r>
        <w:rPr>
          <w:rFonts w:ascii="宋体" w:hAnsi="宋体"/>
          <w:sz w:val="24"/>
          <w:highlight w:val="none"/>
        </w:rPr>
        <w:t>和短板，加强基础数据整合，实现地下管线基础信息标准化、数字化管理，建立健全地下管线基础信息</w:t>
      </w:r>
      <w:r>
        <w:rPr>
          <w:rFonts w:hint="eastAsia" w:ascii="宋体" w:hAnsi="宋体"/>
          <w:sz w:val="24"/>
          <w:highlight w:val="none"/>
        </w:rPr>
        <w:t>动</w:t>
      </w:r>
      <w:r>
        <w:rPr>
          <w:rFonts w:ascii="宋体" w:hAnsi="宋体"/>
          <w:sz w:val="24"/>
          <w:highlight w:val="none"/>
        </w:rPr>
        <w:t>态更新和成果应用机制，为智慧城市规划建设和管理运行提供科学支撑</w:t>
      </w:r>
      <w:r>
        <w:rPr>
          <w:rFonts w:hint="eastAsia" w:ascii="宋体" w:hAnsi="宋体"/>
          <w:sz w:val="24"/>
          <w:highlight w:val="none"/>
        </w:rPr>
        <w:t>。</w:t>
      </w:r>
    </w:p>
    <w:p>
      <w:pPr>
        <w:pStyle w:val="6"/>
        <w:rPr>
          <w:sz w:val="24"/>
          <w:highlight w:val="none"/>
        </w:rPr>
      </w:pPr>
      <w:r>
        <w:rPr>
          <w:rStyle w:val="169"/>
          <w:rFonts w:hint="default" w:ascii="Times New Roman" w:hAnsi="Times New Roman" w:cstheme="minorBidi"/>
          <w:b/>
          <w:bCs w:val="0"/>
          <w:color w:val="auto"/>
          <w:sz w:val="28"/>
          <w:highlight w:val="none"/>
        </w:rPr>
        <w:t>*</w:t>
      </w:r>
      <w:r>
        <w:rPr>
          <w:rStyle w:val="169"/>
          <w:rFonts w:hint="default" w:ascii="Times New Roman" w:hAnsi="Times New Roman" w:cs="Times New Roman"/>
          <w:b/>
          <w:bCs w:val="0"/>
          <w:sz w:val="24"/>
          <w:szCs w:val="24"/>
          <w:highlight w:val="none"/>
        </w:rPr>
        <w:t>4.3.1.2</w:t>
      </w:r>
      <w:r>
        <w:rPr>
          <w:rFonts w:hint="eastAsia"/>
          <w:sz w:val="24"/>
          <w:highlight w:val="none"/>
        </w:rPr>
        <w:t>服务清单</w:t>
      </w:r>
    </w:p>
    <w:p>
      <w:pPr>
        <w:spacing w:line="360" w:lineRule="auto"/>
        <w:ind w:firstLine="480" w:firstLineChars="200"/>
        <w:rPr>
          <w:rFonts w:ascii="宋体" w:hAnsi="宋体"/>
          <w:sz w:val="24"/>
          <w:highlight w:val="none"/>
        </w:rPr>
      </w:pPr>
      <w:r>
        <w:rPr>
          <w:rFonts w:hint="eastAsia" w:ascii="宋体" w:hAnsi="宋体"/>
          <w:sz w:val="24"/>
          <w:highlight w:val="none"/>
        </w:rPr>
        <w:t>探测服务分为五个包，其中包件1为双楠大道以北（西）；包件2为双楠大道以南（东）、大件路以北、机场南四路以西；包件3为机场南四路-航枢大道以东、双华路以北、成昆铁路以西；包件4为大件路以东、航枢大道-双华路以南、成昆铁路以西；包件5为成昆铁路以东（南）。（具体详见普查更新范围图）</w:t>
      </w:r>
    </w:p>
    <w:tbl>
      <w:tblPr>
        <w:tblStyle w:val="43"/>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3204"/>
        <w:gridCol w:w="4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766" w:type="dxa"/>
            <w:noWrap/>
            <w:vAlign w:val="center"/>
          </w:tcPr>
          <w:p>
            <w:pPr>
              <w:jc w:val="center"/>
              <w:rPr>
                <w:rFonts w:ascii="宋体" w:hAnsi="宋体" w:cs="宋体"/>
                <w:i/>
                <w:sz w:val="24"/>
                <w:szCs w:val="28"/>
                <w:highlight w:val="none"/>
              </w:rPr>
            </w:pPr>
            <w:r>
              <w:rPr>
                <w:rFonts w:hint="eastAsia" w:ascii="宋体" w:hAnsi="宋体" w:cs="宋体"/>
                <w:sz w:val="24"/>
                <w:szCs w:val="28"/>
                <w:highlight w:val="none"/>
              </w:rPr>
              <w:t>包号</w:t>
            </w:r>
          </w:p>
        </w:tc>
        <w:tc>
          <w:tcPr>
            <w:tcW w:w="3204" w:type="dxa"/>
            <w:noWrap/>
            <w:vAlign w:val="center"/>
          </w:tcPr>
          <w:p>
            <w:pPr>
              <w:jc w:val="center"/>
              <w:rPr>
                <w:rFonts w:ascii="宋体" w:hAnsi="宋体" w:cs="宋体"/>
                <w:i/>
                <w:sz w:val="24"/>
                <w:szCs w:val="28"/>
                <w:highlight w:val="none"/>
              </w:rPr>
            </w:pPr>
            <w:r>
              <w:rPr>
                <w:rFonts w:hint="eastAsia" w:ascii="宋体" w:hAnsi="宋体" w:cs="宋体"/>
                <w:sz w:val="24"/>
                <w:szCs w:val="28"/>
                <w:highlight w:val="none"/>
              </w:rPr>
              <w:t>名称</w:t>
            </w:r>
          </w:p>
        </w:tc>
        <w:tc>
          <w:tcPr>
            <w:tcW w:w="4548" w:type="dxa"/>
            <w:noWrap/>
            <w:vAlign w:val="center"/>
          </w:tcPr>
          <w:p>
            <w:pPr>
              <w:jc w:val="center"/>
              <w:rPr>
                <w:rFonts w:ascii="宋体" w:hAnsi="宋体" w:cs="宋体"/>
                <w:i/>
                <w:sz w:val="24"/>
                <w:szCs w:val="28"/>
                <w:highlight w:val="none"/>
              </w:rPr>
            </w:pPr>
            <w:r>
              <w:rPr>
                <w:rFonts w:hint="eastAsia" w:ascii="宋体" w:hAnsi="宋体" w:cs="宋体"/>
                <w:sz w:val="24"/>
                <w:szCs w:val="28"/>
                <w:highlight w:val="none"/>
              </w:rPr>
              <w:t>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66" w:type="dxa"/>
            <w:noWrap/>
            <w:vAlign w:val="center"/>
          </w:tcPr>
          <w:p>
            <w:pPr>
              <w:jc w:val="center"/>
              <w:rPr>
                <w:rFonts w:ascii="仿宋" w:hAnsi="仿宋" w:eastAsia="仿宋"/>
                <w:i/>
                <w:sz w:val="24"/>
                <w:szCs w:val="28"/>
                <w:highlight w:val="none"/>
              </w:rPr>
            </w:pPr>
            <w:r>
              <w:rPr>
                <w:rFonts w:hint="eastAsia" w:ascii="仿宋" w:hAnsi="仿宋" w:eastAsia="仿宋"/>
                <w:sz w:val="24"/>
                <w:szCs w:val="28"/>
                <w:highlight w:val="none"/>
              </w:rPr>
              <w:t>1</w:t>
            </w:r>
          </w:p>
        </w:tc>
        <w:tc>
          <w:tcPr>
            <w:tcW w:w="3204" w:type="dxa"/>
            <w:noWrap/>
            <w:vAlign w:val="center"/>
          </w:tcPr>
          <w:p>
            <w:pPr>
              <w:jc w:val="center"/>
              <w:rPr>
                <w:rFonts w:ascii="宋体" w:hAnsi="宋体" w:cs="宋体"/>
                <w:bCs/>
                <w:iCs/>
                <w:sz w:val="24"/>
                <w:highlight w:val="none"/>
              </w:rPr>
            </w:pPr>
            <w:r>
              <w:rPr>
                <w:rFonts w:hint="eastAsia" w:ascii="宋体" w:hAnsi="宋体" w:cs="宋体"/>
                <w:bCs/>
                <w:iCs/>
                <w:sz w:val="24"/>
                <w:highlight w:val="none"/>
              </w:rPr>
              <w:t>成都市双流区地下管线普查成果更新项目采购(包件1)</w:t>
            </w:r>
          </w:p>
        </w:tc>
        <w:tc>
          <w:tcPr>
            <w:tcW w:w="4548" w:type="dxa"/>
            <w:noWrap/>
            <w:vAlign w:val="center"/>
          </w:tcPr>
          <w:p>
            <w:pPr>
              <w:jc w:val="center"/>
              <w:rPr>
                <w:rFonts w:ascii="宋体" w:hAnsi="宋体" w:cs="宋体"/>
                <w:iCs/>
                <w:sz w:val="24"/>
                <w:highlight w:val="none"/>
              </w:rPr>
            </w:pPr>
            <w:r>
              <w:rPr>
                <w:rFonts w:hint="eastAsia" w:ascii="宋体" w:hAnsi="宋体" w:cs="宋体"/>
                <w:iCs/>
                <w:sz w:val="24"/>
                <w:highlight w:val="none"/>
              </w:rPr>
              <w:t>地下管线普查成果更新探测服务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66" w:type="dxa"/>
            <w:noWrap/>
            <w:vAlign w:val="center"/>
          </w:tcPr>
          <w:p>
            <w:pPr>
              <w:jc w:val="center"/>
              <w:rPr>
                <w:rFonts w:ascii="仿宋" w:hAnsi="仿宋" w:eastAsia="仿宋"/>
                <w:i/>
                <w:sz w:val="24"/>
                <w:szCs w:val="28"/>
                <w:highlight w:val="none"/>
              </w:rPr>
            </w:pPr>
            <w:r>
              <w:rPr>
                <w:rFonts w:hint="eastAsia" w:ascii="仿宋" w:hAnsi="仿宋" w:eastAsia="仿宋"/>
                <w:sz w:val="24"/>
                <w:szCs w:val="28"/>
                <w:highlight w:val="none"/>
              </w:rPr>
              <w:t>2</w:t>
            </w:r>
          </w:p>
        </w:tc>
        <w:tc>
          <w:tcPr>
            <w:tcW w:w="3204" w:type="dxa"/>
            <w:noWrap/>
            <w:vAlign w:val="center"/>
          </w:tcPr>
          <w:p>
            <w:pPr>
              <w:jc w:val="center"/>
              <w:rPr>
                <w:rFonts w:ascii="宋体" w:hAnsi="宋体" w:cs="宋体"/>
                <w:bCs/>
                <w:iCs/>
                <w:sz w:val="24"/>
                <w:highlight w:val="none"/>
              </w:rPr>
            </w:pPr>
            <w:r>
              <w:rPr>
                <w:rFonts w:hint="eastAsia" w:ascii="宋体" w:hAnsi="宋体" w:cs="宋体"/>
                <w:bCs/>
                <w:iCs/>
                <w:sz w:val="24"/>
                <w:highlight w:val="none"/>
              </w:rPr>
              <w:t>成都市双流区地下管线普查成果更新项目采购(包件2)</w:t>
            </w:r>
          </w:p>
        </w:tc>
        <w:tc>
          <w:tcPr>
            <w:tcW w:w="4548" w:type="dxa"/>
            <w:noWrap/>
            <w:vAlign w:val="center"/>
          </w:tcPr>
          <w:p>
            <w:pPr>
              <w:jc w:val="center"/>
              <w:rPr>
                <w:rFonts w:ascii="宋体" w:hAnsi="宋体" w:cs="宋体"/>
                <w:iCs/>
                <w:sz w:val="24"/>
                <w:highlight w:val="none"/>
              </w:rPr>
            </w:pPr>
            <w:r>
              <w:rPr>
                <w:rFonts w:hint="eastAsia" w:ascii="宋体" w:hAnsi="宋体" w:cs="宋体"/>
                <w:iCs/>
                <w:sz w:val="24"/>
                <w:highlight w:val="none"/>
              </w:rPr>
              <w:t>地下管线普查成果更新探测服务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66" w:type="dxa"/>
            <w:noWrap/>
            <w:vAlign w:val="center"/>
          </w:tcPr>
          <w:p>
            <w:pPr>
              <w:jc w:val="center"/>
              <w:rPr>
                <w:rFonts w:ascii="仿宋" w:hAnsi="仿宋" w:eastAsia="仿宋"/>
                <w:sz w:val="24"/>
                <w:szCs w:val="28"/>
                <w:highlight w:val="none"/>
              </w:rPr>
            </w:pPr>
            <w:r>
              <w:rPr>
                <w:rFonts w:hint="eastAsia" w:ascii="仿宋" w:hAnsi="仿宋" w:eastAsia="仿宋"/>
                <w:sz w:val="24"/>
                <w:szCs w:val="28"/>
                <w:highlight w:val="none"/>
              </w:rPr>
              <w:t>3</w:t>
            </w:r>
          </w:p>
        </w:tc>
        <w:tc>
          <w:tcPr>
            <w:tcW w:w="3204" w:type="dxa"/>
            <w:noWrap/>
            <w:vAlign w:val="center"/>
          </w:tcPr>
          <w:p>
            <w:pPr>
              <w:jc w:val="center"/>
              <w:rPr>
                <w:rFonts w:ascii="仿宋" w:hAnsi="仿宋" w:eastAsia="仿宋" w:cs="Marigold"/>
                <w:bCs/>
                <w:highlight w:val="none"/>
              </w:rPr>
            </w:pPr>
            <w:r>
              <w:rPr>
                <w:rFonts w:hint="eastAsia" w:ascii="宋体" w:hAnsi="宋体" w:cs="宋体"/>
                <w:bCs/>
                <w:iCs/>
                <w:sz w:val="24"/>
                <w:highlight w:val="none"/>
              </w:rPr>
              <w:t>成都市双流区地下管线普查成果更新项目采购(包件3)</w:t>
            </w:r>
          </w:p>
        </w:tc>
        <w:tc>
          <w:tcPr>
            <w:tcW w:w="4548" w:type="dxa"/>
            <w:noWrap/>
            <w:vAlign w:val="center"/>
          </w:tcPr>
          <w:p>
            <w:pPr>
              <w:jc w:val="center"/>
              <w:rPr>
                <w:rFonts w:ascii="仿宋" w:hAnsi="仿宋" w:eastAsia="仿宋"/>
                <w:szCs w:val="28"/>
                <w:highlight w:val="none"/>
              </w:rPr>
            </w:pPr>
            <w:r>
              <w:rPr>
                <w:rFonts w:hint="eastAsia" w:ascii="宋体" w:hAnsi="宋体" w:cs="宋体"/>
                <w:iCs/>
                <w:sz w:val="24"/>
                <w:highlight w:val="none"/>
              </w:rPr>
              <w:t>地下管线普查成果更新探测服务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66" w:type="dxa"/>
            <w:noWrap/>
            <w:vAlign w:val="center"/>
          </w:tcPr>
          <w:p>
            <w:pPr>
              <w:jc w:val="center"/>
              <w:rPr>
                <w:rFonts w:ascii="仿宋" w:hAnsi="仿宋" w:eastAsia="仿宋"/>
                <w:sz w:val="24"/>
                <w:szCs w:val="28"/>
                <w:highlight w:val="none"/>
              </w:rPr>
            </w:pPr>
            <w:r>
              <w:rPr>
                <w:rFonts w:hint="eastAsia" w:ascii="仿宋" w:hAnsi="仿宋" w:eastAsia="仿宋"/>
                <w:sz w:val="24"/>
                <w:szCs w:val="28"/>
                <w:highlight w:val="none"/>
              </w:rPr>
              <w:t>4</w:t>
            </w:r>
          </w:p>
        </w:tc>
        <w:tc>
          <w:tcPr>
            <w:tcW w:w="3204" w:type="dxa"/>
            <w:noWrap/>
            <w:vAlign w:val="center"/>
          </w:tcPr>
          <w:p>
            <w:pPr>
              <w:jc w:val="center"/>
              <w:rPr>
                <w:rFonts w:ascii="仿宋" w:hAnsi="仿宋" w:eastAsia="仿宋" w:cs="Marigold"/>
                <w:bCs/>
                <w:highlight w:val="none"/>
              </w:rPr>
            </w:pPr>
            <w:r>
              <w:rPr>
                <w:rFonts w:hint="eastAsia" w:ascii="宋体" w:hAnsi="宋体" w:cs="宋体"/>
                <w:bCs/>
                <w:iCs/>
                <w:sz w:val="24"/>
                <w:highlight w:val="none"/>
              </w:rPr>
              <w:t>成都市双流区地下管线普查成果更新项目采购(包件4)</w:t>
            </w:r>
          </w:p>
        </w:tc>
        <w:tc>
          <w:tcPr>
            <w:tcW w:w="4548" w:type="dxa"/>
            <w:noWrap/>
            <w:vAlign w:val="center"/>
          </w:tcPr>
          <w:p>
            <w:pPr>
              <w:jc w:val="center"/>
              <w:rPr>
                <w:rFonts w:ascii="仿宋" w:hAnsi="仿宋" w:eastAsia="仿宋"/>
                <w:szCs w:val="28"/>
                <w:highlight w:val="none"/>
              </w:rPr>
            </w:pPr>
            <w:r>
              <w:rPr>
                <w:rFonts w:hint="eastAsia" w:ascii="宋体" w:hAnsi="宋体" w:cs="宋体"/>
                <w:iCs/>
                <w:sz w:val="24"/>
                <w:highlight w:val="none"/>
              </w:rPr>
              <w:t>地下管线普查成果更新探测服务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766" w:type="dxa"/>
            <w:noWrap/>
            <w:vAlign w:val="center"/>
          </w:tcPr>
          <w:p>
            <w:pPr>
              <w:jc w:val="center"/>
              <w:rPr>
                <w:rFonts w:ascii="仿宋" w:hAnsi="仿宋" w:eastAsia="仿宋"/>
                <w:sz w:val="24"/>
                <w:szCs w:val="28"/>
                <w:highlight w:val="none"/>
              </w:rPr>
            </w:pPr>
            <w:r>
              <w:rPr>
                <w:rFonts w:hint="eastAsia" w:ascii="仿宋" w:hAnsi="仿宋" w:eastAsia="仿宋"/>
                <w:sz w:val="24"/>
                <w:szCs w:val="28"/>
                <w:highlight w:val="none"/>
              </w:rPr>
              <w:t>5</w:t>
            </w:r>
          </w:p>
        </w:tc>
        <w:tc>
          <w:tcPr>
            <w:tcW w:w="3204" w:type="dxa"/>
            <w:noWrap/>
            <w:vAlign w:val="center"/>
          </w:tcPr>
          <w:p>
            <w:pPr>
              <w:jc w:val="center"/>
              <w:rPr>
                <w:rFonts w:ascii="宋体" w:hAnsi="宋体" w:cs="宋体"/>
                <w:bCs/>
                <w:iCs/>
                <w:sz w:val="24"/>
                <w:highlight w:val="none"/>
              </w:rPr>
            </w:pPr>
            <w:r>
              <w:rPr>
                <w:rFonts w:hint="eastAsia" w:ascii="宋体" w:hAnsi="宋体" w:cs="宋体"/>
                <w:bCs/>
                <w:iCs/>
                <w:sz w:val="24"/>
                <w:highlight w:val="none"/>
              </w:rPr>
              <w:t>成都市双流区地下管线普查成果更新项目采购(包件5)</w:t>
            </w:r>
          </w:p>
        </w:tc>
        <w:tc>
          <w:tcPr>
            <w:tcW w:w="4548" w:type="dxa"/>
            <w:noWrap/>
            <w:vAlign w:val="center"/>
          </w:tcPr>
          <w:p>
            <w:pPr>
              <w:jc w:val="center"/>
              <w:rPr>
                <w:rFonts w:ascii="仿宋" w:hAnsi="仿宋" w:eastAsia="仿宋"/>
                <w:szCs w:val="28"/>
                <w:highlight w:val="none"/>
              </w:rPr>
            </w:pPr>
            <w:r>
              <w:rPr>
                <w:rFonts w:hint="eastAsia" w:ascii="宋体" w:hAnsi="宋体" w:cs="宋体"/>
                <w:iCs/>
                <w:sz w:val="24"/>
                <w:highlight w:val="none"/>
              </w:rPr>
              <w:t>地下管线普查成果更新探测服务</w:t>
            </w:r>
          </w:p>
        </w:tc>
      </w:tr>
    </w:tbl>
    <w:p>
      <w:pPr>
        <w:spacing w:line="360" w:lineRule="auto"/>
        <w:ind w:firstLine="482" w:firstLineChars="200"/>
        <w:rPr>
          <w:b/>
          <w:bCs/>
          <w:sz w:val="24"/>
          <w:szCs w:val="32"/>
          <w:highlight w:val="none"/>
        </w:rPr>
      </w:pPr>
      <w:r>
        <w:rPr>
          <w:rFonts w:hint="eastAsia"/>
          <w:b/>
          <w:bCs/>
          <w:sz w:val="24"/>
          <w:szCs w:val="32"/>
          <w:highlight w:val="none"/>
        </w:rPr>
        <w:t>注：供应商可选择一个或多个包件进行投标。</w:t>
      </w:r>
    </w:p>
    <w:p>
      <w:pPr>
        <w:spacing w:line="360" w:lineRule="auto"/>
        <w:ind w:firstLine="482" w:firstLineChars="200"/>
        <w:rPr>
          <w:b/>
          <w:bCs/>
          <w:color w:val="auto"/>
          <w:sz w:val="24"/>
          <w:szCs w:val="32"/>
          <w:highlight w:val="none"/>
        </w:rPr>
      </w:pPr>
      <w:r>
        <w:rPr>
          <w:rFonts w:hint="eastAsia"/>
          <w:b/>
          <w:bCs/>
          <w:color w:val="auto"/>
          <w:sz w:val="24"/>
          <w:szCs w:val="32"/>
          <w:highlight w:val="none"/>
        </w:rPr>
        <w:t>为保证成果完成的质量与及时性，供应商同时参加多个包件投标的，如果该供应商成为某个包件的第一中标候选人，则该供应商其他包件的人员配置和仪器设备配置与已成为第一中标候选人包件的人员配置和仪器设备配置不得重复，否则该供应商其他包件的人员配置和仪器设备配置有重复的相应项不得分。评标顺序按</w:t>
      </w:r>
      <w:r>
        <w:rPr>
          <w:rFonts w:hint="eastAsia"/>
          <w:b/>
          <w:bCs/>
          <w:color w:val="auto"/>
          <w:sz w:val="24"/>
          <w:szCs w:val="32"/>
          <w:highlight w:val="none"/>
          <w:lang w:eastAsia="zh-CN"/>
        </w:rPr>
        <w:t>包件1-7</w:t>
      </w:r>
      <w:r>
        <w:rPr>
          <w:rFonts w:hint="eastAsia"/>
          <w:b/>
          <w:bCs/>
          <w:color w:val="auto"/>
          <w:sz w:val="24"/>
          <w:szCs w:val="32"/>
          <w:highlight w:val="none"/>
        </w:rPr>
        <w:t>顺序评标。</w:t>
      </w:r>
    </w:p>
    <w:p>
      <w:pPr>
        <w:spacing w:line="360" w:lineRule="auto"/>
        <w:ind w:firstLine="482" w:firstLineChars="200"/>
        <w:rPr>
          <w:b/>
          <w:bCs/>
          <w:sz w:val="24"/>
          <w:szCs w:val="32"/>
          <w:highlight w:val="none"/>
        </w:rPr>
      </w:pPr>
      <w:r>
        <w:rPr>
          <w:rFonts w:hint="eastAsia"/>
          <w:b/>
          <w:bCs/>
          <w:sz w:val="24"/>
          <w:szCs w:val="32"/>
          <w:highlight w:val="none"/>
        </w:rPr>
        <w:t>成都市双流区地下管线普查成果更新项目采购（包件6）和（包件1-5、包件7）不得为同一中标人；成都市双流区地下管线普查成果更新项目采购（包件7）和（包件1-5、包件6）不得为同一中标人。</w:t>
      </w:r>
    </w:p>
    <w:p>
      <w:pPr>
        <w:spacing w:line="360" w:lineRule="auto"/>
        <w:ind w:firstLine="482" w:firstLineChars="200"/>
        <w:rPr>
          <w:b/>
          <w:bCs/>
          <w:sz w:val="24"/>
          <w:szCs w:val="32"/>
          <w:highlight w:val="none"/>
        </w:rPr>
      </w:pPr>
      <w:r>
        <w:rPr>
          <w:rFonts w:hint="eastAsia"/>
          <w:b/>
          <w:bCs/>
          <w:sz w:val="24"/>
          <w:szCs w:val="32"/>
          <w:highlight w:val="none"/>
        </w:rPr>
        <w:t>探测服务中标人须积极配合质检服务中标人，共同协商，明确各测区间的准确界限，按要求做好各测区间的接边工作。（提供承诺函，格式自拟）</w:t>
      </w:r>
    </w:p>
    <w:p>
      <w:pPr>
        <w:pStyle w:val="6"/>
        <w:rPr>
          <w:rFonts w:ascii="Times New Roman" w:hAnsi="Times New Roman" w:cs="Times New Roman"/>
          <w:sz w:val="24"/>
          <w:highlight w:val="none"/>
        </w:rPr>
      </w:pPr>
      <w:r>
        <w:rPr>
          <w:rFonts w:ascii="Times New Roman" w:hAnsi="Times New Roman" w:cs="Times New Roman"/>
          <w:sz w:val="24"/>
          <w:highlight w:val="none"/>
        </w:rPr>
        <w:t>4.3.1.3技术服务要求</w:t>
      </w:r>
    </w:p>
    <w:p>
      <w:pPr>
        <w:pStyle w:val="7"/>
        <w:rPr>
          <w:rFonts w:ascii="Times New Roman" w:hAnsi="Times New Roman"/>
          <w:sz w:val="24"/>
          <w:highlight w:val="none"/>
        </w:rPr>
      </w:pPr>
      <w:r>
        <w:rPr>
          <w:rFonts w:ascii="Times New Roman" w:hAnsi="Times New Roman"/>
          <w:sz w:val="24"/>
          <w:highlight w:val="none"/>
        </w:rPr>
        <w:t>4.3.1.3.1项目概况</w:t>
      </w:r>
    </w:p>
    <w:p>
      <w:pPr>
        <w:spacing w:line="360" w:lineRule="auto"/>
        <w:outlineLvl w:val="4"/>
        <w:rPr>
          <w:rFonts w:ascii="Times New Roman" w:hAnsi="Times New Roman"/>
          <w:b/>
          <w:bCs/>
          <w:sz w:val="24"/>
          <w:highlight w:val="none"/>
        </w:rPr>
      </w:pPr>
      <w:r>
        <w:rPr>
          <w:rFonts w:ascii="Times New Roman" w:hAnsi="Times New Roman"/>
          <w:b/>
          <w:bCs/>
          <w:sz w:val="24"/>
          <w:highlight w:val="none"/>
        </w:rPr>
        <w:t>4.3.1.3.1.1工作依据</w:t>
      </w:r>
    </w:p>
    <w:p>
      <w:pPr>
        <w:pStyle w:val="238"/>
        <w:rPr>
          <w:highlight w:val="none"/>
        </w:rPr>
      </w:pPr>
      <w:r>
        <w:rPr>
          <w:highlight w:val="none"/>
        </w:rPr>
        <w:t>下列文件对于本文件的应用是必不可少的。凡是注有日期的引用文件，仅所注日期的版本适用于本文件。凡是不注日期的引用文件，其最新版本（包括所有的修改单）适用于本文件。</w:t>
      </w:r>
    </w:p>
    <w:p>
      <w:pPr>
        <w:spacing w:line="360" w:lineRule="auto"/>
        <w:ind w:firstLine="424" w:firstLineChars="177"/>
        <w:jc w:val="left"/>
        <w:rPr>
          <w:rFonts w:ascii="宋体" w:hAnsi="宋体"/>
          <w:sz w:val="24"/>
          <w:highlight w:val="none"/>
        </w:rPr>
      </w:pPr>
      <w:r>
        <w:rPr>
          <w:rFonts w:ascii="宋体" w:hAnsi="宋体"/>
          <w:sz w:val="24"/>
          <w:highlight w:val="none"/>
        </w:rPr>
        <w:t>1《测绘成果质量检查与验收》GB/T 24356；</w:t>
      </w:r>
    </w:p>
    <w:p>
      <w:pPr>
        <w:spacing w:line="360" w:lineRule="auto"/>
        <w:ind w:firstLine="424" w:firstLineChars="177"/>
        <w:jc w:val="left"/>
        <w:rPr>
          <w:rFonts w:ascii="宋体" w:hAnsi="宋体"/>
          <w:sz w:val="24"/>
          <w:highlight w:val="none"/>
        </w:rPr>
      </w:pPr>
      <w:r>
        <w:rPr>
          <w:rFonts w:hint="eastAsia" w:ascii="宋体" w:hAnsi="宋体"/>
          <w:sz w:val="24"/>
          <w:highlight w:val="none"/>
        </w:rPr>
        <w:t>2《数字测绘成果质量检查与验收》GB/T 1831</w:t>
      </w:r>
      <w:r>
        <w:rPr>
          <w:rFonts w:ascii="宋体" w:hAnsi="宋体"/>
          <w:sz w:val="24"/>
          <w:highlight w:val="none"/>
        </w:rPr>
        <w:t>6</w:t>
      </w:r>
      <w:r>
        <w:rPr>
          <w:rFonts w:hint="eastAsia" w:ascii="宋体" w:hAnsi="宋体"/>
          <w:sz w:val="24"/>
          <w:highlight w:val="none"/>
        </w:rPr>
        <w:t>；</w:t>
      </w:r>
    </w:p>
    <w:p>
      <w:pPr>
        <w:spacing w:line="360" w:lineRule="auto"/>
        <w:ind w:firstLine="424" w:firstLineChars="177"/>
        <w:jc w:val="left"/>
        <w:rPr>
          <w:rFonts w:ascii="宋体" w:hAnsi="宋体"/>
          <w:sz w:val="24"/>
          <w:highlight w:val="none"/>
        </w:rPr>
      </w:pPr>
      <w:r>
        <w:rPr>
          <w:rFonts w:ascii="宋体" w:hAnsi="宋体"/>
          <w:sz w:val="24"/>
          <w:highlight w:val="none"/>
        </w:rPr>
        <w:t>3</w:t>
      </w:r>
      <w:r>
        <w:rPr>
          <w:rFonts w:hint="eastAsia" w:ascii="宋体" w:hAnsi="宋体"/>
          <w:sz w:val="24"/>
          <w:highlight w:val="none"/>
        </w:rPr>
        <w:t>《全球定位系统（GPS）测量规范》GB/T 18314；</w:t>
      </w:r>
    </w:p>
    <w:p>
      <w:pPr>
        <w:spacing w:line="360" w:lineRule="auto"/>
        <w:ind w:firstLine="424" w:firstLineChars="177"/>
        <w:jc w:val="left"/>
        <w:rPr>
          <w:rFonts w:ascii="宋体" w:hAnsi="宋体"/>
          <w:sz w:val="24"/>
          <w:highlight w:val="none"/>
        </w:rPr>
      </w:pPr>
      <w:r>
        <w:rPr>
          <w:rFonts w:ascii="宋体" w:hAnsi="宋体"/>
          <w:sz w:val="24"/>
          <w:highlight w:val="none"/>
        </w:rPr>
        <w:t>4</w:t>
      </w:r>
      <w:r>
        <w:rPr>
          <w:rFonts w:hint="eastAsia" w:ascii="宋体" w:hAnsi="宋体"/>
          <w:sz w:val="24"/>
          <w:highlight w:val="none"/>
        </w:rPr>
        <w:t>《国家基本比例尺地图图式第1部分1:500、1:1000、1:2000地形图图式》GB/T 20257.1；</w:t>
      </w:r>
    </w:p>
    <w:p>
      <w:pPr>
        <w:spacing w:line="360" w:lineRule="auto"/>
        <w:ind w:firstLine="424" w:firstLineChars="177"/>
        <w:jc w:val="left"/>
        <w:rPr>
          <w:rFonts w:ascii="宋体" w:hAnsi="宋体"/>
          <w:sz w:val="24"/>
          <w:highlight w:val="none"/>
        </w:rPr>
      </w:pPr>
      <w:r>
        <w:rPr>
          <w:rFonts w:hint="eastAsia" w:ascii="宋体" w:hAnsi="宋体"/>
          <w:sz w:val="24"/>
          <w:highlight w:val="none"/>
        </w:rPr>
        <w:t>5《中华人民共和国行政区划代码》GB/T 2260；</w:t>
      </w:r>
    </w:p>
    <w:p>
      <w:pPr>
        <w:spacing w:line="360" w:lineRule="auto"/>
        <w:ind w:firstLine="424" w:firstLineChars="177"/>
        <w:jc w:val="left"/>
        <w:rPr>
          <w:rFonts w:ascii="宋体" w:hAnsi="宋体"/>
          <w:sz w:val="24"/>
          <w:highlight w:val="none"/>
        </w:rPr>
      </w:pPr>
      <w:r>
        <w:rPr>
          <w:rFonts w:hint="eastAsia" w:ascii="宋体" w:hAnsi="宋体"/>
          <w:sz w:val="24"/>
          <w:highlight w:val="none"/>
        </w:rPr>
        <w:t>6《城市地下管线探测技术规程》CJJ61；</w:t>
      </w:r>
    </w:p>
    <w:p>
      <w:pPr>
        <w:spacing w:line="360" w:lineRule="auto"/>
        <w:ind w:firstLine="424" w:firstLineChars="177"/>
        <w:jc w:val="left"/>
        <w:rPr>
          <w:rFonts w:ascii="宋体" w:hAnsi="宋体"/>
          <w:sz w:val="24"/>
          <w:highlight w:val="none"/>
        </w:rPr>
      </w:pPr>
      <w:r>
        <w:rPr>
          <w:rFonts w:hint="eastAsia" w:ascii="宋体" w:hAnsi="宋体"/>
          <w:sz w:val="24"/>
          <w:highlight w:val="none"/>
        </w:rPr>
        <w:t>7《城市测量规范》CJJ/T 8；</w:t>
      </w:r>
    </w:p>
    <w:p>
      <w:pPr>
        <w:spacing w:line="360" w:lineRule="auto"/>
        <w:ind w:firstLine="424" w:firstLineChars="177"/>
        <w:jc w:val="left"/>
        <w:rPr>
          <w:rFonts w:ascii="宋体" w:hAnsi="宋体"/>
          <w:sz w:val="24"/>
          <w:highlight w:val="none"/>
        </w:rPr>
      </w:pPr>
      <w:r>
        <w:rPr>
          <w:rFonts w:hint="eastAsia" w:ascii="宋体" w:hAnsi="宋体"/>
          <w:sz w:val="24"/>
          <w:highlight w:val="none"/>
        </w:rPr>
        <w:t>8《卫星定位城市测量技术标准》CJJ/T 73；</w:t>
      </w:r>
    </w:p>
    <w:p>
      <w:pPr>
        <w:spacing w:line="360" w:lineRule="auto"/>
        <w:ind w:firstLine="424" w:firstLineChars="177"/>
        <w:jc w:val="left"/>
        <w:rPr>
          <w:rFonts w:ascii="宋体" w:hAnsi="宋体"/>
          <w:sz w:val="24"/>
          <w:highlight w:val="none"/>
        </w:rPr>
      </w:pPr>
      <w:r>
        <w:rPr>
          <w:rFonts w:hint="eastAsia" w:ascii="宋体" w:hAnsi="宋体"/>
          <w:sz w:val="24"/>
          <w:highlight w:val="none"/>
        </w:rPr>
        <w:t>9《城市地下管线探测工程监理导则》RISN-TG011；</w:t>
      </w:r>
    </w:p>
    <w:p>
      <w:pPr>
        <w:spacing w:line="360" w:lineRule="auto"/>
        <w:ind w:firstLine="424" w:firstLineChars="177"/>
        <w:jc w:val="left"/>
        <w:rPr>
          <w:rFonts w:ascii="宋体" w:hAnsi="宋体"/>
          <w:sz w:val="24"/>
          <w:highlight w:val="none"/>
        </w:rPr>
      </w:pPr>
      <w:r>
        <w:rPr>
          <w:rFonts w:hint="eastAsia" w:ascii="宋体" w:hAnsi="宋体"/>
          <w:sz w:val="24"/>
          <w:highlight w:val="none"/>
        </w:rPr>
        <w:t>10《管线测量成果质量检验技术规程》CH/T 1033；</w:t>
      </w:r>
    </w:p>
    <w:p>
      <w:pPr>
        <w:spacing w:line="360" w:lineRule="auto"/>
        <w:ind w:firstLine="424" w:firstLineChars="177"/>
        <w:jc w:val="left"/>
        <w:rPr>
          <w:rFonts w:ascii="宋体" w:hAnsi="宋体"/>
          <w:sz w:val="24"/>
          <w:highlight w:val="none"/>
        </w:rPr>
      </w:pPr>
      <w:r>
        <w:rPr>
          <w:rFonts w:ascii="宋体" w:hAnsi="宋体"/>
          <w:sz w:val="24"/>
          <w:highlight w:val="none"/>
        </w:rPr>
        <w:t>1</w:t>
      </w:r>
      <w:r>
        <w:rPr>
          <w:rFonts w:hint="eastAsia" w:ascii="宋体" w:hAnsi="宋体"/>
          <w:sz w:val="24"/>
          <w:highlight w:val="none"/>
        </w:rPr>
        <w:t>1《城镇地下管线普查技术规程》DB51/T 2276-2016；</w:t>
      </w:r>
    </w:p>
    <w:p>
      <w:pPr>
        <w:spacing w:line="360" w:lineRule="auto"/>
        <w:ind w:firstLine="424" w:firstLineChars="177"/>
        <w:jc w:val="left"/>
        <w:rPr>
          <w:rFonts w:ascii="宋体" w:hAnsi="宋体"/>
          <w:sz w:val="24"/>
          <w:highlight w:val="none"/>
        </w:rPr>
      </w:pPr>
      <w:r>
        <w:rPr>
          <w:rFonts w:hint="eastAsia" w:ascii="宋体" w:hAnsi="宋体"/>
          <w:sz w:val="24"/>
          <w:highlight w:val="none"/>
        </w:rPr>
        <w:t>12《城镇地下管线普查数据规定》DB51/T 2277-2016；</w:t>
      </w:r>
    </w:p>
    <w:p>
      <w:pPr>
        <w:spacing w:line="360" w:lineRule="auto"/>
        <w:ind w:firstLine="424" w:firstLineChars="177"/>
        <w:jc w:val="left"/>
        <w:rPr>
          <w:rFonts w:ascii="宋体" w:hAnsi="宋体"/>
          <w:sz w:val="24"/>
          <w:highlight w:val="none"/>
        </w:rPr>
      </w:pPr>
      <w:r>
        <w:rPr>
          <w:rFonts w:hint="eastAsia" w:ascii="宋体" w:hAnsi="宋体"/>
          <w:sz w:val="24"/>
          <w:highlight w:val="none"/>
        </w:rPr>
        <w:t>13《城镇地下管线普查成果质量检验技术规定》DB51/T 2449-2018；</w:t>
      </w:r>
    </w:p>
    <w:p>
      <w:pPr>
        <w:spacing w:line="360" w:lineRule="auto"/>
        <w:ind w:firstLine="426"/>
        <w:rPr>
          <w:rFonts w:ascii="宋体" w:hAnsi="宋体"/>
          <w:sz w:val="24"/>
          <w:highlight w:val="none"/>
        </w:rPr>
      </w:pPr>
      <w:r>
        <w:rPr>
          <w:rFonts w:hint="eastAsia" w:ascii="宋体" w:hAnsi="宋体"/>
          <w:sz w:val="24"/>
          <w:highlight w:val="none"/>
        </w:rPr>
        <w:t>14《电子文件归档光盘技术要求和应用规范》DA/38-2008；</w:t>
      </w:r>
    </w:p>
    <w:p>
      <w:pPr>
        <w:spacing w:line="360" w:lineRule="auto"/>
        <w:ind w:firstLine="425"/>
        <w:rPr>
          <w:rFonts w:ascii="宋体" w:hAnsi="宋体"/>
          <w:sz w:val="24"/>
          <w:highlight w:val="none"/>
        </w:rPr>
      </w:pPr>
      <w:r>
        <w:rPr>
          <w:rFonts w:hint="eastAsia" w:ascii="宋体" w:hAnsi="宋体"/>
          <w:sz w:val="24"/>
          <w:highlight w:val="none"/>
        </w:rPr>
        <w:t>15《成都市地下管线普查成果更新实施方案》；</w:t>
      </w:r>
    </w:p>
    <w:p>
      <w:pPr>
        <w:spacing w:line="360" w:lineRule="auto"/>
        <w:ind w:firstLine="426"/>
        <w:rPr>
          <w:highlight w:val="none"/>
        </w:rPr>
      </w:pPr>
      <w:r>
        <w:rPr>
          <w:rFonts w:hint="eastAsia" w:ascii="宋体" w:hAnsi="宋体"/>
          <w:sz w:val="24"/>
          <w:highlight w:val="none"/>
        </w:rPr>
        <w:t>16《成都市地下管线普查成果更新技术方案》。</w:t>
      </w:r>
    </w:p>
    <w:p>
      <w:pPr>
        <w:spacing w:line="360" w:lineRule="auto"/>
        <w:outlineLvl w:val="4"/>
        <w:rPr>
          <w:rFonts w:ascii="Times New Roman" w:hAnsi="Times New Roman"/>
          <w:b/>
          <w:bCs/>
          <w:sz w:val="24"/>
          <w:highlight w:val="none"/>
        </w:rPr>
      </w:pPr>
      <w:r>
        <w:rPr>
          <w:rFonts w:ascii="Times New Roman" w:hAnsi="Times New Roman"/>
          <w:b/>
          <w:bCs/>
          <w:sz w:val="24"/>
          <w:highlight w:val="none"/>
        </w:rPr>
        <w:t>4.3.1.3.1.2工作任务</w:t>
      </w:r>
    </w:p>
    <w:p>
      <w:pPr>
        <w:pStyle w:val="238"/>
        <w:rPr>
          <w:highlight w:val="none"/>
        </w:rPr>
      </w:pPr>
      <w:r>
        <w:rPr>
          <w:rFonts w:hint="eastAsia"/>
          <w:highlight w:val="none"/>
        </w:rPr>
        <w:t>利用现有地下管线普查数据成果，在普查更新范围内采用全野外探测及内外业结合核实探测的方式摸清地下管线类型、管线属性等基本情况，收集地下管线隐患信息资料并入库。</w:t>
      </w:r>
    </w:p>
    <w:p>
      <w:pPr>
        <w:pStyle w:val="238"/>
        <w:rPr>
          <w:highlight w:val="none"/>
        </w:rPr>
      </w:pPr>
      <w:r>
        <w:rPr>
          <w:rFonts w:hint="eastAsia"/>
          <w:highlight w:val="none"/>
        </w:rPr>
        <w:t>1.</w:t>
      </w:r>
      <w:r>
        <w:rPr>
          <w:highlight w:val="none"/>
        </w:rPr>
        <w:t>管线</w:t>
      </w:r>
      <w:r>
        <w:rPr>
          <w:rFonts w:hint="eastAsia"/>
          <w:highlight w:val="none"/>
        </w:rPr>
        <w:t>类型：包括给水、排水、燃气、热力、电力、通信（含广播电视）、工业（不包括油气管线）、综合管廊(沟)等管线及其附属设施。</w:t>
      </w:r>
    </w:p>
    <w:p>
      <w:pPr>
        <w:pStyle w:val="238"/>
        <w:rPr>
          <w:highlight w:val="none"/>
        </w:rPr>
      </w:pPr>
      <w:r>
        <w:rPr>
          <w:rFonts w:hint="eastAsia"/>
          <w:highlight w:val="none"/>
        </w:rPr>
        <w:t>2.管线属性：包括种类、数量、功能、材质、管径、埋设方式、平面位置、埋深、高程、走向、连接方式、权属单位、建设时间、运行时间、管线特征以及相关场站等信息，建立地下管线基础信息普查成果更新数据库。</w:t>
      </w:r>
    </w:p>
    <w:p>
      <w:pPr>
        <w:pStyle w:val="238"/>
        <w:rPr>
          <w:highlight w:val="none"/>
        </w:rPr>
      </w:pPr>
      <w:r>
        <w:rPr>
          <w:rFonts w:hint="eastAsia"/>
          <w:highlight w:val="none"/>
        </w:rPr>
        <w:t>3.隐患信息：收集地下管线存在的隐患信息</w:t>
      </w:r>
      <w:r>
        <w:rPr>
          <w:highlight w:val="none"/>
        </w:rPr>
        <w:t>。</w:t>
      </w:r>
    </w:p>
    <w:p>
      <w:pPr>
        <w:spacing w:line="360" w:lineRule="auto"/>
        <w:outlineLvl w:val="4"/>
        <w:rPr>
          <w:rFonts w:ascii="宋体" w:hAnsi="宋体"/>
          <w:b/>
          <w:bCs/>
          <w:sz w:val="24"/>
          <w:highlight w:val="none"/>
        </w:rPr>
      </w:pPr>
      <w:r>
        <w:rPr>
          <w:rFonts w:ascii="Times New Roman" w:hAnsi="Times New Roman"/>
          <w:b/>
          <w:bCs/>
          <w:sz w:val="24"/>
          <w:highlight w:val="none"/>
        </w:rPr>
        <w:t>4.3.1.3.1.3</w:t>
      </w:r>
      <w:r>
        <w:rPr>
          <w:rFonts w:hint="eastAsia" w:ascii="宋体" w:hAnsi="宋体"/>
          <w:b/>
          <w:bCs/>
          <w:sz w:val="24"/>
          <w:highlight w:val="none"/>
        </w:rPr>
        <w:t>普查更新范围及对象</w:t>
      </w:r>
    </w:p>
    <w:p>
      <w:pPr>
        <w:pStyle w:val="2"/>
        <w:spacing w:line="360" w:lineRule="auto"/>
        <w:ind w:firstLine="480" w:firstLineChars="200"/>
        <w:rPr>
          <w:rFonts w:ascii="宋体" w:hAnsi="宋体" w:cs="仿宋"/>
          <w:sz w:val="24"/>
          <w:highlight w:val="none"/>
        </w:rPr>
      </w:pPr>
      <w:r>
        <w:rPr>
          <w:rFonts w:hint="eastAsia" w:ascii="宋体" w:hAnsi="宋体"/>
          <w:bCs/>
          <w:sz w:val="24"/>
          <w:highlight w:val="none"/>
        </w:rPr>
        <w:t>1.</w:t>
      </w:r>
      <w:r>
        <w:rPr>
          <w:rFonts w:hint="eastAsia" w:ascii="宋体" w:hAnsi="宋体" w:cs="仿宋"/>
          <w:sz w:val="24"/>
          <w:highlight w:val="none"/>
        </w:rPr>
        <w:t>普查更新范围如下图所示：</w:t>
      </w:r>
    </w:p>
    <w:p>
      <w:pPr>
        <w:spacing w:line="360" w:lineRule="auto"/>
        <w:ind w:firstLine="361" w:firstLineChars="150"/>
        <w:rPr>
          <w:rFonts w:ascii="宋体" w:hAnsi="宋体" w:cs="宋体"/>
          <w:b/>
          <w:color w:val="000000"/>
          <w:kern w:val="0"/>
          <w:sz w:val="24"/>
          <w:szCs w:val="24"/>
          <w:highlight w:val="none"/>
        </w:rPr>
      </w:pPr>
      <w:r>
        <w:rPr>
          <w:rFonts w:ascii="宋体" w:hAnsi="宋体" w:cs="宋体"/>
          <w:b/>
          <w:color w:val="000000"/>
          <w:kern w:val="0"/>
          <w:sz w:val="24"/>
          <w:szCs w:val="24"/>
          <w:highlight w:val="none"/>
        </w:rPr>
        <w:drawing>
          <wp:inline distT="0" distB="0" distL="0" distR="0">
            <wp:extent cx="5485765" cy="606679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85765" cy="6066790"/>
                    </a:xfrm>
                    <a:prstGeom prst="rect">
                      <a:avLst/>
                    </a:prstGeom>
                    <a:noFill/>
                  </pic:spPr>
                </pic:pic>
              </a:graphicData>
            </a:graphic>
          </wp:inline>
        </w:drawing>
      </w:r>
    </w:p>
    <w:p>
      <w:pPr>
        <w:spacing w:line="360" w:lineRule="auto"/>
        <w:ind w:firstLine="361" w:firstLineChars="150"/>
        <w:rPr>
          <w:rFonts w:ascii="宋体" w:hAnsi="宋体" w:cs="宋体"/>
          <w:b/>
          <w:color w:val="000000"/>
          <w:kern w:val="0"/>
          <w:sz w:val="24"/>
          <w:szCs w:val="24"/>
          <w:highlight w:val="none"/>
        </w:rPr>
      </w:pPr>
    </w:p>
    <w:p>
      <w:pPr>
        <w:pStyle w:val="2"/>
        <w:spacing w:after="0" w:line="360" w:lineRule="auto"/>
        <w:ind w:firstLine="480" w:firstLineChars="200"/>
        <w:rPr>
          <w:rFonts w:ascii="宋体" w:hAnsi="宋体" w:cs="仿宋"/>
          <w:sz w:val="24"/>
          <w:highlight w:val="none"/>
        </w:rPr>
      </w:pPr>
      <w:r>
        <w:rPr>
          <w:rFonts w:hint="eastAsia" w:ascii="宋体" w:hAnsi="宋体"/>
          <w:bCs/>
          <w:sz w:val="24"/>
          <w:highlight w:val="none"/>
        </w:rPr>
        <w:t>2.</w:t>
      </w:r>
      <w:r>
        <w:rPr>
          <w:rFonts w:hint="eastAsia" w:ascii="宋体" w:hAnsi="宋体" w:cs="仿宋"/>
          <w:sz w:val="24"/>
          <w:highlight w:val="none"/>
        </w:rPr>
        <w:t>普查更新对象</w:t>
      </w:r>
    </w:p>
    <w:p>
      <w:pPr>
        <w:pStyle w:val="238"/>
        <w:rPr>
          <w:rFonts w:ascii="方正仿宋_GBK" w:hAnsi="方正仿宋_GBK" w:eastAsia="方正仿宋_GBK" w:cs="方正仿宋_GBK"/>
          <w:color w:val="000000"/>
          <w:kern w:val="0"/>
          <w:sz w:val="32"/>
          <w:szCs w:val="32"/>
          <w:highlight w:val="none"/>
        </w:rPr>
      </w:pPr>
      <w:r>
        <w:rPr>
          <w:rFonts w:hint="eastAsia"/>
          <w:highlight w:val="none"/>
        </w:rPr>
        <w:t>普查更新范围内现状市政道路及两侧绿化带（含滨河道路及其临河绿化带）的地下管线及其附属设施，非市政道路配套的市政干管及专业长输管线。</w:t>
      </w:r>
    </w:p>
    <w:p>
      <w:pPr>
        <w:spacing w:line="360" w:lineRule="auto"/>
        <w:outlineLvl w:val="4"/>
        <w:rPr>
          <w:rFonts w:ascii="宋体" w:hAnsi="宋体"/>
          <w:b/>
          <w:bCs/>
          <w:sz w:val="24"/>
          <w:highlight w:val="none"/>
        </w:rPr>
      </w:pPr>
      <w:r>
        <w:rPr>
          <w:rFonts w:ascii="Times New Roman" w:hAnsi="Times New Roman"/>
          <w:b/>
          <w:bCs/>
          <w:sz w:val="24"/>
          <w:highlight w:val="none"/>
        </w:rPr>
        <w:t>4.3.1.3.1.4</w:t>
      </w:r>
      <w:r>
        <w:rPr>
          <w:rFonts w:hint="eastAsia" w:ascii="宋体" w:hAnsi="宋体"/>
          <w:b/>
          <w:bCs/>
          <w:sz w:val="24"/>
          <w:highlight w:val="none"/>
        </w:rPr>
        <w:t>普查更新方式</w:t>
      </w:r>
    </w:p>
    <w:p>
      <w:pPr>
        <w:pStyle w:val="238"/>
        <w:rPr>
          <w:highlight w:val="none"/>
        </w:rPr>
      </w:pPr>
      <w:r>
        <w:rPr>
          <w:rFonts w:hint="eastAsia"/>
          <w:highlight w:val="none"/>
        </w:rPr>
        <w:t>对于近年来完成的地下</w:t>
      </w:r>
      <w:r>
        <w:rPr>
          <w:highlight w:val="none"/>
        </w:rPr>
        <w:t>管线普查成果</w:t>
      </w:r>
      <w:r>
        <w:rPr>
          <w:rFonts w:hint="eastAsia"/>
          <w:highlight w:val="none"/>
        </w:rPr>
        <w:t>，满足</w:t>
      </w:r>
      <w:r>
        <w:rPr>
          <w:highlight w:val="none"/>
        </w:rPr>
        <w:t>本</w:t>
      </w:r>
      <w:r>
        <w:rPr>
          <w:rFonts w:hint="eastAsia"/>
          <w:highlight w:val="none"/>
        </w:rPr>
        <w:t>招标文件规定</w:t>
      </w:r>
      <w:r>
        <w:rPr>
          <w:highlight w:val="none"/>
        </w:rPr>
        <w:t>要求</w:t>
      </w:r>
      <w:r>
        <w:rPr>
          <w:rFonts w:hint="eastAsia"/>
          <w:highlight w:val="none"/>
        </w:rPr>
        <w:t>，</w:t>
      </w:r>
      <w:r>
        <w:rPr>
          <w:highlight w:val="none"/>
        </w:rPr>
        <w:t>且无需进行外业</w:t>
      </w:r>
      <w:r>
        <w:rPr>
          <w:rFonts w:hint="eastAsia"/>
          <w:highlight w:val="none"/>
        </w:rPr>
        <w:t>核实</w:t>
      </w:r>
      <w:r>
        <w:rPr>
          <w:highlight w:val="none"/>
        </w:rPr>
        <w:t>探测</w:t>
      </w:r>
      <w:r>
        <w:rPr>
          <w:rFonts w:hint="eastAsia"/>
          <w:highlight w:val="none"/>
        </w:rPr>
        <w:t>的</w:t>
      </w:r>
      <w:r>
        <w:rPr>
          <w:highlight w:val="none"/>
        </w:rPr>
        <w:t>可</w:t>
      </w:r>
      <w:r>
        <w:rPr>
          <w:rFonts w:hint="eastAsia"/>
          <w:highlight w:val="none"/>
        </w:rPr>
        <w:t>直接利用，可</w:t>
      </w:r>
      <w:r>
        <w:rPr>
          <w:highlight w:val="none"/>
        </w:rPr>
        <w:t>采用内业数据转换的方式进行</w:t>
      </w:r>
      <w:r>
        <w:rPr>
          <w:rFonts w:hint="eastAsia"/>
          <w:highlight w:val="none"/>
        </w:rPr>
        <w:t>普查更新</w:t>
      </w:r>
      <w:r>
        <w:rPr>
          <w:highlight w:val="none"/>
        </w:rPr>
        <w:t>；不满足上述要求的，</w:t>
      </w:r>
      <w:r>
        <w:rPr>
          <w:rFonts w:hint="eastAsia"/>
          <w:highlight w:val="none"/>
        </w:rPr>
        <w:t>应采用全野外探测和内</w:t>
      </w:r>
      <w:r>
        <w:rPr>
          <w:highlight w:val="none"/>
        </w:rPr>
        <w:t>外业</w:t>
      </w:r>
      <w:r>
        <w:rPr>
          <w:rFonts w:hint="eastAsia"/>
          <w:highlight w:val="none"/>
        </w:rPr>
        <w:t>结合</w:t>
      </w:r>
      <w:r>
        <w:rPr>
          <w:highlight w:val="none"/>
        </w:rPr>
        <w:t>核实探测的方式进行</w:t>
      </w:r>
      <w:r>
        <w:rPr>
          <w:rFonts w:hint="eastAsia"/>
          <w:highlight w:val="none"/>
        </w:rPr>
        <w:t>普查更新。</w:t>
      </w:r>
    </w:p>
    <w:p>
      <w:pPr>
        <w:pStyle w:val="238"/>
        <w:rPr>
          <w:highlight w:val="none"/>
        </w:rPr>
      </w:pPr>
      <w:r>
        <w:rPr>
          <w:rFonts w:hint="eastAsia"/>
          <w:highlight w:val="none"/>
        </w:rPr>
        <w:t>1.全野外探测</w:t>
      </w:r>
    </w:p>
    <w:p>
      <w:pPr>
        <w:pStyle w:val="238"/>
        <w:rPr>
          <w:highlight w:val="none"/>
        </w:rPr>
      </w:pPr>
      <w:r>
        <w:rPr>
          <w:rFonts w:hint="eastAsia"/>
          <w:highlight w:val="none"/>
        </w:rPr>
        <w:t>（1）无地下管线普查数据成果的，应采用全野外探测方式进行普查更新。</w:t>
      </w:r>
    </w:p>
    <w:p>
      <w:pPr>
        <w:pStyle w:val="238"/>
        <w:rPr>
          <w:highlight w:val="none"/>
        </w:rPr>
      </w:pPr>
      <w:r>
        <w:rPr>
          <w:rFonts w:hint="eastAsia"/>
          <w:highlight w:val="none"/>
        </w:rPr>
        <w:t>（2）现有地下管线普查数据成果年代久远，不满足本次地下管线普查成果更新规定要求的，应采用全野外探测方式进行普查更新。</w:t>
      </w:r>
    </w:p>
    <w:p>
      <w:pPr>
        <w:pStyle w:val="238"/>
        <w:rPr>
          <w:highlight w:val="none"/>
        </w:rPr>
      </w:pPr>
      <w:r>
        <w:rPr>
          <w:rFonts w:hint="eastAsia"/>
          <w:highlight w:val="none"/>
        </w:rPr>
        <w:t>2.内外业结合</w:t>
      </w:r>
      <w:r>
        <w:rPr>
          <w:highlight w:val="none"/>
        </w:rPr>
        <w:t>核实探测</w:t>
      </w:r>
    </w:p>
    <w:p>
      <w:pPr>
        <w:pStyle w:val="238"/>
        <w:rPr>
          <w:highlight w:val="none"/>
        </w:rPr>
      </w:pPr>
      <w:r>
        <w:rPr>
          <w:rFonts w:hint="eastAsia"/>
          <w:highlight w:val="none"/>
        </w:rPr>
        <w:t>现有地下管线普查数据成果基本满足本次普查成果更新规定要求的，应当</w:t>
      </w:r>
      <w:r>
        <w:rPr>
          <w:highlight w:val="none"/>
        </w:rPr>
        <w:t>充分利用现有管线普查成果，</w:t>
      </w:r>
      <w:r>
        <w:rPr>
          <w:rFonts w:hint="eastAsia"/>
          <w:highlight w:val="none"/>
        </w:rPr>
        <w:t>采用内外业结合核实探测的方式进行普查更新。</w:t>
      </w:r>
    </w:p>
    <w:p>
      <w:pPr>
        <w:spacing w:line="360" w:lineRule="auto"/>
        <w:outlineLvl w:val="4"/>
        <w:rPr>
          <w:rFonts w:ascii="宋体" w:hAnsi="宋体"/>
          <w:b/>
          <w:bCs/>
          <w:sz w:val="24"/>
          <w:highlight w:val="none"/>
        </w:rPr>
      </w:pPr>
      <w:r>
        <w:rPr>
          <w:rFonts w:ascii="Times New Roman" w:hAnsi="Times New Roman"/>
          <w:b/>
          <w:bCs/>
          <w:sz w:val="24"/>
          <w:highlight w:val="none"/>
        </w:rPr>
        <w:t>4.3.1.3.1.5</w:t>
      </w:r>
      <w:r>
        <w:rPr>
          <w:rFonts w:hint="eastAsia" w:ascii="宋体" w:hAnsi="宋体"/>
          <w:b/>
          <w:bCs/>
          <w:sz w:val="24"/>
          <w:highlight w:val="none"/>
        </w:rPr>
        <w:t>预估工作量</w:t>
      </w:r>
    </w:p>
    <w:p>
      <w:pPr>
        <w:pStyle w:val="238"/>
        <w:rPr>
          <w:highlight w:val="none"/>
        </w:rPr>
      </w:pPr>
      <w:r>
        <w:rPr>
          <w:rFonts w:hint="eastAsia"/>
          <w:highlight w:val="none"/>
        </w:rPr>
        <w:t>根据项目范围内已有管线资料情况统计，预估本项目工作量如下：</w:t>
      </w:r>
    </w:p>
    <w:p>
      <w:pPr>
        <w:pStyle w:val="238"/>
        <w:rPr>
          <w:highlight w:val="none"/>
        </w:rPr>
      </w:pPr>
      <w:r>
        <w:rPr>
          <w:rFonts w:hint="eastAsia"/>
          <w:highlight w:val="none"/>
        </w:rPr>
        <w:t>（1）包件1：全野外探测约700公里，内外业结合核实探测约1200公里，合计约1900公里。</w:t>
      </w:r>
    </w:p>
    <w:p>
      <w:pPr>
        <w:pStyle w:val="238"/>
        <w:rPr>
          <w:highlight w:val="none"/>
        </w:rPr>
      </w:pPr>
      <w:r>
        <w:rPr>
          <w:rFonts w:hint="eastAsia"/>
          <w:highlight w:val="none"/>
        </w:rPr>
        <w:t>（2）包件2：全野外探测约1100公里，内外业结合核实探测约1700公里，合计约2800 公里。</w:t>
      </w:r>
    </w:p>
    <w:p>
      <w:pPr>
        <w:pStyle w:val="238"/>
        <w:rPr>
          <w:highlight w:val="none"/>
        </w:rPr>
      </w:pPr>
      <w:r>
        <w:rPr>
          <w:rFonts w:hint="eastAsia"/>
          <w:highlight w:val="none"/>
        </w:rPr>
        <w:t>（3）包件3：全野外探测约600公里，内外业结合核实探测约900公里，合计约1500 公里。</w:t>
      </w:r>
    </w:p>
    <w:p>
      <w:pPr>
        <w:pStyle w:val="238"/>
        <w:rPr>
          <w:highlight w:val="none"/>
        </w:rPr>
      </w:pPr>
      <w:r>
        <w:rPr>
          <w:rFonts w:hint="eastAsia"/>
          <w:highlight w:val="none"/>
        </w:rPr>
        <w:t>（4）包件4：全野外探测约700公里，内外业结合核实探测约1200公里，合计约1900公里。</w:t>
      </w:r>
    </w:p>
    <w:p>
      <w:pPr>
        <w:pStyle w:val="238"/>
        <w:rPr>
          <w:highlight w:val="none"/>
        </w:rPr>
      </w:pPr>
      <w:r>
        <w:rPr>
          <w:rFonts w:hint="eastAsia"/>
          <w:highlight w:val="none"/>
        </w:rPr>
        <w:t>（5）包件5：全野外探测约1100公里，内外业结合核实探测约1800公里，合计约2900 公里。</w:t>
      </w:r>
    </w:p>
    <w:p>
      <w:pPr>
        <w:pStyle w:val="7"/>
        <w:rPr>
          <w:rFonts w:ascii="宋体" w:hAnsi="宋体"/>
          <w:sz w:val="24"/>
          <w:highlight w:val="none"/>
        </w:rPr>
      </w:pPr>
      <w:r>
        <w:rPr>
          <w:rFonts w:ascii="Times New Roman" w:hAnsi="Times New Roman"/>
          <w:sz w:val="24"/>
          <w:highlight w:val="none"/>
        </w:rPr>
        <w:t>4.3.1.3.2</w:t>
      </w:r>
      <w:r>
        <w:rPr>
          <w:rFonts w:hint="eastAsia" w:ascii="宋体" w:hAnsi="宋体"/>
          <w:sz w:val="24"/>
          <w:highlight w:val="none"/>
        </w:rPr>
        <w:t>技术路线</w:t>
      </w:r>
    </w:p>
    <w:p>
      <w:pPr>
        <w:pStyle w:val="238"/>
        <w:rPr>
          <w:highlight w:val="none"/>
        </w:rPr>
      </w:pPr>
      <w:r>
        <w:rPr>
          <w:rFonts w:hint="eastAsia"/>
          <w:highlight w:val="none"/>
        </w:rPr>
        <w:t>成都市地下管线普查成果更新技术路线主要分为资料收集分析、基础工作准备、探测技术准备、地下管线全野外探测、地下管线内外业结合核实探测、地下管线数据处理、地下管线图编绘、普查作业单位质量检查、普查工程监理、普查更新成果核验、测绘成果质量检验、成果汇交、数据整合检查、数据入库和成果验收与归档等过程。具体路线图见图3.2</w:t>
      </w:r>
      <w:r>
        <w:rPr>
          <w:highlight w:val="none"/>
        </w:rPr>
        <w:t>.1</w:t>
      </w:r>
      <w:r>
        <w:rPr>
          <w:rFonts w:hint="eastAsia"/>
          <w:highlight w:val="none"/>
        </w:rPr>
        <w:t>成都市地下管线普查成果更新技术路线图。</w:t>
      </w:r>
    </w:p>
    <w:p>
      <w:pPr>
        <w:spacing w:line="360" w:lineRule="auto"/>
        <w:ind w:firstLine="361" w:firstLineChars="150"/>
        <w:rPr>
          <w:rFonts w:ascii="宋体" w:hAnsi="宋体" w:cs="宋体"/>
          <w:b/>
          <w:color w:val="000000"/>
          <w:kern w:val="0"/>
          <w:sz w:val="24"/>
          <w:szCs w:val="24"/>
          <w:highlight w:val="none"/>
        </w:rPr>
      </w:pPr>
      <w:r>
        <w:rPr>
          <w:rFonts w:ascii="宋体" w:hAnsi="宋体" w:cs="宋体"/>
          <w:b/>
          <w:color w:val="000000"/>
          <w:kern w:val="0"/>
          <w:sz w:val="24"/>
          <w:szCs w:val="24"/>
          <w:highlight w:val="none"/>
        </w:rPr>
        <w:drawing>
          <wp:inline distT="0" distB="0" distL="0" distR="0">
            <wp:extent cx="4285615" cy="750506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85615" cy="7505065"/>
                    </a:xfrm>
                    <a:prstGeom prst="rect">
                      <a:avLst/>
                    </a:prstGeom>
                    <a:noFill/>
                  </pic:spPr>
                </pic:pic>
              </a:graphicData>
            </a:graphic>
          </wp:inline>
        </w:drawing>
      </w:r>
    </w:p>
    <w:p>
      <w:pPr>
        <w:tabs>
          <w:tab w:val="left" w:pos="4815"/>
        </w:tabs>
        <w:jc w:val="center"/>
        <w:rPr>
          <w:highlight w:val="none"/>
        </w:rPr>
      </w:pPr>
      <w:r>
        <w:rPr>
          <w:rFonts w:hint="eastAsia" w:ascii="宋体" w:hAnsi="宋体" w:cs="宋体"/>
          <w:sz w:val="24"/>
          <w:highlight w:val="none"/>
        </w:rPr>
        <w:t>图3.2.1 成都市地下管线普查成果更新技术路线图</w:t>
      </w:r>
    </w:p>
    <w:p>
      <w:pPr>
        <w:pStyle w:val="7"/>
        <w:rPr>
          <w:rFonts w:ascii="Times New Roman" w:hAnsi="Times New Roman"/>
          <w:sz w:val="24"/>
          <w:highlight w:val="none"/>
        </w:rPr>
      </w:pPr>
      <w:r>
        <w:rPr>
          <w:rFonts w:ascii="Times New Roman" w:hAnsi="Times New Roman"/>
          <w:sz w:val="24"/>
          <w:highlight w:val="none"/>
        </w:rPr>
        <w:t>4.3.1.3.3已有资料情况</w:t>
      </w:r>
    </w:p>
    <w:p>
      <w:pPr>
        <w:spacing w:line="360" w:lineRule="auto"/>
        <w:outlineLvl w:val="4"/>
        <w:rPr>
          <w:rFonts w:ascii="Times New Roman" w:hAnsi="Times New Roman"/>
          <w:b/>
          <w:bCs/>
          <w:sz w:val="24"/>
          <w:highlight w:val="none"/>
        </w:rPr>
      </w:pPr>
      <w:r>
        <w:rPr>
          <w:rFonts w:ascii="Times New Roman" w:hAnsi="Times New Roman"/>
          <w:b/>
          <w:bCs/>
          <w:sz w:val="24"/>
          <w:highlight w:val="none"/>
        </w:rPr>
        <w:t>4.3.1.3.3.1已有控制点成果</w:t>
      </w:r>
    </w:p>
    <w:p>
      <w:pPr>
        <w:spacing w:line="360" w:lineRule="auto"/>
        <w:ind w:firstLine="484" w:firstLineChars="202"/>
        <w:rPr>
          <w:rFonts w:ascii="宋体" w:hAnsi="宋体"/>
          <w:sz w:val="24"/>
          <w:highlight w:val="none"/>
        </w:rPr>
      </w:pPr>
      <w:r>
        <w:rPr>
          <w:rFonts w:hint="eastAsia" w:ascii="宋体" w:hAnsi="宋体"/>
          <w:sz w:val="24"/>
          <w:highlight w:val="none"/>
        </w:rPr>
        <w:t>控制点加密工作由成都市规划和自然资源局组织实施，控制点平面按GNSS RTK二级，高程按四等水准测量要求施测。控制点经加密后成果统一提供给普查作业单位使用。</w:t>
      </w:r>
    </w:p>
    <w:p>
      <w:pPr>
        <w:spacing w:line="360" w:lineRule="auto"/>
        <w:outlineLvl w:val="4"/>
        <w:rPr>
          <w:rFonts w:ascii="Times New Roman" w:hAnsi="Times New Roman"/>
          <w:b/>
          <w:bCs/>
          <w:sz w:val="24"/>
          <w:highlight w:val="none"/>
        </w:rPr>
      </w:pPr>
      <w:r>
        <w:rPr>
          <w:rFonts w:ascii="Times New Roman" w:hAnsi="Times New Roman"/>
          <w:b/>
          <w:bCs/>
          <w:sz w:val="24"/>
          <w:highlight w:val="none"/>
        </w:rPr>
        <w:t>4.3.1.3.3.2已有地形图资料</w:t>
      </w:r>
    </w:p>
    <w:p>
      <w:pPr>
        <w:spacing w:line="360" w:lineRule="auto"/>
        <w:ind w:firstLine="480" w:firstLineChars="200"/>
        <w:rPr>
          <w:rFonts w:ascii="Times New Roman" w:hAnsi="Times New Roman"/>
          <w:iCs/>
          <w:color w:val="FF0000"/>
          <w:sz w:val="24"/>
          <w:highlight w:val="none"/>
        </w:rPr>
      </w:pPr>
      <w:r>
        <w:rPr>
          <w:rFonts w:ascii="Times New Roman" w:hAnsi="Times New Roman"/>
          <w:iCs/>
          <w:sz w:val="24"/>
          <w:highlight w:val="none"/>
        </w:rPr>
        <w:t>辖区内有1:500数字线划图（dwg格式）,现势性为2018年，覆盖范围为：1:2000数字线划图数据（dwg格式），现势性为2016年，覆盖范围为双流全域。</w:t>
      </w:r>
    </w:p>
    <w:p>
      <w:pPr>
        <w:spacing w:line="360" w:lineRule="auto"/>
        <w:outlineLvl w:val="4"/>
        <w:rPr>
          <w:rFonts w:ascii="Times New Roman" w:hAnsi="Times New Roman"/>
          <w:b/>
          <w:bCs/>
          <w:sz w:val="24"/>
          <w:highlight w:val="none"/>
        </w:rPr>
      </w:pPr>
      <w:r>
        <w:rPr>
          <w:rFonts w:ascii="Times New Roman" w:hAnsi="Times New Roman"/>
          <w:b/>
          <w:bCs/>
          <w:sz w:val="24"/>
          <w:highlight w:val="none"/>
        </w:rPr>
        <w:t>4.3.1.3.3.3 已有管线成果</w:t>
      </w:r>
    </w:p>
    <w:p>
      <w:pPr>
        <w:spacing w:line="360" w:lineRule="auto"/>
        <w:ind w:firstLine="424" w:firstLineChars="177"/>
        <w:rPr>
          <w:rFonts w:ascii="Times New Roman" w:hAnsi="Times New Roman"/>
          <w:iCs/>
          <w:sz w:val="24"/>
          <w:highlight w:val="none"/>
        </w:rPr>
      </w:pPr>
      <w:r>
        <w:rPr>
          <w:rFonts w:ascii="Times New Roman" w:hAnsi="Times New Roman"/>
          <w:iCs/>
          <w:sz w:val="24"/>
          <w:highlight w:val="none"/>
        </w:rPr>
        <w:t>辖区内有近三年完成的地下管线普查数据，约6800公里（含给水、燃气、雨水、污水、电力、供电、通讯、军用、路灯、信号、架空电力、综合管廊等管线），主要采用成都市平面坐标系统和1985国家高程基准。</w:t>
      </w:r>
    </w:p>
    <w:p>
      <w:pPr>
        <w:spacing w:line="360" w:lineRule="auto"/>
        <w:outlineLvl w:val="4"/>
        <w:rPr>
          <w:rFonts w:ascii="Times New Roman" w:hAnsi="Times New Roman"/>
          <w:b/>
          <w:bCs/>
          <w:sz w:val="24"/>
          <w:highlight w:val="none"/>
        </w:rPr>
      </w:pPr>
      <w:r>
        <w:rPr>
          <w:rFonts w:ascii="Times New Roman" w:hAnsi="Times New Roman"/>
          <w:b/>
          <w:bCs/>
          <w:sz w:val="24"/>
          <w:highlight w:val="none"/>
        </w:rPr>
        <w:t>4.3.1.3.3.4可利用管线资料要求</w:t>
      </w:r>
    </w:p>
    <w:p>
      <w:pPr>
        <w:pStyle w:val="238"/>
        <w:rPr>
          <w:rFonts w:ascii="Times New Roman" w:hAnsi="Times New Roman"/>
          <w:highlight w:val="none"/>
        </w:rPr>
      </w:pPr>
      <w:r>
        <w:rPr>
          <w:rFonts w:ascii="Times New Roman" w:hAnsi="Times New Roman"/>
          <w:highlight w:val="none"/>
        </w:rPr>
        <w:t>1.可直接利用</w:t>
      </w:r>
    </w:p>
    <w:p>
      <w:pPr>
        <w:pStyle w:val="238"/>
        <w:rPr>
          <w:rFonts w:ascii="仿宋" w:hAnsi="仿宋" w:cs="仿宋"/>
          <w:highlight w:val="none"/>
        </w:rPr>
      </w:pPr>
      <w:r>
        <w:rPr>
          <w:rFonts w:ascii="Times New Roman" w:hAnsi="Times New Roman"/>
          <w:highlight w:val="none"/>
        </w:rPr>
        <w:t>（1）近年已完成的地下管线普查成果，满足招标文件</w:t>
      </w:r>
      <w:r>
        <w:rPr>
          <w:rFonts w:hint="eastAsia" w:ascii="仿宋" w:hAnsi="仿宋" w:cs="仿宋"/>
          <w:highlight w:val="none"/>
        </w:rPr>
        <w:t>规定</w:t>
      </w:r>
      <w:r>
        <w:rPr>
          <w:rFonts w:ascii="仿宋" w:hAnsi="仿宋" w:cs="仿宋"/>
          <w:highlight w:val="none"/>
        </w:rPr>
        <w:t>要求</w:t>
      </w:r>
      <w:r>
        <w:rPr>
          <w:rFonts w:hint="eastAsia" w:ascii="仿宋" w:hAnsi="仿宋" w:cs="仿宋"/>
          <w:highlight w:val="none"/>
        </w:rPr>
        <w:t>，</w:t>
      </w:r>
      <w:r>
        <w:rPr>
          <w:rFonts w:ascii="仿宋" w:hAnsi="仿宋" w:cs="仿宋"/>
          <w:highlight w:val="none"/>
        </w:rPr>
        <w:t>且无需进行外业</w:t>
      </w:r>
      <w:r>
        <w:rPr>
          <w:rFonts w:hint="eastAsia" w:ascii="仿宋" w:hAnsi="仿宋" w:cs="仿宋"/>
          <w:highlight w:val="none"/>
        </w:rPr>
        <w:t>核实</w:t>
      </w:r>
      <w:r>
        <w:rPr>
          <w:rFonts w:ascii="仿宋" w:hAnsi="仿宋" w:cs="仿宋"/>
          <w:highlight w:val="none"/>
        </w:rPr>
        <w:t>探测</w:t>
      </w:r>
      <w:r>
        <w:rPr>
          <w:rFonts w:hint="eastAsia" w:ascii="仿宋" w:hAnsi="仿宋" w:cs="仿宋"/>
          <w:highlight w:val="none"/>
        </w:rPr>
        <w:t>的，</w:t>
      </w:r>
      <w:r>
        <w:rPr>
          <w:rFonts w:ascii="仿宋" w:hAnsi="仿宋" w:cs="仿宋"/>
          <w:highlight w:val="none"/>
        </w:rPr>
        <w:t>可</w:t>
      </w:r>
      <w:r>
        <w:rPr>
          <w:rFonts w:hint="eastAsia" w:ascii="仿宋" w:hAnsi="仿宋" w:cs="仿宋"/>
          <w:highlight w:val="none"/>
        </w:rPr>
        <w:t>直接利用。</w:t>
      </w:r>
    </w:p>
    <w:p>
      <w:pPr>
        <w:pStyle w:val="238"/>
        <w:rPr>
          <w:rFonts w:ascii="仿宋" w:hAnsi="仿宋" w:cs="仿宋"/>
          <w:highlight w:val="none"/>
        </w:rPr>
      </w:pPr>
      <w:r>
        <w:rPr>
          <w:rFonts w:hint="eastAsia" w:ascii="仿宋" w:hAnsi="仿宋" w:cs="仿宋"/>
          <w:highlight w:val="none"/>
        </w:rPr>
        <w:t>（2）可直接利用的普查成果采用内业数据转换的方式进行普查更新，不再进行普查探测，普查作业单位应根据可直接利用成果对新改（扩）建的管线进行补充探测，完成数据接边、汇总后统一提交成果。</w:t>
      </w:r>
    </w:p>
    <w:p>
      <w:pPr>
        <w:pStyle w:val="238"/>
        <w:rPr>
          <w:rFonts w:ascii="仿宋" w:hAnsi="仿宋" w:cs="仿宋"/>
          <w:highlight w:val="none"/>
        </w:rPr>
      </w:pPr>
      <w:r>
        <w:rPr>
          <w:rFonts w:hint="eastAsia" w:ascii="仿宋" w:hAnsi="仿宋" w:cs="仿宋"/>
          <w:highlight w:val="none"/>
        </w:rPr>
        <w:t>（3）可直接利用的地下管线普查成果不纳入总工作量经费计算。</w:t>
      </w:r>
    </w:p>
    <w:p>
      <w:pPr>
        <w:pStyle w:val="238"/>
        <w:rPr>
          <w:highlight w:val="none"/>
        </w:rPr>
      </w:pPr>
      <w:r>
        <w:rPr>
          <w:rFonts w:hint="eastAsia"/>
          <w:highlight w:val="none"/>
        </w:rPr>
        <w:t>2.基本可利用</w:t>
      </w:r>
    </w:p>
    <w:p>
      <w:pPr>
        <w:pStyle w:val="238"/>
        <w:rPr>
          <w:highlight w:val="none"/>
        </w:rPr>
      </w:pPr>
      <w:r>
        <w:rPr>
          <w:rFonts w:hint="eastAsia" w:ascii="仿宋" w:hAnsi="仿宋" w:cs="仿宋"/>
          <w:highlight w:val="none"/>
        </w:rPr>
        <w:t>已有地下管线数据成果基本满足规定要求的，应当</w:t>
      </w:r>
      <w:r>
        <w:rPr>
          <w:rFonts w:ascii="仿宋" w:hAnsi="仿宋" w:cs="仿宋"/>
          <w:highlight w:val="none"/>
        </w:rPr>
        <w:t>充分利用</w:t>
      </w:r>
      <w:r>
        <w:rPr>
          <w:rFonts w:hint="eastAsia" w:ascii="仿宋" w:hAnsi="仿宋" w:cs="仿宋"/>
          <w:highlight w:val="none"/>
        </w:rPr>
        <w:t>已</w:t>
      </w:r>
      <w:r>
        <w:rPr>
          <w:rFonts w:ascii="仿宋" w:hAnsi="仿宋" w:cs="仿宋"/>
          <w:highlight w:val="none"/>
        </w:rPr>
        <w:t>有管线</w:t>
      </w:r>
      <w:r>
        <w:rPr>
          <w:rFonts w:hint="eastAsia" w:ascii="仿宋" w:hAnsi="仿宋" w:cs="仿宋"/>
          <w:highlight w:val="none"/>
        </w:rPr>
        <w:t>数据</w:t>
      </w:r>
      <w:r>
        <w:rPr>
          <w:rFonts w:ascii="仿宋" w:hAnsi="仿宋" w:cs="仿宋"/>
          <w:highlight w:val="none"/>
        </w:rPr>
        <w:t>成果</w:t>
      </w:r>
      <w:r>
        <w:rPr>
          <w:rFonts w:hint="eastAsia" w:ascii="仿宋" w:hAnsi="仿宋" w:cs="仿宋"/>
          <w:highlight w:val="none"/>
        </w:rPr>
        <w:t>，采用内外业结合核实探测的方式进行普查更新。</w:t>
      </w:r>
    </w:p>
    <w:p>
      <w:pPr>
        <w:pStyle w:val="238"/>
        <w:rPr>
          <w:highlight w:val="none"/>
        </w:rPr>
      </w:pPr>
      <w:r>
        <w:rPr>
          <w:rFonts w:hint="eastAsia"/>
          <w:highlight w:val="none"/>
        </w:rPr>
        <w:t>3.可参考利用</w:t>
      </w:r>
    </w:p>
    <w:p>
      <w:pPr>
        <w:pStyle w:val="238"/>
        <w:rPr>
          <w:rFonts w:ascii="仿宋" w:hAnsi="仿宋" w:cs="仿宋"/>
          <w:highlight w:val="none"/>
        </w:rPr>
      </w:pPr>
      <w:r>
        <w:rPr>
          <w:rFonts w:hint="eastAsia" w:ascii="仿宋" w:hAnsi="仿宋" w:cs="仿宋"/>
          <w:highlight w:val="none"/>
        </w:rPr>
        <w:t>（1）已有地下管线普查数据成果年代久远，</w:t>
      </w:r>
      <w:r>
        <w:rPr>
          <w:rFonts w:ascii="仿宋" w:hAnsi="仿宋" w:cs="仿宋"/>
          <w:highlight w:val="none"/>
        </w:rPr>
        <w:t>数据成果</w:t>
      </w:r>
      <w:r>
        <w:rPr>
          <w:rFonts w:hint="eastAsia" w:ascii="仿宋" w:hAnsi="仿宋" w:cs="仿宋"/>
          <w:highlight w:val="none"/>
        </w:rPr>
        <w:t>不满足本招标文件规定要求的，仅可作为示意性资料参考使用，采用全野外探测的方式进行普查更新。</w:t>
      </w:r>
    </w:p>
    <w:p>
      <w:pPr>
        <w:pStyle w:val="238"/>
        <w:rPr>
          <w:highlight w:val="none"/>
        </w:rPr>
      </w:pPr>
      <w:r>
        <w:rPr>
          <w:rFonts w:hint="eastAsia" w:ascii="仿宋" w:hAnsi="仿宋" w:cs="仿宋"/>
          <w:highlight w:val="none"/>
        </w:rPr>
        <w:t>（2）纸质资料</w:t>
      </w:r>
      <w:r>
        <w:rPr>
          <w:rFonts w:ascii="仿宋" w:hAnsi="仿宋" w:cs="仿宋"/>
          <w:highlight w:val="none"/>
        </w:rPr>
        <w:t>及示意性资料</w:t>
      </w:r>
      <w:r>
        <w:rPr>
          <w:rFonts w:hint="eastAsia" w:ascii="仿宋" w:hAnsi="仿宋" w:cs="仿宋"/>
          <w:highlight w:val="none"/>
        </w:rPr>
        <w:t>仅可作为工作底图参考使用。</w:t>
      </w:r>
    </w:p>
    <w:p>
      <w:pPr>
        <w:pStyle w:val="7"/>
        <w:rPr>
          <w:rFonts w:ascii="Times New Roman" w:hAnsi="Times New Roman"/>
          <w:sz w:val="24"/>
          <w:highlight w:val="none"/>
        </w:rPr>
      </w:pPr>
      <w:r>
        <w:rPr>
          <w:rFonts w:ascii="Times New Roman" w:hAnsi="Times New Roman"/>
          <w:sz w:val="24"/>
          <w:highlight w:val="none"/>
        </w:rPr>
        <w:t>4.3.1.3.4 数据规格</w:t>
      </w:r>
    </w:p>
    <w:p>
      <w:pPr>
        <w:spacing w:line="360" w:lineRule="auto"/>
        <w:outlineLvl w:val="4"/>
        <w:rPr>
          <w:rFonts w:ascii="Times New Roman" w:hAnsi="Times New Roman"/>
          <w:b/>
          <w:bCs/>
          <w:sz w:val="24"/>
          <w:highlight w:val="none"/>
        </w:rPr>
      </w:pPr>
      <w:r>
        <w:rPr>
          <w:rFonts w:ascii="Times New Roman" w:hAnsi="Times New Roman"/>
          <w:b/>
          <w:bCs/>
          <w:sz w:val="24"/>
          <w:highlight w:val="none"/>
        </w:rPr>
        <w:t>4.3.1.3.4.1数学基础</w:t>
      </w:r>
    </w:p>
    <w:p>
      <w:pPr>
        <w:pStyle w:val="239"/>
        <w:spacing w:before="0" w:beforeAutospacing="0" w:after="0" w:afterAutospacing="0" w:line="360" w:lineRule="auto"/>
        <w:ind w:firstLine="424" w:firstLineChars="177"/>
        <w:rPr>
          <w:rFonts w:ascii="Times New Roman" w:hAnsi="Times New Roman" w:eastAsia="仿宋"/>
          <w:highlight w:val="none"/>
        </w:rPr>
      </w:pPr>
      <w:r>
        <w:rPr>
          <w:rFonts w:ascii="Times New Roman" w:hAnsi="Times New Roman"/>
          <w:highlight w:val="none"/>
        </w:rPr>
        <w:t>1.坐标系统采用成都市平面坐标系统（</w:t>
      </w:r>
      <w:r>
        <w:rPr>
          <w:rFonts w:ascii="Times New Roman" w:hAnsi="Times New Roman"/>
          <w:highlight w:val="none"/>
          <w:u w:val="single"/>
        </w:rPr>
        <w:t>中带</w:t>
      </w:r>
      <w:r>
        <w:rPr>
          <w:rFonts w:ascii="Times New Roman" w:hAnsi="Times New Roman"/>
          <w:highlight w:val="none"/>
        </w:rPr>
        <w:t>)。</w:t>
      </w:r>
    </w:p>
    <w:p>
      <w:pPr>
        <w:pStyle w:val="239"/>
        <w:spacing w:before="0" w:beforeAutospacing="0" w:after="0" w:afterAutospacing="0" w:line="360" w:lineRule="auto"/>
        <w:ind w:firstLine="424" w:firstLineChars="177"/>
        <w:rPr>
          <w:rFonts w:ascii="Times New Roman" w:hAnsi="Times New Roman" w:eastAsia="仿宋"/>
          <w:b/>
          <w:highlight w:val="none"/>
        </w:rPr>
      </w:pPr>
      <w:r>
        <w:rPr>
          <w:rFonts w:ascii="Times New Roman" w:hAnsi="Times New Roman"/>
          <w:highlight w:val="none"/>
        </w:rPr>
        <w:t>2.高程系统采用1985国家高程基准。</w:t>
      </w:r>
    </w:p>
    <w:p>
      <w:pPr>
        <w:spacing w:line="360" w:lineRule="auto"/>
        <w:outlineLvl w:val="4"/>
        <w:rPr>
          <w:rFonts w:ascii="Times New Roman" w:hAnsi="Times New Roman"/>
          <w:b/>
          <w:bCs/>
          <w:sz w:val="24"/>
          <w:highlight w:val="none"/>
        </w:rPr>
      </w:pPr>
      <w:r>
        <w:rPr>
          <w:rFonts w:ascii="Times New Roman" w:hAnsi="Times New Roman"/>
          <w:b/>
          <w:bCs/>
          <w:sz w:val="24"/>
          <w:highlight w:val="none"/>
        </w:rPr>
        <w:t>4.3.1.3.4.2数据格式</w:t>
      </w:r>
    </w:p>
    <w:p>
      <w:pPr>
        <w:spacing w:line="360" w:lineRule="auto"/>
        <w:ind w:firstLine="437"/>
        <w:rPr>
          <w:rFonts w:ascii="宋体" w:hAnsi="宋体"/>
          <w:sz w:val="24"/>
          <w:highlight w:val="none"/>
        </w:rPr>
      </w:pPr>
      <w:r>
        <w:rPr>
          <w:rFonts w:hint="eastAsia" w:ascii="宋体" w:hAnsi="宋体"/>
          <w:sz w:val="24"/>
          <w:highlight w:val="none"/>
        </w:rPr>
        <w:t>1.管线数据文件采用Access的MDB数据库格式；</w:t>
      </w:r>
    </w:p>
    <w:p>
      <w:pPr>
        <w:spacing w:line="360" w:lineRule="auto"/>
        <w:ind w:firstLine="437"/>
        <w:rPr>
          <w:rFonts w:ascii="宋体" w:hAnsi="宋体"/>
          <w:sz w:val="24"/>
          <w:highlight w:val="none"/>
        </w:rPr>
      </w:pPr>
      <w:r>
        <w:rPr>
          <w:rFonts w:hint="eastAsia" w:ascii="宋体" w:hAnsi="宋体"/>
          <w:sz w:val="24"/>
          <w:highlight w:val="none"/>
        </w:rPr>
        <w:t>2.管线图形文件采用DWG格式。</w:t>
      </w:r>
    </w:p>
    <w:p>
      <w:pPr>
        <w:spacing w:line="360" w:lineRule="auto"/>
        <w:outlineLvl w:val="4"/>
        <w:rPr>
          <w:rFonts w:ascii="Times New Roman" w:hAnsi="Times New Roman"/>
          <w:b/>
          <w:bCs/>
          <w:sz w:val="24"/>
          <w:highlight w:val="none"/>
        </w:rPr>
      </w:pPr>
      <w:r>
        <w:rPr>
          <w:rFonts w:ascii="Times New Roman" w:hAnsi="Times New Roman"/>
          <w:b/>
          <w:bCs/>
          <w:sz w:val="24"/>
          <w:highlight w:val="none"/>
        </w:rPr>
        <w:t>4.3.1.3.4.3成果单元</w:t>
      </w:r>
    </w:p>
    <w:p>
      <w:pPr>
        <w:spacing w:line="360" w:lineRule="auto"/>
        <w:ind w:firstLine="437"/>
        <w:rPr>
          <w:rFonts w:ascii="Times New Roman" w:hAnsi="Times New Roman"/>
          <w:sz w:val="24"/>
          <w:highlight w:val="none"/>
        </w:rPr>
      </w:pPr>
      <w:r>
        <w:rPr>
          <w:rFonts w:hint="eastAsia" w:ascii="Times New Roman" w:hAnsi="Times New Roman"/>
          <w:sz w:val="24"/>
          <w:highlight w:val="none"/>
        </w:rPr>
        <w:t>1.</w:t>
      </w:r>
      <w:r>
        <w:rPr>
          <w:rFonts w:ascii="Times New Roman" w:hAnsi="Times New Roman"/>
          <w:sz w:val="24"/>
          <w:highlight w:val="none"/>
        </w:rPr>
        <w:t>管线数据文件以标段为成果单元；</w:t>
      </w:r>
    </w:p>
    <w:p>
      <w:pPr>
        <w:pStyle w:val="2"/>
        <w:spacing w:after="0" w:line="360" w:lineRule="auto"/>
        <w:ind w:firstLine="437"/>
        <w:jc w:val="left"/>
        <w:rPr>
          <w:bCs/>
          <w:sz w:val="24"/>
          <w:highlight w:val="none"/>
        </w:rPr>
      </w:pPr>
      <w:r>
        <w:rPr>
          <w:rFonts w:hint="eastAsia"/>
          <w:sz w:val="24"/>
          <w:highlight w:val="none"/>
        </w:rPr>
        <w:t>2.</w:t>
      </w:r>
      <w:r>
        <w:rPr>
          <w:sz w:val="24"/>
          <w:highlight w:val="none"/>
        </w:rPr>
        <w:t>管线图形文件以1:500分幅为成果单元。</w:t>
      </w:r>
    </w:p>
    <w:p>
      <w:pPr>
        <w:pStyle w:val="7"/>
        <w:rPr>
          <w:rFonts w:ascii="Times New Roman" w:hAnsi="Times New Roman"/>
          <w:sz w:val="24"/>
          <w:highlight w:val="none"/>
        </w:rPr>
      </w:pPr>
      <w:r>
        <w:rPr>
          <w:rFonts w:ascii="Times New Roman" w:hAnsi="Times New Roman"/>
          <w:sz w:val="24"/>
          <w:highlight w:val="none"/>
        </w:rPr>
        <w:t>4.3.1.3.5 地下管线探测技术准备</w:t>
      </w:r>
    </w:p>
    <w:p>
      <w:pPr>
        <w:spacing w:line="360" w:lineRule="auto"/>
        <w:outlineLvl w:val="4"/>
        <w:rPr>
          <w:rFonts w:ascii="Times New Roman" w:hAnsi="Times New Roman"/>
          <w:b/>
          <w:bCs/>
          <w:sz w:val="24"/>
          <w:highlight w:val="none"/>
        </w:rPr>
      </w:pPr>
      <w:r>
        <w:rPr>
          <w:rFonts w:ascii="Times New Roman" w:hAnsi="Times New Roman"/>
          <w:b/>
          <w:bCs/>
          <w:sz w:val="24"/>
          <w:highlight w:val="none"/>
        </w:rPr>
        <w:t>4.3.1.3.5.1一般规定</w:t>
      </w:r>
    </w:p>
    <w:p>
      <w:pPr>
        <w:spacing w:line="360" w:lineRule="auto"/>
        <w:ind w:firstLine="480" w:firstLineChars="200"/>
        <w:rPr>
          <w:rFonts w:ascii="宋体" w:hAnsi="宋体"/>
          <w:sz w:val="24"/>
          <w:highlight w:val="none"/>
        </w:rPr>
      </w:pPr>
      <w:r>
        <w:rPr>
          <w:rFonts w:ascii="宋体" w:hAnsi="宋体"/>
          <w:sz w:val="24"/>
          <w:highlight w:val="none"/>
        </w:rPr>
        <w:t>1.</w:t>
      </w:r>
      <w:r>
        <w:rPr>
          <w:rFonts w:hint="eastAsia" w:ascii="宋体" w:hAnsi="宋体"/>
          <w:sz w:val="24"/>
          <w:highlight w:val="none"/>
        </w:rPr>
        <w:t>地下管线普查的管线类别和取舍标准按表3.5.1.1执行。</w:t>
      </w:r>
    </w:p>
    <w:p>
      <w:pPr>
        <w:autoSpaceDE w:val="0"/>
        <w:autoSpaceDN w:val="0"/>
        <w:adjustRightInd w:val="0"/>
        <w:spacing w:line="560" w:lineRule="exact"/>
        <w:jc w:val="center"/>
        <w:rPr>
          <w:rFonts w:ascii="宋体" w:hAnsi="宋体" w:cs="宋体"/>
          <w:highlight w:val="none"/>
        </w:rPr>
      </w:pPr>
      <w:r>
        <w:rPr>
          <w:rFonts w:hint="eastAsia" w:ascii="宋体" w:hAnsi="宋体" w:cs="宋体"/>
          <w:sz w:val="24"/>
          <w:highlight w:val="none"/>
        </w:rPr>
        <w:t>表3.5.1.1地下管线普查取舍标准</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959"/>
        <w:gridCol w:w="34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9" w:type="dxa"/>
            <w:noWrap/>
            <w:vAlign w:val="center"/>
          </w:tcPr>
          <w:p>
            <w:pPr>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管线类型</w:t>
            </w:r>
          </w:p>
        </w:tc>
        <w:tc>
          <w:tcPr>
            <w:tcW w:w="3474" w:type="dxa"/>
            <w:noWrap/>
            <w:vAlign w:val="center"/>
          </w:tcPr>
          <w:p>
            <w:pPr>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取舍标准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9" w:type="dxa"/>
            <w:noWrap/>
            <w:vAlign w:val="center"/>
          </w:tcPr>
          <w:p>
            <w:pPr>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给水</w:t>
            </w:r>
          </w:p>
        </w:tc>
        <w:tc>
          <w:tcPr>
            <w:tcW w:w="3474" w:type="dxa"/>
            <w:noWrap/>
            <w:vAlign w:val="center"/>
          </w:tcPr>
          <w:p>
            <w:pPr>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管径≥50mm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9" w:type="dxa"/>
            <w:noWrap/>
            <w:vAlign w:val="center"/>
          </w:tcPr>
          <w:p>
            <w:pPr>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排水（雨水、污水、雨污合流）</w:t>
            </w:r>
          </w:p>
        </w:tc>
        <w:tc>
          <w:tcPr>
            <w:tcW w:w="3474" w:type="dxa"/>
            <w:noWrap/>
            <w:vAlign w:val="center"/>
          </w:tcPr>
          <w:p>
            <w:pPr>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管径≥200mm或方沟≥400㎜×400mm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9" w:type="dxa"/>
            <w:noWrap/>
            <w:vAlign w:val="center"/>
          </w:tcPr>
          <w:p>
            <w:pPr>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燃气</w:t>
            </w:r>
          </w:p>
        </w:tc>
        <w:tc>
          <w:tcPr>
            <w:tcW w:w="3474" w:type="dxa"/>
            <w:noWrap/>
            <w:vAlign w:val="center"/>
          </w:tcPr>
          <w:p>
            <w:pPr>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全测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9" w:type="dxa"/>
            <w:noWrap/>
            <w:vAlign w:val="center"/>
          </w:tcPr>
          <w:p>
            <w:pPr>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热力</w:t>
            </w:r>
          </w:p>
        </w:tc>
        <w:tc>
          <w:tcPr>
            <w:tcW w:w="3474" w:type="dxa"/>
            <w:noWrap/>
            <w:vAlign w:val="center"/>
          </w:tcPr>
          <w:p>
            <w:pPr>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全测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9" w:type="dxa"/>
            <w:noWrap/>
            <w:vAlign w:val="center"/>
          </w:tcPr>
          <w:p>
            <w:pPr>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电力（含路灯、交通信号）</w:t>
            </w:r>
          </w:p>
        </w:tc>
        <w:tc>
          <w:tcPr>
            <w:tcW w:w="3474" w:type="dxa"/>
            <w:noWrap/>
            <w:vAlign w:val="center"/>
          </w:tcPr>
          <w:p>
            <w:pPr>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全测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9" w:type="dxa"/>
            <w:noWrap/>
            <w:vAlign w:val="center"/>
          </w:tcPr>
          <w:p>
            <w:pPr>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通信（含广播电视）</w:t>
            </w:r>
          </w:p>
        </w:tc>
        <w:tc>
          <w:tcPr>
            <w:tcW w:w="3474" w:type="dxa"/>
            <w:noWrap/>
            <w:vAlign w:val="center"/>
          </w:tcPr>
          <w:p>
            <w:pPr>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全测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9" w:type="dxa"/>
            <w:noWrap/>
            <w:vAlign w:val="center"/>
          </w:tcPr>
          <w:p>
            <w:pPr>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工业（不含油气管线）</w:t>
            </w:r>
          </w:p>
        </w:tc>
        <w:tc>
          <w:tcPr>
            <w:tcW w:w="3474" w:type="dxa"/>
            <w:noWrap/>
            <w:vAlign w:val="center"/>
          </w:tcPr>
          <w:p>
            <w:pPr>
              <w:keepLines/>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全测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9" w:type="dxa"/>
            <w:noWrap/>
            <w:vAlign w:val="center"/>
          </w:tcPr>
          <w:p>
            <w:pPr>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综合管廊（沟）</w:t>
            </w:r>
          </w:p>
        </w:tc>
        <w:tc>
          <w:tcPr>
            <w:tcW w:w="3474" w:type="dxa"/>
            <w:noWrap/>
            <w:vAlign w:val="center"/>
          </w:tcPr>
          <w:p>
            <w:pPr>
              <w:keepLines/>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全测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9" w:type="dxa"/>
            <w:noWrap/>
            <w:vAlign w:val="center"/>
          </w:tcPr>
          <w:p>
            <w:pPr>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其他</w:t>
            </w:r>
          </w:p>
        </w:tc>
        <w:tc>
          <w:tcPr>
            <w:tcW w:w="3474" w:type="dxa"/>
            <w:noWrap/>
            <w:vAlign w:val="center"/>
          </w:tcPr>
          <w:p>
            <w:pPr>
              <w:keepLines/>
              <w:autoSpaceDE w:val="0"/>
              <w:autoSpaceDN w:val="0"/>
              <w:adjustRightInd w:val="0"/>
              <w:spacing w:line="320" w:lineRule="exact"/>
              <w:jc w:val="center"/>
              <w:rPr>
                <w:rFonts w:ascii="宋体" w:hAnsi="宋体" w:cs="宋体"/>
                <w:szCs w:val="21"/>
                <w:highlight w:val="none"/>
              </w:rPr>
            </w:pPr>
            <w:r>
              <w:rPr>
                <w:rFonts w:hint="eastAsia" w:ascii="宋体" w:hAnsi="宋体" w:cs="宋体"/>
                <w:szCs w:val="21"/>
                <w:highlight w:val="none"/>
              </w:rPr>
              <w:t>全测</w:t>
            </w:r>
          </w:p>
        </w:tc>
      </w:tr>
    </w:tbl>
    <w:p>
      <w:pPr>
        <w:spacing w:line="360" w:lineRule="auto"/>
        <w:ind w:firstLine="480" w:firstLineChars="200"/>
        <w:rPr>
          <w:rFonts w:ascii="宋体" w:hAnsi="宋体"/>
          <w:sz w:val="24"/>
          <w:highlight w:val="none"/>
        </w:rPr>
      </w:pPr>
      <w:r>
        <w:rPr>
          <w:rFonts w:hint="eastAsia" w:ascii="宋体" w:hAnsi="宋体"/>
          <w:sz w:val="24"/>
          <w:highlight w:val="none"/>
        </w:rPr>
        <w:t>2．精度要求</w:t>
      </w:r>
    </w:p>
    <w:p>
      <w:pPr>
        <w:pStyle w:val="238"/>
        <w:rPr>
          <w:highlight w:val="none"/>
        </w:rPr>
      </w:pPr>
      <w:r>
        <w:rPr>
          <w:rFonts w:hint="eastAsia"/>
          <w:highlight w:val="none"/>
        </w:rPr>
        <w:t>（1）地下管线普查探测应以中误差作为衡量探测精度的标准，且以二倍中误差作为极限误差。</w:t>
      </w:r>
    </w:p>
    <w:p>
      <w:pPr>
        <w:pStyle w:val="238"/>
        <w:rPr>
          <w:highlight w:val="none"/>
        </w:rPr>
      </w:pPr>
      <w:r>
        <w:rPr>
          <w:rFonts w:hint="eastAsia"/>
          <w:highlight w:val="none"/>
        </w:rPr>
        <w:t>（2）地下管线探测精度应符合下列规定：</w:t>
      </w:r>
    </w:p>
    <w:p>
      <w:pPr>
        <w:pStyle w:val="238"/>
        <w:ind w:firstLine="600" w:firstLineChars="250"/>
        <w:rPr>
          <w:bCs/>
          <w:highlight w:val="none"/>
        </w:rPr>
      </w:pPr>
      <w:r>
        <w:rPr>
          <w:rFonts w:hint="eastAsia" w:ascii="仿宋" w:hAnsi="仿宋" w:cs="仿宋"/>
          <w:highlight w:val="none"/>
        </w:rPr>
        <w:t>1）</w:t>
      </w:r>
      <w:r>
        <w:rPr>
          <w:highlight w:val="none"/>
        </w:rPr>
        <w:t>明显管线点</w:t>
      </w:r>
      <w:r>
        <w:rPr>
          <w:rFonts w:hint="eastAsia"/>
          <w:highlight w:val="none"/>
        </w:rPr>
        <w:t>埋深</w:t>
      </w:r>
      <w:r>
        <w:rPr>
          <w:rFonts w:hint="eastAsia" w:ascii="仿宋" w:hAnsi="仿宋" w:cs="仿宋"/>
          <w:highlight w:val="none"/>
        </w:rPr>
        <w:t>≤</w:t>
      </w:r>
      <w:r>
        <w:rPr>
          <w:highlight w:val="none"/>
        </w:rPr>
        <w:t>2.5m 时</w:t>
      </w:r>
      <w:r>
        <w:rPr>
          <w:rFonts w:hint="eastAsia"/>
          <w:highlight w:val="none"/>
        </w:rPr>
        <w:t>，埋</w:t>
      </w:r>
      <w:r>
        <w:rPr>
          <w:highlight w:val="none"/>
        </w:rPr>
        <w:t>深量测中误差不应大于25mm；明显管线点埋深＞2.5m 时</w:t>
      </w:r>
      <w:r>
        <w:rPr>
          <w:rFonts w:hint="eastAsia"/>
          <w:highlight w:val="none"/>
        </w:rPr>
        <w:t>，</w:t>
      </w:r>
      <w:r>
        <w:rPr>
          <w:highlight w:val="none"/>
        </w:rPr>
        <w:t>埋深量测中误差不应大于0.</w:t>
      </w:r>
      <w:r>
        <w:rPr>
          <w:rFonts w:hint="eastAsia"/>
          <w:highlight w:val="none"/>
        </w:rPr>
        <w:t>0</w:t>
      </w:r>
      <w:r>
        <w:rPr>
          <w:highlight w:val="none"/>
        </w:rPr>
        <w:t>1</w:t>
      </w:r>
      <w:r>
        <w:rPr>
          <w:rFonts w:hint="eastAsia"/>
          <w:highlight w:val="none"/>
        </w:rPr>
        <w:t>h，</w:t>
      </w:r>
      <w:r>
        <w:rPr>
          <w:highlight w:val="none"/>
        </w:rPr>
        <w:t>其中h为管线中心埋深，单位为毫米</w:t>
      </w:r>
      <w:r>
        <w:rPr>
          <w:rFonts w:hint="eastAsia"/>
          <w:highlight w:val="none"/>
        </w:rPr>
        <w:t>；</w:t>
      </w:r>
    </w:p>
    <w:p>
      <w:pPr>
        <w:pStyle w:val="238"/>
        <w:ind w:firstLine="600" w:firstLineChars="250"/>
        <w:rPr>
          <w:highlight w:val="none"/>
        </w:rPr>
      </w:pPr>
      <w:r>
        <w:rPr>
          <w:rFonts w:hint="eastAsia" w:ascii="仿宋" w:hAnsi="仿宋" w:cs="仿宋"/>
          <w:highlight w:val="none"/>
        </w:rPr>
        <w:t>2）</w:t>
      </w:r>
      <w:r>
        <w:rPr>
          <w:rFonts w:hint="eastAsia"/>
          <w:highlight w:val="none"/>
        </w:rPr>
        <w:t>隐蔽管线点的平面位置探查中误差和埋深探查中误差分别不应大于0.05h和0.075h，其中h为管线中心埋深，单位为毫米，当h&lt;1000mm时以1000mm代入计算；</w:t>
      </w:r>
    </w:p>
    <w:p>
      <w:pPr>
        <w:pStyle w:val="238"/>
        <w:ind w:firstLine="600" w:firstLineChars="250"/>
        <w:rPr>
          <w:rFonts w:cs="仿宋"/>
          <w:highlight w:val="none"/>
        </w:rPr>
      </w:pPr>
      <w:r>
        <w:rPr>
          <w:rFonts w:hint="eastAsia" w:ascii="仿宋" w:hAnsi="仿宋" w:cs="仿宋"/>
          <w:highlight w:val="none"/>
        </w:rPr>
        <w:t>3）地下管线点的平面位置测量中误差不应大于50mm（相对于该管线点起算点），高程测量中误差不应大于30mm（相对于该管线点起算点）。</w:t>
      </w:r>
    </w:p>
    <w:p>
      <w:pPr>
        <w:spacing w:line="360" w:lineRule="auto"/>
        <w:ind w:firstLine="480" w:firstLineChars="200"/>
        <w:rPr>
          <w:rFonts w:ascii="宋体" w:hAnsi="宋体"/>
          <w:sz w:val="24"/>
          <w:highlight w:val="none"/>
        </w:rPr>
      </w:pPr>
      <w:r>
        <w:rPr>
          <w:rFonts w:hint="eastAsia" w:ascii="宋体" w:hAnsi="宋体"/>
          <w:sz w:val="24"/>
          <w:highlight w:val="none"/>
        </w:rPr>
        <w:t>3．分幅标准及编号</w:t>
      </w:r>
    </w:p>
    <w:p>
      <w:pPr>
        <w:pStyle w:val="238"/>
        <w:rPr>
          <w:highlight w:val="none"/>
        </w:rPr>
      </w:pPr>
      <w:r>
        <w:rPr>
          <w:rFonts w:hint="eastAsia"/>
          <w:highlight w:val="none"/>
        </w:rPr>
        <w:t>地下管线成图比例尺为1:500，分幅按附录K《成都市1:500  1:1000  1:2000地形图分幅技术规定（2020）》规定执行。</w:t>
      </w:r>
    </w:p>
    <w:p>
      <w:pPr>
        <w:spacing w:line="360" w:lineRule="auto"/>
        <w:ind w:firstLine="480" w:firstLineChars="200"/>
        <w:rPr>
          <w:rFonts w:ascii="宋体" w:hAnsi="宋体"/>
          <w:sz w:val="24"/>
          <w:highlight w:val="none"/>
        </w:rPr>
      </w:pPr>
      <w:r>
        <w:rPr>
          <w:rFonts w:hint="eastAsia" w:ascii="宋体" w:hAnsi="宋体"/>
          <w:sz w:val="24"/>
          <w:highlight w:val="none"/>
        </w:rPr>
        <w:t>4．地下管线普查的数据成果应</w:t>
      </w:r>
      <w:r>
        <w:rPr>
          <w:rFonts w:ascii="宋体" w:hAnsi="宋体"/>
          <w:sz w:val="24"/>
          <w:highlight w:val="none"/>
        </w:rPr>
        <w:t>满足</w:t>
      </w:r>
      <w:r>
        <w:rPr>
          <w:rFonts w:hint="eastAsia" w:ascii="宋体" w:hAnsi="宋体"/>
          <w:sz w:val="24"/>
          <w:highlight w:val="none"/>
        </w:rPr>
        <w:t>附录A</w:t>
      </w:r>
      <w:r>
        <w:rPr>
          <w:rFonts w:ascii="宋体" w:hAnsi="宋体"/>
          <w:sz w:val="24"/>
          <w:highlight w:val="none"/>
        </w:rPr>
        <w:t>的要求。</w:t>
      </w:r>
    </w:p>
    <w:p>
      <w:pPr>
        <w:spacing w:line="360" w:lineRule="auto"/>
        <w:outlineLvl w:val="4"/>
        <w:rPr>
          <w:rFonts w:ascii="Times New Roman" w:hAnsi="Times New Roman"/>
          <w:b/>
          <w:bCs/>
          <w:sz w:val="24"/>
          <w:highlight w:val="none"/>
        </w:rPr>
      </w:pPr>
      <w:r>
        <w:rPr>
          <w:rFonts w:ascii="Times New Roman" w:hAnsi="Times New Roman"/>
          <w:b/>
          <w:bCs/>
          <w:sz w:val="24"/>
          <w:highlight w:val="none"/>
        </w:rPr>
        <w:t>4.3.1.3.5.2地下管线现况调绘</w:t>
      </w:r>
    </w:p>
    <w:p>
      <w:pPr>
        <w:pStyle w:val="238"/>
        <w:rPr>
          <w:rFonts w:ascii="Times New Roman" w:hAnsi="Times New Roman"/>
          <w:highlight w:val="none"/>
        </w:rPr>
      </w:pPr>
      <w:r>
        <w:rPr>
          <w:rFonts w:ascii="Times New Roman" w:hAnsi="Times New Roman"/>
          <w:highlight w:val="none"/>
        </w:rPr>
        <w:t>普查作业单位应以已分发工作底图为基础，补充和完善其他已有地下管线资料的收集及整理，编绘地下管线现状调绘图。地下管线现状调绘应在地下管线普查工作开展前完成。</w:t>
      </w:r>
    </w:p>
    <w:p>
      <w:pPr>
        <w:spacing w:line="360" w:lineRule="auto"/>
        <w:outlineLvl w:val="4"/>
        <w:rPr>
          <w:rFonts w:ascii="Times New Roman" w:hAnsi="Times New Roman"/>
          <w:b/>
          <w:bCs/>
          <w:sz w:val="24"/>
          <w:highlight w:val="none"/>
        </w:rPr>
      </w:pPr>
      <w:r>
        <w:rPr>
          <w:rFonts w:ascii="Times New Roman" w:hAnsi="Times New Roman"/>
          <w:b/>
          <w:bCs/>
          <w:sz w:val="24"/>
          <w:highlight w:val="none"/>
        </w:rPr>
        <w:t>4.3.1.3.5.3现场踏勘</w:t>
      </w:r>
    </w:p>
    <w:p>
      <w:pPr>
        <w:pStyle w:val="238"/>
        <w:rPr>
          <w:rFonts w:ascii="Times New Roman" w:hAnsi="Times New Roman"/>
          <w:highlight w:val="none"/>
        </w:rPr>
      </w:pPr>
      <w:r>
        <w:rPr>
          <w:rFonts w:ascii="Times New Roman" w:hAnsi="Times New Roman"/>
          <w:highlight w:val="none"/>
        </w:rPr>
        <w:t>普查作业单位在开展地下管线普查更新工作前，应组织主要技术人员对项目进行现场踏勘。主要核查收集地下管线资料、地形图的现势性、可信度及可利用程度，并核查测区内测量控制点的位置和保存情况，现场观察测区地物、地貌、交通情况、气候条件、地球物理特征及可能的干扰因素。</w:t>
      </w:r>
    </w:p>
    <w:p>
      <w:pPr>
        <w:spacing w:line="360" w:lineRule="auto"/>
        <w:outlineLvl w:val="4"/>
        <w:rPr>
          <w:rFonts w:ascii="Times New Roman" w:hAnsi="Times New Roman"/>
          <w:b/>
          <w:bCs/>
          <w:sz w:val="24"/>
          <w:highlight w:val="none"/>
        </w:rPr>
      </w:pPr>
      <w:r>
        <w:rPr>
          <w:rFonts w:ascii="Times New Roman" w:hAnsi="Times New Roman"/>
          <w:b/>
          <w:bCs/>
          <w:sz w:val="24"/>
          <w:highlight w:val="none"/>
        </w:rPr>
        <w:t>4.3.1.3.5.4仪器校验及方法试验</w:t>
      </w:r>
    </w:p>
    <w:p>
      <w:pPr>
        <w:pStyle w:val="238"/>
        <w:rPr>
          <w:highlight w:val="none"/>
        </w:rPr>
      </w:pPr>
      <w:r>
        <w:rPr>
          <w:rFonts w:hint="eastAsia"/>
          <w:highlight w:val="none"/>
        </w:rPr>
        <w:t>1．探查仪器在投入使用前应进行仪器校验及方法试验，仪器的校验包括稳定性校验及精度校验。仪器校验和方法试验应符合下列规定：</w:t>
      </w:r>
    </w:p>
    <w:p>
      <w:pPr>
        <w:pStyle w:val="238"/>
        <w:rPr>
          <w:highlight w:val="none"/>
        </w:rPr>
      </w:pPr>
      <w:r>
        <w:rPr>
          <w:rFonts w:hint="eastAsia"/>
          <w:highlight w:val="none"/>
        </w:rPr>
        <w:t>（1）</w:t>
      </w:r>
      <w:r>
        <w:rPr>
          <w:highlight w:val="none"/>
        </w:rPr>
        <w:t>试验场地和试验条件应具有代表性和针对性；</w:t>
      </w:r>
    </w:p>
    <w:p>
      <w:pPr>
        <w:pStyle w:val="238"/>
        <w:rPr>
          <w:highlight w:val="none"/>
        </w:rPr>
      </w:pPr>
      <w:r>
        <w:rPr>
          <w:rFonts w:hint="eastAsia"/>
          <w:highlight w:val="none"/>
        </w:rPr>
        <w:t>（2）</w:t>
      </w:r>
      <w:r>
        <w:rPr>
          <w:highlight w:val="none"/>
        </w:rPr>
        <w:t>试验应在测区范围内的已知管线上进行；</w:t>
      </w:r>
    </w:p>
    <w:p>
      <w:pPr>
        <w:pStyle w:val="238"/>
        <w:rPr>
          <w:highlight w:val="none"/>
        </w:rPr>
      </w:pPr>
      <w:r>
        <w:rPr>
          <w:rFonts w:hint="eastAsia"/>
          <w:highlight w:val="none"/>
        </w:rPr>
        <w:t>（3）</w:t>
      </w:r>
      <w:r>
        <w:rPr>
          <w:highlight w:val="none"/>
        </w:rPr>
        <w:t>试验应针对不同类型、不同埋深的管线和不同地球物理条件分别进行；</w:t>
      </w:r>
    </w:p>
    <w:p>
      <w:pPr>
        <w:pStyle w:val="238"/>
        <w:rPr>
          <w:highlight w:val="none"/>
        </w:rPr>
      </w:pPr>
      <w:r>
        <w:rPr>
          <w:rFonts w:hint="eastAsia"/>
          <w:highlight w:val="none"/>
        </w:rPr>
        <w:t>（4）</w:t>
      </w:r>
      <w:r>
        <w:rPr>
          <w:highlight w:val="none"/>
        </w:rPr>
        <w:t>拟投入使用的不同类型、不同型号的探查仪器均应参与试验。</w:t>
      </w:r>
    </w:p>
    <w:p>
      <w:pPr>
        <w:pStyle w:val="238"/>
        <w:rPr>
          <w:highlight w:val="none"/>
        </w:rPr>
      </w:pPr>
      <w:r>
        <w:rPr>
          <w:rFonts w:hint="eastAsia"/>
          <w:highlight w:val="none"/>
        </w:rPr>
        <w:t>2．通过试验结果的验证和校核，评价、确定有效的探查方法和技术参数，并编写方法试验报告。</w:t>
      </w:r>
    </w:p>
    <w:p>
      <w:pPr>
        <w:pStyle w:val="238"/>
        <w:rPr>
          <w:highlight w:val="none"/>
        </w:rPr>
      </w:pPr>
      <w:r>
        <w:rPr>
          <w:rFonts w:hint="eastAsia"/>
          <w:highlight w:val="none"/>
        </w:rPr>
        <w:t>3．经校验不合格的探查仪器不得投入使用。</w:t>
      </w:r>
    </w:p>
    <w:p>
      <w:pPr>
        <w:spacing w:line="360" w:lineRule="auto"/>
        <w:outlineLvl w:val="4"/>
        <w:rPr>
          <w:rFonts w:ascii="Times New Roman" w:hAnsi="Times New Roman"/>
          <w:b/>
          <w:bCs/>
          <w:sz w:val="24"/>
          <w:highlight w:val="none"/>
        </w:rPr>
      </w:pPr>
      <w:r>
        <w:rPr>
          <w:rFonts w:ascii="Times New Roman" w:hAnsi="Times New Roman"/>
          <w:b/>
          <w:bCs/>
          <w:sz w:val="24"/>
          <w:highlight w:val="none"/>
        </w:rPr>
        <w:t>4.3.1.3.5.5技术设计书编制</w:t>
      </w:r>
    </w:p>
    <w:p>
      <w:pPr>
        <w:pStyle w:val="238"/>
        <w:rPr>
          <w:highlight w:val="none"/>
        </w:rPr>
      </w:pPr>
      <w:r>
        <w:rPr>
          <w:rFonts w:hint="eastAsia"/>
          <w:highlight w:val="none"/>
        </w:rPr>
        <w:t>1．普查作业单位应在资料收集与分析、现场踏勘、仪器校验与方法试验的基础上编制技术设计书。技术设计书内容应包括：</w:t>
      </w:r>
    </w:p>
    <w:p>
      <w:pPr>
        <w:pStyle w:val="238"/>
        <w:rPr>
          <w:highlight w:val="none"/>
        </w:rPr>
      </w:pPr>
      <w:r>
        <w:rPr>
          <w:rFonts w:hint="eastAsia"/>
          <w:highlight w:val="none"/>
        </w:rPr>
        <w:t>（1）</w:t>
      </w:r>
      <w:r>
        <w:rPr>
          <w:highlight w:val="none"/>
        </w:rPr>
        <w:t>工程概述：任务来源、工作目的与任务、工作量、作业范围、作业内容和完成期限等情况；</w:t>
      </w:r>
    </w:p>
    <w:p>
      <w:pPr>
        <w:pStyle w:val="238"/>
        <w:rPr>
          <w:highlight w:val="none"/>
        </w:rPr>
      </w:pPr>
      <w:r>
        <w:rPr>
          <w:rFonts w:hint="eastAsia"/>
          <w:highlight w:val="none"/>
        </w:rPr>
        <w:t>（2）</w:t>
      </w:r>
      <w:r>
        <w:rPr>
          <w:highlight w:val="none"/>
        </w:rPr>
        <w:t>测区概况：说明工作环境条件及地球物理条件等情况；</w:t>
      </w:r>
    </w:p>
    <w:p>
      <w:pPr>
        <w:pStyle w:val="238"/>
        <w:rPr>
          <w:highlight w:val="none"/>
        </w:rPr>
      </w:pPr>
      <w:r>
        <w:rPr>
          <w:rFonts w:hint="eastAsia"/>
          <w:highlight w:val="none"/>
        </w:rPr>
        <w:t>（3）</w:t>
      </w:r>
      <w:r>
        <w:rPr>
          <w:highlight w:val="none"/>
        </w:rPr>
        <w:t>已有资料收集与利用情况；</w:t>
      </w:r>
    </w:p>
    <w:p>
      <w:pPr>
        <w:pStyle w:val="238"/>
        <w:rPr>
          <w:highlight w:val="none"/>
        </w:rPr>
      </w:pPr>
      <w:r>
        <w:rPr>
          <w:rFonts w:hint="eastAsia"/>
          <w:highlight w:val="none"/>
        </w:rPr>
        <w:t>（4）</w:t>
      </w:r>
      <w:r>
        <w:rPr>
          <w:highlight w:val="none"/>
        </w:rPr>
        <w:t>执行的标准、规范或其他技术文件；</w:t>
      </w:r>
    </w:p>
    <w:p>
      <w:pPr>
        <w:pStyle w:val="238"/>
        <w:rPr>
          <w:highlight w:val="none"/>
        </w:rPr>
      </w:pPr>
      <w:r>
        <w:rPr>
          <w:rFonts w:hint="eastAsia"/>
          <w:highlight w:val="none"/>
        </w:rPr>
        <w:t>（5）</w:t>
      </w:r>
      <w:r>
        <w:rPr>
          <w:highlight w:val="none"/>
        </w:rPr>
        <w:t>作业方法与技术措施要求；</w:t>
      </w:r>
    </w:p>
    <w:p>
      <w:pPr>
        <w:pStyle w:val="238"/>
        <w:rPr>
          <w:highlight w:val="none"/>
        </w:rPr>
      </w:pPr>
      <w:r>
        <w:rPr>
          <w:rFonts w:hint="eastAsia"/>
          <w:highlight w:val="none"/>
        </w:rPr>
        <w:t>（6）</w:t>
      </w:r>
      <w:r>
        <w:rPr>
          <w:highlight w:val="none"/>
        </w:rPr>
        <w:t>施工组织与进度计划；</w:t>
      </w:r>
    </w:p>
    <w:p>
      <w:pPr>
        <w:pStyle w:val="238"/>
        <w:rPr>
          <w:highlight w:val="none"/>
        </w:rPr>
      </w:pPr>
      <w:r>
        <w:rPr>
          <w:rFonts w:hint="eastAsia"/>
          <w:highlight w:val="none"/>
        </w:rPr>
        <w:t>（7）</w:t>
      </w:r>
      <w:r>
        <w:rPr>
          <w:highlight w:val="none"/>
        </w:rPr>
        <w:t>质量、安全和保密措施；</w:t>
      </w:r>
    </w:p>
    <w:p>
      <w:pPr>
        <w:pStyle w:val="238"/>
        <w:rPr>
          <w:highlight w:val="none"/>
        </w:rPr>
      </w:pPr>
      <w:r>
        <w:rPr>
          <w:rFonts w:hint="eastAsia"/>
          <w:highlight w:val="none"/>
        </w:rPr>
        <w:t>（8）</w:t>
      </w:r>
      <w:r>
        <w:rPr>
          <w:highlight w:val="none"/>
        </w:rPr>
        <w:t>拟提交的成果资料；</w:t>
      </w:r>
    </w:p>
    <w:p>
      <w:pPr>
        <w:pStyle w:val="238"/>
        <w:rPr>
          <w:highlight w:val="none"/>
        </w:rPr>
      </w:pPr>
      <w:r>
        <w:rPr>
          <w:rFonts w:hint="eastAsia"/>
          <w:highlight w:val="none"/>
        </w:rPr>
        <w:t>（9）</w:t>
      </w:r>
      <w:r>
        <w:rPr>
          <w:highlight w:val="none"/>
        </w:rPr>
        <w:t>有关的设计图表。</w:t>
      </w:r>
    </w:p>
    <w:p>
      <w:pPr>
        <w:spacing w:line="360" w:lineRule="auto"/>
        <w:ind w:firstLine="480" w:firstLineChars="200"/>
        <w:rPr>
          <w:rFonts w:ascii="宋体" w:hAnsi="宋体"/>
          <w:sz w:val="24"/>
          <w:highlight w:val="none"/>
        </w:rPr>
      </w:pPr>
      <w:r>
        <w:rPr>
          <w:rFonts w:hint="eastAsia" w:ascii="宋体" w:hAnsi="宋体"/>
          <w:sz w:val="24"/>
          <w:highlight w:val="none"/>
        </w:rPr>
        <w:t>2．技术设计书编制完成后由监理单位和区（市）县审批后实施。</w:t>
      </w:r>
    </w:p>
    <w:p>
      <w:pPr>
        <w:pStyle w:val="7"/>
        <w:rPr>
          <w:rFonts w:ascii="宋体" w:hAnsi="宋体"/>
          <w:sz w:val="24"/>
          <w:highlight w:val="none"/>
        </w:rPr>
      </w:pPr>
      <w:r>
        <w:rPr>
          <w:rFonts w:hint="eastAsia" w:ascii="宋体" w:hAnsi="宋体"/>
          <w:sz w:val="24"/>
          <w:highlight w:val="none"/>
        </w:rPr>
        <w:t>4.3.1.3.6 地下管线普查探测</w:t>
      </w:r>
    </w:p>
    <w:p>
      <w:pPr>
        <w:spacing w:line="360" w:lineRule="auto"/>
        <w:outlineLvl w:val="4"/>
        <w:rPr>
          <w:rFonts w:ascii="宋体" w:hAnsi="宋体"/>
          <w:b/>
          <w:bCs/>
          <w:sz w:val="24"/>
          <w:highlight w:val="none"/>
        </w:rPr>
      </w:pPr>
      <w:r>
        <w:rPr>
          <w:rFonts w:ascii="宋体" w:hAnsi="宋体"/>
          <w:b/>
          <w:bCs/>
          <w:sz w:val="24"/>
          <w:highlight w:val="none"/>
        </w:rPr>
        <w:t>4.3.1.</w:t>
      </w:r>
      <w:r>
        <w:rPr>
          <w:rFonts w:hint="eastAsia" w:ascii="宋体" w:hAnsi="宋体"/>
          <w:b/>
          <w:bCs/>
          <w:sz w:val="24"/>
          <w:highlight w:val="none"/>
        </w:rPr>
        <w:t>3.6</w:t>
      </w:r>
      <w:r>
        <w:rPr>
          <w:rFonts w:ascii="宋体" w:hAnsi="宋体"/>
          <w:b/>
          <w:bCs/>
          <w:sz w:val="24"/>
          <w:highlight w:val="none"/>
        </w:rPr>
        <w:t>.</w:t>
      </w:r>
      <w:r>
        <w:rPr>
          <w:rFonts w:hint="eastAsia" w:ascii="宋体" w:hAnsi="宋体"/>
          <w:b/>
          <w:bCs/>
          <w:sz w:val="24"/>
          <w:highlight w:val="none"/>
        </w:rPr>
        <w:t>1一般规定</w:t>
      </w:r>
    </w:p>
    <w:p>
      <w:pPr>
        <w:pStyle w:val="238"/>
        <w:rPr>
          <w:highlight w:val="none"/>
        </w:rPr>
      </w:pPr>
      <w:r>
        <w:rPr>
          <w:rFonts w:hint="eastAsia"/>
          <w:highlight w:val="none"/>
        </w:rPr>
        <w:t>1.地下管线普查探测相关工作由普查作业单位负责实施，普查探测方式包括全野外探测和内外业结合核实探测两种，主要工作内容包括地下管线探查和地下管线测量。</w:t>
      </w:r>
    </w:p>
    <w:p>
      <w:pPr>
        <w:pStyle w:val="238"/>
        <w:rPr>
          <w:highlight w:val="none"/>
        </w:rPr>
      </w:pPr>
      <w:r>
        <w:rPr>
          <w:rFonts w:hint="eastAsia"/>
          <w:highlight w:val="none"/>
        </w:rPr>
        <w:t>2.地下管线探查是在充分收集、分析已有相关资料的基础上，采用实地调查和仪器探查相结合的方式，查明各种专业管线的敷设状况、平面位置、埋深和相关属性，在地面上设置管线点标志，绘制探查草图。</w:t>
      </w:r>
    </w:p>
    <w:p>
      <w:pPr>
        <w:pStyle w:val="238"/>
        <w:rPr>
          <w:highlight w:val="none"/>
        </w:rPr>
      </w:pPr>
      <w:r>
        <w:rPr>
          <w:rFonts w:hint="eastAsia"/>
          <w:highlight w:val="none"/>
        </w:rPr>
        <w:t>3.地下管线探查应查清各种地下管线的敷设状况、在地面上的投影位置和埋深，同时应查明管线种类、性质、规格、材质、载体、流向、电缆根数和附属设施、管径、埋设方式、平面位置、埋深、高程、走向、连接方式、所属道路、权属单位、建设时间、运行时间、管线特征、地面附属设施以及相关场站等信息。</w:t>
      </w:r>
    </w:p>
    <w:p>
      <w:pPr>
        <w:pStyle w:val="238"/>
        <w:rPr>
          <w:highlight w:val="none"/>
        </w:rPr>
      </w:pPr>
      <w:r>
        <w:rPr>
          <w:highlight w:val="none"/>
        </w:rPr>
        <w:t>4</w:t>
      </w:r>
      <w:r>
        <w:rPr>
          <w:rFonts w:hint="eastAsia"/>
          <w:highlight w:val="none"/>
        </w:rPr>
        <w:t>.</w:t>
      </w:r>
      <w:r>
        <w:rPr>
          <w:highlight w:val="none"/>
        </w:rPr>
        <w:t>管线点</w:t>
      </w:r>
      <w:r>
        <w:rPr>
          <w:rFonts w:hint="eastAsia"/>
          <w:highlight w:val="none"/>
        </w:rPr>
        <w:t>应</w:t>
      </w:r>
      <w:r>
        <w:rPr>
          <w:highlight w:val="none"/>
        </w:rPr>
        <w:t>设置在管线特征点</w:t>
      </w:r>
      <w:r>
        <w:rPr>
          <w:rFonts w:hint="eastAsia"/>
          <w:highlight w:val="none"/>
        </w:rPr>
        <w:t>对应</w:t>
      </w:r>
      <w:r>
        <w:rPr>
          <w:highlight w:val="none"/>
        </w:rPr>
        <w:t>地面的投影位置上</w:t>
      </w:r>
      <w:r>
        <w:rPr>
          <w:rFonts w:hint="eastAsia"/>
          <w:highlight w:val="none"/>
        </w:rPr>
        <w:t>或附属设施中心点上</w:t>
      </w:r>
      <w:r>
        <w:rPr>
          <w:highlight w:val="none"/>
        </w:rPr>
        <w:t>。</w:t>
      </w:r>
      <w:r>
        <w:rPr>
          <w:rFonts w:hint="eastAsia"/>
          <w:highlight w:val="none"/>
        </w:rPr>
        <w:t>管线点编号应以不影响市容市貌的原则</w:t>
      </w:r>
      <w:r>
        <w:rPr>
          <w:highlight w:val="none"/>
        </w:rPr>
        <w:t>标注于</w:t>
      </w:r>
      <w:r>
        <w:rPr>
          <w:rFonts w:hint="eastAsia"/>
          <w:highlight w:val="none"/>
        </w:rPr>
        <w:t>点位附近。</w:t>
      </w:r>
      <w:r>
        <w:rPr>
          <w:highlight w:val="none"/>
        </w:rPr>
        <w:t>在平面位置相同的变深点处，应定测为两个点。</w:t>
      </w:r>
    </w:p>
    <w:p>
      <w:pPr>
        <w:pStyle w:val="238"/>
        <w:rPr>
          <w:highlight w:val="none"/>
        </w:rPr>
      </w:pPr>
      <w:r>
        <w:rPr>
          <w:highlight w:val="none"/>
        </w:rPr>
        <w:t>5</w:t>
      </w:r>
      <w:r>
        <w:rPr>
          <w:rFonts w:hint="eastAsia"/>
          <w:highlight w:val="none"/>
        </w:rPr>
        <w:t>.</w:t>
      </w:r>
      <w:r>
        <w:rPr>
          <w:highlight w:val="none"/>
        </w:rPr>
        <w:t>管线点分为明显管线点和隐蔽管线点。明显管线点采用实地调查、量测的方式获取管线数据，隐蔽管线点则采用仪器探查获取管线点地面投影位置和埋深。</w:t>
      </w:r>
    </w:p>
    <w:p>
      <w:pPr>
        <w:pStyle w:val="238"/>
        <w:rPr>
          <w:highlight w:val="none"/>
        </w:rPr>
      </w:pPr>
      <w:r>
        <w:rPr>
          <w:highlight w:val="none"/>
        </w:rPr>
        <w:t>6</w:t>
      </w:r>
      <w:r>
        <w:rPr>
          <w:rFonts w:hint="eastAsia"/>
          <w:highlight w:val="none"/>
        </w:rPr>
        <w:t>.检查井应实地采集井盖形状、井盖材质、井盖尺寸、井脖深、井室类型、井室材质、井室规格等属性信息。</w:t>
      </w:r>
    </w:p>
    <w:p>
      <w:pPr>
        <w:pStyle w:val="238"/>
        <w:rPr>
          <w:highlight w:val="none"/>
        </w:rPr>
      </w:pPr>
      <w:r>
        <w:rPr>
          <w:highlight w:val="none"/>
        </w:rPr>
        <w:t>7</w:t>
      </w:r>
      <w:r>
        <w:rPr>
          <w:rFonts w:hint="eastAsia"/>
          <w:highlight w:val="none"/>
        </w:rPr>
        <w:t>.管线直线段上，管线点间距不应大于图上15c</w:t>
      </w:r>
      <w:r>
        <w:rPr>
          <w:highlight w:val="none"/>
        </w:rPr>
        <w:t>m</w:t>
      </w:r>
      <w:r>
        <w:rPr>
          <w:rFonts w:hint="eastAsia"/>
          <w:highlight w:val="none"/>
        </w:rPr>
        <w:t>，在管线弧形段上，管点连线偏离管线实际位置0.2米时应适当增加管线点的设置，以能反映管线弯曲特征。</w:t>
      </w:r>
    </w:p>
    <w:p>
      <w:pPr>
        <w:pStyle w:val="238"/>
        <w:rPr>
          <w:highlight w:val="none"/>
        </w:rPr>
      </w:pPr>
      <w:r>
        <w:rPr>
          <w:highlight w:val="none"/>
        </w:rPr>
        <w:t>8</w:t>
      </w:r>
      <w:r>
        <w:rPr>
          <w:rFonts w:hint="eastAsia"/>
          <w:highlight w:val="none"/>
        </w:rPr>
        <w:t>.</w:t>
      </w:r>
      <w:r>
        <w:rPr>
          <w:highlight w:val="none"/>
        </w:rPr>
        <w:t>检</w:t>
      </w:r>
      <w:r>
        <w:rPr>
          <w:rFonts w:hint="eastAsia"/>
          <w:highlight w:val="none"/>
        </w:rPr>
        <w:t>修</w:t>
      </w:r>
      <w:r>
        <w:rPr>
          <w:highlight w:val="none"/>
        </w:rPr>
        <w:t>井应在其中心设置管线点，其他附属设施的管线点应设置在其地面投影的几何中心；综合管廊（沟）应在其几何中心线上设置管线点。</w:t>
      </w:r>
    </w:p>
    <w:p>
      <w:pPr>
        <w:pStyle w:val="238"/>
        <w:rPr>
          <w:highlight w:val="none"/>
        </w:rPr>
      </w:pPr>
      <w:r>
        <w:rPr>
          <w:highlight w:val="none"/>
        </w:rPr>
        <w:t>9</w:t>
      </w:r>
      <w:r>
        <w:rPr>
          <w:rFonts w:hint="eastAsia"/>
          <w:highlight w:val="none"/>
        </w:rPr>
        <w:t>.</w:t>
      </w:r>
      <w:r>
        <w:rPr>
          <w:highlight w:val="none"/>
        </w:rPr>
        <w:t>当管线附属设施的管线点偏离管线中心线在地面的投影位置，偏距大于或等于0.2m时，应量测和记录偏距，并分别设置管线点</w:t>
      </w:r>
      <w:r>
        <w:rPr>
          <w:rFonts w:hint="eastAsia"/>
          <w:highlight w:val="none"/>
        </w:rPr>
        <w:t>，此时，检查井应备注为“偏心井”</w:t>
      </w:r>
      <w:r>
        <w:rPr>
          <w:highlight w:val="none"/>
        </w:rPr>
        <w:t>。</w:t>
      </w:r>
    </w:p>
    <w:p>
      <w:pPr>
        <w:pStyle w:val="238"/>
        <w:rPr>
          <w:highlight w:val="none"/>
        </w:rPr>
      </w:pPr>
      <w:r>
        <w:rPr>
          <w:highlight w:val="none"/>
        </w:rPr>
        <w:t>10</w:t>
      </w:r>
      <w:r>
        <w:rPr>
          <w:rFonts w:hint="eastAsia"/>
          <w:highlight w:val="none"/>
        </w:rPr>
        <w:t>.井室面积大于</w:t>
      </w:r>
      <w:r>
        <w:rPr>
          <w:highlight w:val="none"/>
        </w:rPr>
        <w:t>2</w:t>
      </w:r>
      <w:r>
        <w:rPr>
          <w:rStyle w:val="240"/>
          <w:highlight w:val="none"/>
          <w:lang w:eastAsia="zh-CN"/>
        </w:rPr>
        <w:t>m</w:t>
      </w:r>
      <w:r>
        <w:rPr>
          <w:rStyle w:val="241"/>
          <w:szCs w:val="24"/>
          <w:highlight w:val="none"/>
          <w:vertAlign w:val="superscript"/>
        </w:rPr>
        <w:t>2</w:t>
      </w:r>
      <w:r>
        <w:rPr>
          <w:rFonts w:hint="eastAsia"/>
          <w:highlight w:val="none"/>
        </w:rPr>
        <w:t>时应实测检查井室的实际范围，线缆类和排水类管线应在进出检查井的实际位置设置管线点。</w:t>
      </w:r>
    </w:p>
    <w:p>
      <w:pPr>
        <w:pStyle w:val="238"/>
        <w:rPr>
          <w:highlight w:val="none"/>
        </w:rPr>
      </w:pPr>
      <w:r>
        <w:rPr>
          <w:rFonts w:hint="eastAsia"/>
          <w:highlight w:val="none"/>
        </w:rPr>
        <w:t>1</w:t>
      </w:r>
      <w:r>
        <w:rPr>
          <w:highlight w:val="none"/>
        </w:rPr>
        <w:t>1</w:t>
      </w:r>
      <w:r>
        <w:rPr>
          <w:rFonts w:hint="eastAsia"/>
          <w:highlight w:val="none"/>
        </w:rPr>
        <w:t>.当各类可开启的地下管线检查井、阀门、手孔、凝水缸等附属设施内部淤积掩埋或覆盖地下管线，导致无法直接量测时，应采用其他方法查明其埋深，并在记录上注明量测方法。</w:t>
      </w:r>
    </w:p>
    <w:p>
      <w:pPr>
        <w:pStyle w:val="238"/>
        <w:rPr>
          <w:highlight w:val="none"/>
        </w:rPr>
      </w:pPr>
      <w:r>
        <w:rPr>
          <w:highlight w:val="none"/>
        </w:rPr>
        <w:t>12</w:t>
      </w:r>
      <w:r>
        <w:rPr>
          <w:rFonts w:hint="eastAsia"/>
          <w:highlight w:val="none"/>
        </w:rPr>
        <w:t>.综合管廊调查</w:t>
      </w:r>
    </w:p>
    <w:p>
      <w:pPr>
        <w:pStyle w:val="238"/>
        <w:rPr>
          <w:highlight w:val="none"/>
        </w:rPr>
      </w:pPr>
      <w:r>
        <w:rPr>
          <w:rFonts w:hint="eastAsia"/>
          <w:highlight w:val="none"/>
        </w:rPr>
        <w:t>（1）矩形管廊（沟、管块）量测断面内壁的宽和高；</w:t>
      </w:r>
    </w:p>
    <w:p>
      <w:pPr>
        <w:pStyle w:val="238"/>
        <w:rPr>
          <w:highlight w:val="none"/>
        </w:rPr>
      </w:pPr>
      <w:r>
        <w:rPr>
          <w:rFonts w:hint="eastAsia"/>
          <w:highlight w:val="none"/>
        </w:rPr>
        <w:t>（</w:t>
      </w:r>
      <w:r>
        <w:rPr>
          <w:highlight w:val="none"/>
        </w:rPr>
        <w:t>2</w:t>
      </w:r>
      <w:r>
        <w:rPr>
          <w:rFonts w:hint="eastAsia"/>
          <w:highlight w:val="none"/>
        </w:rPr>
        <w:t>）综合管廊（沟、管块）应在其几何中心线上设置管线点；</w:t>
      </w:r>
    </w:p>
    <w:p>
      <w:pPr>
        <w:pStyle w:val="238"/>
        <w:rPr>
          <w:highlight w:val="none"/>
        </w:rPr>
      </w:pPr>
      <w:r>
        <w:rPr>
          <w:rFonts w:hint="eastAsia"/>
          <w:highlight w:val="none"/>
        </w:rPr>
        <w:t>（3）综合管廊（沟、管块）内铺设的地下管线分类进行探查。</w:t>
      </w:r>
    </w:p>
    <w:p>
      <w:pPr>
        <w:pStyle w:val="238"/>
        <w:rPr>
          <w:highlight w:val="none"/>
        </w:rPr>
      </w:pPr>
      <w:r>
        <w:rPr>
          <w:highlight w:val="none"/>
        </w:rPr>
        <w:t>13</w:t>
      </w:r>
      <w:r>
        <w:rPr>
          <w:rFonts w:hint="eastAsia"/>
          <w:highlight w:val="none"/>
        </w:rPr>
        <w:t>.地下管线测量主要包括控制测量、管线点测量。</w:t>
      </w:r>
    </w:p>
    <w:p>
      <w:pPr>
        <w:pStyle w:val="238"/>
        <w:rPr>
          <w:highlight w:val="none"/>
        </w:rPr>
      </w:pPr>
      <w:r>
        <w:rPr>
          <w:highlight w:val="none"/>
        </w:rPr>
        <w:t>14</w:t>
      </w:r>
      <w:r>
        <w:rPr>
          <w:rFonts w:hint="eastAsia"/>
          <w:highlight w:val="none"/>
        </w:rPr>
        <w:t>.地下管线普查探测实地测量埋深采用计量器直接量测，以m为单位，量测结果精确到小数点后两位。</w:t>
      </w:r>
    </w:p>
    <w:p>
      <w:pPr>
        <w:pStyle w:val="238"/>
        <w:rPr>
          <w:highlight w:val="none"/>
        </w:rPr>
      </w:pPr>
      <w:r>
        <w:rPr>
          <w:highlight w:val="none"/>
        </w:rPr>
        <w:t>15</w:t>
      </w:r>
      <w:r>
        <w:rPr>
          <w:rFonts w:hint="eastAsia"/>
          <w:highlight w:val="none"/>
        </w:rPr>
        <w:t>.管线探查草图绘制</w:t>
      </w:r>
    </w:p>
    <w:p>
      <w:pPr>
        <w:pStyle w:val="238"/>
        <w:rPr>
          <w:rFonts w:ascii="仿宋" w:hAnsi="仿宋" w:cs="仿宋"/>
          <w:highlight w:val="none"/>
        </w:rPr>
      </w:pPr>
      <w:r>
        <w:rPr>
          <w:rFonts w:hint="eastAsia"/>
          <w:highlight w:val="none"/>
        </w:rPr>
        <w:t>（1）</w:t>
      </w:r>
      <w:r>
        <w:rPr>
          <w:rFonts w:hint="eastAsia" w:ascii="仿宋" w:hAnsi="仿宋" w:cs="仿宋"/>
          <w:highlight w:val="none"/>
        </w:rPr>
        <w:t>探查草图应根据现场探查的结果在1:500地形图上绘制；</w:t>
      </w:r>
    </w:p>
    <w:p>
      <w:pPr>
        <w:pStyle w:val="238"/>
        <w:rPr>
          <w:rFonts w:ascii="仿宋" w:hAnsi="仿宋" w:cs="仿宋"/>
          <w:highlight w:val="none"/>
        </w:rPr>
      </w:pPr>
      <w:r>
        <w:rPr>
          <w:rFonts w:hint="eastAsia"/>
          <w:highlight w:val="none"/>
        </w:rPr>
        <w:t>（</w:t>
      </w:r>
      <w:r>
        <w:rPr>
          <w:highlight w:val="none"/>
        </w:rPr>
        <w:t>2</w:t>
      </w:r>
      <w:r>
        <w:rPr>
          <w:rFonts w:hint="eastAsia"/>
          <w:highlight w:val="none"/>
        </w:rPr>
        <w:t>）</w:t>
      </w:r>
      <w:r>
        <w:rPr>
          <w:rFonts w:hint="eastAsia" w:ascii="仿宋" w:hAnsi="仿宋" w:cs="仿宋"/>
          <w:highlight w:val="none"/>
        </w:rPr>
        <w:t>探查草图的管线图式按附录A规定的要求进行，管线点与周围地物、管线点的相对位置要准确。</w:t>
      </w:r>
    </w:p>
    <w:p>
      <w:pPr>
        <w:pStyle w:val="238"/>
        <w:rPr>
          <w:highlight w:val="none"/>
        </w:rPr>
      </w:pPr>
      <w:r>
        <w:rPr>
          <w:highlight w:val="none"/>
        </w:rPr>
        <w:t>16</w:t>
      </w:r>
      <w:r>
        <w:rPr>
          <w:rFonts w:hint="eastAsia"/>
          <w:highlight w:val="none"/>
        </w:rPr>
        <w:t>.相邻测区分批提交的数据应做好接边处理，接边内容包括管线空间位置和管线属性。测区间接边采用</w:t>
      </w:r>
      <w:r>
        <w:rPr>
          <w:highlight w:val="none"/>
        </w:rPr>
        <w:t>重复点无缝接边，此点号相关数据由相邻测区提供，</w:t>
      </w:r>
      <w:r>
        <w:rPr>
          <w:rFonts w:hint="eastAsia"/>
          <w:highlight w:val="none"/>
        </w:rPr>
        <w:t>接边</w:t>
      </w:r>
      <w:r>
        <w:rPr>
          <w:highlight w:val="none"/>
        </w:rPr>
        <w:t>点</w:t>
      </w:r>
      <w:r>
        <w:rPr>
          <w:rFonts w:hint="eastAsia"/>
          <w:highlight w:val="none"/>
        </w:rPr>
        <w:t>在</w:t>
      </w:r>
      <w:r>
        <w:rPr>
          <w:highlight w:val="none"/>
        </w:rPr>
        <w:t>管线点属性库</w:t>
      </w:r>
      <w:r>
        <w:rPr>
          <w:rFonts w:hint="eastAsia"/>
          <w:highlight w:val="none"/>
        </w:rPr>
        <w:t>“是否接边点”栏</w:t>
      </w:r>
      <w:r>
        <w:rPr>
          <w:highlight w:val="none"/>
        </w:rPr>
        <w:t>填写</w:t>
      </w:r>
      <w:r>
        <w:rPr>
          <w:rFonts w:hint="eastAsia"/>
          <w:highlight w:val="none"/>
        </w:rPr>
        <w:t>“是”</w:t>
      </w:r>
      <w:r>
        <w:rPr>
          <w:highlight w:val="none"/>
        </w:rPr>
        <w:t>。</w:t>
      </w:r>
    </w:p>
    <w:p>
      <w:pPr>
        <w:pStyle w:val="238"/>
        <w:rPr>
          <w:highlight w:val="none"/>
        </w:rPr>
      </w:pPr>
      <w:r>
        <w:rPr>
          <w:highlight w:val="none"/>
        </w:rPr>
        <w:t>17</w:t>
      </w:r>
      <w:r>
        <w:rPr>
          <w:rFonts w:hint="eastAsia"/>
          <w:highlight w:val="none"/>
        </w:rPr>
        <w:t>.地铁建设区域管线调查</w:t>
      </w:r>
      <w:r>
        <w:rPr>
          <w:rFonts w:hint="eastAsia"/>
          <w:bCs/>
          <w:highlight w:val="none"/>
        </w:rPr>
        <w:t>应充分收集地下管线设计图、施工图及竣工图等相关资料。</w:t>
      </w:r>
    </w:p>
    <w:p>
      <w:pPr>
        <w:pStyle w:val="238"/>
        <w:rPr>
          <w:highlight w:val="none"/>
        </w:rPr>
      </w:pPr>
      <w:r>
        <w:rPr>
          <w:highlight w:val="none"/>
        </w:rPr>
        <w:t>18</w:t>
      </w:r>
      <w:r>
        <w:rPr>
          <w:rFonts w:hint="eastAsia"/>
          <w:highlight w:val="none"/>
        </w:rPr>
        <w:t>.质量检查内容包括管线数据几何精度检查、属性质量检查、管线图质量检查及成果资料检查。</w:t>
      </w:r>
    </w:p>
    <w:p>
      <w:pPr>
        <w:pStyle w:val="238"/>
        <w:rPr>
          <w:highlight w:val="none"/>
        </w:rPr>
      </w:pPr>
      <w:r>
        <w:rPr>
          <w:rFonts w:hint="eastAsia"/>
          <w:highlight w:val="none"/>
        </w:rPr>
        <w:t>1</w:t>
      </w:r>
      <w:r>
        <w:rPr>
          <w:highlight w:val="none"/>
        </w:rPr>
        <w:t>9</w:t>
      </w:r>
      <w:r>
        <w:rPr>
          <w:rFonts w:hint="eastAsia"/>
          <w:highlight w:val="none"/>
        </w:rPr>
        <w:t>.参与</w:t>
      </w:r>
      <w:r>
        <w:rPr>
          <w:highlight w:val="none"/>
        </w:rPr>
        <w:t>地下管线探测工作的人员，应按附录</w:t>
      </w:r>
      <w:r>
        <w:rPr>
          <w:rFonts w:hint="eastAsia"/>
          <w:highlight w:val="none"/>
        </w:rPr>
        <w:t>E</w:t>
      </w:r>
      <w:r>
        <w:rPr>
          <w:highlight w:val="none"/>
        </w:rPr>
        <w:t>的要求，做好安全</w:t>
      </w:r>
      <w:r>
        <w:rPr>
          <w:rFonts w:hint="eastAsia"/>
          <w:highlight w:val="none"/>
        </w:rPr>
        <w:t>保障</w:t>
      </w:r>
      <w:r>
        <w:rPr>
          <w:highlight w:val="none"/>
        </w:rPr>
        <w:t>工作，确保管线探测工作安全、高效有序进行。</w:t>
      </w:r>
    </w:p>
    <w:p>
      <w:pPr>
        <w:spacing w:line="360" w:lineRule="auto"/>
        <w:outlineLvl w:val="4"/>
        <w:rPr>
          <w:rFonts w:ascii="宋体" w:hAnsi="宋体"/>
          <w:b/>
          <w:bCs/>
          <w:sz w:val="24"/>
          <w:highlight w:val="none"/>
        </w:rPr>
      </w:pPr>
      <w:r>
        <w:rPr>
          <w:rFonts w:hint="eastAsia" w:ascii="宋体" w:hAnsi="宋体"/>
          <w:b/>
          <w:bCs/>
          <w:sz w:val="24"/>
          <w:highlight w:val="none"/>
        </w:rPr>
        <w:t>4.3.1.3.6</w:t>
      </w:r>
      <w:r>
        <w:rPr>
          <w:rFonts w:ascii="宋体" w:hAnsi="宋体"/>
          <w:b/>
          <w:bCs/>
          <w:sz w:val="24"/>
          <w:highlight w:val="none"/>
        </w:rPr>
        <w:t>.</w:t>
      </w:r>
      <w:r>
        <w:rPr>
          <w:rFonts w:hint="eastAsia" w:ascii="宋体" w:hAnsi="宋体"/>
          <w:b/>
          <w:bCs/>
          <w:sz w:val="24"/>
          <w:highlight w:val="none"/>
        </w:rPr>
        <w:t>2全</w:t>
      </w:r>
      <w:r>
        <w:rPr>
          <w:rFonts w:ascii="宋体" w:hAnsi="宋体"/>
          <w:b/>
          <w:bCs/>
          <w:sz w:val="24"/>
          <w:highlight w:val="none"/>
        </w:rPr>
        <w:t>野外探测</w:t>
      </w:r>
    </w:p>
    <w:p>
      <w:pPr>
        <w:pStyle w:val="238"/>
        <w:ind w:firstLine="482"/>
        <w:rPr>
          <w:b/>
          <w:highlight w:val="none"/>
        </w:rPr>
      </w:pPr>
      <w:r>
        <w:rPr>
          <w:b/>
          <w:highlight w:val="none"/>
        </w:rPr>
        <w:t>4.3.1.</w:t>
      </w:r>
      <w:r>
        <w:rPr>
          <w:rFonts w:hint="eastAsia"/>
          <w:b/>
          <w:highlight w:val="none"/>
        </w:rPr>
        <w:t>3.6.2.1实地调查</w:t>
      </w:r>
    </w:p>
    <w:p>
      <w:pPr>
        <w:pStyle w:val="238"/>
        <w:rPr>
          <w:highlight w:val="none"/>
        </w:rPr>
      </w:pPr>
      <w:r>
        <w:rPr>
          <w:rFonts w:hint="eastAsia"/>
          <w:highlight w:val="none"/>
        </w:rPr>
        <w:t>1.实地调查应详细调查所出露的管线及其附属设施，按附录B在调查现场及时进行量测和记录相关管线属性信息。</w:t>
      </w:r>
    </w:p>
    <w:p>
      <w:pPr>
        <w:pStyle w:val="238"/>
        <w:rPr>
          <w:highlight w:val="none"/>
        </w:rPr>
      </w:pPr>
      <w:r>
        <w:rPr>
          <w:rFonts w:hint="eastAsia"/>
          <w:highlight w:val="none"/>
        </w:rPr>
        <w:t>2.管线明显点应实地量测地下管线的埋深，以m为单位，量测取至小数点后2位。</w:t>
      </w:r>
    </w:p>
    <w:p>
      <w:pPr>
        <w:pStyle w:val="238"/>
        <w:rPr>
          <w:highlight w:val="none"/>
        </w:rPr>
      </w:pPr>
      <w:r>
        <w:rPr>
          <w:rFonts w:hint="eastAsia"/>
          <w:highlight w:val="none"/>
        </w:rPr>
        <w:t>3.实地调查应按地下管线类别分别调查其相应的属性项目。各类地下管线实地调查的属性项目可按表1-</w:t>
      </w:r>
      <w:r>
        <w:rPr>
          <w:highlight w:val="none"/>
        </w:rPr>
        <w:t>1</w:t>
      </w:r>
      <w:r>
        <w:rPr>
          <w:rFonts w:hint="eastAsia"/>
          <w:highlight w:val="none"/>
        </w:rPr>
        <w:t>选择。</w:t>
      </w:r>
    </w:p>
    <w:p>
      <w:pPr>
        <w:pStyle w:val="245"/>
        <w:spacing w:line="360" w:lineRule="auto"/>
        <w:ind w:firstLine="2160" w:firstLineChars="900"/>
        <w:jc w:val="both"/>
        <w:rPr>
          <w:rFonts w:ascii="宋体" w:hAnsi="宋体" w:eastAsia="宋体"/>
          <w:bCs/>
          <w:sz w:val="24"/>
          <w:szCs w:val="24"/>
          <w:highlight w:val="none"/>
          <w:shd w:val="clear" w:color="FFFFFF" w:fill="D9D9D9"/>
        </w:rPr>
      </w:pPr>
      <w:r>
        <w:rPr>
          <w:rFonts w:ascii="宋体" w:hAnsi="宋体" w:eastAsia="宋体"/>
          <w:bCs/>
          <w:sz w:val="24"/>
          <w:szCs w:val="24"/>
          <w:highlight w:val="none"/>
        </w:rPr>
        <w:t>表</w:t>
      </w:r>
      <w:r>
        <w:rPr>
          <w:rFonts w:hint="eastAsia" w:ascii="宋体" w:hAnsi="宋体" w:eastAsia="宋体"/>
          <w:bCs/>
          <w:sz w:val="24"/>
          <w:szCs w:val="24"/>
          <w:highlight w:val="none"/>
        </w:rPr>
        <w:t>1-</w:t>
      </w:r>
      <w:r>
        <w:rPr>
          <w:rFonts w:ascii="宋体" w:hAnsi="宋体" w:eastAsia="宋体"/>
          <w:bCs/>
          <w:sz w:val="24"/>
          <w:szCs w:val="24"/>
          <w:highlight w:val="none"/>
        </w:rPr>
        <w:t>1管线实地调查项目</w:t>
      </w:r>
    </w:p>
    <w:tbl>
      <w:tblPr>
        <w:tblStyle w:val="43"/>
        <w:tblW w:w="90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50"/>
        <w:gridCol w:w="567"/>
        <w:gridCol w:w="426"/>
        <w:gridCol w:w="567"/>
        <w:gridCol w:w="850"/>
        <w:gridCol w:w="709"/>
        <w:gridCol w:w="567"/>
        <w:gridCol w:w="425"/>
        <w:gridCol w:w="567"/>
        <w:gridCol w:w="567"/>
        <w:gridCol w:w="425"/>
        <w:gridCol w:w="567"/>
        <w:gridCol w:w="567"/>
        <w:gridCol w:w="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46" w:type="dxa"/>
            <w:vMerge w:val="restart"/>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管线</w:t>
            </w:r>
          </w:p>
          <w:p>
            <w:pPr>
              <w:spacing w:line="240" w:lineRule="exact"/>
              <w:jc w:val="center"/>
              <w:rPr>
                <w:rFonts w:ascii="宋体" w:hAnsi="宋体" w:cs="宋体"/>
                <w:kern w:val="0"/>
                <w:szCs w:val="21"/>
                <w:highlight w:val="none"/>
              </w:rPr>
            </w:pPr>
            <w:r>
              <w:rPr>
                <w:rFonts w:hint="eastAsia" w:ascii="宋体" w:hAnsi="宋体" w:cs="宋体"/>
                <w:kern w:val="0"/>
                <w:szCs w:val="21"/>
                <w:highlight w:val="none"/>
              </w:rPr>
              <w:t>类别</w:t>
            </w:r>
          </w:p>
        </w:tc>
        <w:tc>
          <w:tcPr>
            <w:tcW w:w="850" w:type="dxa"/>
            <w:vMerge w:val="restart"/>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埋设</w:t>
            </w:r>
          </w:p>
          <w:p>
            <w:pPr>
              <w:spacing w:line="240" w:lineRule="exact"/>
              <w:jc w:val="center"/>
              <w:rPr>
                <w:rFonts w:ascii="宋体" w:hAnsi="宋体" w:cs="宋体"/>
                <w:kern w:val="0"/>
                <w:szCs w:val="21"/>
                <w:highlight w:val="none"/>
              </w:rPr>
            </w:pPr>
            <w:r>
              <w:rPr>
                <w:rFonts w:hint="eastAsia" w:ascii="宋体" w:hAnsi="宋体" w:cs="宋体"/>
                <w:kern w:val="0"/>
                <w:szCs w:val="21"/>
                <w:highlight w:val="none"/>
              </w:rPr>
              <w:t>方式</w:t>
            </w:r>
          </w:p>
        </w:tc>
        <w:tc>
          <w:tcPr>
            <w:tcW w:w="993" w:type="dxa"/>
            <w:gridSpan w:val="2"/>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埋深</w:t>
            </w:r>
          </w:p>
        </w:tc>
        <w:tc>
          <w:tcPr>
            <w:tcW w:w="1417" w:type="dxa"/>
            <w:gridSpan w:val="2"/>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断面尺寸</w:t>
            </w:r>
          </w:p>
        </w:tc>
        <w:tc>
          <w:tcPr>
            <w:tcW w:w="709" w:type="dxa"/>
            <w:vMerge w:val="restart"/>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总孔数/已用孔数</w:t>
            </w:r>
          </w:p>
        </w:tc>
        <w:tc>
          <w:tcPr>
            <w:tcW w:w="567" w:type="dxa"/>
            <w:vMerge w:val="restart"/>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线缆条数</w:t>
            </w:r>
          </w:p>
        </w:tc>
        <w:tc>
          <w:tcPr>
            <w:tcW w:w="425" w:type="dxa"/>
            <w:vMerge w:val="restart"/>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材质</w:t>
            </w:r>
          </w:p>
        </w:tc>
        <w:tc>
          <w:tcPr>
            <w:tcW w:w="567" w:type="dxa"/>
            <w:vMerge w:val="restart"/>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保护材质</w:t>
            </w:r>
          </w:p>
        </w:tc>
        <w:tc>
          <w:tcPr>
            <w:tcW w:w="567" w:type="dxa"/>
            <w:vMerge w:val="restart"/>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附属设施</w:t>
            </w:r>
          </w:p>
        </w:tc>
        <w:tc>
          <w:tcPr>
            <w:tcW w:w="1559" w:type="dxa"/>
            <w:gridSpan w:val="3"/>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载体特征</w:t>
            </w:r>
          </w:p>
        </w:tc>
        <w:tc>
          <w:tcPr>
            <w:tcW w:w="548" w:type="dxa"/>
            <w:vMerge w:val="restart"/>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权属单位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noWrap/>
            <w:vAlign w:val="center"/>
          </w:tcPr>
          <w:p>
            <w:pPr>
              <w:spacing w:line="240" w:lineRule="exact"/>
              <w:jc w:val="center"/>
              <w:rPr>
                <w:rFonts w:ascii="宋体" w:hAnsi="宋体" w:cs="宋体"/>
                <w:kern w:val="0"/>
                <w:szCs w:val="21"/>
                <w:highlight w:val="none"/>
              </w:rPr>
            </w:pPr>
          </w:p>
        </w:tc>
        <w:tc>
          <w:tcPr>
            <w:tcW w:w="850" w:type="dxa"/>
            <w:vMerge w:val="continue"/>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外顶</w:t>
            </w:r>
          </w:p>
        </w:tc>
        <w:tc>
          <w:tcPr>
            <w:tcW w:w="426"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内底</w:t>
            </w: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管径</w:t>
            </w:r>
          </w:p>
        </w:tc>
        <w:tc>
          <w:tcPr>
            <w:tcW w:w="850"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宽ⅹ高</w:t>
            </w:r>
          </w:p>
        </w:tc>
        <w:tc>
          <w:tcPr>
            <w:tcW w:w="709" w:type="dxa"/>
            <w:vMerge w:val="continue"/>
            <w:noWrap/>
            <w:vAlign w:val="center"/>
          </w:tcPr>
          <w:p>
            <w:pPr>
              <w:spacing w:line="240" w:lineRule="exact"/>
              <w:jc w:val="center"/>
              <w:rPr>
                <w:rFonts w:ascii="宋体" w:hAnsi="宋体" w:cs="宋体"/>
                <w:kern w:val="0"/>
                <w:szCs w:val="21"/>
                <w:highlight w:val="none"/>
              </w:rPr>
            </w:pPr>
          </w:p>
        </w:tc>
        <w:tc>
          <w:tcPr>
            <w:tcW w:w="567" w:type="dxa"/>
            <w:vMerge w:val="continue"/>
            <w:noWrap/>
            <w:vAlign w:val="center"/>
          </w:tcPr>
          <w:p>
            <w:pPr>
              <w:spacing w:line="240" w:lineRule="exact"/>
              <w:jc w:val="center"/>
              <w:rPr>
                <w:rFonts w:ascii="宋体" w:hAnsi="宋体" w:cs="宋体"/>
                <w:kern w:val="0"/>
                <w:szCs w:val="21"/>
                <w:highlight w:val="none"/>
              </w:rPr>
            </w:pPr>
          </w:p>
        </w:tc>
        <w:tc>
          <w:tcPr>
            <w:tcW w:w="425" w:type="dxa"/>
            <w:vMerge w:val="continue"/>
            <w:noWrap/>
            <w:vAlign w:val="center"/>
          </w:tcPr>
          <w:p>
            <w:pPr>
              <w:spacing w:line="240" w:lineRule="exact"/>
              <w:jc w:val="center"/>
              <w:rPr>
                <w:rFonts w:ascii="宋体" w:hAnsi="宋体" w:cs="宋体"/>
                <w:kern w:val="0"/>
                <w:szCs w:val="21"/>
                <w:highlight w:val="none"/>
              </w:rPr>
            </w:pPr>
          </w:p>
        </w:tc>
        <w:tc>
          <w:tcPr>
            <w:tcW w:w="567" w:type="dxa"/>
            <w:vMerge w:val="continue"/>
            <w:noWrap/>
            <w:vAlign w:val="center"/>
          </w:tcPr>
          <w:p>
            <w:pPr>
              <w:spacing w:line="240" w:lineRule="exact"/>
              <w:jc w:val="center"/>
              <w:rPr>
                <w:rFonts w:ascii="宋体" w:hAnsi="宋体" w:cs="宋体"/>
                <w:kern w:val="0"/>
                <w:szCs w:val="21"/>
                <w:highlight w:val="none"/>
              </w:rPr>
            </w:pPr>
          </w:p>
        </w:tc>
        <w:tc>
          <w:tcPr>
            <w:tcW w:w="567" w:type="dxa"/>
            <w:vMerge w:val="continue"/>
            <w:noWrap/>
            <w:vAlign w:val="center"/>
          </w:tcPr>
          <w:p>
            <w:pPr>
              <w:spacing w:line="240" w:lineRule="exact"/>
              <w:jc w:val="center"/>
              <w:rPr>
                <w:rFonts w:ascii="宋体" w:hAnsi="宋体" w:cs="宋体"/>
                <w:kern w:val="0"/>
                <w:szCs w:val="21"/>
                <w:highlight w:val="none"/>
              </w:rPr>
            </w:pPr>
          </w:p>
        </w:tc>
        <w:tc>
          <w:tcPr>
            <w:tcW w:w="425"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压力</w:t>
            </w: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流向</w:t>
            </w: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电</w:t>
            </w:r>
          </w:p>
          <w:p>
            <w:pPr>
              <w:widowControl/>
              <w:spacing w:line="240" w:lineRule="exact"/>
              <w:jc w:val="center"/>
              <w:rPr>
                <w:rFonts w:ascii="宋体" w:hAnsi="宋体" w:cs="宋体"/>
                <w:kern w:val="0"/>
                <w:szCs w:val="21"/>
                <w:highlight w:val="none"/>
              </w:rPr>
            </w:pPr>
            <w:r>
              <w:rPr>
                <w:rFonts w:hint="eastAsia" w:ascii="宋体" w:hAnsi="宋体" w:cs="宋体"/>
                <w:kern w:val="0"/>
                <w:szCs w:val="21"/>
                <w:highlight w:val="none"/>
              </w:rPr>
              <w:t>压</w:t>
            </w:r>
          </w:p>
        </w:tc>
        <w:tc>
          <w:tcPr>
            <w:tcW w:w="548" w:type="dxa"/>
            <w:vMerge w:val="continue"/>
            <w:noWrap/>
            <w:vAlign w:val="center"/>
          </w:tcPr>
          <w:p>
            <w:pPr>
              <w:spacing w:line="240" w:lineRule="exact"/>
              <w:jc w:val="center"/>
              <w:rPr>
                <w:rFonts w:ascii="宋体" w:hAnsi="宋体" w:cs="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给水</w:t>
            </w:r>
          </w:p>
        </w:tc>
        <w:tc>
          <w:tcPr>
            <w:tcW w:w="850"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管道</w:t>
            </w: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6"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850" w:type="dxa"/>
            <w:noWrap/>
            <w:vAlign w:val="center"/>
          </w:tcPr>
          <w:p>
            <w:pPr>
              <w:spacing w:line="240" w:lineRule="exact"/>
              <w:jc w:val="center"/>
              <w:rPr>
                <w:rFonts w:ascii="宋体" w:hAnsi="宋体" w:cs="宋体"/>
                <w:kern w:val="0"/>
                <w:szCs w:val="21"/>
                <w:highlight w:val="none"/>
              </w:rPr>
            </w:pPr>
          </w:p>
        </w:tc>
        <w:tc>
          <w:tcPr>
            <w:tcW w:w="709"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p>
        </w:tc>
        <w:tc>
          <w:tcPr>
            <w:tcW w:w="425"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widowControl/>
              <w:spacing w:line="240" w:lineRule="exact"/>
              <w:jc w:val="center"/>
              <w:rPr>
                <w:rFonts w:ascii="宋体" w:hAnsi="宋体" w:cs="宋体"/>
                <w:kern w:val="0"/>
                <w:szCs w:val="21"/>
                <w:highlight w:val="none"/>
              </w:rPr>
            </w:pPr>
          </w:p>
        </w:tc>
        <w:tc>
          <w:tcPr>
            <w:tcW w:w="548"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Merge w:val="restart"/>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排水</w:t>
            </w:r>
          </w:p>
        </w:tc>
        <w:tc>
          <w:tcPr>
            <w:tcW w:w="850"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管道</w:t>
            </w: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426"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850" w:type="dxa"/>
            <w:noWrap/>
            <w:vAlign w:val="center"/>
          </w:tcPr>
          <w:p>
            <w:pPr>
              <w:adjustRightInd w:val="0"/>
              <w:snapToGrid w:val="0"/>
              <w:spacing w:line="240" w:lineRule="exact"/>
              <w:jc w:val="center"/>
              <w:rPr>
                <w:rFonts w:ascii="宋体" w:hAnsi="宋体" w:cs="宋体"/>
                <w:kern w:val="0"/>
                <w:szCs w:val="21"/>
                <w:highlight w:val="none"/>
              </w:rPr>
            </w:pPr>
          </w:p>
        </w:tc>
        <w:tc>
          <w:tcPr>
            <w:tcW w:w="709"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425"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548"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Merge w:val="continue"/>
            <w:noWrap/>
            <w:vAlign w:val="center"/>
          </w:tcPr>
          <w:p>
            <w:pPr>
              <w:adjustRightInd w:val="0"/>
              <w:snapToGrid w:val="0"/>
              <w:spacing w:line="240" w:lineRule="exact"/>
              <w:jc w:val="center"/>
              <w:rPr>
                <w:rFonts w:ascii="宋体" w:hAnsi="宋体" w:cs="宋体"/>
                <w:kern w:val="0"/>
                <w:szCs w:val="21"/>
                <w:highlight w:val="none"/>
              </w:rPr>
            </w:pPr>
          </w:p>
        </w:tc>
        <w:tc>
          <w:tcPr>
            <w:tcW w:w="850"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沟道</w:t>
            </w:r>
          </w:p>
        </w:tc>
        <w:tc>
          <w:tcPr>
            <w:tcW w:w="567" w:type="dxa"/>
            <w:noWrap/>
            <w:vAlign w:val="center"/>
          </w:tcPr>
          <w:p>
            <w:pPr>
              <w:spacing w:line="240" w:lineRule="exact"/>
              <w:jc w:val="center"/>
              <w:rPr>
                <w:rFonts w:ascii="宋体" w:hAnsi="宋体" w:cs="宋体"/>
                <w:kern w:val="0"/>
                <w:szCs w:val="21"/>
                <w:highlight w:val="none"/>
              </w:rPr>
            </w:pPr>
          </w:p>
        </w:tc>
        <w:tc>
          <w:tcPr>
            <w:tcW w:w="426"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spacing w:line="240" w:lineRule="exact"/>
              <w:jc w:val="center"/>
              <w:rPr>
                <w:rFonts w:ascii="宋体" w:hAnsi="宋体" w:cs="宋体"/>
                <w:kern w:val="0"/>
                <w:szCs w:val="21"/>
                <w:highlight w:val="none"/>
              </w:rPr>
            </w:pPr>
          </w:p>
        </w:tc>
        <w:tc>
          <w:tcPr>
            <w:tcW w:w="850"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709"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p>
        </w:tc>
        <w:tc>
          <w:tcPr>
            <w:tcW w:w="425"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widowControl/>
              <w:spacing w:line="240" w:lineRule="exact"/>
              <w:jc w:val="center"/>
              <w:rPr>
                <w:rFonts w:ascii="宋体" w:hAnsi="宋体" w:cs="宋体"/>
                <w:kern w:val="0"/>
                <w:szCs w:val="21"/>
                <w:highlight w:val="none"/>
              </w:rPr>
            </w:pPr>
          </w:p>
        </w:tc>
        <w:tc>
          <w:tcPr>
            <w:tcW w:w="548"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燃气</w:t>
            </w:r>
          </w:p>
        </w:tc>
        <w:tc>
          <w:tcPr>
            <w:tcW w:w="850"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管道</w:t>
            </w: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6"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850" w:type="dxa"/>
            <w:noWrap/>
            <w:vAlign w:val="center"/>
          </w:tcPr>
          <w:p>
            <w:pPr>
              <w:adjustRightInd w:val="0"/>
              <w:snapToGrid w:val="0"/>
              <w:spacing w:line="240" w:lineRule="exact"/>
              <w:jc w:val="center"/>
              <w:rPr>
                <w:rFonts w:ascii="宋体" w:hAnsi="宋体" w:cs="宋体"/>
                <w:kern w:val="0"/>
                <w:szCs w:val="21"/>
                <w:highlight w:val="none"/>
              </w:rPr>
            </w:pPr>
          </w:p>
        </w:tc>
        <w:tc>
          <w:tcPr>
            <w:tcW w:w="709"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425"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548"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shd w:val="clear" w:color="auto" w:fill="auto"/>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热力</w:t>
            </w:r>
          </w:p>
        </w:tc>
        <w:tc>
          <w:tcPr>
            <w:tcW w:w="850" w:type="dxa"/>
            <w:shd w:val="clear" w:color="auto" w:fill="auto"/>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管道</w:t>
            </w:r>
          </w:p>
        </w:tc>
        <w:tc>
          <w:tcPr>
            <w:tcW w:w="567" w:type="dxa"/>
            <w:shd w:val="clear" w:color="auto" w:fill="auto"/>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6" w:type="dxa"/>
            <w:shd w:val="clear" w:color="auto" w:fill="auto"/>
            <w:noWrap/>
            <w:vAlign w:val="center"/>
          </w:tcPr>
          <w:p>
            <w:pPr>
              <w:adjustRightInd w:val="0"/>
              <w:snapToGrid w:val="0"/>
              <w:spacing w:line="240" w:lineRule="exact"/>
              <w:jc w:val="center"/>
              <w:rPr>
                <w:rFonts w:ascii="宋体" w:hAnsi="宋体" w:cs="宋体"/>
                <w:kern w:val="0"/>
                <w:szCs w:val="21"/>
                <w:highlight w:val="none"/>
              </w:rPr>
            </w:pPr>
          </w:p>
        </w:tc>
        <w:tc>
          <w:tcPr>
            <w:tcW w:w="567" w:type="dxa"/>
            <w:shd w:val="clear" w:color="auto" w:fill="auto"/>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850" w:type="dxa"/>
            <w:shd w:val="clear" w:color="auto" w:fill="auto"/>
            <w:noWrap/>
            <w:vAlign w:val="center"/>
          </w:tcPr>
          <w:p>
            <w:pPr>
              <w:adjustRightInd w:val="0"/>
              <w:snapToGrid w:val="0"/>
              <w:spacing w:line="240" w:lineRule="exact"/>
              <w:jc w:val="center"/>
              <w:rPr>
                <w:rFonts w:ascii="宋体" w:hAnsi="宋体" w:cs="宋体"/>
                <w:kern w:val="0"/>
                <w:szCs w:val="21"/>
                <w:highlight w:val="none"/>
              </w:rPr>
            </w:pPr>
          </w:p>
        </w:tc>
        <w:tc>
          <w:tcPr>
            <w:tcW w:w="709" w:type="dxa"/>
            <w:shd w:val="clear" w:color="auto" w:fill="auto"/>
            <w:noWrap/>
            <w:vAlign w:val="center"/>
          </w:tcPr>
          <w:p>
            <w:pPr>
              <w:adjustRightInd w:val="0"/>
              <w:snapToGrid w:val="0"/>
              <w:spacing w:line="240" w:lineRule="exact"/>
              <w:jc w:val="center"/>
              <w:rPr>
                <w:rFonts w:ascii="宋体" w:hAnsi="宋体" w:cs="宋体"/>
                <w:kern w:val="0"/>
                <w:szCs w:val="21"/>
                <w:highlight w:val="none"/>
              </w:rPr>
            </w:pPr>
          </w:p>
        </w:tc>
        <w:tc>
          <w:tcPr>
            <w:tcW w:w="567" w:type="dxa"/>
            <w:shd w:val="clear" w:color="auto" w:fill="FFFFFF"/>
            <w:noWrap/>
            <w:vAlign w:val="center"/>
          </w:tcPr>
          <w:p>
            <w:pPr>
              <w:adjustRightInd w:val="0"/>
              <w:snapToGrid w:val="0"/>
              <w:spacing w:line="240" w:lineRule="exact"/>
              <w:jc w:val="center"/>
              <w:rPr>
                <w:rFonts w:ascii="宋体" w:hAnsi="宋体" w:cs="宋体"/>
                <w:kern w:val="0"/>
                <w:szCs w:val="21"/>
                <w:highlight w:val="none"/>
              </w:rPr>
            </w:pPr>
          </w:p>
        </w:tc>
        <w:tc>
          <w:tcPr>
            <w:tcW w:w="425"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548"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Merge w:val="restart"/>
            <w:shd w:val="clear" w:color="auto" w:fill="auto"/>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电力</w:t>
            </w:r>
          </w:p>
        </w:tc>
        <w:tc>
          <w:tcPr>
            <w:tcW w:w="850" w:type="dxa"/>
            <w:shd w:val="clear" w:color="auto" w:fill="auto"/>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管块</w:t>
            </w:r>
          </w:p>
        </w:tc>
        <w:tc>
          <w:tcPr>
            <w:tcW w:w="567" w:type="dxa"/>
            <w:shd w:val="clear" w:color="auto" w:fill="auto"/>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6" w:type="dxa"/>
            <w:shd w:val="clear" w:color="auto" w:fill="auto"/>
            <w:noWrap/>
            <w:vAlign w:val="center"/>
          </w:tcPr>
          <w:p>
            <w:pPr>
              <w:adjustRightInd w:val="0"/>
              <w:snapToGrid w:val="0"/>
              <w:spacing w:line="240" w:lineRule="exact"/>
              <w:jc w:val="center"/>
              <w:rPr>
                <w:rFonts w:ascii="宋体" w:hAnsi="宋体" w:cs="宋体"/>
                <w:kern w:val="0"/>
                <w:szCs w:val="21"/>
                <w:highlight w:val="none"/>
              </w:rPr>
            </w:pPr>
          </w:p>
        </w:tc>
        <w:tc>
          <w:tcPr>
            <w:tcW w:w="567" w:type="dxa"/>
            <w:shd w:val="clear" w:color="auto" w:fill="auto"/>
            <w:noWrap/>
            <w:vAlign w:val="center"/>
          </w:tcPr>
          <w:p>
            <w:pPr>
              <w:adjustRightInd w:val="0"/>
              <w:snapToGrid w:val="0"/>
              <w:spacing w:line="240" w:lineRule="exact"/>
              <w:jc w:val="center"/>
              <w:rPr>
                <w:rFonts w:ascii="宋体" w:hAnsi="宋体" w:cs="宋体"/>
                <w:kern w:val="0"/>
                <w:szCs w:val="21"/>
                <w:highlight w:val="none"/>
              </w:rPr>
            </w:pPr>
          </w:p>
        </w:tc>
        <w:tc>
          <w:tcPr>
            <w:tcW w:w="850" w:type="dxa"/>
            <w:shd w:val="clear" w:color="auto" w:fill="auto"/>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709" w:type="dxa"/>
            <w:shd w:val="clear" w:color="auto" w:fill="auto"/>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shd w:val="clear" w:color="auto" w:fill="FFFFFF"/>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48"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Merge w:val="continue"/>
            <w:shd w:val="clear" w:color="auto" w:fill="auto"/>
            <w:noWrap/>
            <w:vAlign w:val="center"/>
          </w:tcPr>
          <w:p>
            <w:pPr>
              <w:adjustRightInd w:val="0"/>
              <w:snapToGrid w:val="0"/>
              <w:spacing w:line="240" w:lineRule="exact"/>
              <w:jc w:val="center"/>
              <w:rPr>
                <w:rFonts w:ascii="宋体" w:hAnsi="宋体" w:cs="宋体"/>
                <w:kern w:val="0"/>
                <w:szCs w:val="21"/>
                <w:highlight w:val="none"/>
              </w:rPr>
            </w:pPr>
          </w:p>
        </w:tc>
        <w:tc>
          <w:tcPr>
            <w:tcW w:w="850" w:type="dxa"/>
            <w:shd w:val="clear" w:color="auto" w:fill="auto"/>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沟道</w:t>
            </w:r>
          </w:p>
        </w:tc>
        <w:tc>
          <w:tcPr>
            <w:tcW w:w="567" w:type="dxa"/>
            <w:shd w:val="clear" w:color="auto" w:fill="auto"/>
            <w:noWrap/>
            <w:vAlign w:val="center"/>
          </w:tcPr>
          <w:p>
            <w:pPr>
              <w:adjustRightInd w:val="0"/>
              <w:snapToGrid w:val="0"/>
              <w:spacing w:line="240" w:lineRule="exact"/>
              <w:jc w:val="center"/>
              <w:rPr>
                <w:rFonts w:ascii="宋体" w:hAnsi="宋体" w:cs="宋体"/>
                <w:kern w:val="0"/>
                <w:szCs w:val="21"/>
                <w:highlight w:val="none"/>
              </w:rPr>
            </w:pPr>
          </w:p>
        </w:tc>
        <w:tc>
          <w:tcPr>
            <w:tcW w:w="426" w:type="dxa"/>
            <w:shd w:val="clear" w:color="auto" w:fill="auto"/>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shd w:val="clear" w:color="auto" w:fill="auto"/>
            <w:noWrap/>
            <w:vAlign w:val="center"/>
          </w:tcPr>
          <w:p>
            <w:pPr>
              <w:adjustRightInd w:val="0"/>
              <w:snapToGrid w:val="0"/>
              <w:spacing w:line="240" w:lineRule="exact"/>
              <w:jc w:val="center"/>
              <w:rPr>
                <w:rFonts w:ascii="宋体" w:hAnsi="宋体" w:cs="宋体"/>
                <w:kern w:val="0"/>
                <w:szCs w:val="21"/>
                <w:highlight w:val="none"/>
              </w:rPr>
            </w:pPr>
          </w:p>
        </w:tc>
        <w:tc>
          <w:tcPr>
            <w:tcW w:w="850" w:type="dxa"/>
            <w:shd w:val="clear" w:color="auto" w:fill="auto"/>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709" w:type="dxa"/>
            <w:shd w:val="clear" w:color="auto" w:fill="auto"/>
            <w:noWrap/>
            <w:vAlign w:val="center"/>
          </w:tcPr>
          <w:p>
            <w:pPr>
              <w:adjustRightInd w:val="0"/>
              <w:snapToGrid w:val="0"/>
              <w:spacing w:line="240" w:lineRule="exact"/>
              <w:jc w:val="center"/>
              <w:rPr>
                <w:rFonts w:ascii="宋体" w:hAnsi="宋体" w:cs="宋体"/>
                <w:kern w:val="0"/>
                <w:szCs w:val="21"/>
                <w:highlight w:val="none"/>
              </w:rPr>
            </w:pPr>
          </w:p>
        </w:tc>
        <w:tc>
          <w:tcPr>
            <w:tcW w:w="567" w:type="dxa"/>
            <w:shd w:val="clear" w:color="auto" w:fill="FFFFFF"/>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48"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Merge w:val="continue"/>
            <w:shd w:val="clear" w:color="auto" w:fill="auto"/>
            <w:noWrap/>
            <w:vAlign w:val="center"/>
          </w:tcPr>
          <w:p>
            <w:pPr>
              <w:adjustRightInd w:val="0"/>
              <w:snapToGrid w:val="0"/>
              <w:spacing w:line="240" w:lineRule="exact"/>
              <w:jc w:val="center"/>
              <w:rPr>
                <w:rFonts w:ascii="宋体" w:hAnsi="宋体" w:cs="宋体"/>
                <w:kern w:val="0"/>
                <w:szCs w:val="21"/>
                <w:highlight w:val="none"/>
              </w:rPr>
            </w:pPr>
          </w:p>
        </w:tc>
        <w:tc>
          <w:tcPr>
            <w:tcW w:w="850" w:type="dxa"/>
            <w:shd w:val="clear" w:color="auto" w:fill="auto"/>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管埋</w:t>
            </w:r>
          </w:p>
        </w:tc>
        <w:tc>
          <w:tcPr>
            <w:tcW w:w="567" w:type="dxa"/>
            <w:shd w:val="clear" w:color="auto" w:fill="auto"/>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6" w:type="dxa"/>
            <w:shd w:val="clear" w:color="auto" w:fill="auto"/>
            <w:noWrap/>
            <w:vAlign w:val="center"/>
          </w:tcPr>
          <w:p>
            <w:pPr>
              <w:spacing w:line="240" w:lineRule="exact"/>
              <w:jc w:val="center"/>
              <w:rPr>
                <w:rFonts w:ascii="宋体" w:hAnsi="宋体" w:cs="宋体"/>
                <w:kern w:val="0"/>
                <w:szCs w:val="21"/>
                <w:highlight w:val="none"/>
              </w:rPr>
            </w:pPr>
          </w:p>
        </w:tc>
        <w:tc>
          <w:tcPr>
            <w:tcW w:w="567" w:type="dxa"/>
            <w:shd w:val="clear" w:color="auto" w:fill="auto"/>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850" w:type="dxa"/>
            <w:shd w:val="clear" w:color="auto" w:fill="auto"/>
            <w:noWrap/>
            <w:vAlign w:val="center"/>
          </w:tcPr>
          <w:p>
            <w:pPr>
              <w:spacing w:line="240" w:lineRule="exact"/>
              <w:jc w:val="center"/>
              <w:rPr>
                <w:rFonts w:ascii="宋体" w:hAnsi="宋体" w:cs="宋体"/>
                <w:kern w:val="0"/>
                <w:szCs w:val="21"/>
                <w:highlight w:val="none"/>
              </w:rPr>
            </w:pPr>
          </w:p>
        </w:tc>
        <w:tc>
          <w:tcPr>
            <w:tcW w:w="709" w:type="dxa"/>
            <w:shd w:val="clear" w:color="auto" w:fill="auto"/>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shd w:val="clear" w:color="auto" w:fill="FFFFFF"/>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widowControl/>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48"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Merge w:val="continue"/>
            <w:shd w:val="clear" w:color="auto" w:fill="auto"/>
            <w:noWrap/>
            <w:vAlign w:val="center"/>
          </w:tcPr>
          <w:p>
            <w:pPr>
              <w:adjustRightInd w:val="0"/>
              <w:snapToGrid w:val="0"/>
              <w:spacing w:line="240" w:lineRule="exact"/>
              <w:jc w:val="center"/>
              <w:rPr>
                <w:rFonts w:ascii="宋体" w:hAnsi="宋体" w:cs="宋体"/>
                <w:kern w:val="0"/>
                <w:szCs w:val="21"/>
                <w:highlight w:val="none"/>
              </w:rPr>
            </w:pPr>
          </w:p>
        </w:tc>
        <w:tc>
          <w:tcPr>
            <w:tcW w:w="850" w:type="dxa"/>
            <w:shd w:val="clear" w:color="auto" w:fill="auto"/>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直埋</w:t>
            </w:r>
          </w:p>
        </w:tc>
        <w:tc>
          <w:tcPr>
            <w:tcW w:w="567" w:type="dxa"/>
            <w:shd w:val="clear" w:color="auto" w:fill="auto"/>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6" w:type="dxa"/>
            <w:shd w:val="clear" w:color="auto" w:fill="auto"/>
            <w:noWrap/>
            <w:vAlign w:val="center"/>
          </w:tcPr>
          <w:p>
            <w:pPr>
              <w:spacing w:line="240" w:lineRule="exact"/>
              <w:jc w:val="center"/>
              <w:rPr>
                <w:rFonts w:ascii="宋体" w:hAnsi="宋体" w:cs="宋体"/>
                <w:kern w:val="0"/>
                <w:szCs w:val="21"/>
                <w:highlight w:val="none"/>
              </w:rPr>
            </w:pPr>
          </w:p>
        </w:tc>
        <w:tc>
          <w:tcPr>
            <w:tcW w:w="567" w:type="dxa"/>
            <w:shd w:val="clear" w:color="auto" w:fill="auto"/>
            <w:noWrap/>
            <w:vAlign w:val="center"/>
          </w:tcPr>
          <w:p>
            <w:pPr>
              <w:spacing w:line="240" w:lineRule="exact"/>
              <w:jc w:val="center"/>
              <w:rPr>
                <w:rFonts w:ascii="宋体" w:hAnsi="宋体" w:cs="宋体"/>
                <w:kern w:val="0"/>
                <w:szCs w:val="21"/>
                <w:highlight w:val="none"/>
              </w:rPr>
            </w:pPr>
          </w:p>
        </w:tc>
        <w:tc>
          <w:tcPr>
            <w:tcW w:w="850" w:type="dxa"/>
            <w:shd w:val="clear" w:color="auto" w:fill="auto"/>
            <w:noWrap/>
            <w:vAlign w:val="center"/>
          </w:tcPr>
          <w:p>
            <w:pPr>
              <w:spacing w:line="240" w:lineRule="exact"/>
              <w:jc w:val="center"/>
              <w:rPr>
                <w:rFonts w:ascii="宋体" w:hAnsi="宋体" w:cs="宋体"/>
                <w:kern w:val="0"/>
                <w:szCs w:val="21"/>
                <w:highlight w:val="none"/>
              </w:rPr>
            </w:pPr>
          </w:p>
        </w:tc>
        <w:tc>
          <w:tcPr>
            <w:tcW w:w="709" w:type="dxa"/>
            <w:shd w:val="clear" w:color="auto" w:fill="auto"/>
            <w:noWrap/>
            <w:vAlign w:val="center"/>
          </w:tcPr>
          <w:p>
            <w:pPr>
              <w:spacing w:line="240" w:lineRule="exact"/>
              <w:jc w:val="center"/>
              <w:rPr>
                <w:rFonts w:ascii="宋体" w:hAnsi="宋体" w:cs="宋体"/>
                <w:kern w:val="0"/>
                <w:szCs w:val="21"/>
                <w:highlight w:val="none"/>
              </w:rPr>
            </w:pPr>
          </w:p>
        </w:tc>
        <w:tc>
          <w:tcPr>
            <w:tcW w:w="567" w:type="dxa"/>
            <w:shd w:val="clear" w:color="auto" w:fill="FFFFFF"/>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widowControl/>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48"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Merge w:val="continue"/>
            <w:shd w:val="clear" w:color="auto" w:fill="auto"/>
            <w:noWrap/>
            <w:vAlign w:val="center"/>
          </w:tcPr>
          <w:p>
            <w:pPr>
              <w:adjustRightInd w:val="0"/>
              <w:snapToGrid w:val="0"/>
              <w:spacing w:line="240" w:lineRule="exact"/>
              <w:jc w:val="center"/>
              <w:rPr>
                <w:rFonts w:ascii="宋体" w:hAnsi="宋体" w:cs="宋体"/>
                <w:kern w:val="0"/>
                <w:szCs w:val="21"/>
                <w:highlight w:val="none"/>
              </w:rPr>
            </w:pPr>
          </w:p>
        </w:tc>
        <w:tc>
          <w:tcPr>
            <w:tcW w:w="850" w:type="dxa"/>
            <w:shd w:val="clear" w:color="auto" w:fill="auto"/>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架空</w:t>
            </w:r>
          </w:p>
        </w:tc>
        <w:tc>
          <w:tcPr>
            <w:tcW w:w="567" w:type="dxa"/>
            <w:shd w:val="clear" w:color="auto" w:fill="auto"/>
            <w:noWrap/>
            <w:vAlign w:val="center"/>
          </w:tcPr>
          <w:p>
            <w:pPr>
              <w:spacing w:line="240" w:lineRule="exact"/>
              <w:jc w:val="center"/>
              <w:rPr>
                <w:rFonts w:ascii="宋体" w:hAnsi="宋体" w:cs="宋体"/>
                <w:kern w:val="0"/>
                <w:szCs w:val="21"/>
                <w:highlight w:val="none"/>
              </w:rPr>
            </w:pPr>
          </w:p>
        </w:tc>
        <w:tc>
          <w:tcPr>
            <w:tcW w:w="426" w:type="dxa"/>
            <w:shd w:val="clear" w:color="auto" w:fill="auto"/>
            <w:noWrap/>
            <w:vAlign w:val="center"/>
          </w:tcPr>
          <w:p>
            <w:pPr>
              <w:spacing w:line="240" w:lineRule="exact"/>
              <w:jc w:val="center"/>
              <w:rPr>
                <w:rFonts w:ascii="宋体" w:hAnsi="宋体" w:cs="宋体"/>
                <w:kern w:val="0"/>
                <w:szCs w:val="21"/>
                <w:highlight w:val="none"/>
              </w:rPr>
            </w:pPr>
          </w:p>
        </w:tc>
        <w:tc>
          <w:tcPr>
            <w:tcW w:w="567" w:type="dxa"/>
            <w:shd w:val="clear" w:color="auto" w:fill="auto"/>
            <w:noWrap/>
            <w:vAlign w:val="center"/>
          </w:tcPr>
          <w:p>
            <w:pPr>
              <w:spacing w:line="240" w:lineRule="exact"/>
              <w:jc w:val="center"/>
              <w:rPr>
                <w:rFonts w:ascii="宋体" w:hAnsi="宋体" w:cs="宋体"/>
                <w:kern w:val="0"/>
                <w:szCs w:val="21"/>
                <w:highlight w:val="none"/>
              </w:rPr>
            </w:pPr>
          </w:p>
        </w:tc>
        <w:tc>
          <w:tcPr>
            <w:tcW w:w="850" w:type="dxa"/>
            <w:shd w:val="clear" w:color="auto" w:fill="auto"/>
            <w:noWrap/>
            <w:vAlign w:val="center"/>
          </w:tcPr>
          <w:p>
            <w:pPr>
              <w:spacing w:line="240" w:lineRule="exact"/>
              <w:jc w:val="center"/>
              <w:rPr>
                <w:rFonts w:ascii="宋体" w:hAnsi="宋体" w:cs="宋体"/>
                <w:kern w:val="0"/>
                <w:szCs w:val="21"/>
                <w:highlight w:val="none"/>
              </w:rPr>
            </w:pPr>
          </w:p>
        </w:tc>
        <w:tc>
          <w:tcPr>
            <w:tcW w:w="709" w:type="dxa"/>
            <w:shd w:val="clear" w:color="auto" w:fill="auto"/>
            <w:noWrap/>
            <w:vAlign w:val="center"/>
          </w:tcPr>
          <w:p>
            <w:pPr>
              <w:spacing w:line="240" w:lineRule="exact"/>
              <w:jc w:val="center"/>
              <w:rPr>
                <w:rFonts w:ascii="宋体" w:hAnsi="宋体" w:cs="宋体"/>
                <w:kern w:val="0"/>
                <w:szCs w:val="21"/>
                <w:highlight w:val="none"/>
              </w:rPr>
            </w:pPr>
          </w:p>
        </w:tc>
        <w:tc>
          <w:tcPr>
            <w:tcW w:w="567" w:type="dxa"/>
            <w:shd w:val="clear" w:color="auto" w:fill="FFFFFF"/>
            <w:noWrap/>
            <w:vAlign w:val="center"/>
          </w:tcPr>
          <w:p>
            <w:pPr>
              <w:spacing w:line="240" w:lineRule="exact"/>
              <w:jc w:val="center"/>
              <w:rPr>
                <w:rFonts w:ascii="宋体" w:hAnsi="宋体" w:cs="宋体"/>
                <w:kern w:val="0"/>
                <w:szCs w:val="21"/>
                <w:highlight w:val="none"/>
              </w:rPr>
            </w:pPr>
          </w:p>
        </w:tc>
        <w:tc>
          <w:tcPr>
            <w:tcW w:w="425"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widowControl/>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48"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Merge w:val="restart"/>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通信</w:t>
            </w:r>
          </w:p>
        </w:tc>
        <w:tc>
          <w:tcPr>
            <w:tcW w:w="850"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管块</w:t>
            </w: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6"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p>
        </w:tc>
        <w:tc>
          <w:tcPr>
            <w:tcW w:w="850"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709"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spacing w:line="240" w:lineRule="exact"/>
              <w:jc w:val="center"/>
              <w:rPr>
                <w:rFonts w:ascii="宋体" w:hAnsi="宋体" w:cs="宋体"/>
                <w:kern w:val="0"/>
                <w:szCs w:val="21"/>
                <w:highlight w:val="none"/>
              </w:rPr>
            </w:pPr>
          </w:p>
        </w:tc>
        <w:tc>
          <w:tcPr>
            <w:tcW w:w="425"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widowControl/>
              <w:spacing w:line="240" w:lineRule="exact"/>
              <w:jc w:val="center"/>
              <w:rPr>
                <w:rFonts w:ascii="宋体" w:hAnsi="宋体" w:cs="宋体"/>
                <w:kern w:val="0"/>
                <w:szCs w:val="21"/>
                <w:highlight w:val="none"/>
              </w:rPr>
            </w:pPr>
          </w:p>
        </w:tc>
        <w:tc>
          <w:tcPr>
            <w:tcW w:w="548"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Merge w:val="continue"/>
            <w:noWrap/>
            <w:vAlign w:val="center"/>
          </w:tcPr>
          <w:p>
            <w:pPr>
              <w:adjustRightInd w:val="0"/>
              <w:snapToGrid w:val="0"/>
              <w:spacing w:line="240" w:lineRule="exact"/>
              <w:jc w:val="center"/>
              <w:rPr>
                <w:rFonts w:ascii="宋体" w:hAnsi="宋体" w:cs="宋体"/>
                <w:kern w:val="0"/>
                <w:szCs w:val="21"/>
                <w:highlight w:val="none"/>
              </w:rPr>
            </w:pPr>
          </w:p>
        </w:tc>
        <w:tc>
          <w:tcPr>
            <w:tcW w:w="850"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沟道</w:t>
            </w:r>
          </w:p>
        </w:tc>
        <w:tc>
          <w:tcPr>
            <w:tcW w:w="567" w:type="dxa"/>
            <w:noWrap/>
            <w:vAlign w:val="center"/>
          </w:tcPr>
          <w:p>
            <w:pPr>
              <w:spacing w:line="240" w:lineRule="exact"/>
              <w:jc w:val="center"/>
              <w:rPr>
                <w:rFonts w:ascii="宋体" w:hAnsi="宋体" w:cs="宋体"/>
                <w:kern w:val="0"/>
                <w:szCs w:val="21"/>
                <w:highlight w:val="none"/>
              </w:rPr>
            </w:pPr>
          </w:p>
        </w:tc>
        <w:tc>
          <w:tcPr>
            <w:tcW w:w="426"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spacing w:line="240" w:lineRule="exact"/>
              <w:jc w:val="center"/>
              <w:rPr>
                <w:rFonts w:ascii="宋体" w:hAnsi="宋体" w:cs="宋体"/>
                <w:kern w:val="0"/>
                <w:szCs w:val="21"/>
                <w:highlight w:val="none"/>
              </w:rPr>
            </w:pPr>
          </w:p>
        </w:tc>
        <w:tc>
          <w:tcPr>
            <w:tcW w:w="850"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709"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p>
        </w:tc>
        <w:tc>
          <w:tcPr>
            <w:tcW w:w="425"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widowControl/>
              <w:spacing w:line="240" w:lineRule="exact"/>
              <w:jc w:val="center"/>
              <w:rPr>
                <w:rFonts w:ascii="宋体" w:hAnsi="宋体" w:cs="宋体"/>
                <w:kern w:val="0"/>
                <w:szCs w:val="21"/>
                <w:highlight w:val="none"/>
              </w:rPr>
            </w:pPr>
          </w:p>
        </w:tc>
        <w:tc>
          <w:tcPr>
            <w:tcW w:w="548"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Merge w:val="continue"/>
            <w:noWrap/>
            <w:vAlign w:val="center"/>
          </w:tcPr>
          <w:p>
            <w:pPr>
              <w:adjustRightInd w:val="0"/>
              <w:snapToGrid w:val="0"/>
              <w:spacing w:line="240" w:lineRule="exact"/>
              <w:jc w:val="center"/>
              <w:rPr>
                <w:rFonts w:ascii="宋体" w:hAnsi="宋体" w:cs="宋体"/>
                <w:kern w:val="0"/>
                <w:szCs w:val="21"/>
                <w:highlight w:val="none"/>
              </w:rPr>
            </w:pPr>
          </w:p>
        </w:tc>
        <w:tc>
          <w:tcPr>
            <w:tcW w:w="850"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管埋</w:t>
            </w: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6"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850" w:type="dxa"/>
            <w:noWrap/>
            <w:vAlign w:val="center"/>
          </w:tcPr>
          <w:p>
            <w:pPr>
              <w:spacing w:line="240" w:lineRule="exact"/>
              <w:jc w:val="center"/>
              <w:rPr>
                <w:rFonts w:ascii="宋体" w:hAnsi="宋体" w:cs="宋体"/>
                <w:kern w:val="0"/>
                <w:szCs w:val="21"/>
                <w:highlight w:val="none"/>
              </w:rPr>
            </w:pPr>
          </w:p>
        </w:tc>
        <w:tc>
          <w:tcPr>
            <w:tcW w:w="709"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spacing w:line="240" w:lineRule="exact"/>
              <w:jc w:val="center"/>
              <w:rPr>
                <w:rFonts w:ascii="宋体" w:hAnsi="宋体" w:cs="宋体"/>
                <w:kern w:val="0"/>
                <w:szCs w:val="21"/>
                <w:highlight w:val="none"/>
              </w:rPr>
            </w:pPr>
          </w:p>
        </w:tc>
        <w:tc>
          <w:tcPr>
            <w:tcW w:w="425"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widowControl/>
              <w:spacing w:line="240" w:lineRule="exact"/>
              <w:jc w:val="center"/>
              <w:rPr>
                <w:rFonts w:ascii="宋体" w:hAnsi="宋体" w:cs="宋体"/>
                <w:kern w:val="0"/>
                <w:szCs w:val="21"/>
                <w:highlight w:val="none"/>
              </w:rPr>
            </w:pPr>
          </w:p>
        </w:tc>
        <w:tc>
          <w:tcPr>
            <w:tcW w:w="548"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vMerge w:val="continue"/>
            <w:noWrap/>
            <w:vAlign w:val="center"/>
          </w:tcPr>
          <w:p>
            <w:pPr>
              <w:adjustRightInd w:val="0"/>
              <w:snapToGrid w:val="0"/>
              <w:spacing w:line="240" w:lineRule="exact"/>
              <w:jc w:val="center"/>
              <w:rPr>
                <w:rFonts w:ascii="宋体" w:hAnsi="宋体" w:cs="宋体"/>
                <w:kern w:val="0"/>
                <w:szCs w:val="21"/>
                <w:highlight w:val="none"/>
              </w:rPr>
            </w:pPr>
          </w:p>
        </w:tc>
        <w:tc>
          <w:tcPr>
            <w:tcW w:w="850"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直埋</w:t>
            </w: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6"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p>
        </w:tc>
        <w:tc>
          <w:tcPr>
            <w:tcW w:w="850" w:type="dxa"/>
            <w:noWrap/>
            <w:vAlign w:val="center"/>
          </w:tcPr>
          <w:p>
            <w:pPr>
              <w:spacing w:line="240" w:lineRule="exact"/>
              <w:jc w:val="center"/>
              <w:rPr>
                <w:rFonts w:ascii="宋体" w:hAnsi="宋体" w:cs="宋体"/>
                <w:kern w:val="0"/>
                <w:szCs w:val="21"/>
                <w:highlight w:val="none"/>
              </w:rPr>
            </w:pPr>
          </w:p>
        </w:tc>
        <w:tc>
          <w:tcPr>
            <w:tcW w:w="709"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widowControl/>
              <w:spacing w:line="240" w:lineRule="exact"/>
              <w:jc w:val="center"/>
              <w:rPr>
                <w:rFonts w:ascii="宋体" w:hAnsi="宋体" w:cs="宋体"/>
                <w:kern w:val="0"/>
                <w:szCs w:val="21"/>
                <w:highlight w:val="none"/>
              </w:rPr>
            </w:pPr>
          </w:p>
        </w:tc>
        <w:tc>
          <w:tcPr>
            <w:tcW w:w="548"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工业</w:t>
            </w:r>
          </w:p>
        </w:tc>
        <w:tc>
          <w:tcPr>
            <w:tcW w:w="850"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管道</w:t>
            </w: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6"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850" w:type="dxa"/>
            <w:noWrap/>
            <w:vAlign w:val="center"/>
          </w:tcPr>
          <w:p>
            <w:pPr>
              <w:adjustRightInd w:val="0"/>
              <w:snapToGrid w:val="0"/>
              <w:spacing w:line="240" w:lineRule="exact"/>
              <w:jc w:val="center"/>
              <w:rPr>
                <w:rFonts w:ascii="宋体" w:hAnsi="宋体" w:cs="宋体"/>
                <w:kern w:val="0"/>
                <w:szCs w:val="21"/>
                <w:highlight w:val="none"/>
              </w:rPr>
            </w:pPr>
          </w:p>
        </w:tc>
        <w:tc>
          <w:tcPr>
            <w:tcW w:w="709"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425"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548"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综合管廊(沟)</w:t>
            </w:r>
          </w:p>
        </w:tc>
        <w:tc>
          <w:tcPr>
            <w:tcW w:w="850"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沟道</w:t>
            </w:r>
          </w:p>
        </w:tc>
        <w:tc>
          <w:tcPr>
            <w:tcW w:w="567"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6"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p>
        </w:tc>
        <w:tc>
          <w:tcPr>
            <w:tcW w:w="850"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709"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p>
        </w:tc>
        <w:tc>
          <w:tcPr>
            <w:tcW w:w="425"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5"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548"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spacing w:line="240" w:lineRule="exact"/>
              <w:jc w:val="center"/>
              <w:rPr>
                <w:rFonts w:ascii="宋体" w:hAnsi="宋体" w:cs="宋体"/>
                <w:kern w:val="0"/>
                <w:szCs w:val="21"/>
                <w:highlight w:val="none"/>
              </w:rPr>
            </w:pPr>
            <w:r>
              <w:rPr>
                <w:rFonts w:hint="eastAsia" w:ascii="宋体" w:hAnsi="宋体" w:cs="宋体"/>
                <w:kern w:val="0"/>
                <w:szCs w:val="21"/>
                <w:highlight w:val="none"/>
              </w:rPr>
              <w:t>其他</w:t>
            </w:r>
          </w:p>
          <w:p>
            <w:pPr>
              <w:spacing w:line="240" w:lineRule="exact"/>
              <w:jc w:val="center"/>
              <w:rPr>
                <w:rFonts w:ascii="宋体" w:hAnsi="宋体" w:cs="宋体"/>
                <w:kern w:val="0"/>
                <w:szCs w:val="21"/>
                <w:highlight w:val="none"/>
              </w:rPr>
            </w:pPr>
            <w:r>
              <w:rPr>
                <w:rFonts w:hint="eastAsia" w:ascii="宋体" w:hAnsi="宋体" w:cs="宋体"/>
                <w:kern w:val="0"/>
                <w:szCs w:val="21"/>
                <w:highlight w:val="none"/>
              </w:rPr>
              <w:t>管线</w:t>
            </w:r>
          </w:p>
        </w:tc>
        <w:tc>
          <w:tcPr>
            <w:tcW w:w="850"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管道</w:t>
            </w: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426"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850" w:type="dxa"/>
            <w:noWrap/>
            <w:vAlign w:val="center"/>
          </w:tcPr>
          <w:p>
            <w:pPr>
              <w:adjustRightInd w:val="0"/>
              <w:snapToGrid w:val="0"/>
              <w:spacing w:line="240" w:lineRule="exact"/>
              <w:jc w:val="center"/>
              <w:rPr>
                <w:rFonts w:ascii="宋体" w:hAnsi="宋体" w:cs="宋体"/>
                <w:kern w:val="0"/>
                <w:szCs w:val="21"/>
                <w:highlight w:val="none"/>
              </w:rPr>
            </w:pPr>
          </w:p>
        </w:tc>
        <w:tc>
          <w:tcPr>
            <w:tcW w:w="709"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425"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425" w:type="dxa"/>
            <w:noWrap/>
            <w:vAlign w:val="center"/>
          </w:tcPr>
          <w:p>
            <w:pPr>
              <w:adjustRightInd w:val="0"/>
              <w:snapToGrid w:val="0"/>
              <w:spacing w:line="240" w:lineRule="exact"/>
              <w:jc w:val="center"/>
              <w:rPr>
                <w:rFonts w:ascii="宋体" w:hAnsi="宋体" w:cs="宋体"/>
                <w:kern w:val="0"/>
                <w:szCs w:val="21"/>
                <w:highlight w:val="none"/>
              </w:rPr>
            </w:pPr>
          </w:p>
        </w:tc>
        <w:tc>
          <w:tcPr>
            <w:tcW w:w="567" w:type="dxa"/>
            <w:noWrap/>
            <w:vAlign w:val="center"/>
          </w:tcPr>
          <w:p>
            <w:pPr>
              <w:spacing w:line="240" w:lineRule="exact"/>
              <w:jc w:val="center"/>
              <w:rPr>
                <w:rFonts w:ascii="宋体" w:hAnsi="宋体" w:cs="宋体"/>
                <w:kern w:val="0"/>
                <w:szCs w:val="21"/>
                <w:highlight w:val="none"/>
              </w:rPr>
            </w:pPr>
          </w:p>
        </w:tc>
        <w:tc>
          <w:tcPr>
            <w:tcW w:w="567" w:type="dxa"/>
            <w:noWrap/>
            <w:vAlign w:val="center"/>
          </w:tcPr>
          <w:p>
            <w:pPr>
              <w:adjustRightInd w:val="0"/>
              <w:snapToGrid w:val="0"/>
              <w:spacing w:line="240" w:lineRule="exact"/>
              <w:jc w:val="center"/>
              <w:rPr>
                <w:rFonts w:ascii="宋体" w:hAnsi="宋体" w:cs="宋体"/>
                <w:kern w:val="0"/>
                <w:szCs w:val="21"/>
                <w:highlight w:val="none"/>
              </w:rPr>
            </w:pPr>
          </w:p>
        </w:tc>
        <w:tc>
          <w:tcPr>
            <w:tcW w:w="548" w:type="dxa"/>
            <w:noWrap/>
            <w:vAlign w:val="center"/>
          </w:tcPr>
          <w:p>
            <w:pPr>
              <w:adjustRightInd w:val="0"/>
              <w:snapToGrid w:val="0"/>
              <w:spacing w:line="240" w:lineRule="exact"/>
              <w:jc w:val="center"/>
              <w:rPr>
                <w:rFonts w:ascii="宋体" w:hAnsi="宋体" w:cs="宋体"/>
                <w:kern w:val="0"/>
                <w:szCs w:val="21"/>
                <w:highlight w:val="none"/>
              </w:rPr>
            </w:pPr>
            <w:r>
              <w:rPr>
                <w:rFonts w:hint="eastAsia" w:ascii="宋体" w:hAnsi="宋体" w:cs="宋体"/>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8" w:type="dxa"/>
            <w:gridSpan w:val="15"/>
            <w:noWrap/>
            <w:vAlign w:val="center"/>
          </w:tcPr>
          <w:p>
            <w:pPr>
              <w:adjustRightInd w:val="0"/>
              <w:snapToGrid w:val="0"/>
              <w:spacing w:line="280" w:lineRule="exact"/>
              <w:jc w:val="left"/>
              <w:rPr>
                <w:rFonts w:ascii="宋体" w:hAnsi="宋体" w:cs="宋体"/>
                <w:b/>
                <w:bCs/>
                <w:szCs w:val="21"/>
                <w:highlight w:val="none"/>
              </w:rPr>
            </w:pPr>
            <w:r>
              <w:rPr>
                <w:rFonts w:hint="eastAsia" w:ascii="宋体" w:hAnsi="宋体" w:cs="宋体"/>
                <w:b/>
                <w:bCs/>
                <w:szCs w:val="21"/>
                <w:highlight w:val="none"/>
              </w:rPr>
              <w:t>注1：▲表示应查明项目。</w:t>
            </w:r>
          </w:p>
          <w:p>
            <w:pPr>
              <w:adjustRightInd w:val="0"/>
              <w:snapToGrid w:val="0"/>
              <w:spacing w:line="280" w:lineRule="exact"/>
              <w:jc w:val="left"/>
              <w:rPr>
                <w:rFonts w:ascii="宋体" w:hAnsi="宋体" w:cs="宋体"/>
                <w:szCs w:val="21"/>
                <w:highlight w:val="none"/>
              </w:rPr>
            </w:pPr>
            <w:r>
              <w:rPr>
                <w:rFonts w:hint="eastAsia" w:ascii="宋体" w:hAnsi="宋体" w:cs="宋体"/>
                <w:szCs w:val="21"/>
                <w:highlight w:val="none"/>
              </w:rPr>
              <w:t>注2：断面尺寸：单位用毫米表示。有压力的圆形地下管道量测外径，其它圆形地下管道量测内径；电力、通信管块调查外径，其它矩形断面量测内壁的宽和高；</w:t>
            </w:r>
          </w:p>
          <w:p>
            <w:pPr>
              <w:adjustRightInd w:val="0"/>
              <w:snapToGrid w:val="0"/>
              <w:spacing w:line="280" w:lineRule="exact"/>
              <w:jc w:val="left"/>
              <w:rPr>
                <w:rFonts w:ascii="宋体" w:hAnsi="宋体" w:cs="宋体"/>
                <w:szCs w:val="21"/>
                <w:highlight w:val="none"/>
              </w:rPr>
            </w:pPr>
            <w:r>
              <w:rPr>
                <w:rFonts w:hint="eastAsia" w:ascii="宋体" w:hAnsi="宋体" w:cs="宋体"/>
                <w:szCs w:val="21"/>
                <w:highlight w:val="none"/>
              </w:rPr>
              <w:t>注3：保护材质指线缆类管线最外层保护介质的材质；</w:t>
            </w:r>
          </w:p>
          <w:p>
            <w:pPr>
              <w:adjustRightInd w:val="0"/>
              <w:snapToGrid w:val="0"/>
              <w:spacing w:line="280" w:lineRule="exact"/>
              <w:jc w:val="left"/>
              <w:rPr>
                <w:rFonts w:ascii="宋体" w:hAnsi="宋体" w:cs="宋体"/>
                <w:szCs w:val="21"/>
                <w:highlight w:val="none"/>
              </w:rPr>
            </w:pPr>
            <w:r>
              <w:rPr>
                <w:rFonts w:hint="eastAsia" w:ascii="宋体" w:hAnsi="宋体" w:cs="宋体"/>
                <w:szCs w:val="21"/>
                <w:highlight w:val="none"/>
              </w:rPr>
              <w:t>注4：管线埋深：直埋电缆和管块应量测外顶埋深，电力、通讯沟道量测内底埋深，给水、燃气和工业等有压力的管道量测外顶埋深，排水管沟、地下沟道和自流管道应量测内底埋深。综合管廊应量测外顶埋深；出露在地面上的管线，实测管顶或管底高程，埋深记为“0”；</w:t>
            </w:r>
          </w:p>
          <w:p>
            <w:pPr>
              <w:adjustRightInd w:val="0"/>
              <w:snapToGrid w:val="0"/>
              <w:spacing w:line="280" w:lineRule="exact"/>
              <w:jc w:val="left"/>
              <w:rPr>
                <w:rFonts w:ascii="宋体" w:hAnsi="宋体" w:cs="宋体"/>
                <w:b/>
                <w:bCs/>
                <w:szCs w:val="21"/>
                <w:highlight w:val="none"/>
              </w:rPr>
            </w:pPr>
            <w:r>
              <w:rPr>
                <w:rFonts w:hint="eastAsia" w:ascii="宋体" w:hAnsi="宋体" w:cs="宋体"/>
                <w:szCs w:val="21"/>
                <w:highlight w:val="none"/>
              </w:rPr>
              <w:t>注5：只有电力、通信管线才需调查线缆条数。</w:t>
            </w:r>
          </w:p>
        </w:tc>
      </w:tr>
    </w:tbl>
    <w:p>
      <w:pPr>
        <w:spacing w:before="312" w:beforeLines="100" w:line="360" w:lineRule="auto"/>
        <w:ind w:firstLine="424" w:firstLineChars="177"/>
        <w:rPr>
          <w:rFonts w:ascii="宋体" w:hAnsi="宋体"/>
          <w:sz w:val="24"/>
          <w:highlight w:val="none"/>
        </w:rPr>
      </w:pPr>
      <w:r>
        <w:rPr>
          <w:rFonts w:hint="eastAsia" w:ascii="宋体" w:hAnsi="宋体"/>
          <w:sz w:val="24"/>
          <w:highlight w:val="none"/>
        </w:rPr>
        <w:t>4、管线特征点和附属设施按表1-2执行。</w:t>
      </w:r>
    </w:p>
    <w:p>
      <w:pPr>
        <w:pStyle w:val="245"/>
        <w:spacing w:line="360" w:lineRule="auto"/>
        <w:rPr>
          <w:rFonts w:ascii="Times New Roman" w:eastAsia="仿宋"/>
          <w:bCs/>
          <w:sz w:val="24"/>
          <w:szCs w:val="24"/>
          <w:highlight w:val="none"/>
        </w:rPr>
      </w:pPr>
      <w:r>
        <w:rPr>
          <w:rFonts w:hint="eastAsia" w:ascii="宋体" w:hAnsi="宋体" w:eastAsia="宋体"/>
          <w:kern w:val="2"/>
          <w:sz w:val="24"/>
          <w:szCs w:val="24"/>
          <w:highlight w:val="none"/>
        </w:rPr>
        <w:t>表1-2 管线特征点和附属设施表</w:t>
      </w:r>
    </w:p>
    <w:tbl>
      <w:tblPr>
        <w:tblStyle w:val="43"/>
        <w:tblpPr w:leftFromText="180" w:rightFromText="180" w:vertAnchor="text" w:horzAnchor="margin" w:tblpXSpec="center" w:tblpY="17"/>
        <w:tblW w:w="8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3571"/>
        <w:gridCol w:w="4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1133" w:type="dxa"/>
            <w:noWrap/>
            <w:vAlign w:val="center"/>
          </w:tcPr>
          <w:p>
            <w:pPr>
              <w:spacing w:line="280" w:lineRule="exact"/>
              <w:jc w:val="center"/>
              <w:rPr>
                <w:rFonts w:ascii="宋体" w:hAnsi="宋体" w:cs="宋体"/>
                <w:b/>
                <w:bCs/>
                <w:kern w:val="0"/>
                <w:szCs w:val="21"/>
                <w:highlight w:val="none"/>
              </w:rPr>
            </w:pPr>
            <w:r>
              <w:rPr>
                <w:rFonts w:hint="eastAsia" w:ascii="宋体" w:hAnsi="宋体" w:cs="宋体"/>
                <w:b/>
                <w:bCs/>
                <w:kern w:val="0"/>
                <w:szCs w:val="21"/>
                <w:highlight w:val="none"/>
              </w:rPr>
              <w:t>管线种类</w:t>
            </w:r>
          </w:p>
        </w:tc>
        <w:tc>
          <w:tcPr>
            <w:tcW w:w="3571" w:type="dxa"/>
            <w:tcBorders>
              <w:top w:val="single" w:color="auto" w:sz="6" w:space="0"/>
              <w:bottom w:val="single" w:color="auto" w:sz="4" w:space="0"/>
              <w:right w:val="single" w:color="auto" w:sz="6" w:space="0"/>
            </w:tcBorders>
            <w:noWrap/>
            <w:vAlign w:val="center"/>
          </w:tcPr>
          <w:p>
            <w:pPr>
              <w:spacing w:line="280" w:lineRule="exact"/>
              <w:jc w:val="center"/>
              <w:rPr>
                <w:rFonts w:ascii="宋体" w:hAnsi="宋体" w:cs="宋体"/>
                <w:b/>
                <w:bCs/>
                <w:kern w:val="0"/>
                <w:szCs w:val="21"/>
                <w:highlight w:val="none"/>
              </w:rPr>
            </w:pPr>
            <w:r>
              <w:rPr>
                <w:rFonts w:hint="eastAsia" w:ascii="宋体" w:hAnsi="宋体" w:cs="宋体"/>
                <w:b/>
                <w:bCs/>
                <w:kern w:val="0"/>
                <w:szCs w:val="21"/>
                <w:highlight w:val="none"/>
              </w:rPr>
              <w:t>特征点</w:t>
            </w:r>
          </w:p>
        </w:tc>
        <w:tc>
          <w:tcPr>
            <w:tcW w:w="4095" w:type="dxa"/>
            <w:tcBorders>
              <w:top w:val="single" w:color="auto" w:sz="6" w:space="0"/>
              <w:left w:val="single" w:color="auto" w:sz="6" w:space="0"/>
              <w:bottom w:val="single" w:color="auto" w:sz="4" w:space="0"/>
            </w:tcBorders>
            <w:noWrap/>
            <w:vAlign w:val="center"/>
          </w:tcPr>
          <w:p>
            <w:pPr>
              <w:spacing w:line="280" w:lineRule="exact"/>
              <w:jc w:val="center"/>
              <w:rPr>
                <w:rFonts w:ascii="宋体" w:hAnsi="宋体" w:cs="宋体"/>
                <w:b/>
                <w:bCs/>
                <w:kern w:val="0"/>
                <w:szCs w:val="21"/>
                <w:highlight w:val="none"/>
              </w:rPr>
            </w:pPr>
            <w:r>
              <w:rPr>
                <w:rFonts w:hint="eastAsia" w:ascii="宋体" w:hAnsi="宋体" w:cs="宋体"/>
                <w:b/>
                <w:bCs/>
                <w:kern w:val="0"/>
                <w:szCs w:val="21"/>
                <w:highlight w:val="none"/>
              </w:rPr>
              <w:t>附属设施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1133" w:type="dxa"/>
            <w:noWrap/>
            <w:vAlign w:val="center"/>
          </w:tcPr>
          <w:p>
            <w:pPr>
              <w:adjustRightInd w:val="0"/>
              <w:snapToGrid w:val="0"/>
              <w:spacing w:line="280" w:lineRule="exact"/>
              <w:jc w:val="center"/>
              <w:rPr>
                <w:rFonts w:ascii="宋体" w:hAnsi="宋体" w:cs="宋体"/>
                <w:kern w:val="0"/>
                <w:szCs w:val="21"/>
                <w:highlight w:val="none"/>
              </w:rPr>
            </w:pPr>
            <w:r>
              <w:rPr>
                <w:rFonts w:hint="eastAsia" w:ascii="宋体" w:hAnsi="宋体" w:cs="宋体"/>
                <w:kern w:val="0"/>
                <w:szCs w:val="21"/>
                <w:highlight w:val="none"/>
              </w:rPr>
              <w:t>给水</w:t>
            </w:r>
          </w:p>
        </w:tc>
        <w:tc>
          <w:tcPr>
            <w:tcW w:w="3571" w:type="dxa"/>
            <w:tcBorders>
              <w:top w:val="single" w:color="auto" w:sz="6" w:space="0"/>
              <w:bottom w:val="single" w:color="auto" w:sz="4" w:space="0"/>
              <w:right w:val="single" w:color="auto" w:sz="6" w:space="0"/>
            </w:tcBorders>
            <w:noWrap/>
            <w:vAlign w:val="center"/>
          </w:tcPr>
          <w:p>
            <w:pPr>
              <w:adjustRightInd w:val="0"/>
              <w:snapToGrid w:val="0"/>
              <w:spacing w:line="280" w:lineRule="exact"/>
              <w:jc w:val="left"/>
              <w:rPr>
                <w:rFonts w:ascii="宋体" w:hAnsi="宋体" w:cs="宋体"/>
                <w:kern w:val="0"/>
                <w:szCs w:val="21"/>
                <w:highlight w:val="none"/>
              </w:rPr>
            </w:pPr>
            <w:r>
              <w:rPr>
                <w:rFonts w:hint="eastAsia" w:ascii="宋体" w:hAnsi="宋体" w:cs="宋体"/>
                <w:szCs w:val="21"/>
                <w:highlight w:val="none"/>
              </w:rPr>
              <w:t>测压点、测流点、水质监测点、变径、出地、盖堵、弯头、直线点、三通、四通、多通、预留口、非普查、入户、</w:t>
            </w:r>
            <w:r>
              <w:rPr>
                <w:rFonts w:hint="eastAsia" w:ascii="宋体" w:hAnsi="宋体" w:cs="宋体"/>
                <w:kern w:val="0"/>
                <w:szCs w:val="21"/>
                <w:highlight w:val="none"/>
              </w:rPr>
              <w:t>井边点、井内点等</w:t>
            </w:r>
          </w:p>
        </w:tc>
        <w:tc>
          <w:tcPr>
            <w:tcW w:w="4095" w:type="dxa"/>
            <w:tcBorders>
              <w:top w:val="single" w:color="auto" w:sz="6" w:space="0"/>
              <w:left w:val="single" w:color="auto" w:sz="6" w:space="0"/>
              <w:bottom w:val="single" w:color="auto" w:sz="4" w:space="0"/>
            </w:tcBorders>
            <w:noWrap/>
            <w:vAlign w:val="center"/>
          </w:tcPr>
          <w:p>
            <w:pPr>
              <w:adjustRightInd w:val="0"/>
              <w:snapToGrid w:val="0"/>
              <w:spacing w:line="280" w:lineRule="exact"/>
              <w:jc w:val="left"/>
              <w:rPr>
                <w:rFonts w:ascii="宋体" w:hAnsi="宋体" w:cs="宋体"/>
                <w:kern w:val="0"/>
                <w:szCs w:val="21"/>
                <w:highlight w:val="none"/>
              </w:rPr>
            </w:pPr>
            <w:r>
              <w:rPr>
                <w:rFonts w:hint="eastAsia" w:ascii="宋体" w:hAnsi="宋体" w:cs="宋体"/>
                <w:kern w:val="0"/>
                <w:szCs w:val="21"/>
                <w:highlight w:val="none"/>
              </w:rPr>
              <w:t>检修井、阀门井、消防井、水表井、水源井、排气阀、排污阀、水塔、水表、水池、阀门孔、</w:t>
            </w:r>
            <w:r>
              <w:rPr>
                <w:rFonts w:hint="eastAsia" w:ascii="宋体" w:hAnsi="宋体" w:cs="宋体"/>
                <w:szCs w:val="21"/>
                <w:highlight w:val="none"/>
              </w:rPr>
              <w:t>泵站、消防栓、阀门、进水口、出水口、沉淀池</w:t>
            </w:r>
            <w:r>
              <w:rPr>
                <w:rFonts w:hint="eastAsia" w:ascii="宋体" w:hAnsi="宋体" w:cs="宋体"/>
                <w:kern w:val="0"/>
                <w:szCs w:val="21"/>
                <w:highlight w:val="none"/>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1133" w:type="dxa"/>
            <w:noWrap/>
            <w:vAlign w:val="center"/>
          </w:tcPr>
          <w:p>
            <w:pPr>
              <w:adjustRightInd w:val="0"/>
              <w:snapToGrid w:val="0"/>
              <w:spacing w:line="280" w:lineRule="exact"/>
              <w:jc w:val="center"/>
              <w:rPr>
                <w:rFonts w:ascii="宋体" w:hAnsi="宋体" w:cs="宋体"/>
                <w:kern w:val="0"/>
                <w:szCs w:val="21"/>
                <w:highlight w:val="none"/>
              </w:rPr>
            </w:pPr>
            <w:r>
              <w:rPr>
                <w:rFonts w:hint="eastAsia" w:ascii="宋体" w:hAnsi="宋体" w:cs="宋体"/>
                <w:kern w:val="0"/>
                <w:szCs w:val="21"/>
                <w:highlight w:val="none"/>
              </w:rPr>
              <w:t>排水</w:t>
            </w:r>
          </w:p>
        </w:tc>
        <w:tc>
          <w:tcPr>
            <w:tcW w:w="3571" w:type="dxa"/>
            <w:tcBorders>
              <w:top w:val="single" w:color="auto" w:sz="6" w:space="0"/>
              <w:bottom w:val="single" w:color="auto" w:sz="4" w:space="0"/>
              <w:right w:val="single" w:color="auto" w:sz="6" w:space="0"/>
            </w:tcBorders>
            <w:noWrap/>
            <w:vAlign w:val="center"/>
          </w:tcPr>
          <w:p>
            <w:pPr>
              <w:adjustRightInd w:val="0"/>
              <w:snapToGrid w:val="0"/>
              <w:spacing w:line="280" w:lineRule="exact"/>
              <w:jc w:val="left"/>
              <w:rPr>
                <w:rFonts w:ascii="宋体" w:hAnsi="宋体" w:cs="宋体"/>
                <w:kern w:val="0"/>
                <w:szCs w:val="21"/>
                <w:highlight w:val="none"/>
              </w:rPr>
            </w:pPr>
            <w:r>
              <w:rPr>
                <w:rFonts w:hint="eastAsia" w:ascii="宋体" w:hAnsi="宋体" w:cs="宋体"/>
                <w:kern w:val="0"/>
                <w:szCs w:val="21"/>
                <w:highlight w:val="none"/>
              </w:rPr>
              <w:t>变径、出地、拐点</w:t>
            </w:r>
            <w:r>
              <w:rPr>
                <w:rFonts w:hint="eastAsia" w:ascii="宋体" w:hAnsi="宋体" w:cs="宋体"/>
                <w:szCs w:val="21"/>
                <w:highlight w:val="none"/>
              </w:rPr>
              <w:t>、直线点</w:t>
            </w:r>
            <w:r>
              <w:rPr>
                <w:rFonts w:hint="eastAsia" w:ascii="宋体" w:hAnsi="宋体" w:cs="宋体"/>
                <w:kern w:val="0"/>
                <w:szCs w:val="21"/>
                <w:highlight w:val="none"/>
              </w:rPr>
              <w:t>、三通、四通、多通、非普查、预留口、井边点、井内点、进水口、出水口等</w:t>
            </w:r>
          </w:p>
        </w:tc>
        <w:tc>
          <w:tcPr>
            <w:tcW w:w="4095" w:type="dxa"/>
            <w:tcBorders>
              <w:top w:val="single" w:color="auto" w:sz="6" w:space="0"/>
              <w:left w:val="single" w:color="auto" w:sz="6" w:space="0"/>
              <w:bottom w:val="single" w:color="auto" w:sz="4" w:space="0"/>
            </w:tcBorders>
            <w:noWrap/>
            <w:vAlign w:val="center"/>
          </w:tcPr>
          <w:p>
            <w:pPr>
              <w:adjustRightInd w:val="0"/>
              <w:snapToGrid w:val="0"/>
              <w:spacing w:line="280" w:lineRule="exact"/>
              <w:jc w:val="left"/>
              <w:rPr>
                <w:rFonts w:ascii="宋体" w:hAnsi="宋体" w:cs="宋体"/>
                <w:kern w:val="0"/>
                <w:szCs w:val="21"/>
                <w:highlight w:val="none"/>
              </w:rPr>
            </w:pPr>
            <w:r>
              <w:rPr>
                <w:rFonts w:hint="eastAsia" w:ascii="宋体" w:hAnsi="宋体" w:cs="宋体"/>
                <w:kern w:val="0"/>
                <w:szCs w:val="21"/>
                <w:highlight w:val="none"/>
              </w:rPr>
              <w:t>污水井、雨水井、雨篦、污篦、溢流井、阀门井、跌水井、通风井、冲洗井、沉泥井、渗水井、出气井、水封井、排水</w:t>
            </w:r>
            <w:r>
              <w:rPr>
                <w:rFonts w:hint="eastAsia" w:ascii="宋体" w:hAnsi="宋体" w:cs="宋体"/>
                <w:szCs w:val="21"/>
                <w:highlight w:val="none"/>
              </w:rPr>
              <w:t>泵站、</w:t>
            </w:r>
            <w:r>
              <w:rPr>
                <w:rFonts w:hint="eastAsia" w:ascii="宋体" w:hAnsi="宋体" w:cs="宋体"/>
                <w:kern w:val="0"/>
                <w:szCs w:val="21"/>
                <w:highlight w:val="none"/>
              </w:rPr>
              <w:t>化粪池、净化池、阀门等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1133" w:type="dxa"/>
            <w:noWrap/>
            <w:vAlign w:val="center"/>
          </w:tcPr>
          <w:p>
            <w:pPr>
              <w:adjustRightInd w:val="0"/>
              <w:snapToGrid w:val="0"/>
              <w:spacing w:line="280" w:lineRule="exact"/>
              <w:jc w:val="center"/>
              <w:rPr>
                <w:rFonts w:ascii="宋体" w:hAnsi="宋体" w:cs="宋体"/>
                <w:kern w:val="0"/>
                <w:szCs w:val="21"/>
                <w:highlight w:val="none"/>
              </w:rPr>
            </w:pPr>
            <w:r>
              <w:rPr>
                <w:rFonts w:hint="eastAsia" w:ascii="宋体" w:hAnsi="宋体" w:cs="宋体"/>
                <w:kern w:val="0"/>
                <w:szCs w:val="21"/>
                <w:highlight w:val="none"/>
              </w:rPr>
              <w:t>燃气</w:t>
            </w:r>
          </w:p>
        </w:tc>
        <w:tc>
          <w:tcPr>
            <w:tcW w:w="3571" w:type="dxa"/>
            <w:tcBorders>
              <w:top w:val="single" w:color="auto" w:sz="6" w:space="0"/>
              <w:bottom w:val="single" w:color="auto" w:sz="4" w:space="0"/>
              <w:right w:val="single" w:color="auto" w:sz="6" w:space="0"/>
            </w:tcBorders>
            <w:noWrap/>
          </w:tcPr>
          <w:p>
            <w:pPr>
              <w:adjustRightInd w:val="0"/>
              <w:snapToGrid w:val="0"/>
              <w:spacing w:line="280" w:lineRule="exact"/>
              <w:jc w:val="left"/>
              <w:rPr>
                <w:rFonts w:ascii="宋体" w:hAnsi="宋体" w:cs="宋体"/>
                <w:kern w:val="0"/>
                <w:szCs w:val="21"/>
                <w:highlight w:val="none"/>
              </w:rPr>
            </w:pPr>
            <w:r>
              <w:rPr>
                <w:rFonts w:hint="eastAsia" w:ascii="宋体" w:hAnsi="宋体" w:cs="宋体"/>
                <w:szCs w:val="21"/>
                <w:highlight w:val="none"/>
              </w:rPr>
              <w:t>变径、出地、盖堵、弯头、直线点</w:t>
            </w:r>
            <w:r>
              <w:rPr>
                <w:rFonts w:hint="eastAsia" w:ascii="宋体" w:hAnsi="宋体" w:cs="宋体"/>
                <w:kern w:val="0"/>
                <w:szCs w:val="21"/>
                <w:highlight w:val="none"/>
              </w:rPr>
              <w:t>、</w:t>
            </w:r>
            <w:r>
              <w:rPr>
                <w:rFonts w:hint="eastAsia" w:ascii="宋体" w:hAnsi="宋体" w:cs="宋体"/>
                <w:szCs w:val="21"/>
                <w:highlight w:val="none"/>
              </w:rPr>
              <w:t>三通、四通、多通、预留口、非普查、入户、</w:t>
            </w:r>
            <w:r>
              <w:rPr>
                <w:rFonts w:hint="eastAsia" w:ascii="宋体" w:hAnsi="宋体" w:cs="宋体"/>
                <w:kern w:val="0"/>
                <w:szCs w:val="21"/>
                <w:highlight w:val="none"/>
              </w:rPr>
              <w:t>井边点、井内点等</w:t>
            </w:r>
          </w:p>
        </w:tc>
        <w:tc>
          <w:tcPr>
            <w:tcW w:w="4095" w:type="dxa"/>
            <w:tcBorders>
              <w:top w:val="single" w:color="auto" w:sz="6" w:space="0"/>
              <w:left w:val="single" w:color="auto" w:sz="6" w:space="0"/>
              <w:bottom w:val="single" w:color="auto" w:sz="4" w:space="0"/>
            </w:tcBorders>
            <w:noWrap/>
          </w:tcPr>
          <w:p>
            <w:pPr>
              <w:adjustRightInd w:val="0"/>
              <w:snapToGrid w:val="0"/>
              <w:spacing w:line="280" w:lineRule="exact"/>
              <w:jc w:val="left"/>
              <w:rPr>
                <w:rFonts w:ascii="宋体" w:hAnsi="宋体" w:cs="宋体"/>
                <w:kern w:val="0"/>
                <w:szCs w:val="21"/>
                <w:highlight w:val="none"/>
              </w:rPr>
            </w:pPr>
            <w:r>
              <w:rPr>
                <w:rFonts w:hint="eastAsia" w:ascii="宋体" w:hAnsi="宋体" w:cs="宋体"/>
                <w:kern w:val="0"/>
                <w:szCs w:val="21"/>
                <w:highlight w:val="none"/>
              </w:rPr>
              <w:t>阀门井、检修井、阀门、压力表、阴极测试桩、波形管、凝水缸、调压箱、调压站、燃气柜、燃气桩、涨缩站等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1133" w:type="dxa"/>
            <w:noWrap/>
            <w:vAlign w:val="center"/>
          </w:tcPr>
          <w:p>
            <w:pPr>
              <w:adjustRightInd w:val="0"/>
              <w:snapToGrid w:val="0"/>
              <w:spacing w:line="280" w:lineRule="exact"/>
              <w:jc w:val="center"/>
              <w:rPr>
                <w:rFonts w:ascii="宋体" w:hAnsi="宋体" w:cs="宋体"/>
                <w:kern w:val="0"/>
                <w:szCs w:val="21"/>
                <w:highlight w:val="none"/>
              </w:rPr>
            </w:pPr>
            <w:r>
              <w:rPr>
                <w:rFonts w:hint="eastAsia" w:ascii="宋体" w:hAnsi="宋体" w:cs="宋体"/>
                <w:kern w:val="0"/>
                <w:szCs w:val="21"/>
                <w:highlight w:val="none"/>
              </w:rPr>
              <w:t>热力</w:t>
            </w:r>
          </w:p>
        </w:tc>
        <w:tc>
          <w:tcPr>
            <w:tcW w:w="3571" w:type="dxa"/>
            <w:tcBorders>
              <w:top w:val="single" w:color="auto" w:sz="6" w:space="0"/>
              <w:bottom w:val="single" w:color="auto" w:sz="4" w:space="0"/>
              <w:right w:val="single" w:color="auto" w:sz="6" w:space="0"/>
            </w:tcBorders>
            <w:noWrap/>
          </w:tcPr>
          <w:p>
            <w:pPr>
              <w:adjustRightInd w:val="0"/>
              <w:snapToGrid w:val="0"/>
              <w:spacing w:line="280" w:lineRule="exact"/>
              <w:jc w:val="left"/>
              <w:rPr>
                <w:rFonts w:ascii="宋体" w:hAnsi="宋体" w:cs="宋体"/>
                <w:kern w:val="0"/>
                <w:szCs w:val="21"/>
                <w:highlight w:val="none"/>
              </w:rPr>
            </w:pPr>
            <w:r>
              <w:rPr>
                <w:rFonts w:hint="eastAsia" w:ascii="宋体" w:hAnsi="宋体" w:cs="宋体"/>
                <w:szCs w:val="21"/>
                <w:highlight w:val="none"/>
              </w:rPr>
              <w:t>变径、出地、盖堵、弯头、直线点、三通、四通、多通、预留口、非普查、入户、</w:t>
            </w:r>
            <w:r>
              <w:rPr>
                <w:rFonts w:hint="eastAsia" w:ascii="宋体" w:hAnsi="宋体" w:cs="宋体"/>
                <w:kern w:val="0"/>
                <w:szCs w:val="21"/>
                <w:highlight w:val="none"/>
              </w:rPr>
              <w:t>井边点、井内点等</w:t>
            </w:r>
          </w:p>
        </w:tc>
        <w:tc>
          <w:tcPr>
            <w:tcW w:w="4095" w:type="dxa"/>
            <w:tcBorders>
              <w:top w:val="single" w:color="auto" w:sz="6" w:space="0"/>
              <w:left w:val="single" w:color="auto" w:sz="6" w:space="0"/>
              <w:bottom w:val="single" w:color="auto" w:sz="4" w:space="0"/>
            </w:tcBorders>
            <w:noWrap/>
          </w:tcPr>
          <w:p>
            <w:pPr>
              <w:adjustRightInd w:val="0"/>
              <w:snapToGrid w:val="0"/>
              <w:spacing w:line="280" w:lineRule="exact"/>
              <w:jc w:val="left"/>
              <w:rPr>
                <w:rFonts w:ascii="宋体" w:hAnsi="宋体" w:cs="宋体"/>
                <w:kern w:val="0"/>
                <w:szCs w:val="21"/>
                <w:highlight w:val="none"/>
              </w:rPr>
            </w:pPr>
            <w:r>
              <w:rPr>
                <w:rFonts w:hint="eastAsia" w:ascii="宋体" w:hAnsi="宋体" w:cs="宋体"/>
                <w:kern w:val="0"/>
                <w:szCs w:val="21"/>
                <w:highlight w:val="none"/>
              </w:rPr>
              <w:t>检修井、阀门井、吹扫井、阀门、调压装置、疏水、真空表、固定节、安全阀、排潮孔、换热站等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noWrap/>
            <w:vAlign w:val="center"/>
          </w:tcPr>
          <w:p>
            <w:pPr>
              <w:adjustRightInd w:val="0"/>
              <w:snapToGrid w:val="0"/>
              <w:spacing w:line="280" w:lineRule="exact"/>
              <w:jc w:val="center"/>
              <w:rPr>
                <w:rFonts w:ascii="宋体" w:hAnsi="宋体" w:cs="宋体"/>
                <w:kern w:val="0"/>
                <w:szCs w:val="21"/>
                <w:highlight w:val="none"/>
              </w:rPr>
            </w:pPr>
            <w:r>
              <w:rPr>
                <w:rFonts w:hint="eastAsia" w:ascii="宋体" w:hAnsi="宋体" w:cs="宋体"/>
                <w:kern w:val="0"/>
                <w:szCs w:val="21"/>
                <w:highlight w:val="none"/>
              </w:rPr>
              <w:t>电力</w:t>
            </w:r>
          </w:p>
        </w:tc>
        <w:tc>
          <w:tcPr>
            <w:tcW w:w="3571" w:type="dxa"/>
            <w:tcBorders>
              <w:right w:val="single" w:color="auto" w:sz="6" w:space="0"/>
            </w:tcBorders>
            <w:noWrap/>
            <w:vAlign w:val="center"/>
          </w:tcPr>
          <w:p>
            <w:pPr>
              <w:adjustRightInd w:val="0"/>
              <w:snapToGrid w:val="0"/>
              <w:spacing w:line="280" w:lineRule="exact"/>
              <w:jc w:val="left"/>
              <w:rPr>
                <w:rFonts w:ascii="宋体" w:hAnsi="宋体" w:cs="宋体"/>
                <w:kern w:val="0"/>
                <w:szCs w:val="21"/>
                <w:highlight w:val="none"/>
              </w:rPr>
            </w:pPr>
            <w:r>
              <w:rPr>
                <w:rFonts w:hint="eastAsia" w:ascii="宋体" w:hAnsi="宋体" w:cs="宋体"/>
                <w:szCs w:val="21"/>
                <w:highlight w:val="none"/>
              </w:rPr>
              <w:t>弯头、直线点、分支点、预留口、非普查、入户、</w:t>
            </w:r>
            <w:r>
              <w:rPr>
                <w:rFonts w:hint="eastAsia" w:ascii="宋体" w:hAnsi="宋体" w:cs="宋体"/>
                <w:kern w:val="0"/>
                <w:szCs w:val="21"/>
                <w:highlight w:val="none"/>
              </w:rPr>
              <w:t>井边点、井内点等</w:t>
            </w:r>
          </w:p>
        </w:tc>
        <w:tc>
          <w:tcPr>
            <w:tcW w:w="4095" w:type="dxa"/>
            <w:tcBorders>
              <w:left w:val="single" w:color="auto" w:sz="6" w:space="0"/>
            </w:tcBorders>
            <w:noWrap/>
            <w:vAlign w:val="center"/>
          </w:tcPr>
          <w:p>
            <w:pPr>
              <w:adjustRightInd w:val="0"/>
              <w:snapToGrid w:val="0"/>
              <w:spacing w:line="280" w:lineRule="exact"/>
              <w:jc w:val="left"/>
              <w:rPr>
                <w:rFonts w:ascii="宋体" w:hAnsi="宋体" w:cs="宋体"/>
                <w:kern w:val="0"/>
                <w:szCs w:val="21"/>
                <w:highlight w:val="none"/>
              </w:rPr>
            </w:pPr>
            <w:r>
              <w:rPr>
                <w:rFonts w:hint="eastAsia" w:ascii="宋体" w:hAnsi="宋体" w:cs="宋体"/>
                <w:kern w:val="0"/>
                <w:szCs w:val="21"/>
                <w:highlight w:val="none"/>
              </w:rPr>
              <w:t>变电站、配电室、变压器、人孔井、手孔、通风井、接线箱、路灯控制箱、路灯、交通信号灯、地灯、线杆、广告牌、上杆、</w:t>
            </w:r>
            <w:r>
              <w:rPr>
                <w:rFonts w:hint="eastAsia" w:ascii="宋体" w:hAnsi="宋体" w:cs="宋体"/>
                <w:bCs/>
                <w:kern w:val="0"/>
                <w:szCs w:val="21"/>
                <w:highlight w:val="none"/>
              </w:rPr>
              <w:t>砼杆、π杆、铁杆、铁塔等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noWrap/>
            <w:vAlign w:val="center"/>
          </w:tcPr>
          <w:p>
            <w:pPr>
              <w:adjustRightInd w:val="0"/>
              <w:snapToGrid w:val="0"/>
              <w:spacing w:line="280" w:lineRule="exact"/>
              <w:jc w:val="center"/>
              <w:rPr>
                <w:rFonts w:ascii="宋体" w:hAnsi="宋体" w:cs="宋体"/>
                <w:kern w:val="0"/>
                <w:szCs w:val="21"/>
                <w:highlight w:val="none"/>
              </w:rPr>
            </w:pPr>
            <w:r>
              <w:rPr>
                <w:rFonts w:hint="eastAsia" w:ascii="宋体" w:hAnsi="宋体" w:cs="宋体"/>
                <w:kern w:val="0"/>
                <w:szCs w:val="21"/>
                <w:highlight w:val="none"/>
              </w:rPr>
              <w:t>通信</w:t>
            </w:r>
          </w:p>
        </w:tc>
        <w:tc>
          <w:tcPr>
            <w:tcW w:w="3571" w:type="dxa"/>
            <w:tcBorders>
              <w:right w:val="single" w:color="auto" w:sz="6" w:space="0"/>
            </w:tcBorders>
            <w:noWrap/>
            <w:vAlign w:val="center"/>
          </w:tcPr>
          <w:p>
            <w:pPr>
              <w:adjustRightInd w:val="0"/>
              <w:snapToGrid w:val="0"/>
              <w:spacing w:line="280" w:lineRule="exact"/>
              <w:jc w:val="left"/>
              <w:rPr>
                <w:rFonts w:ascii="宋体" w:hAnsi="宋体" w:cs="宋体"/>
                <w:kern w:val="0"/>
                <w:szCs w:val="21"/>
                <w:highlight w:val="none"/>
              </w:rPr>
            </w:pPr>
            <w:r>
              <w:rPr>
                <w:rFonts w:hint="eastAsia" w:ascii="宋体" w:hAnsi="宋体" w:cs="宋体"/>
                <w:szCs w:val="21"/>
                <w:highlight w:val="none"/>
              </w:rPr>
              <w:t>弯头、直线点、</w:t>
            </w:r>
            <w:r>
              <w:rPr>
                <w:rFonts w:hint="eastAsia" w:ascii="宋体" w:hAnsi="宋体" w:cs="宋体"/>
                <w:kern w:val="0"/>
                <w:szCs w:val="21"/>
                <w:highlight w:val="none"/>
              </w:rPr>
              <w:t>分支点、</w:t>
            </w:r>
            <w:r>
              <w:rPr>
                <w:rFonts w:hint="eastAsia" w:ascii="宋体" w:hAnsi="宋体" w:cs="宋体"/>
                <w:szCs w:val="21"/>
                <w:highlight w:val="none"/>
              </w:rPr>
              <w:t>预留口、非普查、入户、</w:t>
            </w:r>
            <w:r>
              <w:rPr>
                <w:rFonts w:hint="eastAsia" w:ascii="宋体" w:hAnsi="宋体" w:cs="宋体"/>
                <w:kern w:val="0"/>
                <w:szCs w:val="21"/>
                <w:highlight w:val="none"/>
              </w:rPr>
              <w:t>井边点、井内点等</w:t>
            </w:r>
          </w:p>
        </w:tc>
        <w:tc>
          <w:tcPr>
            <w:tcW w:w="4095" w:type="dxa"/>
            <w:tcBorders>
              <w:left w:val="single" w:color="auto" w:sz="6" w:space="0"/>
            </w:tcBorders>
            <w:noWrap/>
            <w:vAlign w:val="center"/>
          </w:tcPr>
          <w:p>
            <w:pPr>
              <w:adjustRightInd w:val="0"/>
              <w:snapToGrid w:val="0"/>
              <w:spacing w:line="280" w:lineRule="exact"/>
              <w:jc w:val="left"/>
              <w:rPr>
                <w:rFonts w:ascii="宋体" w:hAnsi="宋体" w:cs="宋体"/>
                <w:kern w:val="0"/>
                <w:szCs w:val="21"/>
                <w:highlight w:val="none"/>
              </w:rPr>
            </w:pPr>
            <w:r>
              <w:rPr>
                <w:rFonts w:hint="eastAsia" w:ascii="宋体" w:hAnsi="宋体" w:cs="宋体"/>
                <w:kern w:val="0"/>
                <w:szCs w:val="21"/>
                <w:highlight w:val="none"/>
              </w:rPr>
              <w:t>人孔、手孔、接线箱、电话亭、监控器、无线电杆、差转台、发射塔、交换站、上杆等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133" w:type="dxa"/>
            <w:noWrap/>
            <w:vAlign w:val="center"/>
          </w:tcPr>
          <w:p>
            <w:pPr>
              <w:adjustRightInd w:val="0"/>
              <w:snapToGrid w:val="0"/>
              <w:spacing w:line="280" w:lineRule="exact"/>
              <w:jc w:val="center"/>
              <w:rPr>
                <w:rFonts w:ascii="宋体" w:hAnsi="宋体" w:cs="宋体"/>
                <w:kern w:val="0"/>
                <w:szCs w:val="21"/>
                <w:highlight w:val="none"/>
              </w:rPr>
            </w:pPr>
            <w:r>
              <w:rPr>
                <w:rFonts w:hint="eastAsia" w:ascii="宋体" w:hAnsi="宋体" w:cs="宋体"/>
                <w:kern w:val="0"/>
                <w:szCs w:val="21"/>
                <w:highlight w:val="none"/>
              </w:rPr>
              <w:t>工业</w:t>
            </w:r>
          </w:p>
        </w:tc>
        <w:tc>
          <w:tcPr>
            <w:tcW w:w="3571" w:type="dxa"/>
            <w:tcBorders>
              <w:right w:val="single" w:color="auto" w:sz="6" w:space="0"/>
            </w:tcBorders>
            <w:noWrap/>
          </w:tcPr>
          <w:p>
            <w:pPr>
              <w:adjustRightInd w:val="0"/>
              <w:snapToGrid w:val="0"/>
              <w:spacing w:line="280" w:lineRule="exact"/>
              <w:jc w:val="left"/>
              <w:rPr>
                <w:rFonts w:ascii="宋体" w:hAnsi="宋体" w:cs="宋体"/>
                <w:kern w:val="0"/>
                <w:szCs w:val="21"/>
                <w:highlight w:val="none"/>
              </w:rPr>
            </w:pPr>
            <w:r>
              <w:rPr>
                <w:rFonts w:hint="eastAsia" w:ascii="宋体" w:hAnsi="宋体" w:cs="宋体"/>
                <w:szCs w:val="21"/>
                <w:highlight w:val="none"/>
              </w:rPr>
              <w:t>变径、出地、盖堵、弯头、直线点、三通、四通、多通、预留口、非普查、入户、</w:t>
            </w:r>
            <w:r>
              <w:rPr>
                <w:rFonts w:hint="eastAsia" w:ascii="宋体" w:hAnsi="宋体" w:cs="宋体"/>
                <w:kern w:val="0"/>
                <w:szCs w:val="21"/>
                <w:highlight w:val="none"/>
              </w:rPr>
              <w:t>井边点、井内点等</w:t>
            </w:r>
          </w:p>
        </w:tc>
        <w:tc>
          <w:tcPr>
            <w:tcW w:w="4095" w:type="dxa"/>
            <w:tcBorders>
              <w:left w:val="single" w:color="auto" w:sz="6" w:space="0"/>
            </w:tcBorders>
            <w:noWrap/>
          </w:tcPr>
          <w:p>
            <w:pPr>
              <w:adjustRightInd w:val="0"/>
              <w:snapToGrid w:val="0"/>
              <w:spacing w:line="280" w:lineRule="exact"/>
              <w:jc w:val="left"/>
              <w:rPr>
                <w:rFonts w:ascii="宋体" w:hAnsi="宋体" w:cs="宋体"/>
                <w:kern w:val="0"/>
                <w:szCs w:val="21"/>
                <w:highlight w:val="none"/>
              </w:rPr>
            </w:pPr>
            <w:r>
              <w:rPr>
                <w:rFonts w:hint="eastAsia" w:ascii="宋体" w:hAnsi="宋体" w:cs="宋体"/>
                <w:kern w:val="0"/>
                <w:szCs w:val="21"/>
                <w:highlight w:val="none"/>
              </w:rPr>
              <w:t>检修井、排污装置、动力站、阀门等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80" w:lineRule="exact"/>
              <w:jc w:val="center"/>
              <w:rPr>
                <w:rFonts w:ascii="宋体" w:hAnsi="宋体" w:cs="宋体"/>
                <w:kern w:val="0"/>
                <w:szCs w:val="21"/>
                <w:highlight w:val="none"/>
              </w:rPr>
            </w:pPr>
            <w:r>
              <w:rPr>
                <w:rFonts w:hint="eastAsia" w:ascii="宋体" w:hAnsi="宋体" w:cs="宋体"/>
                <w:kern w:val="0"/>
                <w:szCs w:val="21"/>
                <w:highlight w:val="none"/>
              </w:rPr>
              <w:t>综合管廊</w:t>
            </w:r>
          </w:p>
          <w:p>
            <w:pPr>
              <w:adjustRightInd w:val="0"/>
              <w:snapToGrid w:val="0"/>
              <w:spacing w:line="280" w:lineRule="exact"/>
              <w:jc w:val="center"/>
              <w:rPr>
                <w:rFonts w:ascii="宋体" w:hAnsi="宋体" w:cs="宋体"/>
                <w:kern w:val="0"/>
                <w:szCs w:val="21"/>
                <w:highlight w:val="none"/>
              </w:rPr>
            </w:pPr>
            <w:r>
              <w:rPr>
                <w:rFonts w:hint="eastAsia" w:ascii="宋体" w:hAnsi="宋体" w:cs="宋体"/>
                <w:kern w:val="0"/>
                <w:szCs w:val="21"/>
                <w:highlight w:val="none"/>
              </w:rPr>
              <w:t>（沟）</w:t>
            </w:r>
          </w:p>
        </w:tc>
        <w:tc>
          <w:tcPr>
            <w:tcW w:w="3571" w:type="dxa"/>
            <w:tcBorders>
              <w:top w:val="single" w:color="auto" w:sz="4" w:space="0"/>
              <w:left w:val="single" w:color="auto" w:sz="4" w:space="0"/>
              <w:bottom w:val="single" w:color="auto" w:sz="4" w:space="0"/>
              <w:right w:val="single" w:color="auto" w:sz="6" w:space="0"/>
            </w:tcBorders>
            <w:noWrap/>
          </w:tcPr>
          <w:p>
            <w:pPr>
              <w:adjustRightInd w:val="0"/>
              <w:snapToGrid w:val="0"/>
              <w:spacing w:line="280" w:lineRule="exact"/>
              <w:jc w:val="left"/>
              <w:rPr>
                <w:rFonts w:ascii="宋体" w:hAnsi="宋体" w:cs="宋体"/>
                <w:kern w:val="0"/>
                <w:szCs w:val="21"/>
                <w:highlight w:val="none"/>
              </w:rPr>
            </w:pPr>
            <w:r>
              <w:rPr>
                <w:rFonts w:hint="eastAsia" w:ascii="宋体" w:hAnsi="宋体" w:cs="宋体"/>
                <w:szCs w:val="21"/>
                <w:highlight w:val="none"/>
              </w:rPr>
              <w:t>弯头、直线点、变径、出地、三通、四通、多通、预留口、非普查</w:t>
            </w:r>
            <w:r>
              <w:rPr>
                <w:rFonts w:hint="eastAsia" w:ascii="宋体" w:hAnsi="宋体" w:cs="宋体"/>
                <w:kern w:val="0"/>
                <w:szCs w:val="21"/>
                <w:highlight w:val="none"/>
              </w:rPr>
              <w:t>、井边点、井内点等</w:t>
            </w:r>
          </w:p>
        </w:tc>
        <w:tc>
          <w:tcPr>
            <w:tcW w:w="4095" w:type="dxa"/>
            <w:tcBorders>
              <w:top w:val="single" w:color="auto" w:sz="4" w:space="0"/>
              <w:left w:val="single" w:color="auto" w:sz="6" w:space="0"/>
              <w:bottom w:val="single" w:color="auto" w:sz="4" w:space="0"/>
              <w:right w:val="single" w:color="auto" w:sz="4" w:space="0"/>
            </w:tcBorders>
            <w:noWrap/>
          </w:tcPr>
          <w:p>
            <w:pPr>
              <w:adjustRightInd w:val="0"/>
              <w:snapToGrid w:val="0"/>
              <w:spacing w:line="280" w:lineRule="exact"/>
              <w:jc w:val="left"/>
              <w:rPr>
                <w:rFonts w:ascii="宋体" w:hAnsi="宋体" w:cs="宋体"/>
                <w:kern w:val="0"/>
                <w:szCs w:val="21"/>
                <w:highlight w:val="none"/>
              </w:rPr>
            </w:pPr>
            <w:r>
              <w:rPr>
                <w:rFonts w:hint="eastAsia" w:ascii="宋体" w:hAnsi="宋体" w:cs="宋体"/>
                <w:kern w:val="0"/>
                <w:szCs w:val="21"/>
                <w:highlight w:val="none"/>
              </w:rPr>
              <w:t>检修井、出入口、投料口、通风口、排气装置等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80" w:lineRule="exact"/>
              <w:jc w:val="center"/>
              <w:rPr>
                <w:rFonts w:ascii="宋体" w:hAnsi="宋体" w:cs="宋体"/>
                <w:kern w:val="0"/>
                <w:szCs w:val="21"/>
                <w:highlight w:val="none"/>
              </w:rPr>
            </w:pPr>
            <w:r>
              <w:rPr>
                <w:rFonts w:hint="eastAsia" w:ascii="宋体" w:hAnsi="宋体" w:cs="宋体"/>
                <w:kern w:val="0"/>
                <w:szCs w:val="21"/>
                <w:highlight w:val="none"/>
              </w:rPr>
              <w:t>其他管线</w:t>
            </w:r>
          </w:p>
        </w:tc>
        <w:tc>
          <w:tcPr>
            <w:tcW w:w="3571" w:type="dxa"/>
            <w:tcBorders>
              <w:top w:val="single" w:color="auto" w:sz="4" w:space="0"/>
              <w:left w:val="single" w:color="auto" w:sz="4" w:space="0"/>
              <w:bottom w:val="single" w:color="auto" w:sz="4" w:space="0"/>
              <w:right w:val="single" w:color="auto" w:sz="6" w:space="0"/>
            </w:tcBorders>
            <w:noWrap/>
          </w:tcPr>
          <w:p>
            <w:pPr>
              <w:adjustRightInd w:val="0"/>
              <w:snapToGrid w:val="0"/>
              <w:spacing w:line="280" w:lineRule="exact"/>
              <w:jc w:val="left"/>
              <w:rPr>
                <w:rFonts w:ascii="宋体" w:hAnsi="宋体" w:cs="宋体"/>
                <w:szCs w:val="21"/>
                <w:highlight w:val="none"/>
              </w:rPr>
            </w:pPr>
            <w:r>
              <w:rPr>
                <w:rFonts w:hint="eastAsia" w:ascii="宋体" w:hAnsi="宋体" w:cs="宋体"/>
                <w:szCs w:val="21"/>
                <w:highlight w:val="none"/>
              </w:rPr>
              <w:t>变径、出地、盖堵、弯头、直线点、三通、四通、多通、预留口、非普查、入户、</w:t>
            </w:r>
            <w:r>
              <w:rPr>
                <w:rFonts w:hint="eastAsia" w:ascii="宋体" w:hAnsi="宋体" w:cs="宋体"/>
                <w:kern w:val="0"/>
                <w:szCs w:val="21"/>
                <w:highlight w:val="none"/>
              </w:rPr>
              <w:t>井边点、井内点等</w:t>
            </w:r>
          </w:p>
        </w:tc>
        <w:tc>
          <w:tcPr>
            <w:tcW w:w="4095" w:type="dxa"/>
            <w:tcBorders>
              <w:top w:val="single" w:color="auto" w:sz="4" w:space="0"/>
              <w:left w:val="single" w:color="auto" w:sz="6" w:space="0"/>
              <w:bottom w:val="single" w:color="auto" w:sz="4" w:space="0"/>
              <w:right w:val="single" w:color="auto" w:sz="4" w:space="0"/>
            </w:tcBorders>
            <w:noWrap/>
          </w:tcPr>
          <w:p>
            <w:pPr>
              <w:adjustRightInd w:val="0"/>
              <w:snapToGrid w:val="0"/>
              <w:spacing w:line="280" w:lineRule="exact"/>
              <w:jc w:val="left"/>
              <w:rPr>
                <w:rFonts w:ascii="宋体" w:hAnsi="宋体" w:cs="宋体"/>
                <w:kern w:val="0"/>
                <w:szCs w:val="21"/>
                <w:highlight w:val="none"/>
              </w:rPr>
            </w:pPr>
            <w:r>
              <w:rPr>
                <w:rFonts w:hint="eastAsia" w:ascii="宋体" w:hAnsi="宋体" w:cs="宋体"/>
                <w:kern w:val="0"/>
                <w:szCs w:val="21"/>
                <w:highlight w:val="none"/>
              </w:rPr>
              <w:t>检修井、排污装置、动力站、阀门等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9" w:type="dxa"/>
            <w:gridSpan w:val="3"/>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80" w:lineRule="exact"/>
              <w:jc w:val="left"/>
              <w:rPr>
                <w:rFonts w:ascii="宋体" w:hAnsi="宋体" w:cs="宋体"/>
                <w:szCs w:val="21"/>
                <w:highlight w:val="none"/>
              </w:rPr>
            </w:pPr>
            <w:r>
              <w:rPr>
                <w:rFonts w:hint="eastAsia" w:ascii="宋体" w:hAnsi="宋体" w:cs="宋体"/>
                <w:szCs w:val="21"/>
                <w:highlight w:val="none"/>
              </w:rPr>
              <w:t>注1：军用（国防）、铁路、民航及其它专业管线探测项目参照本表规定执行，但应注明权属单位。</w:t>
            </w:r>
          </w:p>
          <w:p>
            <w:pPr>
              <w:adjustRightInd w:val="0"/>
              <w:snapToGrid w:val="0"/>
              <w:spacing w:line="280" w:lineRule="exact"/>
              <w:jc w:val="left"/>
              <w:rPr>
                <w:rFonts w:ascii="宋体" w:hAnsi="宋体" w:cs="宋体"/>
                <w:szCs w:val="21"/>
                <w:highlight w:val="none"/>
              </w:rPr>
            </w:pPr>
            <w:r>
              <w:rPr>
                <w:rFonts w:hint="eastAsia" w:ascii="宋体" w:hAnsi="宋体" w:cs="宋体"/>
                <w:szCs w:val="21"/>
                <w:highlight w:val="none"/>
              </w:rPr>
              <w:t>注2：当管线特征既变径又变材时以变径为主，变材不填；</w:t>
            </w:r>
          </w:p>
          <w:p>
            <w:pPr>
              <w:adjustRightInd w:val="0"/>
              <w:snapToGrid w:val="0"/>
              <w:spacing w:line="280" w:lineRule="exact"/>
              <w:jc w:val="left"/>
              <w:rPr>
                <w:rFonts w:ascii="宋体" w:hAnsi="宋体" w:cs="宋体"/>
                <w:szCs w:val="21"/>
                <w:highlight w:val="none"/>
              </w:rPr>
            </w:pPr>
            <w:r>
              <w:rPr>
                <w:rFonts w:hint="eastAsia" w:ascii="宋体" w:hAnsi="宋体" w:cs="宋体"/>
                <w:szCs w:val="21"/>
                <w:highlight w:val="none"/>
              </w:rPr>
              <w:t>注3：当管径在普查区变径后为小管径未达到本次探测标准时，管线可终止于变径符号，在点表备注栏注“小管径”。</w:t>
            </w:r>
          </w:p>
        </w:tc>
      </w:tr>
    </w:tbl>
    <w:p>
      <w:pPr>
        <w:spacing w:line="360" w:lineRule="auto"/>
        <w:rPr>
          <w:rFonts w:ascii="宋体" w:hAnsi="宋体"/>
          <w:sz w:val="24"/>
          <w:highlight w:val="none"/>
        </w:rPr>
      </w:pPr>
      <w:r>
        <w:rPr>
          <w:rFonts w:ascii="宋体" w:hAnsi="宋体"/>
          <w:b/>
          <w:bCs/>
          <w:sz w:val="24"/>
          <w:highlight w:val="none"/>
        </w:rPr>
        <w:t>4.3.1.</w:t>
      </w:r>
      <w:r>
        <w:rPr>
          <w:rFonts w:hint="eastAsia" w:ascii="宋体" w:hAnsi="宋体"/>
          <w:b/>
          <w:bCs/>
          <w:sz w:val="24"/>
          <w:highlight w:val="none"/>
        </w:rPr>
        <w:t>3.6.2.2仪器探查</w:t>
      </w:r>
    </w:p>
    <w:p>
      <w:pPr>
        <w:pStyle w:val="238"/>
        <w:rPr>
          <w:highlight w:val="none"/>
        </w:rPr>
      </w:pPr>
      <w:r>
        <w:rPr>
          <w:rFonts w:hint="eastAsia"/>
          <w:highlight w:val="none"/>
        </w:rPr>
        <w:t>1.地下管线仪器探查应在作业现场记录探查结果，填写的探查记录表应符合按附录B的规定。</w:t>
      </w:r>
    </w:p>
    <w:p>
      <w:pPr>
        <w:pStyle w:val="238"/>
        <w:rPr>
          <w:highlight w:val="none"/>
        </w:rPr>
      </w:pPr>
      <w:r>
        <w:rPr>
          <w:rFonts w:hint="eastAsia"/>
          <w:highlight w:val="none"/>
        </w:rPr>
        <w:t>2.地下管线探查所采用的方法须经过方法试验验证有效，并按相关规定要求进行探查。</w:t>
      </w:r>
    </w:p>
    <w:p>
      <w:pPr>
        <w:pStyle w:val="238"/>
        <w:rPr>
          <w:highlight w:val="none"/>
        </w:rPr>
      </w:pPr>
      <w:r>
        <w:rPr>
          <w:rFonts w:hint="eastAsia"/>
          <w:highlight w:val="none"/>
        </w:rPr>
        <w:t>3.隐蔽管线点可采用仪器探查或直接开挖的方式进行探查。</w:t>
      </w:r>
    </w:p>
    <w:p>
      <w:pPr>
        <w:pStyle w:val="238"/>
        <w:rPr>
          <w:highlight w:val="none"/>
        </w:rPr>
      </w:pPr>
      <w:r>
        <w:rPr>
          <w:rFonts w:hint="eastAsia"/>
          <w:highlight w:val="none"/>
        </w:rPr>
        <w:t>4.地下管线探查应遵循从已知到未知，从简单到复杂，优先采用有效、轻便、快捷、安全和经济的方法，复杂条件下宜采用多种探查方法相互验证。</w:t>
      </w:r>
    </w:p>
    <w:p>
      <w:pPr>
        <w:pStyle w:val="238"/>
        <w:rPr>
          <w:highlight w:val="none"/>
        </w:rPr>
      </w:pPr>
      <w:r>
        <w:rPr>
          <w:rFonts w:hint="eastAsia"/>
          <w:highlight w:val="none"/>
        </w:rPr>
        <w:t>5.探查金属管线时宜采用磁偶极感应法或电偶极感应法。探查铁磁性管道可选用磁测法。探查非金属管线宜采用电磁波法和示踪电磁法。</w:t>
      </w:r>
    </w:p>
    <w:p>
      <w:pPr>
        <w:pStyle w:val="238"/>
        <w:rPr>
          <w:highlight w:val="none"/>
        </w:rPr>
      </w:pPr>
      <w:r>
        <w:rPr>
          <w:rFonts w:hint="eastAsia"/>
          <w:highlight w:val="none"/>
        </w:rPr>
        <w:t>6.采用电磁感应方式探查管线平面位置，宜用扫描搜索的方法确定管线的大致位置再进行追踪定位。定位方法宜采用峰值法，在无干扰的情况下可用零值法。</w:t>
      </w:r>
    </w:p>
    <w:p>
      <w:pPr>
        <w:pStyle w:val="238"/>
        <w:rPr>
          <w:highlight w:val="none"/>
        </w:rPr>
      </w:pPr>
      <w:r>
        <w:rPr>
          <w:rFonts w:hint="eastAsia"/>
          <w:highlight w:val="none"/>
        </w:rPr>
        <w:t>7.采用电磁感应方式探查管线埋深应符合下列要求：</w:t>
      </w:r>
    </w:p>
    <w:p>
      <w:pPr>
        <w:pStyle w:val="238"/>
        <w:rPr>
          <w:rFonts w:cs="仿宋"/>
          <w:highlight w:val="none"/>
        </w:rPr>
      </w:pPr>
      <w:r>
        <w:rPr>
          <w:rFonts w:hint="eastAsia" w:cs="仿宋"/>
          <w:highlight w:val="none"/>
        </w:rPr>
        <w:t>（1）管线走向变化的各方向均应探测埋深。</w:t>
      </w:r>
    </w:p>
    <w:p>
      <w:pPr>
        <w:pStyle w:val="238"/>
        <w:rPr>
          <w:rFonts w:cs="仿宋"/>
          <w:highlight w:val="none"/>
        </w:rPr>
      </w:pPr>
      <w:r>
        <w:rPr>
          <w:rFonts w:hint="eastAsia" w:cs="仿宋"/>
          <w:highlight w:val="none"/>
        </w:rPr>
        <w:t>（2）定深位置选择在被探查管线前后至少四倍管线中心埋深范围内是单一的直管线、中间无分支或弯曲，且相邻平行管线之间的间距应大于被探查管线埋深的1.5倍。</w:t>
      </w:r>
    </w:p>
    <w:p>
      <w:pPr>
        <w:pStyle w:val="238"/>
        <w:rPr>
          <w:rFonts w:cs="仿宋"/>
          <w:highlight w:val="none"/>
        </w:rPr>
      </w:pPr>
      <w:r>
        <w:rPr>
          <w:rFonts w:hint="eastAsia" w:cs="仿宋"/>
          <w:highlight w:val="none"/>
        </w:rPr>
        <w:t>（3）定深方法应根据方法试验结果确定，并根据不同仪器的特定观测系统采用相应的定深方法，不宜采用直读法。</w:t>
      </w:r>
    </w:p>
    <w:p>
      <w:pPr>
        <w:pStyle w:val="238"/>
        <w:rPr>
          <w:highlight w:val="none"/>
        </w:rPr>
      </w:pPr>
      <w:r>
        <w:rPr>
          <w:rFonts w:hint="eastAsia"/>
          <w:highlight w:val="none"/>
        </w:rPr>
        <w:t>8.金属管线邻近有较多的平行管线或管线分布情况较复杂时，宜采用直接法、夹钳感应法、压线法和选择激发法等方法进行探查。</w:t>
      </w:r>
    </w:p>
    <w:p>
      <w:pPr>
        <w:pStyle w:val="238"/>
        <w:rPr>
          <w:highlight w:val="none"/>
        </w:rPr>
      </w:pPr>
      <w:r>
        <w:rPr>
          <w:rFonts w:hint="eastAsia"/>
          <w:highlight w:val="none"/>
        </w:rPr>
        <w:t>9.采用地质雷达对非金属管道进行探测时，应选用与探查对象的埋深和管径相匹配的发射频率和合适的接收天线；在一个探测点应作两次以上的往返测量。</w:t>
      </w:r>
    </w:p>
    <w:p>
      <w:pPr>
        <w:pStyle w:val="238"/>
        <w:rPr>
          <w:highlight w:val="none"/>
        </w:rPr>
      </w:pPr>
      <w:r>
        <w:rPr>
          <w:highlight w:val="none"/>
        </w:rPr>
        <w:t>10</w:t>
      </w:r>
      <w:r>
        <w:rPr>
          <w:rFonts w:hint="eastAsia"/>
          <w:highlight w:val="none"/>
        </w:rPr>
        <w:t>.因探查技术方法的局限性，无法准确探查的管线段或重大属性因无法调查缺失的管线段（如管线埋深、管径、连接关系等），数据文件中“备注栏”应注明“缺失属性管线”，图形文件应使用附录A（附表</w:t>
      </w:r>
      <w:r>
        <w:rPr>
          <w:highlight w:val="none"/>
        </w:rPr>
        <w:t>A.1</w:t>
      </w:r>
      <w:r>
        <w:rPr>
          <w:rFonts w:hint="eastAsia"/>
          <w:highlight w:val="none"/>
        </w:rPr>
        <w:t>1） 中“缺失属性管线”线型进行表示，并进行相关的文字说明。</w:t>
      </w:r>
    </w:p>
    <w:p>
      <w:pPr>
        <w:pStyle w:val="238"/>
        <w:rPr>
          <w:highlight w:val="none"/>
        </w:rPr>
      </w:pPr>
      <w:r>
        <w:rPr>
          <w:highlight w:val="none"/>
        </w:rPr>
        <w:t>11</w:t>
      </w:r>
      <w:r>
        <w:rPr>
          <w:rFonts w:hint="eastAsia"/>
          <w:highlight w:val="none"/>
        </w:rPr>
        <w:t>.确因客观原因管线无法进行探测，根据相关收集资料进行表示的管线，数据文件中应按实际情况填写说明；图形文件应使用附录A（附表</w:t>
      </w:r>
      <w:r>
        <w:rPr>
          <w:highlight w:val="none"/>
        </w:rPr>
        <w:t>A.1</w:t>
      </w:r>
      <w:r>
        <w:rPr>
          <w:rFonts w:hint="eastAsia"/>
          <w:highlight w:val="none"/>
        </w:rPr>
        <w:t>1）中“示意管线”线型进行表示。</w:t>
      </w:r>
    </w:p>
    <w:p>
      <w:pPr>
        <w:pStyle w:val="238"/>
        <w:rPr>
          <w:highlight w:val="none"/>
        </w:rPr>
      </w:pPr>
      <w:r>
        <w:rPr>
          <w:highlight w:val="none"/>
        </w:rPr>
        <w:t>12</w:t>
      </w:r>
      <w:r>
        <w:rPr>
          <w:rFonts w:hint="eastAsia"/>
          <w:highlight w:val="none"/>
        </w:rPr>
        <w:t>.隐蔽管线的规格、材质不能确认时，可根据权属单位的调绘资料填写，但应在“地下管线探查记录表”的“备注栏”中注明数据来源。</w:t>
      </w:r>
    </w:p>
    <w:p>
      <w:pPr>
        <w:spacing w:line="360" w:lineRule="auto"/>
        <w:rPr>
          <w:rFonts w:ascii="宋体" w:hAnsi="宋体"/>
          <w:b/>
          <w:bCs/>
          <w:sz w:val="24"/>
          <w:highlight w:val="none"/>
        </w:rPr>
      </w:pPr>
      <w:r>
        <w:rPr>
          <w:rFonts w:hint="eastAsia" w:ascii="宋体" w:hAnsi="宋体"/>
          <w:b/>
          <w:bCs/>
          <w:sz w:val="24"/>
          <w:highlight w:val="none"/>
        </w:rPr>
        <w:t>4.3.1.3.6.</w:t>
      </w:r>
      <w:r>
        <w:rPr>
          <w:rFonts w:ascii="宋体" w:hAnsi="宋体"/>
          <w:b/>
          <w:bCs/>
          <w:sz w:val="24"/>
          <w:highlight w:val="none"/>
        </w:rPr>
        <w:t>2</w:t>
      </w:r>
      <w:r>
        <w:rPr>
          <w:rFonts w:hint="eastAsia" w:ascii="宋体" w:hAnsi="宋体"/>
          <w:b/>
          <w:bCs/>
          <w:sz w:val="24"/>
          <w:highlight w:val="none"/>
        </w:rPr>
        <w:t>.3地下管线测量</w:t>
      </w:r>
    </w:p>
    <w:p>
      <w:pPr>
        <w:pStyle w:val="238"/>
        <w:rPr>
          <w:highlight w:val="none"/>
        </w:rPr>
      </w:pPr>
      <w:r>
        <w:rPr>
          <w:rFonts w:hint="eastAsia"/>
          <w:highlight w:val="none"/>
        </w:rPr>
        <w:t>地下管线探查工作结束后，进入到管线点测量工作环节，管线测量外业要素采集采用网络RTK测量法、全站仪极坐标法等方法。</w:t>
      </w:r>
    </w:p>
    <w:p>
      <w:pPr>
        <w:pStyle w:val="238"/>
        <w:rPr>
          <w:highlight w:val="none"/>
        </w:rPr>
      </w:pPr>
      <w:r>
        <w:rPr>
          <w:rFonts w:hint="eastAsia"/>
          <w:highlight w:val="none"/>
        </w:rPr>
        <w:t>1.图根控制点测量</w:t>
      </w:r>
    </w:p>
    <w:p>
      <w:pPr>
        <w:pStyle w:val="238"/>
        <w:rPr>
          <w:highlight w:val="none"/>
        </w:rPr>
      </w:pPr>
      <w:r>
        <w:rPr>
          <w:rFonts w:hint="eastAsia"/>
          <w:highlight w:val="none"/>
        </w:rPr>
        <w:t>以城市等级控制网为基础，采用网络RTK测量方法布设图根控制点，控制点布设要求应符合《城市测量规范》（CJJ/T 8）和《卫星定位城市测量技术标准》（CJJ/T  73）的相关要求。</w:t>
      </w:r>
    </w:p>
    <w:p>
      <w:pPr>
        <w:pStyle w:val="238"/>
        <w:rPr>
          <w:highlight w:val="none"/>
        </w:rPr>
      </w:pPr>
      <w:r>
        <w:rPr>
          <w:rFonts w:hint="eastAsia"/>
          <w:highlight w:val="none"/>
        </w:rPr>
        <w:t>2.管线点测量</w:t>
      </w:r>
    </w:p>
    <w:p>
      <w:pPr>
        <w:pStyle w:val="238"/>
        <w:rPr>
          <w:rFonts w:ascii="仿宋" w:hAnsi="仿宋" w:cs="仿宋"/>
          <w:highlight w:val="none"/>
        </w:rPr>
      </w:pPr>
      <w:r>
        <w:rPr>
          <w:rFonts w:hint="eastAsia" w:ascii="仿宋" w:hAnsi="仿宋" w:cs="仿宋"/>
          <w:highlight w:val="none"/>
        </w:rPr>
        <w:t>（1）管线点测量内容应包括测定并计算管线点的平面坐标和高程，并提供管线点测量成果。</w:t>
      </w:r>
    </w:p>
    <w:p>
      <w:pPr>
        <w:pStyle w:val="238"/>
        <w:rPr>
          <w:rFonts w:ascii="仿宋" w:hAnsi="仿宋" w:cs="仿宋"/>
          <w:highlight w:val="none"/>
        </w:rPr>
      </w:pPr>
      <w:r>
        <w:rPr>
          <w:rFonts w:hint="eastAsia" w:ascii="仿宋" w:hAnsi="仿宋" w:cs="仿宋"/>
          <w:highlight w:val="none"/>
        </w:rPr>
        <w:t>（2）管线点的平面坐标、高程测量宜采用</w:t>
      </w:r>
      <w:r>
        <w:rPr>
          <w:rFonts w:hint="eastAsia"/>
          <w:highlight w:val="none"/>
        </w:rPr>
        <w:t>网络RTK测量法</w:t>
      </w:r>
      <w:r>
        <w:rPr>
          <w:rFonts w:hint="eastAsia" w:ascii="仿宋" w:hAnsi="仿宋" w:cs="仿宋"/>
          <w:highlight w:val="none"/>
        </w:rPr>
        <w:t>或极坐标法等方法测定，其测量精度应符合</w:t>
      </w:r>
      <w:r>
        <w:rPr>
          <w:rFonts w:hint="eastAsia"/>
          <w:highlight w:val="none"/>
        </w:rPr>
        <w:t>4.3.1.3.5.1一般规定第2点“精度要求”</w:t>
      </w:r>
      <w:r>
        <w:rPr>
          <w:rFonts w:hint="eastAsia" w:ascii="仿宋" w:hAnsi="仿宋" w:cs="仿宋"/>
          <w:highlight w:val="none"/>
        </w:rPr>
        <w:t>的规定。</w:t>
      </w:r>
    </w:p>
    <w:p>
      <w:pPr>
        <w:pStyle w:val="238"/>
        <w:rPr>
          <w:rFonts w:ascii="仿宋" w:hAnsi="仿宋" w:cs="仿宋"/>
          <w:highlight w:val="none"/>
        </w:rPr>
      </w:pPr>
      <w:r>
        <w:rPr>
          <w:rFonts w:hint="eastAsia" w:ascii="仿宋" w:hAnsi="仿宋" w:cs="仿宋"/>
          <w:highlight w:val="none"/>
        </w:rPr>
        <w:t>（3）采用全站仪极坐标法测量管线点平面坐标和高程时，水平角和垂直角可观测半测回，测距长度不宜超过150m，定向边宜采用长边，仪器高和觇牌高量至毫米。</w:t>
      </w:r>
    </w:p>
    <w:p>
      <w:pPr>
        <w:pStyle w:val="238"/>
        <w:rPr>
          <w:rFonts w:ascii="仿宋" w:hAnsi="仿宋" w:cs="仿宋"/>
          <w:highlight w:val="none"/>
        </w:rPr>
      </w:pPr>
      <w:r>
        <w:rPr>
          <w:rFonts w:hint="eastAsia" w:ascii="仿宋" w:hAnsi="仿宋" w:cs="仿宋"/>
          <w:highlight w:val="none"/>
        </w:rPr>
        <w:t>（4）采用水准测量法测定管线点的高程时，管线点可作为转点；管线点密集时可采用中视法观测。</w:t>
      </w:r>
    </w:p>
    <w:p>
      <w:pPr>
        <w:pStyle w:val="238"/>
        <w:rPr>
          <w:rFonts w:ascii="仿宋" w:hAnsi="仿宋" w:cs="仿宋"/>
          <w:highlight w:val="none"/>
        </w:rPr>
      </w:pPr>
      <w:r>
        <w:rPr>
          <w:rFonts w:hint="eastAsia" w:ascii="仿宋" w:hAnsi="仿宋" w:cs="仿宋"/>
          <w:highlight w:val="none"/>
        </w:rPr>
        <w:t>（5）位于丛林、乡村田野、荒地等区域的穿越管线，可采用网络RTK直接进行测量。</w:t>
      </w:r>
    </w:p>
    <w:p>
      <w:pPr>
        <w:pStyle w:val="238"/>
        <w:rPr>
          <w:rFonts w:cs="仿宋"/>
          <w:highlight w:val="none"/>
        </w:rPr>
      </w:pPr>
      <w:r>
        <w:rPr>
          <w:rFonts w:hint="eastAsia" w:ascii="仿宋" w:hAnsi="仿宋" w:cs="仿宋"/>
          <w:highlight w:val="none"/>
        </w:rPr>
        <w:t>（6）采用</w:t>
      </w:r>
      <w:r>
        <w:rPr>
          <w:rFonts w:hint="eastAsia"/>
          <w:highlight w:val="none"/>
        </w:rPr>
        <w:t>网络RTK测量法</w:t>
      </w:r>
      <w:r>
        <w:rPr>
          <w:rFonts w:hint="eastAsia" w:ascii="仿宋" w:hAnsi="仿宋" w:cs="仿宋"/>
          <w:highlight w:val="none"/>
        </w:rPr>
        <w:t>进行测量时的技术要求按</w:t>
      </w:r>
      <w:r>
        <w:rPr>
          <w:rFonts w:hint="eastAsia"/>
          <w:highlight w:val="none"/>
        </w:rPr>
        <w:t>《卫星定位城市测量技术标准》（CJJ/T 73）</w:t>
      </w:r>
      <w:r>
        <w:rPr>
          <w:rFonts w:hint="eastAsia" w:ascii="仿宋" w:hAnsi="仿宋" w:cs="仿宋"/>
          <w:highlight w:val="none"/>
        </w:rPr>
        <w:t>的规定执行。</w:t>
      </w:r>
    </w:p>
    <w:p>
      <w:pPr>
        <w:spacing w:line="360" w:lineRule="auto"/>
        <w:outlineLvl w:val="4"/>
        <w:rPr>
          <w:rFonts w:ascii="宋体" w:hAnsi="宋体"/>
          <w:b/>
          <w:bCs/>
          <w:sz w:val="24"/>
          <w:highlight w:val="none"/>
        </w:rPr>
      </w:pPr>
      <w:r>
        <w:rPr>
          <w:rFonts w:hint="eastAsia" w:ascii="宋体" w:hAnsi="宋体"/>
          <w:b/>
          <w:bCs/>
          <w:sz w:val="24"/>
          <w:highlight w:val="none"/>
        </w:rPr>
        <w:t>4.3.1.3.6.</w:t>
      </w:r>
      <w:r>
        <w:rPr>
          <w:rFonts w:ascii="宋体" w:hAnsi="宋体"/>
          <w:b/>
          <w:bCs/>
          <w:sz w:val="24"/>
          <w:highlight w:val="none"/>
        </w:rPr>
        <w:t xml:space="preserve">3 </w:t>
      </w:r>
      <w:r>
        <w:rPr>
          <w:rFonts w:hint="eastAsia" w:ascii="宋体" w:hAnsi="宋体"/>
          <w:b/>
          <w:bCs/>
          <w:sz w:val="24"/>
          <w:highlight w:val="none"/>
        </w:rPr>
        <w:t>内外业结合</w:t>
      </w:r>
      <w:r>
        <w:rPr>
          <w:rFonts w:ascii="宋体" w:hAnsi="宋体"/>
          <w:b/>
          <w:bCs/>
          <w:sz w:val="24"/>
          <w:highlight w:val="none"/>
        </w:rPr>
        <w:t>核实探测</w:t>
      </w:r>
    </w:p>
    <w:p>
      <w:pPr>
        <w:pStyle w:val="238"/>
        <w:ind w:firstLine="482"/>
        <w:rPr>
          <w:b/>
          <w:highlight w:val="none"/>
        </w:rPr>
      </w:pPr>
      <w:r>
        <w:rPr>
          <w:b/>
          <w:highlight w:val="none"/>
        </w:rPr>
        <w:t>4.3.1.</w:t>
      </w:r>
      <w:r>
        <w:rPr>
          <w:rFonts w:hint="eastAsia"/>
          <w:b/>
          <w:highlight w:val="none"/>
        </w:rPr>
        <w:t>3.6.3.1内业数据处理</w:t>
      </w:r>
    </w:p>
    <w:p>
      <w:pPr>
        <w:pStyle w:val="238"/>
        <w:rPr>
          <w:highlight w:val="none"/>
        </w:rPr>
      </w:pPr>
      <w:r>
        <w:rPr>
          <w:highlight w:val="none"/>
        </w:rPr>
        <w:t>1</w:t>
      </w:r>
      <w:r>
        <w:rPr>
          <w:rFonts w:hint="eastAsia"/>
          <w:highlight w:val="none"/>
        </w:rPr>
        <w:t>.采用内外业结合核实探测需对可利用地下管线普查成果进行检核和评估，并根据本招标文件规定要求进行数据转换，对已转换数据管线相关属性的完整性进行分析。</w:t>
      </w:r>
    </w:p>
    <w:p>
      <w:pPr>
        <w:pStyle w:val="238"/>
        <w:rPr>
          <w:highlight w:val="none"/>
        </w:rPr>
      </w:pPr>
      <w:r>
        <w:rPr>
          <w:highlight w:val="none"/>
        </w:rPr>
        <w:t>2</w:t>
      </w:r>
      <w:r>
        <w:rPr>
          <w:rFonts w:hint="eastAsia"/>
          <w:highlight w:val="none"/>
        </w:rPr>
        <w:t>.根据可利用地下管线数据成果生成地下管线图，以备外业核实探查使用。</w:t>
      </w:r>
    </w:p>
    <w:p>
      <w:pPr>
        <w:pStyle w:val="238"/>
        <w:ind w:firstLine="482"/>
        <w:rPr>
          <w:b/>
          <w:highlight w:val="none"/>
        </w:rPr>
      </w:pPr>
      <w:r>
        <w:rPr>
          <w:b/>
          <w:highlight w:val="none"/>
        </w:rPr>
        <w:t>4.3.1.</w:t>
      </w:r>
      <w:r>
        <w:rPr>
          <w:rFonts w:hint="eastAsia"/>
          <w:b/>
          <w:highlight w:val="none"/>
        </w:rPr>
        <w:t>3.6.3.2外业核实探查</w:t>
      </w:r>
    </w:p>
    <w:p>
      <w:pPr>
        <w:pStyle w:val="238"/>
        <w:rPr>
          <w:highlight w:val="none"/>
        </w:rPr>
      </w:pPr>
      <w:r>
        <w:rPr>
          <w:rFonts w:hint="eastAsia"/>
          <w:highlight w:val="none"/>
        </w:rPr>
        <w:t>外业核实探查应以可利用的地下管线普查成果为基础，采用实地调查和仪器探查的方式对现有地下管线普查成果进行全数核实。</w:t>
      </w:r>
    </w:p>
    <w:p>
      <w:pPr>
        <w:pStyle w:val="238"/>
        <w:rPr>
          <w:highlight w:val="none"/>
        </w:rPr>
      </w:pPr>
      <w:r>
        <w:rPr>
          <w:highlight w:val="none"/>
        </w:rPr>
        <w:t>1</w:t>
      </w:r>
      <w:r>
        <w:rPr>
          <w:rFonts w:hint="eastAsia"/>
          <w:highlight w:val="none"/>
        </w:rPr>
        <w:t>.采用实地调查的方式</w:t>
      </w:r>
      <w:r>
        <w:rPr>
          <w:rFonts w:hint="eastAsia" w:ascii="仿宋" w:hAnsi="仿宋" w:cs="仿宋"/>
          <w:highlight w:val="none"/>
        </w:rPr>
        <w:t>对</w:t>
      </w:r>
      <w:r>
        <w:rPr>
          <w:rFonts w:hint="eastAsia"/>
          <w:highlight w:val="none"/>
        </w:rPr>
        <w:t>出露的管线及其附属设施已有属性的齐全性、正确性进行检查核实，并</w:t>
      </w:r>
      <w:r>
        <w:rPr>
          <w:rFonts w:hint="eastAsia" w:ascii="仿宋" w:hAnsi="仿宋" w:cs="仿宋"/>
          <w:highlight w:val="none"/>
        </w:rPr>
        <w:t>根据本招标文件规定要求对缺失的管线属性信息进行</w:t>
      </w:r>
      <w:r>
        <w:rPr>
          <w:rFonts w:hint="eastAsia"/>
          <w:highlight w:val="none"/>
        </w:rPr>
        <w:t>完善和补充，保证管线的准确性。</w:t>
      </w:r>
    </w:p>
    <w:p>
      <w:pPr>
        <w:pStyle w:val="238"/>
        <w:rPr>
          <w:highlight w:val="none"/>
        </w:rPr>
      </w:pPr>
      <w:r>
        <w:rPr>
          <w:highlight w:val="none"/>
        </w:rPr>
        <w:t>2</w:t>
      </w:r>
      <w:r>
        <w:rPr>
          <w:rFonts w:hint="eastAsia"/>
          <w:highlight w:val="none"/>
        </w:rPr>
        <w:t>.采用仪器探查的方式对隐蔽管线的平面位置及埋深进行全数核实，并对地下管线的协调性、地下管线连接关系、走向进行核实探查。</w:t>
      </w:r>
    </w:p>
    <w:p>
      <w:pPr>
        <w:pStyle w:val="238"/>
        <w:rPr>
          <w:highlight w:val="none"/>
        </w:rPr>
      </w:pPr>
      <w:r>
        <w:rPr>
          <w:highlight w:val="none"/>
        </w:rPr>
        <w:t>3</w:t>
      </w:r>
      <w:r>
        <w:rPr>
          <w:rFonts w:hint="eastAsia"/>
          <w:highlight w:val="none"/>
        </w:rPr>
        <w:t>.外业核实探查过程中须对新增管线、错误管线及相关管线属性进行补充探测，保证地下管线普查数据的现势性、完整性。</w:t>
      </w:r>
    </w:p>
    <w:p>
      <w:pPr>
        <w:pStyle w:val="238"/>
        <w:rPr>
          <w:highlight w:val="none"/>
        </w:rPr>
      </w:pPr>
      <w:r>
        <w:rPr>
          <w:highlight w:val="none"/>
        </w:rPr>
        <w:t>4</w:t>
      </w:r>
      <w:r>
        <w:rPr>
          <w:rFonts w:hint="eastAsia"/>
          <w:highlight w:val="none"/>
        </w:rPr>
        <w:t>.外业核实探查相关技术要求按4.3.1.3.6.2.1、4.3.1.3.6.2.2节执行。</w:t>
      </w:r>
    </w:p>
    <w:p>
      <w:pPr>
        <w:spacing w:line="360" w:lineRule="auto"/>
        <w:ind w:firstLine="482" w:firstLineChars="200"/>
        <w:rPr>
          <w:rFonts w:ascii="宋体" w:hAnsi="宋体"/>
          <w:b/>
          <w:sz w:val="24"/>
          <w:highlight w:val="none"/>
        </w:rPr>
      </w:pPr>
      <w:r>
        <w:rPr>
          <w:rFonts w:ascii="宋体" w:hAnsi="宋体"/>
          <w:b/>
          <w:sz w:val="24"/>
          <w:highlight w:val="none"/>
        </w:rPr>
        <w:t>4.3.1.</w:t>
      </w:r>
      <w:r>
        <w:rPr>
          <w:rFonts w:hint="eastAsia" w:ascii="宋体" w:hAnsi="宋体"/>
          <w:b/>
          <w:sz w:val="24"/>
          <w:highlight w:val="none"/>
        </w:rPr>
        <w:t>3.6.3.3测量精度核实</w:t>
      </w:r>
    </w:p>
    <w:p>
      <w:pPr>
        <w:pStyle w:val="238"/>
        <w:rPr>
          <w:highlight w:val="none"/>
        </w:rPr>
      </w:pPr>
      <w:r>
        <w:rPr>
          <w:rFonts w:hint="eastAsia"/>
          <w:highlight w:val="none"/>
        </w:rPr>
        <w:t>1.对可利用地下管线普查成果数据，以单条道路为单位按不少于10%的比例检查管线点平面位置和高程精度，当单条道路测量精度满足规定要求时可直接利用，不满足规定要求时则须全部重新测量。</w:t>
      </w:r>
    </w:p>
    <w:p>
      <w:pPr>
        <w:pStyle w:val="238"/>
        <w:rPr>
          <w:highlight w:val="none"/>
        </w:rPr>
      </w:pPr>
      <w:r>
        <w:rPr>
          <w:rFonts w:hint="eastAsia"/>
          <w:highlight w:val="none"/>
        </w:rPr>
        <w:t>2.地下管线探查过程中新增管线点按4.3.1.3.6.2.3节要求进行补充测量。</w:t>
      </w:r>
    </w:p>
    <w:p>
      <w:pPr>
        <w:spacing w:line="360" w:lineRule="auto"/>
        <w:ind w:firstLine="354" w:firstLineChars="147"/>
        <w:outlineLvl w:val="4"/>
        <w:rPr>
          <w:rFonts w:ascii="宋体" w:hAnsi="宋体"/>
          <w:b/>
          <w:bCs/>
          <w:sz w:val="24"/>
          <w:highlight w:val="none"/>
        </w:rPr>
      </w:pPr>
      <w:r>
        <w:rPr>
          <w:rFonts w:hint="eastAsia" w:ascii="宋体" w:hAnsi="宋体"/>
          <w:b/>
          <w:bCs/>
          <w:sz w:val="24"/>
          <w:highlight w:val="none"/>
        </w:rPr>
        <w:t>4.3.1.3.6.4地下管线隐患信息收集</w:t>
      </w:r>
    </w:p>
    <w:p>
      <w:pPr>
        <w:pStyle w:val="238"/>
        <w:rPr>
          <w:highlight w:val="none"/>
        </w:rPr>
      </w:pPr>
      <w:r>
        <w:rPr>
          <w:rFonts w:hint="eastAsia"/>
          <w:highlight w:val="none"/>
        </w:rPr>
        <w:t>1.收集范围：各区（市）县地下管线普查更新</w:t>
      </w:r>
      <w:r>
        <w:rPr>
          <w:highlight w:val="none"/>
        </w:rPr>
        <w:t>范围</w:t>
      </w:r>
      <w:r>
        <w:rPr>
          <w:rFonts w:hint="eastAsia"/>
          <w:highlight w:val="none"/>
        </w:rPr>
        <w:t>。</w:t>
      </w:r>
    </w:p>
    <w:p>
      <w:pPr>
        <w:pStyle w:val="238"/>
        <w:rPr>
          <w:highlight w:val="none"/>
        </w:rPr>
      </w:pPr>
      <w:r>
        <w:rPr>
          <w:rFonts w:hint="eastAsia"/>
          <w:highlight w:val="none"/>
        </w:rPr>
        <w:t>2.收集对象：给水、排水、燃气、热力、电力、通信（含广播电视）、工业（不包括油气管线）、综合管廊</w:t>
      </w:r>
      <w:r>
        <w:rPr>
          <w:highlight w:val="none"/>
        </w:rPr>
        <w:t>（</w:t>
      </w:r>
      <w:r>
        <w:rPr>
          <w:rFonts w:hint="eastAsia"/>
          <w:highlight w:val="none"/>
        </w:rPr>
        <w:t>沟</w:t>
      </w:r>
      <w:r>
        <w:rPr>
          <w:highlight w:val="none"/>
        </w:rPr>
        <w:t>）</w:t>
      </w:r>
      <w:r>
        <w:rPr>
          <w:rFonts w:hint="eastAsia"/>
          <w:highlight w:val="none"/>
        </w:rPr>
        <w:t>及其他等专业管线及其附属设施。</w:t>
      </w:r>
    </w:p>
    <w:p>
      <w:pPr>
        <w:pStyle w:val="238"/>
        <w:rPr>
          <w:highlight w:val="none"/>
        </w:rPr>
      </w:pPr>
      <w:r>
        <w:rPr>
          <w:rFonts w:hint="eastAsia"/>
          <w:highlight w:val="none"/>
        </w:rPr>
        <w:t>3.收集内容：包括隐患地点、隐患类别、隐患部位、隐患描述、隐患</w:t>
      </w:r>
      <w:r>
        <w:rPr>
          <w:highlight w:val="none"/>
        </w:rPr>
        <w:t>照片、</w:t>
      </w:r>
      <w:r>
        <w:rPr>
          <w:rFonts w:hint="eastAsia"/>
          <w:highlight w:val="none"/>
        </w:rPr>
        <w:t>责任单位、责任人、是否有安全标识、是否采取整改措施等。</w:t>
      </w:r>
    </w:p>
    <w:p>
      <w:pPr>
        <w:pStyle w:val="238"/>
        <w:rPr>
          <w:highlight w:val="none"/>
        </w:rPr>
      </w:pPr>
      <w:r>
        <w:rPr>
          <w:rFonts w:hint="eastAsia"/>
          <w:highlight w:val="none"/>
        </w:rPr>
        <w:t>4.区（市）县管线行业主管部门组织</w:t>
      </w:r>
      <w:r>
        <w:rPr>
          <w:rFonts w:hint="eastAsia" w:ascii="仿宋" w:hAnsi="仿宋" w:cs="方正仿宋_GBK"/>
          <w:kern w:val="0"/>
          <w:highlight w:val="none"/>
        </w:rPr>
        <w:t>管线权属单位</w:t>
      </w:r>
      <w:r>
        <w:rPr>
          <w:rFonts w:hint="eastAsia"/>
          <w:highlight w:val="none"/>
        </w:rPr>
        <w:t>实施地下管线隐患信息收集相关工作，</w:t>
      </w:r>
      <w:r>
        <w:rPr>
          <w:rFonts w:hint="eastAsia" w:ascii="仿宋" w:hAnsi="仿宋" w:cs="方正仿宋_GBK"/>
          <w:kern w:val="0"/>
          <w:highlight w:val="none"/>
        </w:rPr>
        <w:t>管线权属单位负责收集、整理管线隐患信息情况，编制《地下管线隐患信息情况明细表》（见附录</w:t>
      </w:r>
      <w:r>
        <w:rPr>
          <w:rFonts w:ascii="仿宋" w:hAnsi="仿宋" w:cs="方正仿宋_GBK"/>
          <w:kern w:val="0"/>
          <w:highlight w:val="none"/>
        </w:rPr>
        <w:t>L</w:t>
      </w:r>
      <w:r>
        <w:rPr>
          <w:rFonts w:hint="eastAsia" w:ascii="仿宋" w:hAnsi="仿宋" w:cs="方正仿宋_GBK"/>
          <w:kern w:val="0"/>
          <w:highlight w:val="none"/>
        </w:rPr>
        <w:t>），供给普查作业单位</w:t>
      </w:r>
      <w:r>
        <w:rPr>
          <w:rFonts w:hint="eastAsia"/>
          <w:highlight w:val="none"/>
        </w:rPr>
        <w:t>。</w:t>
      </w:r>
    </w:p>
    <w:p>
      <w:pPr>
        <w:pStyle w:val="238"/>
        <w:rPr>
          <w:rFonts w:ascii="仿宋" w:hAnsi="仿宋"/>
          <w:highlight w:val="none"/>
        </w:rPr>
      </w:pPr>
      <w:r>
        <w:rPr>
          <w:rFonts w:hint="eastAsia"/>
          <w:highlight w:val="none"/>
        </w:rPr>
        <w:t>5.普查作业单位根据</w:t>
      </w:r>
      <w:r>
        <w:rPr>
          <w:rFonts w:hint="eastAsia" w:ascii="仿宋" w:hAnsi="仿宋" w:cs="方正仿宋_GBK"/>
          <w:kern w:val="0"/>
          <w:highlight w:val="none"/>
        </w:rPr>
        <w:t>《地下管线隐患信息情况明细表》，在相关管线权属单位协同下现场采集管线隐患信息点位坐标信息，与管线</w:t>
      </w:r>
      <w:r>
        <w:rPr>
          <w:rFonts w:ascii="仿宋" w:hAnsi="仿宋" w:cs="方正仿宋_GBK"/>
          <w:kern w:val="0"/>
          <w:highlight w:val="none"/>
        </w:rPr>
        <w:t>数据实现关联，</w:t>
      </w:r>
      <w:r>
        <w:rPr>
          <w:rFonts w:hint="eastAsia" w:ascii="仿宋" w:hAnsi="仿宋" w:cs="方正仿宋_GBK"/>
          <w:kern w:val="0"/>
          <w:highlight w:val="none"/>
        </w:rPr>
        <w:t>形成地下管线隐患信息数据库</w:t>
      </w:r>
      <w:r>
        <w:rPr>
          <w:rFonts w:hint="eastAsia" w:ascii="仿宋" w:hAnsi="仿宋"/>
          <w:highlight w:val="none"/>
        </w:rPr>
        <w:t>。</w:t>
      </w:r>
    </w:p>
    <w:p>
      <w:pPr>
        <w:pStyle w:val="238"/>
        <w:rPr>
          <w:highlight w:val="none"/>
        </w:rPr>
      </w:pPr>
      <w:r>
        <w:rPr>
          <w:rFonts w:hint="eastAsia"/>
          <w:highlight w:val="none"/>
        </w:rPr>
        <w:t>6.</w:t>
      </w:r>
      <w:r>
        <w:rPr>
          <w:rFonts w:hint="eastAsia" w:ascii="仿宋" w:hAnsi="仿宋" w:cs="方正仿宋_GBK"/>
          <w:kern w:val="0"/>
          <w:highlight w:val="none"/>
        </w:rPr>
        <w:t>现场满足条件的应拍摄隐患部位照片，照片格式为</w:t>
      </w:r>
      <w:r>
        <w:rPr>
          <w:rFonts w:ascii="仿宋" w:hAnsi="仿宋" w:cs="方正仿宋_GBK"/>
          <w:kern w:val="0"/>
          <w:highlight w:val="none"/>
        </w:rPr>
        <w:t>JPG</w:t>
      </w:r>
      <w:r>
        <w:rPr>
          <w:rFonts w:hint="eastAsia" w:ascii="仿宋" w:hAnsi="仿宋" w:cs="方正仿宋_GBK"/>
          <w:kern w:val="0"/>
          <w:highlight w:val="none"/>
        </w:rPr>
        <w:t>格式，大小不超过</w:t>
      </w:r>
      <w:r>
        <w:rPr>
          <w:rFonts w:ascii="仿宋" w:hAnsi="仿宋" w:cs="方正仿宋_GBK"/>
          <w:kern w:val="0"/>
          <w:highlight w:val="none"/>
        </w:rPr>
        <w:t>2M</w:t>
      </w:r>
      <w:r>
        <w:rPr>
          <w:rFonts w:hint="eastAsia" w:ascii="仿宋" w:hAnsi="仿宋" w:cs="方正仿宋_GBK"/>
          <w:kern w:val="0"/>
          <w:highlight w:val="none"/>
        </w:rPr>
        <w:t>，照片编号与同点位标识码一致。</w:t>
      </w:r>
    </w:p>
    <w:p>
      <w:pPr>
        <w:pStyle w:val="238"/>
        <w:rPr>
          <w:highlight w:val="none"/>
        </w:rPr>
      </w:pPr>
      <w:r>
        <w:rPr>
          <w:highlight w:val="none"/>
        </w:rPr>
        <w:t>7</w:t>
      </w:r>
      <w:r>
        <w:rPr>
          <w:rFonts w:hint="eastAsia"/>
          <w:highlight w:val="none"/>
        </w:rPr>
        <w:t>.地下管线隐患信息属性结构表见附录A(附表A.</w:t>
      </w:r>
      <w:r>
        <w:rPr>
          <w:highlight w:val="none"/>
        </w:rPr>
        <w:t>7</w:t>
      </w:r>
      <w:r>
        <w:rPr>
          <w:rFonts w:hint="eastAsia"/>
          <w:highlight w:val="none"/>
        </w:rPr>
        <w:t>)，命名要求为XXxx管线隐患信息表，其中XX</w:t>
      </w:r>
      <w:r>
        <w:rPr>
          <w:rFonts w:hint="eastAsia" w:ascii="仿宋" w:hAnsi="仿宋"/>
          <w:highlight w:val="none"/>
        </w:rPr>
        <w:t>为管线大类代号,</w:t>
      </w:r>
      <w:r>
        <w:rPr>
          <w:rFonts w:ascii="仿宋" w:hAnsi="仿宋"/>
          <w:highlight w:val="none"/>
        </w:rPr>
        <w:t>xx</w:t>
      </w:r>
      <w:r>
        <w:rPr>
          <w:rFonts w:hint="eastAsia" w:ascii="仿宋" w:hAnsi="仿宋"/>
          <w:highlight w:val="none"/>
        </w:rPr>
        <w:t>为管线小类代号，详见附录A(</w:t>
      </w:r>
      <w:r>
        <w:rPr>
          <w:rFonts w:ascii="仿宋" w:hAnsi="仿宋"/>
          <w:highlight w:val="none"/>
        </w:rPr>
        <w:t>附</w:t>
      </w:r>
      <w:r>
        <w:rPr>
          <w:rFonts w:hint="eastAsia" w:ascii="仿宋" w:hAnsi="仿宋"/>
          <w:highlight w:val="none"/>
        </w:rPr>
        <w:t>表</w:t>
      </w:r>
      <w:r>
        <w:rPr>
          <w:rFonts w:ascii="仿宋" w:hAnsi="仿宋"/>
          <w:highlight w:val="none"/>
        </w:rPr>
        <w:t>A.</w:t>
      </w:r>
      <w:r>
        <w:rPr>
          <w:rFonts w:hint="eastAsia" w:ascii="仿宋" w:hAnsi="仿宋"/>
          <w:highlight w:val="none"/>
        </w:rPr>
        <w:t>8)。</w:t>
      </w:r>
    </w:p>
    <w:p>
      <w:pPr>
        <w:pStyle w:val="238"/>
        <w:rPr>
          <w:highlight w:val="none"/>
        </w:rPr>
      </w:pPr>
      <w:r>
        <w:rPr>
          <w:highlight w:val="none"/>
        </w:rPr>
        <w:t>8</w:t>
      </w:r>
      <w:r>
        <w:rPr>
          <w:rFonts w:hint="eastAsia"/>
          <w:highlight w:val="none"/>
        </w:rPr>
        <w:t>.安全风险隐患类别代码表</w:t>
      </w:r>
    </w:p>
    <w:p>
      <w:pPr>
        <w:pStyle w:val="238"/>
        <w:rPr>
          <w:highlight w:val="none"/>
        </w:rPr>
      </w:pPr>
      <w:r>
        <w:rPr>
          <w:rFonts w:hint="eastAsia"/>
          <w:highlight w:val="none"/>
        </w:rPr>
        <w:t>隐患类别代码编码方法及代码结构共分2层，从左至右的含义是：第1位为第一层，表示隐患一类。第2、3位为第二层，表示隐患二类。使用时根据需要分层采用，如果只需要到隐患一类，则可只采用第一层代码（即采用前1位代码，省略后面的“00”）。隐患类别代码见附录M。</w:t>
      </w:r>
    </w:p>
    <w:p>
      <w:pPr>
        <w:pStyle w:val="7"/>
        <w:rPr>
          <w:rFonts w:ascii="宋体" w:hAnsi="宋体"/>
          <w:sz w:val="24"/>
          <w:highlight w:val="none"/>
        </w:rPr>
      </w:pPr>
      <w:r>
        <w:rPr>
          <w:rFonts w:hint="eastAsia" w:ascii="宋体" w:hAnsi="宋体"/>
          <w:sz w:val="24"/>
          <w:highlight w:val="none"/>
        </w:rPr>
        <w:t>4.3.1.3.7 地下管线数据处理</w:t>
      </w:r>
    </w:p>
    <w:p>
      <w:pPr>
        <w:spacing w:line="360" w:lineRule="auto"/>
        <w:outlineLvl w:val="4"/>
        <w:rPr>
          <w:rFonts w:ascii="宋体" w:hAnsi="宋体"/>
          <w:b/>
          <w:bCs/>
          <w:sz w:val="24"/>
          <w:highlight w:val="none"/>
        </w:rPr>
      </w:pPr>
      <w:r>
        <w:rPr>
          <w:rFonts w:hint="eastAsia" w:ascii="宋体" w:hAnsi="宋体"/>
          <w:b/>
          <w:bCs/>
          <w:sz w:val="24"/>
          <w:highlight w:val="none"/>
        </w:rPr>
        <w:t>4.3.1.3.7.</w:t>
      </w:r>
      <w:r>
        <w:rPr>
          <w:rFonts w:ascii="宋体" w:hAnsi="宋体"/>
          <w:b/>
          <w:bCs/>
          <w:sz w:val="24"/>
          <w:highlight w:val="none"/>
        </w:rPr>
        <w:t xml:space="preserve">1 </w:t>
      </w:r>
      <w:r>
        <w:rPr>
          <w:rFonts w:hint="eastAsia" w:ascii="宋体" w:hAnsi="宋体"/>
          <w:b/>
          <w:bCs/>
          <w:sz w:val="24"/>
          <w:highlight w:val="none"/>
        </w:rPr>
        <w:t>一般规定</w:t>
      </w:r>
    </w:p>
    <w:p>
      <w:pPr>
        <w:pStyle w:val="238"/>
        <w:rPr>
          <w:highlight w:val="none"/>
        </w:rPr>
      </w:pPr>
      <w:r>
        <w:rPr>
          <w:rFonts w:hint="eastAsia"/>
          <w:highlight w:val="none"/>
        </w:rPr>
        <w:t>1.地下管线普查数据处理包括管线点平面位置、高程、井深和</w:t>
      </w:r>
      <w:r>
        <w:rPr>
          <w:highlight w:val="none"/>
        </w:rPr>
        <w:t>管线平面位置、埋深</w:t>
      </w:r>
      <w:r>
        <w:rPr>
          <w:rFonts w:hint="eastAsia"/>
          <w:highlight w:val="none"/>
        </w:rPr>
        <w:t>等空间数据的处理，管线空间数据与</w:t>
      </w:r>
      <w:r>
        <w:rPr>
          <w:highlight w:val="none"/>
        </w:rPr>
        <w:t>管线</w:t>
      </w:r>
      <w:r>
        <w:rPr>
          <w:rFonts w:hint="eastAsia"/>
          <w:highlight w:val="none"/>
        </w:rPr>
        <w:t>种类、材质、规格、埋设方式等属性数据的</w:t>
      </w:r>
      <w:r>
        <w:rPr>
          <w:highlight w:val="none"/>
        </w:rPr>
        <w:t>逻辑关系处理</w:t>
      </w:r>
      <w:r>
        <w:rPr>
          <w:rFonts w:hint="eastAsia"/>
          <w:highlight w:val="none"/>
        </w:rPr>
        <w:t>。</w:t>
      </w:r>
    </w:p>
    <w:p>
      <w:pPr>
        <w:pStyle w:val="238"/>
        <w:rPr>
          <w:color w:val="FF0000"/>
          <w:highlight w:val="none"/>
        </w:rPr>
      </w:pPr>
      <w:r>
        <w:rPr>
          <w:highlight w:val="none"/>
        </w:rPr>
        <w:t>2</w:t>
      </w:r>
      <w:r>
        <w:rPr>
          <w:rFonts w:hint="eastAsia"/>
          <w:highlight w:val="none"/>
        </w:rPr>
        <w:t>.数据</w:t>
      </w:r>
      <w:r>
        <w:rPr>
          <w:highlight w:val="none"/>
        </w:rPr>
        <w:t>处理宜形成管线图、管线成果表、管线</w:t>
      </w:r>
      <w:r>
        <w:rPr>
          <w:rFonts w:hint="eastAsia"/>
          <w:highlight w:val="none"/>
        </w:rPr>
        <w:t>属性</w:t>
      </w:r>
      <w:r>
        <w:rPr>
          <w:highlight w:val="none"/>
        </w:rPr>
        <w:t>数据文件。</w:t>
      </w:r>
    </w:p>
    <w:p>
      <w:pPr>
        <w:pStyle w:val="238"/>
        <w:rPr>
          <w:highlight w:val="none"/>
        </w:rPr>
      </w:pPr>
      <w:r>
        <w:rPr>
          <w:highlight w:val="none"/>
        </w:rPr>
        <w:t>3</w:t>
      </w:r>
      <w:r>
        <w:rPr>
          <w:rFonts w:hint="eastAsia"/>
          <w:highlight w:val="none"/>
        </w:rPr>
        <w:t>.地下管线数据处理须由专业的管线数据处理软件进行处理，数据处理使用的软件应具有数据输入、数据查错、图形与属性数据编辑联动、管线图生成、管线点表和线表自动生成等基本功能。</w:t>
      </w:r>
    </w:p>
    <w:p>
      <w:pPr>
        <w:pStyle w:val="238"/>
        <w:rPr>
          <w:highlight w:val="none"/>
        </w:rPr>
      </w:pPr>
      <w:r>
        <w:rPr>
          <w:highlight w:val="none"/>
        </w:rPr>
        <w:t>4</w:t>
      </w:r>
      <w:r>
        <w:rPr>
          <w:rFonts w:hint="eastAsia"/>
          <w:highlight w:val="none"/>
        </w:rPr>
        <w:t>.</w:t>
      </w:r>
      <w:r>
        <w:rPr>
          <w:highlight w:val="none"/>
        </w:rPr>
        <w:t xml:space="preserve"> CAD图形文件</w:t>
      </w:r>
      <w:r>
        <w:rPr>
          <w:rFonts w:hint="eastAsia"/>
          <w:highlight w:val="none"/>
        </w:rPr>
        <w:t>的</w:t>
      </w:r>
      <w:r>
        <w:rPr>
          <w:highlight w:val="none"/>
        </w:rPr>
        <w:t>管线点与管线段</w:t>
      </w:r>
      <w:r>
        <w:rPr>
          <w:rFonts w:hint="eastAsia"/>
          <w:highlight w:val="none"/>
        </w:rPr>
        <w:t>应添加</w:t>
      </w:r>
      <w:r>
        <w:rPr>
          <w:highlight w:val="none"/>
        </w:rPr>
        <w:t>扩展属性</w:t>
      </w:r>
      <w:r>
        <w:rPr>
          <w:rFonts w:hint="eastAsia"/>
          <w:highlight w:val="none"/>
        </w:rPr>
        <w:t>，扩展</w:t>
      </w:r>
      <w:r>
        <w:rPr>
          <w:highlight w:val="none"/>
        </w:rPr>
        <w:t>属性结构</w:t>
      </w:r>
      <w:r>
        <w:rPr>
          <w:rFonts w:hint="eastAsia"/>
          <w:highlight w:val="none"/>
        </w:rPr>
        <w:t>见</w:t>
      </w:r>
      <w:r>
        <w:rPr>
          <w:highlight w:val="none"/>
        </w:rPr>
        <w:t>附录A</w:t>
      </w:r>
      <w:r>
        <w:rPr>
          <w:rFonts w:hint="eastAsia"/>
          <w:highlight w:val="none"/>
        </w:rPr>
        <w:t>中</w:t>
      </w:r>
      <w:r>
        <w:rPr>
          <w:highlight w:val="none"/>
        </w:rPr>
        <w:t>管线点和</w:t>
      </w:r>
      <w:r>
        <w:rPr>
          <w:rFonts w:hint="eastAsia"/>
          <w:highlight w:val="none"/>
        </w:rPr>
        <w:t>管线</w:t>
      </w:r>
      <w:r>
        <w:rPr>
          <w:highlight w:val="none"/>
        </w:rPr>
        <w:t>线属性结构表</w:t>
      </w:r>
      <w:r>
        <w:rPr>
          <w:rFonts w:hint="eastAsia"/>
          <w:highlight w:val="none"/>
        </w:rPr>
        <w:t>，如</w:t>
      </w:r>
      <w:r>
        <w:rPr>
          <w:highlight w:val="none"/>
        </w:rPr>
        <w:t>检</w:t>
      </w:r>
      <w:r>
        <w:rPr>
          <w:rFonts w:hint="eastAsia"/>
          <w:highlight w:val="none"/>
        </w:rPr>
        <w:t>修</w:t>
      </w:r>
      <w:r>
        <w:rPr>
          <w:highlight w:val="none"/>
        </w:rPr>
        <w:t>井扩展属性如下：</w:t>
      </w:r>
    </w:p>
    <w:p>
      <w:pPr>
        <w:pStyle w:val="238"/>
        <w:rPr>
          <w:highlight w:val="none"/>
        </w:rPr>
      </w:pPr>
      <w:r>
        <w:rPr>
          <w:highlight w:val="none"/>
        </w:rPr>
        <w:t>* Registered Application Name: cdgx</w:t>
      </w:r>
      <w:r>
        <w:rPr>
          <w:rFonts w:hint="eastAsia"/>
          <w:highlight w:val="none"/>
        </w:rPr>
        <w:t>pc</w:t>
      </w:r>
      <w:r>
        <w:rPr>
          <w:highlight w:val="none"/>
        </w:rPr>
        <w:t>2021</w:t>
      </w:r>
    </w:p>
    <w:p>
      <w:pPr>
        <w:pStyle w:val="238"/>
        <w:rPr>
          <w:highlight w:val="none"/>
        </w:rPr>
      </w:pPr>
      <w:r>
        <w:rPr>
          <w:highlight w:val="none"/>
        </w:rPr>
        <w:t xml:space="preserve">* </w:t>
      </w:r>
      <w:r>
        <w:rPr>
          <w:rFonts w:hint="eastAsia"/>
          <w:highlight w:val="none"/>
        </w:rPr>
        <w:t>Code 1000, ASCII string: 项目编号:XXXXX</w:t>
      </w:r>
    </w:p>
    <w:p>
      <w:pPr>
        <w:pStyle w:val="238"/>
        <w:rPr>
          <w:highlight w:val="none"/>
        </w:rPr>
      </w:pPr>
      <w:r>
        <w:rPr>
          <w:rFonts w:hint="eastAsia"/>
          <w:highlight w:val="none"/>
        </w:rPr>
        <w:t>* Code 1000, ASCII string: 工程编号:2020-XXXXX</w:t>
      </w:r>
    </w:p>
    <w:p>
      <w:pPr>
        <w:pStyle w:val="238"/>
        <w:rPr>
          <w:highlight w:val="none"/>
        </w:rPr>
      </w:pPr>
      <w:r>
        <w:rPr>
          <w:rFonts w:hint="eastAsia"/>
          <w:highlight w:val="none"/>
        </w:rPr>
        <w:t>* Code 1000, ASCII string: 管线点号:XXXXX</w:t>
      </w:r>
    </w:p>
    <w:p>
      <w:pPr>
        <w:pStyle w:val="238"/>
        <w:rPr>
          <w:highlight w:val="none"/>
        </w:rPr>
      </w:pPr>
      <w:r>
        <w:rPr>
          <w:rFonts w:hint="eastAsia"/>
          <w:highlight w:val="none"/>
        </w:rPr>
        <w:t>......</w:t>
      </w:r>
    </w:p>
    <w:p>
      <w:pPr>
        <w:pStyle w:val="238"/>
        <w:rPr>
          <w:highlight w:val="none"/>
        </w:rPr>
      </w:pPr>
      <w:r>
        <w:rPr>
          <w:rFonts w:hint="eastAsia"/>
          <w:highlight w:val="none"/>
        </w:rPr>
        <w:t>* Code 1000, ASCII string: 是否接边点号:X</w:t>
      </w:r>
    </w:p>
    <w:p>
      <w:pPr>
        <w:pStyle w:val="238"/>
        <w:rPr>
          <w:highlight w:val="none"/>
        </w:rPr>
      </w:pPr>
      <w:r>
        <w:rPr>
          <w:rFonts w:hint="eastAsia"/>
          <w:highlight w:val="none"/>
        </w:rPr>
        <w:t>* Code 1000, ASCII string: 备注:XXXXXX</w:t>
      </w:r>
    </w:p>
    <w:p>
      <w:pPr>
        <w:pStyle w:val="238"/>
        <w:rPr>
          <w:highlight w:val="none"/>
        </w:rPr>
      </w:pPr>
      <w:r>
        <w:rPr>
          <w:highlight w:val="none"/>
        </w:rPr>
        <w:t>5</w:t>
      </w:r>
      <w:r>
        <w:rPr>
          <w:rFonts w:hint="eastAsia"/>
          <w:highlight w:val="none"/>
        </w:rPr>
        <w:t>.图形数据按管线</w:t>
      </w:r>
      <w:r>
        <w:rPr>
          <w:highlight w:val="none"/>
        </w:rPr>
        <w:t>小类</w:t>
      </w:r>
      <w:r>
        <w:rPr>
          <w:rFonts w:hint="eastAsia"/>
          <w:highlight w:val="none"/>
        </w:rPr>
        <w:t>分类</w:t>
      </w:r>
      <w:r>
        <w:rPr>
          <w:highlight w:val="none"/>
        </w:rPr>
        <w:t>组织，</w:t>
      </w:r>
      <w:r>
        <w:rPr>
          <w:rFonts w:hint="eastAsia"/>
          <w:highlight w:val="none"/>
        </w:rPr>
        <w:t>每类数据按</w:t>
      </w:r>
      <w:r>
        <w:rPr>
          <w:highlight w:val="none"/>
        </w:rPr>
        <w:t>管线</w:t>
      </w:r>
      <w:r>
        <w:rPr>
          <w:rFonts w:hint="eastAsia"/>
          <w:highlight w:val="none"/>
        </w:rPr>
        <w:t>数据规定</w:t>
      </w:r>
      <w:r>
        <w:rPr>
          <w:highlight w:val="none"/>
        </w:rPr>
        <w:t>分层</w:t>
      </w:r>
      <w:r>
        <w:rPr>
          <w:rFonts w:hint="eastAsia"/>
          <w:highlight w:val="none"/>
        </w:rPr>
        <w:t>存放。</w:t>
      </w:r>
    </w:p>
    <w:p>
      <w:pPr>
        <w:pStyle w:val="238"/>
        <w:rPr>
          <w:highlight w:val="none"/>
        </w:rPr>
      </w:pPr>
      <w:r>
        <w:rPr>
          <w:highlight w:val="none"/>
        </w:rPr>
        <w:t>6</w:t>
      </w:r>
      <w:r>
        <w:rPr>
          <w:rFonts w:hint="eastAsia"/>
          <w:highlight w:val="none"/>
        </w:rPr>
        <w:t>.属性数据按管线</w:t>
      </w:r>
      <w:r>
        <w:rPr>
          <w:highlight w:val="none"/>
        </w:rPr>
        <w:t>小类</w:t>
      </w:r>
      <w:r>
        <w:rPr>
          <w:rFonts w:hint="eastAsia"/>
          <w:highlight w:val="none"/>
        </w:rPr>
        <w:t>分类</w:t>
      </w:r>
      <w:r>
        <w:rPr>
          <w:highlight w:val="none"/>
        </w:rPr>
        <w:t>组织，</w:t>
      </w:r>
      <w:r>
        <w:rPr>
          <w:rFonts w:hint="eastAsia"/>
          <w:highlight w:val="none"/>
        </w:rPr>
        <w:t>每类数据按</w:t>
      </w:r>
      <w:r>
        <w:rPr>
          <w:highlight w:val="none"/>
        </w:rPr>
        <w:t>管线</w:t>
      </w:r>
      <w:r>
        <w:rPr>
          <w:rFonts w:hint="eastAsia"/>
          <w:highlight w:val="none"/>
        </w:rPr>
        <w:t>数据规定生成</w:t>
      </w:r>
      <w:r>
        <w:rPr>
          <w:highlight w:val="none"/>
        </w:rPr>
        <w:t>管线点表和管线线表数据</w:t>
      </w:r>
      <w:r>
        <w:rPr>
          <w:rFonts w:hint="eastAsia"/>
          <w:highlight w:val="none"/>
        </w:rPr>
        <w:t>。</w:t>
      </w:r>
    </w:p>
    <w:p>
      <w:pPr>
        <w:pStyle w:val="238"/>
        <w:rPr>
          <w:highlight w:val="none"/>
        </w:rPr>
      </w:pPr>
      <w:r>
        <w:rPr>
          <w:highlight w:val="none"/>
        </w:rPr>
        <w:t>7</w:t>
      </w:r>
      <w:r>
        <w:rPr>
          <w:rFonts w:hint="eastAsia"/>
          <w:highlight w:val="none"/>
        </w:rPr>
        <w:t>.</w:t>
      </w:r>
      <w:r>
        <w:rPr>
          <w:highlight w:val="none"/>
        </w:rPr>
        <w:t>管线</w:t>
      </w:r>
      <w:r>
        <w:rPr>
          <w:rFonts w:hint="eastAsia"/>
          <w:highlight w:val="none"/>
        </w:rPr>
        <w:t>分类、</w:t>
      </w:r>
      <w:r>
        <w:rPr>
          <w:highlight w:val="none"/>
        </w:rPr>
        <w:t>管线</w:t>
      </w:r>
      <w:r>
        <w:rPr>
          <w:rFonts w:hint="eastAsia"/>
          <w:highlight w:val="none"/>
        </w:rPr>
        <w:t>点图例</w:t>
      </w:r>
      <w:r>
        <w:rPr>
          <w:highlight w:val="none"/>
        </w:rPr>
        <w:t>、管线要素代码、</w:t>
      </w:r>
      <w:r>
        <w:rPr>
          <w:rFonts w:hint="eastAsia"/>
          <w:highlight w:val="none"/>
        </w:rPr>
        <w:t>管线</w:t>
      </w:r>
      <w:r>
        <w:rPr>
          <w:highlight w:val="none"/>
        </w:rPr>
        <w:t>线型、管线数据及图形分层</w:t>
      </w:r>
      <w:r>
        <w:rPr>
          <w:rFonts w:hint="eastAsia"/>
          <w:highlight w:val="none"/>
        </w:rPr>
        <w:t>等要求</w:t>
      </w:r>
      <w:r>
        <w:rPr>
          <w:highlight w:val="none"/>
        </w:rPr>
        <w:t>按</w:t>
      </w:r>
      <w:r>
        <w:rPr>
          <w:rFonts w:hint="eastAsia"/>
          <w:highlight w:val="none"/>
        </w:rPr>
        <w:t>附录A管线数据</w:t>
      </w:r>
      <w:r>
        <w:rPr>
          <w:highlight w:val="none"/>
        </w:rPr>
        <w:t>规定</w:t>
      </w:r>
      <w:r>
        <w:rPr>
          <w:rFonts w:hint="eastAsia"/>
          <w:highlight w:val="none"/>
        </w:rPr>
        <w:t>执行。</w:t>
      </w:r>
    </w:p>
    <w:p>
      <w:pPr>
        <w:spacing w:line="360" w:lineRule="auto"/>
        <w:outlineLvl w:val="4"/>
        <w:rPr>
          <w:rFonts w:ascii="宋体" w:hAnsi="宋体"/>
          <w:b/>
          <w:bCs/>
          <w:sz w:val="24"/>
          <w:highlight w:val="none"/>
        </w:rPr>
      </w:pPr>
      <w:r>
        <w:rPr>
          <w:rFonts w:hint="eastAsia" w:ascii="宋体" w:hAnsi="宋体"/>
          <w:b/>
          <w:bCs/>
          <w:sz w:val="24"/>
          <w:highlight w:val="none"/>
        </w:rPr>
        <w:t>4.3.1.3.7.</w:t>
      </w:r>
      <w:r>
        <w:rPr>
          <w:rFonts w:ascii="宋体" w:hAnsi="宋体"/>
          <w:b/>
          <w:bCs/>
          <w:sz w:val="24"/>
          <w:highlight w:val="none"/>
        </w:rPr>
        <w:t xml:space="preserve">2 </w:t>
      </w:r>
      <w:r>
        <w:rPr>
          <w:rFonts w:hint="eastAsia" w:ascii="宋体" w:hAnsi="宋体"/>
          <w:b/>
          <w:bCs/>
          <w:sz w:val="24"/>
          <w:highlight w:val="none"/>
        </w:rPr>
        <w:t>管线图编绘</w:t>
      </w:r>
    </w:p>
    <w:p>
      <w:pPr>
        <w:pStyle w:val="238"/>
        <w:rPr>
          <w:highlight w:val="none"/>
        </w:rPr>
      </w:pPr>
      <w:r>
        <w:rPr>
          <w:highlight w:val="none"/>
        </w:rPr>
        <w:t>1</w:t>
      </w:r>
      <w:r>
        <w:rPr>
          <w:rFonts w:hint="eastAsia"/>
          <w:highlight w:val="none"/>
        </w:rPr>
        <w:t>.地下管线图编绘应以路网图为基础，在属性</w:t>
      </w:r>
      <w:r>
        <w:rPr>
          <w:highlight w:val="none"/>
        </w:rPr>
        <w:t>数据处理完成后</w:t>
      </w:r>
      <w:r>
        <w:rPr>
          <w:rFonts w:hint="eastAsia"/>
          <w:highlight w:val="none"/>
        </w:rPr>
        <w:t>采用软件成图结合人工编辑的方式进行。</w:t>
      </w:r>
    </w:p>
    <w:p>
      <w:pPr>
        <w:pStyle w:val="238"/>
        <w:rPr>
          <w:highlight w:val="none"/>
        </w:rPr>
      </w:pPr>
      <w:r>
        <w:rPr>
          <w:highlight w:val="none"/>
        </w:rPr>
        <w:t>2</w:t>
      </w:r>
      <w:r>
        <w:rPr>
          <w:rFonts w:hint="eastAsia"/>
          <w:highlight w:val="none"/>
        </w:rPr>
        <w:t>.地下管线图的成图比例尺和分幅与地形图一致，成果图件基本比例尺为1:500，图幅规格为50cm×50cm，具体分幅</w:t>
      </w:r>
      <w:r>
        <w:rPr>
          <w:highlight w:val="none"/>
        </w:rPr>
        <w:t>要求</w:t>
      </w:r>
      <w:r>
        <w:rPr>
          <w:rFonts w:hint="eastAsia"/>
          <w:highlight w:val="none"/>
        </w:rPr>
        <w:t>按</w:t>
      </w:r>
      <w:r>
        <w:rPr>
          <w:highlight w:val="none"/>
        </w:rPr>
        <w:t>附录K</w:t>
      </w:r>
      <w:r>
        <w:rPr>
          <w:rFonts w:hint="eastAsia"/>
          <w:highlight w:val="none"/>
        </w:rPr>
        <w:t>执行</w:t>
      </w:r>
      <w:r>
        <w:rPr>
          <w:highlight w:val="none"/>
        </w:rPr>
        <w:t>。</w:t>
      </w:r>
    </w:p>
    <w:p>
      <w:pPr>
        <w:pStyle w:val="238"/>
        <w:rPr>
          <w:highlight w:val="none"/>
        </w:rPr>
      </w:pPr>
      <w:r>
        <w:rPr>
          <w:highlight w:val="none"/>
        </w:rPr>
        <w:t>3</w:t>
      </w:r>
      <w:r>
        <w:rPr>
          <w:rFonts w:hint="eastAsia"/>
          <w:highlight w:val="none"/>
        </w:rPr>
        <w:t>.管线图的各种文字、数字注记不应压盖管线及其附属设施的符号，与管线矛盾或重合的地物应进行删除、移位或恰当处理。管线上文字、数字注记应平行于管线走向，字头应朝向图的上方，跨图幅的文字、数字注记应分别注记在两幅图内。注记内容按表3.7</w:t>
      </w:r>
      <w:r>
        <w:rPr>
          <w:highlight w:val="none"/>
        </w:rPr>
        <w:t>.2.3</w:t>
      </w:r>
      <w:r>
        <w:rPr>
          <w:rFonts w:hint="eastAsia"/>
          <w:highlight w:val="none"/>
        </w:rPr>
        <w:t>的规定执行。</w:t>
      </w:r>
    </w:p>
    <w:p>
      <w:pPr>
        <w:spacing w:line="400" w:lineRule="exact"/>
        <w:jc w:val="center"/>
        <w:rPr>
          <w:rFonts w:ascii="仿宋" w:hAnsi="仿宋" w:eastAsia="仿宋" w:cs="仿宋"/>
          <w:b/>
          <w:sz w:val="24"/>
          <w:highlight w:val="none"/>
        </w:rPr>
      </w:pPr>
      <w:r>
        <w:rPr>
          <w:rFonts w:hint="eastAsia" w:ascii="宋体" w:hAnsi="宋体" w:cs="宋体"/>
          <w:b/>
          <w:sz w:val="24"/>
          <w:highlight w:val="none"/>
        </w:rPr>
        <w:t>表3.7.2.3管线图注记要求</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5"/>
        <w:gridCol w:w="1933"/>
        <w:gridCol w:w="916"/>
        <w:gridCol w:w="1527"/>
        <w:gridCol w:w="2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5"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类型</w:t>
            </w:r>
          </w:p>
        </w:tc>
        <w:tc>
          <w:tcPr>
            <w:tcW w:w="1933"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方式</w:t>
            </w:r>
          </w:p>
        </w:tc>
        <w:tc>
          <w:tcPr>
            <w:tcW w:w="916"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字体</w:t>
            </w:r>
          </w:p>
        </w:tc>
        <w:tc>
          <w:tcPr>
            <w:tcW w:w="1527"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字体大小(mm)</w:t>
            </w:r>
          </w:p>
        </w:tc>
        <w:tc>
          <w:tcPr>
            <w:tcW w:w="2094"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5"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管线点号</w:t>
            </w:r>
          </w:p>
        </w:tc>
        <w:tc>
          <w:tcPr>
            <w:tcW w:w="1933"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字符、数字化混合</w:t>
            </w:r>
          </w:p>
        </w:tc>
        <w:tc>
          <w:tcPr>
            <w:tcW w:w="916"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正等线</w:t>
            </w:r>
          </w:p>
        </w:tc>
        <w:tc>
          <w:tcPr>
            <w:tcW w:w="1527"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2</w:t>
            </w:r>
          </w:p>
        </w:tc>
        <w:tc>
          <w:tcPr>
            <w:tcW w:w="2094"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字朝正北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5"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线注记</w:t>
            </w:r>
          </w:p>
        </w:tc>
        <w:tc>
          <w:tcPr>
            <w:tcW w:w="1933"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字符、数字化混合</w:t>
            </w:r>
          </w:p>
        </w:tc>
        <w:tc>
          <w:tcPr>
            <w:tcW w:w="916"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正等线</w:t>
            </w:r>
          </w:p>
        </w:tc>
        <w:tc>
          <w:tcPr>
            <w:tcW w:w="1527"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2</w:t>
            </w:r>
          </w:p>
        </w:tc>
        <w:tc>
          <w:tcPr>
            <w:tcW w:w="2094" w:type="dxa"/>
            <w:noWrap/>
            <w:vAlign w:val="center"/>
          </w:tcPr>
          <w:p>
            <w:pPr>
              <w:jc w:val="left"/>
              <w:rPr>
                <w:rFonts w:ascii="宋体" w:hAnsi="宋体" w:cs="宋体"/>
                <w:kern w:val="0"/>
                <w:szCs w:val="21"/>
                <w:highlight w:val="none"/>
              </w:rPr>
            </w:pPr>
            <w:r>
              <w:rPr>
                <w:rFonts w:hint="eastAsia" w:ascii="宋体" w:hAnsi="宋体" w:cs="宋体"/>
                <w:kern w:val="0"/>
                <w:szCs w:val="21"/>
                <w:highlight w:val="none"/>
              </w:rPr>
              <w:t>平行于管线走向、字头应垂直于管线。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5"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扯旗说明</w:t>
            </w:r>
          </w:p>
        </w:tc>
        <w:tc>
          <w:tcPr>
            <w:tcW w:w="1933"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汉字、数字化混合</w:t>
            </w:r>
          </w:p>
        </w:tc>
        <w:tc>
          <w:tcPr>
            <w:tcW w:w="916"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细等线</w:t>
            </w:r>
          </w:p>
        </w:tc>
        <w:tc>
          <w:tcPr>
            <w:tcW w:w="1527"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3</w:t>
            </w:r>
          </w:p>
        </w:tc>
        <w:tc>
          <w:tcPr>
            <w:tcW w:w="2094" w:type="dxa"/>
            <w:noWrap/>
            <w:vAlign w:val="center"/>
          </w:tcPr>
          <w:p>
            <w:pPr>
              <w:jc w:val="left"/>
              <w:rPr>
                <w:rFonts w:ascii="宋体" w:hAnsi="宋体" w:cs="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5"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主要道路名</w:t>
            </w:r>
          </w:p>
        </w:tc>
        <w:tc>
          <w:tcPr>
            <w:tcW w:w="1933"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汉字</w:t>
            </w:r>
          </w:p>
        </w:tc>
        <w:tc>
          <w:tcPr>
            <w:tcW w:w="916"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细等线</w:t>
            </w:r>
          </w:p>
        </w:tc>
        <w:tc>
          <w:tcPr>
            <w:tcW w:w="1527"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4</w:t>
            </w:r>
          </w:p>
        </w:tc>
        <w:tc>
          <w:tcPr>
            <w:tcW w:w="2094" w:type="dxa"/>
            <w:vMerge w:val="restart"/>
            <w:noWrap/>
            <w:vAlign w:val="center"/>
          </w:tcPr>
          <w:p>
            <w:pPr>
              <w:jc w:val="left"/>
              <w:rPr>
                <w:rFonts w:ascii="宋体" w:hAnsi="宋体" w:cs="宋体"/>
                <w:kern w:val="0"/>
                <w:szCs w:val="21"/>
                <w:highlight w:val="none"/>
              </w:rPr>
            </w:pPr>
            <w:r>
              <w:rPr>
                <w:rFonts w:hint="eastAsia" w:ascii="宋体" w:hAnsi="宋体" w:cs="宋体"/>
                <w:kern w:val="0"/>
                <w:szCs w:val="21"/>
                <w:highlight w:val="none"/>
              </w:rPr>
              <w:t>路面辅装材料注记2.5mm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5"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街巷、单位名</w:t>
            </w:r>
          </w:p>
        </w:tc>
        <w:tc>
          <w:tcPr>
            <w:tcW w:w="1933"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汉字</w:t>
            </w:r>
          </w:p>
        </w:tc>
        <w:tc>
          <w:tcPr>
            <w:tcW w:w="916"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细等线</w:t>
            </w:r>
          </w:p>
        </w:tc>
        <w:tc>
          <w:tcPr>
            <w:tcW w:w="1527"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3</w:t>
            </w:r>
          </w:p>
        </w:tc>
        <w:tc>
          <w:tcPr>
            <w:tcW w:w="2094" w:type="dxa"/>
            <w:vMerge w:val="continue"/>
            <w:noWrap/>
            <w:vAlign w:val="center"/>
          </w:tcPr>
          <w:p>
            <w:pPr>
              <w:jc w:val="center"/>
              <w:rPr>
                <w:rFonts w:ascii="宋体" w:hAnsi="宋体" w:cs="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5"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层楼、结构</w:t>
            </w:r>
          </w:p>
        </w:tc>
        <w:tc>
          <w:tcPr>
            <w:tcW w:w="1933"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字符、数字化混合</w:t>
            </w:r>
          </w:p>
        </w:tc>
        <w:tc>
          <w:tcPr>
            <w:tcW w:w="916"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正等线</w:t>
            </w:r>
          </w:p>
        </w:tc>
        <w:tc>
          <w:tcPr>
            <w:tcW w:w="1527"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2.5</w:t>
            </w:r>
          </w:p>
        </w:tc>
        <w:tc>
          <w:tcPr>
            <w:tcW w:w="2094" w:type="dxa"/>
            <w:vMerge w:val="restart"/>
            <w:noWrap/>
            <w:vAlign w:val="center"/>
          </w:tcPr>
          <w:p>
            <w:pPr>
              <w:jc w:val="center"/>
              <w:rPr>
                <w:rFonts w:ascii="宋体" w:hAnsi="宋体" w:cs="宋体"/>
                <w:kern w:val="0"/>
                <w:szCs w:val="21"/>
                <w:highlight w:val="none"/>
              </w:rPr>
            </w:pPr>
            <w:r>
              <w:rPr>
                <w:rFonts w:hint="eastAsia" w:ascii="宋体" w:hAnsi="宋体" w:cs="宋体"/>
                <w:kern w:val="0"/>
                <w:szCs w:val="21"/>
                <w:highlight w:val="none"/>
              </w:rPr>
              <w:t>分间线长10mm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5"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门牌号</w:t>
            </w:r>
          </w:p>
        </w:tc>
        <w:tc>
          <w:tcPr>
            <w:tcW w:w="1933"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数字化</w:t>
            </w:r>
          </w:p>
        </w:tc>
        <w:tc>
          <w:tcPr>
            <w:tcW w:w="916"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正等线</w:t>
            </w:r>
          </w:p>
        </w:tc>
        <w:tc>
          <w:tcPr>
            <w:tcW w:w="1527"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1.5</w:t>
            </w:r>
          </w:p>
        </w:tc>
        <w:tc>
          <w:tcPr>
            <w:tcW w:w="2094" w:type="dxa"/>
            <w:vMerge w:val="continue"/>
            <w:noWrap/>
            <w:vAlign w:val="center"/>
          </w:tcPr>
          <w:p>
            <w:pPr>
              <w:jc w:val="center"/>
              <w:rPr>
                <w:rFonts w:ascii="宋体" w:hAnsi="宋体" w:cs="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5"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进房、变径等说明</w:t>
            </w:r>
          </w:p>
        </w:tc>
        <w:tc>
          <w:tcPr>
            <w:tcW w:w="1933"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汉字</w:t>
            </w:r>
          </w:p>
        </w:tc>
        <w:tc>
          <w:tcPr>
            <w:tcW w:w="916"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正等线</w:t>
            </w:r>
          </w:p>
        </w:tc>
        <w:tc>
          <w:tcPr>
            <w:tcW w:w="1527"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2</w:t>
            </w:r>
          </w:p>
        </w:tc>
        <w:tc>
          <w:tcPr>
            <w:tcW w:w="2094" w:type="dxa"/>
            <w:noWrap/>
            <w:vAlign w:val="center"/>
          </w:tcPr>
          <w:p>
            <w:pPr>
              <w:jc w:val="center"/>
              <w:rPr>
                <w:rFonts w:ascii="宋体" w:hAnsi="宋体" w:cs="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5"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高程点</w:t>
            </w:r>
          </w:p>
        </w:tc>
        <w:tc>
          <w:tcPr>
            <w:tcW w:w="1933"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数字化</w:t>
            </w:r>
          </w:p>
        </w:tc>
        <w:tc>
          <w:tcPr>
            <w:tcW w:w="916"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正等线</w:t>
            </w:r>
          </w:p>
        </w:tc>
        <w:tc>
          <w:tcPr>
            <w:tcW w:w="1527"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2</w:t>
            </w:r>
          </w:p>
        </w:tc>
        <w:tc>
          <w:tcPr>
            <w:tcW w:w="2094" w:type="dxa"/>
            <w:noWrap/>
            <w:vAlign w:val="center"/>
          </w:tcPr>
          <w:p>
            <w:pPr>
              <w:jc w:val="center"/>
              <w:rPr>
                <w:rFonts w:ascii="宋体" w:hAnsi="宋体" w:cs="宋体"/>
                <w:kern w:val="0"/>
                <w:szCs w:val="21"/>
                <w:highlight w:val="none"/>
              </w:rPr>
            </w:pPr>
          </w:p>
        </w:tc>
      </w:tr>
    </w:tbl>
    <w:p>
      <w:pPr>
        <w:spacing w:line="360" w:lineRule="auto"/>
        <w:ind w:firstLine="424" w:firstLineChars="177"/>
        <w:jc w:val="left"/>
        <w:rPr>
          <w:rFonts w:ascii="宋体" w:hAnsi="宋体"/>
          <w:sz w:val="24"/>
          <w:highlight w:val="none"/>
        </w:rPr>
      </w:pPr>
      <w:r>
        <w:rPr>
          <w:rFonts w:ascii="宋体" w:hAnsi="宋体"/>
          <w:sz w:val="24"/>
          <w:highlight w:val="none"/>
        </w:rPr>
        <w:t>4</w:t>
      </w:r>
      <w:r>
        <w:rPr>
          <w:rFonts w:hint="eastAsia" w:ascii="宋体" w:hAnsi="宋体"/>
          <w:sz w:val="24"/>
          <w:highlight w:val="none"/>
        </w:rPr>
        <w:t>.管线图线注记内容参照表3.7</w:t>
      </w:r>
      <w:r>
        <w:rPr>
          <w:rFonts w:ascii="宋体" w:hAnsi="宋体"/>
          <w:sz w:val="24"/>
          <w:highlight w:val="none"/>
        </w:rPr>
        <w:t>.2.4</w:t>
      </w:r>
      <w:r>
        <w:rPr>
          <w:rFonts w:hint="eastAsia" w:ascii="宋体" w:hAnsi="宋体"/>
          <w:sz w:val="24"/>
          <w:highlight w:val="none"/>
        </w:rPr>
        <w:t>的规定执行。</w:t>
      </w:r>
    </w:p>
    <w:p>
      <w:pPr>
        <w:spacing w:line="360" w:lineRule="auto"/>
        <w:jc w:val="center"/>
        <w:rPr>
          <w:rFonts w:ascii="宋体" w:hAnsi="宋体"/>
          <w:b/>
          <w:sz w:val="24"/>
          <w:highlight w:val="none"/>
        </w:rPr>
      </w:pPr>
      <w:r>
        <w:rPr>
          <w:rFonts w:ascii="宋体" w:hAnsi="宋体"/>
          <w:b/>
          <w:sz w:val="24"/>
          <w:highlight w:val="none"/>
        </w:rPr>
        <w:t>表</w:t>
      </w:r>
      <w:r>
        <w:rPr>
          <w:rFonts w:hint="eastAsia" w:ascii="宋体" w:hAnsi="宋体"/>
          <w:b/>
          <w:sz w:val="24"/>
          <w:highlight w:val="none"/>
        </w:rPr>
        <w:t>3.7</w:t>
      </w:r>
      <w:r>
        <w:rPr>
          <w:rFonts w:ascii="宋体" w:hAnsi="宋体"/>
          <w:b/>
          <w:sz w:val="24"/>
          <w:highlight w:val="none"/>
        </w:rPr>
        <w:t>.2.4管线图线注记内容</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6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16" w:type="dxa"/>
            <w:noWrap/>
            <w:vAlign w:val="center"/>
          </w:tcPr>
          <w:p>
            <w:pPr>
              <w:ind w:firstLine="210" w:firstLineChars="100"/>
              <w:jc w:val="center"/>
              <w:rPr>
                <w:rFonts w:ascii="宋体" w:hAnsi="宋体" w:cs="宋体"/>
                <w:kern w:val="0"/>
                <w:szCs w:val="21"/>
                <w:highlight w:val="none"/>
              </w:rPr>
            </w:pPr>
            <w:r>
              <w:rPr>
                <w:rFonts w:hint="eastAsia" w:ascii="宋体" w:hAnsi="宋体" w:cs="宋体"/>
                <w:kern w:val="0"/>
                <w:szCs w:val="21"/>
                <w:highlight w:val="none"/>
              </w:rPr>
              <w:t>管线类型</w:t>
            </w:r>
          </w:p>
        </w:tc>
        <w:tc>
          <w:tcPr>
            <w:tcW w:w="6623" w:type="dxa"/>
            <w:noWrap/>
            <w:vAlign w:val="center"/>
          </w:tcPr>
          <w:p>
            <w:pPr>
              <w:ind w:firstLine="1995" w:firstLineChars="950"/>
              <w:jc w:val="left"/>
              <w:rPr>
                <w:rFonts w:ascii="宋体" w:hAnsi="宋体" w:cs="宋体"/>
                <w:kern w:val="0"/>
                <w:szCs w:val="21"/>
                <w:highlight w:val="none"/>
              </w:rPr>
            </w:pPr>
            <w:r>
              <w:rPr>
                <w:rFonts w:hint="eastAsia" w:ascii="宋体" w:hAnsi="宋体" w:cs="宋体"/>
                <w:kern w:val="0"/>
                <w:szCs w:val="21"/>
                <w:highlight w:val="none"/>
              </w:rPr>
              <w:t>线注记内容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16"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电力</w:t>
            </w:r>
          </w:p>
        </w:tc>
        <w:tc>
          <w:tcPr>
            <w:tcW w:w="6623" w:type="dxa"/>
            <w:noWrap/>
            <w:vAlign w:val="center"/>
          </w:tcPr>
          <w:p>
            <w:pPr>
              <w:jc w:val="left"/>
              <w:rPr>
                <w:rFonts w:ascii="宋体" w:hAnsi="宋体" w:cs="宋体"/>
                <w:kern w:val="0"/>
                <w:szCs w:val="21"/>
                <w:highlight w:val="none"/>
              </w:rPr>
            </w:pPr>
            <w:r>
              <w:rPr>
                <w:rFonts w:hint="eastAsia" w:ascii="宋体" w:hAnsi="宋体" w:cs="宋体"/>
                <w:kern w:val="0"/>
                <w:szCs w:val="21"/>
                <w:highlight w:val="none"/>
              </w:rPr>
              <w:t>管线代码+ DN管径（断面尺寸）+材质+总孔数/已用孔数 +电压+kV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16"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通信</w:t>
            </w:r>
          </w:p>
        </w:tc>
        <w:tc>
          <w:tcPr>
            <w:tcW w:w="6623" w:type="dxa"/>
            <w:noWrap/>
            <w:vAlign w:val="center"/>
          </w:tcPr>
          <w:p>
            <w:pPr>
              <w:jc w:val="left"/>
              <w:rPr>
                <w:rFonts w:ascii="宋体" w:hAnsi="宋体" w:cs="宋体"/>
                <w:kern w:val="0"/>
                <w:szCs w:val="21"/>
                <w:highlight w:val="none"/>
              </w:rPr>
            </w:pPr>
            <w:r>
              <w:rPr>
                <w:rFonts w:hint="eastAsia" w:ascii="宋体" w:hAnsi="宋体" w:cs="宋体"/>
                <w:kern w:val="0"/>
                <w:szCs w:val="21"/>
                <w:highlight w:val="none"/>
              </w:rPr>
              <w:t>管线代码+ DN管径（断面尺寸）+材质+总孔数/已用孔数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16"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给水</w:t>
            </w:r>
          </w:p>
        </w:tc>
        <w:tc>
          <w:tcPr>
            <w:tcW w:w="6623" w:type="dxa"/>
            <w:noWrap/>
            <w:vAlign w:val="center"/>
          </w:tcPr>
          <w:p>
            <w:pPr>
              <w:jc w:val="left"/>
              <w:rPr>
                <w:rFonts w:ascii="宋体" w:hAnsi="宋体" w:cs="宋体"/>
                <w:kern w:val="0"/>
                <w:szCs w:val="21"/>
                <w:highlight w:val="none"/>
              </w:rPr>
            </w:pPr>
            <w:r>
              <w:rPr>
                <w:rFonts w:hint="eastAsia" w:ascii="宋体" w:hAnsi="宋体" w:cs="宋体"/>
                <w:kern w:val="0"/>
                <w:szCs w:val="21"/>
                <w:highlight w:val="none"/>
              </w:rPr>
              <w:t>管线代码+DN+管径+材质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16"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排水</w:t>
            </w:r>
          </w:p>
        </w:tc>
        <w:tc>
          <w:tcPr>
            <w:tcW w:w="6623" w:type="dxa"/>
            <w:noWrap/>
            <w:vAlign w:val="center"/>
          </w:tcPr>
          <w:p>
            <w:pPr>
              <w:jc w:val="left"/>
              <w:rPr>
                <w:rFonts w:ascii="宋体" w:hAnsi="宋体" w:cs="宋体"/>
                <w:kern w:val="0"/>
                <w:szCs w:val="21"/>
                <w:highlight w:val="none"/>
              </w:rPr>
            </w:pPr>
            <w:r>
              <w:rPr>
                <w:rFonts w:hint="eastAsia" w:ascii="宋体" w:hAnsi="宋体" w:cs="宋体"/>
                <w:kern w:val="0"/>
                <w:szCs w:val="21"/>
                <w:highlight w:val="none"/>
              </w:rPr>
              <w:t>管线代码+DN+管径（断面尺寸）+材质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16"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燃气</w:t>
            </w:r>
          </w:p>
        </w:tc>
        <w:tc>
          <w:tcPr>
            <w:tcW w:w="6623" w:type="dxa"/>
            <w:noWrap/>
            <w:vAlign w:val="center"/>
          </w:tcPr>
          <w:p>
            <w:pPr>
              <w:jc w:val="left"/>
              <w:rPr>
                <w:rFonts w:ascii="宋体" w:hAnsi="宋体" w:cs="宋体"/>
                <w:kern w:val="0"/>
                <w:szCs w:val="21"/>
                <w:highlight w:val="none"/>
              </w:rPr>
            </w:pPr>
            <w:r>
              <w:rPr>
                <w:rFonts w:hint="eastAsia" w:ascii="宋体" w:hAnsi="宋体" w:cs="宋体"/>
                <w:kern w:val="0"/>
                <w:szCs w:val="21"/>
                <w:highlight w:val="none"/>
              </w:rPr>
              <w:t>管线代码+DN+管径（断面尺寸）+材质+压力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16"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热力</w:t>
            </w:r>
          </w:p>
        </w:tc>
        <w:tc>
          <w:tcPr>
            <w:tcW w:w="6623" w:type="dxa"/>
            <w:noWrap/>
            <w:vAlign w:val="center"/>
          </w:tcPr>
          <w:p>
            <w:pPr>
              <w:jc w:val="left"/>
              <w:rPr>
                <w:rFonts w:ascii="宋体" w:hAnsi="宋体" w:cs="宋体"/>
                <w:kern w:val="0"/>
                <w:szCs w:val="21"/>
                <w:highlight w:val="none"/>
              </w:rPr>
            </w:pPr>
            <w:r>
              <w:rPr>
                <w:rFonts w:hint="eastAsia" w:ascii="宋体" w:hAnsi="宋体" w:cs="宋体"/>
                <w:kern w:val="0"/>
                <w:szCs w:val="21"/>
                <w:highlight w:val="none"/>
              </w:rPr>
              <w:t>管线代码+DN+管径+材质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16"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工业</w:t>
            </w:r>
          </w:p>
        </w:tc>
        <w:tc>
          <w:tcPr>
            <w:tcW w:w="6623" w:type="dxa"/>
            <w:noWrap/>
            <w:vAlign w:val="center"/>
          </w:tcPr>
          <w:p>
            <w:pPr>
              <w:jc w:val="left"/>
              <w:rPr>
                <w:rFonts w:ascii="宋体" w:hAnsi="宋体" w:cs="宋体"/>
                <w:kern w:val="0"/>
                <w:szCs w:val="21"/>
                <w:highlight w:val="none"/>
              </w:rPr>
            </w:pPr>
            <w:r>
              <w:rPr>
                <w:rFonts w:hint="eastAsia" w:ascii="宋体" w:hAnsi="宋体" w:cs="宋体"/>
                <w:kern w:val="0"/>
                <w:szCs w:val="21"/>
                <w:highlight w:val="none"/>
              </w:rPr>
              <w:t>管线代码+DN+管径（断面尺寸）+材质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16"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综合管廊（沟）</w:t>
            </w:r>
          </w:p>
        </w:tc>
        <w:tc>
          <w:tcPr>
            <w:tcW w:w="6623" w:type="dxa"/>
            <w:noWrap/>
            <w:vAlign w:val="center"/>
          </w:tcPr>
          <w:p>
            <w:pPr>
              <w:jc w:val="left"/>
              <w:rPr>
                <w:rFonts w:ascii="宋体" w:hAnsi="宋体" w:cs="宋体"/>
                <w:kern w:val="0"/>
                <w:szCs w:val="21"/>
                <w:highlight w:val="none"/>
              </w:rPr>
            </w:pPr>
            <w:r>
              <w:rPr>
                <w:rFonts w:hint="eastAsia" w:ascii="宋体" w:hAnsi="宋体" w:cs="宋体"/>
                <w:kern w:val="0"/>
                <w:szCs w:val="21"/>
                <w:highlight w:val="none"/>
              </w:rPr>
              <w:t>管线代码+断面尺寸+材质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16" w:type="dxa"/>
            <w:noWrap/>
            <w:vAlign w:val="center"/>
          </w:tcPr>
          <w:p>
            <w:pPr>
              <w:jc w:val="center"/>
              <w:rPr>
                <w:rFonts w:ascii="宋体" w:hAnsi="宋体" w:cs="宋体"/>
                <w:kern w:val="0"/>
                <w:szCs w:val="21"/>
                <w:highlight w:val="none"/>
              </w:rPr>
            </w:pPr>
            <w:r>
              <w:rPr>
                <w:rFonts w:hint="eastAsia" w:ascii="宋体" w:hAnsi="宋体" w:cs="宋体"/>
                <w:kern w:val="0"/>
                <w:szCs w:val="21"/>
                <w:highlight w:val="none"/>
              </w:rPr>
              <w:t>其他管线</w:t>
            </w:r>
          </w:p>
        </w:tc>
        <w:tc>
          <w:tcPr>
            <w:tcW w:w="6623" w:type="dxa"/>
            <w:noWrap/>
            <w:vAlign w:val="center"/>
          </w:tcPr>
          <w:p>
            <w:pPr>
              <w:jc w:val="left"/>
              <w:rPr>
                <w:rFonts w:ascii="宋体" w:hAnsi="宋体" w:cs="宋体"/>
                <w:kern w:val="0"/>
                <w:szCs w:val="21"/>
                <w:highlight w:val="none"/>
              </w:rPr>
            </w:pPr>
            <w:r>
              <w:rPr>
                <w:rFonts w:hint="eastAsia" w:ascii="宋体" w:hAnsi="宋体" w:cs="宋体"/>
                <w:kern w:val="0"/>
                <w:szCs w:val="21"/>
                <w:highlight w:val="none"/>
              </w:rPr>
              <w:t>管线代码+断面尺寸+材质</w:t>
            </w:r>
          </w:p>
        </w:tc>
      </w:tr>
    </w:tbl>
    <w:p>
      <w:pPr>
        <w:pStyle w:val="238"/>
        <w:rPr>
          <w:highlight w:val="none"/>
        </w:rPr>
      </w:pPr>
      <w:r>
        <w:rPr>
          <w:highlight w:val="none"/>
        </w:rPr>
        <w:t>5</w:t>
      </w:r>
      <w:r>
        <w:rPr>
          <w:rFonts w:hint="eastAsia"/>
          <w:highlight w:val="none"/>
        </w:rPr>
        <w:t>.</w:t>
      </w:r>
      <w:r>
        <w:rPr>
          <w:highlight w:val="none"/>
        </w:rPr>
        <w:t>综合管线图应反映各种已有管线及管线附属</w:t>
      </w:r>
      <w:r>
        <w:rPr>
          <w:rFonts w:hint="eastAsia"/>
          <w:highlight w:val="none"/>
        </w:rPr>
        <w:t>设施</w:t>
      </w:r>
      <w:r>
        <w:rPr>
          <w:highlight w:val="none"/>
        </w:rPr>
        <w:t>。</w:t>
      </w:r>
    </w:p>
    <w:p>
      <w:pPr>
        <w:pStyle w:val="238"/>
        <w:rPr>
          <w:highlight w:val="none"/>
        </w:rPr>
      </w:pPr>
      <w:r>
        <w:rPr>
          <w:highlight w:val="none"/>
        </w:rPr>
        <w:t>6</w:t>
      </w:r>
      <w:r>
        <w:rPr>
          <w:rFonts w:hint="eastAsia"/>
          <w:highlight w:val="none"/>
        </w:rPr>
        <w:t>.</w:t>
      </w:r>
      <w:r>
        <w:rPr>
          <w:highlight w:val="none"/>
        </w:rPr>
        <w:t>综合管线图应根据管线图形数据文件与地形底图的图形数据文件叠加、编辑成图</w:t>
      </w:r>
      <w:r>
        <w:rPr>
          <w:rFonts w:hint="eastAsia"/>
          <w:highlight w:val="none"/>
        </w:rPr>
        <w:t>。</w:t>
      </w:r>
    </w:p>
    <w:p>
      <w:pPr>
        <w:pStyle w:val="238"/>
        <w:rPr>
          <w:highlight w:val="none"/>
        </w:rPr>
      </w:pPr>
      <w:r>
        <w:rPr>
          <w:highlight w:val="none"/>
        </w:rPr>
        <w:t>7</w:t>
      </w:r>
      <w:r>
        <w:rPr>
          <w:rFonts w:hint="eastAsia"/>
          <w:highlight w:val="none"/>
        </w:rPr>
        <w:t>.电力和通讯空管（管块）电力空沟（沟道）用实虚比2：1的虚线表示；综合</w:t>
      </w:r>
      <w:r>
        <w:rPr>
          <w:highlight w:val="none"/>
        </w:rPr>
        <w:t>管廊（沟）</w:t>
      </w:r>
      <w:r>
        <w:rPr>
          <w:rFonts w:hint="eastAsia"/>
          <w:highlight w:val="none"/>
        </w:rPr>
        <w:t>用实虚比2：1的虚线</w:t>
      </w:r>
      <w:r>
        <w:rPr>
          <w:highlight w:val="none"/>
        </w:rPr>
        <w:t>绘出边线；</w:t>
      </w:r>
      <w:r>
        <w:rPr>
          <w:rFonts w:hint="eastAsia"/>
          <w:highlight w:val="none"/>
        </w:rPr>
        <w:t>宽度大于或等于1米的电力和排水沟道用实虚比2：1的双虚线表示，实际宽度</w:t>
      </w:r>
      <w:r>
        <w:rPr>
          <w:highlight w:val="none"/>
        </w:rPr>
        <w:t>小于</w:t>
      </w:r>
      <w:r>
        <w:rPr>
          <w:rFonts w:hint="eastAsia"/>
          <w:highlight w:val="none"/>
        </w:rPr>
        <w:t>1米</w:t>
      </w:r>
      <w:r>
        <w:rPr>
          <w:highlight w:val="none"/>
        </w:rPr>
        <w:t>时，用单实线表示</w:t>
      </w:r>
      <w:r>
        <w:rPr>
          <w:rFonts w:hint="eastAsia"/>
          <w:highlight w:val="none"/>
        </w:rPr>
        <w:t>。</w:t>
      </w:r>
    </w:p>
    <w:p>
      <w:pPr>
        <w:pStyle w:val="238"/>
        <w:rPr>
          <w:highlight w:val="none"/>
        </w:rPr>
      </w:pPr>
      <w:r>
        <w:rPr>
          <w:highlight w:val="none"/>
        </w:rPr>
        <w:t>8</w:t>
      </w:r>
      <w:r>
        <w:rPr>
          <w:rFonts w:hint="eastAsia"/>
          <w:highlight w:val="none"/>
        </w:rPr>
        <w:t>.</w:t>
      </w:r>
      <w:r>
        <w:rPr>
          <w:highlight w:val="none"/>
        </w:rPr>
        <w:t>综合管线图预埋且未穿线缆的通信管块、电力管沟除应按附</w:t>
      </w:r>
      <w:r>
        <w:rPr>
          <w:rFonts w:hint="eastAsia"/>
          <w:highlight w:val="none"/>
        </w:rPr>
        <w:t>录A.11</w:t>
      </w:r>
      <w:r>
        <w:rPr>
          <w:highlight w:val="none"/>
        </w:rPr>
        <w:t>规定的虚线标绘外，还应加注</w:t>
      </w:r>
      <w:r>
        <w:rPr>
          <w:rFonts w:hint="eastAsia"/>
          <w:highlight w:val="none"/>
        </w:rPr>
        <w:t>“</w:t>
      </w:r>
      <w:r>
        <w:rPr>
          <w:highlight w:val="none"/>
        </w:rPr>
        <w:t>空管</w:t>
      </w:r>
      <w:r>
        <w:rPr>
          <w:rFonts w:hint="eastAsia"/>
          <w:highlight w:val="none"/>
        </w:rPr>
        <w:t>”。</w:t>
      </w:r>
    </w:p>
    <w:p>
      <w:pPr>
        <w:pStyle w:val="238"/>
        <w:rPr>
          <w:highlight w:val="none"/>
        </w:rPr>
      </w:pPr>
      <w:r>
        <w:rPr>
          <w:highlight w:val="none"/>
        </w:rPr>
        <w:t>9</w:t>
      </w:r>
      <w:r>
        <w:rPr>
          <w:rFonts w:hint="eastAsia"/>
          <w:highlight w:val="none"/>
        </w:rPr>
        <w:t>.</w:t>
      </w:r>
      <w:r>
        <w:rPr>
          <w:highlight w:val="none"/>
        </w:rPr>
        <w:t>当管线上下重叠或相距较近且不能按比例绘制时，每幅管线图应在管线密集处以1-2处扯旗的方式说明。扯旗应按管线排列注明管线代码、规格、材质、总孔数、压力（或电压）、埋深。扯旗线应垂直管线走向，扯旗内容应放在图内空白处或图面负载较小处。扯旗需加表头，表头颜色为黑色，注记内容颜色与相应管线颜色一致，格式上每列均需左对齐，字头朝北。管线排列：将扯旗引线顶端的管线注记置于扯旗底部，但同一条路有两个以上扯旗时管线排列顺序宜保持一致。扯旗说明的方式、字体及大小应符合表</w:t>
      </w:r>
      <w:r>
        <w:rPr>
          <w:rFonts w:hint="eastAsia"/>
          <w:highlight w:val="none"/>
        </w:rPr>
        <w:t>3.7.2.3</w:t>
      </w:r>
      <w:r>
        <w:rPr>
          <w:highlight w:val="none"/>
        </w:rPr>
        <w:t>的规定</w:t>
      </w:r>
      <w:r>
        <w:rPr>
          <w:rFonts w:hint="eastAsia"/>
          <w:highlight w:val="none"/>
        </w:rPr>
        <w:t>。</w:t>
      </w:r>
    </w:p>
    <w:p>
      <w:pPr>
        <w:pStyle w:val="238"/>
        <w:rPr>
          <w:highlight w:val="none"/>
        </w:rPr>
      </w:pPr>
      <w:r>
        <w:rPr>
          <w:highlight w:val="none"/>
        </w:rPr>
        <w:t>10</w:t>
      </w:r>
      <w:r>
        <w:rPr>
          <w:rFonts w:hint="eastAsia"/>
          <w:highlight w:val="none"/>
        </w:rPr>
        <w:t>.</w:t>
      </w:r>
      <w:r>
        <w:rPr>
          <w:highlight w:val="none"/>
        </w:rPr>
        <w:t>管线图应注记管线点编号、规格、材质等</w:t>
      </w:r>
      <w:r>
        <w:rPr>
          <w:rFonts w:hint="eastAsia"/>
          <w:highlight w:val="none"/>
        </w:rPr>
        <w:t>相</w:t>
      </w:r>
      <w:r>
        <w:rPr>
          <w:highlight w:val="none"/>
        </w:rPr>
        <w:t>关信息。</w:t>
      </w:r>
    </w:p>
    <w:p>
      <w:pPr>
        <w:pStyle w:val="238"/>
        <w:rPr>
          <w:highlight w:val="none"/>
        </w:rPr>
      </w:pPr>
      <w:r>
        <w:rPr>
          <w:highlight w:val="none"/>
        </w:rPr>
        <w:t>11</w:t>
      </w:r>
      <w:r>
        <w:rPr>
          <w:rFonts w:hint="eastAsia"/>
          <w:highlight w:val="none"/>
        </w:rPr>
        <w:t>.管线</w:t>
      </w:r>
      <w:r>
        <w:rPr>
          <w:highlight w:val="none"/>
        </w:rPr>
        <w:t>图上长度大于或等于10mm的排水管线段应在管线段的中点处标注流向符号。</w:t>
      </w:r>
    </w:p>
    <w:p>
      <w:pPr>
        <w:pStyle w:val="238"/>
        <w:rPr>
          <w:highlight w:val="none"/>
        </w:rPr>
      </w:pPr>
      <w:r>
        <w:rPr>
          <w:highlight w:val="none"/>
        </w:rPr>
        <w:t>12</w:t>
      </w:r>
      <w:r>
        <w:rPr>
          <w:rFonts w:hint="eastAsia"/>
          <w:highlight w:val="none"/>
        </w:rPr>
        <w:t>.</w:t>
      </w:r>
      <w:r>
        <w:rPr>
          <w:highlight w:val="none"/>
        </w:rPr>
        <w:t>专业地下管线图宜按</w:t>
      </w:r>
      <w:r>
        <w:rPr>
          <w:rFonts w:hint="eastAsia"/>
          <w:highlight w:val="none"/>
        </w:rPr>
        <w:t>管线小类分类</w:t>
      </w:r>
      <w:r>
        <w:rPr>
          <w:highlight w:val="none"/>
        </w:rPr>
        <w:t>编绘，也可按相近专业组合编绘，编绘要求应符合</w:t>
      </w:r>
      <w:r>
        <w:rPr>
          <w:rFonts w:hint="eastAsia"/>
          <w:highlight w:val="none"/>
        </w:rPr>
        <w:t>上述编绘条款</w:t>
      </w:r>
      <w:r>
        <w:rPr>
          <w:highlight w:val="none"/>
        </w:rPr>
        <w:t>有关规定。</w:t>
      </w:r>
    </w:p>
    <w:p>
      <w:pPr>
        <w:pStyle w:val="238"/>
        <w:rPr>
          <w:highlight w:val="none"/>
        </w:rPr>
      </w:pPr>
      <w:r>
        <w:rPr>
          <w:highlight w:val="none"/>
        </w:rPr>
        <w:t>1</w:t>
      </w:r>
      <w:r>
        <w:rPr>
          <w:rFonts w:hint="eastAsia"/>
          <w:highlight w:val="none"/>
        </w:rPr>
        <w:t>3.普查作业单位应提供综合</w:t>
      </w:r>
      <w:r>
        <w:rPr>
          <w:highlight w:val="none"/>
        </w:rPr>
        <w:t>管线图</w:t>
      </w:r>
      <w:r>
        <w:rPr>
          <w:rFonts w:hint="eastAsia"/>
          <w:highlight w:val="none"/>
        </w:rPr>
        <w:t>和专业管线图</w:t>
      </w:r>
      <w:r>
        <w:rPr>
          <w:highlight w:val="none"/>
        </w:rPr>
        <w:t>。</w:t>
      </w:r>
    </w:p>
    <w:p>
      <w:pPr>
        <w:spacing w:line="360" w:lineRule="auto"/>
        <w:outlineLvl w:val="4"/>
        <w:rPr>
          <w:rFonts w:ascii="宋体" w:hAnsi="宋体"/>
          <w:b/>
          <w:bCs/>
          <w:sz w:val="24"/>
          <w:highlight w:val="none"/>
        </w:rPr>
      </w:pPr>
      <w:r>
        <w:rPr>
          <w:rFonts w:hint="eastAsia" w:ascii="宋体" w:hAnsi="宋体"/>
          <w:b/>
          <w:bCs/>
          <w:sz w:val="24"/>
          <w:highlight w:val="none"/>
        </w:rPr>
        <w:t>4.3.1.3.7.</w:t>
      </w:r>
      <w:r>
        <w:rPr>
          <w:rFonts w:ascii="宋体" w:hAnsi="宋体"/>
          <w:b/>
          <w:bCs/>
          <w:sz w:val="24"/>
          <w:highlight w:val="none"/>
        </w:rPr>
        <w:t xml:space="preserve">3 </w:t>
      </w:r>
      <w:r>
        <w:rPr>
          <w:rFonts w:hint="eastAsia" w:ascii="宋体" w:hAnsi="宋体"/>
          <w:b/>
          <w:bCs/>
          <w:sz w:val="24"/>
          <w:highlight w:val="none"/>
        </w:rPr>
        <w:t>管线成果表</w:t>
      </w:r>
      <w:r>
        <w:rPr>
          <w:rFonts w:ascii="宋体" w:hAnsi="宋体"/>
          <w:b/>
          <w:bCs/>
          <w:sz w:val="24"/>
          <w:highlight w:val="none"/>
        </w:rPr>
        <w:t>编制</w:t>
      </w:r>
    </w:p>
    <w:p>
      <w:pPr>
        <w:pStyle w:val="238"/>
        <w:rPr>
          <w:color w:val="auto"/>
          <w:highlight w:val="none"/>
        </w:rPr>
      </w:pPr>
      <w:r>
        <w:rPr>
          <w:highlight w:val="none"/>
        </w:rPr>
        <w:t>1</w:t>
      </w:r>
      <w:r>
        <w:rPr>
          <w:rFonts w:hint="eastAsia"/>
          <w:highlight w:val="none"/>
        </w:rPr>
        <w:t>.管线成果表应依据管线普查</w:t>
      </w:r>
      <w:r>
        <w:rPr>
          <w:rFonts w:hint="eastAsia"/>
          <w:color w:val="auto"/>
          <w:highlight w:val="none"/>
        </w:rPr>
        <w:t>成果和</w:t>
      </w:r>
      <w:r>
        <w:rPr>
          <w:color w:val="auto"/>
          <w:highlight w:val="none"/>
        </w:rPr>
        <w:t>数据处理结果</w:t>
      </w:r>
      <w:r>
        <w:rPr>
          <w:rFonts w:hint="eastAsia"/>
          <w:color w:val="auto"/>
          <w:highlight w:val="none"/>
        </w:rPr>
        <w:t>编制，并应保持管线图上点号与管线点号一一对应，管线成果表的编制内容及格式应按附录</w:t>
      </w:r>
      <w:r>
        <w:rPr>
          <w:color w:val="auto"/>
          <w:highlight w:val="none"/>
        </w:rPr>
        <w:t>D</w:t>
      </w:r>
      <w:r>
        <w:rPr>
          <w:rFonts w:hint="eastAsia"/>
          <w:color w:val="auto"/>
          <w:highlight w:val="none"/>
        </w:rPr>
        <w:t>的规定执行。</w:t>
      </w:r>
    </w:p>
    <w:p>
      <w:pPr>
        <w:pStyle w:val="238"/>
        <w:rPr>
          <w:color w:val="auto"/>
          <w:highlight w:val="none"/>
        </w:rPr>
      </w:pPr>
      <w:r>
        <w:rPr>
          <w:color w:val="auto"/>
          <w:highlight w:val="none"/>
        </w:rPr>
        <w:t>2</w:t>
      </w:r>
      <w:r>
        <w:rPr>
          <w:rFonts w:hint="eastAsia"/>
          <w:color w:val="auto"/>
          <w:highlight w:val="none"/>
        </w:rPr>
        <w:t>.成果表应在封面标注图幅号并编写制表说明，管线成果表以基本图幅为单位，按</w:t>
      </w:r>
      <w:r>
        <w:rPr>
          <w:color w:val="auto"/>
          <w:highlight w:val="none"/>
        </w:rPr>
        <w:t>管线小类</w:t>
      </w:r>
      <w:r>
        <w:rPr>
          <w:rFonts w:hint="eastAsia"/>
          <w:color w:val="auto"/>
          <w:highlight w:val="none"/>
        </w:rPr>
        <w:t>分表编制。</w:t>
      </w:r>
    </w:p>
    <w:p>
      <w:pPr>
        <w:pStyle w:val="238"/>
        <w:rPr>
          <w:color w:val="auto"/>
          <w:highlight w:val="none"/>
        </w:rPr>
      </w:pPr>
      <w:r>
        <w:rPr>
          <w:color w:val="auto"/>
          <w:highlight w:val="none"/>
        </w:rPr>
        <w:t>3</w:t>
      </w:r>
      <w:r>
        <w:rPr>
          <w:rFonts w:hint="eastAsia"/>
          <w:color w:val="auto"/>
          <w:highlight w:val="none"/>
        </w:rPr>
        <w:t>.管线成果表应保证</w:t>
      </w:r>
      <w:r>
        <w:rPr>
          <w:color w:val="auto"/>
          <w:highlight w:val="none"/>
        </w:rPr>
        <w:t>管线</w:t>
      </w:r>
      <w:r>
        <w:rPr>
          <w:rFonts w:hint="eastAsia"/>
          <w:color w:val="auto"/>
          <w:highlight w:val="none"/>
        </w:rPr>
        <w:t>成图</w:t>
      </w:r>
      <w:r>
        <w:rPr>
          <w:color w:val="auto"/>
          <w:highlight w:val="none"/>
        </w:rPr>
        <w:t>的</w:t>
      </w:r>
      <w:r>
        <w:rPr>
          <w:rFonts w:hint="eastAsia"/>
          <w:color w:val="auto"/>
          <w:highlight w:val="none"/>
        </w:rPr>
        <w:t>逻辑</w:t>
      </w:r>
      <w:r>
        <w:rPr>
          <w:color w:val="auto"/>
          <w:highlight w:val="none"/>
        </w:rPr>
        <w:t>完整性，对跨图幅的管</w:t>
      </w:r>
      <w:r>
        <w:rPr>
          <w:rFonts w:hint="eastAsia"/>
          <w:color w:val="auto"/>
          <w:highlight w:val="none"/>
        </w:rPr>
        <w:t>线</w:t>
      </w:r>
      <w:r>
        <w:rPr>
          <w:color w:val="auto"/>
          <w:highlight w:val="none"/>
        </w:rPr>
        <w:t>段以起点点号所在</w:t>
      </w:r>
      <w:r>
        <w:rPr>
          <w:rFonts w:hint="eastAsia"/>
          <w:color w:val="auto"/>
          <w:highlight w:val="none"/>
        </w:rPr>
        <w:t>图幅判断</w:t>
      </w:r>
      <w:r>
        <w:rPr>
          <w:color w:val="auto"/>
          <w:highlight w:val="none"/>
        </w:rPr>
        <w:t>管线段所属图幅。</w:t>
      </w:r>
    </w:p>
    <w:p>
      <w:pPr>
        <w:pStyle w:val="238"/>
        <w:rPr>
          <w:color w:val="auto"/>
          <w:highlight w:val="none"/>
        </w:rPr>
      </w:pPr>
      <w:r>
        <w:rPr>
          <w:color w:val="auto"/>
          <w:highlight w:val="none"/>
        </w:rPr>
        <w:t>4</w:t>
      </w:r>
      <w:r>
        <w:rPr>
          <w:rFonts w:hint="eastAsia"/>
          <w:color w:val="auto"/>
          <w:highlight w:val="none"/>
        </w:rPr>
        <w:t>.管线成果</w:t>
      </w:r>
      <w:r>
        <w:rPr>
          <w:color w:val="auto"/>
          <w:highlight w:val="none"/>
        </w:rPr>
        <w:t>表应经过</w:t>
      </w:r>
      <w:r>
        <w:rPr>
          <w:rFonts w:hint="eastAsia"/>
          <w:color w:val="auto"/>
          <w:highlight w:val="none"/>
        </w:rPr>
        <w:t>100</w:t>
      </w:r>
      <w:r>
        <w:rPr>
          <w:color w:val="auto"/>
          <w:highlight w:val="none"/>
        </w:rPr>
        <w:t>%检查合格，相关信息应</w:t>
      </w:r>
      <w:r>
        <w:rPr>
          <w:rFonts w:hint="eastAsia"/>
          <w:color w:val="auto"/>
          <w:highlight w:val="none"/>
        </w:rPr>
        <w:t>与</w:t>
      </w:r>
      <w:r>
        <w:rPr>
          <w:color w:val="auto"/>
          <w:highlight w:val="none"/>
        </w:rPr>
        <w:t>探测原始记录相一致，管线成果表</w:t>
      </w:r>
      <w:r>
        <w:rPr>
          <w:rFonts w:hint="eastAsia"/>
          <w:color w:val="auto"/>
          <w:highlight w:val="none"/>
        </w:rPr>
        <w:t>各项属性</w:t>
      </w:r>
      <w:r>
        <w:rPr>
          <w:color w:val="auto"/>
          <w:highlight w:val="none"/>
        </w:rPr>
        <w:t>应与</w:t>
      </w:r>
      <w:r>
        <w:rPr>
          <w:rFonts w:hint="eastAsia"/>
          <w:color w:val="auto"/>
          <w:highlight w:val="none"/>
        </w:rPr>
        <w:t>管线图</w:t>
      </w:r>
      <w:r>
        <w:rPr>
          <w:color w:val="auto"/>
          <w:highlight w:val="none"/>
        </w:rPr>
        <w:t>保持一致</w:t>
      </w:r>
      <w:r>
        <w:rPr>
          <w:rFonts w:hint="eastAsia"/>
          <w:color w:val="auto"/>
          <w:highlight w:val="none"/>
        </w:rPr>
        <w:t>。</w:t>
      </w:r>
    </w:p>
    <w:p>
      <w:pPr>
        <w:pStyle w:val="7"/>
        <w:rPr>
          <w:rFonts w:ascii="宋体" w:hAnsi="宋体"/>
          <w:color w:val="auto"/>
          <w:sz w:val="24"/>
          <w:highlight w:val="none"/>
        </w:rPr>
      </w:pPr>
      <w:r>
        <w:rPr>
          <w:rFonts w:hint="eastAsia" w:ascii="宋体" w:hAnsi="宋体"/>
          <w:color w:val="auto"/>
          <w:sz w:val="24"/>
          <w:highlight w:val="none"/>
        </w:rPr>
        <w:t>4.3.1.3.8 普查作业单位质量检查</w:t>
      </w:r>
    </w:p>
    <w:p>
      <w:pPr>
        <w:spacing w:line="360" w:lineRule="auto"/>
        <w:outlineLvl w:val="4"/>
        <w:rPr>
          <w:rFonts w:ascii="宋体" w:hAnsi="宋体"/>
          <w:b/>
          <w:bCs/>
          <w:color w:val="auto"/>
          <w:sz w:val="24"/>
          <w:highlight w:val="none"/>
        </w:rPr>
      </w:pPr>
      <w:r>
        <w:rPr>
          <w:rFonts w:hint="eastAsia" w:ascii="宋体" w:hAnsi="宋体"/>
          <w:b/>
          <w:bCs/>
          <w:color w:val="auto"/>
          <w:sz w:val="24"/>
          <w:highlight w:val="none"/>
        </w:rPr>
        <w:t>4.3.1.3.8</w:t>
      </w:r>
      <w:r>
        <w:rPr>
          <w:rFonts w:ascii="宋体" w:hAnsi="宋体"/>
          <w:b/>
          <w:bCs/>
          <w:color w:val="auto"/>
          <w:sz w:val="24"/>
          <w:highlight w:val="none"/>
        </w:rPr>
        <w:t>.</w:t>
      </w:r>
      <w:r>
        <w:rPr>
          <w:rFonts w:hint="eastAsia" w:ascii="宋体" w:hAnsi="宋体"/>
          <w:b/>
          <w:bCs/>
          <w:color w:val="auto"/>
          <w:sz w:val="24"/>
          <w:highlight w:val="none"/>
        </w:rPr>
        <w:t>1一般规定</w:t>
      </w:r>
    </w:p>
    <w:p>
      <w:pPr>
        <w:pStyle w:val="238"/>
        <w:rPr>
          <w:color w:val="auto"/>
          <w:highlight w:val="none"/>
        </w:rPr>
      </w:pPr>
      <w:r>
        <w:rPr>
          <w:color w:val="auto"/>
          <w:highlight w:val="none"/>
        </w:rPr>
        <w:t>1</w:t>
      </w:r>
      <w:r>
        <w:rPr>
          <w:rFonts w:hint="eastAsia"/>
          <w:color w:val="auto"/>
          <w:highlight w:val="none"/>
        </w:rPr>
        <w:t>.地下管线普查成果更新自检工作由普查作业单位组织实施，实行二级检查制度。一级检查采用全数检查；二级检查时外业检查采用抽样检查，内业采用全数检查。</w:t>
      </w:r>
    </w:p>
    <w:p>
      <w:pPr>
        <w:pStyle w:val="238"/>
        <w:rPr>
          <w:color w:val="auto"/>
          <w:highlight w:val="none"/>
        </w:rPr>
      </w:pPr>
      <w:r>
        <w:rPr>
          <w:color w:val="auto"/>
          <w:highlight w:val="none"/>
        </w:rPr>
        <w:t>2</w:t>
      </w:r>
      <w:r>
        <w:rPr>
          <w:rFonts w:hint="eastAsia"/>
          <w:color w:val="auto"/>
          <w:highlight w:val="none"/>
        </w:rPr>
        <w:t>.普查作业单位质量检查包括管线数据位置精度检查、地理精度检查、管线图质量检查和接边检查，位置精度应</w:t>
      </w:r>
      <w:r>
        <w:rPr>
          <w:rFonts w:hint="eastAsia"/>
          <w:b/>
          <w:color w:val="auto"/>
          <w:highlight w:val="none"/>
        </w:rPr>
        <w:t>符合</w:t>
      </w:r>
      <w:r>
        <w:rPr>
          <w:b/>
          <w:bCs/>
          <w:color w:val="auto"/>
          <w:highlight w:val="none"/>
        </w:rPr>
        <w:t>4.3.1.</w:t>
      </w:r>
      <w:r>
        <w:rPr>
          <w:rFonts w:hint="eastAsia"/>
          <w:b/>
          <w:bCs/>
          <w:color w:val="auto"/>
          <w:highlight w:val="none"/>
        </w:rPr>
        <w:t>3.5.1一般规定第2点“精度要求”</w:t>
      </w:r>
      <w:r>
        <w:rPr>
          <w:color w:val="auto"/>
          <w:highlight w:val="none"/>
        </w:rPr>
        <w:t>的规定</w:t>
      </w:r>
      <w:r>
        <w:rPr>
          <w:rFonts w:hint="eastAsia"/>
          <w:color w:val="auto"/>
          <w:highlight w:val="none"/>
        </w:rPr>
        <w:t>。</w:t>
      </w:r>
    </w:p>
    <w:p>
      <w:pPr>
        <w:pStyle w:val="238"/>
        <w:rPr>
          <w:color w:val="auto"/>
          <w:highlight w:val="none"/>
        </w:rPr>
      </w:pPr>
      <w:r>
        <w:rPr>
          <w:rFonts w:hint="eastAsia"/>
          <w:color w:val="auto"/>
          <w:highlight w:val="none"/>
        </w:rPr>
        <w:t>（1）位置精度检查包括控制点的平面位置精度和高程精度检查、明显管线点重复量测精度、隐蔽管线点平面位置和埋深重复探查精度、管线点平面位置和高程重复测量精度的检查、隐蔽管线点开挖的检查。</w:t>
      </w:r>
    </w:p>
    <w:p>
      <w:pPr>
        <w:pStyle w:val="238"/>
        <w:rPr>
          <w:color w:val="auto"/>
          <w:highlight w:val="none"/>
        </w:rPr>
      </w:pPr>
      <w:r>
        <w:rPr>
          <w:rFonts w:hint="eastAsia"/>
          <w:color w:val="auto"/>
          <w:highlight w:val="none"/>
        </w:rPr>
        <w:t>（2）地理精度检查主要包括管线属性数据的齐全性、正确性、协调性和地下管线连接关系、走向的检查。</w:t>
      </w:r>
    </w:p>
    <w:p>
      <w:pPr>
        <w:pStyle w:val="238"/>
        <w:rPr>
          <w:color w:val="auto"/>
          <w:highlight w:val="none"/>
        </w:rPr>
      </w:pPr>
      <w:r>
        <w:rPr>
          <w:rFonts w:hint="eastAsia"/>
          <w:color w:val="auto"/>
          <w:highlight w:val="none"/>
        </w:rPr>
        <w:t>（</w:t>
      </w:r>
      <w:r>
        <w:rPr>
          <w:color w:val="auto"/>
          <w:highlight w:val="none"/>
        </w:rPr>
        <w:t>3</w:t>
      </w:r>
      <w:r>
        <w:rPr>
          <w:rFonts w:hint="eastAsia"/>
          <w:color w:val="auto"/>
          <w:highlight w:val="none"/>
        </w:rPr>
        <w:t>）管线图质量检查主要指图形与属性数据库一致性检查、管线图注记规范性检查和错漏检查。</w:t>
      </w:r>
    </w:p>
    <w:p>
      <w:pPr>
        <w:pStyle w:val="238"/>
        <w:rPr>
          <w:color w:val="auto"/>
          <w:highlight w:val="none"/>
        </w:rPr>
      </w:pPr>
      <w:r>
        <w:rPr>
          <w:rFonts w:hint="eastAsia"/>
          <w:color w:val="auto"/>
          <w:highlight w:val="none"/>
        </w:rPr>
        <w:t>（</w:t>
      </w:r>
      <w:r>
        <w:rPr>
          <w:color w:val="auto"/>
          <w:highlight w:val="none"/>
        </w:rPr>
        <w:t>4</w:t>
      </w:r>
      <w:r>
        <w:rPr>
          <w:rFonts w:hint="eastAsia"/>
          <w:color w:val="auto"/>
          <w:highlight w:val="none"/>
        </w:rPr>
        <w:t>）测区间接边检查采取接边点、接边管线段全数检查；检查内容为测区间接边一致性检查、接边点属性一致性检查及接边管线段属性一致性检查。</w:t>
      </w:r>
    </w:p>
    <w:p>
      <w:pPr>
        <w:pStyle w:val="238"/>
        <w:rPr>
          <w:color w:val="auto"/>
          <w:highlight w:val="none"/>
        </w:rPr>
      </w:pPr>
      <w:r>
        <w:rPr>
          <w:color w:val="auto"/>
          <w:highlight w:val="none"/>
        </w:rPr>
        <w:t>3</w:t>
      </w:r>
      <w:r>
        <w:rPr>
          <w:rFonts w:hint="eastAsia"/>
          <w:color w:val="auto"/>
          <w:highlight w:val="none"/>
        </w:rPr>
        <w:t>.检查取样按图幅总数或管线点数量进行，取样应遵循随机抽取、均匀分布、有代表性的原则。</w:t>
      </w:r>
    </w:p>
    <w:p>
      <w:pPr>
        <w:pStyle w:val="238"/>
        <w:rPr>
          <w:color w:val="auto"/>
          <w:highlight w:val="none"/>
        </w:rPr>
      </w:pPr>
      <w:r>
        <w:rPr>
          <w:color w:val="auto"/>
          <w:highlight w:val="none"/>
        </w:rPr>
        <w:t>4</w:t>
      </w:r>
      <w:r>
        <w:rPr>
          <w:rFonts w:hint="eastAsia"/>
          <w:color w:val="auto"/>
          <w:highlight w:val="none"/>
        </w:rPr>
        <w:t>.对所抽取的样本进行详查，根据各单位成果的质量元素及检查项，按相关规范、技术指标和招标文件要求逐个检查单位成果并统计各类错漏数量，并按相应的质量元素、质量子元素分类及权重以及错漏分类进行评定单位成果质量。质量元素、质量子元素分类按《城镇地下管线普查成果质量检查技术规定》的规定执行。</w:t>
      </w:r>
    </w:p>
    <w:p>
      <w:pPr>
        <w:pStyle w:val="238"/>
        <w:rPr>
          <w:color w:val="auto"/>
          <w:highlight w:val="none"/>
        </w:rPr>
      </w:pPr>
      <w:r>
        <w:rPr>
          <w:color w:val="auto"/>
          <w:highlight w:val="none"/>
        </w:rPr>
        <w:t>5</w:t>
      </w:r>
      <w:r>
        <w:rPr>
          <w:rFonts w:hint="eastAsia"/>
          <w:color w:val="auto"/>
          <w:highlight w:val="none"/>
        </w:rPr>
        <w:t>.当任一检查项的粗差比例超过样本点总数的5%，该批单位成果判为不合格。</w:t>
      </w:r>
    </w:p>
    <w:p>
      <w:pPr>
        <w:pStyle w:val="238"/>
        <w:rPr>
          <w:color w:val="auto"/>
          <w:highlight w:val="none"/>
        </w:rPr>
      </w:pPr>
      <w:r>
        <w:rPr>
          <w:color w:val="auto"/>
          <w:highlight w:val="none"/>
        </w:rPr>
        <w:t>6</w:t>
      </w:r>
      <w:r>
        <w:rPr>
          <w:rFonts w:hint="eastAsia"/>
          <w:color w:val="auto"/>
          <w:highlight w:val="none"/>
        </w:rPr>
        <w:t>.普查作业单位质量检查还应进行地下管线三维数据</w:t>
      </w:r>
      <w:r>
        <w:rPr>
          <w:color w:val="auto"/>
          <w:highlight w:val="none"/>
        </w:rPr>
        <w:t>碰撞</w:t>
      </w:r>
      <w:r>
        <w:rPr>
          <w:rFonts w:hint="eastAsia"/>
          <w:color w:val="auto"/>
          <w:highlight w:val="none"/>
        </w:rPr>
        <w:t>检查、逻辑一致性检查、数据接边检查。</w:t>
      </w:r>
    </w:p>
    <w:p>
      <w:pPr>
        <w:pStyle w:val="238"/>
        <w:rPr>
          <w:color w:val="auto"/>
          <w:highlight w:val="none"/>
        </w:rPr>
      </w:pPr>
      <w:r>
        <w:rPr>
          <w:color w:val="auto"/>
          <w:highlight w:val="none"/>
        </w:rPr>
        <w:t>7</w:t>
      </w:r>
      <w:r>
        <w:rPr>
          <w:rFonts w:hint="eastAsia"/>
          <w:color w:val="auto"/>
          <w:highlight w:val="none"/>
        </w:rPr>
        <w:t>.各级检查工作应做好记录，普查单位检查完成后应编写质量检查报告。检查报告应包含下列内容：</w:t>
      </w:r>
    </w:p>
    <w:p>
      <w:pPr>
        <w:pStyle w:val="238"/>
        <w:rPr>
          <w:color w:val="auto"/>
          <w:highlight w:val="none"/>
        </w:rPr>
      </w:pPr>
      <w:r>
        <w:rPr>
          <w:rFonts w:hint="eastAsia"/>
          <w:color w:val="auto"/>
          <w:highlight w:val="none"/>
        </w:rPr>
        <w:t>（1）工程概况；</w:t>
      </w:r>
    </w:p>
    <w:p>
      <w:pPr>
        <w:pStyle w:val="238"/>
        <w:ind w:left="426" w:leftChars="203" w:firstLine="0" w:firstLineChars="0"/>
        <w:rPr>
          <w:color w:val="auto"/>
          <w:highlight w:val="none"/>
        </w:rPr>
      </w:pPr>
      <w:r>
        <w:rPr>
          <w:rFonts w:hint="eastAsia"/>
          <w:color w:val="auto"/>
          <w:highlight w:val="none"/>
        </w:rPr>
        <w:t>（2）检查工作概况；</w:t>
      </w:r>
    </w:p>
    <w:p>
      <w:pPr>
        <w:pStyle w:val="238"/>
        <w:ind w:left="426" w:firstLine="0" w:firstLineChars="0"/>
        <w:rPr>
          <w:color w:val="auto"/>
          <w:highlight w:val="none"/>
        </w:rPr>
      </w:pPr>
      <w:r>
        <w:rPr>
          <w:rFonts w:hint="eastAsia"/>
          <w:color w:val="auto"/>
          <w:highlight w:val="none"/>
        </w:rPr>
        <w:t>（3）技术依据；</w:t>
      </w:r>
    </w:p>
    <w:p>
      <w:pPr>
        <w:pStyle w:val="238"/>
        <w:ind w:left="426" w:firstLine="0" w:firstLineChars="0"/>
        <w:rPr>
          <w:color w:val="auto"/>
          <w:highlight w:val="none"/>
        </w:rPr>
      </w:pPr>
      <w:r>
        <w:rPr>
          <w:rFonts w:hint="eastAsia"/>
          <w:color w:val="auto"/>
          <w:highlight w:val="none"/>
        </w:rPr>
        <w:t>（4）检查内容及方法；</w:t>
      </w:r>
    </w:p>
    <w:p>
      <w:pPr>
        <w:pStyle w:val="238"/>
        <w:ind w:left="426" w:firstLine="0" w:firstLineChars="0"/>
        <w:rPr>
          <w:color w:val="auto"/>
          <w:highlight w:val="none"/>
        </w:rPr>
      </w:pPr>
      <w:r>
        <w:rPr>
          <w:rFonts w:hint="eastAsia"/>
          <w:color w:val="auto"/>
          <w:highlight w:val="none"/>
        </w:rPr>
        <w:t>（5）抽样情况；</w:t>
      </w:r>
    </w:p>
    <w:p>
      <w:pPr>
        <w:pStyle w:val="238"/>
        <w:ind w:left="426" w:firstLine="0" w:firstLineChars="0"/>
        <w:rPr>
          <w:color w:val="auto"/>
          <w:highlight w:val="none"/>
        </w:rPr>
      </w:pPr>
      <w:r>
        <w:rPr>
          <w:rFonts w:hint="eastAsia"/>
          <w:color w:val="auto"/>
          <w:highlight w:val="none"/>
        </w:rPr>
        <w:t>（6）精度统计、质量统计与质量评价；</w:t>
      </w:r>
    </w:p>
    <w:p>
      <w:pPr>
        <w:pStyle w:val="238"/>
        <w:ind w:left="426" w:firstLine="0" w:firstLineChars="0"/>
        <w:rPr>
          <w:color w:val="auto"/>
          <w:highlight w:val="none"/>
        </w:rPr>
      </w:pPr>
      <w:r>
        <w:rPr>
          <w:rFonts w:hint="eastAsia"/>
          <w:color w:val="auto"/>
          <w:highlight w:val="none"/>
        </w:rPr>
        <w:t>（7）主要质量问题及处理情况。</w:t>
      </w:r>
    </w:p>
    <w:p>
      <w:pPr>
        <w:pStyle w:val="238"/>
        <w:rPr>
          <w:color w:val="auto"/>
          <w:highlight w:val="none"/>
        </w:rPr>
      </w:pPr>
      <w:r>
        <w:rPr>
          <w:color w:val="auto"/>
          <w:highlight w:val="none"/>
        </w:rPr>
        <w:t>8</w:t>
      </w:r>
      <w:r>
        <w:rPr>
          <w:rFonts w:hint="eastAsia"/>
          <w:color w:val="auto"/>
          <w:highlight w:val="none"/>
        </w:rPr>
        <w:t>.普查作业单位</w:t>
      </w:r>
      <w:r>
        <w:rPr>
          <w:color w:val="auto"/>
          <w:highlight w:val="none"/>
        </w:rPr>
        <w:t>自检合格</w:t>
      </w:r>
      <w:r>
        <w:rPr>
          <w:rFonts w:hint="eastAsia"/>
          <w:color w:val="auto"/>
          <w:highlight w:val="none"/>
        </w:rPr>
        <w:t>后方可</w:t>
      </w:r>
      <w:r>
        <w:rPr>
          <w:color w:val="auto"/>
          <w:highlight w:val="none"/>
        </w:rPr>
        <w:t>提交</w:t>
      </w:r>
      <w:r>
        <w:rPr>
          <w:rFonts w:hint="eastAsia"/>
          <w:color w:val="auto"/>
          <w:highlight w:val="none"/>
        </w:rPr>
        <w:t>监理</w:t>
      </w:r>
      <w:r>
        <w:rPr>
          <w:color w:val="auto"/>
          <w:highlight w:val="none"/>
        </w:rPr>
        <w:t>单位</w:t>
      </w:r>
      <w:r>
        <w:rPr>
          <w:rFonts w:hint="eastAsia"/>
          <w:color w:val="auto"/>
          <w:highlight w:val="none"/>
        </w:rPr>
        <w:t>。提交成果</w:t>
      </w:r>
      <w:r>
        <w:rPr>
          <w:color w:val="auto"/>
          <w:highlight w:val="none"/>
        </w:rPr>
        <w:t>应包含：</w:t>
      </w:r>
    </w:p>
    <w:p>
      <w:pPr>
        <w:pStyle w:val="238"/>
        <w:ind w:left="480" w:firstLine="0" w:firstLineChars="0"/>
        <w:rPr>
          <w:color w:val="auto"/>
          <w:highlight w:val="none"/>
        </w:rPr>
      </w:pPr>
      <w:r>
        <w:rPr>
          <w:rFonts w:hint="eastAsia"/>
          <w:color w:val="auto"/>
          <w:highlight w:val="none"/>
        </w:rPr>
        <w:t>（1）地下管线</w:t>
      </w:r>
      <w:r>
        <w:rPr>
          <w:color w:val="auto"/>
          <w:highlight w:val="none"/>
        </w:rPr>
        <w:t>探查检查记录表；</w:t>
      </w:r>
    </w:p>
    <w:p>
      <w:pPr>
        <w:pStyle w:val="238"/>
        <w:ind w:left="480" w:firstLine="0" w:firstLineChars="0"/>
        <w:rPr>
          <w:color w:val="auto"/>
          <w:highlight w:val="none"/>
        </w:rPr>
      </w:pPr>
      <w:r>
        <w:rPr>
          <w:rFonts w:hint="eastAsia"/>
          <w:color w:val="auto"/>
          <w:highlight w:val="none"/>
        </w:rPr>
        <w:t>（2）</w:t>
      </w:r>
      <w:r>
        <w:rPr>
          <w:color w:val="auto"/>
          <w:highlight w:val="none"/>
        </w:rPr>
        <w:t>质量检查报告</w:t>
      </w:r>
      <w:r>
        <w:rPr>
          <w:rFonts w:hint="eastAsia"/>
          <w:color w:val="auto"/>
          <w:highlight w:val="none"/>
        </w:rPr>
        <w:t xml:space="preserve">； </w:t>
      </w:r>
    </w:p>
    <w:p>
      <w:pPr>
        <w:pStyle w:val="238"/>
        <w:ind w:left="480" w:firstLine="0" w:firstLineChars="0"/>
        <w:rPr>
          <w:color w:val="auto"/>
          <w:highlight w:val="none"/>
        </w:rPr>
      </w:pPr>
      <w:r>
        <w:rPr>
          <w:rFonts w:hint="eastAsia"/>
          <w:color w:val="auto"/>
          <w:highlight w:val="none"/>
        </w:rPr>
        <w:t>（3）</w:t>
      </w:r>
      <w:r>
        <w:rPr>
          <w:color w:val="auto"/>
          <w:highlight w:val="none"/>
        </w:rPr>
        <w:t>测区管线分幅图及相对应的管线成果表；</w:t>
      </w:r>
    </w:p>
    <w:p>
      <w:pPr>
        <w:pStyle w:val="238"/>
        <w:ind w:left="480" w:firstLine="0" w:firstLineChars="0"/>
        <w:rPr>
          <w:color w:val="auto"/>
          <w:highlight w:val="none"/>
        </w:rPr>
      </w:pPr>
      <w:r>
        <w:rPr>
          <w:rFonts w:hint="eastAsia"/>
          <w:color w:val="auto"/>
          <w:highlight w:val="none"/>
        </w:rPr>
        <w:t>（4）</w:t>
      </w:r>
      <w:r>
        <w:rPr>
          <w:color w:val="auto"/>
          <w:highlight w:val="none"/>
        </w:rPr>
        <w:t>测区管线CAD图形文件和相对应的</w:t>
      </w:r>
      <w:r>
        <w:rPr>
          <w:rFonts w:hint="eastAsia"/>
          <w:color w:val="auto"/>
          <w:highlight w:val="none"/>
        </w:rPr>
        <w:t>MDB属性数据</w:t>
      </w:r>
      <w:r>
        <w:rPr>
          <w:color w:val="auto"/>
          <w:highlight w:val="none"/>
        </w:rPr>
        <w:t>文件。</w:t>
      </w:r>
    </w:p>
    <w:p>
      <w:pPr>
        <w:spacing w:line="360" w:lineRule="auto"/>
        <w:outlineLvl w:val="4"/>
        <w:rPr>
          <w:rFonts w:ascii="宋体" w:hAnsi="宋体"/>
          <w:b/>
          <w:bCs/>
          <w:color w:val="auto"/>
          <w:sz w:val="24"/>
          <w:highlight w:val="none"/>
        </w:rPr>
      </w:pPr>
      <w:r>
        <w:rPr>
          <w:rFonts w:hint="eastAsia" w:ascii="宋体" w:hAnsi="宋体"/>
          <w:b/>
          <w:bCs/>
          <w:color w:val="auto"/>
          <w:sz w:val="24"/>
          <w:highlight w:val="none"/>
        </w:rPr>
        <w:t>4.3.1.3.8</w:t>
      </w:r>
      <w:r>
        <w:rPr>
          <w:rFonts w:ascii="宋体" w:hAnsi="宋体"/>
          <w:b/>
          <w:bCs/>
          <w:color w:val="auto"/>
          <w:sz w:val="24"/>
          <w:highlight w:val="none"/>
        </w:rPr>
        <w:t xml:space="preserve">.2 </w:t>
      </w:r>
      <w:r>
        <w:rPr>
          <w:rFonts w:hint="eastAsia" w:ascii="宋体" w:hAnsi="宋体"/>
          <w:b/>
          <w:bCs/>
          <w:color w:val="auto"/>
          <w:sz w:val="24"/>
          <w:highlight w:val="none"/>
        </w:rPr>
        <w:t>管线探查</w:t>
      </w:r>
      <w:r>
        <w:rPr>
          <w:rFonts w:ascii="宋体" w:hAnsi="宋体"/>
          <w:b/>
          <w:bCs/>
          <w:color w:val="auto"/>
          <w:sz w:val="24"/>
          <w:highlight w:val="none"/>
        </w:rPr>
        <w:t>质量检查</w:t>
      </w:r>
    </w:p>
    <w:p>
      <w:pPr>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．地下管线探查应采用明显管线点重复调查、隐蔽管线点重复探查方式进行质量检查。</w:t>
      </w:r>
    </w:p>
    <w:p>
      <w:pPr>
        <w:pStyle w:val="238"/>
        <w:ind w:firstLineChars="0"/>
        <w:rPr>
          <w:color w:val="auto"/>
          <w:highlight w:val="none"/>
        </w:rPr>
      </w:pPr>
      <w:r>
        <w:rPr>
          <w:color w:val="auto"/>
          <w:highlight w:val="none"/>
        </w:rPr>
        <w:t>2</w:t>
      </w:r>
      <w:r>
        <w:rPr>
          <w:rFonts w:hint="eastAsia"/>
          <w:color w:val="auto"/>
          <w:highlight w:val="none"/>
        </w:rPr>
        <w:t>．应在不同时间、由不同的作业人员完成，检查内容应包括探查的几何精度检查和属性调查结果检查。</w:t>
      </w:r>
    </w:p>
    <w:p>
      <w:pPr>
        <w:pStyle w:val="238"/>
        <w:ind w:left="480" w:firstLine="0" w:firstLineChars="0"/>
        <w:rPr>
          <w:color w:val="auto"/>
          <w:highlight w:val="none"/>
        </w:rPr>
      </w:pPr>
      <w:r>
        <w:rPr>
          <w:color w:val="auto"/>
          <w:highlight w:val="none"/>
        </w:rPr>
        <w:t>3</w:t>
      </w:r>
      <w:r>
        <w:rPr>
          <w:rFonts w:hint="eastAsia"/>
          <w:color w:val="auto"/>
          <w:highlight w:val="none"/>
        </w:rPr>
        <w:t>．管线探查质量检查宜按附录</w:t>
      </w:r>
      <w:r>
        <w:rPr>
          <w:color w:val="auto"/>
          <w:highlight w:val="none"/>
        </w:rPr>
        <w:t>C</w:t>
      </w:r>
      <w:r>
        <w:rPr>
          <w:rFonts w:hint="eastAsia"/>
          <w:color w:val="auto"/>
          <w:highlight w:val="none"/>
        </w:rPr>
        <w:t>格式填写检查记录表。</w:t>
      </w:r>
    </w:p>
    <w:p>
      <w:pPr>
        <w:pStyle w:val="238"/>
        <w:ind w:left="480" w:firstLine="0" w:firstLineChars="0"/>
        <w:rPr>
          <w:color w:val="auto"/>
          <w:highlight w:val="none"/>
        </w:rPr>
      </w:pPr>
      <w:r>
        <w:rPr>
          <w:color w:val="auto"/>
          <w:highlight w:val="none"/>
        </w:rPr>
        <w:t>4</w:t>
      </w:r>
      <w:r>
        <w:rPr>
          <w:rFonts w:hint="eastAsia"/>
          <w:color w:val="auto"/>
          <w:highlight w:val="none"/>
        </w:rPr>
        <w:t>．每个测区明显管线点重复量测检查不少于明显管线点总数的5％，</w:t>
      </w:r>
    </w:p>
    <w:p>
      <w:pPr>
        <w:pStyle w:val="238"/>
        <w:ind w:firstLine="0" w:firstLineChars="0"/>
        <w:rPr>
          <w:color w:val="auto"/>
          <w:highlight w:val="none"/>
        </w:rPr>
      </w:pPr>
      <w:r>
        <w:rPr>
          <w:rFonts w:hint="eastAsia"/>
          <w:color w:val="auto"/>
          <w:highlight w:val="none"/>
        </w:rPr>
        <w:t>每个测区隐蔽管线点重复探查检查不少于隐蔽管线点总数的5％。</w:t>
      </w:r>
    </w:p>
    <w:p>
      <w:pPr>
        <w:pStyle w:val="238"/>
        <w:ind w:left="480" w:firstLine="0" w:firstLineChars="0"/>
        <w:rPr>
          <w:color w:val="auto"/>
          <w:highlight w:val="none"/>
        </w:rPr>
      </w:pPr>
      <w:r>
        <w:rPr>
          <w:color w:val="auto"/>
          <w:highlight w:val="none"/>
        </w:rPr>
        <w:t>5</w:t>
      </w:r>
      <w:r>
        <w:rPr>
          <w:rFonts w:hint="eastAsia"/>
          <w:color w:val="auto"/>
          <w:highlight w:val="none"/>
        </w:rPr>
        <w:t>．隐蔽管线点开挖检查采取增加重复探查量或开挖等方式进行验证，</w:t>
      </w:r>
    </w:p>
    <w:p>
      <w:pPr>
        <w:pStyle w:val="238"/>
        <w:ind w:firstLine="0" w:firstLineChars="0"/>
        <w:rPr>
          <w:color w:val="auto"/>
          <w:highlight w:val="none"/>
        </w:rPr>
      </w:pPr>
      <w:r>
        <w:rPr>
          <w:rFonts w:hint="eastAsia"/>
          <w:color w:val="auto"/>
          <w:highlight w:val="none"/>
        </w:rPr>
        <w:t>每个测区验证点数不少于隐蔽管线点总数的0.5%，且不少于2个；验证内容包括几何精度和属性精度。</w:t>
      </w:r>
    </w:p>
    <w:p>
      <w:pPr>
        <w:pStyle w:val="238"/>
        <w:rPr>
          <w:rFonts w:ascii="Times New Roman" w:hAnsi="Times New Roman"/>
          <w:color w:val="auto"/>
          <w:spacing w:val="20"/>
          <w:kern w:val="0"/>
          <w:szCs w:val="21"/>
          <w:highlight w:val="none"/>
        </w:rPr>
      </w:pPr>
      <w:r>
        <w:rPr>
          <w:rFonts w:hint="eastAsia"/>
          <w:color w:val="auto"/>
          <w:highlight w:val="none"/>
        </w:rPr>
        <w:t>6．</w:t>
      </w:r>
      <w:r>
        <w:rPr>
          <w:rFonts w:ascii="Times New Roman" w:hAnsi="Times New Roman"/>
          <w:color w:val="auto"/>
          <w:highlight w:val="none"/>
        </w:rPr>
        <w:t>明显管线点的埋深量测中误差公式：</w:t>
      </w:r>
      <w:r>
        <w:rPr>
          <w:rFonts w:ascii="Times New Roman" w:hAnsi="Times New Roman"/>
          <w:color w:val="auto"/>
          <w:position w:val="-30"/>
          <w:highlight w:val="none"/>
        </w:rPr>
        <w:object>
          <v:shape id="_x0000_i1025" o:spt="75" type="#_x0000_t75" style="height:37.8pt;width:120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p>
      <w:pPr>
        <w:pStyle w:val="238"/>
        <w:rPr>
          <w:color w:val="auto"/>
          <w:highlight w:val="none"/>
        </w:rPr>
      </w:pPr>
      <w:r>
        <w:rPr>
          <w:color w:val="auto"/>
          <w:highlight w:val="none"/>
        </w:rPr>
        <w:t xml:space="preserve">    式中：Δdti—明显管线点的埋深偏差（mm）； </w:t>
      </w:r>
    </w:p>
    <w:p>
      <w:pPr>
        <w:pStyle w:val="238"/>
        <w:ind w:firstLine="1699" w:firstLineChars="708"/>
        <w:rPr>
          <w:color w:val="auto"/>
          <w:highlight w:val="none"/>
        </w:rPr>
      </w:pPr>
      <w:r>
        <w:rPr>
          <w:color w:val="auto"/>
          <w:highlight w:val="none"/>
        </w:rPr>
        <w:t>n1—明显管线点检查点数。</w:t>
      </w:r>
    </w:p>
    <w:p>
      <w:pPr>
        <w:pStyle w:val="238"/>
        <w:rPr>
          <w:color w:val="auto"/>
          <w:highlight w:val="none"/>
        </w:rPr>
      </w:pPr>
      <w:r>
        <w:rPr>
          <w:color w:val="auto"/>
          <w:highlight w:val="none"/>
        </w:rPr>
        <w:t>7</w:t>
      </w:r>
      <w:r>
        <w:rPr>
          <w:rFonts w:hint="eastAsia"/>
          <w:color w:val="auto"/>
          <w:highlight w:val="none"/>
        </w:rPr>
        <w:t>．隐蔽管线点应检查探查平面位置和埋深，</w:t>
      </w:r>
      <w:r>
        <w:rPr>
          <w:color w:val="auto"/>
          <w:highlight w:val="none"/>
        </w:rPr>
        <w:t>隐蔽管线点采用重复探查检查时，应采用同精度探查仪器进行，平面位置中误差Mts和埋深中误差Mth分别按下式计算</w:t>
      </w:r>
      <w:r>
        <w:rPr>
          <w:rFonts w:hint="eastAsia"/>
          <w:color w:val="auto"/>
          <w:highlight w:val="none"/>
        </w:rPr>
        <w:t>：</w:t>
      </w:r>
    </w:p>
    <w:p>
      <w:pPr>
        <w:pStyle w:val="238"/>
        <w:rPr>
          <w:color w:val="auto"/>
          <w:highlight w:val="none"/>
        </w:rPr>
      </w:pPr>
      <w:r>
        <w:rPr>
          <w:rFonts w:hint="eastAsia"/>
          <w:color w:val="auto"/>
          <w:highlight w:val="none"/>
        </w:rPr>
        <w:t>（1）</w:t>
      </w:r>
      <w:r>
        <w:rPr>
          <w:color w:val="auto"/>
          <w:highlight w:val="none"/>
        </w:rPr>
        <w:t>隐蔽管线点平面位置中误差公式:</w:t>
      </w:r>
      <w:r>
        <w:rPr>
          <w:color w:val="auto"/>
          <w:position w:val="-30"/>
          <w:highlight w:val="none"/>
        </w:rPr>
        <w:object>
          <v:shape id="_x0000_i1026" o:spt="75" type="#_x0000_t75" style="height:37.8pt;width:103.8pt;" o:ole="t"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p>
    <w:p>
      <w:pPr>
        <w:pStyle w:val="238"/>
        <w:rPr>
          <w:color w:val="auto"/>
          <w:highlight w:val="none"/>
        </w:rPr>
      </w:pPr>
      <w:r>
        <w:rPr>
          <w:rFonts w:hint="eastAsia"/>
          <w:color w:val="auto"/>
          <w:highlight w:val="none"/>
        </w:rPr>
        <w:t>（2）</w:t>
      </w:r>
      <w:r>
        <w:rPr>
          <w:color w:val="auto"/>
          <w:highlight w:val="none"/>
        </w:rPr>
        <w:t>隐蔽管线点埋深中误差公式:</w:t>
      </w:r>
      <w:r>
        <w:rPr>
          <w:color w:val="auto"/>
          <w:position w:val="-30"/>
          <w:highlight w:val="none"/>
        </w:rPr>
        <w:object>
          <v:shape id="_x0000_i1027" o:spt="75" type="#_x0000_t75" style="height:37.8pt;width:109.2pt;" o:ole="t" filled="f" o:preferrelative="t" stroked="f" coordsize="21600,21600">
            <v:path/>
            <v:fill on="f" focussize="0,0"/>
            <v:stroke on="f" joinstyle="miter"/>
            <v:imagedata r:id="rId17" o:title=""/>
            <o:lock v:ext="edit" aspectratio="t"/>
            <w10:wrap type="none"/>
            <w10:anchorlock/>
          </v:shape>
          <o:OLEObject Type="Embed" ProgID="Equation.3" ShapeID="_x0000_i1027" DrawAspect="Content" ObjectID="_1468075727" r:id="rId16">
            <o:LockedField>false</o:LockedField>
          </o:OLEObject>
        </w:object>
      </w:r>
    </w:p>
    <w:p>
      <w:pPr>
        <w:pStyle w:val="238"/>
        <w:rPr>
          <w:bCs/>
          <w:color w:val="auto"/>
          <w:highlight w:val="none"/>
        </w:rPr>
      </w:pPr>
      <w:r>
        <w:rPr>
          <w:rFonts w:hint="eastAsia"/>
          <w:color w:val="auto"/>
          <w:highlight w:val="none"/>
        </w:rPr>
        <w:t>（3）</w:t>
      </w:r>
      <w:r>
        <w:rPr>
          <w:color w:val="auto"/>
          <w:highlight w:val="none"/>
        </w:rPr>
        <w:t xml:space="preserve">隐蔽管线点平面位置探查限差公式: </w:t>
      </w:r>
      <w:r>
        <w:rPr>
          <w:color w:val="auto"/>
          <w:position w:val="-30"/>
          <w:highlight w:val="none"/>
        </w:rPr>
        <w:object>
          <v:shape id="_x0000_i1028" o:spt="75" type="#_x0000_t75" style="height:39pt;width:83.95pt;" o:ole="t" filled="f" o:preferrelative="t" stroked="f" coordsize="21600,21600">
            <v:path/>
            <v:fill on="f" focussize="0,0"/>
            <v:stroke on="f" joinstyle="miter"/>
            <v:imagedata r:id="rId19" o:title=""/>
            <o:lock v:ext="edit" aspectratio="t"/>
            <w10:wrap type="none"/>
            <w10:anchorlock/>
          </v:shape>
          <o:OLEObject Type="Embed" ProgID="Equation.3" ShapeID="_x0000_i1028" DrawAspect="Content" ObjectID="_1468075728" r:id="rId18">
            <o:LockedField>false</o:LockedField>
          </o:OLEObject>
        </w:object>
      </w:r>
    </w:p>
    <w:p>
      <w:pPr>
        <w:pStyle w:val="238"/>
        <w:rPr>
          <w:color w:val="auto"/>
          <w:position w:val="-30"/>
          <w:highlight w:val="none"/>
        </w:rPr>
      </w:pPr>
      <w:r>
        <w:rPr>
          <w:rFonts w:hint="eastAsia"/>
          <w:color w:val="auto"/>
          <w:highlight w:val="none"/>
        </w:rPr>
        <w:t>（4）</w:t>
      </w:r>
      <w:r>
        <w:rPr>
          <w:color w:val="auto"/>
          <w:highlight w:val="none"/>
        </w:rPr>
        <w:t>隐蔽管线点埋深探查限差公式：</w:t>
      </w:r>
      <w:r>
        <w:rPr>
          <w:color w:val="auto"/>
          <w:position w:val="-30"/>
          <w:highlight w:val="none"/>
        </w:rPr>
        <w:object>
          <v:shape id="_x0000_i1029" o:spt="75" type="#_x0000_t75" style="height:34.2pt;width:73.8pt;" o:ole="t" filled="f" o:preferrelative="t" stroked="f" coordsize="21600,21600">
            <v:path/>
            <v:fill on="f" focussize="0,0"/>
            <v:stroke on="f" joinstyle="miter"/>
            <v:imagedata r:id="rId21" o:title=""/>
            <o:lock v:ext="edit" aspectratio="t"/>
            <w10:wrap type="none"/>
            <w10:anchorlock/>
          </v:shape>
          <o:OLEObject Type="Embed" ProgID="Equation.3" ShapeID="_x0000_i1029" DrawAspect="Content" ObjectID="_1468075729" r:id="rId20">
            <o:LockedField>false</o:LockedField>
          </o:OLEObject>
        </w:object>
      </w:r>
    </w:p>
    <w:p>
      <w:pPr>
        <w:pStyle w:val="238"/>
        <w:rPr>
          <w:color w:val="auto"/>
          <w:highlight w:val="none"/>
        </w:rPr>
      </w:pPr>
      <w:r>
        <w:rPr>
          <w:color w:val="auto"/>
          <w:highlight w:val="none"/>
        </w:rPr>
        <w:t>式中：ΔS</w:t>
      </w:r>
      <w:r>
        <w:rPr>
          <w:color w:val="auto"/>
          <w:highlight w:val="none"/>
          <w:vertAlign w:val="subscript"/>
        </w:rPr>
        <w:t>ti</w:t>
      </w:r>
      <w:r>
        <w:rPr>
          <w:color w:val="auto"/>
          <w:highlight w:val="none"/>
        </w:rPr>
        <w:t>—隐蔽管线点的平面位置偏差（mm）；</w:t>
      </w:r>
    </w:p>
    <w:p>
      <w:pPr>
        <w:pStyle w:val="238"/>
        <w:ind w:firstLine="1132" w:firstLineChars="472"/>
        <w:rPr>
          <w:color w:val="auto"/>
          <w:highlight w:val="none"/>
        </w:rPr>
      </w:pPr>
      <w:r>
        <w:rPr>
          <w:color w:val="auto"/>
          <w:highlight w:val="none"/>
        </w:rPr>
        <w:t>Δh</w:t>
      </w:r>
      <w:r>
        <w:rPr>
          <w:color w:val="auto"/>
          <w:highlight w:val="none"/>
          <w:vertAlign w:val="subscript"/>
        </w:rPr>
        <w:t>ti</w:t>
      </w:r>
      <w:r>
        <w:rPr>
          <w:color w:val="auto"/>
          <w:highlight w:val="none"/>
        </w:rPr>
        <w:t>—隐蔽管线点的埋深偏差（mm）；</w:t>
      </w:r>
    </w:p>
    <w:p>
      <w:pPr>
        <w:pStyle w:val="238"/>
        <w:ind w:firstLine="1132" w:firstLineChars="472"/>
        <w:rPr>
          <w:color w:val="auto"/>
          <w:highlight w:val="none"/>
        </w:rPr>
      </w:pPr>
      <w:r>
        <w:rPr>
          <w:color w:val="auto"/>
          <w:highlight w:val="none"/>
        </w:rPr>
        <w:t>δ</w:t>
      </w:r>
      <w:r>
        <w:rPr>
          <w:color w:val="auto"/>
          <w:highlight w:val="none"/>
          <w:vertAlign w:val="subscript"/>
        </w:rPr>
        <w:t>ts</w:t>
      </w:r>
      <w:r>
        <w:rPr>
          <w:color w:val="auto"/>
          <w:highlight w:val="none"/>
        </w:rPr>
        <w:t>—隐蔽管线点重复探查平面位置限差（mm）；</w:t>
      </w:r>
    </w:p>
    <w:p>
      <w:pPr>
        <w:pStyle w:val="238"/>
        <w:ind w:firstLine="1132" w:firstLineChars="472"/>
        <w:rPr>
          <w:color w:val="auto"/>
          <w:highlight w:val="none"/>
        </w:rPr>
      </w:pPr>
      <w:r>
        <w:rPr>
          <w:color w:val="auto"/>
          <w:highlight w:val="none"/>
        </w:rPr>
        <w:t>δ</w:t>
      </w:r>
      <w:r>
        <w:rPr>
          <w:color w:val="auto"/>
          <w:highlight w:val="none"/>
          <w:vertAlign w:val="subscript"/>
        </w:rPr>
        <w:t>th</w:t>
      </w:r>
      <w:r>
        <w:rPr>
          <w:color w:val="auto"/>
          <w:highlight w:val="none"/>
        </w:rPr>
        <w:t>—隐蔽管线点重复探查埋深限差（mm）；</w:t>
      </w:r>
    </w:p>
    <w:p>
      <w:pPr>
        <w:pStyle w:val="238"/>
        <w:ind w:firstLine="1132" w:firstLineChars="472"/>
        <w:rPr>
          <w:color w:val="auto"/>
          <w:highlight w:val="none"/>
        </w:rPr>
      </w:pPr>
      <w:r>
        <w:rPr>
          <w:color w:val="auto"/>
          <w:highlight w:val="none"/>
        </w:rPr>
        <w:t>n</w:t>
      </w:r>
      <w:r>
        <w:rPr>
          <w:color w:val="auto"/>
          <w:highlight w:val="none"/>
          <w:vertAlign w:val="subscript"/>
        </w:rPr>
        <w:t>2</w:t>
      </w:r>
      <w:r>
        <w:rPr>
          <w:color w:val="auto"/>
          <w:highlight w:val="none"/>
        </w:rPr>
        <w:t>—隐蔽管线点检查点数；</w:t>
      </w:r>
    </w:p>
    <w:p>
      <w:pPr>
        <w:pStyle w:val="238"/>
        <w:ind w:firstLine="1132" w:firstLineChars="472"/>
        <w:rPr>
          <w:color w:val="auto"/>
          <w:highlight w:val="none"/>
        </w:rPr>
      </w:pPr>
      <w:r>
        <w:rPr>
          <w:color w:val="auto"/>
          <w:highlight w:val="none"/>
        </w:rPr>
        <w:t>h</w:t>
      </w:r>
      <w:r>
        <w:rPr>
          <w:color w:val="auto"/>
          <w:highlight w:val="none"/>
          <w:vertAlign w:val="subscript"/>
        </w:rPr>
        <w:t>i</w:t>
      </w:r>
      <w:r>
        <w:rPr>
          <w:color w:val="auto"/>
          <w:highlight w:val="none"/>
        </w:rPr>
        <w:t>—各检查点管线中心埋深（mm），当h</w:t>
      </w:r>
      <w:r>
        <w:rPr>
          <w:color w:val="auto"/>
          <w:highlight w:val="none"/>
          <w:vertAlign w:val="subscript"/>
        </w:rPr>
        <w:t>i</w:t>
      </w:r>
      <w:r>
        <w:rPr>
          <w:color w:val="auto"/>
          <w:highlight w:val="none"/>
        </w:rPr>
        <w:t>≤1000mm时，取h</w:t>
      </w:r>
      <w:r>
        <w:rPr>
          <w:color w:val="auto"/>
          <w:highlight w:val="none"/>
          <w:vertAlign w:val="subscript"/>
        </w:rPr>
        <w:t>i</w:t>
      </w:r>
      <w:r>
        <w:rPr>
          <w:color w:val="auto"/>
          <w:highlight w:val="none"/>
        </w:rPr>
        <w:t xml:space="preserve"> =1000mm。</w:t>
      </w:r>
    </w:p>
    <w:p>
      <w:pPr>
        <w:pStyle w:val="238"/>
        <w:rPr>
          <w:color w:val="auto"/>
          <w:highlight w:val="none"/>
        </w:rPr>
      </w:pPr>
      <w:r>
        <w:rPr>
          <w:color w:val="auto"/>
          <w:highlight w:val="none"/>
        </w:rPr>
        <w:t>8</w:t>
      </w:r>
      <w:r>
        <w:rPr>
          <w:rFonts w:hint="eastAsia"/>
          <w:color w:val="auto"/>
          <w:highlight w:val="none"/>
        </w:rPr>
        <w:t>．检查明显管线点的属性调查结果应对照记录表逐项实地核对，并应核对管线点间连接关系，属性调查结果不应出现漏项、错项。发现遗漏、错误应及时进行补充、更正。</w:t>
      </w:r>
    </w:p>
    <w:p>
      <w:pPr>
        <w:spacing w:line="360" w:lineRule="auto"/>
        <w:outlineLvl w:val="4"/>
        <w:rPr>
          <w:rFonts w:ascii="宋体" w:hAnsi="宋体"/>
          <w:b/>
          <w:bCs/>
          <w:color w:val="auto"/>
          <w:sz w:val="24"/>
          <w:highlight w:val="none"/>
        </w:rPr>
      </w:pPr>
      <w:r>
        <w:rPr>
          <w:rFonts w:hint="eastAsia" w:ascii="宋体" w:hAnsi="宋体"/>
          <w:b/>
          <w:bCs/>
          <w:color w:val="auto"/>
          <w:sz w:val="24"/>
          <w:highlight w:val="none"/>
        </w:rPr>
        <w:t>4.3.1.3.8</w:t>
      </w:r>
      <w:r>
        <w:rPr>
          <w:rFonts w:ascii="宋体" w:hAnsi="宋体"/>
          <w:b/>
          <w:bCs/>
          <w:color w:val="auto"/>
          <w:sz w:val="24"/>
          <w:highlight w:val="none"/>
        </w:rPr>
        <w:t xml:space="preserve">.3 </w:t>
      </w:r>
      <w:r>
        <w:rPr>
          <w:rFonts w:hint="eastAsia" w:ascii="宋体" w:hAnsi="宋体"/>
          <w:b/>
          <w:bCs/>
          <w:color w:val="auto"/>
          <w:sz w:val="24"/>
          <w:highlight w:val="none"/>
        </w:rPr>
        <w:t>管线测量</w:t>
      </w:r>
      <w:r>
        <w:rPr>
          <w:rFonts w:ascii="宋体" w:hAnsi="宋体"/>
          <w:b/>
          <w:bCs/>
          <w:color w:val="auto"/>
          <w:sz w:val="24"/>
          <w:highlight w:val="none"/>
        </w:rPr>
        <w:t>质量</w:t>
      </w:r>
      <w:r>
        <w:rPr>
          <w:rFonts w:hint="eastAsia" w:ascii="宋体" w:hAnsi="宋体"/>
          <w:b/>
          <w:bCs/>
          <w:color w:val="auto"/>
          <w:sz w:val="24"/>
          <w:highlight w:val="none"/>
        </w:rPr>
        <w:t>检查</w:t>
      </w:r>
    </w:p>
    <w:p>
      <w:pPr>
        <w:pStyle w:val="238"/>
        <w:rPr>
          <w:color w:val="auto"/>
          <w:highlight w:val="none"/>
        </w:rPr>
      </w:pPr>
      <w:r>
        <w:rPr>
          <w:rFonts w:hint="eastAsia"/>
          <w:color w:val="auto"/>
          <w:highlight w:val="none"/>
        </w:rPr>
        <w:t>1．</w:t>
      </w:r>
      <w:r>
        <w:rPr>
          <w:color w:val="auto"/>
          <w:highlight w:val="none"/>
        </w:rPr>
        <w:t>检查点应在测区内</w:t>
      </w:r>
      <w:r>
        <w:rPr>
          <w:rFonts w:hint="eastAsia"/>
          <w:color w:val="auto"/>
          <w:highlight w:val="none"/>
        </w:rPr>
        <w:t>均匀</w:t>
      </w:r>
      <w:r>
        <w:rPr>
          <w:color w:val="auto"/>
          <w:highlight w:val="none"/>
        </w:rPr>
        <w:t>分布</w:t>
      </w:r>
      <w:r>
        <w:rPr>
          <w:rFonts w:hint="eastAsia"/>
          <w:color w:val="auto"/>
          <w:highlight w:val="none"/>
        </w:rPr>
        <w:t>、</w:t>
      </w:r>
      <w:r>
        <w:rPr>
          <w:color w:val="auto"/>
          <w:highlight w:val="none"/>
        </w:rPr>
        <w:t>随机抽取</w:t>
      </w:r>
      <w:r>
        <w:rPr>
          <w:rFonts w:hint="eastAsia"/>
          <w:color w:val="auto"/>
          <w:highlight w:val="none"/>
        </w:rPr>
        <w:t>，</w:t>
      </w:r>
      <w:r>
        <w:rPr>
          <w:color w:val="auto"/>
          <w:highlight w:val="none"/>
        </w:rPr>
        <w:t>数量不得少于测区内管线点总数</w:t>
      </w:r>
      <w:r>
        <w:rPr>
          <w:rFonts w:hint="eastAsia"/>
          <w:color w:val="auto"/>
          <w:highlight w:val="none"/>
        </w:rPr>
        <w:t>的5</w:t>
      </w:r>
      <w:r>
        <w:rPr>
          <w:color w:val="auto"/>
          <w:highlight w:val="none"/>
        </w:rPr>
        <w:t>%</w:t>
      </w:r>
      <w:r>
        <w:rPr>
          <w:rFonts w:hint="eastAsia"/>
          <w:color w:val="auto"/>
          <w:highlight w:val="none"/>
        </w:rPr>
        <w:t>。</w:t>
      </w:r>
    </w:p>
    <w:p>
      <w:pPr>
        <w:pStyle w:val="238"/>
        <w:rPr>
          <w:color w:val="auto"/>
          <w:highlight w:val="none"/>
        </w:rPr>
      </w:pPr>
      <w:r>
        <w:rPr>
          <w:color w:val="auto"/>
          <w:highlight w:val="none"/>
        </w:rPr>
        <w:t>2</w:t>
      </w:r>
      <w:r>
        <w:rPr>
          <w:rFonts w:hint="eastAsia"/>
          <w:color w:val="auto"/>
          <w:highlight w:val="none"/>
        </w:rPr>
        <w:t>．检</w:t>
      </w:r>
      <w:r>
        <w:rPr>
          <w:color w:val="auto"/>
          <w:highlight w:val="none"/>
        </w:rPr>
        <w:t>查</w:t>
      </w:r>
      <w:r>
        <w:rPr>
          <w:rFonts w:hint="eastAsia"/>
          <w:color w:val="auto"/>
          <w:highlight w:val="none"/>
        </w:rPr>
        <w:t>时应复测管线点的平面位置和高程，并按下列公式分别计算管线点的平面位置测量中误差</w:t>
      </w:r>
      <w:r>
        <w:rPr>
          <w:color w:val="auto"/>
          <w:highlight w:val="none"/>
        </w:rPr>
        <w:object>
          <v:shape id="_x0000_i1030" o:spt="75" type="#_x0000_t75" style="height:19.8pt;width:19.8pt;" o:ole="t" filled="f" o:preferrelative="t" stroked="f" coordsize="21600,21600">
            <v:path/>
            <v:fill on="f" focussize="0,0"/>
            <v:stroke on="f" joinstyle="miter"/>
            <v:imagedata r:id="rId23" o:title=""/>
            <o:lock v:ext="edit" aspectratio="t"/>
            <w10:wrap type="none"/>
            <w10:anchorlock/>
          </v:shape>
          <o:OLEObject Type="Embed" ProgID="Equation.3" ShapeID="_x0000_i1030" DrawAspect="Content" ObjectID="_1468075730" r:id="rId22">
            <o:LockedField>false</o:LockedField>
          </o:OLEObject>
        </w:object>
      </w:r>
      <w:r>
        <w:rPr>
          <w:rFonts w:hint="eastAsia"/>
          <w:color w:val="auto"/>
          <w:highlight w:val="none"/>
        </w:rPr>
        <w:t>和高程测量中误差</w:t>
      </w:r>
      <w:r>
        <w:rPr>
          <w:color w:val="auto"/>
          <w:highlight w:val="none"/>
        </w:rPr>
        <w:object>
          <v:shape id="_x0000_i1031" o:spt="75" type="#_x0000_t75" style="height:19.8pt;width:19.8pt;" o:ole="t" filled="f" o:preferrelative="t" stroked="f" coordsize="21600,21600">
            <v:path/>
            <v:fill on="f" focussize="0,0"/>
            <v:stroke on="f" joinstyle="miter"/>
            <v:imagedata r:id="rId25" o:title=""/>
            <o:lock v:ext="edit" aspectratio="t"/>
            <w10:wrap type="none"/>
            <w10:anchorlock/>
          </v:shape>
          <o:OLEObject Type="Embed" ProgID="Equation.3" ShapeID="_x0000_i1031" DrawAspect="Content" ObjectID="_1468075731" r:id="rId24">
            <o:LockedField>false</o:LockedField>
          </o:OLEObject>
        </w:object>
      </w:r>
      <w:r>
        <w:rPr>
          <w:rFonts w:hint="eastAsia"/>
          <w:color w:val="auto"/>
          <w:highlight w:val="none"/>
        </w:rPr>
        <w:t>：</w:t>
      </w:r>
    </w:p>
    <w:p>
      <w:pPr>
        <w:pStyle w:val="238"/>
        <w:rPr>
          <w:color w:val="auto"/>
          <w:highlight w:val="none"/>
        </w:rPr>
      </w:pPr>
      <w:r>
        <w:rPr>
          <w:rFonts w:hint="eastAsia"/>
          <w:color w:val="auto"/>
          <w:highlight w:val="none"/>
        </w:rPr>
        <w:t>（1）平面位置测量中误差：</w:t>
      </w:r>
      <w:r>
        <w:rPr>
          <w:color w:val="auto"/>
          <w:highlight w:val="none"/>
        </w:rPr>
        <w:object>
          <v:shape id="_x0000_i1032" o:spt="75" type="#_x0000_t75" style="height:39pt;width:103.15pt;" o:ole="t" filled="f" o:preferrelative="t" stroked="f" coordsize="21600,21600">
            <v:path/>
            <v:fill on="f" focussize="0,0"/>
            <v:stroke on="f" joinstyle="miter"/>
            <v:imagedata r:id="rId27" o:title=""/>
            <o:lock v:ext="edit" aspectratio="t"/>
            <w10:wrap type="none"/>
            <w10:anchorlock/>
          </v:shape>
          <o:OLEObject Type="Embed" ProgID="Equation.3" ShapeID="_x0000_i1032" DrawAspect="Content" ObjectID="_1468075732" r:id="rId26">
            <o:LockedField>false</o:LockedField>
          </o:OLEObject>
        </w:object>
      </w:r>
    </w:p>
    <w:p>
      <w:pPr>
        <w:pStyle w:val="238"/>
        <w:rPr>
          <w:color w:val="auto"/>
          <w:highlight w:val="none"/>
        </w:rPr>
      </w:pPr>
      <w:r>
        <w:rPr>
          <w:rFonts w:hint="eastAsia"/>
          <w:color w:val="auto"/>
          <w:highlight w:val="none"/>
        </w:rPr>
        <w:t>（2）高程测量中误差：</w:t>
      </w:r>
      <w:r>
        <w:rPr>
          <w:color w:val="auto"/>
          <w:highlight w:val="none"/>
        </w:rPr>
        <w:object>
          <v:shape id="_x0000_i1033" o:spt="75" type="#_x0000_t75" style="height:39pt;width:106.85pt;" o:ole="t" filled="f" o:preferrelative="t" stroked="f" coordsize="21600,21600">
            <v:path/>
            <v:fill on="f" focussize="0,0"/>
            <v:stroke on="f" joinstyle="miter"/>
            <v:imagedata r:id="rId29" o:title=""/>
            <o:lock v:ext="edit" aspectratio="t"/>
            <w10:wrap type="none"/>
            <w10:anchorlock/>
          </v:shape>
          <o:OLEObject Type="Embed" ProgID="Equation.3" ShapeID="_x0000_i1033" DrawAspect="Content" ObjectID="_1468075733" r:id="rId28">
            <o:LockedField>false</o:LockedField>
          </o:OLEObject>
        </w:object>
      </w:r>
    </w:p>
    <w:p>
      <w:pPr>
        <w:pStyle w:val="238"/>
        <w:rPr>
          <w:color w:val="auto"/>
          <w:highlight w:val="none"/>
        </w:rPr>
      </w:pPr>
      <w:r>
        <w:rPr>
          <w:color w:val="auto"/>
          <w:highlight w:val="none"/>
        </w:rPr>
        <w:tab/>
      </w:r>
      <w:r>
        <w:rPr>
          <w:color w:val="auto"/>
          <w:highlight w:val="none"/>
        </w:rPr>
        <w:tab/>
      </w:r>
      <w:r>
        <w:rPr>
          <w:rFonts w:hint="eastAsia"/>
          <w:color w:val="auto"/>
          <w:highlight w:val="none"/>
        </w:rPr>
        <w:t>式中：</w:t>
      </w:r>
      <w:r>
        <w:rPr>
          <w:color w:val="auto"/>
          <w:highlight w:val="none"/>
        </w:rPr>
        <w:object>
          <v:shape id="_x0000_i1034" o:spt="75" type="#_x0000_t75" style="height:19.8pt;width:21pt;" o:ole="t" filled="f" o:preferrelative="t" stroked="f" coordsize="21600,21600">
            <v:path/>
            <v:fill on="f" focussize="0,0"/>
            <v:stroke on="f" joinstyle="miter"/>
            <v:imagedata r:id="rId31" o:title=""/>
            <o:lock v:ext="edit" aspectratio="t"/>
            <w10:wrap type="none"/>
            <w10:anchorlock/>
          </v:shape>
          <o:OLEObject Type="Embed" ProgID="Equation.3" ShapeID="_x0000_i1034" DrawAspect="Content" ObjectID="_1468075734" r:id="rId30">
            <o:LockedField>false</o:LockedField>
          </o:OLEObject>
        </w:object>
      </w:r>
      <w:r>
        <w:rPr>
          <w:rFonts w:hint="eastAsia"/>
          <w:color w:val="auto"/>
          <w:highlight w:val="none"/>
        </w:rPr>
        <w:t>为重复测量管线点平面位置较差；</w:t>
      </w:r>
    </w:p>
    <w:p>
      <w:pPr>
        <w:pStyle w:val="238"/>
        <w:ind w:firstLine="1840" w:firstLineChars="767"/>
        <w:rPr>
          <w:color w:val="auto"/>
          <w:highlight w:val="none"/>
        </w:rPr>
      </w:pPr>
      <w:r>
        <w:rPr>
          <w:color w:val="auto"/>
          <w:highlight w:val="none"/>
        </w:rPr>
        <w:object>
          <v:shape id="_x0000_i1035" o:spt="75" type="#_x0000_t75" style="height:19.8pt;width:21pt;" o:ole="t" filled="f" o:preferrelative="t" stroked="f" coordsize="21600,21600">
            <v:path/>
            <v:fill on="f" focussize="0,0"/>
            <v:stroke on="f" joinstyle="miter"/>
            <v:imagedata r:id="rId33" o:title=""/>
            <o:lock v:ext="edit" aspectratio="t"/>
            <w10:wrap type="none"/>
            <w10:anchorlock/>
          </v:shape>
          <o:OLEObject Type="Embed" ProgID="Equation.3" ShapeID="_x0000_i1035" DrawAspect="Content" ObjectID="_1468075735" r:id="rId32">
            <o:LockedField>false</o:LockedField>
          </o:OLEObject>
        </w:object>
      </w:r>
      <w:r>
        <w:rPr>
          <w:rFonts w:hint="eastAsia"/>
          <w:color w:val="auto"/>
          <w:highlight w:val="none"/>
        </w:rPr>
        <w:t>为重复测量管线点高程较差；</w:t>
      </w:r>
    </w:p>
    <w:p>
      <w:pPr>
        <w:pStyle w:val="238"/>
        <w:rPr>
          <w:color w:val="auto"/>
          <w:highlight w:val="none"/>
        </w:rPr>
      </w:pPr>
      <w:r>
        <w:rPr>
          <w:rFonts w:hint="eastAsia"/>
          <w:color w:val="auto"/>
          <w:highlight w:val="none"/>
        </w:rPr>
        <w:t xml:space="preserve">            n为重复测量点（或边）数。</w:t>
      </w:r>
    </w:p>
    <w:p>
      <w:pPr>
        <w:pStyle w:val="7"/>
        <w:rPr>
          <w:rFonts w:ascii="宋体" w:hAnsi="宋体"/>
          <w:color w:val="auto"/>
          <w:sz w:val="24"/>
          <w:highlight w:val="none"/>
        </w:rPr>
      </w:pPr>
      <w:r>
        <w:rPr>
          <w:rFonts w:hint="eastAsia" w:ascii="宋体" w:hAnsi="宋体"/>
          <w:color w:val="auto"/>
          <w:sz w:val="24"/>
          <w:highlight w:val="none"/>
        </w:rPr>
        <w:t>4.3.1.3.9普查工程监理</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普查作业单位按照《成都市地下管线普查成果更新实施方案》和《成都市地下管线普查成果更新技术方案》的要求接受监理单位的工程监理。</w:t>
      </w:r>
    </w:p>
    <w:p>
      <w:pPr>
        <w:pStyle w:val="7"/>
        <w:rPr>
          <w:rFonts w:ascii="宋体" w:hAnsi="宋体"/>
          <w:color w:val="auto"/>
          <w:sz w:val="24"/>
          <w:highlight w:val="none"/>
        </w:rPr>
      </w:pPr>
      <w:r>
        <w:rPr>
          <w:rFonts w:hint="eastAsia" w:ascii="宋体" w:hAnsi="宋体"/>
          <w:color w:val="auto"/>
          <w:sz w:val="24"/>
          <w:highlight w:val="none"/>
        </w:rPr>
        <w:t>4.3.1.3.10 普查更新成果核验</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地下管线普查更新成果经监理单位检查合格后，普查作业单位按照《成都市地下管线普查成果更新实施方案》和《成都市地下管线普查成果更新技术方案》的要求配合管线权属单位对成果进行核验，并对成果核验的相关问题进行核实整改。</w:t>
      </w:r>
    </w:p>
    <w:p>
      <w:pPr>
        <w:pStyle w:val="7"/>
        <w:rPr>
          <w:rFonts w:ascii="宋体" w:hAnsi="宋体"/>
          <w:color w:val="auto"/>
          <w:sz w:val="24"/>
          <w:highlight w:val="none"/>
        </w:rPr>
      </w:pPr>
      <w:r>
        <w:rPr>
          <w:rFonts w:hint="eastAsia" w:ascii="宋体" w:hAnsi="宋体"/>
          <w:color w:val="auto"/>
          <w:sz w:val="24"/>
          <w:highlight w:val="none"/>
        </w:rPr>
        <w:t>4.3.1.3.11 测绘成果质量检验</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普查作业单位按照《成都市地下管线普查成果更新实施方案》和《成都市地下管线普查成果更新技术方案》的要求配合测绘成果质量检验机构对地下管线普查更新成果进行质量检验。</w:t>
      </w:r>
    </w:p>
    <w:p>
      <w:pPr>
        <w:pStyle w:val="7"/>
        <w:rPr>
          <w:rFonts w:ascii="宋体" w:hAnsi="宋体"/>
          <w:color w:val="auto"/>
          <w:sz w:val="24"/>
          <w:highlight w:val="none"/>
        </w:rPr>
      </w:pPr>
      <w:r>
        <w:rPr>
          <w:rFonts w:hint="eastAsia" w:ascii="宋体" w:hAnsi="宋体"/>
          <w:color w:val="auto"/>
          <w:sz w:val="24"/>
          <w:highlight w:val="none"/>
        </w:rPr>
        <w:t>4.3.1.3.12 成果汇交</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地下管线普查成果通过测绘质量检验机构检验合格后，普查作业单位应配合区（市）县将成果汇交至成都市规划和自然资源局。汇交内容包括经</w:t>
      </w:r>
      <w:r>
        <w:rPr>
          <w:rFonts w:ascii="宋体" w:hAnsi="宋体"/>
          <w:color w:val="auto"/>
          <w:sz w:val="24"/>
          <w:highlight w:val="none"/>
        </w:rPr>
        <w:t>批准的</w:t>
      </w:r>
      <w:r>
        <w:rPr>
          <w:rFonts w:hint="eastAsia" w:ascii="宋体" w:hAnsi="宋体"/>
          <w:color w:val="auto"/>
          <w:sz w:val="24"/>
          <w:highlight w:val="none"/>
        </w:rPr>
        <w:t>测区技术设计书、自检质量报告、成果总结报告、权属单位</w:t>
      </w:r>
      <w:r>
        <w:rPr>
          <w:rFonts w:ascii="宋体" w:hAnsi="宋体"/>
          <w:color w:val="auto"/>
          <w:sz w:val="24"/>
          <w:highlight w:val="none"/>
        </w:rPr>
        <w:t>核验</w:t>
      </w:r>
      <w:r>
        <w:rPr>
          <w:rFonts w:hint="eastAsia" w:ascii="宋体" w:hAnsi="宋体"/>
          <w:color w:val="auto"/>
          <w:sz w:val="24"/>
          <w:highlight w:val="none"/>
        </w:rPr>
        <w:t>相关</w:t>
      </w:r>
      <w:r>
        <w:rPr>
          <w:rFonts w:ascii="宋体" w:hAnsi="宋体"/>
          <w:color w:val="auto"/>
          <w:sz w:val="24"/>
          <w:highlight w:val="none"/>
        </w:rPr>
        <w:t>表格、</w:t>
      </w:r>
      <w:r>
        <w:rPr>
          <w:rFonts w:hint="eastAsia" w:ascii="宋体" w:hAnsi="宋体"/>
          <w:color w:val="auto"/>
          <w:sz w:val="24"/>
          <w:highlight w:val="none"/>
        </w:rPr>
        <w:t>测绘成果质量检验报告、数据库成果、</w:t>
      </w:r>
      <w:r>
        <w:rPr>
          <w:rFonts w:ascii="宋体" w:hAnsi="宋体"/>
          <w:color w:val="auto"/>
          <w:sz w:val="24"/>
          <w:highlight w:val="none"/>
        </w:rPr>
        <w:t>图形文件</w:t>
      </w:r>
      <w:r>
        <w:rPr>
          <w:rFonts w:hint="eastAsia" w:ascii="宋体" w:hAnsi="宋体"/>
          <w:color w:val="auto"/>
          <w:sz w:val="24"/>
          <w:highlight w:val="none"/>
        </w:rPr>
        <w:t>成果</w:t>
      </w:r>
      <w:r>
        <w:rPr>
          <w:rFonts w:ascii="宋体" w:hAnsi="宋体"/>
          <w:color w:val="auto"/>
          <w:sz w:val="24"/>
          <w:highlight w:val="none"/>
        </w:rPr>
        <w:t>、</w:t>
      </w:r>
      <w:r>
        <w:rPr>
          <w:rFonts w:hint="eastAsia" w:ascii="宋体" w:hAnsi="宋体"/>
          <w:color w:val="auto"/>
          <w:sz w:val="24"/>
          <w:highlight w:val="none"/>
        </w:rPr>
        <w:t>管线</w:t>
      </w:r>
      <w:r>
        <w:rPr>
          <w:rFonts w:ascii="宋体" w:hAnsi="宋体"/>
          <w:color w:val="auto"/>
          <w:sz w:val="24"/>
          <w:highlight w:val="none"/>
        </w:rPr>
        <w:t>成果表</w:t>
      </w:r>
      <w:r>
        <w:rPr>
          <w:rFonts w:hint="eastAsia" w:ascii="宋体" w:hAnsi="宋体"/>
          <w:color w:val="auto"/>
          <w:sz w:val="24"/>
          <w:highlight w:val="none"/>
        </w:rPr>
        <w:t>等相关成果资料。</w:t>
      </w:r>
    </w:p>
    <w:p>
      <w:pPr>
        <w:pStyle w:val="7"/>
        <w:rPr>
          <w:rFonts w:ascii="宋体" w:hAnsi="宋体"/>
          <w:color w:val="auto"/>
          <w:sz w:val="24"/>
          <w:highlight w:val="none"/>
        </w:rPr>
      </w:pPr>
      <w:r>
        <w:rPr>
          <w:rFonts w:hint="eastAsia" w:ascii="宋体" w:hAnsi="宋体"/>
          <w:color w:val="auto"/>
          <w:sz w:val="24"/>
          <w:highlight w:val="none"/>
        </w:rPr>
        <w:t>4.3.1.3.13数据整合检查</w:t>
      </w:r>
    </w:p>
    <w:p>
      <w:pPr>
        <w:pStyle w:val="2"/>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普查作业单位按照《成都市地下管线普查成果更新实施方案》和《成都市地下管线普查成果更新技术方案》的要求配合数据整合检查单位对普查成果进行整合检查，并对整合检查反馈的问题进行核查整改。</w:t>
      </w:r>
    </w:p>
    <w:p>
      <w:pPr>
        <w:pStyle w:val="7"/>
        <w:rPr>
          <w:rFonts w:ascii="宋体" w:hAnsi="宋体"/>
          <w:color w:val="auto"/>
          <w:sz w:val="24"/>
          <w:highlight w:val="none"/>
        </w:rPr>
      </w:pPr>
      <w:r>
        <w:rPr>
          <w:rFonts w:hint="eastAsia" w:ascii="宋体" w:hAnsi="宋体"/>
          <w:color w:val="auto"/>
          <w:sz w:val="24"/>
          <w:highlight w:val="none"/>
        </w:rPr>
        <w:t>4.3.1.3.14 成果提交</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普查作业单位提交成果应至少包含以下内容：</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1．数据成果</w:t>
      </w:r>
    </w:p>
    <w:p>
      <w:pPr>
        <w:pStyle w:val="2"/>
        <w:spacing w:after="0" w:line="360" w:lineRule="auto"/>
        <w:ind w:firstLine="424" w:firstLineChars="177"/>
        <w:rPr>
          <w:rFonts w:ascii="宋体" w:hAnsi="宋体"/>
          <w:color w:val="auto"/>
          <w:sz w:val="24"/>
          <w:highlight w:val="none"/>
        </w:rPr>
      </w:pPr>
      <w:r>
        <w:rPr>
          <w:rFonts w:hint="eastAsia" w:ascii="宋体" w:hAnsi="宋体"/>
          <w:color w:val="auto"/>
          <w:sz w:val="24"/>
          <w:highlight w:val="none"/>
        </w:rPr>
        <w:t>（1）地下管线普查更新数据库（MDB），包括：管线点属性库、管线线属性库、管线面属性库、管线辅助点属性库、管线辅助线属性库、管线注记属性库；</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（2）综合地下管线成果图（DWG格式）；</w:t>
      </w:r>
    </w:p>
    <w:p>
      <w:pPr>
        <w:pStyle w:val="2"/>
        <w:spacing w:after="0" w:line="360" w:lineRule="auto"/>
        <w:ind w:firstLine="424" w:firstLineChars="177"/>
        <w:rPr>
          <w:rFonts w:ascii="宋体" w:hAnsi="宋体"/>
          <w:color w:val="auto"/>
          <w:sz w:val="24"/>
          <w:highlight w:val="none"/>
        </w:rPr>
      </w:pPr>
      <w:r>
        <w:rPr>
          <w:rFonts w:hint="eastAsia" w:ascii="宋体" w:hAnsi="宋体"/>
          <w:color w:val="auto"/>
          <w:sz w:val="24"/>
          <w:highlight w:val="none"/>
        </w:rPr>
        <w:t>（3）管线点探测记录表（电子记录）；</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（4）控制点和管线点的观测记录和计算资料（电子记录）；</w:t>
      </w:r>
    </w:p>
    <w:p>
      <w:pPr>
        <w:pStyle w:val="2"/>
        <w:spacing w:line="360" w:lineRule="auto"/>
        <w:ind w:firstLine="424" w:firstLineChars="177"/>
        <w:rPr>
          <w:rFonts w:ascii="宋体" w:hAnsi="宋体"/>
          <w:color w:val="auto"/>
          <w:sz w:val="24"/>
          <w:highlight w:val="none"/>
        </w:rPr>
      </w:pPr>
      <w:r>
        <w:rPr>
          <w:rFonts w:hint="eastAsia" w:ascii="宋体" w:hAnsi="宋体"/>
          <w:color w:val="auto"/>
          <w:sz w:val="24"/>
          <w:highlight w:val="none"/>
        </w:rPr>
        <w:t>（5）管线点成果表（电子记录）。</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2．文字成果</w:t>
      </w:r>
    </w:p>
    <w:p>
      <w:pPr>
        <w:pStyle w:val="2"/>
        <w:spacing w:after="0" w:line="360" w:lineRule="auto"/>
        <w:ind w:firstLine="424" w:firstLineChars="177"/>
        <w:rPr>
          <w:rFonts w:ascii="宋体" w:hAnsi="宋体"/>
          <w:color w:val="auto"/>
          <w:sz w:val="24"/>
          <w:highlight w:val="none"/>
        </w:rPr>
      </w:pPr>
      <w:r>
        <w:rPr>
          <w:rFonts w:hint="eastAsia" w:ascii="宋体" w:hAnsi="宋体"/>
          <w:color w:val="auto"/>
          <w:sz w:val="24"/>
          <w:highlight w:val="none"/>
        </w:rPr>
        <w:t>（1）经批准的地下管线普查成果更新技术设计书；</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 xml:space="preserve">（2）仪器检校资料； </w:t>
      </w:r>
    </w:p>
    <w:p>
      <w:pPr>
        <w:pStyle w:val="2"/>
        <w:spacing w:after="0" w:line="360" w:lineRule="auto"/>
        <w:ind w:firstLine="424" w:firstLineChars="177"/>
        <w:rPr>
          <w:rFonts w:ascii="宋体" w:hAnsi="宋体"/>
          <w:color w:val="auto"/>
          <w:sz w:val="24"/>
          <w:highlight w:val="none"/>
        </w:rPr>
      </w:pPr>
      <w:r>
        <w:rPr>
          <w:rFonts w:hint="eastAsia" w:ascii="宋体" w:hAnsi="宋体"/>
          <w:color w:val="auto"/>
          <w:sz w:val="24"/>
          <w:highlight w:val="none"/>
        </w:rPr>
        <w:t>（3）图根控制点成果表；</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（4）各种检查和开挖验证记录；</w:t>
      </w:r>
    </w:p>
    <w:p>
      <w:pPr>
        <w:pStyle w:val="2"/>
        <w:spacing w:after="0" w:line="360" w:lineRule="auto"/>
        <w:ind w:firstLine="424" w:firstLineChars="177"/>
        <w:rPr>
          <w:rFonts w:ascii="宋体" w:hAnsi="宋体"/>
          <w:color w:val="auto"/>
          <w:sz w:val="24"/>
          <w:highlight w:val="none"/>
        </w:rPr>
      </w:pPr>
      <w:r>
        <w:rPr>
          <w:rFonts w:hint="eastAsia" w:ascii="宋体" w:hAnsi="宋体"/>
          <w:color w:val="auto"/>
          <w:sz w:val="24"/>
          <w:highlight w:val="none"/>
        </w:rPr>
        <w:t>（5）地下管线普查成果更新检查报告；</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（6）地下管线普查成果更新技术总结报告。</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3．其他成果</w:t>
      </w:r>
    </w:p>
    <w:p>
      <w:pPr>
        <w:spacing w:line="360" w:lineRule="auto"/>
        <w:ind w:firstLine="424" w:firstLineChars="177"/>
        <w:rPr>
          <w:rFonts w:ascii="宋体" w:hAnsi="宋体"/>
          <w:color w:val="auto"/>
          <w:sz w:val="24"/>
          <w:highlight w:val="none"/>
        </w:rPr>
      </w:pPr>
      <w:r>
        <w:rPr>
          <w:rFonts w:hint="eastAsia"/>
          <w:color w:val="auto"/>
          <w:sz w:val="24"/>
          <w:highlight w:val="none"/>
        </w:rPr>
        <w:t>成都市地下管线普查成果更新工作领导小组办公室和甲方规定的其他成果。</w:t>
      </w:r>
    </w:p>
    <w:p>
      <w:pPr>
        <w:pStyle w:val="6"/>
        <w:rPr>
          <w:color w:val="auto"/>
          <w:sz w:val="24"/>
          <w:highlight w:val="none"/>
        </w:rPr>
      </w:pPr>
      <w:r>
        <w:rPr>
          <w:rStyle w:val="169"/>
          <w:rFonts w:hint="default" w:ascii="Times New Roman" w:hAnsi="Times New Roman" w:cstheme="minorBidi"/>
          <w:b/>
          <w:bCs w:val="0"/>
          <w:color w:val="auto"/>
          <w:sz w:val="28"/>
          <w:highlight w:val="none"/>
        </w:rPr>
        <w:t>*</w:t>
      </w:r>
      <w:r>
        <w:rPr>
          <w:rFonts w:hint="eastAsia"/>
          <w:color w:val="auto"/>
          <w:sz w:val="24"/>
          <w:highlight w:val="none"/>
        </w:rPr>
        <w:t>4.3.1.4商务要求</w:t>
      </w:r>
    </w:p>
    <w:p>
      <w:pPr>
        <w:pStyle w:val="7"/>
        <w:rPr>
          <w:rFonts w:ascii="宋体" w:hAnsi="宋体"/>
          <w:color w:val="auto"/>
          <w:sz w:val="24"/>
          <w:highlight w:val="none"/>
        </w:rPr>
      </w:pPr>
      <w:r>
        <w:rPr>
          <w:rFonts w:hint="eastAsia" w:ascii="宋体" w:hAnsi="宋体"/>
          <w:color w:val="auto"/>
          <w:sz w:val="24"/>
          <w:highlight w:val="none"/>
        </w:rPr>
        <w:t>4.3.1.4.1 作业团队配置及设备配置</w:t>
      </w:r>
    </w:p>
    <w:p>
      <w:pPr>
        <w:spacing w:line="360" w:lineRule="auto"/>
        <w:ind w:firstLine="480" w:firstLineChars="200"/>
        <w:rPr>
          <w:rFonts w:ascii="宋体" w:hAnsi="宋体"/>
          <w:i/>
          <w:color w:val="auto"/>
          <w:sz w:val="24"/>
          <w:highlight w:val="none"/>
        </w:rPr>
      </w:pPr>
      <w:r>
        <w:rPr>
          <w:rFonts w:hint="eastAsia" w:ascii="宋体" w:hAnsi="宋体"/>
          <w:color w:val="auto"/>
          <w:sz w:val="24"/>
          <w:highlight w:val="none"/>
        </w:rPr>
        <w:t>1．作业团队配置</w:t>
      </w:r>
    </w:p>
    <w:p>
      <w:pPr>
        <w:spacing w:line="360" w:lineRule="auto"/>
        <w:ind w:firstLine="480" w:firstLineChars="200"/>
        <w:rPr>
          <w:rFonts w:ascii="宋体" w:hAnsi="宋体"/>
          <w:i/>
          <w:color w:val="auto"/>
          <w:sz w:val="24"/>
          <w:szCs w:val="21"/>
          <w:highlight w:val="none"/>
        </w:rPr>
      </w:pPr>
      <w:r>
        <w:rPr>
          <w:rFonts w:hint="eastAsia" w:ascii="宋体" w:hAnsi="宋体"/>
          <w:color w:val="auto"/>
          <w:sz w:val="24"/>
          <w:highlight w:val="none"/>
        </w:rPr>
        <w:t>供应商为本项目配备项目负责人1人、</w:t>
      </w:r>
      <w:r>
        <w:rPr>
          <w:rFonts w:hint="eastAsia" w:ascii="宋体" w:hAnsi="宋体"/>
          <w:color w:val="auto"/>
          <w:sz w:val="24"/>
          <w:szCs w:val="21"/>
          <w:highlight w:val="none"/>
        </w:rPr>
        <w:t>技术负责人</w:t>
      </w:r>
      <w:r>
        <w:rPr>
          <w:rFonts w:hint="eastAsia" w:ascii="宋体" w:hAnsi="宋体"/>
          <w:color w:val="auto"/>
          <w:sz w:val="24"/>
          <w:highlight w:val="none"/>
        </w:rPr>
        <w:t>1人</w:t>
      </w:r>
      <w:r>
        <w:rPr>
          <w:rFonts w:hint="eastAsia" w:ascii="宋体" w:hAnsi="宋体"/>
          <w:color w:val="auto"/>
          <w:sz w:val="24"/>
          <w:szCs w:val="21"/>
          <w:highlight w:val="none"/>
        </w:rPr>
        <w:t>、质量负责人</w:t>
      </w:r>
      <w:r>
        <w:rPr>
          <w:rFonts w:hint="eastAsia" w:ascii="宋体" w:hAnsi="宋体"/>
          <w:color w:val="auto"/>
          <w:sz w:val="24"/>
          <w:highlight w:val="none"/>
        </w:rPr>
        <w:t>1人，</w:t>
      </w:r>
      <w:r>
        <w:rPr>
          <w:rFonts w:hint="eastAsia" w:ascii="宋体" w:hAnsi="宋体"/>
          <w:color w:val="auto"/>
          <w:sz w:val="24"/>
          <w:szCs w:val="21"/>
          <w:highlight w:val="none"/>
        </w:rPr>
        <w:t>以及完成项目所需的探测及测绘人员若干人</w:t>
      </w:r>
      <w:r>
        <w:rPr>
          <w:rFonts w:hint="eastAsia" w:ascii="宋体" w:hAnsi="宋体"/>
          <w:color w:val="auto"/>
          <w:sz w:val="24"/>
          <w:highlight w:val="none"/>
        </w:rPr>
        <w:t>。</w:t>
      </w:r>
    </w:p>
    <w:p>
      <w:pPr>
        <w:spacing w:line="360" w:lineRule="auto"/>
        <w:ind w:firstLine="480" w:firstLineChars="200"/>
        <w:rPr>
          <w:rFonts w:ascii="宋体" w:hAnsi="宋体"/>
          <w:i/>
          <w:color w:val="auto"/>
          <w:sz w:val="24"/>
          <w:szCs w:val="21"/>
          <w:highlight w:val="none"/>
        </w:rPr>
      </w:pPr>
      <w:r>
        <w:rPr>
          <w:rFonts w:hint="eastAsia" w:ascii="宋体" w:hAnsi="宋体"/>
          <w:color w:val="auto"/>
          <w:sz w:val="24"/>
          <w:szCs w:val="21"/>
          <w:highlight w:val="none"/>
        </w:rPr>
        <w:t>2．设备配置</w:t>
      </w:r>
    </w:p>
    <w:p>
      <w:pPr>
        <w:spacing w:line="360" w:lineRule="auto"/>
        <w:ind w:firstLine="480" w:firstLineChars="200"/>
        <w:rPr>
          <w:color w:val="auto"/>
          <w:highlight w:val="none"/>
        </w:rPr>
      </w:pPr>
      <w:r>
        <w:rPr>
          <w:rFonts w:hint="eastAsia" w:ascii="宋体" w:hAnsi="宋体"/>
          <w:color w:val="auto"/>
          <w:sz w:val="24"/>
          <w:szCs w:val="21"/>
          <w:highlight w:val="none"/>
        </w:rPr>
        <w:t>供应商</w:t>
      </w:r>
      <w:r>
        <w:rPr>
          <w:rFonts w:ascii="宋体" w:hAnsi="宋体"/>
          <w:color w:val="auto"/>
          <w:sz w:val="24"/>
          <w:szCs w:val="21"/>
          <w:highlight w:val="none"/>
        </w:rPr>
        <w:t>为本项目配备</w:t>
      </w:r>
      <w:r>
        <w:rPr>
          <w:rFonts w:hint="eastAsia" w:ascii="宋体" w:hAnsi="宋体"/>
          <w:color w:val="auto"/>
          <w:sz w:val="24"/>
          <w:szCs w:val="21"/>
          <w:highlight w:val="none"/>
        </w:rPr>
        <w:t>完成项目所需的</w:t>
      </w:r>
      <w:r>
        <w:rPr>
          <w:rFonts w:ascii="宋体" w:hAnsi="宋体"/>
          <w:color w:val="auto"/>
          <w:sz w:val="24"/>
          <w:szCs w:val="21"/>
          <w:highlight w:val="none"/>
        </w:rPr>
        <w:t>管线探测仪</w:t>
      </w:r>
      <w:r>
        <w:rPr>
          <w:rFonts w:hint="eastAsia" w:ascii="宋体" w:hAnsi="宋体"/>
          <w:color w:val="auto"/>
          <w:sz w:val="24"/>
          <w:szCs w:val="21"/>
          <w:highlight w:val="none"/>
        </w:rPr>
        <w:t>、</w:t>
      </w:r>
      <w:r>
        <w:rPr>
          <w:rFonts w:ascii="宋体" w:hAnsi="宋体"/>
          <w:color w:val="auto"/>
          <w:sz w:val="24"/>
          <w:szCs w:val="21"/>
          <w:highlight w:val="none"/>
        </w:rPr>
        <w:t>G</w:t>
      </w:r>
      <w:r>
        <w:rPr>
          <w:rFonts w:hint="eastAsia" w:ascii="宋体" w:hAnsi="宋体"/>
          <w:color w:val="auto"/>
          <w:sz w:val="24"/>
          <w:szCs w:val="21"/>
          <w:highlight w:val="none"/>
        </w:rPr>
        <w:t>NSS</w:t>
      </w:r>
      <w:r>
        <w:rPr>
          <w:rFonts w:ascii="宋体" w:hAnsi="宋体"/>
          <w:color w:val="auto"/>
          <w:sz w:val="24"/>
          <w:szCs w:val="21"/>
          <w:highlight w:val="none"/>
        </w:rPr>
        <w:t>接收机</w:t>
      </w:r>
      <w:r>
        <w:rPr>
          <w:rFonts w:hint="eastAsia" w:ascii="宋体" w:hAnsi="宋体"/>
          <w:color w:val="auto"/>
          <w:sz w:val="24"/>
          <w:szCs w:val="21"/>
          <w:highlight w:val="none"/>
        </w:rPr>
        <w:t>、</w:t>
      </w:r>
      <w:r>
        <w:rPr>
          <w:rFonts w:ascii="宋体" w:hAnsi="宋体"/>
          <w:color w:val="auto"/>
          <w:sz w:val="24"/>
          <w:szCs w:val="21"/>
          <w:highlight w:val="none"/>
        </w:rPr>
        <w:t>全站仪</w:t>
      </w:r>
      <w:r>
        <w:rPr>
          <w:rFonts w:hint="eastAsia" w:ascii="宋体" w:hAnsi="宋体"/>
          <w:color w:val="auto"/>
          <w:sz w:val="24"/>
          <w:szCs w:val="21"/>
          <w:highlight w:val="none"/>
        </w:rPr>
        <w:t>等必要仪器及设备。</w:t>
      </w:r>
    </w:p>
    <w:p>
      <w:pPr>
        <w:pStyle w:val="7"/>
        <w:rPr>
          <w:rFonts w:ascii="宋体" w:hAnsi="宋体"/>
          <w:color w:val="auto"/>
          <w:sz w:val="24"/>
          <w:highlight w:val="none"/>
        </w:rPr>
      </w:pPr>
      <w:r>
        <w:rPr>
          <w:rFonts w:hint="eastAsia" w:ascii="宋体" w:hAnsi="宋体"/>
          <w:color w:val="auto"/>
          <w:sz w:val="24"/>
          <w:highlight w:val="none"/>
        </w:rPr>
        <w:t>4.3.1.4.2项目保密要求</w:t>
      </w:r>
    </w:p>
    <w:p>
      <w:pPr>
        <w:spacing w:line="360" w:lineRule="auto"/>
        <w:ind w:firstLine="424" w:firstLineChars="177"/>
        <w:rPr>
          <w:color w:val="auto"/>
          <w:highlight w:val="none"/>
        </w:rPr>
      </w:pPr>
      <w:r>
        <w:rPr>
          <w:rFonts w:hint="eastAsia" w:ascii="宋体" w:hAnsi="宋体" w:cs="宋体"/>
          <w:color w:val="auto"/>
          <w:sz w:val="24"/>
          <w:highlight w:val="none"/>
        </w:rPr>
        <w:t>本项目所有资料、成果的所有权归采购人。中标人对本项目所有的成果资料具有保密的义务，不得以任何形式向第三方提供和泄露，不得利用本项目成果资料生产其它任何形式的产品，本项目终止时应将所有资料移交给采购人，不得作任何形式的保留。</w:t>
      </w:r>
    </w:p>
    <w:p>
      <w:pPr>
        <w:pStyle w:val="7"/>
        <w:rPr>
          <w:rFonts w:ascii="宋体" w:hAnsi="宋体"/>
          <w:color w:val="auto"/>
          <w:sz w:val="24"/>
          <w:highlight w:val="none"/>
        </w:rPr>
      </w:pPr>
      <w:r>
        <w:rPr>
          <w:rFonts w:hint="eastAsia" w:ascii="宋体" w:hAnsi="宋体"/>
          <w:color w:val="auto"/>
          <w:sz w:val="24"/>
          <w:highlight w:val="none"/>
        </w:rPr>
        <w:t>4.3.1.4.3售后服务</w:t>
      </w:r>
    </w:p>
    <w:p>
      <w:pPr>
        <w:tabs>
          <w:tab w:val="left" w:pos="7560"/>
        </w:tabs>
        <w:adjustRightInd w:val="0"/>
        <w:snapToGrid w:val="0"/>
        <w:spacing w:line="360" w:lineRule="auto"/>
        <w:ind w:firstLine="480" w:firstLineChars="200"/>
        <w:rPr>
          <w:rFonts w:ascii="宋体" w:hAnsi="宋体"/>
          <w:i/>
          <w:color w:val="auto"/>
          <w:sz w:val="24"/>
          <w:highlight w:val="none"/>
        </w:rPr>
      </w:pPr>
      <w:r>
        <w:rPr>
          <w:rFonts w:hint="eastAsia" w:ascii="宋体" w:hAnsi="宋体"/>
          <w:color w:val="auto"/>
          <w:sz w:val="24"/>
          <w:highlight w:val="none"/>
        </w:rPr>
        <w:t>1.</w:t>
      </w:r>
      <w:r>
        <w:rPr>
          <w:rFonts w:hint="eastAsia" w:ascii="宋体" w:hAnsi="宋体" w:cs="宋体"/>
          <w:color w:val="auto"/>
          <w:sz w:val="24"/>
          <w:highlight w:val="none"/>
        </w:rPr>
        <w:t>中</w:t>
      </w:r>
      <w:r>
        <w:rPr>
          <w:rFonts w:ascii="宋体" w:hAnsi="宋体"/>
          <w:color w:val="auto"/>
          <w:sz w:val="24"/>
          <w:highlight w:val="none"/>
        </w:rPr>
        <w:t>标人需要有完整的技术支持体系和售后服务体系，</w:t>
      </w:r>
      <w:r>
        <w:rPr>
          <w:rFonts w:hint="eastAsia" w:ascii="宋体" w:hAnsi="宋体" w:cs="宋体"/>
          <w:color w:val="auto"/>
          <w:sz w:val="24"/>
          <w:highlight w:val="none"/>
        </w:rPr>
        <w:t>中</w:t>
      </w:r>
      <w:r>
        <w:rPr>
          <w:rFonts w:ascii="宋体" w:hAnsi="宋体"/>
          <w:color w:val="auto"/>
          <w:sz w:val="24"/>
          <w:highlight w:val="none"/>
        </w:rPr>
        <w:t>标人须为本项目提供一年的免费维护（维护日期从</w:t>
      </w:r>
      <w:r>
        <w:rPr>
          <w:rFonts w:hint="eastAsia" w:ascii="宋体" w:hAnsi="宋体"/>
          <w:color w:val="auto"/>
          <w:sz w:val="24"/>
          <w:highlight w:val="none"/>
        </w:rPr>
        <w:t>项目</w:t>
      </w:r>
      <w:r>
        <w:rPr>
          <w:rFonts w:hint="eastAsia" w:ascii="宋体" w:hAnsi="宋体" w:cs="宋体"/>
          <w:color w:val="auto"/>
          <w:sz w:val="24"/>
          <w:highlight w:val="none"/>
        </w:rPr>
        <w:t>验收</w:t>
      </w:r>
      <w:r>
        <w:rPr>
          <w:rFonts w:ascii="宋体" w:hAnsi="宋体"/>
          <w:color w:val="auto"/>
          <w:sz w:val="24"/>
          <w:highlight w:val="none"/>
        </w:rPr>
        <w:t>之日起计算）；维护内容为</w:t>
      </w:r>
      <w:r>
        <w:rPr>
          <w:rFonts w:hint="eastAsia" w:ascii="宋体" w:hAnsi="宋体" w:cs="宋体"/>
          <w:color w:val="auto"/>
          <w:sz w:val="24"/>
          <w:highlight w:val="none"/>
        </w:rPr>
        <w:t>中</w:t>
      </w:r>
      <w:r>
        <w:rPr>
          <w:rFonts w:ascii="宋体" w:hAnsi="宋体"/>
          <w:color w:val="auto"/>
          <w:sz w:val="24"/>
          <w:highlight w:val="none"/>
        </w:rPr>
        <w:t>标人所提供的全部成果资料。</w:t>
      </w:r>
    </w:p>
    <w:p>
      <w:pPr>
        <w:tabs>
          <w:tab w:val="left" w:pos="7560"/>
        </w:tabs>
        <w:adjustRightInd w:val="0"/>
        <w:snapToGrid w:val="0"/>
        <w:spacing w:line="360" w:lineRule="auto"/>
        <w:ind w:firstLine="480" w:firstLineChars="200"/>
        <w:rPr>
          <w:rFonts w:ascii="宋体" w:hAnsi="宋体"/>
          <w:i/>
          <w:color w:val="auto"/>
          <w:sz w:val="24"/>
          <w:highlight w:val="none"/>
        </w:rPr>
      </w:pPr>
      <w:r>
        <w:rPr>
          <w:rFonts w:hint="eastAsia" w:ascii="宋体" w:hAnsi="宋体"/>
          <w:color w:val="auto"/>
          <w:sz w:val="24"/>
          <w:highlight w:val="none"/>
        </w:rPr>
        <w:t>2.</w:t>
      </w:r>
      <w:r>
        <w:rPr>
          <w:rFonts w:ascii="宋体" w:hAnsi="宋体"/>
          <w:color w:val="auto"/>
          <w:sz w:val="24"/>
          <w:highlight w:val="none"/>
        </w:rPr>
        <w:t>为保证技术支持和售后服务工作的有效进行，要求参与技术支持和售后服务人员应具备下列基本条件：</w:t>
      </w:r>
    </w:p>
    <w:p>
      <w:pPr>
        <w:tabs>
          <w:tab w:val="left" w:pos="7560"/>
        </w:tabs>
        <w:adjustRightInd w:val="0"/>
        <w:snapToGrid w:val="0"/>
        <w:spacing w:line="360" w:lineRule="auto"/>
        <w:ind w:firstLine="480" w:firstLineChars="200"/>
        <w:rPr>
          <w:rFonts w:ascii="宋体" w:hAnsi="宋体"/>
          <w:i/>
          <w:color w:val="auto"/>
          <w:sz w:val="24"/>
          <w:highlight w:val="none"/>
        </w:rPr>
      </w:pPr>
      <w:r>
        <w:rPr>
          <w:rFonts w:ascii="宋体" w:hAnsi="宋体"/>
          <w:color w:val="auto"/>
          <w:sz w:val="24"/>
          <w:highlight w:val="none"/>
        </w:rPr>
        <w:t>（1）主要负责人参与了本项目的</w:t>
      </w:r>
      <w:r>
        <w:rPr>
          <w:rFonts w:hint="eastAsia" w:ascii="宋体" w:hAnsi="宋体"/>
          <w:color w:val="auto"/>
          <w:sz w:val="24"/>
          <w:highlight w:val="none"/>
        </w:rPr>
        <w:t>地下管线</w:t>
      </w:r>
      <w:r>
        <w:rPr>
          <w:rFonts w:ascii="宋体" w:hAnsi="宋体"/>
          <w:color w:val="auto"/>
          <w:sz w:val="24"/>
          <w:highlight w:val="none"/>
        </w:rPr>
        <w:t>普查工作；</w:t>
      </w:r>
    </w:p>
    <w:p>
      <w:pPr>
        <w:tabs>
          <w:tab w:val="left" w:pos="7560"/>
        </w:tabs>
        <w:adjustRightInd w:val="0"/>
        <w:snapToGrid w:val="0"/>
        <w:spacing w:line="360" w:lineRule="auto"/>
        <w:ind w:firstLine="480" w:firstLineChars="200"/>
        <w:rPr>
          <w:rFonts w:ascii="宋体" w:hAnsi="宋体"/>
          <w:i/>
          <w:color w:val="auto"/>
          <w:sz w:val="24"/>
          <w:highlight w:val="none"/>
        </w:rPr>
      </w:pPr>
      <w:r>
        <w:rPr>
          <w:rFonts w:ascii="宋体" w:hAnsi="宋体"/>
          <w:color w:val="auto"/>
          <w:sz w:val="24"/>
          <w:highlight w:val="none"/>
        </w:rPr>
        <w:t>（2）熟练掌握本项目的相关技术。</w:t>
      </w:r>
    </w:p>
    <w:p>
      <w:pPr>
        <w:spacing w:line="360" w:lineRule="auto"/>
        <w:ind w:firstLine="480" w:firstLineChars="200"/>
        <w:rPr>
          <w:rFonts w:eastAsia="仿宋"/>
          <w:color w:val="auto"/>
          <w:sz w:val="30"/>
          <w:szCs w:val="30"/>
          <w:highlight w:val="none"/>
        </w:rPr>
      </w:pPr>
      <w:r>
        <w:rPr>
          <w:rFonts w:hint="eastAsia" w:ascii="宋体" w:hAnsi="宋体"/>
          <w:color w:val="auto"/>
          <w:sz w:val="24"/>
          <w:highlight w:val="none"/>
        </w:rPr>
        <w:t>3.在一年的免费维护期内</w:t>
      </w:r>
      <w:r>
        <w:rPr>
          <w:rFonts w:ascii="宋体" w:hAnsi="宋体"/>
          <w:color w:val="auto"/>
          <w:sz w:val="24"/>
          <w:highlight w:val="none"/>
        </w:rPr>
        <w:t>提供</w:t>
      </w:r>
      <w:r>
        <w:rPr>
          <w:rFonts w:hint="eastAsia" w:ascii="宋体" w:hAnsi="宋体"/>
          <w:color w:val="auto"/>
          <w:sz w:val="24"/>
          <w:highlight w:val="none"/>
        </w:rPr>
        <w:t>每日12</w:t>
      </w:r>
      <w:r>
        <w:rPr>
          <w:rFonts w:ascii="宋体" w:hAnsi="宋体"/>
          <w:color w:val="auto"/>
          <w:sz w:val="24"/>
          <w:highlight w:val="none"/>
        </w:rPr>
        <w:t>小时服务和技术支持。对采购人的服务通知，在接报后1小时内响应。电话或远程无法解决的问题必须到达现场处理的，交通及其它费用由中标人负责。</w:t>
      </w:r>
    </w:p>
    <w:p>
      <w:pPr>
        <w:pStyle w:val="7"/>
        <w:rPr>
          <w:rFonts w:ascii="宋体" w:hAnsi="宋体"/>
          <w:color w:val="auto"/>
          <w:sz w:val="24"/>
          <w:highlight w:val="none"/>
        </w:rPr>
      </w:pPr>
      <w:r>
        <w:rPr>
          <w:rFonts w:hint="eastAsia" w:ascii="宋体" w:hAnsi="宋体"/>
          <w:color w:val="auto"/>
          <w:sz w:val="24"/>
          <w:highlight w:val="none"/>
        </w:rPr>
        <w:t>4.3.1.4.4工期要求</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1.中标人完成地下管线普查成果更新工作，并经监理检查合格后，管线成果可分批提交管线权属单位进行成果核验，最终完成时间不晚于2021年12月31日。</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2.人全力配合管线权属单位对</w:t>
      </w:r>
      <w:r>
        <w:rPr>
          <w:rFonts w:hint="eastAsia" w:ascii="宋体" w:hAnsi="宋体" w:cs="仿宋"/>
          <w:color w:val="auto"/>
          <w:sz w:val="24"/>
          <w:highlight w:val="none"/>
        </w:rPr>
        <w:t>提交的地下管线普查更新成果进行核验，并对</w:t>
      </w:r>
      <w:r>
        <w:rPr>
          <w:rFonts w:hint="eastAsia" w:ascii="宋体" w:hAnsi="宋体"/>
          <w:color w:val="auto"/>
          <w:sz w:val="24"/>
          <w:highlight w:val="none"/>
        </w:rPr>
        <w:t>核验过程中的相关问题进行整改，最终完成时间不晚于2022年4月30日。</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3.中标人全力配合采购人组织的测绘成果质检</w:t>
      </w:r>
      <w:r>
        <w:rPr>
          <w:rFonts w:ascii="宋体" w:hAnsi="宋体"/>
          <w:color w:val="auto"/>
          <w:sz w:val="24"/>
          <w:highlight w:val="none"/>
        </w:rPr>
        <w:t>机构</w:t>
      </w:r>
      <w:r>
        <w:rPr>
          <w:rFonts w:hint="eastAsia" w:ascii="宋体" w:hAnsi="宋体"/>
          <w:color w:val="auto"/>
          <w:sz w:val="24"/>
          <w:highlight w:val="none"/>
        </w:rPr>
        <w:t>对普查更新成果进行质量检验，并对质检过程中的相关问题进行整改，最终完成时间不晚于2022年6月30日。</w:t>
      </w:r>
    </w:p>
    <w:p>
      <w:pPr>
        <w:spacing w:line="360" w:lineRule="auto"/>
        <w:ind w:firstLine="484" w:firstLineChars="202"/>
        <w:rPr>
          <w:rFonts w:ascii="宋体" w:hAnsi="宋体"/>
          <w:color w:val="auto"/>
          <w:sz w:val="24"/>
          <w:highlight w:val="none"/>
        </w:rPr>
      </w:pPr>
      <w:r>
        <w:rPr>
          <w:rFonts w:hint="eastAsia" w:ascii="宋体" w:hAnsi="宋体"/>
          <w:color w:val="auto"/>
          <w:sz w:val="24"/>
          <w:highlight w:val="none"/>
        </w:rPr>
        <w:t>4.中标人全力配合采购人对地下管线普查成果进行汇交、数据整合检查及数据入库工作，最终完成时间不晚于2022年10月31日。</w:t>
      </w:r>
    </w:p>
    <w:p>
      <w:pPr>
        <w:spacing w:line="360" w:lineRule="auto"/>
        <w:ind w:firstLine="484" w:firstLineChars="202"/>
        <w:rPr>
          <w:color w:val="auto"/>
          <w:sz w:val="24"/>
          <w:highlight w:val="none"/>
        </w:rPr>
      </w:pPr>
      <w:r>
        <w:rPr>
          <w:rFonts w:hint="eastAsia"/>
          <w:color w:val="auto"/>
          <w:sz w:val="24"/>
          <w:highlight w:val="none"/>
        </w:rPr>
        <w:t>注：由采购人（或经采购人认可的第三方）原因导致供应商未能按期完成项目的，则工期顺延，但顺延时间不能超过采购人（或采购人认可的第三方）原因所影响的时间。0</w:t>
      </w:r>
    </w:p>
    <w:p>
      <w:pPr>
        <w:pStyle w:val="7"/>
        <w:rPr>
          <w:rFonts w:ascii="宋体" w:hAnsi="宋体"/>
          <w:color w:val="auto"/>
          <w:sz w:val="24"/>
          <w:highlight w:val="none"/>
        </w:rPr>
      </w:pPr>
      <w:r>
        <w:rPr>
          <w:rFonts w:hint="eastAsia" w:ascii="宋体" w:hAnsi="宋体"/>
          <w:color w:val="auto"/>
          <w:sz w:val="24"/>
          <w:highlight w:val="none"/>
        </w:rPr>
        <w:t>4.3.1.4.5合同价款</w:t>
      </w:r>
    </w:p>
    <w:p>
      <w:pPr>
        <w:spacing w:line="360" w:lineRule="auto"/>
        <w:ind w:firstLine="465"/>
        <w:jc w:val="left"/>
        <w:rPr>
          <w:rFonts w:ascii="宋体" w:hAnsi="宋体" w:cs="宋体"/>
          <w:b/>
          <w:color w:val="auto"/>
          <w:sz w:val="24"/>
          <w:highlight w:val="none"/>
        </w:rPr>
      </w:pPr>
      <w:r>
        <w:rPr>
          <w:rFonts w:hint="eastAsia" w:ascii="宋体" w:hAnsi="宋体" w:cs="宋体"/>
          <w:b/>
          <w:color w:val="auto"/>
          <w:sz w:val="24"/>
          <w:highlight w:val="none"/>
        </w:rPr>
        <w:t>1．合同为单价合同，合同总金额不超过本包件的中标金额。</w:t>
      </w:r>
    </w:p>
    <w:p>
      <w:pPr>
        <w:spacing w:line="360" w:lineRule="auto"/>
        <w:ind w:firstLine="426" w:firstLineChars="177"/>
        <w:rPr>
          <w:rFonts w:ascii="宋体" w:hAnsi="宋体" w:cs="宋体"/>
          <w:b/>
          <w:color w:val="auto"/>
          <w:sz w:val="24"/>
          <w:highlight w:val="none"/>
        </w:rPr>
      </w:pPr>
      <w:r>
        <w:rPr>
          <w:rFonts w:hint="eastAsia" w:ascii="宋体" w:hAnsi="宋体" w:cs="宋体"/>
          <w:b/>
          <w:color w:val="auto"/>
          <w:sz w:val="24"/>
          <w:highlight w:val="none"/>
        </w:rPr>
        <w:t>2．合同总金额=（全野外探测单价</w:t>
      </w:r>
      <w:r>
        <w:rPr>
          <w:rFonts w:ascii="宋体" w:hAnsi="宋体"/>
          <w:b/>
          <w:color w:val="auto"/>
          <w:sz w:val="24"/>
          <w:highlight w:val="none"/>
        </w:rPr>
        <w:t>×</w:t>
      </w:r>
      <w:r>
        <w:rPr>
          <w:rFonts w:hint="eastAsia" w:ascii="宋体" w:hAnsi="宋体" w:cs="宋体"/>
          <w:b/>
          <w:color w:val="auto"/>
          <w:sz w:val="24"/>
          <w:highlight w:val="none"/>
        </w:rPr>
        <w:t>全野外探测实际提交长度）+（内外业结合核实探测单价</w:t>
      </w:r>
      <w:r>
        <w:rPr>
          <w:rFonts w:ascii="宋体" w:hAnsi="宋体"/>
          <w:b/>
          <w:color w:val="auto"/>
          <w:sz w:val="24"/>
          <w:highlight w:val="none"/>
        </w:rPr>
        <w:t>×</w:t>
      </w:r>
      <w:r>
        <w:rPr>
          <w:rFonts w:hint="eastAsia" w:ascii="宋体" w:hAnsi="宋体" w:cs="宋体"/>
          <w:b/>
          <w:color w:val="auto"/>
          <w:sz w:val="24"/>
          <w:highlight w:val="none"/>
        </w:rPr>
        <w:t>内外业结合核实探测实际提交长度），实际提交长度为入库合格后的全野外探测、内外业结合核实探测管线长度。合同总金额超出本包件的中标金额时按照中标金额结算。</w:t>
      </w:r>
    </w:p>
    <w:p>
      <w:pPr>
        <w:spacing w:line="360" w:lineRule="auto"/>
        <w:ind w:firstLine="465"/>
        <w:jc w:val="left"/>
        <w:rPr>
          <w:rFonts w:ascii="宋体" w:hAnsi="宋体" w:cs="宋体"/>
          <w:b/>
          <w:color w:val="auto"/>
          <w:sz w:val="24"/>
          <w:highlight w:val="none"/>
        </w:rPr>
      </w:pPr>
      <w:r>
        <w:rPr>
          <w:rFonts w:hint="eastAsia" w:ascii="宋体" w:hAnsi="宋体" w:cs="宋体"/>
          <w:b/>
          <w:color w:val="auto"/>
          <w:sz w:val="24"/>
          <w:highlight w:val="none"/>
        </w:rPr>
        <w:t>3．可直接利用的地下管线普查成果不计入经费计算。</w:t>
      </w:r>
    </w:p>
    <w:p>
      <w:pPr>
        <w:pStyle w:val="7"/>
        <w:rPr>
          <w:rFonts w:ascii="宋体" w:hAnsi="宋体"/>
          <w:color w:val="auto"/>
          <w:sz w:val="24"/>
          <w:highlight w:val="none"/>
        </w:rPr>
      </w:pPr>
      <w:r>
        <w:rPr>
          <w:rFonts w:ascii="Times New Roman" w:hAnsi="Times New Roman"/>
          <w:color w:val="auto"/>
          <w:sz w:val="24"/>
          <w:highlight w:val="none"/>
        </w:rPr>
        <w:t>4.3.1.4.6</w:t>
      </w:r>
      <w:r>
        <w:rPr>
          <w:rFonts w:hint="eastAsia" w:ascii="宋体" w:hAnsi="宋体"/>
          <w:color w:val="auto"/>
          <w:sz w:val="24"/>
          <w:highlight w:val="none"/>
        </w:rPr>
        <w:t>付款方式</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合同签订后15</w:t>
      </w:r>
      <w:r>
        <w:rPr>
          <w:rFonts w:hint="eastAsia" w:ascii="宋体" w:hAnsi="宋体"/>
          <w:color w:val="auto"/>
          <w:sz w:val="24"/>
          <w:highlight w:val="none"/>
        </w:rPr>
        <w:t>个工作</w:t>
      </w:r>
      <w:r>
        <w:rPr>
          <w:rFonts w:ascii="宋体" w:hAnsi="宋体"/>
          <w:color w:val="auto"/>
          <w:sz w:val="24"/>
          <w:highlight w:val="none"/>
        </w:rPr>
        <w:t>日内，</w:t>
      </w:r>
      <w:r>
        <w:rPr>
          <w:rFonts w:hint="eastAsia" w:ascii="宋体" w:hAnsi="宋体"/>
          <w:color w:val="auto"/>
          <w:sz w:val="24"/>
          <w:highlight w:val="none"/>
        </w:rPr>
        <w:t>采购人</w:t>
      </w:r>
      <w:r>
        <w:rPr>
          <w:rFonts w:ascii="宋体" w:hAnsi="宋体"/>
          <w:color w:val="auto"/>
          <w:sz w:val="24"/>
          <w:highlight w:val="none"/>
        </w:rPr>
        <w:t>向</w:t>
      </w:r>
      <w:r>
        <w:rPr>
          <w:rFonts w:hint="eastAsia" w:ascii="宋体" w:hAnsi="宋体"/>
          <w:color w:val="auto"/>
          <w:sz w:val="24"/>
          <w:highlight w:val="none"/>
        </w:rPr>
        <w:t>中标人</w:t>
      </w:r>
      <w:r>
        <w:rPr>
          <w:rFonts w:ascii="宋体" w:hAnsi="宋体"/>
          <w:color w:val="auto"/>
          <w:sz w:val="24"/>
          <w:highlight w:val="none"/>
        </w:rPr>
        <w:t>支付</w:t>
      </w:r>
      <w:r>
        <w:rPr>
          <w:rFonts w:hint="eastAsia" w:ascii="宋体" w:hAnsi="宋体"/>
          <w:color w:val="auto"/>
          <w:sz w:val="24"/>
          <w:highlight w:val="none"/>
        </w:rPr>
        <w:t>预算金额</w:t>
      </w:r>
      <w:r>
        <w:rPr>
          <w:rFonts w:ascii="宋体" w:hAnsi="宋体"/>
          <w:color w:val="auto"/>
          <w:sz w:val="24"/>
          <w:highlight w:val="none"/>
        </w:rPr>
        <w:t>的</w:t>
      </w:r>
      <w:r>
        <w:rPr>
          <w:rFonts w:hint="eastAsia" w:ascii="宋体" w:hAnsi="宋体"/>
          <w:color w:val="auto"/>
          <w:sz w:val="24"/>
          <w:highlight w:val="none"/>
          <w:u w:val="single"/>
        </w:rPr>
        <w:t xml:space="preserve"> 30 </w:t>
      </w:r>
      <w:r>
        <w:rPr>
          <w:rFonts w:ascii="宋体" w:hAnsi="宋体"/>
          <w:color w:val="auto"/>
          <w:sz w:val="24"/>
          <w:highlight w:val="none"/>
        </w:rPr>
        <w:t>%</w:t>
      </w:r>
      <w:r>
        <w:rPr>
          <w:rFonts w:hint="eastAsia" w:ascii="宋体" w:hAnsi="宋体"/>
          <w:color w:val="auto"/>
          <w:sz w:val="24"/>
          <w:highlight w:val="none"/>
        </w:rPr>
        <w:t>作为首付款</w:t>
      </w:r>
      <w:r>
        <w:rPr>
          <w:rFonts w:hint="eastAsia" w:ascii="宋体" w:hAnsi="宋体" w:cs="宋体"/>
          <w:b/>
          <w:color w:val="auto"/>
          <w:sz w:val="24"/>
          <w:highlight w:val="none"/>
        </w:rPr>
        <w:t>。</w:t>
      </w:r>
    </w:p>
    <w:p>
      <w:pPr>
        <w:spacing w:line="360" w:lineRule="auto"/>
        <w:ind w:firstLine="480" w:firstLineChars="200"/>
        <w:rPr>
          <w:rFonts w:ascii="宋体" w:hAnsi="宋体"/>
          <w:bCs/>
          <w:color w:val="auto"/>
          <w:sz w:val="24"/>
          <w:highlight w:val="none"/>
        </w:rPr>
      </w:pPr>
      <w:r>
        <w:rPr>
          <w:rFonts w:hint="eastAsia" w:ascii="宋体" w:hAnsi="宋体"/>
          <w:color w:val="auto"/>
          <w:sz w:val="24"/>
          <w:highlight w:val="none"/>
        </w:rPr>
        <w:t>2． 2022年4月底前</w:t>
      </w:r>
      <w:r>
        <w:rPr>
          <w:rFonts w:hint="eastAsia" w:ascii="宋体" w:hAnsi="宋体"/>
          <w:i/>
          <w:iCs/>
          <w:color w:val="auto"/>
          <w:sz w:val="24"/>
          <w:highlight w:val="none"/>
        </w:rPr>
        <w:t>，</w:t>
      </w:r>
      <w:r>
        <w:rPr>
          <w:rFonts w:hint="eastAsia"/>
          <w:color w:val="auto"/>
          <w:sz w:val="24"/>
          <w:highlight w:val="none"/>
        </w:rPr>
        <w:t>采购人</w:t>
      </w:r>
      <w:r>
        <w:rPr>
          <w:rFonts w:hint="eastAsia" w:ascii="宋体" w:hAnsi="宋体"/>
          <w:color w:val="auto"/>
          <w:sz w:val="24"/>
          <w:highlight w:val="none"/>
        </w:rPr>
        <w:t>向中标人支付第一次进度款。第一次进度款=（全野外探测单价</w:t>
      </w:r>
      <w:r>
        <w:rPr>
          <w:rFonts w:ascii="宋体" w:hAnsi="宋体"/>
          <w:color w:val="auto"/>
          <w:sz w:val="24"/>
          <w:highlight w:val="none"/>
        </w:rPr>
        <w:t>×</w:t>
      </w:r>
      <w:r>
        <w:rPr>
          <w:rFonts w:hint="eastAsia" w:ascii="宋体" w:hAnsi="宋体"/>
          <w:color w:val="auto"/>
          <w:sz w:val="24"/>
          <w:highlight w:val="none"/>
        </w:rPr>
        <w:t>全野外探测实际提交长度+内外业结合核实探测单价</w:t>
      </w:r>
      <w:r>
        <w:rPr>
          <w:rFonts w:ascii="宋体" w:hAnsi="宋体"/>
          <w:color w:val="auto"/>
          <w:sz w:val="24"/>
          <w:highlight w:val="none"/>
        </w:rPr>
        <w:t>×</w:t>
      </w:r>
      <w:r>
        <w:rPr>
          <w:rFonts w:hint="eastAsia" w:ascii="宋体" w:hAnsi="宋体"/>
          <w:color w:val="auto"/>
          <w:sz w:val="24"/>
          <w:highlight w:val="none"/>
        </w:rPr>
        <w:t>内外业结合核实探测实际提交长度）</w:t>
      </w:r>
      <w:r>
        <w:rPr>
          <w:rFonts w:ascii="宋体" w:hAnsi="宋体"/>
          <w:color w:val="auto"/>
          <w:sz w:val="24"/>
          <w:highlight w:val="none"/>
        </w:rPr>
        <w:t>×</w:t>
      </w:r>
      <w:r>
        <w:rPr>
          <w:rFonts w:hint="eastAsia" w:ascii="宋体" w:hAnsi="宋体"/>
          <w:color w:val="auto"/>
          <w:sz w:val="24"/>
          <w:highlight w:val="none"/>
        </w:rPr>
        <w:t>60%-首付款，</w:t>
      </w:r>
      <w:r>
        <w:rPr>
          <w:rFonts w:hint="eastAsia" w:ascii="宋体" w:hAnsi="宋体" w:cs="宋体"/>
          <w:color w:val="auto"/>
          <w:sz w:val="24"/>
          <w:highlight w:val="none"/>
        </w:rPr>
        <w:t>若第一次进度款计算值为零或负数，则不支付。第一次进度款</w:t>
      </w:r>
      <w:r>
        <w:rPr>
          <w:rFonts w:hint="eastAsia" w:ascii="宋体" w:hAnsi="宋体"/>
          <w:color w:val="auto"/>
          <w:sz w:val="24"/>
          <w:highlight w:val="none"/>
        </w:rPr>
        <w:t>中实际提交长</w:t>
      </w:r>
      <w:r>
        <w:rPr>
          <w:rFonts w:hint="eastAsia" w:ascii="宋体" w:hAnsi="宋体" w:cs="宋体"/>
          <w:bCs/>
          <w:color w:val="auto"/>
          <w:sz w:val="24"/>
          <w:highlight w:val="none"/>
        </w:rPr>
        <w:t>度为经监理单位检查合格</w:t>
      </w:r>
      <w:r>
        <w:rPr>
          <w:rFonts w:hint="eastAsia" w:ascii="宋体" w:hAnsi="宋体" w:cs="宋体"/>
          <w:color w:val="auto"/>
          <w:sz w:val="24"/>
          <w:highlight w:val="none"/>
        </w:rPr>
        <w:t>的管线长度。</w:t>
      </w:r>
    </w:p>
    <w:p>
      <w:pPr>
        <w:spacing w:line="360" w:lineRule="auto"/>
        <w:ind w:firstLine="424" w:firstLineChars="177"/>
        <w:rPr>
          <w:color w:val="auto"/>
          <w:highlight w:val="none"/>
        </w:rPr>
      </w:pPr>
      <w:r>
        <w:rPr>
          <w:rFonts w:hint="eastAsia" w:ascii="宋体" w:hAnsi="宋体"/>
          <w:color w:val="auto"/>
          <w:sz w:val="24"/>
          <w:highlight w:val="none"/>
        </w:rPr>
        <w:t>3．中标人将管线普查成果全部提交完毕并经测绘成果</w:t>
      </w:r>
      <w:r>
        <w:rPr>
          <w:rFonts w:ascii="宋体" w:hAnsi="宋体"/>
          <w:color w:val="auto"/>
          <w:sz w:val="24"/>
          <w:highlight w:val="none"/>
        </w:rPr>
        <w:t>质量检验机构检验合格后，</w:t>
      </w:r>
      <w:r>
        <w:rPr>
          <w:rFonts w:hint="eastAsia" w:ascii="宋体" w:hAnsi="宋体"/>
          <w:color w:val="auto"/>
          <w:sz w:val="24"/>
          <w:highlight w:val="none"/>
        </w:rPr>
        <w:t>于</w:t>
      </w:r>
      <w:r>
        <w:rPr>
          <w:rFonts w:ascii="宋体" w:hAnsi="宋体"/>
          <w:color w:val="auto"/>
          <w:sz w:val="24"/>
          <w:highlight w:val="none"/>
        </w:rPr>
        <w:t>15</w:t>
      </w:r>
      <w:r>
        <w:rPr>
          <w:rFonts w:hint="eastAsia" w:ascii="宋体" w:hAnsi="宋体"/>
          <w:color w:val="auto"/>
          <w:sz w:val="24"/>
          <w:highlight w:val="none"/>
        </w:rPr>
        <w:t>个工作</w:t>
      </w:r>
      <w:r>
        <w:rPr>
          <w:rFonts w:ascii="宋体" w:hAnsi="宋体"/>
          <w:color w:val="auto"/>
          <w:sz w:val="24"/>
          <w:highlight w:val="none"/>
        </w:rPr>
        <w:t>日</w:t>
      </w:r>
      <w:r>
        <w:rPr>
          <w:rFonts w:hint="eastAsia" w:ascii="宋体" w:hAnsi="宋体"/>
          <w:color w:val="auto"/>
          <w:sz w:val="24"/>
          <w:highlight w:val="none"/>
        </w:rPr>
        <w:t>内采购人向中标人支付第二次进度款。第二次进度款=（全野外探测单价</w:t>
      </w:r>
      <w:r>
        <w:rPr>
          <w:rFonts w:ascii="宋体" w:hAnsi="宋体"/>
          <w:color w:val="auto"/>
          <w:sz w:val="24"/>
          <w:highlight w:val="none"/>
        </w:rPr>
        <w:t>×</w:t>
      </w:r>
      <w:r>
        <w:rPr>
          <w:rFonts w:hint="eastAsia" w:ascii="宋体" w:hAnsi="宋体"/>
          <w:color w:val="auto"/>
          <w:sz w:val="24"/>
          <w:highlight w:val="none"/>
        </w:rPr>
        <w:t>全野外探测实际提交长度+内外业结合核实探测单价</w:t>
      </w:r>
      <w:r>
        <w:rPr>
          <w:rFonts w:ascii="宋体" w:hAnsi="宋体"/>
          <w:color w:val="auto"/>
          <w:sz w:val="24"/>
          <w:highlight w:val="none"/>
        </w:rPr>
        <w:t>×</w:t>
      </w:r>
      <w:r>
        <w:rPr>
          <w:rFonts w:hint="eastAsia" w:ascii="宋体" w:hAnsi="宋体"/>
          <w:color w:val="auto"/>
          <w:sz w:val="24"/>
          <w:highlight w:val="none"/>
        </w:rPr>
        <w:t>内外业结合核实探测实际提交长度）</w:t>
      </w:r>
      <w:r>
        <w:rPr>
          <w:rFonts w:ascii="宋体" w:hAnsi="宋体"/>
          <w:color w:val="auto"/>
          <w:sz w:val="24"/>
          <w:highlight w:val="none"/>
        </w:rPr>
        <w:t>×</w:t>
      </w:r>
      <w:r>
        <w:rPr>
          <w:rFonts w:hint="eastAsia" w:ascii="宋体" w:hAnsi="宋体"/>
          <w:color w:val="auto"/>
          <w:sz w:val="24"/>
          <w:highlight w:val="none"/>
        </w:rPr>
        <w:t>80</w:t>
      </w:r>
      <w:r>
        <w:rPr>
          <w:rFonts w:ascii="宋体" w:hAnsi="宋体"/>
          <w:color w:val="auto"/>
          <w:sz w:val="24"/>
          <w:highlight w:val="none"/>
        </w:rPr>
        <w:t>%</w:t>
      </w:r>
      <w:r>
        <w:rPr>
          <w:rFonts w:hint="eastAsia" w:ascii="宋体" w:hAnsi="宋体"/>
          <w:color w:val="auto"/>
          <w:sz w:val="24"/>
          <w:highlight w:val="none"/>
        </w:rPr>
        <w:t>-首付款-第一次进度款，</w:t>
      </w:r>
      <w:r>
        <w:rPr>
          <w:rFonts w:hint="eastAsia" w:ascii="宋体" w:hAnsi="宋体" w:cs="宋体"/>
          <w:color w:val="auto"/>
          <w:sz w:val="24"/>
          <w:highlight w:val="none"/>
        </w:rPr>
        <w:t>若第二次进度款计算为零或负数，则不支付。</w:t>
      </w:r>
      <w:r>
        <w:rPr>
          <w:rFonts w:hint="eastAsia" w:ascii="宋体" w:hAnsi="宋体"/>
          <w:color w:val="auto"/>
          <w:sz w:val="24"/>
          <w:highlight w:val="none"/>
        </w:rPr>
        <w:t>第二次进度款中</w:t>
      </w:r>
      <w:r>
        <w:rPr>
          <w:rFonts w:hint="eastAsia" w:ascii="宋体" w:hAnsi="宋体" w:cs="宋体"/>
          <w:bCs/>
          <w:color w:val="auto"/>
          <w:sz w:val="24"/>
          <w:highlight w:val="none"/>
        </w:rPr>
        <w:t>实际提交长度为经质量检验合格后</w:t>
      </w:r>
      <w:r>
        <w:rPr>
          <w:rFonts w:hint="eastAsia" w:ascii="宋体" w:hAnsi="宋体" w:cs="宋体"/>
          <w:color w:val="auto"/>
          <w:sz w:val="24"/>
          <w:highlight w:val="none"/>
        </w:rPr>
        <w:t>的管线长度。</w:t>
      </w:r>
    </w:p>
    <w:p>
      <w:pPr>
        <w:spacing w:line="360" w:lineRule="auto"/>
        <w:ind w:firstLine="424" w:firstLineChars="177"/>
        <w:rPr>
          <w:rFonts w:ascii="宋体" w:hAnsi="宋体" w:cs="宋体"/>
          <w:color w:val="auto"/>
          <w:sz w:val="24"/>
          <w:highlight w:val="none"/>
        </w:rPr>
      </w:pPr>
      <w:r>
        <w:rPr>
          <w:rFonts w:hint="eastAsia" w:ascii="宋体" w:hAnsi="宋体"/>
          <w:color w:val="auto"/>
          <w:sz w:val="24"/>
          <w:highlight w:val="none"/>
        </w:rPr>
        <w:t>4．全部普查成果完成整合检查、汇交入库，且项目通过验收后60个工作日内采购人向中标人支付尾款。尾款=</w:t>
      </w:r>
      <w:r>
        <w:rPr>
          <w:rFonts w:hint="eastAsia" w:ascii="宋体" w:hAnsi="宋体" w:cs="宋体"/>
          <w:color w:val="auto"/>
          <w:sz w:val="24"/>
          <w:highlight w:val="none"/>
        </w:rPr>
        <w:t>合同总金额-首付款-第一次进度款-第二次进度款。</w:t>
      </w:r>
    </w:p>
    <w:p>
      <w:pPr>
        <w:spacing w:line="360" w:lineRule="auto"/>
        <w:ind w:firstLine="424" w:firstLineChars="177"/>
        <w:rPr>
          <w:rFonts w:ascii="宋体" w:hAnsi="宋体"/>
          <w:b/>
          <w:color w:val="auto"/>
          <w:sz w:val="24"/>
          <w:highlight w:val="none"/>
        </w:rPr>
      </w:pPr>
      <w:r>
        <w:rPr>
          <w:rFonts w:hint="eastAsia" w:ascii="宋体" w:hAnsi="宋体"/>
          <w:color w:val="auto"/>
          <w:sz w:val="24"/>
          <w:highlight w:val="none"/>
        </w:rPr>
        <w:t>5．支付每笔款项前，中标人须按项目进度及要求提交付款申请，并出具等额的发票。</w:t>
      </w:r>
    </w:p>
    <w:p>
      <w:pPr>
        <w:pStyle w:val="7"/>
        <w:rPr>
          <w:rFonts w:ascii="宋体" w:hAnsi="宋体"/>
          <w:color w:val="auto"/>
          <w:sz w:val="24"/>
          <w:highlight w:val="none"/>
        </w:rPr>
      </w:pPr>
      <w:r>
        <w:rPr>
          <w:rFonts w:ascii="Times New Roman" w:hAnsi="Times New Roman"/>
          <w:color w:val="auto"/>
          <w:sz w:val="24"/>
          <w:highlight w:val="none"/>
        </w:rPr>
        <w:t>4.3.1.4.7</w:t>
      </w:r>
      <w:r>
        <w:rPr>
          <w:rFonts w:hint="eastAsia" w:ascii="宋体" w:hAnsi="宋体"/>
          <w:color w:val="auto"/>
          <w:sz w:val="24"/>
          <w:highlight w:val="none"/>
        </w:rPr>
        <w:t>验收标准</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1.成果全部完成后，中标人将全部成果提交采购人进行质量检验，经采购人委托的测绘成果质检机构质检合格后，由测绘成果质检机构具质量检验报告。</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2.待全部成果通过质量检验合格后，由采购人根据市领导小组办公室相关管理规定对普查成果进行汇交。</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3.普查成果通过数据整合检查及入库后，项目验收由采购人组织实施，中标人与采购人严格按照《财政部关于进一步加强政府采购需求和履约验收管理的指导意见》（财库〔2016〕205号）等相关规定要求进行验收。</w:t>
      </w:r>
    </w:p>
    <w:p>
      <w:pPr>
        <w:pStyle w:val="6"/>
        <w:rPr>
          <w:color w:val="auto"/>
          <w:sz w:val="24"/>
          <w:highlight w:val="none"/>
        </w:rPr>
      </w:pPr>
      <w:r>
        <w:rPr>
          <w:rFonts w:hint="eastAsia"/>
          <w:color w:val="auto"/>
          <w:sz w:val="24"/>
          <w:highlight w:val="none"/>
        </w:rPr>
        <w:t>4.3.1.5附录</w:t>
      </w:r>
    </w:p>
    <w:p>
      <w:pPr>
        <w:pStyle w:val="7"/>
        <w:rPr>
          <w:rFonts w:ascii="宋体" w:hAnsi="宋体"/>
          <w:color w:val="auto"/>
          <w:sz w:val="24"/>
          <w:highlight w:val="none"/>
        </w:rPr>
      </w:pPr>
      <w:r>
        <w:rPr>
          <w:rFonts w:hint="eastAsia" w:ascii="宋体" w:hAnsi="宋体"/>
          <w:color w:val="auto"/>
          <w:sz w:val="24"/>
          <w:highlight w:val="none"/>
        </w:rPr>
        <w:t>4.3.1.5.1附录A 成都市地下管线普查成果更新管线数据规定</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附表A.1 管线点属性结构表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附表A.2 管线线属性结构表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附表A.3 管线面属性结构表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附表A.4 管线辅助点属性结构表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附表A.5 管线辅助线属性结构表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附表A.6 管线注记属性结构表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附表A.7 管线隐患信息属性结构表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附表A.8 管线分类、代号、代码与颜色表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附表A.9 管线要素编码规则</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附表A.10 管线点图例</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附表A.11 管线线型图例及颜色表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附表A.12 管线要素代码表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附表A.13 管线属性值域表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附录B 地下管线探查记录表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附录C 地下管线探查检查记录表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附录D 管线成果表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附录E 地下管线探测安全保护规定</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附录</w:t>
      </w:r>
      <w:r>
        <w:rPr>
          <w:rFonts w:ascii="宋体" w:hAnsi="宋体" w:cs="仿宋"/>
          <w:color w:val="auto"/>
          <w:sz w:val="24"/>
          <w:highlight w:val="none"/>
        </w:rPr>
        <w:t xml:space="preserve">F </w:t>
      </w:r>
      <w:r>
        <w:rPr>
          <w:rFonts w:hint="eastAsia" w:ascii="宋体" w:hAnsi="宋体" w:cs="仿宋"/>
          <w:color w:val="auto"/>
          <w:sz w:val="24"/>
          <w:highlight w:val="none"/>
        </w:rPr>
        <w:t>地下管线普查成果汇交登记表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附录</w:t>
      </w:r>
      <w:r>
        <w:rPr>
          <w:rFonts w:ascii="宋体" w:hAnsi="宋体" w:cs="仿宋"/>
          <w:color w:val="auto"/>
          <w:sz w:val="24"/>
          <w:highlight w:val="none"/>
        </w:rPr>
        <w:t xml:space="preserve">G </w:t>
      </w:r>
      <w:r>
        <w:rPr>
          <w:rFonts w:hint="eastAsia" w:ascii="宋体" w:hAnsi="宋体" w:cs="仿宋"/>
          <w:color w:val="auto"/>
          <w:sz w:val="24"/>
          <w:highlight w:val="none"/>
        </w:rPr>
        <w:t>普查更新成果核验记录表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附录</w:t>
      </w:r>
      <w:r>
        <w:rPr>
          <w:rFonts w:ascii="宋体" w:hAnsi="宋体" w:cs="仿宋"/>
          <w:color w:val="auto"/>
          <w:sz w:val="24"/>
          <w:highlight w:val="none"/>
        </w:rPr>
        <w:t>H</w:t>
      </w:r>
      <w:r>
        <w:rPr>
          <w:rFonts w:hint="eastAsia" w:ascii="宋体" w:hAnsi="宋体" w:cs="仿宋"/>
          <w:color w:val="auto"/>
          <w:sz w:val="24"/>
          <w:highlight w:val="none"/>
        </w:rPr>
        <w:t>普查更新成果核验确认单</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附录</w:t>
      </w:r>
      <w:r>
        <w:rPr>
          <w:rFonts w:ascii="宋体" w:hAnsi="宋体" w:cs="仿宋"/>
          <w:color w:val="auto"/>
          <w:sz w:val="24"/>
          <w:highlight w:val="none"/>
        </w:rPr>
        <w:t>I</w:t>
      </w:r>
      <w:r>
        <w:rPr>
          <w:rFonts w:hint="eastAsia" w:ascii="宋体" w:hAnsi="宋体" w:cs="仿宋"/>
          <w:color w:val="auto"/>
          <w:sz w:val="24"/>
          <w:highlight w:val="none"/>
        </w:rPr>
        <w:t>数据整合检查问题反馈意见表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附录</w:t>
      </w:r>
      <w:r>
        <w:rPr>
          <w:rFonts w:ascii="宋体" w:hAnsi="宋体" w:cs="仿宋"/>
          <w:color w:val="auto"/>
          <w:sz w:val="24"/>
          <w:highlight w:val="none"/>
        </w:rPr>
        <w:t>J</w:t>
      </w:r>
      <w:r>
        <w:rPr>
          <w:rFonts w:hint="eastAsia" w:ascii="宋体" w:hAnsi="宋体" w:cs="仿宋"/>
          <w:color w:val="auto"/>
          <w:sz w:val="24"/>
          <w:highlight w:val="none"/>
        </w:rPr>
        <w:t>数据整合检查问题核实整改情况表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附录</w:t>
      </w:r>
      <w:r>
        <w:rPr>
          <w:rFonts w:ascii="宋体" w:hAnsi="宋体" w:cs="仿宋"/>
          <w:color w:val="auto"/>
          <w:sz w:val="24"/>
          <w:highlight w:val="none"/>
        </w:rPr>
        <w:t>K</w:t>
      </w:r>
      <w:r>
        <w:rPr>
          <w:rFonts w:hint="eastAsia" w:ascii="宋体" w:hAnsi="宋体" w:cs="仿宋"/>
          <w:color w:val="auto"/>
          <w:sz w:val="24"/>
          <w:highlight w:val="none"/>
        </w:rPr>
        <w:t>成都市1:500  1:1000  1:2000地形图分幅技术规定(2020)</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附录L地下管线隐患信息情况明细表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附录M 安全风险隐患类别代码表</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附录N地下管线普查成果更新档案内容清单</w:t>
      </w:r>
    </w:p>
    <w:p>
      <w:pPr>
        <w:spacing w:line="360" w:lineRule="auto"/>
        <w:rPr>
          <w:rFonts w:ascii="宋体" w:hAnsi="宋体" w:cs="宋体"/>
          <w:b/>
          <w:color w:val="auto"/>
          <w:kern w:val="0"/>
          <w:sz w:val="24"/>
          <w:szCs w:val="24"/>
          <w:highlight w:val="none"/>
        </w:rPr>
      </w:pPr>
    </w:p>
    <w:p>
      <w:pPr>
        <w:widowControl/>
        <w:jc w:val="left"/>
        <w:rPr>
          <w:rFonts w:ascii="Times New Roman" w:hAnsi="Times New Roman"/>
          <w:color w:val="auto"/>
          <w:kern w:val="0"/>
          <w:sz w:val="20"/>
          <w:szCs w:val="20"/>
          <w:highlight w:val="none"/>
        </w:rPr>
      </w:pPr>
      <w:r>
        <w:rPr>
          <w:color w:val="auto"/>
          <w:highlight w:val="none"/>
        </w:rPr>
        <w:br w:type="page"/>
      </w:r>
    </w:p>
    <w:p>
      <w:pPr>
        <w:pStyle w:val="5"/>
        <w:rPr>
          <w:color w:val="auto"/>
          <w:highlight w:val="none"/>
        </w:rPr>
      </w:pPr>
      <w:bookmarkStart w:id="265" w:name="_Toc79654081"/>
      <w:r>
        <w:rPr>
          <w:rFonts w:ascii="Times New Roman" w:hAnsi="Times New Roman" w:cs="Times New Roman"/>
          <w:color w:val="auto"/>
          <w:highlight w:val="none"/>
        </w:rPr>
        <w:t>4.3.2</w:t>
      </w:r>
      <w:r>
        <w:rPr>
          <w:rFonts w:hint="eastAsia"/>
          <w:color w:val="auto"/>
          <w:highlight w:val="none"/>
        </w:rPr>
        <w:t>地下管线普查成果更新监理服务（包件6）</w:t>
      </w:r>
      <w:bookmarkEnd w:id="265"/>
    </w:p>
    <w:p>
      <w:pPr>
        <w:pStyle w:val="6"/>
        <w:rPr>
          <w:color w:val="auto"/>
          <w:sz w:val="24"/>
          <w:highlight w:val="none"/>
        </w:rPr>
      </w:pPr>
      <w:r>
        <w:rPr>
          <w:rFonts w:ascii="Times New Roman" w:hAnsi="Times New Roman" w:cs="Times New Roman"/>
          <w:color w:val="auto"/>
          <w:kern w:val="2"/>
          <w:sz w:val="24"/>
          <w:szCs w:val="24"/>
          <w:highlight w:val="none"/>
        </w:rPr>
        <w:t>4.3.2.1</w:t>
      </w:r>
      <w:r>
        <w:rPr>
          <w:rFonts w:hint="eastAsia"/>
          <w:color w:val="auto"/>
          <w:sz w:val="24"/>
          <w:highlight w:val="none"/>
        </w:rPr>
        <w:t>项目概述</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根据《国务院办公厅关于加强城市地下管线建设管理的指导意见》（国办发〔2014〕27号）、《四川省人民政府关于加强城镇地下管线建设管理的意见》（川府发〔2014〕52号）、《住房和城乡建设部工业和信息化部国家广播电视总局国家能源局关于进一步加强城市地下管线建设管理有关工作的通知》（建城〔2019〕100号）等文件要求，结合成都市地下管线普查成果更新工作领导小组印发的《成都市</w:t>
      </w:r>
      <w:r>
        <w:rPr>
          <w:rFonts w:ascii="宋体" w:hAnsi="宋体"/>
          <w:color w:val="auto"/>
          <w:sz w:val="24"/>
          <w:highlight w:val="none"/>
        </w:rPr>
        <w:t>地下管线普查成果更新</w:t>
      </w:r>
      <w:r>
        <w:rPr>
          <w:rFonts w:hint="eastAsia" w:ascii="宋体" w:hAnsi="宋体"/>
          <w:color w:val="auto"/>
          <w:sz w:val="24"/>
          <w:highlight w:val="none"/>
        </w:rPr>
        <w:t>工作</w:t>
      </w:r>
      <w:r>
        <w:rPr>
          <w:rFonts w:ascii="宋体" w:hAnsi="宋体"/>
          <w:color w:val="auto"/>
          <w:sz w:val="24"/>
          <w:highlight w:val="none"/>
        </w:rPr>
        <w:t>方案</w:t>
      </w:r>
      <w:r>
        <w:rPr>
          <w:rFonts w:hint="eastAsia" w:ascii="宋体" w:hAnsi="宋体"/>
          <w:color w:val="auto"/>
          <w:sz w:val="24"/>
          <w:highlight w:val="none"/>
        </w:rPr>
        <w:t>》（成管</w:t>
      </w:r>
      <w:r>
        <w:rPr>
          <w:rFonts w:ascii="宋体" w:hAnsi="宋体"/>
          <w:color w:val="auto"/>
          <w:sz w:val="24"/>
          <w:highlight w:val="none"/>
        </w:rPr>
        <w:t>普领</w:t>
      </w:r>
      <w:r>
        <w:rPr>
          <w:rFonts w:hint="eastAsia" w:ascii="宋体" w:hAnsi="宋体"/>
          <w:color w:val="auto"/>
          <w:sz w:val="24"/>
          <w:highlight w:val="none"/>
        </w:rPr>
        <w:t>〔20</w:t>
      </w:r>
      <w:r>
        <w:rPr>
          <w:rFonts w:ascii="宋体" w:hAnsi="宋体"/>
          <w:color w:val="auto"/>
          <w:sz w:val="24"/>
          <w:highlight w:val="none"/>
        </w:rPr>
        <w:t>20</w:t>
      </w:r>
      <w:r>
        <w:rPr>
          <w:rFonts w:hint="eastAsia" w:ascii="宋体" w:hAnsi="宋体"/>
          <w:color w:val="auto"/>
          <w:sz w:val="24"/>
          <w:highlight w:val="none"/>
        </w:rPr>
        <w:t>〕1号）、领导小组办公室印发的《成都市</w:t>
      </w:r>
      <w:r>
        <w:rPr>
          <w:rFonts w:ascii="宋体" w:hAnsi="宋体"/>
          <w:color w:val="auto"/>
          <w:sz w:val="24"/>
          <w:highlight w:val="none"/>
        </w:rPr>
        <w:t>地下管线普查成果更新</w:t>
      </w:r>
      <w:r>
        <w:rPr>
          <w:rFonts w:hint="eastAsia" w:ascii="宋体" w:hAnsi="宋体"/>
          <w:color w:val="auto"/>
          <w:sz w:val="24"/>
          <w:highlight w:val="none"/>
        </w:rPr>
        <w:t>实施</w:t>
      </w:r>
      <w:r>
        <w:rPr>
          <w:rFonts w:ascii="宋体" w:hAnsi="宋体"/>
          <w:color w:val="auto"/>
          <w:sz w:val="24"/>
          <w:highlight w:val="none"/>
        </w:rPr>
        <w:t>方案</w:t>
      </w:r>
      <w:r>
        <w:rPr>
          <w:rFonts w:hint="eastAsia" w:ascii="宋体" w:hAnsi="宋体"/>
          <w:color w:val="auto"/>
          <w:sz w:val="24"/>
          <w:highlight w:val="none"/>
        </w:rPr>
        <w:t>》（成管</w:t>
      </w:r>
      <w:r>
        <w:rPr>
          <w:rFonts w:ascii="宋体" w:hAnsi="宋体"/>
          <w:color w:val="auto"/>
          <w:sz w:val="24"/>
          <w:highlight w:val="none"/>
        </w:rPr>
        <w:t>普</w:t>
      </w:r>
      <w:r>
        <w:rPr>
          <w:rFonts w:hint="eastAsia" w:ascii="宋体" w:hAnsi="宋体"/>
          <w:color w:val="auto"/>
          <w:sz w:val="24"/>
          <w:highlight w:val="none"/>
        </w:rPr>
        <w:t>办〔20</w:t>
      </w:r>
      <w:r>
        <w:rPr>
          <w:rFonts w:ascii="宋体" w:hAnsi="宋体"/>
          <w:color w:val="auto"/>
          <w:sz w:val="24"/>
          <w:highlight w:val="none"/>
        </w:rPr>
        <w:t>20</w:t>
      </w: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号）及《成都市</w:t>
      </w:r>
      <w:r>
        <w:rPr>
          <w:rFonts w:ascii="宋体" w:hAnsi="宋体"/>
          <w:color w:val="auto"/>
          <w:sz w:val="24"/>
          <w:highlight w:val="none"/>
        </w:rPr>
        <w:t>地下管线普查成果更新</w:t>
      </w:r>
      <w:r>
        <w:rPr>
          <w:rFonts w:hint="eastAsia" w:ascii="宋体" w:hAnsi="宋体"/>
          <w:color w:val="auto"/>
          <w:sz w:val="24"/>
          <w:highlight w:val="none"/>
        </w:rPr>
        <w:t>技术</w:t>
      </w:r>
      <w:r>
        <w:rPr>
          <w:rFonts w:ascii="宋体" w:hAnsi="宋体"/>
          <w:color w:val="auto"/>
          <w:sz w:val="24"/>
          <w:highlight w:val="none"/>
        </w:rPr>
        <w:t>方案</w:t>
      </w:r>
      <w:r>
        <w:rPr>
          <w:rFonts w:hint="eastAsia" w:ascii="宋体" w:hAnsi="宋体"/>
          <w:color w:val="auto"/>
          <w:sz w:val="24"/>
          <w:highlight w:val="none"/>
        </w:rPr>
        <w:t>》（成管</w:t>
      </w:r>
      <w:r>
        <w:rPr>
          <w:rFonts w:ascii="宋体" w:hAnsi="宋体"/>
          <w:color w:val="auto"/>
          <w:sz w:val="24"/>
          <w:highlight w:val="none"/>
        </w:rPr>
        <w:t>普</w:t>
      </w:r>
      <w:r>
        <w:rPr>
          <w:rFonts w:hint="eastAsia" w:ascii="宋体" w:hAnsi="宋体"/>
          <w:color w:val="auto"/>
          <w:sz w:val="24"/>
          <w:highlight w:val="none"/>
        </w:rPr>
        <w:t>办〔20</w:t>
      </w:r>
      <w:r>
        <w:rPr>
          <w:rFonts w:ascii="宋体" w:hAnsi="宋体"/>
          <w:color w:val="auto"/>
          <w:sz w:val="24"/>
          <w:highlight w:val="none"/>
        </w:rPr>
        <w:t>20</w:t>
      </w:r>
      <w:r>
        <w:rPr>
          <w:rFonts w:hint="eastAsia" w:ascii="宋体" w:hAnsi="宋体"/>
          <w:color w:val="auto"/>
          <w:sz w:val="24"/>
          <w:highlight w:val="none"/>
        </w:rPr>
        <w:t>〕7号）等文件</w:t>
      </w:r>
      <w:r>
        <w:rPr>
          <w:rFonts w:ascii="宋体" w:hAnsi="宋体"/>
          <w:color w:val="auto"/>
          <w:sz w:val="24"/>
          <w:highlight w:val="none"/>
        </w:rPr>
        <w:t>通知，，</w:t>
      </w:r>
      <w:r>
        <w:rPr>
          <w:rFonts w:hint="eastAsia" w:ascii="宋体" w:hAnsi="宋体"/>
          <w:color w:val="auto"/>
          <w:sz w:val="24"/>
          <w:highlight w:val="none"/>
        </w:rPr>
        <w:t>在现有地下管线普查成果基础上，开展城市地下管线普查成果更新工作。我区（市）县拟按照上级要求，结合本地实际情况，摸清</w:t>
      </w:r>
      <w:r>
        <w:rPr>
          <w:rFonts w:ascii="宋体" w:hAnsi="宋体"/>
          <w:color w:val="auto"/>
          <w:sz w:val="24"/>
          <w:highlight w:val="none"/>
        </w:rPr>
        <w:t>城市地下管线</w:t>
      </w:r>
      <w:r>
        <w:rPr>
          <w:rFonts w:hint="eastAsia" w:ascii="宋体" w:hAnsi="宋体"/>
          <w:color w:val="auto"/>
          <w:sz w:val="24"/>
          <w:highlight w:val="none"/>
        </w:rPr>
        <w:t>现状</w:t>
      </w:r>
      <w:r>
        <w:rPr>
          <w:rFonts w:ascii="宋体" w:hAnsi="宋体"/>
          <w:color w:val="auto"/>
          <w:sz w:val="24"/>
          <w:highlight w:val="none"/>
        </w:rPr>
        <w:t>和短板，加强基础数据整合，实现地下管线基础信息标准化、数字化管理，建立健全地下管线基础信息</w:t>
      </w:r>
      <w:r>
        <w:rPr>
          <w:rFonts w:hint="eastAsia" w:ascii="宋体" w:hAnsi="宋体"/>
          <w:color w:val="auto"/>
          <w:sz w:val="24"/>
          <w:highlight w:val="none"/>
        </w:rPr>
        <w:t>动</w:t>
      </w:r>
      <w:r>
        <w:rPr>
          <w:rFonts w:ascii="宋体" w:hAnsi="宋体"/>
          <w:color w:val="auto"/>
          <w:sz w:val="24"/>
          <w:highlight w:val="none"/>
        </w:rPr>
        <w:t>态更新和成果应用机制，为智慧城市规划建设和管理运行提供科学支撑</w:t>
      </w:r>
      <w:r>
        <w:rPr>
          <w:rFonts w:hint="eastAsia" w:ascii="宋体" w:hAnsi="宋体"/>
          <w:color w:val="auto"/>
          <w:sz w:val="24"/>
          <w:highlight w:val="none"/>
        </w:rPr>
        <w:t>。</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为了保障地下管线普查成果更新工作的安全、质量和进度，现对地下管线普查成果更新监理服务进行采购。</w:t>
      </w:r>
    </w:p>
    <w:p>
      <w:pPr>
        <w:pStyle w:val="6"/>
        <w:rPr>
          <w:color w:val="auto"/>
          <w:sz w:val="24"/>
          <w:highlight w:val="none"/>
        </w:rPr>
      </w:pPr>
      <w:r>
        <w:rPr>
          <w:rFonts w:ascii="Times New Roman" w:hAnsi="Times New Roman" w:cs="Times New Roman"/>
          <w:color w:val="auto"/>
          <w:kern w:val="2"/>
          <w:sz w:val="24"/>
          <w:szCs w:val="24"/>
          <w:highlight w:val="none"/>
        </w:rPr>
        <w:t>4.3.2.2</w:t>
      </w:r>
      <w:r>
        <w:rPr>
          <w:rFonts w:hint="eastAsia"/>
          <w:color w:val="auto"/>
          <w:sz w:val="24"/>
          <w:highlight w:val="none"/>
        </w:rPr>
        <w:t>服务清单</w:t>
      </w:r>
    </w:p>
    <w:tbl>
      <w:tblPr>
        <w:tblStyle w:val="43"/>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2637"/>
        <w:gridCol w:w="5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104" w:type="dxa"/>
            <w:noWrap/>
            <w:vAlign w:val="center"/>
          </w:tcPr>
          <w:p>
            <w:pPr>
              <w:spacing w:after="156" w:afterLines="50" w:line="420" w:lineRule="exact"/>
              <w:jc w:val="center"/>
              <w:rPr>
                <w:rFonts w:ascii="宋体" w:hAnsi="宋体" w:cs="宋体"/>
                <w:i/>
                <w:color w:val="auto"/>
                <w:sz w:val="24"/>
                <w:highlight w:val="none"/>
              </w:rPr>
            </w:pPr>
            <w:r>
              <w:rPr>
                <w:rFonts w:hint="eastAsia" w:ascii="宋体" w:hAnsi="宋体" w:cs="宋体"/>
                <w:color w:val="auto"/>
                <w:sz w:val="24"/>
                <w:highlight w:val="none"/>
              </w:rPr>
              <w:t>序号</w:t>
            </w:r>
          </w:p>
        </w:tc>
        <w:tc>
          <w:tcPr>
            <w:tcW w:w="2637" w:type="dxa"/>
            <w:noWrap/>
            <w:vAlign w:val="center"/>
          </w:tcPr>
          <w:p>
            <w:pPr>
              <w:spacing w:after="156" w:afterLines="50" w:line="420" w:lineRule="exact"/>
              <w:jc w:val="center"/>
              <w:rPr>
                <w:rFonts w:ascii="宋体" w:hAnsi="宋体" w:cs="宋体"/>
                <w:i/>
                <w:color w:val="auto"/>
                <w:sz w:val="24"/>
                <w:highlight w:val="none"/>
              </w:rPr>
            </w:pPr>
            <w:r>
              <w:rPr>
                <w:rFonts w:hint="eastAsia" w:ascii="宋体" w:hAnsi="宋体" w:cs="宋体"/>
                <w:color w:val="auto"/>
                <w:sz w:val="24"/>
                <w:highlight w:val="none"/>
              </w:rPr>
              <w:t>名称</w:t>
            </w:r>
          </w:p>
        </w:tc>
        <w:tc>
          <w:tcPr>
            <w:tcW w:w="5156" w:type="dxa"/>
            <w:noWrap/>
            <w:vAlign w:val="center"/>
          </w:tcPr>
          <w:p>
            <w:pPr>
              <w:spacing w:after="156" w:afterLines="50" w:line="420" w:lineRule="exact"/>
              <w:jc w:val="center"/>
              <w:rPr>
                <w:rFonts w:ascii="宋体" w:hAnsi="宋体" w:cs="宋体"/>
                <w:i/>
                <w:color w:val="auto"/>
                <w:sz w:val="24"/>
                <w:highlight w:val="none"/>
              </w:rPr>
            </w:pPr>
            <w:r>
              <w:rPr>
                <w:rFonts w:hint="eastAsia" w:ascii="宋体" w:hAnsi="宋体" w:cs="宋体"/>
                <w:color w:val="auto"/>
                <w:sz w:val="24"/>
                <w:highlight w:val="none"/>
              </w:rPr>
              <w:t>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104" w:type="dxa"/>
            <w:noWrap/>
            <w:vAlign w:val="center"/>
          </w:tcPr>
          <w:p>
            <w:pPr>
              <w:spacing w:after="156" w:afterLines="50" w:line="420" w:lineRule="exact"/>
              <w:jc w:val="center"/>
              <w:rPr>
                <w:rFonts w:ascii="宋体" w:hAnsi="宋体" w:cs="宋体"/>
                <w:i/>
                <w:color w:val="auto"/>
                <w:sz w:val="24"/>
                <w:highlight w:val="none"/>
              </w:rPr>
            </w:pPr>
            <w:r>
              <w:rPr>
                <w:rFonts w:hint="eastAsia" w:ascii="宋体" w:hAnsi="宋体" w:cs="宋体"/>
                <w:color w:val="auto"/>
                <w:sz w:val="24"/>
                <w:highlight w:val="none"/>
              </w:rPr>
              <w:t>1</w:t>
            </w:r>
          </w:p>
        </w:tc>
        <w:tc>
          <w:tcPr>
            <w:tcW w:w="2637" w:type="dxa"/>
            <w:noWrap/>
            <w:vAlign w:val="center"/>
          </w:tcPr>
          <w:p>
            <w:pPr>
              <w:spacing w:after="156" w:afterLines="50" w:line="420" w:lineRule="exact"/>
              <w:jc w:val="center"/>
              <w:rPr>
                <w:rFonts w:ascii="宋体" w:hAnsi="宋体" w:cs="宋体"/>
                <w:bCs/>
                <w:iCs/>
                <w:color w:val="auto"/>
                <w:sz w:val="24"/>
                <w:highlight w:val="none"/>
              </w:rPr>
            </w:pPr>
            <w:r>
              <w:rPr>
                <w:rFonts w:hint="eastAsia" w:ascii="宋体" w:hAnsi="宋体" w:cs="宋体"/>
                <w:bCs/>
                <w:iCs/>
                <w:color w:val="auto"/>
                <w:sz w:val="24"/>
                <w:highlight w:val="none"/>
              </w:rPr>
              <w:t>成都市双流区地下管线普查成果更新项目采购（包件6）</w:t>
            </w:r>
          </w:p>
        </w:tc>
        <w:tc>
          <w:tcPr>
            <w:tcW w:w="5156" w:type="dxa"/>
            <w:noWrap/>
            <w:vAlign w:val="center"/>
          </w:tcPr>
          <w:p>
            <w:pPr>
              <w:spacing w:after="156" w:afterLines="50" w:line="420" w:lineRule="exact"/>
              <w:jc w:val="center"/>
              <w:rPr>
                <w:rFonts w:ascii="宋体" w:hAnsi="宋体" w:cs="宋体"/>
                <w:iCs/>
                <w:color w:val="auto"/>
                <w:sz w:val="24"/>
                <w:highlight w:val="none"/>
              </w:rPr>
            </w:pPr>
            <w:r>
              <w:rPr>
                <w:rFonts w:hint="eastAsia" w:ascii="宋体" w:hAnsi="宋体" w:cs="宋体"/>
                <w:iCs/>
                <w:color w:val="auto"/>
                <w:sz w:val="24"/>
                <w:highlight w:val="none"/>
              </w:rPr>
              <w:t>地下管线普查成果更新监理服务</w:t>
            </w:r>
          </w:p>
        </w:tc>
      </w:tr>
    </w:tbl>
    <w:p>
      <w:pPr>
        <w:pStyle w:val="6"/>
        <w:rPr>
          <w:color w:val="auto"/>
          <w:sz w:val="24"/>
          <w:highlight w:val="none"/>
        </w:rPr>
      </w:pPr>
      <w:r>
        <w:rPr>
          <w:rFonts w:ascii="Times New Roman" w:hAnsi="Times New Roman" w:cs="Times New Roman"/>
          <w:color w:val="auto"/>
          <w:kern w:val="2"/>
          <w:sz w:val="24"/>
          <w:szCs w:val="24"/>
          <w:highlight w:val="none"/>
        </w:rPr>
        <w:t>4.3.2.3</w:t>
      </w:r>
      <w:r>
        <w:rPr>
          <w:rFonts w:hint="eastAsia"/>
          <w:color w:val="auto"/>
          <w:sz w:val="24"/>
          <w:highlight w:val="none"/>
        </w:rPr>
        <w:t>技术服务要求</w:t>
      </w:r>
    </w:p>
    <w:p>
      <w:pPr>
        <w:pStyle w:val="7"/>
        <w:rPr>
          <w:rFonts w:ascii="宋体" w:hAnsi="宋体"/>
          <w:color w:val="auto"/>
          <w:sz w:val="24"/>
          <w:highlight w:val="none"/>
        </w:rPr>
      </w:pPr>
      <w:r>
        <w:rPr>
          <w:rFonts w:ascii="Times New Roman" w:hAnsi="Times New Roman"/>
          <w:color w:val="auto"/>
          <w:kern w:val="2"/>
          <w:sz w:val="24"/>
          <w:szCs w:val="24"/>
          <w:highlight w:val="none"/>
        </w:rPr>
        <w:t>4.3.2.3.1</w:t>
      </w:r>
      <w:r>
        <w:rPr>
          <w:rFonts w:hint="eastAsia" w:ascii="宋体" w:hAnsi="宋体"/>
          <w:color w:val="auto"/>
          <w:sz w:val="24"/>
          <w:highlight w:val="none"/>
        </w:rPr>
        <w:t>项目概况</w:t>
      </w:r>
    </w:p>
    <w:p>
      <w:pPr>
        <w:spacing w:line="360" w:lineRule="auto"/>
        <w:outlineLvl w:val="4"/>
        <w:rPr>
          <w:rFonts w:ascii="宋体" w:hAnsi="宋体"/>
          <w:color w:val="auto"/>
          <w:sz w:val="24"/>
          <w:highlight w:val="none"/>
        </w:rPr>
      </w:pPr>
      <w:r>
        <w:rPr>
          <w:rFonts w:ascii="Times New Roman" w:hAnsi="Times New Roman"/>
          <w:b/>
          <w:bCs/>
          <w:color w:val="auto"/>
          <w:sz w:val="24"/>
          <w:szCs w:val="24"/>
          <w:highlight w:val="none"/>
        </w:rPr>
        <w:t>4.3.2.3.1.1</w:t>
      </w:r>
      <w:r>
        <w:rPr>
          <w:rFonts w:hint="eastAsia" w:ascii="宋体" w:hAnsi="宋体"/>
          <w:b/>
          <w:bCs/>
          <w:color w:val="auto"/>
          <w:sz w:val="24"/>
          <w:highlight w:val="none"/>
        </w:rPr>
        <w:t>工作依据</w:t>
      </w:r>
    </w:p>
    <w:p>
      <w:pPr>
        <w:spacing w:line="360" w:lineRule="auto"/>
        <w:ind w:firstLine="480" w:firstLineChars="200"/>
        <w:rPr>
          <w:rFonts w:ascii="宋体" w:hAnsi="宋体"/>
          <w:color w:val="auto"/>
          <w:sz w:val="24"/>
          <w:highlight w:val="none"/>
        </w:rPr>
      </w:pPr>
      <w:r>
        <w:rPr>
          <w:rFonts w:ascii="宋体" w:hAnsi="宋体"/>
          <w:color w:val="auto"/>
          <w:sz w:val="24"/>
          <w:highlight w:val="none"/>
        </w:rPr>
        <w:t>下列文件对于本文件的应用是必不可少的。凡是注有日期的引用文件，仅所注日期的版本适用于本文件。凡是不注日期的引用文件，其最新版本（包括所有的修改单）适用于本文件。</w:t>
      </w:r>
    </w:p>
    <w:p>
      <w:pPr>
        <w:spacing w:line="360" w:lineRule="auto"/>
        <w:ind w:firstLine="424" w:firstLineChars="177"/>
        <w:jc w:val="left"/>
        <w:rPr>
          <w:rFonts w:ascii="宋体" w:hAnsi="宋体"/>
          <w:color w:val="auto"/>
          <w:sz w:val="24"/>
          <w:highlight w:val="none"/>
        </w:rPr>
      </w:pPr>
      <w:r>
        <w:rPr>
          <w:rFonts w:ascii="宋体" w:hAnsi="宋体"/>
          <w:color w:val="auto"/>
          <w:sz w:val="24"/>
          <w:highlight w:val="none"/>
        </w:rPr>
        <w:t>1《测绘成果质量检查与验收》GB/T 24356；</w:t>
      </w:r>
    </w:p>
    <w:p>
      <w:pPr>
        <w:spacing w:line="360" w:lineRule="auto"/>
        <w:ind w:firstLine="424" w:firstLineChars="177"/>
        <w:jc w:val="left"/>
        <w:rPr>
          <w:rFonts w:ascii="宋体" w:hAnsi="宋体"/>
          <w:color w:val="auto"/>
          <w:sz w:val="24"/>
          <w:highlight w:val="none"/>
        </w:rPr>
      </w:pPr>
      <w:r>
        <w:rPr>
          <w:rFonts w:hint="eastAsia" w:ascii="宋体" w:hAnsi="宋体"/>
          <w:color w:val="auto"/>
          <w:sz w:val="24"/>
          <w:highlight w:val="none"/>
        </w:rPr>
        <w:t>2《数字测绘成果质量检查与验收》GB/T 1831</w:t>
      </w:r>
      <w:r>
        <w:rPr>
          <w:rFonts w:ascii="宋体" w:hAnsi="宋体"/>
          <w:color w:val="auto"/>
          <w:sz w:val="24"/>
          <w:highlight w:val="none"/>
        </w:rPr>
        <w:t>6</w:t>
      </w:r>
      <w:r>
        <w:rPr>
          <w:rFonts w:hint="eastAsia" w:ascii="宋体" w:hAnsi="宋体"/>
          <w:color w:val="auto"/>
          <w:sz w:val="24"/>
          <w:highlight w:val="none"/>
        </w:rPr>
        <w:t>；</w:t>
      </w:r>
    </w:p>
    <w:p>
      <w:pPr>
        <w:spacing w:line="360" w:lineRule="auto"/>
        <w:ind w:firstLine="424" w:firstLineChars="177"/>
        <w:jc w:val="left"/>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《全球定位系统（GPS）测量规范》GB/T 18314；</w:t>
      </w:r>
    </w:p>
    <w:p>
      <w:pPr>
        <w:spacing w:line="360" w:lineRule="auto"/>
        <w:ind w:firstLine="424" w:firstLineChars="177"/>
        <w:jc w:val="left"/>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《国家基本比例尺地图图式第1部分1:500、1:1000、1:2000地形图图式》GB/T 20257.1；</w:t>
      </w:r>
    </w:p>
    <w:p>
      <w:pPr>
        <w:spacing w:line="360" w:lineRule="auto"/>
        <w:ind w:firstLine="424" w:firstLineChars="177"/>
        <w:jc w:val="left"/>
        <w:rPr>
          <w:rFonts w:ascii="宋体" w:hAnsi="宋体"/>
          <w:color w:val="auto"/>
          <w:sz w:val="24"/>
          <w:highlight w:val="none"/>
        </w:rPr>
      </w:pPr>
      <w:r>
        <w:rPr>
          <w:rFonts w:hint="eastAsia" w:ascii="宋体" w:hAnsi="宋体"/>
          <w:color w:val="auto"/>
          <w:sz w:val="24"/>
          <w:highlight w:val="none"/>
        </w:rPr>
        <w:t>5《中华人民共和国行政区划代码》GB/T 2260；</w:t>
      </w:r>
    </w:p>
    <w:p>
      <w:pPr>
        <w:spacing w:line="360" w:lineRule="auto"/>
        <w:ind w:firstLine="424" w:firstLineChars="177"/>
        <w:jc w:val="left"/>
        <w:rPr>
          <w:rFonts w:ascii="宋体" w:hAnsi="宋体"/>
          <w:color w:val="auto"/>
          <w:sz w:val="24"/>
          <w:highlight w:val="none"/>
        </w:rPr>
      </w:pPr>
      <w:r>
        <w:rPr>
          <w:rFonts w:hint="eastAsia" w:ascii="宋体" w:hAnsi="宋体"/>
          <w:color w:val="auto"/>
          <w:sz w:val="24"/>
          <w:highlight w:val="none"/>
        </w:rPr>
        <w:t>6《城市地下管线探测技术规程》CJJ61；</w:t>
      </w:r>
    </w:p>
    <w:p>
      <w:pPr>
        <w:spacing w:line="360" w:lineRule="auto"/>
        <w:ind w:firstLine="424" w:firstLineChars="177"/>
        <w:jc w:val="left"/>
        <w:rPr>
          <w:rFonts w:ascii="宋体" w:hAnsi="宋体"/>
          <w:color w:val="auto"/>
          <w:sz w:val="24"/>
          <w:highlight w:val="none"/>
        </w:rPr>
      </w:pPr>
      <w:r>
        <w:rPr>
          <w:rFonts w:hint="eastAsia" w:ascii="宋体" w:hAnsi="宋体"/>
          <w:color w:val="auto"/>
          <w:sz w:val="24"/>
          <w:highlight w:val="none"/>
        </w:rPr>
        <w:t>7《城市测量规范》CJJ/T 8；</w:t>
      </w:r>
    </w:p>
    <w:p>
      <w:pPr>
        <w:spacing w:line="360" w:lineRule="auto"/>
        <w:ind w:firstLine="424" w:firstLineChars="177"/>
        <w:jc w:val="left"/>
        <w:rPr>
          <w:rFonts w:ascii="宋体" w:hAnsi="宋体"/>
          <w:color w:val="auto"/>
          <w:sz w:val="24"/>
          <w:highlight w:val="none"/>
        </w:rPr>
      </w:pPr>
      <w:r>
        <w:rPr>
          <w:rFonts w:hint="eastAsia" w:ascii="宋体" w:hAnsi="宋体"/>
          <w:color w:val="auto"/>
          <w:sz w:val="24"/>
          <w:highlight w:val="none"/>
        </w:rPr>
        <w:t>8《卫星定位城市测量技术标准》CJJ/T 73；</w:t>
      </w:r>
    </w:p>
    <w:p>
      <w:pPr>
        <w:spacing w:line="360" w:lineRule="auto"/>
        <w:ind w:firstLine="424" w:firstLineChars="177"/>
        <w:jc w:val="left"/>
        <w:rPr>
          <w:rFonts w:ascii="宋体" w:hAnsi="宋体"/>
          <w:color w:val="auto"/>
          <w:sz w:val="24"/>
          <w:highlight w:val="none"/>
        </w:rPr>
      </w:pPr>
      <w:r>
        <w:rPr>
          <w:rFonts w:hint="eastAsia" w:ascii="宋体" w:hAnsi="宋体"/>
          <w:color w:val="auto"/>
          <w:sz w:val="24"/>
          <w:highlight w:val="none"/>
        </w:rPr>
        <w:t>9《城市地下管线探测工程监理导则》RISN-TG011；</w:t>
      </w:r>
    </w:p>
    <w:p>
      <w:pPr>
        <w:spacing w:line="360" w:lineRule="auto"/>
        <w:ind w:firstLine="424" w:firstLineChars="177"/>
        <w:jc w:val="left"/>
        <w:rPr>
          <w:rFonts w:ascii="宋体" w:hAnsi="宋体"/>
          <w:color w:val="auto"/>
          <w:sz w:val="24"/>
          <w:highlight w:val="none"/>
        </w:rPr>
      </w:pPr>
      <w:r>
        <w:rPr>
          <w:rFonts w:hint="eastAsia" w:ascii="宋体" w:hAnsi="宋体"/>
          <w:color w:val="auto"/>
          <w:sz w:val="24"/>
          <w:highlight w:val="none"/>
        </w:rPr>
        <w:t>10《管线测量成果质量检验技术规程》CH/T 1033；</w:t>
      </w:r>
    </w:p>
    <w:p>
      <w:pPr>
        <w:spacing w:line="360" w:lineRule="auto"/>
        <w:ind w:firstLine="424" w:firstLineChars="177"/>
        <w:jc w:val="lef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1《城镇地下管线普查技术规程》DB51/T 2276-2016；</w:t>
      </w:r>
    </w:p>
    <w:p>
      <w:pPr>
        <w:spacing w:line="360" w:lineRule="auto"/>
        <w:ind w:firstLine="424" w:firstLineChars="177"/>
        <w:jc w:val="left"/>
        <w:rPr>
          <w:rFonts w:ascii="宋体" w:hAnsi="宋体"/>
          <w:color w:val="auto"/>
          <w:sz w:val="24"/>
          <w:highlight w:val="none"/>
        </w:rPr>
      </w:pPr>
      <w:r>
        <w:rPr>
          <w:rFonts w:hint="eastAsia" w:ascii="宋体" w:hAnsi="宋体"/>
          <w:color w:val="auto"/>
          <w:sz w:val="24"/>
          <w:highlight w:val="none"/>
        </w:rPr>
        <w:t>12《城镇地下管线普查数据规定》DB51/T 2277-2016；</w:t>
      </w:r>
    </w:p>
    <w:p>
      <w:pPr>
        <w:spacing w:line="360" w:lineRule="auto"/>
        <w:ind w:firstLine="424" w:firstLineChars="177"/>
        <w:jc w:val="left"/>
        <w:rPr>
          <w:rFonts w:ascii="宋体" w:hAnsi="宋体"/>
          <w:color w:val="auto"/>
          <w:sz w:val="24"/>
          <w:highlight w:val="none"/>
        </w:rPr>
      </w:pPr>
      <w:r>
        <w:rPr>
          <w:rFonts w:hint="eastAsia" w:ascii="宋体" w:hAnsi="宋体"/>
          <w:color w:val="auto"/>
          <w:sz w:val="24"/>
          <w:highlight w:val="none"/>
        </w:rPr>
        <w:t>13《城镇地下管线普查成果质量检验技术规定》DB51/T 2449-2018；</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14《电子文件归档光盘技术要求和应用规范》DA/38-2008；</w:t>
      </w:r>
    </w:p>
    <w:p>
      <w:pPr>
        <w:spacing w:line="360" w:lineRule="auto"/>
        <w:ind w:firstLine="425"/>
        <w:rPr>
          <w:rFonts w:ascii="宋体" w:hAnsi="宋体"/>
          <w:color w:val="auto"/>
          <w:sz w:val="24"/>
          <w:highlight w:val="none"/>
        </w:rPr>
      </w:pPr>
      <w:r>
        <w:rPr>
          <w:rFonts w:hint="eastAsia" w:ascii="宋体" w:hAnsi="宋体"/>
          <w:color w:val="auto"/>
          <w:sz w:val="24"/>
          <w:highlight w:val="none"/>
        </w:rPr>
        <w:t>15《成都市地下管线普查成果更新实施方案》；</w:t>
      </w:r>
    </w:p>
    <w:p>
      <w:pPr>
        <w:spacing w:line="360" w:lineRule="auto"/>
        <w:ind w:firstLine="426"/>
        <w:rPr>
          <w:rFonts w:ascii="宋体" w:hAnsi="宋体"/>
          <w:color w:val="auto"/>
          <w:sz w:val="24"/>
          <w:highlight w:val="none"/>
        </w:rPr>
      </w:pPr>
      <w:r>
        <w:rPr>
          <w:rFonts w:hint="eastAsia" w:ascii="宋体" w:hAnsi="宋体"/>
          <w:color w:val="auto"/>
          <w:sz w:val="24"/>
          <w:highlight w:val="none"/>
        </w:rPr>
        <w:t>16《成都市地下管线普查成果更新技术方案》。</w:t>
      </w:r>
    </w:p>
    <w:p>
      <w:pPr>
        <w:spacing w:line="360" w:lineRule="auto"/>
        <w:outlineLvl w:val="4"/>
        <w:rPr>
          <w:rFonts w:ascii="宋体" w:hAnsi="宋体"/>
          <w:b/>
          <w:bCs/>
          <w:color w:val="auto"/>
          <w:sz w:val="24"/>
          <w:highlight w:val="none"/>
        </w:rPr>
      </w:pPr>
      <w:r>
        <w:rPr>
          <w:rFonts w:ascii="Times New Roman" w:hAnsi="Times New Roman"/>
          <w:b/>
          <w:bCs/>
          <w:color w:val="auto"/>
          <w:sz w:val="24"/>
          <w:szCs w:val="24"/>
          <w:highlight w:val="none"/>
        </w:rPr>
        <w:t>4.3.2.3.1.2</w:t>
      </w:r>
      <w:r>
        <w:rPr>
          <w:rFonts w:hint="eastAsia" w:ascii="宋体" w:hAnsi="宋体"/>
          <w:b/>
          <w:bCs/>
          <w:color w:val="auto"/>
          <w:sz w:val="24"/>
          <w:highlight w:val="none"/>
        </w:rPr>
        <w:t>监理范围及预估工作量</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对成都市双流区行政管理范围（城区范围、政府所在地城区范围）面积约466平方公里范围内地下管线普查进行工程监理，普查更新监理预估工作量：全野外探测、内外业结合核实探测管线长度合计约11000公里。</w:t>
      </w:r>
    </w:p>
    <w:p>
      <w:pPr>
        <w:spacing w:line="360" w:lineRule="auto"/>
        <w:outlineLvl w:val="4"/>
        <w:rPr>
          <w:rFonts w:ascii="宋体" w:hAnsi="宋体"/>
          <w:b/>
          <w:bCs/>
          <w:color w:val="auto"/>
          <w:sz w:val="24"/>
          <w:highlight w:val="none"/>
        </w:rPr>
      </w:pPr>
      <w:r>
        <w:rPr>
          <w:rFonts w:ascii="Times New Roman" w:hAnsi="Times New Roman"/>
          <w:b/>
          <w:bCs/>
          <w:color w:val="auto"/>
          <w:sz w:val="24"/>
          <w:szCs w:val="24"/>
          <w:highlight w:val="none"/>
        </w:rPr>
        <w:t>4.3.2.3.1.3</w:t>
      </w:r>
      <w:r>
        <w:rPr>
          <w:rFonts w:hint="eastAsia" w:ascii="宋体" w:hAnsi="宋体"/>
          <w:b/>
          <w:bCs/>
          <w:color w:val="auto"/>
          <w:sz w:val="24"/>
          <w:highlight w:val="none"/>
        </w:rPr>
        <w:t>监理服务内容</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1.监理对象</w:t>
      </w:r>
    </w:p>
    <w:p>
      <w:pPr>
        <w:pStyle w:val="238"/>
        <w:rPr>
          <w:color w:val="auto"/>
          <w:highlight w:val="none"/>
        </w:rPr>
      </w:pPr>
      <w:r>
        <w:rPr>
          <w:rFonts w:hint="eastAsia"/>
          <w:color w:val="auto"/>
          <w:highlight w:val="none"/>
        </w:rPr>
        <w:t>对普查更新范围内的给水、排水、燃气、热力、电力、通信（含广播电视）、工业（不包括油气管线）、综合管廊(沟)等管线有其附属设施按《成都市地下管线普查成果更新技术方案》要求进行监理。</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2.工作内容</w:t>
      </w:r>
    </w:p>
    <w:p>
      <w:pPr>
        <w:spacing w:line="360" w:lineRule="auto"/>
        <w:ind w:firstLine="480" w:firstLineChars="200"/>
        <w:jc w:val="left"/>
        <w:rPr>
          <w:rFonts w:ascii="宋体" w:hAnsi="宋体"/>
          <w:color w:val="auto"/>
          <w:sz w:val="28"/>
          <w:highlight w:val="none"/>
        </w:rPr>
      </w:pPr>
      <w:r>
        <w:rPr>
          <w:rFonts w:hint="eastAsia" w:ascii="宋体" w:hAnsi="宋体"/>
          <w:color w:val="auto"/>
          <w:sz w:val="24"/>
          <w:highlight w:val="none"/>
        </w:rPr>
        <w:t>工程监理包括合同履行监理、工程进度监理、工程准备监理、普查质量监理、数据监理和普查成果资料监理，同时对施工过程的作业安全和资料保密进行监督，并对地下管线普查工程质量进行评价</w:t>
      </w:r>
      <w:r>
        <w:rPr>
          <w:rFonts w:hint="eastAsia" w:eastAsia="仿宋"/>
          <w:color w:val="auto"/>
          <w:sz w:val="28"/>
          <w:szCs w:val="28"/>
          <w:highlight w:val="none"/>
        </w:rPr>
        <w:t>。</w:t>
      </w:r>
    </w:p>
    <w:p>
      <w:pPr>
        <w:pStyle w:val="7"/>
        <w:rPr>
          <w:rFonts w:ascii="宋体" w:hAnsi="宋体"/>
          <w:color w:val="auto"/>
          <w:sz w:val="24"/>
          <w:highlight w:val="none"/>
        </w:rPr>
      </w:pPr>
      <w:r>
        <w:rPr>
          <w:rFonts w:ascii="Times New Roman" w:hAnsi="Times New Roman"/>
          <w:color w:val="auto"/>
          <w:kern w:val="2"/>
          <w:sz w:val="24"/>
          <w:szCs w:val="24"/>
          <w:highlight w:val="none"/>
        </w:rPr>
        <w:t>4.3.2.3.2</w:t>
      </w:r>
      <w:r>
        <w:rPr>
          <w:rFonts w:hint="eastAsia" w:ascii="宋体" w:hAnsi="宋体"/>
          <w:color w:val="auto"/>
          <w:sz w:val="24"/>
          <w:highlight w:val="none"/>
        </w:rPr>
        <w:t>地下管线普查工程监理</w:t>
      </w:r>
    </w:p>
    <w:p>
      <w:pPr>
        <w:spacing w:line="360" w:lineRule="auto"/>
        <w:ind w:firstLine="472" w:firstLineChars="196"/>
        <w:outlineLvl w:val="4"/>
        <w:rPr>
          <w:rFonts w:ascii="宋体" w:hAnsi="宋体"/>
          <w:b/>
          <w:bCs/>
          <w:color w:val="auto"/>
          <w:sz w:val="24"/>
          <w:highlight w:val="none"/>
        </w:rPr>
      </w:pPr>
      <w:r>
        <w:rPr>
          <w:rFonts w:hint="eastAsia" w:ascii="宋体" w:hAnsi="宋体"/>
          <w:b/>
          <w:bCs/>
          <w:color w:val="auto"/>
          <w:sz w:val="24"/>
          <w:highlight w:val="none"/>
        </w:rPr>
        <w:t>1.监理依据</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地下管线普查工程监理工作开展依据项目相关技术文件及《城市地下管线探测工程监理导则》（RISN-TG011-2010）规定执行。</w:t>
      </w:r>
    </w:p>
    <w:p>
      <w:pPr>
        <w:spacing w:line="360" w:lineRule="auto"/>
        <w:ind w:firstLine="472" w:firstLineChars="196"/>
        <w:outlineLvl w:val="4"/>
        <w:rPr>
          <w:rFonts w:ascii="宋体" w:hAnsi="宋体"/>
          <w:b/>
          <w:bCs/>
          <w:color w:val="auto"/>
          <w:sz w:val="24"/>
          <w:highlight w:val="none"/>
        </w:rPr>
      </w:pPr>
      <w:r>
        <w:rPr>
          <w:rFonts w:hint="eastAsia" w:ascii="宋体" w:hAnsi="宋体"/>
          <w:b/>
          <w:bCs/>
          <w:color w:val="auto"/>
          <w:sz w:val="24"/>
          <w:highlight w:val="none"/>
        </w:rPr>
        <w:t>2.工程准备监理</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了解和掌握项目合同的工作内容，确定合同履行监理的任务和方法。监督普查探测单位合同履行情况，并根据需要及时进行工作协调。</w:t>
      </w:r>
    </w:p>
    <w:p>
      <w:pPr>
        <w:spacing w:line="360" w:lineRule="auto"/>
        <w:ind w:firstLine="590" w:firstLineChars="245"/>
        <w:outlineLvl w:val="4"/>
        <w:rPr>
          <w:rFonts w:ascii="宋体" w:hAnsi="宋体"/>
          <w:b/>
          <w:bCs/>
          <w:color w:val="auto"/>
          <w:sz w:val="24"/>
          <w:highlight w:val="none"/>
        </w:rPr>
      </w:pPr>
      <w:r>
        <w:rPr>
          <w:rFonts w:hint="eastAsia" w:ascii="宋体" w:hAnsi="宋体"/>
          <w:b/>
          <w:bCs/>
          <w:color w:val="auto"/>
          <w:sz w:val="24"/>
          <w:highlight w:val="none"/>
        </w:rPr>
        <w:t>3.合同履行监理</w:t>
      </w:r>
    </w:p>
    <w:p>
      <w:pPr>
        <w:spacing w:line="360" w:lineRule="auto"/>
        <w:ind w:firstLine="561"/>
        <w:rPr>
          <w:rFonts w:ascii="宋体" w:hAnsi="宋体"/>
          <w:color w:val="auto"/>
          <w:sz w:val="24"/>
          <w:highlight w:val="none"/>
        </w:rPr>
      </w:pPr>
      <w:r>
        <w:rPr>
          <w:rFonts w:hint="eastAsia" w:ascii="宋体" w:hAnsi="宋体"/>
          <w:color w:val="auto"/>
          <w:sz w:val="24"/>
          <w:highlight w:val="none"/>
        </w:rPr>
        <w:t>协助管线行业主管部门做好项目开工前的技术准备工作，监督检查普查作业单位技术准备工作完成情况，并审查开工条件。</w:t>
      </w:r>
    </w:p>
    <w:p>
      <w:pPr>
        <w:spacing w:line="360" w:lineRule="auto"/>
        <w:ind w:firstLine="472" w:firstLineChars="196"/>
        <w:outlineLvl w:val="4"/>
        <w:rPr>
          <w:rFonts w:ascii="宋体" w:hAnsi="宋体"/>
          <w:b/>
          <w:bCs/>
          <w:color w:val="auto"/>
          <w:sz w:val="24"/>
          <w:highlight w:val="none"/>
        </w:rPr>
      </w:pPr>
      <w:r>
        <w:rPr>
          <w:rFonts w:hint="eastAsia" w:ascii="宋体" w:hAnsi="宋体"/>
          <w:b/>
          <w:bCs/>
          <w:color w:val="auto"/>
          <w:sz w:val="24"/>
          <w:highlight w:val="none"/>
        </w:rPr>
        <w:t>4.工程进度监理</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（1）工程进度监理采用过程控制的方法对作业活动实施控制，主要工作为项目进度计划审查、进度监控和进度协调。</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（2）进度计划审查需对工作分解结构的合理性与完整性、工作活动衔接的正确性、进度计划与工作量、资源配置的合理性进行监督检查。</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（3）各项工作进程、人员和设备的变动状况、地下管线普查作业情况及普查期间每日天气情况进行监控。</w:t>
      </w:r>
    </w:p>
    <w:p>
      <w:pPr>
        <w:spacing w:line="360" w:lineRule="auto"/>
        <w:outlineLvl w:val="4"/>
        <w:rPr>
          <w:rFonts w:ascii="宋体" w:hAnsi="宋体"/>
          <w:b/>
          <w:bCs/>
          <w:color w:val="auto"/>
          <w:sz w:val="24"/>
          <w:highlight w:val="none"/>
        </w:rPr>
      </w:pPr>
      <w:r>
        <w:rPr>
          <w:rFonts w:ascii="Times New Roman" w:hAnsi="Times New Roman"/>
          <w:b/>
          <w:bCs/>
          <w:color w:val="auto"/>
          <w:sz w:val="24"/>
          <w:szCs w:val="24"/>
          <w:highlight w:val="none"/>
        </w:rPr>
        <w:t>4.3.2.3.2.5</w:t>
      </w:r>
      <w:r>
        <w:rPr>
          <w:rFonts w:hint="eastAsia" w:ascii="宋体" w:hAnsi="宋体"/>
          <w:b/>
          <w:bCs/>
          <w:color w:val="auto"/>
          <w:sz w:val="24"/>
          <w:highlight w:val="none"/>
        </w:rPr>
        <w:t>普查质量监理</w:t>
      </w:r>
    </w:p>
    <w:p>
      <w:pPr>
        <w:spacing w:line="360" w:lineRule="auto"/>
        <w:ind w:firstLine="482" w:firstLineChars="200"/>
        <w:jc w:val="left"/>
        <w:rPr>
          <w:rFonts w:ascii="宋体" w:hAnsi="宋体"/>
          <w:color w:val="auto"/>
          <w:sz w:val="24"/>
          <w:highlight w:val="none"/>
        </w:rPr>
      </w:pPr>
      <w:r>
        <w:rPr>
          <w:rFonts w:hint="eastAsia" w:ascii="宋体" w:hAnsi="宋体"/>
          <w:b/>
          <w:color w:val="auto"/>
          <w:sz w:val="24"/>
          <w:highlight w:val="none"/>
        </w:rPr>
        <w:t>1.工作内容</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工作内容包括普查过程监理和成果质量检查。成果质量检查应在普查作业单位自检合格的基础上进行。</w:t>
      </w:r>
    </w:p>
    <w:p>
      <w:pPr>
        <w:spacing w:line="360" w:lineRule="auto"/>
        <w:ind w:firstLine="482" w:firstLineChars="200"/>
        <w:jc w:val="left"/>
        <w:rPr>
          <w:rFonts w:ascii="宋体" w:hAnsi="宋体"/>
          <w:b/>
          <w:color w:val="auto"/>
          <w:sz w:val="24"/>
          <w:highlight w:val="none"/>
        </w:rPr>
      </w:pPr>
      <w:r>
        <w:rPr>
          <w:rFonts w:hint="eastAsia" w:ascii="宋体" w:hAnsi="宋体"/>
          <w:b/>
          <w:color w:val="auto"/>
          <w:sz w:val="24"/>
          <w:highlight w:val="none"/>
        </w:rPr>
        <w:t>2.普查过程监理主要包括：</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（1）监控普查作业单位人员和仪器设备的变动；</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（2）监督检查普查范围和管线取舍要求的执行情况；</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（3）检查已有控制点资料利用情况，审查控制网布设方案和检查控制点埋设情况；</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（4）检查探查、测量仪器操作和技术方法使用的规范性和技术措施应用的有效性；</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（5）检查管线点设置与标注、管线点、线属性的完整性、正确性；</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（6）监控普查作业进度情况；</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7</w:t>
      </w:r>
      <w:r>
        <w:rPr>
          <w:rFonts w:hint="eastAsia" w:ascii="宋体" w:hAnsi="宋体"/>
          <w:color w:val="auto"/>
          <w:sz w:val="24"/>
          <w:highlight w:val="none"/>
        </w:rPr>
        <w:t>）监督复杂及疑难管线的探查；</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8</w:t>
      </w:r>
      <w:r>
        <w:rPr>
          <w:rFonts w:hint="eastAsia" w:ascii="宋体" w:hAnsi="宋体"/>
          <w:color w:val="auto"/>
          <w:sz w:val="24"/>
          <w:highlight w:val="none"/>
        </w:rPr>
        <w:t>）监督普查作业单位的探查质量检查及探查安全作业情况。</w:t>
      </w:r>
    </w:p>
    <w:p>
      <w:pPr>
        <w:spacing w:line="360" w:lineRule="auto"/>
        <w:ind w:firstLine="482" w:firstLineChars="200"/>
        <w:jc w:val="left"/>
        <w:rPr>
          <w:rFonts w:ascii="宋体" w:hAnsi="宋体"/>
          <w:b/>
          <w:color w:val="auto"/>
          <w:sz w:val="24"/>
          <w:highlight w:val="none"/>
        </w:rPr>
      </w:pPr>
      <w:r>
        <w:rPr>
          <w:rFonts w:hint="eastAsia" w:ascii="宋体" w:hAnsi="宋体"/>
          <w:b/>
          <w:color w:val="auto"/>
          <w:sz w:val="24"/>
          <w:highlight w:val="none"/>
        </w:rPr>
        <w:t>3.探查成果质量检查</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（1）探查成果质量检查采用室内审查结合室外重复调查及探查的方式进行。室内审查根据《城市地下管线探测工程监理导则》要求随机抽取样本，对管线图进行室内图面审查，并填写审查记录表。</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）室外重复调查及探查采用同精度的方法进行明显点重复调查和隐蔽点重复探查，按照分布均匀、合理且具有代表性的原则，随机抽取一定比例的样本。样本抽取比例按下例要求执行：</w:t>
      </w:r>
    </w:p>
    <w:p>
      <w:pPr>
        <w:spacing w:line="360" w:lineRule="auto"/>
        <w:ind w:firstLine="480" w:firstLineChars="200"/>
        <w:jc w:val="left"/>
        <w:rPr>
          <w:rFonts w:ascii="宋体" w:hAnsi="宋体" w:cs="仿宋"/>
          <w:color w:val="auto"/>
          <w:sz w:val="24"/>
          <w:highlight w:val="none"/>
        </w:rPr>
      </w:pPr>
      <w:r>
        <w:rPr>
          <w:rFonts w:hint="eastAsia" w:ascii="宋体" w:hAnsi="宋体" w:cs="仿宋"/>
          <w:color w:val="auto"/>
          <w:sz w:val="24"/>
          <w:highlight w:val="none"/>
        </w:rPr>
        <w:t>1）重复调查抽取明显管线点数不少于该类管线总数的3%；</w:t>
      </w:r>
    </w:p>
    <w:p>
      <w:pPr>
        <w:spacing w:line="360" w:lineRule="auto"/>
        <w:ind w:firstLine="480" w:firstLineChars="200"/>
        <w:jc w:val="left"/>
        <w:rPr>
          <w:rFonts w:ascii="宋体" w:hAnsi="宋体" w:cs="仿宋"/>
          <w:color w:val="auto"/>
          <w:sz w:val="24"/>
          <w:highlight w:val="none"/>
        </w:rPr>
      </w:pPr>
      <w:r>
        <w:rPr>
          <w:rFonts w:hint="eastAsia" w:ascii="宋体" w:hAnsi="宋体" w:cs="仿宋"/>
          <w:color w:val="auto"/>
          <w:sz w:val="24"/>
          <w:highlight w:val="none"/>
        </w:rPr>
        <w:t>2）重复探查抽取隐蔽管线点数不少于该类管线总数的3%；</w:t>
      </w:r>
    </w:p>
    <w:p>
      <w:pPr>
        <w:spacing w:line="360" w:lineRule="auto"/>
        <w:ind w:firstLine="480" w:firstLineChars="200"/>
        <w:jc w:val="left"/>
        <w:rPr>
          <w:rFonts w:ascii="宋体" w:hAnsi="宋体" w:cs="仿宋"/>
          <w:color w:val="auto"/>
          <w:sz w:val="24"/>
          <w:highlight w:val="none"/>
        </w:rPr>
      </w:pPr>
      <w:r>
        <w:rPr>
          <w:rFonts w:hint="eastAsia" w:ascii="宋体" w:hAnsi="宋体" w:cs="仿宋"/>
          <w:color w:val="auto"/>
          <w:sz w:val="24"/>
          <w:highlight w:val="none"/>
        </w:rPr>
        <w:t>3）开挖验证抽取隐蔽管线点数不少于该类管线总数的1%；</w:t>
      </w:r>
    </w:p>
    <w:p>
      <w:pPr>
        <w:spacing w:line="360" w:lineRule="auto"/>
        <w:ind w:firstLine="480" w:firstLineChars="200"/>
        <w:jc w:val="left"/>
        <w:rPr>
          <w:rFonts w:ascii="宋体" w:hAnsi="宋体"/>
          <w:color w:val="auto"/>
          <w:sz w:val="24"/>
          <w:highlight w:val="none"/>
        </w:rPr>
      </w:pPr>
      <w:r>
        <w:rPr>
          <w:rFonts w:hint="eastAsia" w:ascii="宋体" w:hAnsi="宋体" w:cs="仿宋"/>
          <w:color w:val="auto"/>
          <w:sz w:val="24"/>
          <w:highlight w:val="none"/>
        </w:rPr>
        <w:t>4）错探、漏探管线检</w:t>
      </w:r>
      <w:r>
        <w:rPr>
          <w:rFonts w:hint="eastAsia" w:ascii="宋体" w:hAnsi="宋体"/>
          <w:color w:val="auto"/>
          <w:sz w:val="24"/>
          <w:highlight w:val="none"/>
        </w:rPr>
        <w:t>查抽取的图幅数不少于总图幅数的5%。</w:t>
      </w:r>
    </w:p>
    <w:p>
      <w:pPr>
        <w:spacing w:line="360" w:lineRule="auto"/>
        <w:ind w:firstLine="482" w:firstLineChars="200"/>
        <w:jc w:val="left"/>
        <w:rPr>
          <w:rFonts w:ascii="宋体" w:hAnsi="宋体"/>
          <w:b/>
          <w:color w:val="auto"/>
          <w:sz w:val="24"/>
          <w:highlight w:val="none"/>
        </w:rPr>
      </w:pPr>
      <w:r>
        <w:rPr>
          <w:rFonts w:hint="eastAsia" w:ascii="宋体" w:hAnsi="宋体"/>
          <w:b/>
          <w:color w:val="auto"/>
          <w:sz w:val="24"/>
          <w:highlight w:val="none"/>
        </w:rPr>
        <w:t>4.测量成果质量检查</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（1）成果质量检查采用同精度重复测量的方法对普查作业单位提交的测量成果进行质量检查。质量检查分为控制点成果检查和管线点测量精度检查。</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（2）控制点成果质量检查应随机抽取不少于总量的5%进行重复检查，检查控制点的可靠性，验证测量精度。</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）管线点测量精度检查采用以图幅为单位进行抽样检查，样本应随机抽取，均匀分布，样本抽取数据应符合《城市地下管线探测工程监理导则》（RISN-TG011）规定要求。</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）每幅管线图重复测量检查的点数不少于30个，当图幅内管线点总数不足30个时，应全部进行重复测量检查。</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5</w:t>
      </w:r>
      <w:r>
        <w:rPr>
          <w:rFonts w:hint="eastAsia" w:ascii="宋体" w:hAnsi="宋体"/>
          <w:color w:val="auto"/>
          <w:sz w:val="24"/>
          <w:highlight w:val="none"/>
        </w:rPr>
        <w:t>）重复测量的管线点总数量不得少于测区管线点总数的5%。</w:t>
      </w:r>
    </w:p>
    <w:p>
      <w:pPr>
        <w:spacing w:line="360" w:lineRule="auto"/>
        <w:ind w:firstLine="482" w:firstLineChars="200"/>
        <w:jc w:val="left"/>
        <w:rPr>
          <w:rFonts w:ascii="宋体" w:hAnsi="宋体"/>
          <w:color w:val="auto"/>
          <w:sz w:val="24"/>
          <w:highlight w:val="none"/>
        </w:rPr>
      </w:pPr>
      <w:r>
        <w:rPr>
          <w:rFonts w:hint="eastAsia" w:ascii="宋体" w:hAnsi="宋体"/>
          <w:b/>
          <w:color w:val="auto"/>
          <w:sz w:val="24"/>
          <w:highlight w:val="none"/>
        </w:rPr>
        <w:t>5.成果精度检查</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成果精度检查按《成都市地下管线普查成果更新技术方案》第</w:t>
      </w:r>
      <w:r>
        <w:rPr>
          <w:rFonts w:ascii="宋体" w:hAnsi="宋体"/>
          <w:color w:val="auto"/>
          <w:sz w:val="24"/>
          <w:highlight w:val="none"/>
        </w:rPr>
        <w:t>6.1.3</w:t>
      </w:r>
      <w:r>
        <w:rPr>
          <w:rFonts w:hint="eastAsia" w:ascii="宋体" w:hAnsi="宋体"/>
          <w:color w:val="auto"/>
          <w:sz w:val="24"/>
          <w:highlight w:val="none"/>
        </w:rPr>
        <w:t>节计算合项中误差和相应限差，粗差点、错误点的剔除和检查相关记录表的填写应符合《城市地下管线探测工程监理导则》（RISN-TG011）规定。</w:t>
      </w:r>
    </w:p>
    <w:p>
      <w:pPr>
        <w:spacing w:line="360" w:lineRule="auto"/>
        <w:ind w:firstLine="590" w:firstLineChars="245"/>
        <w:outlineLvl w:val="4"/>
        <w:rPr>
          <w:rFonts w:ascii="宋体" w:hAnsi="宋体"/>
          <w:b/>
          <w:bCs/>
          <w:color w:val="auto"/>
          <w:sz w:val="24"/>
          <w:highlight w:val="none"/>
        </w:rPr>
      </w:pPr>
      <w:r>
        <w:rPr>
          <w:rFonts w:hint="eastAsia" w:ascii="宋体" w:hAnsi="宋体"/>
          <w:b/>
          <w:bCs/>
          <w:color w:val="auto"/>
          <w:sz w:val="24"/>
          <w:highlight w:val="none"/>
        </w:rPr>
        <w:t>6.数据成果监理</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（1）地下管线普查数据监理工作内容包括数据库文件检查、图形文件检查、成果一致性检查及测区接边检查。</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（2）数据库文件检查采用人工检查、软件检查相结合的方法进行，主要检查数据库文件的数据结构、元数据的正确性、数据库</w:t>
      </w:r>
      <w:r>
        <w:rPr>
          <w:rFonts w:ascii="宋体" w:hAnsi="宋体"/>
          <w:color w:val="auto"/>
          <w:sz w:val="24"/>
          <w:highlight w:val="none"/>
        </w:rPr>
        <w:t>属性检查，属性检查</w:t>
      </w:r>
      <w:r>
        <w:rPr>
          <w:rFonts w:hint="eastAsia" w:ascii="宋体" w:hAnsi="宋体"/>
          <w:color w:val="auto"/>
          <w:sz w:val="24"/>
          <w:highlight w:val="none"/>
        </w:rPr>
        <w:t>包含管线点和</w:t>
      </w:r>
      <w:r>
        <w:rPr>
          <w:rFonts w:ascii="宋体" w:hAnsi="宋体"/>
          <w:color w:val="auto"/>
          <w:sz w:val="24"/>
          <w:highlight w:val="none"/>
        </w:rPr>
        <w:t>管线段属性项缺失检查</w:t>
      </w:r>
      <w:r>
        <w:rPr>
          <w:rFonts w:hint="eastAsia" w:ascii="宋体" w:hAnsi="宋体"/>
          <w:color w:val="auto"/>
          <w:sz w:val="24"/>
          <w:highlight w:val="none"/>
        </w:rPr>
        <w:t>、管线点</w:t>
      </w:r>
      <w:r>
        <w:rPr>
          <w:rFonts w:ascii="宋体" w:hAnsi="宋体"/>
          <w:color w:val="auto"/>
          <w:sz w:val="24"/>
          <w:highlight w:val="none"/>
        </w:rPr>
        <w:t>逻辑属性检查、管线段属性逻辑检查、管线点和管线段高程逻辑检查。</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（3）图形文件检查不少于总图幅数的10%，检查内容为图形文件的图廓整饰、数据分层、图形注记及管线点符号的合理性。</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（4）成果一致性检查内容为图形文件与数据库文件的一致性、数据库文件与管线成果表的一致性检查。</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（5）接边检查主要对相邻测区管线图形与属性数据进行接边检查，保证</w:t>
      </w:r>
      <w:r>
        <w:rPr>
          <w:rFonts w:ascii="宋体" w:hAnsi="宋体"/>
          <w:color w:val="auto"/>
          <w:sz w:val="24"/>
          <w:highlight w:val="none"/>
        </w:rPr>
        <w:t>接边管线</w:t>
      </w:r>
      <w:r>
        <w:rPr>
          <w:rFonts w:hint="eastAsia" w:ascii="宋体" w:hAnsi="宋体"/>
          <w:color w:val="auto"/>
          <w:sz w:val="24"/>
          <w:highlight w:val="none"/>
        </w:rPr>
        <w:t>属性数据完全一致。</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6</w:t>
      </w:r>
      <w:r>
        <w:rPr>
          <w:rFonts w:hint="eastAsia" w:ascii="宋体" w:hAnsi="宋体"/>
          <w:color w:val="auto"/>
          <w:sz w:val="24"/>
          <w:highlight w:val="none"/>
        </w:rPr>
        <w:t>）监理单位还应进行地下管线三维数据</w:t>
      </w:r>
      <w:r>
        <w:rPr>
          <w:rFonts w:ascii="宋体" w:hAnsi="宋体"/>
          <w:color w:val="auto"/>
          <w:sz w:val="24"/>
          <w:highlight w:val="none"/>
        </w:rPr>
        <w:t>碰撞</w:t>
      </w:r>
      <w:r>
        <w:rPr>
          <w:rFonts w:hint="eastAsia" w:ascii="宋体" w:hAnsi="宋体"/>
          <w:color w:val="auto"/>
          <w:sz w:val="24"/>
          <w:highlight w:val="none"/>
        </w:rPr>
        <w:t>检查、逻辑一致性检查。</w:t>
      </w:r>
    </w:p>
    <w:p>
      <w:pPr>
        <w:pStyle w:val="7"/>
        <w:rPr>
          <w:rFonts w:ascii="宋体" w:hAnsi="宋体"/>
          <w:color w:val="auto"/>
          <w:sz w:val="24"/>
          <w:highlight w:val="none"/>
        </w:rPr>
      </w:pPr>
      <w:r>
        <w:rPr>
          <w:rFonts w:ascii="Times New Roman" w:hAnsi="Times New Roman"/>
          <w:color w:val="auto"/>
          <w:kern w:val="2"/>
          <w:sz w:val="24"/>
          <w:szCs w:val="24"/>
          <w:highlight w:val="none"/>
        </w:rPr>
        <w:t xml:space="preserve">4.3.2.3.3 </w:t>
      </w:r>
      <w:r>
        <w:rPr>
          <w:rFonts w:hint="eastAsia" w:ascii="宋体" w:hAnsi="宋体"/>
          <w:color w:val="auto"/>
          <w:sz w:val="24"/>
          <w:highlight w:val="none"/>
        </w:rPr>
        <w:t>成果提交</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监理成果资料主要包括监理实施细则、监理检查记录、监理日志、监理月报、监理文档资料（含请示、通知、会议记录、处理意见等）、外业巡查记录、监理总结报告等。提供纸质和电子版各一套。</w:t>
      </w:r>
    </w:p>
    <w:p>
      <w:pPr>
        <w:pStyle w:val="6"/>
        <w:rPr>
          <w:color w:val="auto"/>
          <w:sz w:val="24"/>
          <w:highlight w:val="none"/>
        </w:rPr>
      </w:pPr>
      <w:r>
        <w:rPr>
          <w:rStyle w:val="169"/>
          <w:rFonts w:hint="default" w:ascii="Times New Roman" w:hAnsi="Times New Roman" w:cstheme="minorBidi"/>
          <w:b/>
          <w:bCs w:val="0"/>
          <w:color w:val="auto"/>
          <w:sz w:val="28"/>
          <w:highlight w:val="none"/>
        </w:rPr>
        <w:t>*</w:t>
      </w:r>
      <w:r>
        <w:rPr>
          <w:rFonts w:ascii="Times New Roman" w:hAnsi="Times New Roman" w:cs="Times New Roman"/>
          <w:color w:val="auto"/>
          <w:kern w:val="2"/>
          <w:sz w:val="24"/>
          <w:szCs w:val="24"/>
          <w:highlight w:val="none"/>
        </w:rPr>
        <w:t>4.3.2.4</w:t>
      </w:r>
      <w:r>
        <w:rPr>
          <w:rFonts w:hint="eastAsia"/>
          <w:color w:val="auto"/>
          <w:sz w:val="24"/>
          <w:highlight w:val="none"/>
        </w:rPr>
        <w:t>商务要求</w:t>
      </w:r>
    </w:p>
    <w:p>
      <w:pPr>
        <w:pStyle w:val="7"/>
        <w:rPr>
          <w:color w:val="auto"/>
          <w:highlight w:val="none"/>
        </w:rPr>
      </w:pPr>
      <w:r>
        <w:rPr>
          <w:rFonts w:ascii="Times New Roman" w:hAnsi="Times New Roman"/>
          <w:color w:val="auto"/>
          <w:kern w:val="2"/>
          <w:sz w:val="24"/>
          <w:szCs w:val="24"/>
          <w:highlight w:val="none"/>
        </w:rPr>
        <w:t>4.3.2.4.1</w:t>
      </w:r>
      <w:r>
        <w:rPr>
          <w:rFonts w:hint="eastAsia" w:ascii="宋体" w:hAnsi="宋体"/>
          <w:color w:val="auto"/>
          <w:sz w:val="24"/>
          <w:highlight w:val="none"/>
        </w:rPr>
        <w:t xml:space="preserve"> 作业团队配置及设备配置</w:t>
      </w:r>
    </w:p>
    <w:p>
      <w:pPr>
        <w:spacing w:line="360" w:lineRule="auto"/>
        <w:ind w:firstLine="480" w:firstLineChars="200"/>
        <w:rPr>
          <w:rFonts w:ascii="宋体" w:hAnsi="宋体"/>
          <w:i/>
          <w:color w:val="auto"/>
          <w:sz w:val="24"/>
          <w:highlight w:val="none"/>
        </w:rPr>
      </w:pPr>
      <w:r>
        <w:rPr>
          <w:rFonts w:hint="eastAsia" w:ascii="宋体" w:hAnsi="宋体"/>
          <w:color w:val="auto"/>
          <w:sz w:val="24"/>
          <w:highlight w:val="none"/>
        </w:rPr>
        <w:t>1.作业团队配置</w:t>
      </w:r>
    </w:p>
    <w:p>
      <w:pPr>
        <w:spacing w:line="360" w:lineRule="auto"/>
        <w:ind w:firstLine="480" w:firstLineChars="200"/>
        <w:rPr>
          <w:rFonts w:ascii="宋体" w:hAnsi="宋体"/>
          <w:i/>
          <w:color w:val="auto"/>
          <w:sz w:val="24"/>
          <w:szCs w:val="21"/>
          <w:highlight w:val="none"/>
        </w:rPr>
      </w:pPr>
      <w:r>
        <w:rPr>
          <w:rFonts w:hint="eastAsia" w:ascii="宋体" w:hAnsi="宋体"/>
          <w:color w:val="auto"/>
          <w:sz w:val="24"/>
          <w:highlight w:val="none"/>
        </w:rPr>
        <w:t>供应商为本项目配备总监理负责人1人、专业监理工程师3人</w:t>
      </w:r>
      <w:r>
        <w:rPr>
          <w:rFonts w:hint="eastAsia" w:ascii="宋体" w:hAnsi="宋体"/>
          <w:color w:val="auto"/>
          <w:sz w:val="24"/>
          <w:szCs w:val="21"/>
          <w:highlight w:val="none"/>
        </w:rPr>
        <w:t xml:space="preserve">以及完成项目所需的监理人员若干。 </w:t>
      </w:r>
    </w:p>
    <w:p>
      <w:pPr>
        <w:spacing w:line="360" w:lineRule="auto"/>
        <w:ind w:firstLine="480" w:firstLineChars="200"/>
        <w:rPr>
          <w:rFonts w:ascii="宋体" w:hAnsi="宋体"/>
          <w:i/>
          <w:color w:val="auto"/>
          <w:sz w:val="24"/>
          <w:szCs w:val="21"/>
          <w:highlight w:val="none"/>
        </w:rPr>
      </w:pPr>
      <w:r>
        <w:rPr>
          <w:rFonts w:hint="eastAsia" w:ascii="宋体" w:hAnsi="宋体"/>
          <w:color w:val="auto"/>
          <w:sz w:val="24"/>
          <w:szCs w:val="21"/>
          <w:highlight w:val="none"/>
        </w:rPr>
        <w:t>2.设备配置</w:t>
      </w:r>
    </w:p>
    <w:p>
      <w:pPr>
        <w:spacing w:line="360" w:lineRule="auto"/>
        <w:ind w:firstLine="480" w:firstLineChars="200"/>
        <w:rPr>
          <w:color w:val="auto"/>
          <w:highlight w:val="none"/>
        </w:rPr>
      </w:pPr>
      <w:r>
        <w:rPr>
          <w:rFonts w:hint="eastAsia" w:ascii="宋体" w:hAnsi="宋体"/>
          <w:color w:val="auto"/>
          <w:sz w:val="24"/>
          <w:szCs w:val="21"/>
          <w:highlight w:val="none"/>
        </w:rPr>
        <w:t>供应商</w:t>
      </w:r>
      <w:r>
        <w:rPr>
          <w:rFonts w:ascii="宋体" w:hAnsi="宋体"/>
          <w:color w:val="auto"/>
          <w:sz w:val="24"/>
          <w:szCs w:val="21"/>
          <w:highlight w:val="none"/>
        </w:rPr>
        <w:t>为本项目配备</w:t>
      </w:r>
      <w:r>
        <w:rPr>
          <w:rFonts w:hint="eastAsia" w:ascii="宋体" w:hAnsi="宋体"/>
          <w:color w:val="auto"/>
          <w:sz w:val="24"/>
          <w:szCs w:val="21"/>
          <w:highlight w:val="none"/>
        </w:rPr>
        <w:t>完成项目所需的</w:t>
      </w:r>
      <w:r>
        <w:rPr>
          <w:rFonts w:ascii="宋体" w:hAnsi="宋体"/>
          <w:color w:val="auto"/>
          <w:sz w:val="24"/>
          <w:szCs w:val="21"/>
          <w:highlight w:val="none"/>
        </w:rPr>
        <w:t>管线探测仪</w:t>
      </w:r>
      <w:r>
        <w:rPr>
          <w:rFonts w:hint="eastAsia" w:ascii="宋体" w:hAnsi="宋体"/>
          <w:color w:val="auto"/>
          <w:sz w:val="24"/>
          <w:szCs w:val="21"/>
          <w:highlight w:val="none"/>
        </w:rPr>
        <w:t>、</w:t>
      </w:r>
      <w:r>
        <w:rPr>
          <w:rFonts w:ascii="宋体" w:hAnsi="宋体"/>
          <w:color w:val="auto"/>
          <w:sz w:val="24"/>
          <w:szCs w:val="21"/>
          <w:highlight w:val="none"/>
        </w:rPr>
        <w:t>G</w:t>
      </w:r>
      <w:r>
        <w:rPr>
          <w:rFonts w:hint="eastAsia" w:ascii="宋体" w:hAnsi="宋体"/>
          <w:color w:val="auto"/>
          <w:sz w:val="24"/>
          <w:szCs w:val="21"/>
          <w:highlight w:val="none"/>
        </w:rPr>
        <w:t>NSS</w:t>
      </w:r>
      <w:r>
        <w:rPr>
          <w:rFonts w:ascii="宋体" w:hAnsi="宋体"/>
          <w:color w:val="auto"/>
          <w:sz w:val="24"/>
          <w:szCs w:val="21"/>
          <w:highlight w:val="none"/>
        </w:rPr>
        <w:t>接收机</w:t>
      </w:r>
      <w:r>
        <w:rPr>
          <w:rFonts w:hint="eastAsia" w:ascii="宋体" w:hAnsi="宋体"/>
          <w:color w:val="auto"/>
          <w:sz w:val="24"/>
          <w:szCs w:val="21"/>
          <w:highlight w:val="none"/>
        </w:rPr>
        <w:t>、</w:t>
      </w:r>
      <w:r>
        <w:rPr>
          <w:rFonts w:ascii="宋体" w:hAnsi="宋体"/>
          <w:color w:val="auto"/>
          <w:sz w:val="24"/>
          <w:szCs w:val="21"/>
          <w:highlight w:val="none"/>
        </w:rPr>
        <w:t>全站仪</w:t>
      </w:r>
      <w:r>
        <w:rPr>
          <w:rFonts w:hint="eastAsia" w:ascii="宋体" w:hAnsi="宋体"/>
          <w:color w:val="auto"/>
          <w:sz w:val="24"/>
          <w:szCs w:val="21"/>
          <w:highlight w:val="none"/>
        </w:rPr>
        <w:t>等必要仪器及设备。</w:t>
      </w:r>
    </w:p>
    <w:p>
      <w:pPr>
        <w:pStyle w:val="7"/>
        <w:rPr>
          <w:rFonts w:ascii="宋体" w:hAnsi="宋体"/>
          <w:color w:val="auto"/>
          <w:sz w:val="24"/>
          <w:highlight w:val="none"/>
        </w:rPr>
      </w:pPr>
      <w:r>
        <w:rPr>
          <w:rFonts w:ascii="Times New Roman" w:hAnsi="Times New Roman"/>
          <w:color w:val="auto"/>
          <w:kern w:val="2"/>
          <w:sz w:val="24"/>
          <w:szCs w:val="24"/>
          <w:highlight w:val="none"/>
        </w:rPr>
        <w:t>4.3.2.4.2</w:t>
      </w:r>
      <w:r>
        <w:rPr>
          <w:rFonts w:hint="eastAsia" w:ascii="宋体" w:hAnsi="宋体"/>
          <w:color w:val="auto"/>
          <w:sz w:val="24"/>
          <w:highlight w:val="none"/>
        </w:rPr>
        <w:t>项目保密要求</w:t>
      </w:r>
    </w:p>
    <w:p>
      <w:pPr>
        <w:spacing w:line="360" w:lineRule="auto"/>
        <w:ind w:firstLine="424" w:firstLineChars="177"/>
        <w:rPr>
          <w:color w:val="auto"/>
          <w:highlight w:val="none"/>
        </w:rPr>
      </w:pPr>
      <w:r>
        <w:rPr>
          <w:rFonts w:hint="eastAsia" w:ascii="宋体" w:hAnsi="宋体" w:cs="宋体"/>
          <w:color w:val="auto"/>
          <w:sz w:val="24"/>
          <w:highlight w:val="none"/>
        </w:rPr>
        <w:t>项目所有资料、成果的所有权归采购人。中标人对本项目所有的成果资料具有保密的义务，不得以任何形式向第三方提供和泄露，不得利用本项目成果资料生产其它任何形式的产品，本项目终止时应将所有资料移交给采购人，不得作任何形式的保留。</w:t>
      </w:r>
    </w:p>
    <w:p>
      <w:pPr>
        <w:pStyle w:val="7"/>
        <w:rPr>
          <w:rFonts w:ascii="宋体" w:hAnsi="宋体"/>
          <w:color w:val="auto"/>
          <w:sz w:val="24"/>
          <w:highlight w:val="none"/>
        </w:rPr>
      </w:pPr>
      <w:r>
        <w:rPr>
          <w:rFonts w:ascii="Times New Roman" w:hAnsi="Times New Roman"/>
          <w:color w:val="auto"/>
          <w:kern w:val="2"/>
          <w:sz w:val="24"/>
          <w:szCs w:val="24"/>
          <w:highlight w:val="none"/>
        </w:rPr>
        <w:t>4.3.2.4.3</w:t>
      </w:r>
      <w:r>
        <w:rPr>
          <w:rFonts w:hint="eastAsia" w:ascii="宋体" w:hAnsi="宋体"/>
          <w:color w:val="auto"/>
          <w:sz w:val="24"/>
          <w:highlight w:val="none"/>
        </w:rPr>
        <w:t>售后服务</w:t>
      </w:r>
    </w:p>
    <w:p>
      <w:pPr>
        <w:tabs>
          <w:tab w:val="left" w:pos="7560"/>
        </w:tabs>
        <w:adjustRightInd w:val="0"/>
        <w:snapToGrid w:val="0"/>
        <w:spacing w:line="360" w:lineRule="auto"/>
        <w:ind w:firstLine="480" w:firstLineChars="200"/>
        <w:rPr>
          <w:rFonts w:ascii="宋体" w:hAnsi="宋体"/>
          <w:i/>
          <w:color w:val="auto"/>
          <w:sz w:val="24"/>
          <w:highlight w:val="none"/>
        </w:rPr>
      </w:pPr>
      <w:r>
        <w:rPr>
          <w:rFonts w:hint="eastAsia" w:ascii="宋体" w:hAnsi="宋体"/>
          <w:color w:val="auto"/>
          <w:sz w:val="24"/>
          <w:highlight w:val="none"/>
        </w:rPr>
        <w:t>1.</w:t>
      </w:r>
      <w:r>
        <w:rPr>
          <w:rFonts w:hint="eastAsia" w:ascii="宋体" w:hAnsi="宋体" w:cs="宋体"/>
          <w:color w:val="auto"/>
          <w:sz w:val="24"/>
          <w:highlight w:val="none"/>
        </w:rPr>
        <w:t>中</w:t>
      </w:r>
      <w:r>
        <w:rPr>
          <w:rFonts w:ascii="宋体" w:hAnsi="宋体"/>
          <w:color w:val="auto"/>
          <w:sz w:val="24"/>
          <w:highlight w:val="none"/>
        </w:rPr>
        <w:t>标人需要有完整的技术支持体系和售后服务体系，</w:t>
      </w:r>
      <w:r>
        <w:rPr>
          <w:rFonts w:hint="eastAsia" w:ascii="宋体" w:hAnsi="宋体" w:cs="宋体"/>
          <w:color w:val="auto"/>
          <w:sz w:val="24"/>
          <w:highlight w:val="none"/>
        </w:rPr>
        <w:t>中</w:t>
      </w:r>
      <w:r>
        <w:rPr>
          <w:rFonts w:ascii="宋体" w:hAnsi="宋体"/>
          <w:color w:val="auto"/>
          <w:sz w:val="24"/>
          <w:highlight w:val="none"/>
        </w:rPr>
        <w:t>标人须为本项目提供一年的免费维护（维护日期从</w:t>
      </w:r>
      <w:r>
        <w:rPr>
          <w:rFonts w:hint="eastAsia" w:ascii="宋体" w:hAnsi="宋体" w:cs="宋体"/>
          <w:color w:val="auto"/>
          <w:sz w:val="24"/>
          <w:highlight w:val="none"/>
        </w:rPr>
        <w:t>项目验收</w:t>
      </w:r>
      <w:r>
        <w:rPr>
          <w:rFonts w:ascii="宋体" w:hAnsi="宋体"/>
          <w:color w:val="auto"/>
          <w:sz w:val="24"/>
          <w:highlight w:val="none"/>
        </w:rPr>
        <w:t>之日起计算）；维护内容为</w:t>
      </w:r>
      <w:r>
        <w:rPr>
          <w:rFonts w:hint="eastAsia" w:ascii="宋体" w:hAnsi="宋体" w:cs="宋体"/>
          <w:color w:val="auto"/>
          <w:sz w:val="24"/>
          <w:highlight w:val="none"/>
        </w:rPr>
        <w:t>中</w:t>
      </w:r>
      <w:r>
        <w:rPr>
          <w:rFonts w:ascii="宋体" w:hAnsi="宋体"/>
          <w:color w:val="auto"/>
          <w:sz w:val="24"/>
          <w:highlight w:val="none"/>
        </w:rPr>
        <w:t>标人所提供的全部成果资料。</w:t>
      </w:r>
    </w:p>
    <w:p>
      <w:pPr>
        <w:tabs>
          <w:tab w:val="left" w:pos="7560"/>
        </w:tabs>
        <w:adjustRightInd w:val="0"/>
        <w:snapToGrid w:val="0"/>
        <w:spacing w:line="360" w:lineRule="auto"/>
        <w:ind w:firstLine="480" w:firstLineChars="200"/>
        <w:rPr>
          <w:rFonts w:ascii="宋体" w:hAnsi="宋体"/>
          <w:i/>
          <w:color w:val="auto"/>
          <w:sz w:val="24"/>
          <w:highlight w:val="none"/>
        </w:rPr>
      </w:pPr>
      <w:r>
        <w:rPr>
          <w:rFonts w:hint="eastAsia" w:ascii="宋体" w:hAnsi="宋体"/>
          <w:color w:val="auto"/>
          <w:sz w:val="24"/>
          <w:highlight w:val="none"/>
        </w:rPr>
        <w:t>2.</w:t>
      </w:r>
      <w:r>
        <w:rPr>
          <w:rFonts w:ascii="宋体" w:hAnsi="宋体"/>
          <w:color w:val="auto"/>
          <w:sz w:val="24"/>
          <w:highlight w:val="none"/>
        </w:rPr>
        <w:t>为保证技术支持和售后服务工作的有效进行，要求参与技术支持和售后服务人员应具备下列基本条件：</w:t>
      </w:r>
    </w:p>
    <w:p>
      <w:pPr>
        <w:tabs>
          <w:tab w:val="left" w:pos="7560"/>
        </w:tabs>
        <w:adjustRightInd w:val="0"/>
        <w:snapToGrid w:val="0"/>
        <w:spacing w:line="360" w:lineRule="auto"/>
        <w:ind w:firstLine="480" w:firstLineChars="200"/>
        <w:rPr>
          <w:rFonts w:ascii="宋体" w:hAnsi="宋体"/>
          <w:i/>
          <w:color w:val="auto"/>
          <w:sz w:val="24"/>
          <w:highlight w:val="none"/>
        </w:rPr>
      </w:pPr>
      <w:r>
        <w:rPr>
          <w:rFonts w:ascii="宋体" w:hAnsi="宋体"/>
          <w:color w:val="auto"/>
          <w:sz w:val="24"/>
          <w:highlight w:val="none"/>
        </w:rPr>
        <w:t>（1）主要负责人参与了本项目的</w:t>
      </w:r>
      <w:r>
        <w:rPr>
          <w:rFonts w:hint="eastAsia" w:ascii="宋体" w:hAnsi="宋体"/>
          <w:color w:val="auto"/>
          <w:sz w:val="24"/>
          <w:highlight w:val="none"/>
        </w:rPr>
        <w:t>地下管线</w:t>
      </w:r>
      <w:r>
        <w:rPr>
          <w:rFonts w:ascii="宋体" w:hAnsi="宋体"/>
          <w:color w:val="auto"/>
          <w:sz w:val="24"/>
          <w:highlight w:val="none"/>
        </w:rPr>
        <w:t>普查</w:t>
      </w:r>
      <w:r>
        <w:rPr>
          <w:rFonts w:hint="eastAsia" w:ascii="宋体" w:hAnsi="宋体"/>
          <w:color w:val="auto"/>
          <w:sz w:val="24"/>
          <w:highlight w:val="none"/>
        </w:rPr>
        <w:t>监理</w:t>
      </w:r>
      <w:r>
        <w:rPr>
          <w:rFonts w:ascii="宋体" w:hAnsi="宋体"/>
          <w:color w:val="auto"/>
          <w:sz w:val="24"/>
          <w:highlight w:val="none"/>
        </w:rPr>
        <w:t>工作；</w:t>
      </w:r>
    </w:p>
    <w:p>
      <w:pPr>
        <w:tabs>
          <w:tab w:val="left" w:pos="7560"/>
        </w:tabs>
        <w:adjustRightInd w:val="0"/>
        <w:snapToGrid w:val="0"/>
        <w:spacing w:line="360" w:lineRule="auto"/>
        <w:ind w:firstLine="480" w:firstLineChars="200"/>
        <w:rPr>
          <w:rFonts w:ascii="宋体" w:hAnsi="宋体"/>
          <w:i/>
          <w:color w:val="auto"/>
          <w:sz w:val="24"/>
          <w:highlight w:val="none"/>
        </w:rPr>
      </w:pPr>
      <w:r>
        <w:rPr>
          <w:rFonts w:ascii="宋体" w:hAnsi="宋体"/>
          <w:color w:val="auto"/>
          <w:sz w:val="24"/>
          <w:highlight w:val="none"/>
        </w:rPr>
        <w:t>（2）熟练掌握本项目的相关技术。</w:t>
      </w:r>
    </w:p>
    <w:p>
      <w:pPr>
        <w:spacing w:line="360" w:lineRule="auto"/>
        <w:ind w:firstLine="480" w:firstLineChars="200"/>
        <w:rPr>
          <w:rFonts w:eastAsia="仿宋"/>
          <w:color w:val="auto"/>
          <w:sz w:val="30"/>
          <w:szCs w:val="30"/>
          <w:highlight w:val="none"/>
        </w:rPr>
      </w:pPr>
      <w:r>
        <w:rPr>
          <w:rFonts w:hint="eastAsia" w:ascii="宋体" w:hAnsi="宋体"/>
          <w:color w:val="auto"/>
          <w:sz w:val="24"/>
          <w:highlight w:val="none"/>
        </w:rPr>
        <w:t>3.在一年的免费维护期内</w:t>
      </w:r>
      <w:r>
        <w:rPr>
          <w:rFonts w:ascii="宋体" w:hAnsi="宋体"/>
          <w:color w:val="auto"/>
          <w:sz w:val="24"/>
          <w:highlight w:val="none"/>
        </w:rPr>
        <w:t>提供</w:t>
      </w:r>
      <w:r>
        <w:rPr>
          <w:rFonts w:hint="eastAsia" w:ascii="宋体" w:hAnsi="宋体"/>
          <w:color w:val="auto"/>
          <w:sz w:val="24"/>
          <w:highlight w:val="none"/>
        </w:rPr>
        <w:t>每日12</w:t>
      </w:r>
      <w:r>
        <w:rPr>
          <w:rFonts w:ascii="宋体" w:hAnsi="宋体"/>
          <w:color w:val="auto"/>
          <w:sz w:val="24"/>
          <w:highlight w:val="none"/>
        </w:rPr>
        <w:t>小时服务和技术支持。对采购人的服务通知，在接报后1小时内响应。电话或远程无法解决的问题必须到达现场处理的，交通及其它费用由中标人负责。</w:t>
      </w:r>
    </w:p>
    <w:p>
      <w:pPr>
        <w:pStyle w:val="7"/>
        <w:rPr>
          <w:rFonts w:ascii="宋体" w:hAnsi="宋体"/>
          <w:color w:val="auto"/>
          <w:sz w:val="24"/>
          <w:highlight w:val="none"/>
        </w:rPr>
      </w:pPr>
      <w:r>
        <w:rPr>
          <w:rFonts w:ascii="Times New Roman" w:hAnsi="Times New Roman"/>
          <w:color w:val="auto"/>
          <w:kern w:val="2"/>
          <w:sz w:val="24"/>
          <w:szCs w:val="24"/>
          <w:highlight w:val="none"/>
        </w:rPr>
        <w:t>4.3.2.4.4</w:t>
      </w:r>
      <w:r>
        <w:rPr>
          <w:rFonts w:hint="eastAsia" w:ascii="宋体" w:hAnsi="宋体"/>
          <w:color w:val="auto"/>
          <w:sz w:val="24"/>
          <w:highlight w:val="none"/>
        </w:rPr>
        <w:t>工期要求</w:t>
      </w:r>
    </w:p>
    <w:p>
      <w:pPr>
        <w:spacing w:line="400" w:lineRule="exact"/>
        <w:ind w:firstLine="480" w:firstLineChars="200"/>
        <w:rPr>
          <w:rFonts w:ascii="宋体" w:hAnsi="宋体" w:cs="宋体"/>
          <w:color w:val="auto"/>
          <w:sz w:val="24"/>
          <w:highlight w:val="none"/>
        </w:rPr>
      </w:pPr>
      <w:r>
        <w:rPr>
          <w:rFonts w:hint="eastAsia" w:ascii="宋体" w:hAnsi="宋体"/>
          <w:color w:val="auto"/>
          <w:sz w:val="24"/>
          <w:highlight w:val="none"/>
        </w:rPr>
        <w:t>中标人自签订合同之日起直至地下管线普查成果更新项目完成验收。</w:t>
      </w:r>
      <w:r>
        <w:rPr>
          <w:rFonts w:hint="eastAsia" w:ascii="宋体" w:hAnsi="宋体" w:cs="宋体"/>
          <w:color w:val="auto"/>
          <w:sz w:val="24"/>
          <w:highlight w:val="none"/>
        </w:rPr>
        <w:t>（最终完成时间不晚于2022年6月30日）</w:t>
      </w:r>
    </w:p>
    <w:p>
      <w:pPr>
        <w:spacing w:line="360" w:lineRule="auto"/>
        <w:ind w:firstLine="480" w:firstLineChars="200"/>
        <w:rPr>
          <w:rFonts w:ascii="宋体" w:hAnsi="宋体"/>
          <w:color w:val="auto"/>
          <w:sz w:val="24"/>
          <w:highlight w:val="none"/>
        </w:rPr>
      </w:pPr>
    </w:p>
    <w:p>
      <w:pPr>
        <w:pStyle w:val="7"/>
        <w:rPr>
          <w:rFonts w:ascii="宋体" w:hAnsi="宋体"/>
          <w:color w:val="auto"/>
          <w:sz w:val="24"/>
          <w:highlight w:val="none"/>
        </w:rPr>
      </w:pPr>
      <w:r>
        <w:rPr>
          <w:rFonts w:ascii="Times New Roman" w:hAnsi="Times New Roman"/>
          <w:color w:val="auto"/>
          <w:kern w:val="2"/>
          <w:sz w:val="24"/>
          <w:szCs w:val="24"/>
          <w:highlight w:val="none"/>
        </w:rPr>
        <w:t>4.3.2.4.5</w:t>
      </w:r>
      <w:r>
        <w:rPr>
          <w:rFonts w:hint="eastAsia" w:ascii="宋体" w:hAnsi="宋体"/>
          <w:color w:val="auto"/>
          <w:sz w:val="24"/>
          <w:highlight w:val="none"/>
        </w:rPr>
        <w:t>合同价款</w:t>
      </w:r>
    </w:p>
    <w:p>
      <w:pPr>
        <w:spacing w:line="360" w:lineRule="auto"/>
        <w:ind w:firstLine="465"/>
        <w:jc w:val="left"/>
        <w:rPr>
          <w:rFonts w:ascii="宋体" w:hAnsi="宋体" w:cs="宋体"/>
          <w:b/>
          <w:color w:val="auto"/>
          <w:sz w:val="24"/>
          <w:highlight w:val="none"/>
        </w:rPr>
      </w:pPr>
      <w:r>
        <w:rPr>
          <w:rFonts w:hint="eastAsia" w:ascii="宋体" w:hAnsi="宋体" w:cs="宋体"/>
          <w:b/>
          <w:color w:val="auto"/>
          <w:sz w:val="24"/>
          <w:highlight w:val="none"/>
        </w:rPr>
        <w:t>1.合同为单价合同，合同总金额不超过本包件的中标金额。</w:t>
      </w:r>
    </w:p>
    <w:p>
      <w:pPr>
        <w:spacing w:line="360" w:lineRule="auto"/>
        <w:ind w:firstLine="465"/>
        <w:jc w:val="left"/>
        <w:rPr>
          <w:rFonts w:ascii="宋体" w:hAnsi="宋体" w:cs="宋体"/>
          <w:b/>
          <w:color w:val="auto"/>
          <w:sz w:val="24"/>
          <w:highlight w:val="none"/>
        </w:rPr>
      </w:pPr>
      <w:r>
        <w:rPr>
          <w:rFonts w:hint="eastAsia" w:ascii="宋体" w:hAnsi="宋体" w:cs="宋体"/>
          <w:b/>
          <w:color w:val="auto"/>
          <w:sz w:val="24"/>
          <w:highlight w:val="none"/>
        </w:rPr>
        <w:t>2.合同总金额=中标单价×地下管线实际提交长度，实际提交长度为入库合格后的全野外探测、内外业结合核实探测管线长度。合同总金额超出本包件的中标金额时按照中标金额结算。</w:t>
      </w:r>
    </w:p>
    <w:p>
      <w:pPr>
        <w:pStyle w:val="2"/>
        <w:ind w:firstLine="482" w:firstLineChars="200"/>
        <w:rPr>
          <w:color w:val="auto"/>
          <w:highlight w:val="none"/>
        </w:rPr>
      </w:pPr>
      <w:r>
        <w:rPr>
          <w:rFonts w:hint="eastAsia" w:ascii="宋体" w:hAnsi="宋体" w:cs="宋体"/>
          <w:b/>
          <w:color w:val="auto"/>
          <w:sz w:val="24"/>
          <w:highlight w:val="none"/>
        </w:rPr>
        <w:t>3.可直接利用的地下管线普查成果不计入经费计算。</w:t>
      </w:r>
    </w:p>
    <w:p>
      <w:pPr>
        <w:pStyle w:val="7"/>
        <w:rPr>
          <w:rFonts w:ascii="宋体" w:hAnsi="宋体"/>
          <w:color w:val="auto"/>
          <w:sz w:val="24"/>
          <w:highlight w:val="none"/>
        </w:rPr>
      </w:pPr>
      <w:r>
        <w:rPr>
          <w:rFonts w:ascii="Times New Roman" w:hAnsi="Times New Roman"/>
          <w:color w:val="auto"/>
          <w:kern w:val="2"/>
          <w:sz w:val="24"/>
          <w:szCs w:val="24"/>
          <w:highlight w:val="none"/>
        </w:rPr>
        <w:t>4.3.2.4.6</w:t>
      </w:r>
      <w:r>
        <w:rPr>
          <w:rFonts w:hint="eastAsia" w:ascii="宋体" w:hAnsi="宋体"/>
          <w:color w:val="auto"/>
          <w:sz w:val="24"/>
          <w:highlight w:val="none"/>
        </w:rPr>
        <w:t>付款方式</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合同签订后15</w:t>
      </w:r>
      <w:r>
        <w:rPr>
          <w:rFonts w:hint="eastAsia" w:ascii="宋体" w:hAnsi="宋体"/>
          <w:color w:val="auto"/>
          <w:sz w:val="24"/>
          <w:highlight w:val="none"/>
        </w:rPr>
        <w:t>个工作</w:t>
      </w:r>
      <w:r>
        <w:rPr>
          <w:rFonts w:ascii="宋体" w:hAnsi="宋体"/>
          <w:color w:val="auto"/>
          <w:sz w:val="24"/>
          <w:highlight w:val="none"/>
        </w:rPr>
        <w:t>日内，</w:t>
      </w:r>
      <w:r>
        <w:rPr>
          <w:rFonts w:hint="eastAsia" w:ascii="宋体" w:hAnsi="宋体"/>
          <w:color w:val="auto"/>
          <w:sz w:val="24"/>
          <w:highlight w:val="none"/>
        </w:rPr>
        <w:t>采购人</w:t>
      </w:r>
      <w:r>
        <w:rPr>
          <w:rFonts w:ascii="宋体" w:hAnsi="宋体"/>
          <w:color w:val="auto"/>
          <w:sz w:val="24"/>
          <w:highlight w:val="none"/>
        </w:rPr>
        <w:t>向</w:t>
      </w:r>
      <w:r>
        <w:rPr>
          <w:rFonts w:hint="eastAsia" w:ascii="宋体" w:hAnsi="宋体"/>
          <w:color w:val="auto"/>
          <w:sz w:val="24"/>
          <w:highlight w:val="none"/>
        </w:rPr>
        <w:t>中标人</w:t>
      </w:r>
      <w:r>
        <w:rPr>
          <w:rFonts w:ascii="宋体" w:hAnsi="宋体"/>
          <w:color w:val="auto"/>
          <w:sz w:val="24"/>
          <w:highlight w:val="none"/>
        </w:rPr>
        <w:t>支付</w:t>
      </w:r>
      <w:r>
        <w:rPr>
          <w:rFonts w:hint="eastAsia" w:ascii="宋体" w:hAnsi="宋体"/>
          <w:color w:val="auto"/>
          <w:sz w:val="24"/>
          <w:highlight w:val="none"/>
        </w:rPr>
        <w:t>预算金额</w:t>
      </w:r>
      <w:r>
        <w:rPr>
          <w:rFonts w:ascii="宋体" w:hAnsi="宋体"/>
          <w:color w:val="auto"/>
          <w:sz w:val="24"/>
          <w:highlight w:val="none"/>
        </w:rPr>
        <w:t>的</w:t>
      </w:r>
      <w:r>
        <w:rPr>
          <w:rFonts w:hint="eastAsia" w:ascii="宋体" w:hAnsi="宋体"/>
          <w:color w:val="auto"/>
          <w:sz w:val="24"/>
          <w:highlight w:val="none"/>
          <w:u w:val="single"/>
        </w:rPr>
        <w:t xml:space="preserve"> 30 </w:t>
      </w:r>
      <w:r>
        <w:rPr>
          <w:rFonts w:ascii="宋体" w:hAnsi="宋体"/>
          <w:color w:val="auto"/>
          <w:sz w:val="24"/>
          <w:highlight w:val="none"/>
        </w:rPr>
        <w:t>%</w:t>
      </w:r>
      <w:r>
        <w:rPr>
          <w:rFonts w:hint="eastAsia" w:ascii="宋体" w:hAnsi="宋体"/>
          <w:color w:val="auto"/>
          <w:sz w:val="24"/>
          <w:highlight w:val="none"/>
        </w:rPr>
        <w:t>作为首付款</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olor w:val="auto"/>
          <w:sz w:val="24"/>
          <w:highlight w:val="none"/>
        </w:rPr>
        <w:t>2. 2022年4月底前，采购人</w:t>
      </w:r>
      <w:r>
        <w:rPr>
          <w:rFonts w:ascii="宋体" w:hAnsi="宋体"/>
          <w:color w:val="auto"/>
          <w:sz w:val="24"/>
          <w:highlight w:val="none"/>
        </w:rPr>
        <w:t>向</w:t>
      </w:r>
      <w:r>
        <w:rPr>
          <w:rFonts w:hint="eastAsia" w:ascii="宋体" w:hAnsi="宋体"/>
          <w:color w:val="auto"/>
          <w:sz w:val="24"/>
          <w:highlight w:val="none"/>
        </w:rPr>
        <w:t>中标人支付第一次进度款。第一次进度款=（</w:t>
      </w:r>
      <w:r>
        <w:rPr>
          <w:rFonts w:hint="eastAsia" w:ascii="宋体" w:hAnsi="宋体" w:cs="宋体"/>
          <w:color w:val="auto"/>
          <w:sz w:val="24"/>
          <w:highlight w:val="none"/>
        </w:rPr>
        <w:t>中标单价</w:t>
      </w:r>
      <w:r>
        <w:rPr>
          <w:rFonts w:ascii="宋体" w:hAnsi="宋体"/>
          <w:color w:val="auto"/>
          <w:sz w:val="24"/>
          <w:highlight w:val="none"/>
        </w:rPr>
        <w:t>×</w:t>
      </w:r>
      <w:r>
        <w:rPr>
          <w:rFonts w:hint="eastAsia" w:ascii="宋体" w:hAnsi="宋体" w:cs="宋体"/>
          <w:color w:val="auto"/>
          <w:sz w:val="24"/>
          <w:highlight w:val="none"/>
        </w:rPr>
        <w:t>地下管线实际提交长度）</w:t>
      </w:r>
      <w:r>
        <w:rPr>
          <w:rFonts w:ascii="宋体" w:hAnsi="宋体"/>
          <w:color w:val="auto"/>
          <w:sz w:val="24"/>
          <w:highlight w:val="none"/>
        </w:rPr>
        <w:t>×</w:t>
      </w:r>
      <w:r>
        <w:rPr>
          <w:rFonts w:hint="eastAsia" w:ascii="宋体" w:hAnsi="宋体"/>
          <w:color w:val="auto"/>
          <w:sz w:val="24"/>
          <w:highlight w:val="none"/>
        </w:rPr>
        <w:t>60%-首付款，</w:t>
      </w:r>
      <w:r>
        <w:rPr>
          <w:rFonts w:hint="eastAsia" w:ascii="宋体" w:hAnsi="宋体" w:cs="宋体"/>
          <w:color w:val="auto"/>
          <w:sz w:val="24"/>
          <w:highlight w:val="none"/>
        </w:rPr>
        <w:t>若第一次进度款计算为零或负数，则不支付。第一次进度款中实际提交长度为经</w:t>
      </w:r>
      <w:r>
        <w:rPr>
          <w:rFonts w:hint="eastAsia" w:ascii="宋体" w:hAnsi="宋体"/>
          <w:color w:val="auto"/>
          <w:sz w:val="24"/>
          <w:highlight w:val="none"/>
        </w:rPr>
        <w:t>监理单位检查合格的管线长度。</w:t>
      </w:r>
    </w:p>
    <w:p>
      <w:pPr>
        <w:pStyle w:val="2"/>
        <w:spacing w:line="360" w:lineRule="auto"/>
        <w:ind w:firstLine="544" w:firstLineChars="227"/>
        <w:rPr>
          <w:color w:val="auto"/>
          <w:highlight w:val="none"/>
        </w:rPr>
      </w:pPr>
      <w:r>
        <w:rPr>
          <w:rFonts w:hint="eastAsia" w:ascii="宋体" w:hAnsi="宋体"/>
          <w:color w:val="auto"/>
          <w:sz w:val="24"/>
          <w:highlight w:val="none"/>
        </w:rPr>
        <w:t>3.管线普查作业单位将管线普查成果全部提交中标人检查合格，并经测绘成果</w:t>
      </w:r>
      <w:r>
        <w:rPr>
          <w:rFonts w:ascii="宋体" w:hAnsi="宋体"/>
          <w:color w:val="auto"/>
          <w:sz w:val="24"/>
          <w:highlight w:val="none"/>
        </w:rPr>
        <w:t>质量检验机构检验</w:t>
      </w:r>
      <w:r>
        <w:rPr>
          <w:rFonts w:hint="eastAsia" w:ascii="宋体" w:hAnsi="宋体"/>
          <w:color w:val="auto"/>
          <w:sz w:val="24"/>
          <w:highlight w:val="none"/>
        </w:rPr>
        <w:t>全部</w:t>
      </w:r>
      <w:r>
        <w:rPr>
          <w:rFonts w:ascii="宋体" w:hAnsi="宋体"/>
          <w:color w:val="auto"/>
          <w:sz w:val="24"/>
          <w:highlight w:val="none"/>
        </w:rPr>
        <w:t>合格后，</w:t>
      </w:r>
      <w:r>
        <w:rPr>
          <w:rFonts w:hint="eastAsia" w:ascii="宋体" w:hAnsi="宋体"/>
          <w:color w:val="auto"/>
          <w:sz w:val="24"/>
          <w:highlight w:val="none"/>
        </w:rPr>
        <w:t>采购人于</w:t>
      </w:r>
      <w:r>
        <w:rPr>
          <w:rFonts w:ascii="宋体" w:hAnsi="宋体"/>
          <w:color w:val="auto"/>
          <w:sz w:val="24"/>
          <w:highlight w:val="none"/>
        </w:rPr>
        <w:t>15</w:t>
      </w:r>
      <w:r>
        <w:rPr>
          <w:rFonts w:hint="eastAsia" w:ascii="宋体" w:hAnsi="宋体"/>
          <w:color w:val="auto"/>
          <w:sz w:val="24"/>
          <w:highlight w:val="none"/>
        </w:rPr>
        <w:t>个工作</w:t>
      </w:r>
      <w:r>
        <w:rPr>
          <w:rFonts w:ascii="宋体" w:hAnsi="宋体"/>
          <w:color w:val="auto"/>
          <w:sz w:val="24"/>
          <w:highlight w:val="none"/>
        </w:rPr>
        <w:t>日</w:t>
      </w:r>
      <w:r>
        <w:rPr>
          <w:rFonts w:hint="eastAsia" w:ascii="宋体" w:hAnsi="宋体"/>
          <w:color w:val="auto"/>
          <w:sz w:val="24"/>
          <w:highlight w:val="none"/>
        </w:rPr>
        <w:t>内向中标人支付第二次进度款。第二次进度款=（</w:t>
      </w:r>
      <w:r>
        <w:rPr>
          <w:rFonts w:hint="eastAsia" w:ascii="宋体" w:hAnsi="宋体" w:cs="宋体"/>
          <w:color w:val="auto"/>
          <w:sz w:val="24"/>
          <w:highlight w:val="none"/>
        </w:rPr>
        <w:t>中标单价</w:t>
      </w:r>
      <w:r>
        <w:rPr>
          <w:rFonts w:ascii="宋体" w:hAnsi="宋体"/>
          <w:color w:val="auto"/>
          <w:sz w:val="24"/>
          <w:highlight w:val="none"/>
        </w:rPr>
        <w:t>×</w:t>
      </w:r>
      <w:r>
        <w:rPr>
          <w:rFonts w:hint="eastAsia" w:ascii="宋体" w:hAnsi="宋体" w:cs="宋体"/>
          <w:color w:val="auto"/>
          <w:sz w:val="24"/>
          <w:highlight w:val="none"/>
        </w:rPr>
        <w:t>地下管线实际提交长度）</w:t>
      </w:r>
      <w:r>
        <w:rPr>
          <w:rFonts w:ascii="宋体" w:hAnsi="宋体"/>
          <w:color w:val="auto"/>
          <w:sz w:val="24"/>
          <w:highlight w:val="none"/>
        </w:rPr>
        <w:t>×</w:t>
      </w:r>
      <w:r>
        <w:rPr>
          <w:rFonts w:hint="eastAsia" w:ascii="宋体" w:hAnsi="宋体"/>
          <w:color w:val="auto"/>
          <w:sz w:val="24"/>
          <w:highlight w:val="none"/>
        </w:rPr>
        <w:t>80</w:t>
      </w:r>
      <w:r>
        <w:rPr>
          <w:rFonts w:ascii="宋体" w:hAnsi="宋体"/>
          <w:color w:val="auto"/>
          <w:sz w:val="24"/>
          <w:highlight w:val="none"/>
        </w:rPr>
        <w:t>%</w:t>
      </w:r>
      <w:r>
        <w:rPr>
          <w:rFonts w:hint="eastAsia" w:ascii="宋体" w:hAnsi="宋体"/>
          <w:color w:val="auto"/>
          <w:sz w:val="24"/>
          <w:highlight w:val="none"/>
        </w:rPr>
        <w:t>-首付款-第一次进度款，</w:t>
      </w:r>
      <w:r>
        <w:rPr>
          <w:rFonts w:hint="eastAsia" w:ascii="宋体" w:hAnsi="宋体" w:cs="宋体"/>
          <w:color w:val="auto"/>
          <w:sz w:val="24"/>
          <w:highlight w:val="none"/>
        </w:rPr>
        <w:t>若第二次进度款计算为零或负数，则不支付。</w:t>
      </w:r>
      <w:r>
        <w:rPr>
          <w:rFonts w:hint="eastAsia" w:ascii="宋体" w:hAnsi="宋体"/>
          <w:color w:val="auto"/>
          <w:sz w:val="24"/>
          <w:highlight w:val="none"/>
        </w:rPr>
        <w:t>第二次进度款中</w:t>
      </w:r>
      <w:r>
        <w:rPr>
          <w:rFonts w:hint="eastAsia" w:ascii="宋体" w:hAnsi="宋体" w:cs="宋体"/>
          <w:bCs/>
          <w:color w:val="auto"/>
          <w:sz w:val="24"/>
          <w:highlight w:val="none"/>
        </w:rPr>
        <w:t>实际提交长度为经质量检验合格后</w:t>
      </w:r>
      <w:r>
        <w:rPr>
          <w:rFonts w:hint="eastAsia" w:ascii="宋体" w:hAnsi="宋体" w:cs="宋体"/>
          <w:color w:val="auto"/>
          <w:sz w:val="24"/>
          <w:highlight w:val="none"/>
        </w:rPr>
        <w:t>的管线长度。</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4.全部管线普查成果完成整合检查、汇交入库，且项目通过项目验收后</w:t>
      </w:r>
      <w:r>
        <w:rPr>
          <w:rFonts w:hint="eastAsia" w:ascii="宋体" w:hAnsi="宋体"/>
          <w:color w:val="auto"/>
          <w:sz w:val="24"/>
          <w:highlight w:val="none"/>
          <w:u w:val="single"/>
        </w:rPr>
        <w:t>60</w:t>
      </w:r>
      <w:r>
        <w:rPr>
          <w:rFonts w:hint="eastAsia" w:ascii="宋体" w:hAnsi="宋体"/>
          <w:color w:val="auto"/>
          <w:sz w:val="24"/>
          <w:highlight w:val="none"/>
        </w:rPr>
        <w:t>个工作日内采购人向中标人支付尾款。尾款=合同总金额-首付款-第一次进度款-第二次进度款。</w:t>
      </w:r>
    </w:p>
    <w:p>
      <w:pPr>
        <w:spacing w:line="360" w:lineRule="auto"/>
        <w:ind w:firstLine="424" w:firstLineChars="177"/>
        <w:rPr>
          <w:rFonts w:ascii="宋体" w:hAnsi="宋体"/>
          <w:b/>
          <w:color w:val="auto"/>
          <w:sz w:val="24"/>
          <w:highlight w:val="none"/>
        </w:rPr>
      </w:pPr>
      <w:r>
        <w:rPr>
          <w:rFonts w:hint="eastAsia" w:ascii="宋体" w:hAnsi="宋体"/>
          <w:color w:val="auto"/>
          <w:sz w:val="24"/>
          <w:highlight w:val="none"/>
        </w:rPr>
        <w:t>5.支付每笔款项前，中标人须按项目进度及要求提交付款申请，并出具等额的发票。</w:t>
      </w:r>
    </w:p>
    <w:p>
      <w:pPr>
        <w:pStyle w:val="7"/>
        <w:rPr>
          <w:rFonts w:ascii="宋体" w:hAnsi="宋体"/>
          <w:color w:val="auto"/>
          <w:sz w:val="24"/>
          <w:highlight w:val="none"/>
        </w:rPr>
      </w:pPr>
      <w:r>
        <w:rPr>
          <w:rFonts w:ascii="Times New Roman" w:hAnsi="Times New Roman"/>
          <w:color w:val="auto"/>
          <w:kern w:val="2"/>
          <w:sz w:val="24"/>
          <w:szCs w:val="24"/>
          <w:highlight w:val="none"/>
        </w:rPr>
        <w:t>4.3.2.4.7</w:t>
      </w:r>
      <w:r>
        <w:rPr>
          <w:rFonts w:hint="eastAsia" w:ascii="宋体" w:hAnsi="宋体"/>
          <w:color w:val="auto"/>
          <w:sz w:val="24"/>
          <w:highlight w:val="none"/>
        </w:rPr>
        <w:t>验收标准</w:t>
      </w:r>
    </w:p>
    <w:p>
      <w:pPr>
        <w:pStyle w:val="2"/>
        <w:spacing w:line="360" w:lineRule="auto"/>
        <w:ind w:firstLine="424" w:firstLineChars="177"/>
        <w:rPr>
          <w:rFonts w:ascii="宋体" w:hAnsi="宋体" w:cs="宋体"/>
          <w:bCs/>
          <w:color w:val="auto"/>
          <w:sz w:val="24"/>
          <w:highlight w:val="none"/>
        </w:rPr>
      </w:pPr>
      <w:r>
        <w:rPr>
          <w:rFonts w:hint="eastAsia" w:ascii="宋体" w:hAnsi="宋体" w:cs="宋体"/>
          <w:bCs/>
          <w:color w:val="auto"/>
          <w:sz w:val="24"/>
          <w:highlight w:val="none"/>
        </w:rPr>
        <w:t>1.项目完成后，由</w:t>
      </w:r>
      <w:r>
        <w:rPr>
          <w:rFonts w:hint="eastAsia" w:ascii="宋体" w:hAnsi="宋体"/>
          <w:color w:val="auto"/>
          <w:sz w:val="24"/>
          <w:highlight w:val="none"/>
        </w:rPr>
        <w:t>中标人</w:t>
      </w:r>
      <w:r>
        <w:rPr>
          <w:rFonts w:hint="eastAsia" w:ascii="宋体" w:hAnsi="宋体" w:cs="宋体"/>
          <w:bCs/>
          <w:color w:val="auto"/>
          <w:sz w:val="24"/>
          <w:highlight w:val="none"/>
        </w:rPr>
        <w:t>向采购人提供全部监理成果。</w:t>
      </w:r>
    </w:p>
    <w:p>
      <w:pPr>
        <w:pStyle w:val="2"/>
        <w:spacing w:line="360" w:lineRule="auto"/>
        <w:ind w:firstLine="424" w:firstLineChars="177"/>
        <w:rPr>
          <w:rFonts w:ascii="宋体" w:hAnsi="宋体" w:cs="宋体"/>
          <w:bCs/>
          <w:color w:val="auto"/>
          <w:sz w:val="24"/>
          <w:highlight w:val="none"/>
        </w:rPr>
      </w:pPr>
      <w:r>
        <w:rPr>
          <w:rFonts w:hint="eastAsia" w:ascii="宋体" w:hAnsi="宋体" w:cs="宋体"/>
          <w:bCs/>
          <w:color w:val="auto"/>
          <w:sz w:val="24"/>
          <w:highlight w:val="none"/>
        </w:rPr>
        <w:t>2.项目验收由采购人组织实施，</w:t>
      </w:r>
      <w:r>
        <w:rPr>
          <w:rFonts w:hint="eastAsia" w:ascii="宋体" w:hAnsi="宋体"/>
          <w:color w:val="auto"/>
          <w:sz w:val="24"/>
          <w:highlight w:val="none"/>
        </w:rPr>
        <w:t>中标人</w:t>
      </w:r>
      <w:r>
        <w:rPr>
          <w:rFonts w:hint="eastAsia" w:ascii="宋体" w:hAnsi="宋体" w:cs="宋体"/>
          <w:bCs/>
          <w:color w:val="auto"/>
          <w:sz w:val="24"/>
          <w:highlight w:val="none"/>
        </w:rPr>
        <w:t>与采购人严格按照《财政部关于进一步加强政府采购需求和履约验收管理的指导意见》（财库〔2016〕205号）等相关规定的要求进行验收。</w:t>
      </w:r>
    </w:p>
    <w:p>
      <w:pPr>
        <w:widowControl/>
        <w:jc w:val="left"/>
        <w:rPr>
          <w:rFonts w:ascii="宋体" w:hAnsi="宋体" w:cs="宋体"/>
          <w:b/>
          <w:bCs/>
          <w:color w:val="auto"/>
          <w:kern w:val="0"/>
          <w:sz w:val="28"/>
          <w:szCs w:val="28"/>
          <w:highlight w:val="none"/>
        </w:rPr>
      </w:pPr>
      <w:r>
        <w:rPr>
          <w:color w:val="auto"/>
          <w:highlight w:val="none"/>
        </w:rPr>
        <w:br w:type="page"/>
      </w:r>
    </w:p>
    <w:p>
      <w:pPr>
        <w:pStyle w:val="5"/>
        <w:rPr>
          <w:color w:val="auto"/>
          <w:highlight w:val="none"/>
        </w:rPr>
      </w:pPr>
      <w:bookmarkStart w:id="266" w:name="_Toc79654082"/>
      <w:r>
        <w:rPr>
          <w:rFonts w:ascii="Times New Roman" w:hAnsi="Times New Roman" w:cs="Times New Roman"/>
          <w:color w:val="auto"/>
          <w:highlight w:val="none"/>
        </w:rPr>
        <w:t>4.3.3</w:t>
      </w:r>
      <w:r>
        <w:rPr>
          <w:rFonts w:hint="eastAsia"/>
          <w:color w:val="auto"/>
          <w:highlight w:val="none"/>
        </w:rPr>
        <w:t>地下管线普查成果更新质检服务（包件7）</w:t>
      </w:r>
      <w:bookmarkEnd w:id="266"/>
    </w:p>
    <w:p>
      <w:pPr>
        <w:pStyle w:val="6"/>
        <w:rPr>
          <w:rFonts w:cs="Times New Roman"/>
          <w:color w:val="auto"/>
          <w:sz w:val="24"/>
          <w:highlight w:val="none"/>
        </w:rPr>
      </w:pPr>
      <w:r>
        <w:rPr>
          <w:rFonts w:ascii="Times New Roman" w:hAnsi="Times New Roman" w:cs="Times New Roman"/>
          <w:color w:val="auto"/>
          <w:sz w:val="24"/>
          <w:highlight w:val="none"/>
        </w:rPr>
        <w:t>4.3.3.1</w:t>
      </w:r>
      <w:r>
        <w:rPr>
          <w:rFonts w:hint="eastAsia" w:cs="Times New Roman"/>
          <w:color w:val="auto"/>
          <w:sz w:val="24"/>
          <w:highlight w:val="none"/>
        </w:rPr>
        <w:t>项目概述</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根据《国务院办公厅关于加强城市地下管线建设管理的指导意见》（国办发〔2014〕27号）、《四川省人民政府关于加强城镇地下管线建设管理的意见》（川府发〔2014〕52号）、《住房和城乡建设部工业和信息化部国家广播电视总局国家能源局关于进一步加强城市地下管线建设管理有关工作的通知》（建城〔2019〕100号）等文件要求，结合《成都市</w:t>
      </w:r>
      <w:r>
        <w:rPr>
          <w:rFonts w:ascii="宋体" w:hAnsi="宋体"/>
          <w:color w:val="auto"/>
          <w:sz w:val="24"/>
          <w:highlight w:val="none"/>
        </w:rPr>
        <w:t>地下管线普查成果更新</w:t>
      </w:r>
      <w:r>
        <w:rPr>
          <w:rFonts w:hint="eastAsia" w:ascii="宋体" w:hAnsi="宋体"/>
          <w:color w:val="auto"/>
          <w:sz w:val="24"/>
          <w:highlight w:val="none"/>
        </w:rPr>
        <w:t>工作</w:t>
      </w:r>
      <w:r>
        <w:rPr>
          <w:rFonts w:ascii="宋体" w:hAnsi="宋体"/>
          <w:color w:val="auto"/>
          <w:sz w:val="24"/>
          <w:highlight w:val="none"/>
        </w:rPr>
        <w:t>方案</w:t>
      </w:r>
      <w:r>
        <w:rPr>
          <w:rFonts w:hint="eastAsia" w:ascii="宋体" w:hAnsi="宋体"/>
          <w:color w:val="auto"/>
          <w:sz w:val="24"/>
          <w:highlight w:val="none"/>
        </w:rPr>
        <w:t>》（成管</w:t>
      </w:r>
      <w:r>
        <w:rPr>
          <w:rFonts w:ascii="宋体" w:hAnsi="宋体"/>
          <w:color w:val="auto"/>
          <w:sz w:val="24"/>
          <w:highlight w:val="none"/>
        </w:rPr>
        <w:t>普领</w:t>
      </w:r>
      <w:r>
        <w:rPr>
          <w:rFonts w:hint="eastAsia" w:ascii="宋体" w:hAnsi="宋体"/>
          <w:color w:val="auto"/>
          <w:sz w:val="24"/>
          <w:highlight w:val="none"/>
        </w:rPr>
        <w:t>〔20</w:t>
      </w:r>
      <w:r>
        <w:rPr>
          <w:rFonts w:ascii="宋体" w:hAnsi="宋体"/>
          <w:color w:val="auto"/>
          <w:sz w:val="24"/>
          <w:highlight w:val="none"/>
        </w:rPr>
        <w:t>20</w:t>
      </w:r>
      <w:r>
        <w:rPr>
          <w:rFonts w:hint="eastAsia" w:ascii="宋体" w:hAnsi="宋体"/>
          <w:color w:val="auto"/>
          <w:sz w:val="24"/>
          <w:highlight w:val="none"/>
        </w:rPr>
        <w:t>〕1号）、《成都市</w:t>
      </w:r>
      <w:r>
        <w:rPr>
          <w:rFonts w:ascii="宋体" w:hAnsi="宋体"/>
          <w:color w:val="auto"/>
          <w:sz w:val="24"/>
          <w:highlight w:val="none"/>
        </w:rPr>
        <w:t>地下管线普查成果更新</w:t>
      </w:r>
      <w:r>
        <w:rPr>
          <w:rFonts w:hint="eastAsia" w:ascii="宋体" w:hAnsi="宋体"/>
          <w:color w:val="auto"/>
          <w:sz w:val="24"/>
          <w:highlight w:val="none"/>
        </w:rPr>
        <w:t>实施</w:t>
      </w:r>
      <w:r>
        <w:rPr>
          <w:rFonts w:ascii="宋体" w:hAnsi="宋体"/>
          <w:color w:val="auto"/>
          <w:sz w:val="24"/>
          <w:highlight w:val="none"/>
        </w:rPr>
        <w:t>方案</w:t>
      </w:r>
      <w:r>
        <w:rPr>
          <w:rFonts w:hint="eastAsia" w:ascii="宋体" w:hAnsi="宋体"/>
          <w:color w:val="auto"/>
          <w:sz w:val="24"/>
          <w:highlight w:val="none"/>
        </w:rPr>
        <w:t>》（成管</w:t>
      </w:r>
      <w:r>
        <w:rPr>
          <w:rFonts w:ascii="宋体" w:hAnsi="宋体"/>
          <w:color w:val="auto"/>
          <w:sz w:val="24"/>
          <w:highlight w:val="none"/>
        </w:rPr>
        <w:t>普</w:t>
      </w:r>
      <w:r>
        <w:rPr>
          <w:rFonts w:hint="eastAsia" w:ascii="宋体" w:hAnsi="宋体"/>
          <w:color w:val="auto"/>
          <w:sz w:val="24"/>
          <w:highlight w:val="none"/>
        </w:rPr>
        <w:t>办〔20</w:t>
      </w:r>
      <w:r>
        <w:rPr>
          <w:rFonts w:ascii="宋体" w:hAnsi="宋体"/>
          <w:color w:val="auto"/>
          <w:sz w:val="24"/>
          <w:highlight w:val="none"/>
        </w:rPr>
        <w:t>20</w:t>
      </w: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号）、《成都市</w:t>
      </w:r>
      <w:r>
        <w:rPr>
          <w:rFonts w:ascii="宋体" w:hAnsi="宋体"/>
          <w:color w:val="auto"/>
          <w:sz w:val="24"/>
          <w:highlight w:val="none"/>
        </w:rPr>
        <w:t>地下管线普查成果更新</w:t>
      </w:r>
      <w:r>
        <w:rPr>
          <w:rFonts w:hint="eastAsia" w:ascii="宋体" w:hAnsi="宋体"/>
          <w:color w:val="auto"/>
          <w:sz w:val="24"/>
          <w:highlight w:val="none"/>
        </w:rPr>
        <w:t>技术</w:t>
      </w:r>
      <w:r>
        <w:rPr>
          <w:rFonts w:ascii="宋体" w:hAnsi="宋体"/>
          <w:color w:val="auto"/>
          <w:sz w:val="24"/>
          <w:highlight w:val="none"/>
        </w:rPr>
        <w:t>方案</w:t>
      </w:r>
      <w:r>
        <w:rPr>
          <w:rFonts w:hint="eastAsia" w:ascii="宋体" w:hAnsi="宋体"/>
          <w:color w:val="auto"/>
          <w:sz w:val="24"/>
          <w:highlight w:val="none"/>
        </w:rPr>
        <w:t>》（成管</w:t>
      </w:r>
      <w:r>
        <w:rPr>
          <w:rFonts w:ascii="宋体" w:hAnsi="宋体"/>
          <w:color w:val="auto"/>
          <w:sz w:val="24"/>
          <w:highlight w:val="none"/>
        </w:rPr>
        <w:t>普</w:t>
      </w:r>
      <w:r>
        <w:rPr>
          <w:rFonts w:hint="eastAsia" w:ascii="宋体" w:hAnsi="宋体"/>
          <w:color w:val="auto"/>
          <w:sz w:val="24"/>
          <w:highlight w:val="none"/>
        </w:rPr>
        <w:t>办〔20</w:t>
      </w:r>
      <w:r>
        <w:rPr>
          <w:rFonts w:ascii="宋体" w:hAnsi="宋体"/>
          <w:color w:val="auto"/>
          <w:sz w:val="24"/>
          <w:highlight w:val="none"/>
        </w:rPr>
        <w:t>20</w:t>
      </w:r>
      <w:r>
        <w:rPr>
          <w:rFonts w:hint="eastAsia" w:ascii="宋体" w:hAnsi="宋体"/>
          <w:color w:val="auto"/>
          <w:sz w:val="24"/>
          <w:highlight w:val="none"/>
        </w:rPr>
        <w:t>〕7号）等文件</w:t>
      </w:r>
      <w:r>
        <w:rPr>
          <w:rFonts w:ascii="宋体" w:hAnsi="宋体"/>
          <w:color w:val="auto"/>
          <w:sz w:val="24"/>
          <w:highlight w:val="none"/>
        </w:rPr>
        <w:t>通知，</w:t>
      </w:r>
      <w:r>
        <w:rPr>
          <w:rFonts w:hint="eastAsia" w:ascii="宋体" w:hAnsi="宋体"/>
          <w:color w:val="auto"/>
          <w:sz w:val="24"/>
          <w:highlight w:val="none"/>
        </w:rPr>
        <w:t>在现有地下管线普查成果基础上，开展城市地下管线普查成果更新工作。我区（市）县拟按照上级要求，结合本地实际情况，摸清</w:t>
      </w:r>
      <w:r>
        <w:rPr>
          <w:rFonts w:ascii="宋体" w:hAnsi="宋体"/>
          <w:color w:val="auto"/>
          <w:sz w:val="24"/>
          <w:highlight w:val="none"/>
        </w:rPr>
        <w:t>城市地下管线</w:t>
      </w:r>
      <w:r>
        <w:rPr>
          <w:rFonts w:hint="eastAsia" w:ascii="宋体" w:hAnsi="宋体"/>
          <w:color w:val="auto"/>
          <w:sz w:val="24"/>
          <w:highlight w:val="none"/>
        </w:rPr>
        <w:t>现状</w:t>
      </w:r>
      <w:r>
        <w:rPr>
          <w:rFonts w:ascii="宋体" w:hAnsi="宋体"/>
          <w:color w:val="auto"/>
          <w:sz w:val="24"/>
          <w:highlight w:val="none"/>
        </w:rPr>
        <w:t>和短板，加强基础数据整合，实现地下管线基础信息标准化、数字化管理，建立健全地下管线基础信息</w:t>
      </w:r>
      <w:r>
        <w:rPr>
          <w:rFonts w:hint="eastAsia" w:ascii="宋体" w:hAnsi="宋体"/>
          <w:color w:val="auto"/>
          <w:sz w:val="24"/>
          <w:highlight w:val="none"/>
        </w:rPr>
        <w:t>动</w:t>
      </w:r>
      <w:r>
        <w:rPr>
          <w:rFonts w:ascii="宋体" w:hAnsi="宋体"/>
          <w:color w:val="auto"/>
          <w:sz w:val="24"/>
          <w:highlight w:val="none"/>
        </w:rPr>
        <w:t>态更新和成果应用机制，为智慧城市规划建设和管理运行提供科学支撑</w:t>
      </w:r>
      <w:r>
        <w:rPr>
          <w:rFonts w:hint="eastAsia" w:ascii="宋体" w:hAnsi="宋体"/>
          <w:color w:val="auto"/>
          <w:sz w:val="24"/>
          <w:highlight w:val="none"/>
        </w:rPr>
        <w:t>。</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为了保障地下管线普查成果更新工作的成果质量，现对地下管线普查成果更新质检服务进行采购。</w:t>
      </w:r>
    </w:p>
    <w:p>
      <w:pPr>
        <w:pStyle w:val="6"/>
        <w:rPr>
          <w:rFonts w:cs="Times New Roman"/>
          <w:color w:val="auto"/>
          <w:sz w:val="24"/>
          <w:highlight w:val="none"/>
        </w:rPr>
      </w:pPr>
      <w:r>
        <w:rPr>
          <w:rFonts w:ascii="Times New Roman" w:hAnsi="Times New Roman" w:cs="Times New Roman"/>
          <w:color w:val="auto"/>
          <w:sz w:val="24"/>
          <w:highlight w:val="none"/>
        </w:rPr>
        <w:t>4.3.3.2</w:t>
      </w:r>
      <w:r>
        <w:rPr>
          <w:rFonts w:hint="eastAsia" w:cs="Times New Roman"/>
          <w:color w:val="auto"/>
          <w:sz w:val="24"/>
          <w:highlight w:val="none"/>
        </w:rPr>
        <w:t>服务清单</w:t>
      </w:r>
    </w:p>
    <w:tbl>
      <w:tblPr>
        <w:tblStyle w:val="43"/>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2637"/>
        <w:gridCol w:w="5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104" w:type="dxa"/>
            <w:noWrap/>
            <w:vAlign w:val="center"/>
          </w:tcPr>
          <w:p>
            <w:pPr>
              <w:spacing w:after="156" w:afterLines="50" w:line="420" w:lineRule="exact"/>
              <w:jc w:val="center"/>
              <w:rPr>
                <w:rFonts w:ascii="宋体" w:hAnsi="宋体" w:cs="宋体"/>
                <w:i/>
                <w:color w:val="auto"/>
                <w:sz w:val="24"/>
                <w:highlight w:val="none"/>
              </w:rPr>
            </w:pPr>
            <w:r>
              <w:rPr>
                <w:rFonts w:hint="eastAsia" w:ascii="宋体" w:hAnsi="宋体" w:cs="宋体"/>
                <w:color w:val="auto"/>
                <w:sz w:val="24"/>
                <w:highlight w:val="none"/>
              </w:rPr>
              <w:t>序号</w:t>
            </w:r>
          </w:p>
        </w:tc>
        <w:tc>
          <w:tcPr>
            <w:tcW w:w="2637" w:type="dxa"/>
            <w:noWrap/>
            <w:vAlign w:val="center"/>
          </w:tcPr>
          <w:p>
            <w:pPr>
              <w:spacing w:after="156" w:afterLines="50" w:line="420" w:lineRule="exact"/>
              <w:jc w:val="center"/>
              <w:rPr>
                <w:rFonts w:ascii="宋体" w:hAnsi="宋体" w:cs="宋体"/>
                <w:i/>
                <w:color w:val="auto"/>
                <w:sz w:val="24"/>
                <w:highlight w:val="none"/>
              </w:rPr>
            </w:pPr>
            <w:r>
              <w:rPr>
                <w:rFonts w:hint="eastAsia" w:ascii="宋体" w:hAnsi="宋体" w:cs="宋体"/>
                <w:color w:val="auto"/>
                <w:sz w:val="24"/>
                <w:highlight w:val="none"/>
              </w:rPr>
              <w:t>名称</w:t>
            </w:r>
          </w:p>
        </w:tc>
        <w:tc>
          <w:tcPr>
            <w:tcW w:w="5156" w:type="dxa"/>
            <w:noWrap/>
            <w:vAlign w:val="center"/>
          </w:tcPr>
          <w:p>
            <w:pPr>
              <w:spacing w:after="156" w:afterLines="50" w:line="420" w:lineRule="exact"/>
              <w:jc w:val="center"/>
              <w:rPr>
                <w:rFonts w:ascii="宋体" w:hAnsi="宋体" w:cs="宋体"/>
                <w:i/>
                <w:color w:val="auto"/>
                <w:sz w:val="24"/>
                <w:highlight w:val="none"/>
              </w:rPr>
            </w:pPr>
            <w:r>
              <w:rPr>
                <w:rFonts w:hint="eastAsia" w:ascii="宋体" w:hAnsi="宋体" w:cs="宋体"/>
                <w:color w:val="auto"/>
                <w:sz w:val="24"/>
                <w:highlight w:val="none"/>
              </w:rPr>
              <w:t>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104" w:type="dxa"/>
            <w:noWrap/>
            <w:vAlign w:val="center"/>
          </w:tcPr>
          <w:p>
            <w:pPr>
              <w:spacing w:after="156" w:afterLines="50" w:line="420" w:lineRule="exact"/>
              <w:jc w:val="center"/>
              <w:rPr>
                <w:rFonts w:ascii="宋体" w:hAnsi="宋体" w:cs="宋体"/>
                <w:i/>
                <w:color w:val="auto"/>
                <w:sz w:val="24"/>
                <w:highlight w:val="none"/>
              </w:rPr>
            </w:pPr>
            <w:r>
              <w:rPr>
                <w:rFonts w:hint="eastAsia" w:ascii="宋体" w:hAnsi="宋体" w:cs="宋体"/>
                <w:color w:val="auto"/>
                <w:sz w:val="24"/>
                <w:highlight w:val="none"/>
              </w:rPr>
              <w:t>1</w:t>
            </w:r>
          </w:p>
        </w:tc>
        <w:tc>
          <w:tcPr>
            <w:tcW w:w="2637" w:type="dxa"/>
            <w:noWrap/>
            <w:vAlign w:val="center"/>
          </w:tcPr>
          <w:p>
            <w:pPr>
              <w:spacing w:after="156" w:afterLines="50" w:line="420" w:lineRule="exact"/>
              <w:jc w:val="center"/>
              <w:rPr>
                <w:rFonts w:ascii="宋体" w:hAnsi="宋体" w:cs="宋体"/>
                <w:bCs/>
                <w:iCs/>
                <w:color w:val="auto"/>
                <w:sz w:val="24"/>
                <w:highlight w:val="none"/>
              </w:rPr>
            </w:pPr>
            <w:r>
              <w:rPr>
                <w:rFonts w:hint="eastAsia" w:ascii="宋体" w:hAnsi="宋体" w:cs="宋体"/>
                <w:bCs/>
                <w:iCs/>
                <w:color w:val="auto"/>
                <w:sz w:val="24"/>
                <w:highlight w:val="none"/>
              </w:rPr>
              <w:t>成都市双流区地下管线普查成果更新项目采购（包件7）</w:t>
            </w:r>
          </w:p>
        </w:tc>
        <w:tc>
          <w:tcPr>
            <w:tcW w:w="5156" w:type="dxa"/>
            <w:noWrap/>
            <w:vAlign w:val="center"/>
          </w:tcPr>
          <w:p>
            <w:pPr>
              <w:spacing w:after="156" w:afterLines="50" w:line="420" w:lineRule="exact"/>
              <w:jc w:val="center"/>
              <w:rPr>
                <w:rFonts w:ascii="宋体" w:hAnsi="宋体" w:cs="宋体"/>
                <w:iCs/>
                <w:color w:val="auto"/>
                <w:sz w:val="24"/>
                <w:highlight w:val="none"/>
              </w:rPr>
            </w:pPr>
            <w:r>
              <w:rPr>
                <w:rFonts w:hint="eastAsia" w:ascii="宋体" w:hAnsi="宋体" w:cs="宋体"/>
                <w:iCs/>
                <w:color w:val="auto"/>
                <w:sz w:val="24"/>
                <w:highlight w:val="none"/>
              </w:rPr>
              <w:t>地下管线普查成果更新质检服务</w:t>
            </w:r>
          </w:p>
        </w:tc>
      </w:tr>
    </w:tbl>
    <w:p>
      <w:pPr>
        <w:pStyle w:val="6"/>
        <w:rPr>
          <w:rFonts w:cs="Times New Roman"/>
          <w:color w:val="auto"/>
          <w:sz w:val="24"/>
          <w:highlight w:val="none"/>
        </w:rPr>
      </w:pPr>
      <w:r>
        <w:rPr>
          <w:rFonts w:ascii="Times New Roman" w:hAnsi="Times New Roman" w:cs="Times New Roman"/>
          <w:color w:val="auto"/>
          <w:sz w:val="24"/>
          <w:highlight w:val="none"/>
        </w:rPr>
        <w:t>4.3.3.3</w:t>
      </w:r>
      <w:r>
        <w:rPr>
          <w:rFonts w:hint="eastAsia" w:cs="Times New Roman"/>
          <w:color w:val="auto"/>
          <w:sz w:val="24"/>
          <w:highlight w:val="none"/>
        </w:rPr>
        <w:t>技术服务要求</w:t>
      </w:r>
    </w:p>
    <w:p>
      <w:pPr>
        <w:pStyle w:val="7"/>
        <w:rPr>
          <w:rFonts w:ascii="宋体" w:hAnsi="宋体"/>
          <w:color w:val="auto"/>
          <w:sz w:val="24"/>
          <w:highlight w:val="none"/>
        </w:rPr>
      </w:pPr>
      <w:r>
        <w:rPr>
          <w:rFonts w:ascii="Times New Roman" w:hAnsi="Times New Roman"/>
          <w:color w:val="auto"/>
          <w:sz w:val="24"/>
          <w:highlight w:val="none"/>
        </w:rPr>
        <w:t>4.3.3.3.1</w:t>
      </w:r>
      <w:r>
        <w:rPr>
          <w:rFonts w:hint="eastAsia" w:ascii="宋体" w:hAnsi="宋体"/>
          <w:color w:val="auto"/>
          <w:sz w:val="24"/>
          <w:highlight w:val="none"/>
        </w:rPr>
        <w:t>项目概况</w:t>
      </w:r>
    </w:p>
    <w:p>
      <w:pPr>
        <w:pStyle w:val="7"/>
        <w:rPr>
          <w:rFonts w:ascii="宋体" w:hAnsi="宋体"/>
          <w:color w:val="auto"/>
          <w:sz w:val="24"/>
          <w:highlight w:val="none"/>
        </w:rPr>
      </w:pPr>
      <w:r>
        <w:rPr>
          <w:rFonts w:ascii="宋体" w:hAnsi="宋体"/>
          <w:color w:val="auto"/>
          <w:sz w:val="24"/>
          <w:highlight w:val="none"/>
        </w:rPr>
        <w:t>4.3.3.</w:t>
      </w:r>
      <w:r>
        <w:rPr>
          <w:rFonts w:hint="eastAsia" w:ascii="宋体" w:hAnsi="宋体"/>
          <w:color w:val="auto"/>
          <w:sz w:val="24"/>
          <w:highlight w:val="none"/>
        </w:rPr>
        <w:t>3.1.1工作依据</w:t>
      </w:r>
    </w:p>
    <w:p>
      <w:pPr>
        <w:spacing w:line="360" w:lineRule="auto"/>
        <w:ind w:firstLine="480" w:firstLineChars="200"/>
        <w:rPr>
          <w:rFonts w:ascii="宋体" w:hAnsi="宋体"/>
          <w:color w:val="auto"/>
          <w:sz w:val="24"/>
          <w:highlight w:val="none"/>
        </w:rPr>
      </w:pPr>
      <w:r>
        <w:rPr>
          <w:rFonts w:ascii="宋体" w:hAnsi="宋体"/>
          <w:color w:val="auto"/>
          <w:sz w:val="24"/>
          <w:highlight w:val="none"/>
        </w:rPr>
        <w:t>下列文件对于本文件的应用是必不可少的。凡是注有日期的引用文件，仅所注日期的版本适用于本文件。凡是不注日期的引用文件，其最新版本（包括所有的修改单）适用于本文件。</w:t>
      </w:r>
    </w:p>
    <w:p>
      <w:pPr>
        <w:spacing w:line="360" w:lineRule="auto"/>
        <w:ind w:firstLine="424" w:firstLineChars="177"/>
        <w:jc w:val="left"/>
        <w:rPr>
          <w:rFonts w:ascii="宋体" w:hAnsi="宋体"/>
          <w:color w:val="auto"/>
          <w:sz w:val="24"/>
          <w:highlight w:val="none"/>
        </w:rPr>
      </w:pPr>
      <w:r>
        <w:rPr>
          <w:rFonts w:ascii="宋体" w:hAnsi="宋体"/>
          <w:color w:val="auto"/>
          <w:sz w:val="24"/>
          <w:highlight w:val="none"/>
        </w:rPr>
        <w:t>1《测绘成果质量检查与验收》GB/T 24356；</w:t>
      </w:r>
    </w:p>
    <w:p>
      <w:pPr>
        <w:spacing w:line="360" w:lineRule="auto"/>
        <w:ind w:firstLine="424" w:firstLineChars="177"/>
        <w:jc w:val="left"/>
        <w:rPr>
          <w:rFonts w:ascii="宋体" w:hAnsi="宋体"/>
          <w:color w:val="auto"/>
          <w:sz w:val="24"/>
          <w:highlight w:val="none"/>
        </w:rPr>
      </w:pPr>
      <w:r>
        <w:rPr>
          <w:rFonts w:hint="eastAsia" w:ascii="宋体" w:hAnsi="宋体"/>
          <w:color w:val="auto"/>
          <w:sz w:val="24"/>
          <w:highlight w:val="none"/>
        </w:rPr>
        <w:t>2《数字测绘成果质量检查与验收》GB/T 1831</w:t>
      </w:r>
      <w:r>
        <w:rPr>
          <w:rFonts w:ascii="宋体" w:hAnsi="宋体"/>
          <w:color w:val="auto"/>
          <w:sz w:val="24"/>
          <w:highlight w:val="none"/>
        </w:rPr>
        <w:t>6</w:t>
      </w:r>
      <w:r>
        <w:rPr>
          <w:rFonts w:hint="eastAsia" w:ascii="宋体" w:hAnsi="宋体"/>
          <w:color w:val="auto"/>
          <w:sz w:val="24"/>
          <w:highlight w:val="none"/>
        </w:rPr>
        <w:t>；</w:t>
      </w:r>
    </w:p>
    <w:p>
      <w:pPr>
        <w:spacing w:line="360" w:lineRule="auto"/>
        <w:ind w:firstLine="424" w:firstLineChars="177"/>
        <w:jc w:val="left"/>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《全球定位系统（GPS）测量规范》GB/T 18314；</w:t>
      </w:r>
    </w:p>
    <w:p>
      <w:pPr>
        <w:spacing w:line="360" w:lineRule="auto"/>
        <w:ind w:firstLine="424" w:firstLineChars="177"/>
        <w:jc w:val="left"/>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《国家基本比例尺地图图式第1部分1:500、1:1000、1:2000地形图图式》GB/T 20257.1；</w:t>
      </w:r>
    </w:p>
    <w:p>
      <w:pPr>
        <w:spacing w:line="360" w:lineRule="auto"/>
        <w:ind w:firstLine="424" w:firstLineChars="177"/>
        <w:jc w:val="left"/>
        <w:rPr>
          <w:rFonts w:ascii="宋体" w:hAnsi="宋体"/>
          <w:color w:val="auto"/>
          <w:sz w:val="24"/>
          <w:highlight w:val="none"/>
        </w:rPr>
      </w:pPr>
      <w:r>
        <w:rPr>
          <w:rFonts w:hint="eastAsia" w:ascii="宋体" w:hAnsi="宋体"/>
          <w:color w:val="auto"/>
          <w:sz w:val="24"/>
          <w:highlight w:val="none"/>
        </w:rPr>
        <w:t>5《中华人民共和国行政区划代码》GB/T 2260；</w:t>
      </w:r>
    </w:p>
    <w:p>
      <w:pPr>
        <w:spacing w:line="360" w:lineRule="auto"/>
        <w:ind w:firstLine="424" w:firstLineChars="177"/>
        <w:jc w:val="left"/>
        <w:rPr>
          <w:rFonts w:ascii="宋体" w:hAnsi="宋体"/>
          <w:color w:val="auto"/>
          <w:sz w:val="24"/>
          <w:highlight w:val="none"/>
        </w:rPr>
      </w:pPr>
      <w:r>
        <w:rPr>
          <w:rFonts w:hint="eastAsia" w:ascii="宋体" w:hAnsi="宋体"/>
          <w:color w:val="auto"/>
          <w:sz w:val="24"/>
          <w:highlight w:val="none"/>
        </w:rPr>
        <w:t>6《城市地下管线探测技术规程》CJJ61；</w:t>
      </w:r>
    </w:p>
    <w:p>
      <w:pPr>
        <w:spacing w:line="360" w:lineRule="auto"/>
        <w:ind w:firstLine="424" w:firstLineChars="177"/>
        <w:jc w:val="left"/>
        <w:rPr>
          <w:rFonts w:ascii="宋体" w:hAnsi="宋体"/>
          <w:color w:val="auto"/>
          <w:sz w:val="24"/>
          <w:highlight w:val="none"/>
        </w:rPr>
      </w:pPr>
      <w:r>
        <w:rPr>
          <w:rFonts w:hint="eastAsia" w:ascii="宋体" w:hAnsi="宋体"/>
          <w:color w:val="auto"/>
          <w:sz w:val="24"/>
          <w:highlight w:val="none"/>
        </w:rPr>
        <w:t>7《城市测量规范》CJJ/T 8；</w:t>
      </w:r>
    </w:p>
    <w:p>
      <w:pPr>
        <w:spacing w:line="360" w:lineRule="auto"/>
        <w:ind w:firstLine="424" w:firstLineChars="177"/>
        <w:jc w:val="left"/>
        <w:rPr>
          <w:rFonts w:ascii="宋体" w:hAnsi="宋体"/>
          <w:color w:val="auto"/>
          <w:sz w:val="24"/>
          <w:highlight w:val="none"/>
        </w:rPr>
      </w:pPr>
      <w:r>
        <w:rPr>
          <w:rFonts w:hint="eastAsia" w:ascii="宋体" w:hAnsi="宋体"/>
          <w:color w:val="auto"/>
          <w:sz w:val="24"/>
          <w:highlight w:val="none"/>
        </w:rPr>
        <w:t>8《卫星定位城市测量技术标准》CJJ/T 73；</w:t>
      </w:r>
    </w:p>
    <w:p>
      <w:pPr>
        <w:spacing w:line="360" w:lineRule="auto"/>
        <w:ind w:firstLine="424" w:firstLineChars="177"/>
        <w:jc w:val="left"/>
        <w:rPr>
          <w:rFonts w:ascii="宋体" w:hAnsi="宋体"/>
          <w:color w:val="auto"/>
          <w:sz w:val="24"/>
          <w:highlight w:val="none"/>
        </w:rPr>
      </w:pPr>
      <w:r>
        <w:rPr>
          <w:rFonts w:hint="eastAsia" w:ascii="宋体" w:hAnsi="宋体"/>
          <w:color w:val="auto"/>
          <w:sz w:val="24"/>
          <w:highlight w:val="none"/>
        </w:rPr>
        <w:t>9《城市地下管线探测工程监理导则》RISN-TG011；</w:t>
      </w:r>
    </w:p>
    <w:p>
      <w:pPr>
        <w:spacing w:line="360" w:lineRule="auto"/>
        <w:ind w:firstLine="424" w:firstLineChars="177"/>
        <w:jc w:val="left"/>
        <w:rPr>
          <w:rFonts w:ascii="宋体" w:hAnsi="宋体"/>
          <w:color w:val="auto"/>
          <w:sz w:val="24"/>
          <w:highlight w:val="none"/>
        </w:rPr>
      </w:pPr>
      <w:r>
        <w:rPr>
          <w:rFonts w:hint="eastAsia" w:ascii="宋体" w:hAnsi="宋体"/>
          <w:color w:val="auto"/>
          <w:sz w:val="24"/>
          <w:highlight w:val="none"/>
        </w:rPr>
        <w:t>10《管线测量成果质量检验技术规程》CH/T 1033；</w:t>
      </w:r>
    </w:p>
    <w:p>
      <w:pPr>
        <w:spacing w:line="360" w:lineRule="auto"/>
        <w:ind w:firstLine="424" w:firstLineChars="177"/>
        <w:jc w:val="lef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1《城镇地下管线普查技术规程》DB51/T 2276-2016；</w:t>
      </w:r>
    </w:p>
    <w:p>
      <w:pPr>
        <w:spacing w:line="360" w:lineRule="auto"/>
        <w:ind w:firstLine="424" w:firstLineChars="177"/>
        <w:jc w:val="left"/>
        <w:rPr>
          <w:rFonts w:ascii="宋体" w:hAnsi="宋体"/>
          <w:color w:val="auto"/>
          <w:sz w:val="24"/>
          <w:highlight w:val="none"/>
        </w:rPr>
      </w:pPr>
      <w:r>
        <w:rPr>
          <w:rFonts w:hint="eastAsia" w:ascii="宋体" w:hAnsi="宋体"/>
          <w:color w:val="auto"/>
          <w:sz w:val="24"/>
          <w:highlight w:val="none"/>
        </w:rPr>
        <w:t>12《城镇地下管线普查数据规定》DB51/T 2277-2016；</w:t>
      </w:r>
    </w:p>
    <w:p>
      <w:pPr>
        <w:spacing w:line="360" w:lineRule="auto"/>
        <w:ind w:firstLine="424" w:firstLineChars="177"/>
        <w:jc w:val="left"/>
        <w:rPr>
          <w:rFonts w:ascii="宋体" w:hAnsi="宋体"/>
          <w:color w:val="auto"/>
          <w:sz w:val="24"/>
          <w:highlight w:val="none"/>
        </w:rPr>
      </w:pPr>
      <w:r>
        <w:rPr>
          <w:rFonts w:hint="eastAsia" w:ascii="宋体" w:hAnsi="宋体"/>
          <w:color w:val="auto"/>
          <w:sz w:val="24"/>
          <w:highlight w:val="none"/>
        </w:rPr>
        <w:t>13《城镇地下管线普查成果质量检验技术规定》DB51/T 2449-2018；</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14《电子文件归档光盘技术要求和应用规范》DA/38-2008；</w:t>
      </w:r>
    </w:p>
    <w:p>
      <w:pPr>
        <w:spacing w:line="360" w:lineRule="auto"/>
        <w:ind w:firstLine="425"/>
        <w:rPr>
          <w:rFonts w:ascii="宋体" w:hAnsi="宋体"/>
          <w:color w:val="auto"/>
          <w:sz w:val="24"/>
          <w:highlight w:val="none"/>
        </w:rPr>
      </w:pPr>
      <w:r>
        <w:rPr>
          <w:rFonts w:hint="eastAsia" w:ascii="宋体" w:hAnsi="宋体"/>
          <w:color w:val="auto"/>
          <w:sz w:val="24"/>
          <w:highlight w:val="none"/>
        </w:rPr>
        <w:t>15《成都市地下管线普查成果更新实施方案》；</w:t>
      </w:r>
    </w:p>
    <w:p>
      <w:pPr>
        <w:spacing w:line="360" w:lineRule="auto"/>
        <w:ind w:firstLine="426"/>
        <w:rPr>
          <w:rFonts w:ascii="宋体" w:hAnsi="宋体"/>
          <w:color w:val="auto"/>
          <w:sz w:val="24"/>
          <w:highlight w:val="none"/>
        </w:rPr>
      </w:pPr>
      <w:r>
        <w:rPr>
          <w:rFonts w:hint="eastAsia" w:ascii="宋体" w:hAnsi="宋体"/>
          <w:color w:val="auto"/>
          <w:sz w:val="24"/>
          <w:highlight w:val="none"/>
        </w:rPr>
        <w:t>16《成都市地下管线普查成果更新技术方案》。</w:t>
      </w:r>
    </w:p>
    <w:p>
      <w:pPr>
        <w:spacing w:before="312" w:beforeLines="100" w:line="360" w:lineRule="auto"/>
        <w:outlineLvl w:val="3"/>
        <w:rPr>
          <w:rFonts w:ascii="宋体" w:hAnsi="宋体"/>
          <w:b/>
          <w:bCs/>
          <w:color w:val="auto"/>
          <w:sz w:val="24"/>
          <w:highlight w:val="none"/>
        </w:rPr>
      </w:pPr>
      <w:r>
        <w:rPr>
          <w:rFonts w:ascii="宋体" w:hAnsi="宋体"/>
          <w:b/>
          <w:bCs/>
          <w:color w:val="auto"/>
          <w:sz w:val="24"/>
          <w:highlight w:val="none"/>
        </w:rPr>
        <w:t>4.3.3.</w:t>
      </w:r>
      <w:r>
        <w:rPr>
          <w:rFonts w:hint="eastAsia" w:ascii="宋体" w:hAnsi="宋体"/>
          <w:b/>
          <w:bCs/>
          <w:color w:val="auto"/>
          <w:sz w:val="24"/>
          <w:highlight w:val="none"/>
        </w:rPr>
        <w:t>3.1.2质检范围及预估工作量</w:t>
      </w:r>
    </w:p>
    <w:p>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对成都市双流区行政管理范围（城区范围、政府所在地城区范围）面积约466平方公里范围内地下管线普查进行质量检查，质检预估工作量：全野外探测、内外业结合核实探测管线长度合计约11000公里。</w:t>
      </w:r>
    </w:p>
    <w:p>
      <w:pPr>
        <w:pStyle w:val="7"/>
        <w:rPr>
          <w:rFonts w:ascii="宋体" w:hAnsi="宋体"/>
          <w:color w:val="auto"/>
          <w:sz w:val="24"/>
          <w:highlight w:val="none"/>
        </w:rPr>
      </w:pPr>
      <w:r>
        <w:rPr>
          <w:rFonts w:hint="eastAsia" w:ascii="宋体" w:hAnsi="宋体"/>
          <w:color w:val="auto"/>
          <w:sz w:val="24"/>
          <w:highlight w:val="none"/>
        </w:rPr>
        <w:t>4.3.3.3.2普查成果质量检验</w:t>
      </w:r>
    </w:p>
    <w:p>
      <w:pPr>
        <w:pStyle w:val="7"/>
        <w:rPr>
          <w:rFonts w:ascii="宋体" w:hAnsi="宋体"/>
          <w:color w:val="auto"/>
          <w:sz w:val="24"/>
          <w:highlight w:val="none"/>
        </w:rPr>
      </w:pPr>
      <w:r>
        <w:rPr>
          <w:rFonts w:ascii="宋体" w:hAnsi="宋体"/>
          <w:color w:val="auto"/>
          <w:sz w:val="24"/>
          <w:highlight w:val="none"/>
        </w:rPr>
        <w:t>4.3.3.</w:t>
      </w:r>
      <w:r>
        <w:rPr>
          <w:rFonts w:hint="eastAsia" w:ascii="宋体" w:hAnsi="宋体"/>
          <w:color w:val="auto"/>
          <w:sz w:val="24"/>
          <w:highlight w:val="none"/>
        </w:rPr>
        <w:t>3.2.1 基本要求</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1.依据</w:t>
      </w:r>
      <w:r>
        <w:rPr>
          <w:rFonts w:ascii="宋体" w:hAnsi="宋体"/>
          <w:color w:val="auto"/>
          <w:sz w:val="24"/>
          <w:highlight w:val="none"/>
        </w:rPr>
        <w:t>《</w:t>
      </w:r>
      <w:r>
        <w:rPr>
          <w:rFonts w:hint="eastAsia" w:ascii="宋体" w:hAnsi="宋体"/>
          <w:color w:val="auto"/>
          <w:sz w:val="24"/>
          <w:highlight w:val="none"/>
        </w:rPr>
        <w:t>四川省</w:t>
      </w:r>
      <w:r>
        <w:rPr>
          <w:rFonts w:ascii="宋体" w:hAnsi="宋体"/>
          <w:color w:val="auto"/>
          <w:sz w:val="24"/>
          <w:highlight w:val="none"/>
        </w:rPr>
        <w:t>测绘管理条例》</w:t>
      </w:r>
      <w:r>
        <w:rPr>
          <w:rFonts w:hint="eastAsia" w:ascii="宋体" w:hAnsi="宋体"/>
          <w:color w:val="auto"/>
          <w:sz w:val="24"/>
          <w:highlight w:val="none"/>
        </w:rPr>
        <w:t>规定：</w:t>
      </w:r>
      <w:r>
        <w:rPr>
          <w:rFonts w:ascii="宋体" w:hAnsi="宋体"/>
          <w:color w:val="auto"/>
          <w:sz w:val="24"/>
          <w:highlight w:val="none"/>
        </w:rPr>
        <w:t>使用财政资金达到规定</w:t>
      </w:r>
      <w:r>
        <w:rPr>
          <w:rFonts w:hint="eastAsia" w:ascii="宋体" w:hAnsi="宋体"/>
          <w:color w:val="auto"/>
          <w:sz w:val="24"/>
          <w:highlight w:val="none"/>
        </w:rPr>
        <w:t>标准</w:t>
      </w:r>
      <w:r>
        <w:rPr>
          <w:rFonts w:ascii="宋体" w:hAnsi="宋体"/>
          <w:color w:val="auto"/>
          <w:sz w:val="24"/>
          <w:highlight w:val="none"/>
        </w:rPr>
        <w:t>的</w:t>
      </w:r>
      <w:r>
        <w:rPr>
          <w:rFonts w:hint="eastAsia" w:ascii="宋体" w:hAnsi="宋体"/>
          <w:color w:val="auto"/>
          <w:sz w:val="24"/>
          <w:highlight w:val="none"/>
        </w:rPr>
        <w:t>其他</w:t>
      </w:r>
      <w:r>
        <w:rPr>
          <w:rFonts w:ascii="宋体" w:hAnsi="宋体"/>
          <w:color w:val="auto"/>
          <w:sz w:val="24"/>
          <w:highlight w:val="none"/>
        </w:rPr>
        <w:t>测绘项目</w:t>
      </w:r>
      <w:r>
        <w:rPr>
          <w:rFonts w:hint="eastAsia" w:ascii="宋体" w:hAnsi="宋体"/>
          <w:color w:val="auto"/>
          <w:sz w:val="24"/>
          <w:highlight w:val="none"/>
        </w:rPr>
        <w:t>成果</w:t>
      </w:r>
      <w:r>
        <w:rPr>
          <w:rFonts w:ascii="宋体" w:hAnsi="宋体"/>
          <w:color w:val="auto"/>
          <w:sz w:val="24"/>
          <w:highlight w:val="none"/>
        </w:rPr>
        <w:t>交付前应当经测绘质量</w:t>
      </w:r>
      <w:r>
        <w:rPr>
          <w:rFonts w:hint="eastAsia" w:ascii="宋体" w:hAnsi="宋体"/>
          <w:color w:val="auto"/>
          <w:sz w:val="24"/>
          <w:highlight w:val="none"/>
        </w:rPr>
        <w:t>检验</w:t>
      </w:r>
      <w:r>
        <w:rPr>
          <w:rFonts w:ascii="宋体" w:hAnsi="宋体"/>
          <w:color w:val="auto"/>
          <w:sz w:val="24"/>
          <w:highlight w:val="none"/>
        </w:rPr>
        <w:t>机构检验合格</w:t>
      </w:r>
      <w:r>
        <w:rPr>
          <w:rFonts w:hint="eastAsia" w:ascii="宋体" w:hAnsi="宋体"/>
          <w:color w:val="auto"/>
          <w:sz w:val="24"/>
          <w:highlight w:val="none"/>
        </w:rPr>
        <w:t>。</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2.标段</w:t>
      </w:r>
      <w:r>
        <w:rPr>
          <w:rFonts w:ascii="宋体" w:hAnsi="宋体"/>
          <w:color w:val="auto"/>
          <w:sz w:val="24"/>
          <w:highlight w:val="none"/>
        </w:rPr>
        <w:t>内</w:t>
      </w:r>
      <w:r>
        <w:rPr>
          <w:rFonts w:hint="eastAsia" w:ascii="宋体" w:hAnsi="宋体"/>
          <w:color w:val="auto"/>
          <w:sz w:val="24"/>
          <w:highlight w:val="none"/>
        </w:rPr>
        <w:t>地下管线普查更新成果通过监理单位检查完成后，可申请测绘质量检验机构对普查成果进行质量检验，普查成果通过管线权属单位核验后，测绘质量检验机构出具质量检验成果报告。</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3.主要检验依据</w:t>
      </w:r>
      <w:r>
        <w:rPr>
          <w:rFonts w:ascii="宋体" w:hAnsi="宋体"/>
          <w:color w:val="auto"/>
          <w:sz w:val="24"/>
          <w:highlight w:val="none"/>
        </w:rPr>
        <w:t>《测绘成果质量检查与验收》GB/T24356</w:t>
      </w:r>
      <w:r>
        <w:rPr>
          <w:rFonts w:hint="eastAsia" w:ascii="宋体" w:hAnsi="宋体"/>
          <w:color w:val="auto"/>
          <w:sz w:val="24"/>
          <w:highlight w:val="none"/>
        </w:rPr>
        <w:t>、《城镇地下管线普查成果质量检验技术规定》(DB51/T 2449—2018)和《管线测量成果质量检验技术规程》（CH/T 1033）。</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4.成果质量检验采用抽样检查，质量检验机构应对样本数据进行详查，对样本外数据进行概查。</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5.检验使用仪器设备的精度指标应不低于规范及设计对仪器设备精度指标的要求。</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6.质量检验应形成检验记录，记录应及时、完整、规范、清晰，所属错漏类别应明确，且应有检查人、记录人和校核人的签名，检验记录不能随意更改、增加和删除。</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7.质量检验中发现的问题及其处理记录应在检查记录中详细填写，应及时进行修改和返工。</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8.当检验批划分为多个批次进行检验时，各批次分别进行质量检验和质量评定。当各批次成果质量均评定为合格时，该检验成果质量评定为合格，否则为不合格。</w:t>
      </w:r>
    </w:p>
    <w:p>
      <w:pPr>
        <w:spacing w:before="312" w:beforeLines="100" w:line="360" w:lineRule="auto"/>
        <w:outlineLvl w:val="3"/>
        <w:rPr>
          <w:rFonts w:ascii="宋体" w:hAnsi="宋体"/>
          <w:b/>
          <w:bCs/>
          <w:color w:val="auto"/>
          <w:sz w:val="24"/>
          <w:highlight w:val="none"/>
        </w:rPr>
      </w:pPr>
      <w:r>
        <w:rPr>
          <w:rFonts w:ascii="宋体" w:hAnsi="宋体"/>
          <w:b/>
          <w:bCs/>
          <w:color w:val="auto"/>
          <w:sz w:val="24"/>
          <w:highlight w:val="none"/>
        </w:rPr>
        <w:t>4.3.3.</w:t>
      </w:r>
      <w:r>
        <w:rPr>
          <w:rFonts w:hint="eastAsia" w:ascii="宋体" w:hAnsi="宋体"/>
          <w:b/>
          <w:bCs/>
          <w:color w:val="auto"/>
          <w:sz w:val="24"/>
          <w:highlight w:val="none"/>
        </w:rPr>
        <w:t>3.2</w:t>
      </w:r>
      <w:r>
        <w:rPr>
          <w:rFonts w:ascii="宋体" w:hAnsi="宋体"/>
          <w:b/>
          <w:bCs/>
          <w:color w:val="auto"/>
          <w:sz w:val="24"/>
          <w:highlight w:val="none"/>
        </w:rPr>
        <w:t>.</w:t>
      </w:r>
      <w:r>
        <w:rPr>
          <w:rFonts w:hint="eastAsia" w:ascii="宋体" w:hAnsi="宋体"/>
          <w:b/>
          <w:bCs/>
          <w:color w:val="auto"/>
          <w:sz w:val="24"/>
          <w:highlight w:val="none"/>
        </w:rPr>
        <w:t>2工作流程</w:t>
      </w:r>
    </w:p>
    <w:p>
      <w:pPr>
        <w:pStyle w:val="2"/>
        <w:spacing w:line="360" w:lineRule="auto"/>
        <w:ind w:firstLine="424" w:firstLineChars="177"/>
        <w:jc w:val="left"/>
        <w:rPr>
          <w:rFonts w:ascii="宋体" w:hAnsi="宋体"/>
          <w:color w:val="auto"/>
          <w:sz w:val="24"/>
          <w:highlight w:val="none"/>
        </w:rPr>
      </w:pPr>
      <w:r>
        <w:rPr>
          <w:rFonts w:hint="eastAsia" w:ascii="宋体" w:hAnsi="宋体"/>
          <w:color w:val="auto"/>
          <w:sz w:val="24"/>
          <w:highlight w:val="none"/>
        </w:rPr>
        <w:t>检验工作流程包括检验前准备、抽样、成果质量检验、质量评定、报告编制和资料整理。</w:t>
      </w:r>
    </w:p>
    <w:p>
      <w:pPr>
        <w:spacing w:before="312" w:beforeLines="100" w:line="360" w:lineRule="auto"/>
        <w:outlineLvl w:val="3"/>
        <w:rPr>
          <w:rFonts w:ascii="宋体" w:hAnsi="宋体"/>
          <w:b/>
          <w:bCs/>
          <w:color w:val="auto"/>
          <w:sz w:val="24"/>
          <w:highlight w:val="none"/>
        </w:rPr>
      </w:pPr>
      <w:r>
        <w:rPr>
          <w:rFonts w:ascii="宋体" w:hAnsi="宋体"/>
          <w:b/>
          <w:bCs/>
          <w:color w:val="auto"/>
          <w:sz w:val="24"/>
          <w:highlight w:val="none"/>
        </w:rPr>
        <w:t>4.3.3.</w:t>
      </w:r>
      <w:r>
        <w:rPr>
          <w:rFonts w:hint="eastAsia" w:ascii="宋体" w:hAnsi="宋体"/>
          <w:b/>
          <w:bCs/>
          <w:color w:val="auto"/>
          <w:sz w:val="24"/>
          <w:highlight w:val="none"/>
        </w:rPr>
        <w:t>3.2</w:t>
      </w:r>
      <w:r>
        <w:rPr>
          <w:rFonts w:ascii="宋体" w:hAnsi="宋体"/>
          <w:b/>
          <w:bCs/>
          <w:color w:val="auto"/>
          <w:sz w:val="24"/>
          <w:highlight w:val="none"/>
        </w:rPr>
        <w:t>.</w:t>
      </w:r>
      <w:r>
        <w:rPr>
          <w:rFonts w:hint="eastAsia" w:ascii="宋体" w:hAnsi="宋体"/>
          <w:b/>
          <w:bCs/>
          <w:color w:val="auto"/>
          <w:sz w:val="24"/>
          <w:highlight w:val="none"/>
        </w:rPr>
        <w:t>3检验准备</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检验前应收集技术设计书及合同、技术标准、上一级检查资料，明确检验内容和方法，准备检验设备，制定工作计划，编制检验方案。</w:t>
      </w:r>
    </w:p>
    <w:p>
      <w:pPr>
        <w:spacing w:before="312" w:beforeLines="100" w:line="360" w:lineRule="auto"/>
        <w:outlineLvl w:val="3"/>
        <w:rPr>
          <w:rFonts w:ascii="宋体" w:hAnsi="宋体"/>
          <w:b/>
          <w:bCs/>
          <w:color w:val="auto"/>
          <w:sz w:val="24"/>
          <w:highlight w:val="none"/>
        </w:rPr>
      </w:pPr>
      <w:r>
        <w:rPr>
          <w:rFonts w:ascii="宋体" w:hAnsi="宋体"/>
          <w:b/>
          <w:bCs/>
          <w:color w:val="auto"/>
          <w:sz w:val="24"/>
          <w:highlight w:val="none"/>
        </w:rPr>
        <w:t>4.3.3.</w:t>
      </w:r>
      <w:r>
        <w:rPr>
          <w:rFonts w:hint="eastAsia" w:ascii="宋体" w:hAnsi="宋体"/>
          <w:b/>
          <w:bCs/>
          <w:color w:val="auto"/>
          <w:sz w:val="24"/>
          <w:highlight w:val="none"/>
        </w:rPr>
        <w:t>3.2</w:t>
      </w:r>
      <w:r>
        <w:rPr>
          <w:rFonts w:ascii="宋体" w:hAnsi="宋体"/>
          <w:b/>
          <w:bCs/>
          <w:color w:val="auto"/>
          <w:sz w:val="24"/>
          <w:highlight w:val="none"/>
        </w:rPr>
        <w:t>.</w:t>
      </w:r>
      <w:r>
        <w:rPr>
          <w:rFonts w:hint="eastAsia" w:ascii="宋体" w:hAnsi="宋体"/>
          <w:b/>
          <w:bCs/>
          <w:color w:val="auto"/>
          <w:sz w:val="24"/>
          <w:highlight w:val="none"/>
        </w:rPr>
        <w:t>4抽样</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1.单位成果确定</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（1）当检验管线取舍和合理性与完整性、关联成果一致性、符号与线划质量、注记质量、接边质量时，以图幅为单位划分单位成果。</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）当检验管线成果的数学精度时，以点为单位划分单位成果。</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）批成果应由同一技术设计书指导下生产的同等级、同规格单位成果汇集而成。</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2.检验批与样本量的确定</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（1）当检验的图幅单位成果总数大于等于201幅时，应以图幅为单位对全测区的成果划分检验批次，检验批次应最小，各批次的批量应均匀，批次确定宜与前期检验批次顺延。</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(2）样本量的确定应符合《管线测量成果质量检验技术规程》（CH/T 1033）附录A的规定。</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3.抽样方式</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抽样宜采用分层按比例随机抽样的方法从批成果中抽取样本，即将批成果按不同班组、不同困难类别组成不同的层，根据样本量在各层内分别按各层在批成果中所占比例确定各层中应抽取的单位成果数量，并使用简单随机抽样法抽取样本。</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(2)进行管线点的数学精度检验时，样本点应在批次中随机抽取，不宜限于样本图幅内。</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（3)下列资料按100%提取样品原件或复印件：</w:t>
      </w:r>
    </w:p>
    <w:p>
      <w:pPr>
        <w:spacing w:line="360" w:lineRule="auto"/>
        <w:ind w:firstLine="600" w:firstLineChars="250"/>
        <w:jc w:val="left"/>
        <w:rPr>
          <w:rFonts w:ascii="宋体" w:hAnsi="宋体" w:cs="仿宋"/>
          <w:color w:val="auto"/>
          <w:sz w:val="24"/>
          <w:highlight w:val="none"/>
        </w:rPr>
      </w:pPr>
      <w:r>
        <w:rPr>
          <w:rFonts w:hint="eastAsia" w:ascii="宋体" w:hAnsi="宋体" w:cs="仿宋"/>
          <w:color w:val="auto"/>
          <w:sz w:val="24"/>
          <w:highlight w:val="none"/>
        </w:rPr>
        <w:t>1）项目设计书、专业设计书、生产过程中的补充规定；</w:t>
      </w:r>
    </w:p>
    <w:p>
      <w:pPr>
        <w:spacing w:line="360" w:lineRule="auto"/>
        <w:ind w:firstLine="600" w:firstLineChars="250"/>
        <w:jc w:val="left"/>
        <w:rPr>
          <w:rFonts w:ascii="宋体" w:hAnsi="宋体" w:cs="仿宋"/>
          <w:color w:val="auto"/>
          <w:sz w:val="24"/>
          <w:highlight w:val="none"/>
        </w:rPr>
      </w:pPr>
      <w:r>
        <w:rPr>
          <w:rFonts w:hint="eastAsia" w:ascii="宋体" w:hAnsi="宋体" w:cs="仿宋"/>
          <w:color w:val="auto"/>
          <w:sz w:val="24"/>
          <w:highlight w:val="none"/>
        </w:rPr>
        <w:t>2）技术总结、结合表、图幅清单、检查报告及相应检查记录；</w:t>
      </w:r>
    </w:p>
    <w:p>
      <w:pPr>
        <w:spacing w:line="360" w:lineRule="auto"/>
        <w:ind w:firstLine="480" w:firstLineChars="200"/>
        <w:jc w:val="left"/>
        <w:rPr>
          <w:rFonts w:ascii="宋体" w:hAnsi="宋体" w:cs="仿宋"/>
          <w:color w:val="auto"/>
          <w:sz w:val="24"/>
          <w:highlight w:val="none"/>
        </w:rPr>
      </w:pPr>
      <w:r>
        <w:rPr>
          <w:rFonts w:hint="eastAsia" w:ascii="宋体" w:hAnsi="宋体" w:cs="仿宋"/>
          <w:color w:val="auto"/>
          <w:sz w:val="24"/>
          <w:highlight w:val="none"/>
        </w:rPr>
        <w:t xml:space="preserve"> 3）外业原始记录；</w:t>
      </w:r>
    </w:p>
    <w:p>
      <w:pPr>
        <w:spacing w:line="360" w:lineRule="auto"/>
        <w:ind w:firstLine="480" w:firstLineChars="200"/>
        <w:jc w:val="left"/>
        <w:rPr>
          <w:rFonts w:ascii="宋体" w:hAnsi="宋体" w:cs="仿宋"/>
          <w:color w:val="auto"/>
          <w:sz w:val="24"/>
          <w:highlight w:val="none"/>
        </w:rPr>
      </w:pPr>
      <w:r>
        <w:rPr>
          <w:rFonts w:hint="eastAsia" w:ascii="宋体" w:hAnsi="宋体" w:cs="仿宋"/>
          <w:color w:val="auto"/>
          <w:sz w:val="24"/>
          <w:highlight w:val="none"/>
        </w:rPr>
        <w:t xml:space="preserve"> 4）仪器检定和检校资料；</w:t>
      </w:r>
    </w:p>
    <w:p>
      <w:pPr>
        <w:spacing w:line="360" w:lineRule="auto"/>
        <w:ind w:firstLine="480" w:firstLineChars="200"/>
        <w:jc w:val="left"/>
        <w:rPr>
          <w:rFonts w:ascii="宋体" w:hAnsi="宋体" w:cs="仿宋"/>
          <w:color w:val="auto"/>
          <w:sz w:val="24"/>
          <w:highlight w:val="none"/>
        </w:rPr>
      </w:pPr>
      <w:r>
        <w:rPr>
          <w:rFonts w:hint="eastAsia" w:ascii="宋体" w:hAnsi="宋体" w:cs="仿宋"/>
          <w:color w:val="auto"/>
          <w:sz w:val="24"/>
          <w:highlight w:val="none"/>
        </w:rPr>
        <w:t xml:space="preserve"> 5）其他需要的文档资料。</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（4）抽样应填写地下管线普查成果检验抽样单。</w:t>
      </w:r>
    </w:p>
    <w:p>
      <w:pPr>
        <w:spacing w:before="312" w:beforeLines="100" w:line="360" w:lineRule="auto"/>
        <w:outlineLvl w:val="3"/>
        <w:rPr>
          <w:rFonts w:ascii="宋体" w:hAnsi="宋体"/>
          <w:b/>
          <w:bCs/>
          <w:color w:val="auto"/>
          <w:sz w:val="24"/>
          <w:highlight w:val="none"/>
        </w:rPr>
      </w:pPr>
      <w:r>
        <w:rPr>
          <w:rFonts w:ascii="宋体" w:hAnsi="宋体"/>
          <w:b/>
          <w:bCs/>
          <w:color w:val="auto"/>
          <w:sz w:val="24"/>
          <w:highlight w:val="none"/>
        </w:rPr>
        <w:t>4.3.3.</w:t>
      </w:r>
      <w:r>
        <w:rPr>
          <w:rFonts w:hint="eastAsia" w:ascii="宋体" w:hAnsi="宋体"/>
          <w:b/>
          <w:bCs/>
          <w:color w:val="auto"/>
          <w:sz w:val="24"/>
          <w:highlight w:val="none"/>
        </w:rPr>
        <w:t>3.2</w:t>
      </w:r>
      <w:r>
        <w:rPr>
          <w:rFonts w:ascii="宋体" w:hAnsi="宋体"/>
          <w:b/>
          <w:bCs/>
          <w:color w:val="auto"/>
          <w:sz w:val="24"/>
          <w:highlight w:val="none"/>
        </w:rPr>
        <w:t>.</w:t>
      </w:r>
      <w:r>
        <w:rPr>
          <w:rFonts w:hint="eastAsia" w:ascii="宋体" w:hAnsi="宋体"/>
          <w:b/>
          <w:bCs/>
          <w:color w:val="auto"/>
          <w:sz w:val="24"/>
          <w:highlight w:val="none"/>
        </w:rPr>
        <w:t>5检验内容与方法</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1.检验内容</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（1）控制测量的数学精度检验；</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）管线点的数学精度检验；</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）管线成果的属性精度检验：分类正确性检验和属性正确性检验；</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）数据成果完整性检验：要素多余和遗漏检验；</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5</w:t>
      </w:r>
      <w:r>
        <w:rPr>
          <w:rFonts w:hint="eastAsia" w:ascii="宋体" w:hAnsi="宋体"/>
          <w:color w:val="auto"/>
          <w:sz w:val="24"/>
          <w:highlight w:val="none"/>
        </w:rPr>
        <w:t>）逻辑一致性检验：概念一致性检验、格式一致性检验、拓扑一致性检验；</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6</w:t>
      </w:r>
      <w:r>
        <w:rPr>
          <w:rFonts w:hint="eastAsia" w:ascii="宋体" w:hAnsi="宋体"/>
          <w:color w:val="auto"/>
          <w:sz w:val="24"/>
          <w:highlight w:val="none"/>
        </w:rPr>
        <w:t>）表征质量检验：几何表达、地理表达、符号、注记及整饰检验。</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2.检验方法</w:t>
      </w:r>
    </w:p>
    <w:p>
      <w:pPr>
        <w:spacing w:line="480" w:lineRule="exact"/>
        <w:ind w:firstLine="480" w:firstLineChars="200"/>
        <w:jc w:val="left"/>
        <w:rPr>
          <w:rFonts w:ascii="宋体" w:hAnsi="宋体"/>
          <w:color w:val="auto"/>
          <w:sz w:val="24"/>
          <w:highlight w:val="none"/>
        </w:rPr>
      </w:pPr>
      <w:r>
        <w:rPr>
          <w:rFonts w:hint="eastAsia" w:ascii="宋体" w:hAnsi="宋体"/>
          <w:color w:val="auto"/>
          <w:sz w:val="24"/>
          <w:highlight w:val="none"/>
        </w:rPr>
        <w:t>检验方法可分为实地检测、人工核查分析和软件检查三种。其中位置精度宜应采用实地检测，属性精度、完整性、逻辑一致性及几何表达应采用软件检查和核查分析，地理表达应采用实地调查和核查分析，符号、注记及整饰检验应采用核查分析。</w:t>
      </w:r>
    </w:p>
    <w:p>
      <w:pPr>
        <w:spacing w:line="480" w:lineRule="exact"/>
        <w:outlineLvl w:val="3"/>
        <w:rPr>
          <w:rFonts w:ascii="宋体" w:hAnsi="宋体"/>
          <w:b/>
          <w:bCs/>
          <w:color w:val="auto"/>
          <w:sz w:val="24"/>
          <w:highlight w:val="none"/>
        </w:rPr>
      </w:pPr>
      <w:r>
        <w:rPr>
          <w:rFonts w:ascii="宋体" w:hAnsi="宋体"/>
          <w:b/>
          <w:bCs/>
          <w:color w:val="auto"/>
          <w:sz w:val="24"/>
          <w:highlight w:val="none"/>
        </w:rPr>
        <w:t>4.3.3.</w:t>
      </w:r>
      <w:r>
        <w:rPr>
          <w:rFonts w:hint="eastAsia" w:ascii="宋体" w:hAnsi="宋体"/>
          <w:b/>
          <w:bCs/>
          <w:color w:val="auto"/>
          <w:sz w:val="24"/>
          <w:highlight w:val="none"/>
        </w:rPr>
        <w:t>3.2.6 质量评定</w:t>
      </w:r>
    </w:p>
    <w:p>
      <w:pPr>
        <w:spacing w:line="480" w:lineRule="exact"/>
        <w:ind w:firstLine="480" w:firstLineChars="200"/>
        <w:jc w:val="left"/>
        <w:rPr>
          <w:rFonts w:ascii="宋体" w:hAnsi="宋体"/>
          <w:color w:val="auto"/>
          <w:sz w:val="24"/>
          <w:highlight w:val="none"/>
        </w:rPr>
      </w:pPr>
      <w:r>
        <w:rPr>
          <w:rFonts w:hint="eastAsia" w:ascii="宋体" w:hAnsi="宋体"/>
          <w:color w:val="auto"/>
          <w:sz w:val="24"/>
          <w:highlight w:val="none"/>
        </w:rPr>
        <w:t>样本成果质量采用优、良、合格和不合格四级评定；批成果质量采用合格和不合格两级评定。</w:t>
      </w:r>
    </w:p>
    <w:p>
      <w:pPr>
        <w:spacing w:line="480" w:lineRule="exact"/>
        <w:outlineLvl w:val="3"/>
        <w:rPr>
          <w:rFonts w:ascii="宋体" w:hAnsi="宋体"/>
          <w:b/>
          <w:bCs/>
          <w:color w:val="auto"/>
          <w:sz w:val="24"/>
          <w:highlight w:val="none"/>
        </w:rPr>
      </w:pPr>
      <w:r>
        <w:rPr>
          <w:rFonts w:ascii="宋体" w:hAnsi="宋体"/>
          <w:b/>
          <w:bCs/>
          <w:color w:val="auto"/>
          <w:sz w:val="24"/>
          <w:highlight w:val="none"/>
        </w:rPr>
        <w:t>4.3.3.</w:t>
      </w:r>
      <w:r>
        <w:rPr>
          <w:rFonts w:hint="eastAsia" w:ascii="宋体" w:hAnsi="宋体"/>
          <w:b/>
          <w:bCs/>
          <w:color w:val="auto"/>
          <w:sz w:val="24"/>
          <w:highlight w:val="none"/>
        </w:rPr>
        <w:t>3.2</w:t>
      </w:r>
      <w:r>
        <w:rPr>
          <w:rFonts w:ascii="宋体" w:hAnsi="宋体"/>
          <w:b/>
          <w:bCs/>
          <w:color w:val="auto"/>
          <w:sz w:val="24"/>
          <w:highlight w:val="none"/>
        </w:rPr>
        <w:t>.</w:t>
      </w:r>
      <w:r>
        <w:rPr>
          <w:rFonts w:hint="eastAsia" w:ascii="宋体" w:hAnsi="宋体"/>
          <w:b/>
          <w:bCs/>
          <w:color w:val="auto"/>
          <w:sz w:val="24"/>
          <w:highlight w:val="none"/>
        </w:rPr>
        <w:t>7 报告编制和资料整理</w:t>
      </w:r>
    </w:p>
    <w:p>
      <w:pPr>
        <w:spacing w:line="480" w:lineRule="exact"/>
        <w:ind w:firstLine="480" w:firstLineChars="200"/>
        <w:jc w:val="left"/>
        <w:rPr>
          <w:rFonts w:ascii="宋体" w:hAnsi="宋体"/>
          <w:color w:val="auto"/>
          <w:sz w:val="24"/>
          <w:highlight w:val="none"/>
        </w:rPr>
      </w:pPr>
      <w:r>
        <w:rPr>
          <w:rFonts w:hint="eastAsia" w:ascii="宋体" w:hAnsi="宋体"/>
          <w:color w:val="auto"/>
          <w:sz w:val="24"/>
          <w:highlight w:val="none"/>
        </w:rPr>
        <w:t>1.检验完成后应编写检验报告，报告的内容、格式按《数字测绘成果质量检查与验收》（GB/T 18316）的规定执行。</w:t>
      </w:r>
    </w:p>
    <w:p>
      <w:pPr>
        <w:spacing w:line="480" w:lineRule="exact"/>
        <w:ind w:firstLine="480" w:firstLineChars="200"/>
        <w:jc w:val="left"/>
        <w:rPr>
          <w:rFonts w:ascii="宋体" w:hAnsi="宋体"/>
          <w:color w:val="auto"/>
          <w:sz w:val="24"/>
          <w:highlight w:val="none"/>
        </w:rPr>
      </w:pPr>
      <w:r>
        <w:rPr>
          <w:rFonts w:hint="eastAsia" w:ascii="宋体" w:hAnsi="宋体"/>
          <w:color w:val="auto"/>
          <w:sz w:val="24"/>
          <w:highlight w:val="none"/>
        </w:rPr>
        <w:t>2.当检验成果划分为多个检验批次时，可每一批次或统一编制一个检验报告。</w:t>
      </w:r>
    </w:p>
    <w:p>
      <w:pPr>
        <w:spacing w:line="480" w:lineRule="exact"/>
        <w:ind w:firstLine="480" w:firstLineChars="200"/>
        <w:jc w:val="left"/>
        <w:rPr>
          <w:rFonts w:ascii="宋体" w:hAnsi="宋体"/>
          <w:color w:val="auto"/>
          <w:sz w:val="24"/>
          <w:highlight w:val="none"/>
        </w:rPr>
      </w:pPr>
      <w:r>
        <w:rPr>
          <w:rFonts w:hint="eastAsia" w:ascii="宋体" w:hAnsi="宋体"/>
          <w:color w:val="auto"/>
          <w:sz w:val="24"/>
          <w:highlight w:val="none"/>
        </w:rPr>
        <w:t>3.质量检验的相关依据、样本及其附件资料、样本清单、检验记录、检测数据、质量检验过程中留下的成果及记录均应进行归档管理。</w:t>
      </w:r>
    </w:p>
    <w:p>
      <w:pPr>
        <w:spacing w:line="480" w:lineRule="exact"/>
        <w:outlineLvl w:val="3"/>
        <w:rPr>
          <w:rFonts w:ascii="宋体" w:hAnsi="宋体"/>
          <w:b/>
          <w:bCs/>
          <w:color w:val="auto"/>
          <w:sz w:val="24"/>
          <w:highlight w:val="none"/>
        </w:rPr>
      </w:pPr>
      <w:r>
        <w:rPr>
          <w:rFonts w:hint="eastAsia" w:ascii="宋体" w:hAnsi="宋体"/>
          <w:b/>
          <w:bCs/>
          <w:color w:val="auto"/>
          <w:sz w:val="24"/>
          <w:highlight w:val="none"/>
        </w:rPr>
        <w:t>4.3.3.3.3成果提交</w:t>
      </w:r>
    </w:p>
    <w:p>
      <w:pPr>
        <w:spacing w:line="480" w:lineRule="exact"/>
        <w:ind w:firstLine="480" w:firstLineChars="200"/>
        <w:jc w:val="left"/>
        <w:rPr>
          <w:rFonts w:ascii="宋体" w:hAnsi="宋体"/>
          <w:color w:val="auto"/>
          <w:sz w:val="24"/>
          <w:highlight w:val="none"/>
        </w:rPr>
      </w:pPr>
      <w:r>
        <w:rPr>
          <w:rFonts w:hint="eastAsia" w:ascii="宋体" w:hAnsi="宋体"/>
          <w:color w:val="auto"/>
          <w:sz w:val="24"/>
          <w:highlight w:val="none"/>
        </w:rPr>
        <w:t>1.质检成果资料主要包括成果检验方案、成果检验报告、工作总结报告及其他相关资料。</w:t>
      </w:r>
    </w:p>
    <w:p>
      <w:pPr>
        <w:spacing w:line="480" w:lineRule="exact"/>
        <w:ind w:firstLine="480" w:firstLineChars="200"/>
        <w:outlineLvl w:val="3"/>
        <w:rPr>
          <w:rFonts w:ascii="宋体" w:hAnsi="宋体"/>
          <w:color w:val="auto"/>
          <w:sz w:val="24"/>
          <w:highlight w:val="none"/>
        </w:rPr>
      </w:pPr>
      <w:r>
        <w:rPr>
          <w:rFonts w:hint="eastAsia" w:ascii="宋体" w:hAnsi="宋体"/>
          <w:color w:val="auto"/>
          <w:sz w:val="24"/>
          <w:highlight w:val="none"/>
        </w:rPr>
        <w:t>2.质检服务中标人须组织探测服务中标人共同协商，明确各测区间的准确界限，并统筹安排各测区间的接边工作，确保成果质量。（提供承诺函，格式自拟）</w:t>
      </w:r>
    </w:p>
    <w:p>
      <w:pPr>
        <w:pStyle w:val="6"/>
        <w:rPr>
          <w:bCs w:val="0"/>
          <w:color w:val="auto"/>
          <w:sz w:val="24"/>
          <w:highlight w:val="none"/>
        </w:rPr>
      </w:pPr>
      <w:r>
        <w:rPr>
          <w:rStyle w:val="169"/>
          <w:rFonts w:hint="default" w:ascii="Times New Roman" w:hAnsi="Times New Roman" w:cstheme="minorBidi"/>
          <w:b/>
          <w:bCs w:val="0"/>
          <w:color w:val="auto"/>
          <w:sz w:val="28"/>
          <w:highlight w:val="none"/>
        </w:rPr>
        <w:t>*</w:t>
      </w:r>
      <w:r>
        <w:rPr>
          <w:rFonts w:ascii="Times New Roman" w:hAnsi="Times New Roman" w:cs="Times New Roman"/>
          <w:bCs w:val="0"/>
          <w:color w:val="auto"/>
          <w:sz w:val="24"/>
          <w:highlight w:val="none"/>
        </w:rPr>
        <w:t>4.3.3.4</w:t>
      </w:r>
      <w:r>
        <w:rPr>
          <w:rFonts w:hint="eastAsia"/>
          <w:bCs w:val="0"/>
          <w:color w:val="auto"/>
          <w:sz w:val="24"/>
          <w:highlight w:val="none"/>
        </w:rPr>
        <w:t>商务要求</w:t>
      </w:r>
    </w:p>
    <w:p>
      <w:pPr>
        <w:spacing w:line="480" w:lineRule="exact"/>
        <w:outlineLvl w:val="3"/>
        <w:rPr>
          <w:rFonts w:ascii="宋体" w:hAnsi="宋体"/>
          <w:b/>
          <w:bCs/>
          <w:color w:val="auto"/>
          <w:sz w:val="24"/>
          <w:highlight w:val="none"/>
        </w:rPr>
      </w:pPr>
      <w:r>
        <w:rPr>
          <w:rFonts w:hint="eastAsia" w:ascii="宋体" w:hAnsi="宋体"/>
          <w:b/>
          <w:bCs/>
          <w:color w:val="auto"/>
          <w:sz w:val="24"/>
          <w:highlight w:val="none"/>
        </w:rPr>
        <w:t>1.作业团队配置及设备配置</w:t>
      </w:r>
    </w:p>
    <w:p>
      <w:pPr>
        <w:spacing w:line="480" w:lineRule="exact"/>
        <w:ind w:firstLine="482" w:firstLineChars="200"/>
        <w:rPr>
          <w:rFonts w:ascii="宋体" w:hAnsi="宋体"/>
          <w:b/>
          <w:i/>
          <w:color w:val="auto"/>
          <w:sz w:val="24"/>
          <w:highlight w:val="none"/>
        </w:rPr>
      </w:pPr>
      <w:r>
        <w:rPr>
          <w:rFonts w:hint="eastAsia" w:ascii="宋体" w:hAnsi="宋体"/>
          <w:b/>
          <w:color w:val="auto"/>
          <w:sz w:val="24"/>
          <w:highlight w:val="none"/>
        </w:rPr>
        <w:t>（1）作业团队配置</w:t>
      </w:r>
    </w:p>
    <w:p>
      <w:pPr>
        <w:spacing w:line="480" w:lineRule="exact"/>
        <w:ind w:firstLine="480" w:firstLineChars="200"/>
        <w:rPr>
          <w:rFonts w:ascii="宋体" w:hAnsi="宋体"/>
          <w:i/>
          <w:color w:val="auto"/>
          <w:sz w:val="24"/>
          <w:szCs w:val="21"/>
          <w:highlight w:val="none"/>
        </w:rPr>
      </w:pPr>
      <w:r>
        <w:rPr>
          <w:rFonts w:hint="eastAsia" w:ascii="宋体" w:hAnsi="宋体"/>
          <w:color w:val="auto"/>
          <w:sz w:val="24"/>
          <w:highlight w:val="none"/>
        </w:rPr>
        <w:t>供应商为本项目配备项目负责人1人、技术负责人1人</w:t>
      </w:r>
      <w:r>
        <w:rPr>
          <w:rFonts w:hint="eastAsia" w:ascii="宋体" w:hAnsi="宋体"/>
          <w:color w:val="auto"/>
          <w:sz w:val="24"/>
          <w:szCs w:val="21"/>
          <w:highlight w:val="none"/>
        </w:rPr>
        <w:t xml:space="preserve">以及完成项目所需的质检人员若干。 </w:t>
      </w:r>
    </w:p>
    <w:p>
      <w:pPr>
        <w:spacing w:line="480" w:lineRule="exact"/>
        <w:ind w:firstLine="482" w:firstLineChars="200"/>
        <w:rPr>
          <w:rFonts w:ascii="宋体" w:hAnsi="宋体"/>
          <w:b/>
          <w:i/>
          <w:color w:val="auto"/>
          <w:sz w:val="24"/>
          <w:szCs w:val="21"/>
          <w:highlight w:val="none"/>
        </w:rPr>
      </w:pPr>
      <w:r>
        <w:rPr>
          <w:rFonts w:hint="eastAsia" w:ascii="宋体" w:hAnsi="宋体"/>
          <w:b/>
          <w:color w:val="auto"/>
          <w:sz w:val="24"/>
          <w:szCs w:val="21"/>
          <w:highlight w:val="none"/>
        </w:rPr>
        <w:t>（2）设备配置</w:t>
      </w:r>
    </w:p>
    <w:p>
      <w:pPr>
        <w:spacing w:line="480" w:lineRule="exact"/>
        <w:ind w:firstLine="480" w:firstLineChars="200"/>
        <w:rPr>
          <w:color w:val="auto"/>
          <w:highlight w:val="none"/>
        </w:rPr>
      </w:pPr>
      <w:r>
        <w:rPr>
          <w:rFonts w:hint="eastAsia" w:ascii="宋体" w:hAnsi="宋体"/>
          <w:color w:val="auto"/>
          <w:sz w:val="24"/>
          <w:szCs w:val="21"/>
          <w:highlight w:val="none"/>
        </w:rPr>
        <w:t>供应商</w:t>
      </w:r>
      <w:r>
        <w:rPr>
          <w:rFonts w:ascii="宋体" w:hAnsi="宋体"/>
          <w:color w:val="auto"/>
          <w:sz w:val="24"/>
          <w:szCs w:val="21"/>
          <w:highlight w:val="none"/>
        </w:rPr>
        <w:t>为本项目配备</w:t>
      </w:r>
      <w:r>
        <w:rPr>
          <w:rFonts w:hint="eastAsia" w:ascii="宋体" w:hAnsi="宋体"/>
          <w:color w:val="auto"/>
          <w:sz w:val="24"/>
          <w:szCs w:val="21"/>
          <w:highlight w:val="none"/>
        </w:rPr>
        <w:t>完成项目所需的</w:t>
      </w:r>
      <w:r>
        <w:rPr>
          <w:rFonts w:ascii="宋体" w:hAnsi="宋体"/>
          <w:color w:val="auto"/>
          <w:sz w:val="24"/>
          <w:szCs w:val="21"/>
          <w:highlight w:val="none"/>
        </w:rPr>
        <w:t>管线探测仪</w:t>
      </w:r>
      <w:r>
        <w:rPr>
          <w:rFonts w:hint="eastAsia" w:ascii="宋体" w:hAnsi="宋体"/>
          <w:color w:val="auto"/>
          <w:sz w:val="24"/>
          <w:szCs w:val="21"/>
          <w:highlight w:val="none"/>
        </w:rPr>
        <w:t>、</w:t>
      </w:r>
      <w:r>
        <w:rPr>
          <w:rFonts w:hint="eastAsia" w:ascii="宋体" w:hAnsi="宋体"/>
          <w:color w:val="auto"/>
          <w:sz w:val="24"/>
          <w:szCs w:val="21"/>
          <w:highlight w:val="none"/>
        </w:rPr>
        <w:tab/>
      </w:r>
      <w:r>
        <w:rPr>
          <w:rFonts w:hint="eastAsia" w:ascii="宋体" w:hAnsi="宋体"/>
          <w:color w:val="auto"/>
          <w:sz w:val="24"/>
          <w:szCs w:val="21"/>
          <w:highlight w:val="none"/>
        </w:rPr>
        <w:t>GNSS</w:t>
      </w:r>
      <w:r>
        <w:rPr>
          <w:rFonts w:ascii="宋体" w:hAnsi="宋体"/>
          <w:color w:val="auto"/>
          <w:sz w:val="24"/>
          <w:szCs w:val="21"/>
          <w:highlight w:val="none"/>
        </w:rPr>
        <w:t>接收机</w:t>
      </w:r>
      <w:r>
        <w:rPr>
          <w:rFonts w:hint="eastAsia" w:ascii="宋体" w:hAnsi="宋体"/>
          <w:color w:val="auto"/>
          <w:sz w:val="24"/>
          <w:szCs w:val="21"/>
          <w:highlight w:val="none"/>
        </w:rPr>
        <w:t>、</w:t>
      </w:r>
      <w:r>
        <w:rPr>
          <w:rFonts w:ascii="宋体" w:hAnsi="宋体"/>
          <w:color w:val="auto"/>
          <w:sz w:val="24"/>
          <w:szCs w:val="21"/>
          <w:highlight w:val="none"/>
        </w:rPr>
        <w:t>全站仪</w:t>
      </w:r>
      <w:r>
        <w:rPr>
          <w:rFonts w:hint="eastAsia" w:ascii="宋体" w:hAnsi="宋体"/>
          <w:color w:val="auto"/>
          <w:sz w:val="24"/>
          <w:szCs w:val="21"/>
          <w:highlight w:val="none"/>
        </w:rPr>
        <w:t>等必要仪器及设备。</w:t>
      </w:r>
    </w:p>
    <w:p>
      <w:pPr>
        <w:spacing w:line="480" w:lineRule="exact"/>
        <w:outlineLvl w:val="3"/>
        <w:rPr>
          <w:rFonts w:ascii="宋体" w:hAnsi="宋体"/>
          <w:b/>
          <w:bCs/>
          <w:color w:val="auto"/>
          <w:sz w:val="24"/>
          <w:highlight w:val="none"/>
        </w:rPr>
      </w:pPr>
      <w:r>
        <w:rPr>
          <w:rFonts w:hint="eastAsia" w:ascii="宋体" w:hAnsi="宋体"/>
          <w:b/>
          <w:bCs/>
          <w:color w:val="auto"/>
          <w:sz w:val="24"/>
          <w:highlight w:val="none"/>
        </w:rPr>
        <w:t>2.项目保密要求</w:t>
      </w:r>
    </w:p>
    <w:p>
      <w:pPr>
        <w:spacing w:line="360" w:lineRule="auto"/>
        <w:ind w:firstLine="424" w:firstLineChars="177"/>
        <w:rPr>
          <w:color w:val="auto"/>
          <w:highlight w:val="none"/>
        </w:rPr>
      </w:pPr>
      <w:r>
        <w:rPr>
          <w:rFonts w:hint="eastAsia" w:ascii="宋体" w:hAnsi="宋体" w:cs="宋体"/>
          <w:color w:val="auto"/>
          <w:sz w:val="24"/>
          <w:highlight w:val="none"/>
        </w:rPr>
        <w:t>项目所有资料、成果的所有权归采购人。中标人对本项目所有的成果资料具有保密的义务，不得以任何形式向第三方提供和泄露，不得利用本项目成果资料生产其它任何形式的产品，本项目终止时应将所有资料移交给采购人，不得作任何形式的保留。</w:t>
      </w:r>
    </w:p>
    <w:p>
      <w:pPr>
        <w:spacing w:line="480" w:lineRule="exact"/>
        <w:outlineLvl w:val="3"/>
        <w:rPr>
          <w:rFonts w:ascii="宋体" w:hAnsi="宋体"/>
          <w:b/>
          <w:bCs/>
          <w:color w:val="auto"/>
          <w:sz w:val="24"/>
          <w:highlight w:val="none"/>
        </w:rPr>
      </w:pPr>
      <w:r>
        <w:rPr>
          <w:rFonts w:hint="eastAsia" w:ascii="宋体" w:hAnsi="宋体"/>
          <w:b/>
          <w:bCs/>
          <w:color w:val="auto"/>
          <w:sz w:val="24"/>
          <w:highlight w:val="none"/>
        </w:rPr>
        <w:t>3.工期要求</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收到经监理审查合格的成果后30个工作日内完成地下管线质检工作，质检</w:t>
      </w:r>
      <w:r>
        <w:rPr>
          <w:rFonts w:ascii="宋体" w:hAnsi="宋体"/>
          <w:color w:val="auto"/>
          <w:sz w:val="24"/>
          <w:highlight w:val="none"/>
        </w:rPr>
        <w:t>工作</w:t>
      </w:r>
      <w:r>
        <w:rPr>
          <w:rFonts w:hint="eastAsia" w:ascii="宋体" w:hAnsi="宋体"/>
          <w:color w:val="auto"/>
          <w:sz w:val="24"/>
          <w:highlight w:val="none"/>
        </w:rPr>
        <w:t>最晚不晚于2022年6月30日。</w:t>
      </w:r>
    </w:p>
    <w:p>
      <w:pPr>
        <w:spacing w:line="360" w:lineRule="auto"/>
        <w:ind w:firstLine="484" w:firstLineChars="202"/>
        <w:rPr>
          <w:rFonts w:ascii="宋体" w:hAnsi="宋体"/>
          <w:color w:val="auto"/>
          <w:sz w:val="24"/>
          <w:highlight w:val="none"/>
        </w:rPr>
      </w:pPr>
      <w:r>
        <w:rPr>
          <w:rFonts w:hint="eastAsia"/>
          <w:color w:val="auto"/>
          <w:sz w:val="24"/>
          <w:highlight w:val="none"/>
        </w:rPr>
        <w:t>注：由采购人（或经采购人认可的第三方）原因导致供应商未能按期完成项目的，则工期顺延，但顺延时间不能超过采购人（或采购人认可的第三方）原因所影响的时间。</w:t>
      </w:r>
    </w:p>
    <w:p>
      <w:pPr>
        <w:spacing w:line="480" w:lineRule="exact"/>
        <w:outlineLvl w:val="3"/>
        <w:rPr>
          <w:rFonts w:ascii="宋体" w:hAnsi="宋体"/>
          <w:b/>
          <w:bCs/>
          <w:color w:val="auto"/>
          <w:sz w:val="24"/>
          <w:highlight w:val="none"/>
        </w:rPr>
      </w:pPr>
      <w:r>
        <w:rPr>
          <w:rFonts w:hint="eastAsia" w:ascii="宋体" w:hAnsi="宋体"/>
          <w:b/>
          <w:bCs/>
          <w:color w:val="auto"/>
          <w:sz w:val="24"/>
          <w:highlight w:val="none"/>
        </w:rPr>
        <w:t>4.3.3.4.4合同价款</w:t>
      </w:r>
    </w:p>
    <w:p>
      <w:pPr>
        <w:spacing w:line="360" w:lineRule="auto"/>
        <w:ind w:firstLine="465"/>
        <w:jc w:val="left"/>
        <w:rPr>
          <w:rFonts w:ascii="宋体" w:hAnsi="宋体" w:cs="宋体"/>
          <w:b/>
          <w:color w:val="auto"/>
          <w:sz w:val="24"/>
          <w:highlight w:val="none"/>
        </w:rPr>
      </w:pPr>
      <w:r>
        <w:rPr>
          <w:rFonts w:hint="eastAsia" w:ascii="宋体" w:hAnsi="宋体" w:cs="宋体"/>
          <w:b/>
          <w:color w:val="auto"/>
          <w:sz w:val="24"/>
          <w:highlight w:val="none"/>
        </w:rPr>
        <w:t>1.合同为单价合同，合同总金额不超过本包件的中标金额。</w:t>
      </w:r>
    </w:p>
    <w:p>
      <w:pPr>
        <w:spacing w:line="360" w:lineRule="auto"/>
        <w:ind w:firstLine="465"/>
        <w:jc w:val="left"/>
        <w:rPr>
          <w:rFonts w:ascii="宋体" w:hAnsi="宋体" w:cs="宋体"/>
          <w:b/>
          <w:color w:val="auto"/>
          <w:sz w:val="24"/>
          <w:highlight w:val="none"/>
        </w:rPr>
      </w:pPr>
      <w:r>
        <w:rPr>
          <w:rFonts w:hint="eastAsia" w:ascii="宋体" w:hAnsi="宋体" w:cs="宋体"/>
          <w:b/>
          <w:color w:val="auto"/>
          <w:sz w:val="24"/>
          <w:highlight w:val="none"/>
        </w:rPr>
        <w:t>2.合同总金额=中标单价×地下管线实际提交长度，实际提交长度为入库合格后的全野外探测、内外业结合核实探测管线长度。合同总金额超出本包件的中标金额时按照中标金额结算。</w:t>
      </w:r>
    </w:p>
    <w:p>
      <w:pPr>
        <w:pStyle w:val="2"/>
        <w:ind w:firstLine="482" w:firstLineChars="200"/>
        <w:rPr>
          <w:color w:val="auto"/>
          <w:highlight w:val="none"/>
        </w:rPr>
      </w:pPr>
      <w:r>
        <w:rPr>
          <w:rFonts w:hint="eastAsia" w:ascii="宋体" w:hAnsi="宋体" w:cs="宋体"/>
          <w:b/>
          <w:color w:val="auto"/>
          <w:sz w:val="24"/>
          <w:highlight w:val="none"/>
        </w:rPr>
        <w:t>3.可直接利用的地下管线普查成果不计入经费计算。</w:t>
      </w:r>
    </w:p>
    <w:p>
      <w:pPr>
        <w:spacing w:line="480" w:lineRule="exact"/>
        <w:outlineLvl w:val="3"/>
        <w:rPr>
          <w:rFonts w:ascii="宋体" w:hAnsi="宋体"/>
          <w:b/>
          <w:bCs/>
          <w:color w:val="auto"/>
          <w:sz w:val="24"/>
          <w:highlight w:val="none"/>
        </w:rPr>
      </w:pPr>
      <w:r>
        <w:rPr>
          <w:rFonts w:hint="eastAsia" w:ascii="宋体" w:hAnsi="宋体"/>
          <w:b/>
          <w:bCs/>
          <w:color w:val="auto"/>
          <w:sz w:val="24"/>
          <w:highlight w:val="none"/>
        </w:rPr>
        <w:t>4.3.3.4.5付款方式</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合同签订后15</w:t>
      </w:r>
      <w:r>
        <w:rPr>
          <w:rFonts w:hint="eastAsia" w:ascii="宋体" w:hAnsi="宋体"/>
          <w:color w:val="auto"/>
          <w:sz w:val="24"/>
          <w:highlight w:val="none"/>
        </w:rPr>
        <w:t>个工作</w:t>
      </w:r>
      <w:r>
        <w:rPr>
          <w:rFonts w:ascii="宋体" w:hAnsi="宋体"/>
          <w:color w:val="auto"/>
          <w:sz w:val="24"/>
          <w:highlight w:val="none"/>
        </w:rPr>
        <w:t>日内，</w:t>
      </w:r>
      <w:r>
        <w:rPr>
          <w:rFonts w:hint="eastAsia" w:ascii="宋体" w:hAnsi="宋体"/>
          <w:color w:val="auto"/>
          <w:sz w:val="24"/>
          <w:highlight w:val="none"/>
        </w:rPr>
        <w:t>采购人</w:t>
      </w:r>
      <w:r>
        <w:rPr>
          <w:rFonts w:ascii="宋体" w:hAnsi="宋体"/>
          <w:color w:val="auto"/>
          <w:sz w:val="24"/>
          <w:highlight w:val="none"/>
        </w:rPr>
        <w:t>向</w:t>
      </w:r>
      <w:r>
        <w:rPr>
          <w:rFonts w:hint="eastAsia" w:ascii="宋体" w:hAnsi="宋体"/>
          <w:color w:val="auto"/>
          <w:sz w:val="24"/>
          <w:highlight w:val="none"/>
        </w:rPr>
        <w:t>中标人</w:t>
      </w:r>
      <w:r>
        <w:rPr>
          <w:rFonts w:ascii="宋体" w:hAnsi="宋体"/>
          <w:color w:val="auto"/>
          <w:sz w:val="24"/>
          <w:highlight w:val="none"/>
        </w:rPr>
        <w:t>支付</w:t>
      </w:r>
      <w:r>
        <w:rPr>
          <w:rFonts w:hint="eastAsia" w:ascii="宋体" w:hAnsi="宋体"/>
          <w:color w:val="auto"/>
          <w:sz w:val="24"/>
          <w:highlight w:val="none"/>
        </w:rPr>
        <w:t>预算金额</w:t>
      </w:r>
      <w:r>
        <w:rPr>
          <w:rFonts w:ascii="宋体" w:hAnsi="宋体"/>
          <w:color w:val="auto"/>
          <w:sz w:val="24"/>
          <w:highlight w:val="none"/>
        </w:rPr>
        <w:t>的</w:t>
      </w:r>
      <w:r>
        <w:rPr>
          <w:rFonts w:hint="eastAsia" w:ascii="宋体" w:hAnsi="宋体"/>
          <w:color w:val="auto"/>
          <w:sz w:val="24"/>
          <w:highlight w:val="none"/>
          <w:u w:val="single"/>
        </w:rPr>
        <w:t xml:space="preserve"> 30 </w:t>
      </w:r>
      <w:r>
        <w:rPr>
          <w:rFonts w:ascii="宋体" w:hAnsi="宋体"/>
          <w:color w:val="auto"/>
          <w:sz w:val="24"/>
          <w:highlight w:val="none"/>
        </w:rPr>
        <w:t>%</w:t>
      </w:r>
      <w:r>
        <w:rPr>
          <w:rFonts w:hint="eastAsia" w:ascii="宋体" w:hAnsi="宋体"/>
          <w:color w:val="auto"/>
          <w:sz w:val="24"/>
          <w:highlight w:val="none"/>
        </w:rPr>
        <w:t>作为首付款</w:t>
      </w:r>
      <w:r>
        <w:rPr>
          <w:rFonts w:hint="eastAsia" w:ascii="宋体" w:hAnsi="宋体" w:cs="宋体"/>
          <w:color w:val="auto"/>
          <w:sz w:val="24"/>
          <w:highlight w:val="none"/>
        </w:rPr>
        <w:t>。</w:t>
      </w:r>
    </w:p>
    <w:p>
      <w:pPr>
        <w:pStyle w:val="2"/>
        <w:spacing w:line="360" w:lineRule="auto"/>
        <w:ind w:firstLine="480" w:firstLineChars="200"/>
        <w:rPr>
          <w:color w:val="auto"/>
          <w:highlight w:val="none"/>
        </w:rPr>
      </w:pPr>
      <w:r>
        <w:rPr>
          <w:rFonts w:hint="eastAsia" w:ascii="宋体" w:hAnsi="宋体"/>
          <w:color w:val="auto"/>
          <w:sz w:val="24"/>
          <w:highlight w:val="none"/>
        </w:rPr>
        <w:t>2.</w:t>
      </w:r>
      <w:r>
        <w:rPr>
          <w:rFonts w:ascii="宋体" w:hAnsi="宋体"/>
          <w:color w:val="auto"/>
          <w:sz w:val="24"/>
          <w:highlight w:val="none"/>
        </w:rPr>
        <w:t>中标人完成标段所有地下管线普查质检工作，出具质检报告并提交经采购人确认的所有正式成果资料后，</w:t>
      </w:r>
      <w:r>
        <w:rPr>
          <w:rFonts w:hint="eastAsia" w:ascii="宋体" w:hAnsi="宋体"/>
          <w:color w:val="auto"/>
          <w:sz w:val="24"/>
          <w:highlight w:val="none"/>
        </w:rPr>
        <w:t>采购人于</w:t>
      </w:r>
      <w:r>
        <w:rPr>
          <w:rFonts w:ascii="宋体" w:hAnsi="宋体"/>
          <w:color w:val="auto"/>
          <w:sz w:val="24"/>
          <w:highlight w:val="none"/>
        </w:rPr>
        <w:t>15</w:t>
      </w:r>
      <w:r>
        <w:rPr>
          <w:rFonts w:hint="eastAsia" w:ascii="宋体" w:hAnsi="宋体"/>
          <w:color w:val="auto"/>
          <w:sz w:val="24"/>
          <w:highlight w:val="none"/>
        </w:rPr>
        <w:t>个工作</w:t>
      </w:r>
      <w:r>
        <w:rPr>
          <w:rFonts w:ascii="宋体" w:hAnsi="宋体"/>
          <w:color w:val="auto"/>
          <w:sz w:val="24"/>
          <w:highlight w:val="none"/>
        </w:rPr>
        <w:t>日</w:t>
      </w:r>
      <w:r>
        <w:rPr>
          <w:rFonts w:hint="eastAsia" w:ascii="宋体" w:hAnsi="宋体"/>
          <w:color w:val="auto"/>
          <w:sz w:val="24"/>
          <w:highlight w:val="none"/>
        </w:rPr>
        <w:t>内向中标人支付进度款。进度款=（</w:t>
      </w:r>
      <w:r>
        <w:rPr>
          <w:rFonts w:hint="eastAsia" w:ascii="宋体" w:hAnsi="宋体" w:cs="宋体"/>
          <w:color w:val="auto"/>
          <w:sz w:val="24"/>
          <w:highlight w:val="none"/>
        </w:rPr>
        <w:t>中标单价</w:t>
      </w:r>
      <w:r>
        <w:rPr>
          <w:rFonts w:ascii="宋体" w:hAnsi="宋体"/>
          <w:color w:val="auto"/>
          <w:sz w:val="24"/>
          <w:highlight w:val="none"/>
        </w:rPr>
        <w:t>×</w:t>
      </w:r>
      <w:r>
        <w:rPr>
          <w:rFonts w:hint="eastAsia" w:ascii="宋体" w:hAnsi="宋体" w:cs="宋体"/>
          <w:color w:val="auto"/>
          <w:sz w:val="24"/>
          <w:highlight w:val="none"/>
        </w:rPr>
        <w:t>地下管线实际提交长度）</w:t>
      </w:r>
      <w:r>
        <w:rPr>
          <w:rFonts w:ascii="宋体" w:hAnsi="宋体"/>
          <w:color w:val="auto"/>
          <w:sz w:val="24"/>
          <w:highlight w:val="none"/>
        </w:rPr>
        <w:t>×</w:t>
      </w:r>
      <w:r>
        <w:rPr>
          <w:rFonts w:hint="eastAsia" w:ascii="宋体" w:hAnsi="宋体"/>
          <w:color w:val="auto"/>
          <w:sz w:val="24"/>
          <w:highlight w:val="none"/>
        </w:rPr>
        <w:t>80</w:t>
      </w:r>
      <w:r>
        <w:rPr>
          <w:rFonts w:ascii="宋体" w:hAnsi="宋体"/>
          <w:color w:val="auto"/>
          <w:sz w:val="24"/>
          <w:highlight w:val="none"/>
        </w:rPr>
        <w:t>%</w:t>
      </w:r>
      <w:r>
        <w:rPr>
          <w:rFonts w:hint="eastAsia" w:ascii="宋体" w:hAnsi="宋体"/>
          <w:color w:val="auto"/>
          <w:sz w:val="24"/>
          <w:highlight w:val="none"/>
        </w:rPr>
        <w:t>-首付款，</w:t>
      </w:r>
      <w:r>
        <w:rPr>
          <w:rFonts w:hint="eastAsia" w:ascii="宋体" w:hAnsi="宋体" w:cs="宋体"/>
          <w:color w:val="auto"/>
          <w:sz w:val="24"/>
          <w:highlight w:val="none"/>
        </w:rPr>
        <w:t>若进度款计算为零或负数，则不支付。</w:t>
      </w:r>
      <w:r>
        <w:rPr>
          <w:rFonts w:hint="eastAsia" w:ascii="宋体" w:hAnsi="宋体"/>
          <w:color w:val="auto"/>
          <w:sz w:val="24"/>
          <w:highlight w:val="none"/>
        </w:rPr>
        <w:t>进度款中</w:t>
      </w:r>
      <w:r>
        <w:rPr>
          <w:rFonts w:hint="eastAsia" w:ascii="宋体" w:hAnsi="宋体" w:cs="宋体"/>
          <w:bCs/>
          <w:color w:val="auto"/>
          <w:sz w:val="24"/>
          <w:highlight w:val="none"/>
        </w:rPr>
        <w:t>实际提交长度为经质量检验合格后</w:t>
      </w:r>
      <w:r>
        <w:rPr>
          <w:rFonts w:hint="eastAsia" w:ascii="宋体" w:hAnsi="宋体" w:cs="宋体"/>
          <w:color w:val="auto"/>
          <w:sz w:val="24"/>
          <w:highlight w:val="none"/>
        </w:rPr>
        <w:t>的管线长度。</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3.全部管线普查成果完成整合检查、汇交入库，且项目通过项目验收后60个工作日内采购人向中标人支付尾款。尾款=合同总金额-首付款-进度款。</w:t>
      </w:r>
    </w:p>
    <w:p>
      <w:pPr>
        <w:spacing w:line="360" w:lineRule="auto"/>
        <w:ind w:firstLine="424" w:firstLineChars="177"/>
        <w:rPr>
          <w:rFonts w:ascii="宋体" w:hAnsi="宋体"/>
          <w:b/>
          <w:color w:val="auto"/>
          <w:sz w:val="24"/>
          <w:highlight w:val="none"/>
        </w:rPr>
      </w:pPr>
      <w:r>
        <w:rPr>
          <w:rFonts w:hint="eastAsia" w:ascii="宋体" w:hAnsi="宋体"/>
          <w:color w:val="auto"/>
          <w:sz w:val="24"/>
          <w:highlight w:val="none"/>
        </w:rPr>
        <w:t>4.支付每笔款项前，中标人须按项目进度及要求提交付款申请，并出具等额的发票。</w:t>
      </w:r>
    </w:p>
    <w:p>
      <w:pPr>
        <w:spacing w:line="480" w:lineRule="exact"/>
        <w:outlineLvl w:val="3"/>
        <w:rPr>
          <w:rFonts w:ascii="宋体" w:hAnsi="宋体"/>
          <w:b/>
          <w:bCs/>
          <w:color w:val="auto"/>
          <w:sz w:val="24"/>
          <w:highlight w:val="none"/>
        </w:rPr>
      </w:pPr>
      <w:r>
        <w:rPr>
          <w:rFonts w:hint="eastAsia" w:ascii="宋体" w:hAnsi="宋体"/>
          <w:b/>
          <w:bCs/>
          <w:color w:val="auto"/>
          <w:sz w:val="24"/>
          <w:highlight w:val="none"/>
        </w:rPr>
        <w:t>4.3.3.4.6验收标准</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1.项目完成后,由中标人向采购人提供全部质检成果。</w:t>
      </w:r>
    </w:p>
    <w:p>
      <w:pPr>
        <w:widowControl/>
        <w:adjustRightInd w:val="0"/>
        <w:snapToGrid w:val="0"/>
        <w:spacing w:line="400" w:lineRule="exact"/>
        <w:ind w:firstLine="480" w:firstLineChars="200"/>
        <w:jc w:val="left"/>
        <w:rPr>
          <w:rFonts w:ascii="宋体" w:hAnsi="宋体" w:cs="宋体"/>
          <w:color w:val="auto"/>
          <w:kern w:val="0"/>
          <w:sz w:val="24"/>
          <w:szCs w:val="24"/>
          <w:highlight w:val="none"/>
        </w:rPr>
      </w:pPr>
      <w:r>
        <w:rPr>
          <w:rFonts w:hint="eastAsia" w:ascii="宋体" w:hAnsi="宋体" w:cs="宋体"/>
          <w:color w:val="auto"/>
          <w:sz w:val="24"/>
          <w:szCs w:val="32"/>
          <w:highlight w:val="none"/>
        </w:rPr>
        <w:t>2.项目验收由采购人组织实施，中标人与采购人严格按照《财政部关于进一步加强政府采购需求和履约验收管理的指导意见》（财库〔2016〕205号）等相关规定要求进行验收。</w:t>
      </w:r>
    </w:p>
    <w:p>
      <w:pPr>
        <w:widowControl/>
        <w:adjustRightInd w:val="0"/>
        <w:snapToGrid w:val="0"/>
        <w:spacing w:line="400" w:lineRule="exact"/>
        <w:jc w:val="left"/>
        <w:rPr>
          <w:rFonts w:ascii="宋体" w:hAnsi="宋体" w:cs="宋体"/>
          <w:color w:val="auto"/>
          <w:kern w:val="0"/>
          <w:szCs w:val="21"/>
          <w:highlight w:val="none"/>
        </w:rPr>
      </w:pPr>
    </w:p>
    <w:p>
      <w:pPr>
        <w:pStyle w:val="3"/>
        <w:ind w:firstLine="180"/>
        <w:rPr>
          <w:color w:val="auto"/>
          <w:highlight w:val="none"/>
        </w:rPr>
      </w:pPr>
    </w:p>
    <w:p>
      <w:pPr>
        <w:pStyle w:val="3"/>
        <w:ind w:firstLine="180"/>
        <w:rPr>
          <w:color w:val="auto"/>
          <w:highlight w:val="none"/>
        </w:rPr>
      </w:pPr>
    </w:p>
    <w:p>
      <w:pPr>
        <w:pStyle w:val="3"/>
        <w:ind w:firstLine="180"/>
        <w:rPr>
          <w:color w:val="auto"/>
          <w:highlight w:val="none"/>
        </w:rPr>
      </w:pPr>
    </w:p>
    <w:p>
      <w:pPr>
        <w:pStyle w:val="3"/>
        <w:ind w:firstLine="180"/>
        <w:rPr>
          <w:color w:val="auto"/>
          <w:highlight w:val="none"/>
        </w:rPr>
      </w:pPr>
    </w:p>
    <w:p>
      <w:pPr>
        <w:pStyle w:val="3"/>
        <w:ind w:firstLine="180"/>
        <w:rPr>
          <w:color w:val="auto"/>
          <w:highlight w:val="none"/>
        </w:rPr>
      </w:pPr>
    </w:p>
    <w:p>
      <w:pPr>
        <w:pStyle w:val="209"/>
        <w:outlineLvl w:val="1"/>
        <w:rPr>
          <w:rStyle w:val="169"/>
          <w:rFonts w:hint="default"/>
          <w:color w:val="auto"/>
          <w:sz w:val="28"/>
          <w:szCs w:val="28"/>
          <w:highlight w:val="none"/>
        </w:rPr>
      </w:pPr>
      <w:bookmarkStart w:id="267" w:name="_Toc79654083"/>
      <w:r>
        <w:rPr>
          <w:rStyle w:val="169"/>
          <w:rFonts w:hint="default" w:ascii="Times New Roman" w:hAnsi="Times New Roman" w:cstheme="minorBidi"/>
          <w:color w:val="auto"/>
          <w:sz w:val="28"/>
          <w:highlight w:val="none"/>
        </w:rPr>
        <w:t>*</w:t>
      </w:r>
      <w:r>
        <w:rPr>
          <w:rStyle w:val="169"/>
          <w:rFonts w:hint="default"/>
          <w:color w:val="auto"/>
          <w:sz w:val="28"/>
          <w:szCs w:val="28"/>
          <w:highlight w:val="none"/>
        </w:rPr>
        <w:t>4.4履约要求（履行合同的时间、地点及方式）</w:t>
      </w:r>
      <w:bookmarkEnd w:id="267"/>
    </w:p>
    <w:p>
      <w:pPr>
        <w:pStyle w:val="5"/>
        <w:rPr>
          <w:b w:val="0"/>
          <w:bCs w:val="0"/>
          <w:color w:val="auto"/>
          <w:kern w:val="0"/>
          <w:sz w:val="24"/>
          <w:szCs w:val="24"/>
          <w:highlight w:val="none"/>
        </w:rPr>
      </w:pPr>
      <w:bookmarkStart w:id="268" w:name="_Toc79654084"/>
      <w:r>
        <w:rPr>
          <w:rFonts w:hint="eastAsia"/>
          <w:color w:val="auto"/>
          <w:highlight w:val="none"/>
        </w:rPr>
        <w:t>4.4.1地下管线普查成果更新探测服务（包件1-5）</w:t>
      </w:r>
      <w:bookmarkEnd w:id="268"/>
    </w:p>
    <w:p>
      <w:pPr>
        <w:spacing w:line="360" w:lineRule="auto"/>
        <w:ind w:firstLine="482" w:firstLineChars="200"/>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4.4.1.1履行合同的时间：</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1.中标人完成地下管线普查成果更新工作，并经监理检查合格后，管线成果可分批提交管线权属单位进行成果核验，最终完成时间不晚于2021年12月31日。</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2.中标人全力配合管线权属单位对</w:t>
      </w:r>
      <w:r>
        <w:rPr>
          <w:rFonts w:hint="eastAsia" w:ascii="宋体" w:hAnsi="宋体" w:cs="仿宋"/>
          <w:color w:val="auto"/>
          <w:sz w:val="24"/>
          <w:highlight w:val="none"/>
        </w:rPr>
        <w:t>提交的地下管线普查更新成果进行核验，并对</w:t>
      </w:r>
      <w:r>
        <w:rPr>
          <w:rFonts w:hint="eastAsia" w:ascii="宋体" w:hAnsi="宋体"/>
          <w:color w:val="auto"/>
          <w:sz w:val="24"/>
          <w:highlight w:val="none"/>
        </w:rPr>
        <w:t>核验过程中的相关问题进行整改，最终完成时间不晚于2022年4月30日。</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3.中标人全力配合采购人组织的测绘成果质检</w:t>
      </w:r>
      <w:r>
        <w:rPr>
          <w:rFonts w:ascii="宋体" w:hAnsi="宋体"/>
          <w:color w:val="auto"/>
          <w:sz w:val="24"/>
          <w:highlight w:val="none"/>
        </w:rPr>
        <w:t>机构</w:t>
      </w:r>
      <w:r>
        <w:rPr>
          <w:rFonts w:hint="eastAsia" w:ascii="宋体" w:hAnsi="宋体"/>
          <w:color w:val="auto"/>
          <w:sz w:val="24"/>
          <w:highlight w:val="none"/>
        </w:rPr>
        <w:t>对普查更新成果进行质量检验，并对质检过程中的相关问题进行整改，最终完成时间不晚于2022年6月30日。</w:t>
      </w:r>
    </w:p>
    <w:p>
      <w:pPr>
        <w:spacing w:line="360" w:lineRule="auto"/>
        <w:ind w:firstLine="480" w:firstLineChars="200"/>
        <w:rPr>
          <w:color w:val="auto"/>
          <w:sz w:val="24"/>
          <w:highlight w:val="none"/>
        </w:rPr>
      </w:pPr>
      <w:r>
        <w:rPr>
          <w:rFonts w:hint="eastAsia" w:ascii="宋体" w:hAnsi="宋体"/>
          <w:color w:val="auto"/>
          <w:sz w:val="24"/>
          <w:highlight w:val="none"/>
        </w:rPr>
        <w:t>4.中标人全力配合采购人对地下管线普查成果进行汇交、数据整合检查及数据入库工作，最终完成时间不晚于2022年10月31日。</w:t>
      </w:r>
      <w:r>
        <w:rPr>
          <w:rFonts w:hint="eastAsia"/>
          <w:color w:val="auto"/>
          <w:sz w:val="24"/>
          <w:highlight w:val="none"/>
        </w:rPr>
        <w:t>注：由采购人（或经采购人认可的第三方）原因导致供应商未能按期完成项目的，则工期顺延，但顺延时间不能超过采购人（或采购人认可的第三方）原因所影响的时间。</w:t>
      </w:r>
    </w:p>
    <w:p>
      <w:pPr>
        <w:spacing w:line="360" w:lineRule="auto"/>
        <w:ind w:firstLine="482" w:firstLineChars="200"/>
        <w:rPr>
          <w:rFonts w:ascii="宋体" w:hAnsi="宋体" w:cs="宋体"/>
          <w:color w:val="auto"/>
          <w:sz w:val="24"/>
          <w:highlight w:val="none"/>
          <w:lang w:val="zh-CN" w:bidi="zh-CN"/>
        </w:rPr>
      </w:pPr>
      <w:r>
        <w:rPr>
          <w:rFonts w:hint="eastAsia" w:ascii="宋体" w:hAnsi="宋体" w:cs="宋体"/>
          <w:b/>
          <w:bCs/>
          <w:color w:val="auto"/>
          <w:kern w:val="0"/>
          <w:sz w:val="24"/>
          <w:szCs w:val="24"/>
          <w:highlight w:val="none"/>
        </w:rPr>
        <w:t>4.4.1.2地点：</w:t>
      </w:r>
      <w:r>
        <w:rPr>
          <w:rFonts w:hint="eastAsia" w:ascii="宋体" w:hAnsi="宋体" w:cs="宋体"/>
          <w:color w:val="auto"/>
          <w:sz w:val="24"/>
          <w:highlight w:val="none"/>
          <w:lang w:val="zh-CN" w:bidi="zh-CN"/>
        </w:rPr>
        <w:t>成都市双流区。</w:t>
      </w:r>
    </w:p>
    <w:p>
      <w:pPr>
        <w:spacing w:line="360" w:lineRule="auto"/>
        <w:ind w:firstLine="482" w:firstLineChars="200"/>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4.4.1.3方式：</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kern w:val="0"/>
          <w:sz w:val="24"/>
          <w:szCs w:val="24"/>
          <w:highlight w:val="none"/>
        </w:rPr>
        <w:t>1.</w:t>
      </w:r>
      <w:r>
        <w:rPr>
          <w:rFonts w:hint="eastAsia" w:ascii="宋体" w:hAnsi="宋体" w:cs="宋体"/>
          <w:color w:val="auto"/>
          <w:sz w:val="24"/>
          <w:szCs w:val="32"/>
          <w:highlight w:val="none"/>
        </w:rPr>
        <w:t>成果全部完成后，中标人将全部成果提交采购人进行质量检验，经采购人委托的测绘成果质检机构质检合格后，由测绘成果质检机构具质量检验报告。</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2.待全部成果通过质量检验合格后，由采购人根据市领导小组办公室相关管理规定对普查成果进行汇交。</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sz w:val="24"/>
          <w:szCs w:val="32"/>
          <w:highlight w:val="none"/>
        </w:rPr>
        <w:t>3.普查成果通过数据整合检查及入库后，项目验收由采购人组织实施，中标人与采购人严格按照《财政部关于进一步加强政府采购需求和履约验收管理的指导意见》（财库〔2016〕205号）等相关规定要求进行验收。</w:t>
      </w:r>
    </w:p>
    <w:p>
      <w:pPr>
        <w:pStyle w:val="5"/>
        <w:rPr>
          <w:color w:val="auto"/>
          <w:highlight w:val="none"/>
        </w:rPr>
      </w:pPr>
      <w:bookmarkStart w:id="269" w:name="_Toc79654085"/>
      <w:r>
        <w:rPr>
          <w:rFonts w:hint="eastAsia"/>
          <w:color w:val="auto"/>
          <w:highlight w:val="none"/>
        </w:rPr>
        <w:t>4.4.2地下管线普查成果更新监理服务（包件6）</w:t>
      </w:r>
      <w:bookmarkEnd w:id="269"/>
    </w:p>
    <w:p>
      <w:pPr>
        <w:pStyle w:val="2"/>
        <w:spacing w:line="360" w:lineRule="auto"/>
        <w:ind w:firstLine="426" w:firstLineChars="177"/>
        <w:rPr>
          <w:rFonts w:ascii="宋体" w:hAnsi="宋体"/>
          <w:color w:val="auto"/>
          <w:sz w:val="24"/>
          <w:highlight w:val="none"/>
        </w:rPr>
      </w:pPr>
      <w:r>
        <w:rPr>
          <w:rFonts w:hint="eastAsia" w:ascii="宋体" w:hAnsi="宋体" w:cs="宋体"/>
          <w:b/>
          <w:bCs/>
          <w:color w:val="auto"/>
          <w:sz w:val="24"/>
          <w:szCs w:val="24"/>
          <w:highlight w:val="none"/>
        </w:rPr>
        <w:t>4.4.2.1履行合同的时间：</w:t>
      </w:r>
      <w:r>
        <w:rPr>
          <w:rFonts w:hint="eastAsia" w:ascii="宋体" w:hAnsi="宋体"/>
          <w:color w:val="auto"/>
          <w:sz w:val="24"/>
          <w:highlight w:val="none"/>
        </w:rPr>
        <w:t>中标人自签订合同之日起直至地下管线普查成果更新项目完成验收。</w:t>
      </w:r>
    </w:p>
    <w:p>
      <w:pPr>
        <w:pStyle w:val="2"/>
        <w:spacing w:line="360" w:lineRule="auto"/>
        <w:ind w:firstLine="426" w:firstLineChars="177"/>
        <w:rPr>
          <w:rFonts w:ascii="宋体" w:hAnsi="宋体" w:cs="宋体"/>
          <w:color w:val="auto"/>
          <w:sz w:val="24"/>
          <w:highlight w:val="none"/>
          <w:lang w:val="zh-CN" w:bidi="zh-CN"/>
        </w:rPr>
      </w:pPr>
      <w:r>
        <w:rPr>
          <w:rFonts w:hint="eastAsia" w:ascii="宋体" w:hAnsi="宋体" w:cs="宋体"/>
          <w:b/>
          <w:bCs/>
          <w:color w:val="auto"/>
          <w:sz w:val="24"/>
          <w:szCs w:val="24"/>
          <w:highlight w:val="none"/>
        </w:rPr>
        <w:t>4.4.2.2地点：</w:t>
      </w:r>
      <w:r>
        <w:rPr>
          <w:rFonts w:hint="eastAsia" w:ascii="宋体" w:hAnsi="宋体" w:cs="宋体"/>
          <w:color w:val="auto"/>
          <w:sz w:val="24"/>
          <w:highlight w:val="none"/>
          <w:lang w:val="zh-CN" w:bidi="zh-CN"/>
        </w:rPr>
        <w:t>成都市双流区。</w:t>
      </w:r>
    </w:p>
    <w:p>
      <w:pPr>
        <w:pStyle w:val="2"/>
        <w:spacing w:line="360" w:lineRule="auto"/>
        <w:ind w:firstLine="426" w:firstLineChars="177"/>
        <w:rPr>
          <w:rFonts w:ascii="宋体" w:hAnsi="宋体" w:cs="宋体"/>
          <w:bCs/>
          <w:color w:val="auto"/>
          <w:sz w:val="24"/>
          <w:highlight w:val="none"/>
        </w:rPr>
      </w:pPr>
      <w:r>
        <w:rPr>
          <w:rFonts w:hint="eastAsia" w:ascii="宋体" w:hAnsi="宋体" w:cs="宋体"/>
          <w:b/>
          <w:bCs/>
          <w:color w:val="auto"/>
          <w:sz w:val="24"/>
          <w:szCs w:val="24"/>
          <w:highlight w:val="none"/>
        </w:rPr>
        <w:t>4.4.2.3方式：</w:t>
      </w:r>
      <w:r>
        <w:rPr>
          <w:rFonts w:hint="eastAsia" w:ascii="宋体" w:hAnsi="宋体" w:cs="宋体"/>
          <w:bCs/>
          <w:color w:val="auto"/>
          <w:sz w:val="24"/>
          <w:highlight w:val="none"/>
        </w:rPr>
        <w:t>1.项目完成后,由</w:t>
      </w:r>
      <w:r>
        <w:rPr>
          <w:rFonts w:hint="eastAsia" w:ascii="宋体" w:hAnsi="宋体"/>
          <w:color w:val="auto"/>
          <w:sz w:val="24"/>
          <w:highlight w:val="none"/>
        </w:rPr>
        <w:t>中标人</w:t>
      </w:r>
      <w:r>
        <w:rPr>
          <w:rFonts w:hint="eastAsia" w:ascii="宋体" w:hAnsi="宋体" w:cs="宋体"/>
          <w:bCs/>
          <w:color w:val="auto"/>
          <w:sz w:val="24"/>
          <w:highlight w:val="none"/>
        </w:rPr>
        <w:t>向采购人提供全部监理成果。</w:t>
      </w:r>
    </w:p>
    <w:p>
      <w:pPr>
        <w:pStyle w:val="2"/>
        <w:spacing w:line="360" w:lineRule="auto"/>
        <w:ind w:firstLine="424" w:firstLineChars="177"/>
        <w:rPr>
          <w:rFonts w:ascii="宋体" w:hAnsi="宋体" w:cs="宋体"/>
          <w:color w:val="auto"/>
          <w:sz w:val="24"/>
          <w:szCs w:val="24"/>
          <w:highlight w:val="none"/>
        </w:rPr>
      </w:pPr>
      <w:r>
        <w:rPr>
          <w:rFonts w:hint="eastAsia" w:ascii="宋体" w:hAnsi="宋体" w:cs="宋体"/>
          <w:bCs/>
          <w:color w:val="auto"/>
          <w:sz w:val="24"/>
          <w:highlight w:val="none"/>
        </w:rPr>
        <w:t>2.项目验收由采购人组织实施，</w:t>
      </w:r>
      <w:r>
        <w:rPr>
          <w:rFonts w:hint="eastAsia" w:ascii="宋体" w:hAnsi="宋体"/>
          <w:color w:val="auto"/>
          <w:sz w:val="24"/>
          <w:highlight w:val="none"/>
        </w:rPr>
        <w:t>中标人</w:t>
      </w:r>
      <w:r>
        <w:rPr>
          <w:rFonts w:hint="eastAsia" w:ascii="宋体" w:hAnsi="宋体" w:cs="宋体"/>
          <w:bCs/>
          <w:color w:val="auto"/>
          <w:sz w:val="24"/>
          <w:highlight w:val="none"/>
        </w:rPr>
        <w:t>与采购人严格按照《财政部关于进一步加强政府采购需求和履约验收管理的指导意见》（财库〔2016〕205号）等相关规定的要求进行验收。</w:t>
      </w:r>
    </w:p>
    <w:p>
      <w:pPr>
        <w:pStyle w:val="5"/>
        <w:rPr>
          <w:color w:val="auto"/>
          <w:highlight w:val="none"/>
        </w:rPr>
      </w:pPr>
      <w:bookmarkStart w:id="270" w:name="_Toc79654086"/>
      <w:r>
        <w:rPr>
          <w:rFonts w:hint="eastAsia"/>
          <w:color w:val="auto"/>
          <w:highlight w:val="none"/>
        </w:rPr>
        <w:t>4.4.3地下管线普查成果更新质检服务（包件7）</w:t>
      </w:r>
      <w:bookmarkEnd w:id="270"/>
    </w:p>
    <w:p>
      <w:pPr>
        <w:spacing w:line="360" w:lineRule="auto"/>
        <w:ind w:firstLine="482" w:firstLineChars="200"/>
        <w:rPr>
          <w:rFonts w:ascii="宋体" w:hAnsi="宋体"/>
          <w:color w:val="auto"/>
          <w:sz w:val="24"/>
          <w:highlight w:val="none"/>
        </w:rPr>
      </w:pPr>
      <w:r>
        <w:rPr>
          <w:rFonts w:hint="eastAsia" w:ascii="宋体" w:hAnsi="宋体" w:cs="宋体"/>
          <w:b/>
          <w:bCs/>
          <w:color w:val="auto"/>
          <w:kern w:val="0"/>
          <w:sz w:val="24"/>
          <w:szCs w:val="24"/>
          <w:highlight w:val="none"/>
        </w:rPr>
        <w:t>4.4.3.1履行合同的时间：</w:t>
      </w:r>
      <w:r>
        <w:rPr>
          <w:rFonts w:hint="eastAsia" w:ascii="宋体" w:hAnsi="宋体"/>
          <w:color w:val="auto"/>
          <w:sz w:val="24"/>
          <w:highlight w:val="none"/>
        </w:rPr>
        <w:t>收到经监理审查合格的成果后30个工作日内完成地下管线质检工作，质检</w:t>
      </w:r>
      <w:r>
        <w:rPr>
          <w:rFonts w:ascii="宋体" w:hAnsi="宋体"/>
          <w:color w:val="auto"/>
          <w:sz w:val="24"/>
          <w:highlight w:val="none"/>
        </w:rPr>
        <w:t>工作</w:t>
      </w:r>
      <w:r>
        <w:rPr>
          <w:rFonts w:hint="eastAsia" w:ascii="宋体" w:hAnsi="宋体"/>
          <w:color w:val="auto"/>
          <w:sz w:val="24"/>
          <w:highlight w:val="none"/>
        </w:rPr>
        <w:t>最晚不晚于2022年6月30日。</w:t>
      </w:r>
    </w:p>
    <w:p>
      <w:pPr>
        <w:spacing w:line="360" w:lineRule="auto"/>
        <w:ind w:firstLine="480" w:firstLineChars="200"/>
        <w:rPr>
          <w:color w:val="auto"/>
          <w:sz w:val="24"/>
          <w:highlight w:val="none"/>
        </w:rPr>
      </w:pPr>
      <w:r>
        <w:rPr>
          <w:rFonts w:hint="eastAsia"/>
          <w:color w:val="auto"/>
          <w:sz w:val="24"/>
          <w:highlight w:val="none"/>
        </w:rPr>
        <w:t>注：由采购人（或经采购人认可的第三方）原因导致供应商未能按期完成项目的，则工期顺延，但顺延时间不能超过采购人（或采购人认可的第三方）原因所影响的时间。</w:t>
      </w:r>
    </w:p>
    <w:p>
      <w:pPr>
        <w:spacing w:line="360" w:lineRule="auto"/>
        <w:ind w:firstLine="482" w:firstLineChars="200"/>
        <w:rPr>
          <w:rFonts w:ascii="宋体" w:hAnsi="宋体" w:cs="宋体"/>
          <w:color w:val="auto"/>
          <w:sz w:val="24"/>
          <w:highlight w:val="none"/>
          <w:lang w:val="zh-CN" w:bidi="zh-CN"/>
        </w:rPr>
      </w:pPr>
      <w:r>
        <w:rPr>
          <w:rFonts w:hint="eastAsia" w:ascii="宋体" w:hAnsi="宋体" w:cs="宋体"/>
          <w:b/>
          <w:bCs/>
          <w:color w:val="auto"/>
          <w:kern w:val="0"/>
          <w:sz w:val="24"/>
          <w:szCs w:val="24"/>
          <w:highlight w:val="none"/>
        </w:rPr>
        <w:t>4.4.3.2地点：</w:t>
      </w:r>
      <w:r>
        <w:rPr>
          <w:rFonts w:hint="eastAsia" w:ascii="宋体" w:hAnsi="宋体" w:cs="宋体"/>
          <w:color w:val="auto"/>
          <w:sz w:val="24"/>
          <w:highlight w:val="none"/>
          <w:lang w:val="zh-CN" w:bidi="zh-CN"/>
        </w:rPr>
        <w:t>成都市双流区。</w:t>
      </w:r>
    </w:p>
    <w:p>
      <w:pPr>
        <w:spacing w:line="360" w:lineRule="auto"/>
        <w:ind w:firstLine="482" w:firstLineChars="200"/>
        <w:rPr>
          <w:rFonts w:ascii="宋体" w:hAnsi="宋体" w:cs="宋体"/>
          <w:color w:val="auto"/>
          <w:sz w:val="24"/>
          <w:szCs w:val="32"/>
          <w:highlight w:val="none"/>
        </w:rPr>
      </w:pPr>
      <w:r>
        <w:rPr>
          <w:rFonts w:hint="eastAsia" w:ascii="宋体" w:hAnsi="宋体" w:cs="宋体"/>
          <w:b/>
          <w:bCs/>
          <w:color w:val="auto"/>
          <w:kern w:val="0"/>
          <w:sz w:val="24"/>
          <w:szCs w:val="24"/>
          <w:highlight w:val="none"/>
        </w:rPr>
        <w:t>4.4.3.3方式：</w:t>
      </w:r>
      <w:r>
        <w:rPr>
          <w:rFonts w:hint="eastAsia" w:ascii="宋体" w:hAnsi="宋体" w:cs="宋体"/>
          <w:bCs/>
          <w:color w:val="auto"/>
          <w:kern w:val="0"/>
          <w:sz w:val="24"/>
          <w:szCs w:val="24"/>
          <w:highlight w:val="none"/>
        </w:rPr>
        <w:t>1.项目完</w:t>
      </w:r>
      <w:r>
        <w:rPr>
          <w:rFonts w:hint="eastAsia" w:ascii="宋体" w:hAnsi="宋体" w:cs="宋体"/>
          <w:color w:val="auto"/>
          <w:sz w:val="24"/>
          <w:szCs w:val="32"/>
          <w:highlight w:val="none"/>
        </w:rPr>
        <w:t>成后,由中标人向采购人提供全部质检成果。</w:t>
      </w:r>
    </w:p>
    <w:p>
      <w:pPr>
        <w:spacing w:line="360" w:lineRule="auto"/>
        <w:ind w:firstLine="480" w:firstLineChars="200"/>
        <w:rPr>
          <w:color w:val="auto"/>
          <w:highlight w:val="none"/>
        </w:rPr>
      </w:pPr>
      <w:r>
        <w:rPr>
          <w:rFonts w:hint="eastAsia" w:ascii="宋体" w:hAnsi="宋体" w:cs="宋体"/>
          <w:color w:val="auto"/>
          <w:sz w:val="24"/>
          <w:szCs w:val="32"/>
          <w:highlight w:val="none"/>
        </w:rPr>
        <w:t>2.项目验收由采购人组织实施，中标人与采购人严格按照《财政部关于进一步加强政府采购需求和履约验收管理的指导意见》（财库〔2016〕205号）等相关规定要求进行验收。</w:t>
      </w:r>
    </w:p>
    <w:p>
      <w:pPr>
        <w:pStyle w:val="5"/>
        <w:rPr>
          <w:rStyle w:val="169"/>
          <w:rFonts w:hint="default"/>
          <w:b/>
          <w:bCs w:val="0"/>
          <w:color w:val="auto"/>
          <w:highlight w:val="none"/>
        </w:rPr>
      </w:pPr>
      <w:bookmarkStart w:id="271" w:name="_Toc79654087"/>
      <w:r>
        <w:rPr>
          <w:rStyle w:val="169"/>
          <w:rFonts w:hint="default"/>
          <w:b/>
          <w:bCs w:val="0"/>
          <w:color w:val="auto"/>
          <w:highlight w:val="none"/>
        </w:rPr>
        <w:t>4.5质量保证期</w:t>
      </w:r>
      <w:bookmarkEnd w:id="271"/>
    </w:p>
    <w:p>
      <w:pPr>
        <w:pStyle w:val="5"/>
        <w:rPr>
          <w:b w:val="0"/>
          <w:bCs w:val="0"/>
          <w:color w:val="auto"/>
          <w:kern w:val="0"/>
          <w:sz w:val="24"/>
          <w:szCs w:val="24"/>
          <w:highlight w:val="none"/>
        </w:rPr>
      </w:pPr>
      <w:bookmarkStart w:id="272" w:name="_Toc79654088"/>
      <w:r>
        <w:rPr>
          <w:rFonts w:ascii="Times New Roman" w:hAnsi="Times New Roman" w:cs="Times New Roman"/>
          <w:color w:val="auto"/>
          <w:highlight w:val="none"/>
        </w:rPr>
        <w:t>4.5.1</w:t>
      </w:r>
      <w:r>
        <w:rPr>
          <w:rFonts w:hint="eastAsia"/>
          <w:color w:val="auto"/>
          <w:highlight w:val="none"/>
        </w:rPr>
        <w:t>地下管线普查成果更新探测服务（包件1-5）</w:t>
      </w:r>
      <w:bookmarkEnd w:id="272"/>
    </w:p>
    <w:p>
      <w:pPr>
        <w:pStyle w:val="2"/>
        <w:ind w:firstLine="470" w:firstLineChars="196"/>
        <w:rPr>
          <w:rFonts w:ascii="宋体" w:hAnsi="宋体" w:cs="宋体"/>
          <w:b/>
          <w:bCs/>
          <w:color w:val="auto"/>
          <w:sz w:val="24"/>
          <w:szCs w:val="24"/>
          <w:highlight w:val="none"/>
        </w:rPr>
      </w:pPr>
      <w:r>
        <w:rPr>
          <w:rFonts w:hint="eastAsia" w:ascii="宋体" w:hAnsi="宋体" w:cs="宋体"/>
          <w:color w:val="auto"/>
          <w:sz w:val="24"/>
          <w:highlight w:val="none"/>
        </w:rPr>
        <w:t>中标人</w:t>
      </w:r>
      <w:r>
        <w:rPr>
          <w:rFonts w:ascii="宋体" w:hAnsi="宋体"/>
          <w:color w:val="auto"/>
          <w:sz w:val="24"/>
          <w:highlight w:val="none"/>
        </w:rPr>
        <w:t>需要有完整的技术支持体系和售后服务体系，</w:t>
      </w:r>
      <w:r>
        <w:rPr>
          <w:rFonts w:hint="eastAsia" w:ascii="宋体" w:hAnsi="宋体" w:cs="宋体"/>
          <w:color w:val="auto"/>
          <w:sz w:val="24"/>
          <w:highlight w:val="none"/>
        </w:rPr>
        <w:t>中标人</w:t>
      </w:r>
      <w:r>
        <w:rPr>
          <w:rFonts w:ascii="宋体" w:hAnsi="宋体"/>
          <w:color w:val="auto"/>
          <w:sz w:val="24"/>
          <w:highlight w:val="none"/>
        </w:rPr>
        <w:t>须为本项目提供一年的免费维护（维护日期从</w:t>
      </w:r>
      <w:r>
        <w:rPr>
          <w:rFonts w:hint="eastAsia" w:ascii="宋体" w:hAnsi="宋体"/>
          <w:color w:val="auto"/>
          <w:sz w:val="24"/>
          <w:highlight w:val="none"/>
        </w:rPr>
        <w:t>项目</w:t>
      </w:r>
      <w:r>
        <w:rPr>
          <w:rFonts w:hint="eastAsia" w:ascii="宋体" w:hAnsi="宋体" w:cs="宋体"/>
          <w:color w:val="auto"/>
          <w:sz w:val="24"/>
          <w:highlight w:val="none"/>
        </w:rPr>
        <w:t>验收</w:t>
      </w:r>
      <w:r>
        <w:rPr>
          <w:rFonts w:ascii="宋体" w:hAnsi="宋体"/>
          <w:color w:val="auto"/>
          <w:sz w:val="24"/>
          <w:highlight w:val="none"/>
        </w:rPr>
        <w:t>之日起计算）；维护内容为</w:t>
      </w:r>
      <w:r>
        <w:rPr>
          <w:rFonts w:hint="eastAsia" w:ascii="宋体" w:hAnsi="宋体" w:cs="宋体"/>
          <w:color w:val="auto"/>
          <w:sz w:val="24"/>
          <w:highlight w:val="none"/>
        </w:rPr>
        <w:t>采购人</w:t>
      </w:r>
      <w:r>
        <w:rPr>
          <w:rFonts w:ascii="宋体" w:hAnsi="宋体"/>
          <w:color w:val="auto"/>
          <w:sz w:val="24"/>
          <w:highlight w:val="none"/>
        </w:rPr>
        <w:t>所提供的全部成果资料。</w:t>
      </w:r>
    </w:p>
    <w:p>
      <w:pPr>
        <w:pStyle w:val="5"/>
        <w:rPr>
          <w:color w:val="auto"/>
          <w:highlight w:val="none"/>
        </w:rPr>
      </w:pPr>
      <w:bookmarkStart w:id="273" w:name="_Toc79654089"/>
      <w:r>
        <w:rPr>
          <w:rFonts w:ascii="Times New Roman" w:hAnsi="Times New Roman" w:cs="Times New Roman"/>
          <w:color w:val="auto"/>
          <w:highlight w:val="none"/>
        </w:rPr>
        <w:t>4.5.2</w:t>
      </w:r>
      <w:r>
        <w:rPr>
          <w:rFonts w:hint="eastAsia"/>
          <w:color w:val="auto"/>
          <w:highlight w:val="none"/>
        </w:rPr>
        <w:t>地下管线普查成果更新监理服务（包件6）</w:t>
      </w:r>
      <w:bookmarkEnd w:id="273"/>
    </w:p>
    <w:p>
      <w:pPr>
        <w:ind w:firstLine="480" w:firstLineChars="200"/>
        <w:rPr>
          <w:rFonts w:ascii="宋体" w:hAnsi="宋体" w:cs="宋体"/>
          <w:b/>
          <w:bCs/>
          <w:color w:val="auto"/>
          <w:kern w:val="0"/>
          <w:sz w:val="24"/>
          <w:szCs w:val="24"/>
          <w:highlight w:val="none"/>
        </w:rPr>
      </w:pPr>
      <w:r>
        <w:rPr>
          <w:rFonts w:hint="eastAsia" w:ascii="宋体" w:hAnsi="宋体" w:cs="宋体"/>
          <w:color w:val="auto"/>
          <w:sz w:val="24"/>
          <w:highlight w:val="none"/>
        </w:rPr>
        <w:t>中标人</w:t>
      </w:r>
      <w:r>
        <w:rPr>
          <w:rFonts w:ascii="宋体" w:hAnsi="宋体"/>
          <w:color w:val="auto"/>
          <w:sz w:val="24"/>
          <w:highlight w:val="none"/>
        </w:rPr>
        <w:t>需要有完整的技术支持体系和售后服务体系，</w:t>
      </w:r>
      <w:r>
        <w:rPr>
          <w:rFonts w:hint="eastAsia" w:ascii="宋体" w:hAnsi="宋体" w:cs="宋体"/>
          <w:color w:val="auto"/>
          <w:sz w:val="24"/>
          <w:highlight w:val="none"/>
        </w:rPr>
        <w:t>中标人</w:t>
      </w:r>
      <w:r>
        <w:rPr>
          <w:rFonts w:ascii="宋体" w:hAnsi="宋体"/>
          <w:color w:val="auto"/>
          <w:sz w:val="24"/>
          <w:highlight w:val="none"/>
        </w:rPr>
        <w:t>须为本项目提供一年的免费维护（维护日期从</w:t>
      </w:r>
      <w:r>
        <w:rPr>
          <w:rFonts w:hint="eastAsia" w:ascii="宋体" w:hAnsi="宋体"/>
          <w:color w:val="auto"/>
          <w:sz w:val="24"/>
          <w:highlight w:val="none"/>
        </w:rPr>
        <w:t>项目</w:t>
      </w:r>
      <w:r>
        <w:rPr>
          <w:rFonts w:hint="eastAsia" w:ascii="宋体" w:hAnsi="宋体" w:cs="宋体"/>
          <w:color w:val="auto"/>
          <w:sz w:val="24"/>
          <w:highlight w:val="none"/>
        </w:rPr>
        <w:t>验收</w:t>
      </w:r>
      <w:r>
        <w:rPr>
          <w:rFonts w:ascii="宋体" w:hAnsi="宋体"/>
          <w:color w:val="auto"/>
          <w:sz w:val="24"/>
          <w:highlight w:val="none"/>
        </w:rPr>
        <w:t>之日起计算）；维护内容为</w:t>
      </w:r>
      <w:r>
        <w:rPr>
          <w:rFonts w:hint="eastAsia" w:ascii="宋体" w:hAnsi="宋体" w:cs="宋体"/>
          <w:color w:val="auto"/>
          <w:sz w:val="24"/>
          <w:highlight w:val="none"/>
        </w:rPr>
        <w:t>采购人</w:t>
      </w:r>
      <w:r>
        <w:rPr>
          <w:rFonts w:ascii="宋体" w:hAnsi="宋体"/>
          <w:color w:val="auto"/>
          <w:sz w:val="24"/>
          <w:highlight w:val="none"/>
        </w:rPr>
        <w:t>所提供的全部成果资料。</w:t>
      </w:r>
    </w:p>
    <w:p>
      <w:pPr>
        <w:pStyle w:val="5"/>
        <w:rPr>
          <w:color w:val="auto"/>
          <w:highlight w:val="none"/>
        </w:rPr>
      </w:pPr>
      <w:bookmarkStart w:id="274" w:name="_Toc79654090"/>
      <w:r>
        <w:rPr>
          <w:rFonts w:ascii="Times New Roman" w:hAnsi="Times New Roman" w:cs="Times New Roman"/>
          <w:color w:val="auto"/>
          <w:highlight w:val="none"/>
        </w:rPr>
        <w:t>4.5.3</w:t>
      </w:r>
      <w:r>
        <w:rPr>
          <w:rFonts w:hint="eastAsia"/>
          <w:color w:val="auto"/>
          <w:highlight w:val="none"/>
        </w:rPr>
        <w:t>地下管线普查成果更新质检服务（包件7）</w:t>
      </w:r>
      <w:bookmarkEnd w:id="274"/>
    </w:p>
    <w:p>
      <w:pPr>
        <w:pStyle w:val="2"/>
        <w:ind w:firstLine="482" w:firstLineChars="200"/>
        <w:rPr>
          <w:color w:val="auto"/>
          <w:highlight w:val="none"/>
        </w:rPr>
      </w:pPr>
      <w:r>
        <w:rPr>
          <w:rFonts w:hint="eastAsia" w:ascii="宋体" w:hAnsi="宋体" w:cs="宋体"/>
          <w:b/>
          <w:bCs/>
          <w:color w:val="auto"/>
          <w:sz w:val="24"/>
          <w:szCs w:val="24"/>
          <w:highlight w:val="none"/>
        </w:rPr>
        <w:t>无。</w:t>
      </w:r>
    </w:p>
    <w:p>
      <w:pPr>
        <w:pStyle w:val="5"/>
        <w:rPr>
          <w:rStyle w:val="169"/>
          <w:rFonts w:hint="default"/>
          <w:b/>
          <w:bCs w:val="0"/>
          <w:color w:val="auto"/>
          <w:highlight w:val="none"/>
        </w:rPr>
      </w:pPr>
      <w:bookmarkStart w:id="275" w:name="_Toc79654091"/>
      <w:r>
        <w:rPr>
          <w:rStyle w:val="169"/>
          <w:rFonts w:hint="default"/>
          <w:b/>
          <w:bCs w:val="0"/>
          <w:color w:val="auto"/>
          <w:highlight w:val="none"/>
        </w:rPr>
        <w:t>4.6服务时间</w:t>
      </w:r>
      <w:bookmarkEnd w:id="275"/>
    </w:p>
    <w:p>
      <w:pPr>
        <w:pStyle w:val="5"/>
        <w:rPr>
          <w:color w:val="auto"/>
          <w:highlight w:val="none"/>
        </w:rPr>
      </w:pPr>
      <w:bookmarkStart w:id="276" w:name="_Toc79654092"/>
      <w:r>
        <w:rPr>
          <w:rFonts w:hint="eastAsia"/>
          <w:color w:val="auto"/>
          <w:highlight w:val="none"/>
        </w:rPr>
        <w:t>4.6.1地下管线普查成果更新探测服务（包件1-5）</w:t>
      </w:r>
      <w:bookmarkEnd w:id="276"/>
    </w:p>
    <w:p>
      <w:pPr>
        <w:spacing w:line="360" w:lineRule="auto"/>
        <w:ind w:firstLine="482" w:firstLineChars="200"/>
        <w:rPr>
          <w:rFonts w:ascii="宋体" w:hAnsi="宋体"/>
          <w:color w:val="auto"/>
          <w:sz w:val="24"/>
          <w:highlight w:val="none"/>
        </w:rPr>
      </w:pPr>
      <w:r>
        <w:rPr>
          <w:rFonts w:hint="eastAsia" w:ascii="宋体" w:hAnsi="宋体" w:cs="宋体"/>
          <w:b/>
          <w:bCs/>
          <w:color w:val="auto"/>
          <w:kern w:val="0"/>
          <w:sz w:val="24"/>
          <w:szCs w:val="24"/>
          <w:highlight w:val="none"/>
        </w:rPr>
        <w:t>服务时间：</w:t>
      </w:r>
      <w:r>
        <w:rPr>
          <w:rFonts w:hint="eastAsia" w:ascii="宋体" w:hAnsi="宋体"/>
          <w:color w:val="auto"/>
          <w:sz w:val="24"/>
          <w:highlight w:val="none"/>
        </w:rPr>
        <w:t>1.中标人完成地下管线普查成果更新工作，并经监理检查合格后，管线成果可分批提交管线权属单位进行成果核验，最终完成时间不晚于2021年12月31日。</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2.中标人全力配合管线权属单位对</w:t>
      </w:r>
      <w:r>
        <w:rPr>
          <w:rFonts w:hint="eastAsia" w:ascii="宋体" w:hAnsi="宋体" w:cs="仿宋"/>
          <w:color w:val="auto"/>
          <w:sz w:val="24"/>
          <w:highlight w:val="none"/>
        </w:rPr>
        <w:t>提交的地下管线普查更新成果进行核验，并对</w:t>
      </w:r>
      <w:r>
        <w:rPr>
          <w:rFonts w:hint="eastAsia" w:ascii="宋体" w:hAnsi="宋体"/>
          <w:color w:val="auto"/>
          <w:sz w:val="24"/>
          <w:highlight w:val="none"/>
        </w:rPr>
        <w:t>核验过程中的相关问题进行整改，最终完成时间不晚于2022年4月30日。</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3.中标人全力配合采购人组织的测绘成果质检</w:t>
      </w:r>
      <w:r>
        <w:rPr>
          <w:rFonts w:ascii="宋体" w:hAnsi="宋体"/>
          <w:color w:val="auto"/>
          <w:sz w:val="24"/>
          <w:highlight w:val="none"/>
        </w:rPr>
        <w:t>机构</w:t>
      </w:r>
      <w:r>
        <w:rPr>
          <w:rFonts w:hint="eastAsia" w:ascii="宋体" w:hAnsi="宋体"/>
          <w:color w:val="auto"/>
          <w:sz w:val="24"/>
          <w:highlight w:val="none"/>
        </w:rPr>
        <w:t>对普查更新成果进行质量检验，并对质检过程中的相关问题进行整改，最终完成时间不晚于2022年6月30日。</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4.中标人全力配合采购人对地下管线普查成果进行汇交、数据整合检查及数据入库工作，最终完成时间不晚于2022年10月31日。</w:t>
      </w:r>
    </w:p>
    <w:p>
      <w:pPr>
        <w:spacing w:line="360" w:lineRule="auto"/>
        <w:ind w:firstLine="480" w:firstLineChars="200"/>
        <w:rPr>
          <w:rFonts w:ascii="宋体" w:hAnsi="宋体" w:cs="宋体"/>
          <w:color w:val="auto"/>
          <w:kern w:val="0"/>
          <w:sz w:val="24"/>
          <w:szCs w:val="24"/>
          <w:highlight w:val="none"/>
        </w:rPr>
      </w:pPr>
      <w:r>
        <w:rPr>
          <w:rFonts w:hint="eastAsia"/>
          <w:color w:val="auto"/>
          <w:sz w:val="24"/>
          <w:highlight w:val="none"/>
        </w:rPr>
        <w:t>注：由采购人（或经采购人认可的第三方）原因导致供应商未能按期完成项目的，则工期顺延，但顺延时间不能超过采购人（或采购人认可的第三方）原因所影响的时间。</w:t>
      </w:r>
    </w:p>
    <w:p>
      <w:pPr>
        <w:pStyle w:val="5"/>
        <w:rPr>
          <w:color w:val="auto"/>
          <w:highlight w:val="none"/>
        </w:rPr>
      </w:pPr>
      <w:bookmarkStart w:id="277" w:name="_Toc79654093"/>
      <w:r>
        <w:rPr>
          <w:rFonts w:hint="eastAsia"/>
          <w:color w:val="auto"/>
          <w:highlight w:val="none"/>
        </w:rPr>
        <w:t>4.6.2地下管线普查成果更新监理服务（包件6）</w:t>
      </w:r>
      <w:bookmarkEnd w:id="277"/>
    </w:p>
    <w:p>
      <w:pPr>
        <w:pStyle w:val="2"/>
        <w:spacing w:line="360" w:lineRule="auto"/>
        <w:ind w:firstLine="426" w:firstLineChars="177"/>
        <w:rPr>
          <w:rFonts w:ascii="宋体" w:hAnsi="宋体" w:cs="宋体"/>
          <w:color w:val="auto"/>
          <w:sz w:val="24"/>
          <w:szCs w:val="24"/>
          <w:highlight w:val="none"/>
        </w:rPr>
      </w:pPr>
      <w:r>
        <w:rPr>
          <w:rFonts w:hint="eastAsia" w:ascii="宋体" w:hAnsi="宋体" w:cs="宋体"/>
          <w:b/>
          <w:bCs/>
          <w:color w:val="auto"/>
          <w:sz w:val="24"/>
          <w:szCs w:val="24"/>
          <w:highlight w:val="none"/>
        </w:rPr>
        <w:t>服务时间：</w:t>
      </w:r>
      <w:r>
        <w:rPr>
          <w:rFonts w:hint="eastAsia" w:ascii="宋体" w:hAnsi="宋体"/>
          <w:color w:val="auto"/>
          <w:sz w:val="24"/>
          <w:highlight w:val="none"/>
        </w:rPr>
        <w:t>中标人自签订合同之日起直至地下管线普查成果更新项目完成验收。</w:t>
      </w:r>
    </w:p>
    <w:p>
      <w:pPr>
        <w:pStyle w:val="5"/>
        <w:rPr>
          <w:color w:val="auto"/>
          <w:highlight w:val="none"/>
        </w:rPr>
      </w:pPr>
      <w:bookmarkStart w:id="278" w:name="_Toc79654094"/>
      <w:r>
        <w:rPr>
          <w:rFonts w:hint="eastAsia"/>
          <w:color w:val="auto"/>
          <w:highlight w:val="none"/>
        </w:rPr>
        <w:t>4.6.3地下管线普查成果更新质检服务（包件7）</w:t>
      </w:r>
      <w:bookmarkEnd w:id="278"/>
    </w:p>
    <w:p>
      <w:pPr>
        <w:pStyle w:val="2"/>
        <w:ind w:firstLine="472" w:firstLineChars="196"/>
        <w:rPr>
          <w:rFonts w:ascii="宋体" w:hAnsi="宋体"/>
          <w:color w:val="auto"/>
          <w:sz w:val="24"/>
          <w:highlight w:val="none"/>
        </w:rPr>
      </w:pPr>
      <w:r>
        <w:rPr>
          <w:rFonts w:hint="eastAsia" w:ascii="宋体" w:hAnsi="宋体" w:cs="宋体"/>
          <w:b/>
          <w:bCs/>
          <w:color w:val="auto"/>
          <w:sz w:val="24"/>
          <w:szCs w:val="24"/>
          <w:highlight w:val="none"/>
        </w:rPr>
        <w:t>服务时间：</w:t>
      </w:r>
      <w:r>
        <w:rPr>
          <w:rFonts w:hint="eastAsia" w:ascii="宋体" w:hAnsi="宋体"/>
          <w:color w:val="auto"/>
          <w:sz w:val="24"/>
          <w:highlight w:val="none"/>
        </w:rPr>
        <w:t>收到经监理审查合格的成果后30个工作日内完成地下管线质检工作，质检</w:t>
      </w:r>
      <w:r>
        <w:rPr>
          <w:rFonts w:ascii="宋体" w:hAnsi="宋体"/>
          <w:color w:val="auto"/>
          <w:sz w:val="24"/>
          <w:highlight w:val="none"/>
        </w:rPr>
        <w:t>工作</w:t>
      </w:r>
      <w:r>
        <w:rPr>
          <w:rFonts w:hint="eastAsia" w:ascii="宋体" w:hAnsi="宋体"/>
          <w:color w:val="auto"/>
          <w:sz w:val="24"/>
          <w:highlight w:val="none"/>
        </w:rPr>
        <w:t>最晚不晚于2022年6月30日。</w:t>
      </w:r>
    </w:p>
    <w:p>
      <w:pPr>
        <w:pStyle w:val="2"/>
        <w:ind w:firstLine="470" w:firstLineChars="196"/>
        <w:rPr>
          <w:color w:val="auto"/>
          <w:sz w:val="24"/>
          <w:highlight w:val="none"/>
        </w:rPr>
      </w:pPr>
      <w:r>
        <w:rPr>
          <w:rFonts w:hint="eastAsia"/>
          <w:color w:val="auto"/>
          <w:sz w:val="24"/>
          <w:highlight w:val="none"/>
        </w:rPr>
        <w:t>注：由采购人（或经采购人认可的第三方）原因导致供应商未能按期完成项目的，则工期顺延，但顺延时间不能超过采购人（或采购人认可的第三方）原因所影响的时间。</w:t>
      </w:r>
    </w:p>
    <w:p>
      <w:pPr>
        <w:pStyle w:val="2"/>
        <w:ind w:firstLine="472" w:firstLineChars="196"/>
        <w:rPr>
          <w:color w:val="auto"/>
          <w:highlight w:val="none"/>
        </w:rPr>
      </w:pPr>
      <w:r>
        <w:rPr>
          <w:rFonts w:hint="eastAsia" w:ascii="宋体" w:hAnsi="宋体" w:cs="宋体"/>
          <w:b/>
          <w:bCs/>
          <w:color w:val="auto"/>
          <w:sz w:val="24"/>
          <w:szCs w:val="24"/>
          <w:highlight w:val="none"/>
        </w:rPr>
        <w:t>地点：</w:t>
      </w:r>
      <w:r>
        <w:rPr>
          <w:rFonts w:hint="eastAsia" w:ascii="宋体" w:hAnsi="宋体" w:cs="宋体"/>
          <w:color w:val="auto"/>
          <w:sz w:val="24"/>
          <w:highlight w:val="none"/>
          <w:lang w:val="zh-CN" w:bidi="zh-CN"/>
        </w:rPr>
        <w:t>成都市双流区。</w:t>
      </w:r>
    </w:p>
    <w:p>
      <w:pPr>
        <w:pStyle w:val="5"/>
        <w:rPr>
          <w:rStyle w:val="169"/>
          <w:rFonts w:hint="default"/>
          <w:b/>
          <w:bCs w:val="0"/>
          <w:color w:val="auto"/>
          <w:highlight w:val="none"/>
        </w:rPr>
      </w:pPr>
      <w:bookmarkStart w:id="279" w:name="_Toc79654095"/>
      <w:r>
        <w:rPr>
          <w:rStyle w:val="169"/>
          <w:rFonts w:hint="default"/>
          <w:b/>
          <w:bCs w:val="0"/>
          <w:color w:val="auto"/>
          <w:highlight w:val="none"/>
        </w:rPr>
        <w:t>4.7合同价款支付方式和条件：（需体现出预付款项）</w:t>
      </w:r>
      <w:bookmarkEnd w:id="279"/>
    </w:p>
    <w:p>
      <w:pPr>
        <w:pStyle w:val="5"/>
        <w:rPr>
          <w:color w:val="auto"/>
          <w:highlight w:val="none"/>
        </w:rPr>
      </w:pPr>
      <w:bookmarkStart w:id="280" w:name="_Toc79654096"/>
      <w:r>
        <w:rPr>
          <w:rFonts w:hint="eastAsia"/>
          <w:color w:val="auto"/>
          <w:highlight w:val="none"/>
        </w:rPr>
        <w:t>4.7.1地下管线普查成果更新探测服务（包件1-5）</w:t>
      </w:r>
      <w:bookmarkEnd w:id="280"/>
    </w:p>
    <w:p>
      <w:pPr>
        <w:spacing w:line="360" w:lineRule="auto"/>
        <w:ind w:left="120" w:leftChars="57" w:firstLine="360" w:firstLineChars="150"/>
        <w:rPr>
          <w:rFonts w:ascii="宋体" w:hAnsi="宋体" w:cs="宋体"/>
          <w:b/>
          <w:color w:val="auto"/>
          <w:sz w:val="24"/>
          <w:highlight w:val="none"/>
        </w:rPr>
      </w:pPr>
      <w:r>
        <w:rPr>
          <w:rFonts w:hint="eastAsia" w:ascii="宋体" w:hAnsi="宋体"/>
          <w:color w:val="auto"/>
          <w:sz w:val="24"/>
          <w:highlight w:val="none"/>
        </w:rPr>
        <w:t>1.</w:t>
      </w:r>
      <w:r>
        <w:rPr>
          <w:rFonts w:ascii="宋体" w:hAnsi="宋体"/>
          <w:color w:val="auto"/>
          <w:sz w:val="24"/>
          <w:highlight w:val="none"/>
        </w:rPr>
        <w:t>合同签订后15</w:t>
      </w:r>
      <w:r>
        <w:rPr>
          <w:rFonts w:hint="eastAsia" w:ascii="宋体" w:hAnsi="宋体"/>
          <w:color w:val="auto"/>
          <w:sz w:val="24"/>
          <w:highlight w:val="none"/>
        </w:rPr>
        <w:t>个工作</w:t>
      </w:r>
      <w:r>
        <w:rPr>
          <w:rFonts w:ascii="宋体" w:hAnsi="宋体"/>
          <w:color w:val="auto"/>
          <w:sz w:val="24"/>
          <w:highlight w:val="none"/>
        </w:rPr>
        <w:t>日内，</w:t>
      </w:r>
      <w:r>
        <w:rPr>
          <w:rFonts w:hint="eastAsia" w:ascii="宋体" w:hAnsi="宋体"/>
          <w:color w:val="auto"/>
          <w:sz w:val="24"/>
          <w:highlight w:val="none"/>
        </w:rPr>
        <w:t>采购人</w:t>
      </w:r>
      <w:r>
        <w:rPr>
          <w:rFonts w:ascii="宋体" w:hAnsi="宋体"/>
          <w:color w:val="auto"/>
          <w:sz w:val="24"/>
          <w:highlight w:val="none"/>
        </w:rPr>
        <w:t>向</w:t>
      </w:r>
      <w:r>
        <w:rPr>
          <w:rFonts w:hint="eastAsia" w:ascii="宋体" w:hAnsi="宋体"/>
          <w:color w:val="auto"/>
          <w:sz w:val="24"/>
          <w:highlight w:val="none"/>
        </w:rPr>
        <w:t>中标人</w:t>
      </w:r>
      <w:r>
        <w:rPr>
          <w:rFonts w:ascii="宋体" w:hAnsi="宋体"/>
          <w:color w:val="auto"/>
          <w:sz w:val="24"/>
          <w:highlight w:val="none"/>
        </w:rPr>
        <w:t>支付</w:t>
      </w:r>
      <w:r>
        <w:rPr>
          <w:rFonts w:hint="eastAsia" w:ascii="宋体" w:hAnsi="宋体"/>
          <w:color w:val="auto"/>
          <w:sz w:val="24"/>
          <w:highlight w:val="none"/>
        </w:rPr>
        <w:t>预算金额</w:t>
      </w:r>
      <w:r>
        <w:rPr>
          <w:rFonts w:ascii="宋体" w:hAnsi="宋体"/>
          <w:color w:val="auto"/>
          <w:sz w:val="24"/>
          <w:highlight w:val="none"/>
        </w:rPr>
        <w:t>的</w:t>
      </w:r>
      <w:r>
        <w:rPr>
          <w:rFonts w:hint="eastAsia" w:ascii="宋体" w:hAnsi="宋体"/>
          <w:color w:val="auto"/>
          <w:sz w:val="24"/>
          <w:highlight w:val="none"/>
          <w:u w:val="single"/>
        </w:rPr>
        <w:t xml:space="preserve"> 30 </w:t>
      </w:r>
      <w:r>
        <w:rPr>
          <w:rFonts w:ascii="宋体" w:hAnsi="宋体"/>
          <w:color w:val="auto"/>
          <w:sz w:val="24"/>
          <w:highlight w:val="none"/>
        </w:rPr>
        <w:t>%</w:t>
      </w:r>
      <w:r>
        <w:rPr>
          <w:rFonts w:hint="eastAsia" w:ascii="宋体" w:hAnsi="宋体"/>
          <w:color w:val="auto"/>
          <w:sz w:val="24"/>
          <w:highlight w:val="none"/>
        </w:rPr>
        <w:t>作为首付款</w:t>
      </w:r>
      <w:r>
        <w:rPr>
          <w:rFonts w:hint="eastAsia" w:ascii="宋体" w:hAnsi="宋体" w:cs="宋体"/>
          <w:b/>
          <w:color w:val="auto"/>
          <w:sz w:val="24"/>
          <w:highlight w:val="none"/>
        </w:rPr>
        <w:t>。</w:t>
      </w:r>
    </w:p>
    <w:p>
      <w:pPr>
        <w:spacing w:line="360" w:lineRule="auto"/>
        <w:ind w:left="120" w:leftChars="57" w:firstLine="360" w:firstLineChars="15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2022年4月底前</w:t>
      </w:r>
      <w:r>
        <w:rPr>
          <w:rFonts w:hint="eastAsia" w:ascii="宋体" w:hAnsi="宋体"/>
          <w:i/>
          <w:iCs/>
          <w:color w:val="auto"/>
          <w:sz w:val="24"/>
          <w:highlight w:val="none"/>
        </w:rPr>
        <w:t>，</w:t>
      </w:r>
      <w:r>
        <w:rPr>
          <w:rFonts w:hint="eastAsia"/>
          <w:color w:val="auto"/>
          <w:sz w:val="24"/>
          <w:highlight w:val="none"/>
        </w:rPr>
        <w:t>采购人</w:t>
      </w:r>
      <w:r>
        <w:rPr>
          <w:rFonts w:hint="eastAsia" w:ascii="宋体" w:hAnsi="宋体"/>
          <w:color w:val="auto"/>
          <w:sz w:val="24"/>
          <w:highlight w:val="none"/>
        </w:rPr>
        <w:t>向中标人支付第一次进度款。第一次进度款=（全野外探测单价</w:t>
      </w:r>
      <w:r>
        <w:rPr>
          <w:rFonts w:ascii="宋体" w:hAnsi="宋体"/>
          <w:color w:val="auto"/>
          <w:sz w:val="24"/>
          <w:highlight w:val="none"/>
        </w:rPr>
        <w:t>×</w:t>
      </w:r>
      <w:r>
        <w:rPr>
          <w:rFonts w:hint="eastAsia" w:ascii="宋体" w:hAnsi="宋体"/>
          <w:color w:val="auto"/>
          <w:sz w:val="24"/>
          <w:highlight w:val="none"/>
        </w:rPr>
        <w:t>全野外探测实际提交长度+内外业结合核实探测单价</w:t>
      </w:r>
      <w:r>
        <w:rPr>
          <w:rFonts w:ascii="宋体" w:hAnsi="宋体"/>
          <w:color w:val="auto"/>
          <w:sz w:val="24"/>
          <w:highlight w:val="none"/>
        </w:rPr>
        <w:t>×</w:t>
      </w:r>
      <w:r>
        <w:rPr>
          <w:rFonts w:hint="eastAsia" w:ascii="宋体" w:hAnsi="宋体"/>
          <w:color w:val="auto"/>
          <w:sz w:val="24"/>
          <w:highlight w:val="none"/>
        </w:rPr>
        <w:t>内外业结合核实探测实际提交长度）</w:t>
      </w:r>
      <w:r>
        <w:rPr>
          <w:rFonts w:ascii="宋体" w:hAnsi="宋体"/>
          <w:color w:val="auto"/>
          <w:sz w:val="24"/>
          <w:highlight w:val="none"/>
        </w:rPr>
        <w:t>×</w:t>
      </w:r>
      <w:r>
        <w:rPr>
          <w:rFonts w:hint="eastAsia" w:ascii="宋体" w:hAnsi="宋体"/>
          <w:color w:val="auto"/>
          <w:sz w:val="24"/>
          <w:highlight w:val="none"/>
        </w:rPr>
        <w:t>60%-首付款，</w:t>
      </w:r>
      <w:r>
        <w:rPr>
          <w:rFonts w:hint="eastAsia" w:ascii="宋体" w:hAnsi="宋体" w:cs="宋体"/>
          <w:color w:val="auto"/>
          <w:sz w:val="24"/>
          <w:highlight w:val="none"/>
        </w:rPr>
        <w:t>若第一次进度款计算值为零或负数，则不支付。第一次进度款</w:t>
      </w:r>
      <w:r>
        <w:rPr>
          <w:rFonts w:hint="eastAsia" w:ascii="宋体" w:hAnsi="宋体"/>
          <w:color w:val="auto"/>
          <w:sz w:val="24"/>
          <w:highlight w:val="none"/>
        </w:rPr>
        <w:t>中实际提交长</w:t>
      </w:r>
      <w:r>
        <w:rPr>
          <w:rFonts w:hint="eastAsia" w:ascii="宋体" w:hAnsi="宋体" w:cs="宋体"/>
          <w:bCs/>
          <w:color w:val="auto"/>
          <w:sz w:val="24"/>
          <w:highlight w:val="none"/>
        </w:rPr>
        <w:t>度为经监理单位检查合格</w:t>
      </w:r>
      <w:r>
        <w:rPr>
          <w:rFonts w:hint="eastAsia" w:ascii="宋体" w:hAnsi="宋体" w:cs="宋体"/>
          <w:color w:val="auto"/>
          <w:sz w:val="24"/>
          <w:highlight w:val="none"/>
        </w:rPr>
        <w:t>的管线长度。</w:t>
      </w:r>
    </w:p>
    <w:p>
      <w:pPr>
        <w:spacing w:line="360" w:lineRule="auto"/>
        <w:ind w:left="120" w:leftChars="57" w:firstLine="360" w:firstLineChars="15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olor w:val="auto"/>
          <w:sz w:val="24"/>
          <w:highlight w:val="none"/>
        </w:rPr>
        <w:t>中标人将管线普查成果全部提交完毕并经测绘成果</w:t>
      </w:r>
      <w:r>
        <w:rPr>
          <w:rFonts w:ascii="宋体" w:hAnsi="宋体"/>
          <w:color w:val="auto"/>
          <w:sz w:val="24"/>
          <w:highlight w:val="none"/>
        </w:rPr>
        <w:t>质量检验机构检验合格后，</w:t>
      </w:r>
      <w:r>
        <w:rPr>
          <w:rFonts w:hint="eastAsia" w:ascii="宋体" w:hAnsi="宋体"/>
          <w:color w:val="auto"/>
          <w:sz w:val="24"/>
          <w:highlight w:val="none"/>
        </w:rPr>
        <w:t>于</w:t>
      </w:r>
      <w:r>
        <w:rPr>
          <w:rFonts w:ascii="宋体" w:hAnsi="宋体"/>
          <w:color w:val="auto"/>
          <w:sz w:val="24"/>
          <w:highlight w:val="none"/>
        </w:rPr>
        <w:t>15</w:t>
      </w:r>
      <w:r>
        <w:rPr>
          <w:rFonts w:hint="eastAsia" w:ascii="宋体" w:hAnsi="宋体"/>
          <w:color w:val="auto"/>
          <w:sz w:val="24"/>
          <w:highlight w:val="none"/>
        </w:rPr>
        <w:t>个工作</w:t>
      </w:r>
      <w:r>
        <w:rPr>
          <w:rFonts w:ascii="宋体" w:hAnsi="宋体"/>
          <w:color w:val="auto"/>
          <w:sz w:val="24"/>
          <w:highlight w:val="none"/>
        </w:rPr>
        <w:t>日</w:t>
      </w:r>
      <w:r>
        <w:rPr>
          <w:rFonts w:hint="eastAsia" w:ascii="宋体" w:hAnsi="宋体"/>
          <w:color w:val="auto"/>
          <w:sz w:val="24"/>
          <w:highlight w:val="none"/>
        </w:rPr>
        <w:t>内采购人向中标人支付第二次进度款。第二次进度款=（全野外探测单价</w:t>
      </w:r>
      <w:r>
        <w:rPr>
          <w:rFonts w:ascii="宋体" w:hAnsi="宋体"/>
          <w:color w:val="auto"/>
          <w:sz w:val="24"/>
          <w:highlight w:val="none"/>
        </w:rPr>
        <w:t>×</w:t>
      </w:r>
      <w:r>
        <w:rPr>
          <w:rFonts w:hint="eastAsia" w:ascii="宋体" w:hAnsi="宋体"/>
          <w:color w:val="auto"/>
          <w:sz w:val="24"/>
          <w:highlight w:val="none"/>
        </w:rPr>
        <w:t>全野外探测实际提交长度+内外业结合核实探测单价</w:t>
      </w:r>
      <w:r>
        <w:rPr>
          <w:rFonts w:ascii="宋体" w:hAnsi="宋体"/>
          <w:color w:val="auto"/>
          <w:sz w:val="24"/>
          <w:highlight w:val="none"/>
        </w:rPr>
        <w:t>×</w:t>
      </w:r>
      <w:r>
        <w:rPr>
          <w:rFonts w:hint="eastAsia" w:ascii="宋体" w:hAnsi="宋体"/>
          <w:color w:val="auto"/>
          <w:sz w:val="24"/>
          <w:highlight w:val="none"/>
        </w:rPr>
        <w:t>内外业结合核实探测实际提交长度）</w:t>
      </w:r>
      <w:r>
        <w:rPr>
          <w:rFonts w:ascii="宋体" w:hAnsi="宋体"/>
          <w:color w:val="auto"/>
          <w:sz w:val="24"/>
          <w:highlight w:val="none"/>
        </w:rPr>
        <w:t>×</w:t>
      </w:r>
      <w:r>
        <w:rPr>
          <w:rFonts w:hint="eastAsia" w:ascii="宋体" w:hAnsi="宋体"/>
          <w:color w:val="auto"/>
          <w:sz w:val="24"/>
          <w:highlight w:val="none"/>
        </w:rPr>
        <w:t>80</w:t>
      </w:r>
      <w:r>
        <w:rPr>
          <w:rFonts w:ascii="宋体" w:hAnsi="宋体"/>
          <w:color w:val="auto"/>
          <w:sz w:val="24"/>
          <w:highlight w:val="none"/>
        </w:rPr>
        <w:t>%</w:t>
      </w:r>
      <w:r>
        <w:rPr>
          <w:rFonts w:hint="eastAsia" w:ascii="宋体" w:hAnsi="宋体"/>
          <w:color w:val="auto"/>
          <w:sz w:val="24"/>
          <w:highlight w:val="none"/>
        </w:rPr>
        <w:t>-首付款-第一次进度款，</w:t>
      </w:r>
      <w:r>
        <w:rPr>
          <w:rFonts w:hint="eastAsia" w:ascii="宋体" w:hAnsi="宋体" w:cs="宋体"/>
          <w:color w:val="auto"/>
          <w:sz w:val="24"/>
          <w:highlight w:val="none"/>
        </w:rPr>
        <w:t>若第二次进度款计算为零或负数，则不支付。</w:t>
      </w:r>
      <w:r>
        <w:rPr>
          <w:rFonts w:hint="eastAsia" w:ascii="宋体" w:hAnsi="宋体"/>
          <w:color w:val="auto"/>
          <w:sz w:val="24"/>
          <w:highlight w:val="none"/>
        </w:rPr>
        <w:t>第二次进度款中</w:t>
      </w:r>
      <w:r>
        <w:rPr>
          <w:rFonts w:hint="eastAsia" w:ascii="宋体" w:hAnsi="宋体" w:cs="宋体"/>
          <w:bCs/>
          <w:color w:val="auto"/>
          <w:sz w:val="24"/>
          <w:highlight w:val="none"/>
        </w:rPr>
        <w:t>实际提交长度为经质量检验合格后</w:t>
      </w:r>
      <w:r>
        <w:rPr>
          <w:rFonts w:hint="eastAsia" w:ascii="宋体" w:hAnsi="宋体" w:cs="宋体"/>
          <w:color w:val="auto"/>
          <w:sz w:val="24"/>
          <w:highlight w:val="none"/>
        </w:rPr>
        <w:t>的管线长度。</w:t>
      </w:r>
    </w:p>
    <w:p>
      <w:pPr>
        <w:spacing w:line="360" w:lineRule="auto"/>
        <w:ind w:left="120" w:leftChars="57" w:firstLine="360" w:firstLineChars="150"/>
        <w:rPr>
          <w:rFonts w:ascii="宋体" w:hAnsi="宋体" w:cs="宋体"/>
          <w:color w:val="auto"/>
          <w:sz w:val="24"/>
          <w:highlight w:val="none"/>
        </w:rPr>
      </w:pPr>
      <w:r>
        <w:rPr>
          <w:rFonts w:hint="eastAsia" w:ascii="宋体" w:hAnsi="宋体" w:cs="宋体"/>
          <w:color w:val="auto"/>
          <w:sz w:val="24"/>
          <w:highlight w:val="none"/>
        </w:rPr>
        <w:t>4.</w:t>
      </w:r>
      <w:r>
        <w:rPr>
          <w:rFonts w:hint="eastAsia" w:ascii="宋体" w:hAnsi="宋体"/>
          <w:color w:val="auto"/>
          <w:sz w:val="24"/>
          <w:highlight w:val="none"/>
        </w:rPr>
        <w:t>全部普查成果完成整合检查、汇交入库，且项目通过验收后60个工作日内采购人向中标人支付尾款。尾款=</w:t>
      </w:r>
      <w:r>
        <w:rPr>
          <w:rFonts w:hint="eastAsia" w:ascii="宋体" w:hAnsi="宋体" w:cs="宋体"/>
          <w:color w:val="auto"/>
          <w:sz w:val="24"/>
          <w:highlight w:val="none"/>
        </w:rPr>
        <w:t>合同总金额-首付款-第一次进度款-第二次进度款。</w:t>
      </w:r>
    </w:p>
    <w:p>
      <w:pPr>
        <w:spacing w:line="360" w:lineRule="auto"/>
        <w:ind w:left="120" w:leftChars="57" w:firstLine="360" w:firstLineChars="150"/>
        <w:rPr>
          <w:rFonts w:ascii="宋体" w:hAnsi="宋体" w:cs="宋体"/>
          <w:b/>
          <w:bCs/>
          <w:color w:val="auto"/>
          <w:kern w:val="0"/>
          <w:sz w:val="24"/>
          <w:szCs w:val="24"/>
          <w:highlight w:val="none"/>
        </w:rPr>
      </w:pPr>
      <w:r>
        <w:rPr>
          <w:rFonts w:hint="eastAsia" w:ascii="宋体" w:hAnsi="宋体" w:cs="宋体"/>
          <w:color w:val="auto"/>
          <w:sz w:val="24"/>
          <w:highlight w:val="none"/>
        </w:rPr>
        <w:t>5.</w:t>
      </w:r>
      <w:r>
        <w:rPr>
          <w:rFonts w:hint="eastAsia" w:ascii="宋体" w:hAnsi="宋体"/>
          <w:color w:val="auto"/>
          <w:sz w:val="24"/>
          <w:highlight w:val="none"/>
        </w:rPr>
        <w:t>支付每笔款项前，中标人须按项目进度及要求提交付款申请，并出具等额的发票。</w:t>
      </w:r>
    </w:p>
    <w:p>
      <w:pPr>
        <w:pStyle w:val="5"/>
        <w:rPr>
          <w:color w:val="auto"/>
          <w:highlight w:val="none"/>
        </w:rPr>
      </w:pPr>
      <w:bookmarkStart w:id="281" w:name="_Toc79654097"/>
      <w:r>
        <w:rPr>
          <w:rFonts w:hint="eastAsia"/>
          <w:color w:val="auto"/>
          <w:highlight w:val="none"/>
        </w:rPr>
        <w:t>4.7.2地下管线普查成果更新监理服务（包件6）</w:t>
      </w:r>
      <w:bookmarkEnd w:id="281"/>
    </w:p>
    <w:p>
      <w:pPr>
        <w:spacing w:line="360" w:lineRule="auto"/>
        <w:ind w:firstLine="480" w:firstLineChars="200"/>
        <w:rPr>
          <w:rFonts w:ascii="宋体" w:hAnsi="宋体" w:cs="宋体"/>
          <w:color w:val="auto"/>
          <w:sz w:val="24"/>
          <w:highlight w:val="none"/>
        </w:rPr>
      </w:pPr>
      <w:r>
        <w:rPr>
          <w:rFonts w:hint="eastAsia" w:ascii="宋体" w:hAnsi="宋体"/>
          <w:color w:val="auto"/>
          <w:sz w:val="24"/>
          <w:highlight w:val="none"/>
        </w:rPr>
        <w:t>1.</w:t>
      </w:r>
      <w:r>
        <w:rPr>
          <w:rFonts w:ascii="宋体" w:hAnsi="宋体"/>
          <w:color w:val="auto"/>
          <w:sz w:val="24"/>
          <w:highlight w:val="none"/>
        </w:rPr>
        <w:t>合同签订后15</w:t>
      </w:r>
      <w:r>
        <w:rPr>
          <w:rFonts w:hint="eastAsia" w:ascii="宋体" w:hAnsi="宋体"/>
          <w:color w:val="auto"/>
          <w:sz w:val="24"/>
          <w:highlight w:val="none"/>
        </w:rPr>
        <w:t>个工作</w:t>
      </w:r>
      <w:r>
        <w:rPr>
          <w:rFonts w:ascii="宋体" w:hAnsi="宋体"/>
          <w:color w:val="auto"/>
          <w:sz w:val="24"/>
          <w:highlight w:val="none"/>
        </w:rPr>
        <w:t>日内，</w:t>
      </w:r>
      <w:r>
        <w:rPr>
          <w:rFonts w:hint="eastAsia" w:ascii="宋体" w:hAnsi="宋体"/>
          <w:color w:val="auto"/>
          <w:sz w:val="24"/>
          <w:highlight w:val="none"/>
        </w:rPr>
        <w:t>采购人</w:t>
      </w:r>
      <w:r>
        <w:rPr>
          <w:rFonts w:ascii="宋体" w:hAnsi="宋体"/>
          <w:color w:val="auto"/>
          <w:sz w:val="24"/>
          <w:highlight w:val="none"/>
        </w:rPr>
        <w:t>向</w:t>
      </w:r>
      <w:r>
        <w:rPr>
          <w:rFonts w:hint="eastAsia" w:ascii="宋体" w:hAnsi="宋体"/>
          <w:color w:val="auto"/>
          <w:sz w:val="24"/>
          <w:highlight w:val="none"/>
        </w:rPr>
        <w:t>中标人</w:t>
      </w:r>
      <w:r>
        <w:rPr>
          <w:rFonts w:ascii="宋体" w:hAnsi="宋体"/>
          <w:color w:val="auto"/>
          <w:sz w:val="24"/>
          <w:highlight w:val="none"/>
        </w:rPr>
        <w:t>支付</w:t>
      </w:r>
      <w:r>
        <w:rPr>
          <w:rFonts w:hint="eastAsia" w:ascii="宋体" w:hAnsi="宋体"/>
          <w:color w:val="auto"/>
          <w:sz w:val="24"/>
          <w:highlight w:val="none"/>
        </w:rPr>
        <w:t>预算金额</w:t>
      </w:r>
      <w:r>
        <w:rPr>
          <w:rFonts w:ascii="宋体" w:hAnsi="宋体"/>
          <w:color w:val="auto"/>
          <w:sz w:val="24"/>
          <w:highlight w:val="none"/>
        </w:rPr>
        <w:t>的</w:t>
      </w:r>
      <w:r>
        <w:rPr>
          <w:rFonts w:hint="eastAsia" w:ascii="宋体" w:hAnsi="宋体"/>
          <w:color w:val="auto"/>
          <w:sz w:val="24"/>
          <w:highlight w:val="none"/>
          <w:u w:val="single"/>
        </w:rPr>
        <w:t xml:space="preserve"> 30 </w:t>
      </w:r>
      <w:r>
        <w:rPr>
          <w:rFonts w:ascii="宋体" w:hAnsi="宋体"/>
          <w:color w:val="auto"/>
          <w:sz w:val="24"/>
          <w:highlight w:val="none"/>
        </w:rPr>
        <w:t>%</w:t>
      </w:r>
      <w:r>
        <w:rPr>
          <w:rFonts w:hint="eastAsia" w:ascii="宋体" w:hAnsi="宋体"/>
          <w:color w:val="auto"/>
          <w:sz w:val="24"/>
          <w:highlight w:val="none"/>
        </w:rPr>
        <w:t>作为首付款</w:t>
      </w:r>
      <w:r>
        <w:rPr>
          <w:rFonts w:hint="eastAsia" w:ascii="宋体" w:hAnsi="宋体" w:cs="宋体"/>
          <w:color w:val="auto"/>
          <w:sz w:val="24"/>
          <w:highlight w:val="none"/>
        </w:rPr>
        <w:t>。</w:t>
      </w:r>
    </w:p>
    <w:p>
      <w:pPr>
        <w:spacing w:line="360" w:lineRule="auto"/>
        <w:ind w:firstLine="480" w:firstLineChars="200"/>
        <w:rPr>
          <w:rFonts w:ascii="宋体" w:hAnsi="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2022年4月底前，采购人</w:t>
      </w:r>
      <w:r>
        <w:rPr>
          <w:rFonts w:ascii="宋体" w:hAnsi="宋体"/>
          <w:color w:val="auto"/>
          <w:sz w:val="24"/>
          <w:highlight w:val="none"/>
        </w:rPr>
        <w:t>向</w:t>
      </w:r>
      <w:r>
        <w:rPr>
          <w:rFonts w:hint="eastAsia" w:ascii="宋体" w:hAnsi="宋体"/>
          <w:color w:val="auto"/>
          <w:sz w:val="24"/>
          <w:highlight w:val="none"/>
        </w:rPr>
        <w:t>中标人支付第一次进度款。第一次进度款=（</w:t>
      </w:r>
      <w:r>
        <w:rPr>
          <w:rFonts w:hint="eastAsia" w:ascii="宋体" w:hAnsi="宋体" w:cs="宋体"/>
          <w:color w:val="auto"/>
          <w:sz w:val="24"/>
          <w:highlight w:val="none"/>
        </w:rPr>
        <w:t>中标单价</w:t>
      </w:r>
      <w:r>
        <w:rPr>
          <w:rFonts w:ascii="宋体" w:hAnsi="宋体"/>
          <w:color w:val="auto"/>
          <w:sz w:val="24"/>
          <w:highlight w:val="none"/>
        </w:rPr>
        <w:t>×</w:t>
      </w:r>
      <w:r>
        <w:rPr>
          <w:rFonts w:hint="eastAsia" w:ascii="宋体" w:hAnsi="宋体" w:cs="宋体"/>
          <w:color w:val="auto"/>
          <w:sz w:val="24"/>
          <w:highlight w:val="none"/>
        </w:rPr>
        <w:t>地下管线实际提交长度）</w:t>
      </w:r>
      <w:r>
        <w:rPr>
          <w:rFonts w:ascii="宋体" w:hAnsi="宋体"/>
          <w:color w:val="auto"/>
          <w:sz w:val="24"/>
          <w:highlight w:val="none"/>
        </w:rPr>
        <w:t>×</w:t>
      </w:r>
      <w:r>
        <w:rPr>
          <w:rFonts w:hint="eastAsia" w:ascii="宋体" w:hAnsi="宋体"/>
          <w:color w:val="auto"/>
          <w:sz w:val="24"/>
          <w:highlight w:val="none"/>
        </w:rPr>
        <w:t>60%-首付款，</w:t>
      </w:r>
      <w:r>
        <w:rPr>
          <w:rFonts w:hint="eastAsia" w:ascii="宋体" w:hAnsi="宋体" w:cs="宋体"/>
          <w:color w:val="auto"/>
          <w:sz w:val="24"/>
          <w:highlight w:val="none"/>
        </w:rPr>
        <w:t>若第一次进度款计算为零或负数，则不支付。第一次进度款中实际提交长度为经</w:t>
      </w:r>
      <w:r>
        <w:rPr>
          <w:rFonts w:hint="eastAsia" w:ascii="宋体" w:hAnsi="宋体"/>
          <w:color w:val="auto"/>
          <w:sz w:val="24"/>
          <w:highlight w:val="none"/>
        </w:rPr>
        <w:t>监理单位检查合格的管线长度。</w:t>
      </w:r>
    </w:p>
    <w:p>
      <w:pPr>
        <w:spacing w:line="360" w:lineRule="auto"/>
        <w:ind w:firstLine="480" w:firstLineChars="200"/>
        <w:rPr>
          <w:rFonts w:ascii="宋体" w:hAnsi="宋体" w:cs="宋体"/>
          <w:color w:val="auto"/>
          <w:sz w:val="24"/>
          <w:highlight w:val="none"/>
        </w:rPr>
      </w:pPr>
      <w:r>
        <w:rPr>
          <w:rFonts w:hint="eastAsia" w:ascii="宋体" w:hAnsi="宋体"/>
          <w:color w:val="auto"/>
          <w:sz w:val="24"/>
          <w:highlight w:val="none"/>
        </w:rPr>
        <w:t>3.管线普查作业单位将管线普查成果全部提交中标人检查合格，并经测绘成果</w:t>
      </w:r>
      <w:r>
        <w:rPr>
          <w:rFonts w:ascii="宋体" w:hAnsi="宋体"/>
          <w:color w:val="auto"/>
          <w:sz w:val="24"/>
          <w:highlight w:val="none"/>
        </w:rPr>
        <w:t>质量检验机构检验</w:t>
      </w:r>
      <w:r>
        <w:rPr>
          <w:rFonts w:hint="eastAsia" w:ascii="宋体" w:hAnsi="宋体"/>
          <w:color w:val="auto"/>
          <w:sz w:val="24"/>
          <w:highlight w:val="none"/>
        </w:rPr>
        <w:t>全部</w:t>
      </w:r>
      <w:r>
        <w:rPr>
          <w:rFonts w:ascii="宋体" w:hAnsi="宋体"/>
          <w:color w:val="auto"/>
          <w:sz w:val="24"/>
          <w:highlight w:val="none"/>
        </w:rPr>
        <w:t>合格后，</w:t>
      </w:r>
      <w:r>
        <w:rPr>
          <w:rFonts w:hint="eastAsia" w:ascii="宋体" w:hAnsi="宋体"/>
          <w:color w:val="auto"/>
          <w:sz w:val="24"/>
          <w:highlight w:val="none"/>
        </w:rPr>
        <w:t>采购人于</w:t>
      </w:r>
      <w:r>
        <w:rPr>
          <w:rFonts w:ascii="宋体" w:hAnsi="宋体"/>
          <w:color w:val="auto"/>
          <w:sz w:val="24"/>
          <w:highlight w:val="none"/>
        </w:rPr>
        <w:t>15</w:t>
      </w:r>
      <w:r>
        <w:rPr>
          <w:rFonts w:hint="eastAsia" w:ascii="宋体" w:hAnsi="宋体"/>
          <w:color w:val="auto"/>
          <w:sz w:val="24"/>
          <w:highlight w:val="none"/>
        </w:rPr>
        <w:t>个工作</w:t>
      </w:r>
      <w:r>
        <w:rPr>
          <w:rFonts w:ascii="宋体" w:hAnsi="宋体"/>
          <w:color w:val="auto"/>
          <w:sz w:val="24"/>
          <w:highlight w:val="none"/>
        </w:rPr>
        <w:t>日</w:t>
      </w:r>
      <w:r>
        <w:rPr>
          <w:rFonts w:hint="eastAsia" w:ascii="宋体" w:hAnsi="宋体"/>
          <w:color w:val="auto"/>
          <w:sz w:val="24"/>
          <w:highlight w:val="none"/>
        </w:rPr>
        <w:t>内向中标人支付第二次进度款。第二次进度款=（</w:t>
      </w:r>
      <w:r>
        <w:rPr>
          <w:rFonts w:hint="eastAsia" w:ascii="宋体" w:hAnsi="宋体" w:cs="宋体"/>
          <w:color w:val="auto"/>
          <w:sz w:val="24"/>
          <w:highlight w:val="none"/>
        </w:rPr>
        <w:t>中标单价</w:t>
      </w:r>
      <w:r>
        <w:rPr>
          <w:rFonts w:ascii="宋体" w:hAnsi="宋体"/>
          <w:color w:val="auto"/>
          <w:sz w:val="24"/>
          <w:highlight w:val="none"/>
        </w:rPr>
        <w:t>×</w:t>
      </w:r>
      <w:r>
        <w:rPr>
          <w:rFonts w:hint="eastAsia" w:ascii="宋体" w:hAnsi="宋体" w:cs="宋体"/>
          <w:color w:val="auto"/>
          <w:sz w:val="24"/>
          <w:highlight w:val="none"/>
        </w:rPr>
        <w:t>地下管线实际提交长度）</w:t>
      </w:r>
      <w:r>
        <w:rPr>
          <w:rFonts w:ascii="宋体" w:hAnsi="宋体"/>
          <w:color w:val="auto"/>
          <w:sz w:val="24"/>
          <w:highlight w:val="none"/>
        </w:rPr>
        <w:t>×</w:t>
      </w:r>
      <w:r>
        <w:rPr>
          <w:rFonts w:hint="eastAsia" w:ascii="宋体" w:hAnsi="宋体"/>
          <w:color w:val="auto"/>
          <w:sz w:val="24"/>
          <w:highlight w:val="none"/>
        </w:rPr>
        <w:t>80</w:t>
      </w:r>
      <w:r>
        <w:rPr>
          <w:rFonts w:ascii="宋体" w:hAnsi="宋体"/>
          <w:color w:val="auto"/>
          <w:sz w:val="24"/>
          <w:highlight w:val="none"/>
        </w:rPr>
        <w:t>%</w:t>
      </w:r>
      <w:r>
        <w:rPr>
          <w:rFonts w:hint="eastAsia" w:ascii="宋体" w:hAnsi="宋体"/>
          <w:color w:val="auto"/>
          <w:sz w:val="24"/>
          <w:highlight w:val="none"/>
        </w:rPr>
        <w:t>-首付款-第一次进度款，</w:t>
      </w:r>
      <w:r>
        <w:rPr>
          <w:rFonts w:hint="eastAsia" w:ascii="宋体" w:hAnsi="宋体" w:cs="宋体"/>
          <w:color w:val="auto"/>
          <w:sz w:val="24"/>
          <w:highlight w:val="none"/>
        </w:rPr>
        <w:t>若第二次进度款计算为零或负数，则不支付。</w:t>
      </w:r>
      <w:r>
        <w:rPr>
          <w:rFonts w:hint="eastAsia" w:ascii="宋体" w:hAnsi="宋体"/>
          <w:color w:val="auto"/>
          <w:sz w:val="24"/>
          <w:highlight w:val="none"/>
        </w:rPr>
        <w:t>第二次进度款中</w:t>
      </w:r>
      <w:r>
        <w:rPr>
          <w:rFonts w:hint="eastAsia" w:ascii="宋体" w:hAnsi="宋体" w:cs="宋体"/>
          <w:bCs/>
          <w:color w:val="auto"/>
          <w:sz w:val="24"/>
          <w:highlight w:val="none"/>
        </w:rPr>
        <w:t>实际提交长度为经质量检验合格后</w:t>
      </w:r>
      <w:r>
        <w:rPr>
          <w:rFonts w:hint="eastAsia" w:ascii="宋体" w:hAnsi="宋体" w:cs="宋体"/>
          <w:color w:val="auto"/>
          <w:sz w:val="24"/>
          <w:highlight w:val="none"/>
        </w:rPr>
        <w:t>的管线长度。</w:t>
      </w:r>
    </w:p>
    <w:p>
      <w:pPr>
        <w:spacing w:line="360" w:lineRule="auto"/>
        <w:ind w:firstLine="480" w:firstLineChars="200"/>
        <w:rPr>
          <w:rFonts w:ascii="宋体" w:hAnsi="宋体"/>
          <w:color w:val="auto"/>
          <w:sz w:val="24"/>
          <w:highlight w:val="none"/>
        </w:rPr>
      </w:pPr>
      <w:r>
        <w:rPr>
          <w:rFonts w:hint="eastAsia" w:ascii="宋体" w:hAnsi="宋体" w:cs="宋体"/>
          <w:color w:val="auto"/>
          <w:sz w:val="24"/>
          <w:highlight w:val="none"/>
        </w:rPr>
        <w:t>4.</w:t>
      </w:r>
      <w:r>
        <w:rPr>
          <w:rFonts w:hint="eastAsia" w:ascii="宋体" w:hAnsi="宋体"/>
          <w:color w:val="auto"/>
          <w:sz w:val="24"/>
          <w:highlight w:val="none"/>
        </w:rPr>
        <w:t>全部管线普查成果完成整合检查、汇交入库，且项目通过项目验收后</w:t>
      </w:r>
      <w:r>
        <w:rPr>
          <w:rFonts w:hint="eastAsia" w:ascii="宋体" w:hAnsi="宋体"/>
          <w:color w:val="auto"/>
          <w:sz w:val="24"/>
          <w:highlight w:val="none"/>
          <w:u w:val="single"/>
        </w:rPr>
        <w:t>60</w:t>
      </w:r>
      <w:r>
        <w:rPr>
          <w:rFonts w:hint="eastAsia" w:ascii="宋体" w:hAnsi="宋体"/>
          <w:color w:val="auto"/>
          <w:sz w:val="24"/>
          <w:highlight w:val="none"/>
        </w:rPr>
        <w:t>个工作日内采购人向中标人支付尾款。尾款=合同总金额-首付款-第一次进度款-第二次进度款。</w:t>
      </w:r>
    </w:p>
    <w:p>
      <w:pPr>
        <w:spacing w:line="360" w:lineRule="auto"/>
        <w:ind w:firstLine="480" w:firstLineChars="200"/>
        <w:rPr>
          <w:rFonts w:ascii="宋体" w:hAnsi="宋体" w:cs="宋体"/>
          <w:b/>
          <w:bCs/>
          <w:color w:val="auto"/>
          <w:kern w:val="0"/>
          <w:sz w:val="24"/>
          <w:szCs w:val="24"/>
          <w:highlight w:val="none"/>
        </w:rPr>
      </w:pPr>
      <w:r>
        <w:rPr>
          <w:rFonts w:hint="eastAsia" w:ascii="宋体" w:hAnsi="宋体"/>
          <w:color w:val="auto"/>
          <w:sz w:val="24"/>
          <w:highlight w:val="none"/>
        </w:rPr>
        <w:t>5.支付每笔款项前，中标人须按项目进度及要求提交付款申请，并出具等额的发票。</w:t>
      </w:r>
    </w:p>
    <w:p>
      <w:pPr>
        <w:pStyle w:val="5"/>
        <w:rPr>
          <w:color w:val="auto"/>
          <w:highlight w:val="none"/>
        </w:rPr>
      </w:pPr>
      <w:bookmarkStart w:id="282" w:name="_Toc79654098"/>
      <w:r>
        <w:rPr>
          <w:rFonts w:hint="eastAsia"/>
          <w:color w:val="auto"/>
          <w:highlight w:val="none"/>
        </w:rPr>
        <w:t>4.7.3地下管线普查成果更新质检服务（包件7）</w:t>
      </w:r>
      <w:bookmarkEnd w:id="282"/>
    </w:p>
    <w:p>
      <w:pPr>
        <w:spacing w:line="360" w:lineRule="auto"/>
        <w:ind w:firstLine="480" w:firstLineChars="200"/>
        <w:rPr>
          <w:rFonts w:ascii="宋体" w:hAnsi="宋体" w:cs="宋体"/>
          <w:color w:val="auto"/>
          <w:sz w:val="24"/>
        </w:rPr>
      </w:pPr>
      <w:r>
        <w:rPr>
          <w:rFonts w:hint="eastAsia" w:ascii="宋体" w:hAnsi="宋体"/>
          <w:color w:val="auto"/>
          <w:sz w:val="24"/>
          <w:highlight w:val="none"/>
        </w:rPr>
        <w:t>1.</w:t>
      </w:r>
      <w:r>
        <w:rPr>
          <w:rFonts w:ascii="宋体" w:hAnsi="宋体"/>
          <w:color w:val="auto"/>
          <w:sz w:val="24"/>
          <w:highlight w:val="none"/>
        </w:rPr>
        <w:t>合同签订后15</w:t>
      </w:r>
      <w:r>
        <w:rPr>
          <w:rFonts w:hint="eastAsia" w:ascii="宋体" w:hAnsi="宋体"/>
          <w:color w:val="auto"/>
          <w:sz w:val="24"/>
          <w:highlight w:val="none"/>
        </w:rPr>
        <w:t>个工作</w:t>
      </w:r>
      <w:r>
        <w:rPr>
          <w:rFonts w:ascii="宋体" w:hAnsi="宋体"/>
          <w:color w:val="auto"/>
          <w:sz w:val="24"/>
          <w:highlight w:val="none"/>
        </w:rPr>
        <w:t>日内，</w:t>
      </w:r>
      <w:r>
        <w:rPr>
          <w:rFonts w:hint="eastAsia" w:ascii="宋体" w:hAnsi="宋体"/>
          <w:color w:val="auto"/>
          <w:sz w:val="24"/>
          <w:highlight w:val="none"/>
        </w:rPr>
        <w:t>采购人</w:t>
      </w:r>
      <w:r>
        <w:rPr>
          <w:rFonts w:ascii="宋体" w:hAnsi="宋体"/>
          <w:color w:val="auto"/>
          <w:sz w:val="24"/>
          <w:highlight w:val="none"/>
        </w:rPr>
        <w:t>向</w:t>
      </w:r>
      <w:r>
        <w:rPr>
          <w:rFonts w:hint="eastAsia" w:ascii="宋体" w:hAnsi="宋体"/>
          <w:color w:val="auto"/>
          <w:sz w:val="24"/>
          <w:highlight w:val="none"/>
        </w:rPr>
        <w:t>中标人</w:t>
      </w:r>
      <w:r>
        <w:rPr>
          <w:rFonts w:ascii="宋体" w:hAnsi="宋体"/>
          <w:color w:val="auto"/>
          <w:sz w:val="24"/>
          <w:highlight w:val="none"/>
        </w:rPr>
        <w:t>支</w:t>
      </w:r>
      <w:r>
        <w:rPr>
          <w:rFonts w:ascii="宋体" w:hAnsi="宋体"/>
          <w:color w:val="auto"/>
          <w:sz w:val="24"/>
        </w:rPr>
        <w:t>付</w:t>
      </w:r>
      <w:r>
        <w:rPr>
          <w:rFonts w:hint="eastAsia" w:ascii="宋体" w:hAnsi="宋体"/>
          <w:color w:val="auto"/>
          <w:sz w:val="24"/>
        </w:rPr>
        <w:t>预算金额</w:t>
      </w:r>
      <w:r>
        <w:rPr>
          <w:rFonts w:ascii="宋体" w:hAnsi="宋体"/>
          <w:color w:val="auto"/>
          <w:sz w:val="24"/>
        </w:rPr>
        <w:t>的</w:t>
      </w:r>
      <w:r>
        <w:rPr>
          <w:rFonts w:hint="eastAsia" w:ascii="宋体" w:hAnsi="宋体"/>
          <w:color w:val="auto"/>
          <w:sz w:val="24"/>
          <w:u w:val="single"/>
        </w:rPr>
        <w:t xml:space="preserve"> 30 </w:t>
      </w:r>
      <w:r>
        <w:rPr>
          <w:rFonts w:ascii="宋体" w:hAnsi="宋体"/>
          <w:color w:val="auto"/>
          <w:sz w:val="24"/>
        </w:rPr>
        <w:t>%</w:t>
      </w:r>
      <w:r>
        <w:rPr>
          <w:rFonts w:hint="eastAsia" w:ascii="宋体" w:hAnsi="宋体"/>
          <w:color w:val="auto"/>
          <w:sz w:val="24"/>
        </w:rPr>
        <w:t>作为首付款</w:t>
      </w:r>
      <w:r>
        <w:rPr>
          <w:rFonts w:hint="eastAsia" w:ascii="宋体" w:hAnsi="宋体" w:cs="宋体"/>
          <w:color w:val="auto"/>
          <w:sz w:val="24"/>
        </w:rPr>
        <w:t>。</w:t>
      </w:r>
    </w:p>
    <w:p>
      <w:pPr>
        <w:spacing w:line="360" w:lineRule="auto"/>
        <w:ind w:firstLine="480" w:firstLineChars="200"/>
        <w:rPr>
          <w:rFonts w:ascii="宋体" w:hAnsi="宋体" w:cs="宋体"/>
          <w:color w:val="auto"/>
          <w:sz w:val="24"/>
        </w:rPr>
      </w:pPr>
      <w:r>
        <w:rPr>
          <w:rFonts w:hint="eastAsia" w:ascii="宋体" w:hAnsi="宋体" w:cs="宋体"/>
          <w:color w:val="auto"/>
          <w:sz w:val="24"/>
        </w:rPr>
        <w:t>2.</w:t>
      </w:r>
      <w:r>
        <w:rPr>
          <w:rFonts w:ascii="宋体" w:hAnsi="宋体"/>
          <w:color w:val="auto"/>
          <w:sz w:val="24"/>
        </w:rPr>
        <w:t>中标人完成标段所有地下管线普查质检工作，出具质检报告并提交经采购人确认的所有正式成果资料后，</w:t>
      </w:r>
      <w:r>
        <w:rPr>
          <w:rFonts w:hint="eastAsia" w:ascii="宋体" w:hAnsi="宋体"/>
          <w:color w:val="auto"/>
          <w:sz w:val="24"/>
        </w:rPr>
        <w:t>采购人于</w:t>
      </w:r>
      <w:r>
        <w:rPr>
          <w:rFonts w:ascii="宋体" w:hAnsi="宋体"/>
          <w:color w:val="auto"/>
          <w:sz w:val="24"/>
        </w:rPr>
        <w:t>15</w:t>
      </w:r>
      <w:r>
        <w:rPr>
          <w:rFonts w:hint="eastAsia" w:ascii="宋体" w:hAnsi="宋体"/>
          <w:color w:val="auto"/>
          <w:sz w:val="24"/>
        </w:rPr>
        <w:t>个工作</w:t>
      </w:r>
      <w:r>
        <w:rPr>
          <w:rFonts w:ascii="宋体" w:hAnsi="宋体"/>
          <w:color w:val="auto"/>
          <w:sz w:val="24"/>
        </w:rPr>
        <w:t>日</w:t>
      </w:r>
      <w:r>
        <w:rPr>
          <w:rFonts w:hint="eastAsia" w:ascii="宋体" w:hAnsi="宋体"/>
          <w:color w:val="auto"/>
          <w:sz w:val="24"/>
        </w:rPr>
        <w:t>内向中标人支付进度款。进度款=（</w:t>
      </w:r>
      <w:r>
        <w:rPr>
          <w:rFonts w:hint="eastAsia" w:ascii="宋体" w:hAnsi="宋体" w:cs="宋体"/>
          <w:color w:val="auto"/>
          <w:sz w:val="24"/>
        </w:rPr>
        <w:t>中标单价</w:t>
      </w:r>
      <w:r>
        <w:rPr>
          <w:rFonts w:ascii="宋体" w:hAnsi="宋体"/>
          <w:color w:val="auto"/>
          <w:sz w:val="24"/>
        </w:rPr>
        <w:t>×</w:t>
      </w:r>
      <w:r>
        <w:rPr>
          <w:rFonts w:hint="eastAsia" w:ascii="宋体" w:hAnsi="宋体" w:cs="宋体"/>
          <w:color w:val="auto"/>
          <w:sz w:val="24"/>
        </w:rPr>
        <w:t>地下管线实际提交长度）</w:t>
      </w:r>
      <w:r>
        <w:rPr>
          <w:rFonts w:ascii="宋体" w:hAnsi="宋体"/>
          <w:color w:val="auto"/>
          <w:sz w:val="24"/>
        </w:rPr>
        <w:t>×</w:t>
      </w:r>
      <w:r>
        <w:rPr>
          <w:rFonts w:hint="eastAsia" w:ascii="宋体" w:hAnsi="宋体"/>
          <w:color w:val="auto"/>
          <w:sz w:val="24"/>
        </w:rPr>
        <w:t>80</w:t>
      </w:r>
      <w:r>
        <w:rPr>
          <w:rFonts w:ascii="宋体" w:hAnsi="宋体"/>
          <w:color w:val="auto"/>
          <w:sz w:val="24"/>
        </w:rPr>
        <w:t>%</w:t>
      </w:r>
      <w:r>
        <w:rPr>
          <w:rFonts w:hint="eastAsia" w:ascii="宋体" w:hAnsi="宋体"/>
          <w:color w:val="auto"/>
          <w:sz w:val="24"/>
        </w:rPr>
        <w:t>-首付款，</w:t>
      </w:r>
      <w:r>
        <w:rPr>
          <w:rFonts w:hint="eastAsia" w:ascii="宋体" w:hAnsi="宋体" w:cs="宋体"/>
          <w:color w:val="auto"/>
          <w:sz w:val="24"/>
        </w:rPr>
        <w:t>若进度款计算为零或负数，则不支付。</w:t>
      </w:r>
      <w:r>
        <w:rPr>
          <w:rFonts w:hint="eastAsia" w:ascii="宋体" w:hAnsi="宋体"/>
          <w:color w:val="auto"/>
          <w:sz w:val="24"/>
        </w:rPr>
        <w:t>进度款中</w:t>
      </w:r>
      <w:r>
        <w:rPr>
          <w:rFonts w:hint="eastAsia" w:ascii="宋体" w:hAnsi="宋体" w:cs="宋体"/>
          <w:bCs/>
          <w:color w:val="auto"/>
          <w:sz w:val="24"/>
        </w:rPr>
        <w:t>实际提交长度为经质量检验合格后</w:t>
      </w:r>
      <w:r>
        <w:rPr>
          <w:rFonts w:hint="eastAsia" w:ascii="宋体" w:hAnsi="宋体" w:cs="宋体"/>
          <w:color w:val="auto"/>
          <w:sz w:val="24"/>
        </w:rPr>
        <w:t>的管线长度。</w:t>
      </w:r>
    </w:p>
    <w:p>
      <w:pPr>
        <w:spacing w:line="360" w:lineRule="auto"/>
        <w:ind w:firstLine="480" w:firstLineChars="200"/>
        <w:rPr>
          <w:rFonts w:ascii="宋体" w:hAnsi="宋体"/>
          <w:color w:val="auto"/>
          <w:sz w:val="24"/>
        </w:rPr>
      </w:pPr>
      <w:r>
        <w:rPr>
          <w:rFonts w:hint="eastAsia" w:ascii="宋体" w:hAnsi="宋体" w:cs="宋体"/>
          <w:color w:val="auto"/>
          <w:sz w:val="24"/>
        </w:rPr>
        <w:t>3.</w:t>
      </w:r>
      <w:r>
        <w:rPr>
          <w:rFonts w:hint="eastAsia" w:ascii="宋体" w:hAnsi="宋体"/>
          <w:color w:val="auto"/>
          <w:sz w:val="24"/>
        </w:rPr>
        <w:t>全部管线普查成果完成整合检查、汇交入库，且项目通过项目验收后60个工作日内采购人向中标人支付尾款。尾款=合同总金额-首付款-进度款。</w:t>
      </w:r>
    </w:p>
    <w:p>
      <w:pPr>
        <w:spacing w:line="360" w:lineRule="auto"/>
        <w:ind w:firstLine="480" w:firstLineChars="200"/>
        <w:rPr>
          <w:rFonts w:ascii="宋体" w:hAnsi="宋体" w:cs="宋体"/>
          <w:color w:val="auto"/>
          <w:kern w:val="0"/>
          <w:sz w:val="24"/>
          <w:szCs w:val="24"/>
        </w:rPr>
      </w:pPr>
      <w:r>
        <w:rPr>
          <w:rFonts w:hint="eastAsia" w:ascii="宋体" w:hAnsi="宋体"/>
          <w:color w:val="auto"/>
          <w:sz w:val="24"/>
        </w:rPr>
        <w:t>4.支付每笔款项前，中标人须按项目进度及要求提交付款申请，并出具等额的发票。</w:t>
      </w:r>
    </w:p>
    <w:p>
      <w:pPr>
        <w:pStyle w:val="5"/>
        <w:rPr>
          <w:rStyle w:val="169"/>
          <w:rFonts w:hint="default"/>
          <w:b/>
          <w:bCs w:val="0"/>
          <w:color w:val="auto"/>
        </w:rPr>
      </w:pPr>
      <w:bookmarkStart w:id="283" w:name="_Toc79654099"/>
      <w:r>
        <w:rPr>
          <w:rStyle w:val="169"/>
          <w:rFonts w:hint="default"/>
          <w:b/>
          <w:bCs w:val="0"/>
          <w:color w:val="auto"/>
        </w:rPr>
        <w:t>4.8违约责任</w:t>
      </w:r>
      <w:bookmarkEnd w:id="283"/>
    </w:p>
    <w:p>
      <w:pPr>
        <w:pStyle w:val="5"/>
        <w:rPr>
          <w:color w:val="auto"/>
        </w:rPr>
      </w:pPr>
      <w:bookmarkStart w:id="284" w:name="_Toc79654100"/>
      <w:r>
        <w:rPr>
          <w:rFonts w:hint="eastAsia"/>
          <w:color w:val="auto"/>
        </w:rPr>
        <w:t>4.8.1地下管线普查成果更新探测服务（包件1-5）</w:t>
      </w:r>
      <w:bookmarkEnd w:id="284"/>
    </w:p>
    <w:p>
      <w:pPr>
        <w:rPr>
          <w:rFonts w:ascii="宋体" w:hAnsi="宋体"/>
          <w:color w:val="auto"/>
          <w:sz w:val="24"/>
        </w:rPr>
      </w:pPr>
      <w:r>
        <w:rPr>
          <w:rFonts w:hint="eastAsia" w:ascii="宋体" w:hAnsi="宋体"/>
          <w:color w:val="auto"/>
          <w:sz w:val="24"/>
        </w:rPr>
        <w:t>详见第七章《地下管线普查成果更新探测服务项目政府采购合同》，具体以合同约定为准。</w:t>
      </w:r>
    </w:p>
    <w:p>
      <w:pPr>
        <w:pStyle w:val="5"/>
        <w:rPr>
          <w:color w:val="auto"/>
        </w:rPr>
      </w:pPr>
      <w:bookmarkStart w:id="285" w:name="_Toc79654101"/>
      <w:r>
        <w:rPr>
          <w:rFonts w:hint="eastAsia"/>
          <w:color w:val="auto"/>
        </w:rPr>
        <w:t>4.8.2地下管线普查成果更新监理服务（包件6）</w:t>
      </w:r>
      <w:bookmarkEnd w:id="285"/>
    </w:p>
    <w:p>
      <w:pPr>
        <w:rPr>
          <w:rFonts w:ascii="宋体" w:hAnsi="宋体"/>
          <w:color w:val="auto"/>
          <w:sz w:val="24"/>
        </w:rPr>
      </w:pPr>
      <w:r>
        <w:rPr>
          <w:rFonts w:hint="eastAsia" w:ascii="宋体" w:hAnsi="宋体"/>
          <w:color w:val="auto"/>
          <w:sz w:val="24"/>
        </w:rPr>
        <w:t>详见第七章《地下管线普查成果更新监理服务项目政府采购合同》，具体以合同约定为准。</w:t>
      </w:r>
    </w:p>
    <w:p>
      <w:pPr>
        <w:pStyle w:val="5"/>
        <w:rPr>
          <w:color w:val="auto"/>
        </w:rPr>
      </w:pPr>
      <w:bookmarkStart w:id="286" w:name="_Toc79654102"/>
      <w:r>
        <w:rPr>
          <w:rFonts w:hint="eastAsia"/>
          <w:color w:val="auto"/>
        </w:rPr>
        <w:t>4.8.3地下管线普查成果更新质检服务（包件7）</w:t>
      </w:r>
      <w:bookmarkEnd w:id="286"/>
    </w:p>
    <w:p>
      <w:pPr>
        <w:rPr>
          <w:rFonts w:ascii="宋体" w:hAnsi="宋体"/>
          <w:color w:val="auto"/>
          <w:sz w:val="24"/>
        </w:rPr>
      </w:pPr>
      <w:r>
        <w:rPr>
          <w:rFonts w:hint="eastAsia" w:ascii="宋体" w:hAnsi="宋体"/>
          <w:color w:val="auto"/>
          <w:sz w:val="24"/>
        </w:rPr>
        <w:t>详见第七章《地下管线普查成果更新监理服务项目政府采购合同》，具体以合同约定为准。</w:t>
      </w:r>
    </w:p>
    <w:p>
      <w:pPr>
        <w:pStyle w:val="5"/>
        <w:rPr>
          <w:rStyle w:val="169"/>
          <w:rFonts w:hint="default"/>
          <w:b/>
          <w:bCs w:val="0"/>
          <w:color w:val="auto"/>
        </w:rPr>
      </w:pPr>
      <w:bookmarkStart w:id="287" w:name="_Toc79654103"/>
      <w:r>
        <w:rPr>
          <w:rStyle w:val="169"/>
          <w:rFonts w:hint="default"/>
          <w:b/>
          <w:bCs w:val="0"/>
          <w:color w:val="auto"/>
        </w:rPr>
        <w:t>4.9其他履约要求</w:t>
      </w:r>
      <w:bookmarkEnd w:id="287"/>
    </w:p>
    <w:p>
      <w:pPr>
        <w:widowControl/>
        <w:adjustRightInd w:val="0"/>
        <w:snapToGrid w:val="0"/>
        <w:spacing w:line="240" w:lineRule="atLeast"/>
        <w:jc w:val="left"/>
        <w:rPr>
          <w:rFonts w:ascii="宋体" w:hAnsi="宋体" w:cs="宋体"/>
          <w:color w:val="auto"/>
          <w:sz w:val="24"/>
          <w:szCs w:val="24"/>
        </w:rPr>
      </w:pPr>
      <w:r>
        <w:rPr>
          <w:rFonts w:hint="eastAsia" w:ascii="宋体" w:hAnsi="宋体" w:cs="宋体"/>
          <w:color w:val="auto"/>
          <w:kern w:val="0"/>
          <w:sz w:val="24"/>
          <w:szCs w:val="24"/>
        </w:rPr>
        <w:t xml:space="preserve">4.9.1解决争议的方式 </w:t>
      </w:r>
    </w:p>
    <w:p>
      <w:pPr>
        <w:widowControl/>
        <w:adjustRightInd w:val="0"/>
        <w:snapToGrid w:val="0"/>
        <w:spacing w:line="240" w:lineRule="atLeast"/>
        <w:ind w:firstLine="482" w:firstLineChars="200"/>
        <w:jc w:val="left"/>
        <w:rPr>
          <w:rFonts w:ascii="宋体" w:hAnsi="宋体" w:cs="宋体"/>
          <w:color w:val="auto"/>
          <w:kern w:val="0"/>
          <w:sz w:val="24"/>
          <w:szCs w:val="24"/>
        </w:rPr>
      </w:pPr>
      <w:r>
        <w:rPr>
          <w:rFonts w:hint="eastAsia" w:ascii="宋体" w:hAnsi="宋体" w:cs="宋体"/>
          <w:b/>
          <w:bCs/>
          <w:color w:val="auto"/>
          <w:kern w:val="0"/>
          <w:sz w:val="24"/>
          <w:szCs w:val="24"/>
        </w:rPr>
        <w:t>（包件1-5）：</w:t>
      </w:r>
      <w:r>
        <w:rPr>
          <w:rFonts w:hint="eastAsia" w:ascii="宋体" w:hAnsi="宋体" w:cs="宋体"/>
          <w:color w:val="auto"/>
          <w:kern w:val="0"/>
          <w:sz w:val="24"/>
          <w:szCs w:val="24"/>
        </w:rPr>
        <w:t>向合同签订地人民法院诉讼</w:t>
      </w:r>
    </w:p>
    <w:p>
      <w:pPr>
        <w:widowControl/>
        <w:adjustRightInd w:val="0"/>
        <w:snapToGrid w:val="0"/>
        <w:spacing w:line="240" w:lineRule="atLeast"/>
        <w:ind w:firstLine="482" w:firstLineChars="200"/>
        <w:jc w:val="left"/>
        <w:rPr>
          <w:rFonts w:ascii="宋体" w:hAnsi="宋体" w:cs="宋体"/>
          <w:color w:val="auto"/>
          <w:kern w:val="0"/>
          <w:sz w:val="24"/>
          <w:szCs w:val="24"/>
        </w:rPr>
      </w:pPr>
      <w:r>
        <w:rPr>
          <w:rFonts w:hint="eastAsia" w:ascii="宋体" w:hAnsi="宋体" w:cs="宋体"/>
          <w:b/>
          <w:bCs/>
          <w:color w:val="auto"/>
          <w:kern w:val="0"/>
          <w:sz w:val="24"/>
          <w:szCs w:val="24"/>
        </w:rPr>
        <w:t>（包件6）：</w:t>
      </w:r>
      <w:r>
        <w:rPr>
          <w:rFonts w:hint="eastAsia" w:ascii="宋体" w:hAnsi="宋体" w:cs="宋体"/>
          <w:bCs/>
          <w:color w:val="auto"/>
          <w:kern w:val="0"/>
          <w:sz w:val="24"/>
          <w:szCs w:val="24"/>
        </w:rPr>
        <w:t>向</w:t>
      </w:r>
      <w:r>
        <w:rPr>
          <w:rFonts w:hint="eastAsia" w:ascii="宋体" w:hAnsi="宋体" w:cs="宋体"/>
          <w:color w:val="auto"/>
          <w:kern w:val="0"/>
          <w:sz w:val="24"/>
          <w:szCs w:val="24"/>
        </w:rPr>
        <w:t>合同签订地人民法院诉讼</w:t>
      </w:r>
    </w:p>
    <w:p>
      <w:pPr>
        <w:widowControl/>
        <w:adjustRightInd w:val="0"/>
        <w:snapToGrid w:val="0"/>
        <w:spacing w:line="240" w:lineRule="atLeast"/>
        <w:ind w:firstLine="482" w:firstLineChars="200"/>
        <w:jc w:val="left"/>
        <w:rPr>
          <w:rFonts w:ascii="宋体" w:hAnsi="宋体" w:cs="宋体"/>
          <w:color w:val="auto"/>
          <w:kern w:val="0"/>
          <w:sz w:val="24"/>
          <w:szCs w:val="24"/>
        </w:rPr>
      </w:pPr>
      <w:r>
        <w:rPr>
          <w:rFonts w:hint="eastAsia" w:ascii="宋体" w:hAnsi="宋体" w:cs="宋体"/>
          <w:b/>
          <w:bCs/>
          <w:color w:val="auto"/>
          <w:kern w:val="0"/>
          <w:sz w:val="24"/>
          <w:szCs w:val="24"/>
        </w:rPr>
        <w:t>（包件7）：</w:t>
      </w:r>
      <w:r>
        <w:rPr>
          <w:rFonts w:hint="eastAsia" w:ascii="宋体" w:hAnsi="宋体" w:cs="宋体"/>
          <w:bCs/>
          <w:color w:val="auto"/>
          <w:kern w:val="0"/>
          <w:sz w:val="24"/>
          <w:szCs w:val="24"/>
        </w:rPr>
        <w:t>向</w:t>
      </w:r>
      <w:r>
        <w:rPr>
          <w:rFonts w:hint="eastAsia" w:ascii="宋体" w:hAnsi="宋体" w:cs="宋体"/>
          <w:color w:val="auto"/>
          <w:kern w:val="0"/>
          <w:sz w:val="24"/>
          <w:szCs w:val="24"/>
        </w:rPr>
        <w:t>合同签订地人民法院诉讼</w:t>
      </w:r>
    </w:p>
    <w:p>
      <w:pPr>
        <w:widowControl/>
        <w:adjustRightInd w:val="0"/>
        <w:snapToGrid w:val="0"/>
        <w:spacing w:line="240" w:lineRule="atLeast"/>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4.10其他未尽事</w:t>
      </w:r>
      <w:r>
        <w:rPr>
          <w:rFonts w:hint="eastAsia" w:ascii="宋体" w:hAnsi="宋体" w:cs="宋体"/>
          <w:color w:val="auto"/>
          <w:sz w:val="24"/>
        </w:rPr>
        <w:t>宜由采购人与供应商双方共同协商签订补充协议。</w:t>
      </w:r>
    </w:p>
    <w:p>
      <w:pPr>
        <w:pStyle w:val="209"/>
        <w:outlineLvl w:val="1"/>
        <w:rPr>
          <w:rStyle w:val="169"/>
          <w:rFonts w:hint="default"/>
          <w:color w:val="auto"/>
        </w:rPr>
      </w:pPr>
      <w:bookmarkStart w:id="288" w:name="_Toc79654104"/>
      <w:r>
        <w:rPr>
          <w:rStyle w:val="169"/>
          <w:rFonts w:hint="default"/>
          <w:color w:val="auto"/>
        </w:rPr>
        <w:t>4.11验收标准和方法</w:t>
      </w:r>
      <w:bookmarkEnd w:id="288"/>
    </w:p>
    <w:p>
      <w:pPr>
        <w:pStyle w:val="5"/>
        <w:rPr>
          <w:bCs w:val="0"/>
          <w:color w:val="auto"/>
          <w:kern w:val="0"/>
          <w:sz w:val="24"/>
          <w:szCs w:val="24"/>
        </w:rPr>
      </w:pPr>
      <w:bookmarkStart w:id="289" w:name="_Toc79654105"/>
      <w:r>
        <w:rPr>
          <w:rFonts w:hint="eastAsia"/>
          <w:bCs w:val="0"/>
          <w:color w:val="auto"/>
          <w:kern w:val="0"/>
          <w:sz w:val="24"/>
          <w:szCs w:val="24"/>
        </w:rPr>
        <w:t>4.11.1地下管线普查成果更新探测服务（包件1-5）</w:t>
      </w:r>
      <w:bookmarkEnd w:id="289"/>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1.成果全部完成后，中标人将全部成果提交采购人进行质量检验，经采购人委托的测绘成果质检机构质检合格后，由测绘成果质检机构具质量检验报告。</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2.待全部成果通过质量检验合格后，由采购人根据市领导小组办公室相关管理规定对普查成果进行汇交。</w:t>
      </w:r>
    </w:p>
    <w:p>
      <w:pPr>
        <w:spacing w:line="360" w:lineRule="auto"/>
        <w:ind w:firstLine="480" w:firstLineChars="200"/>
        <w:rPr>
          <w:rFonts w:ascii="宋体" w:hAnsi="宋体" w:cs="宋体"/>
          <w:color w:val="auto"/>
          <w:kern w:val="0"/>
          <w:sz w:val="24"/>
          <w:szCs w:val="24"/>
        </w:rPr>
      </w:pPr>
      <w:r>
        <w:rPr>
          <w:rFonts w:hint="eastAsia" w:ascii="宋体" w:hAnsi="宋体" w:cs="宋体"/>
          <w:color w:val="auto"/>
          <w:sz w:val="24"/>
          <w:szCs w:val="32"/>
        </w:rPr>
        <w:t>3.普查成果通过数据整合检查及入库后，项目验收由采购人组织实施，中标人与采购人严格按照《财政部关于进一步加强政府采购需求和履约验收管理的指导意见》（财库〔2016〕205号）等相关规定要求进行验收</w:t>
      </w:r>
      <w:r>
        <w:rPr>
          <w:rFonts w:hint="eastAsia" w:ascii="宋体" w:hAnsi="宋体" w:cs="宋体"/>
          <w:color w:val="auto"/>
          <w:kern w:val="0"/>
          <w:sz w:val="24"/>
          <w:szCs w:val="24"/>
        </w:rPr>
        <w:t>。</w:t>
      </w:r>
    </w:p>
    <w:p>
      <w:pPr>
        <w:pStyle w:val="5"/>
        <w:rPr>
          <w:bCs w:val="0"/>
          <w:color w:val="auto"/>
          <w:kern w:val="0"/>
          <w:sz w:val="24"/>
          <w:szCs w:val="24"/>
        </w:rPr>
      </w:pPr>
      <w:bookmarkStart w:id="290" w:name="_Toc79654106"/>
      <w:r>
        <w:rPr>
          <w:rFonts w:hint="eastAsia"/>
          <w:bCs w:val="0"/>
          <w:color w:val="auto"/>
          <w:kern w:val="0"/>
          <w:sz w:val="24"/>
          <w:szCs w:val="24"/>
        </w:rPr>
        <w:t>4.11.2地下管线普查成果更新监理服务(包件6)</w:t>
      </w:r>
      <w:bookmarkEnd w:id="290"/>
    </w:p>
    <w:p>
      <w:pPr>
        <w:pStyle w:val="2"/>
        <w:spacing w:line="360" w:lineRule="auto"/>
        <w:ind w:firstLine="424" w:firstLineChars="177"/>
        <w:rPr>
          <w:rFonts w:ascii="宋体" w:hAnsi="宋体" w:cs="宋体"/>
          <w:bCs/>
          <w:color w:val="auto"/>
          <w:sz w:val="24"/>
        </w:rPr>
      </w:pPr>
      <w:r>
        <w:rPr>
          <w:rFonts w:hint="eastAsia" w:ascii="宋体" w:hAnsi="宋体" w:cs="宋体"/>
          <w:bCs/>
          <w:color w:val="auto"/>
          <w:sz w:val="24"/>
        </w:rPr>
        <w:t>1.项目完成后,由</w:t>
      </w:r>
      <w:r>
        <w:rPr>
          <w:rFonts w:hint="eastAsia" w:ascii="宋体" w:hAnsi="宋体"/>
          <w:color w:val="auto"/>
          <w:sz w:val="24"/>
        </w:rPr>
        <w:t>中标人</w:t>
      </w:r>
      <w:r>
        <w:rPr>
          <w:rFonts w:hint="eastAsia" w:ascii="宋体" w:hAnsi="宋体" w:cs="宋体"/>
          <w:bCs/>
          <w:color w:val="auto"/>
          <w:sz w:val="24"/>
        </w:rPr>
        <w:t>向采购人提供全部监理成果。</w:t>
      </w:r>
    </w:p>
    <w:p>
      <w:pPr>
        <w:pStyle w:val="2"/>
        <w:spacing w:line="360" w:lineRule="auto"/>
        <w:ind w:firstLine="424" w:firstLineChars="177"/>
        <w:rPr>
          <w:rFonts w:ascii="宋体" w:hAnsi="宋体" w:cs="宋体"/>
          <w:color w:val="auto"/>
          <w:sz w:val="24"/>
          <w:szCs w:val="24"/>
        </w:rPr>
      </w:pPr>
      <w:r>
        <w:rPr>
          <w:rFonts w:hint="eastAsia" w:ascii="宋体" w:hAnsi="宋体" w:cs="宋体"/>
          <w:bCs/>
          <w:color w:val="auto"/>
          <w:sz w:val="24"/>
        </w:rPr>
        <w:t>2.项目验收由采购人组织实施，</w:t>
      </w:r>
      <w:r>
        <w:rPr>
          <w:rFonts w:hint="eastAsia" w:ascii="宋体" w:hAnsi="宋体"/>
          <w:color w:val="auto"/>
          <w:sz w:val="24"/>
        </w:rPr>
        <w:t>中标人</w:t>
      </w:r>
      <w:r>
        <w:rPr>
          <w:rFonts w:hint="eastAsia" w:ascii="宋体" w:hAnsi="宋体" w:cs="宋体"/>
          <w:bCs/>
          <w:color w:val="auto"/>
          <w:sz w:val="24"/>
        </w:rPr>
        <w:t>与采购人严格按照《财政部关于进一步加强政府采购需求和履约验收管理的指导意见》（财库〔2016〕205号）等相关规定的要求进行验收</w:t>
      </w:r>
      <w:r>
        <w:rPr>
          <w:rFonts w:hint="eastAsia" w:ascii="宋体" w:hAnsi="宋体" w:cs="宋体"/>
          <w:color w:val="auto"/>
          <w:sz w:val="24"/>
          <w:szCs w:val="24"/>
        </w:rPr>
        <w:t>。</w:t>
      </w:r>
    </w:p>
    <w:p>
      <w:pPr>
        <w:pStyle w:val="5"/>
        <w:rPr>
          <w:bCs w:val="0"/>
          <w:color w:val="auto"/>
          <w:kern w:val="0"/>
          <w:sz w:val="24"/>
          <w:szCs w:val="24"/>
        </w:rPr>
      </w:pPr>
      <w:bookmarkStart w:id="291" w:name="_Toc79654107"/>
      <w:r>
        <w:rPr>
          <w:rFonts w:hint="eastAsia"/>
          <w:bCs w:val="0"/>
          <w:color w:val="auto"/>
          <w:kern w:val="0"/>
          <w:sz w:val="24"/>
          <w:szCs w:val="24"/>
        </w:rPr>
        <w:t>4.11.3地下管线普查成果更新质检服务(包件7)</w:t>
      </w:r>
      <w:bookmarkEnd w:id="291"/>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1.项目完成后,由中标人向采购人提供全部质检成果。</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32"/>
        </w:rPr>
        <w:t>2.项目验收由采购人组织实施，中标人与采购人严格按照《财政部关于进一步加强政府采购需求和履约验收管理的指导意见》（财库〔2016〕205号）等相关规定要求进行验收</w:t>
      </w:r>
      <w:r>
        <w:rPr>
          <w:rFonts w:hint="eastAsia" w:ascii="宋体" w:hAnsi="宋体" w:cs="宋体"/>
          <w:color w:val="auto"/>
          <w:kern w:val="0"/>
          <w:sz w:val="24"/>
          <w:szCs w:val="24"/>
        </w:rPr>
        <w:t>。</w:t>
      </w:r>
    </w:p>
    <w:p>
      <w:pPr>
        <w:pStyle w:val="209"/>
        <w:outlineLvl w:val="1"/>
        <w:rPr>
          <w:rStyle w:val="169"/>
          <w:rFonts w:hint="default"/>
          <w:color w:val="auto"/>
        </w:rPr>
      </w:pPr>
      <w:bookmarkStart w:id="292" w:name="_Toc79654108"/>
      <w:r>
        <w:rPr>
          <w:rStyle w:val="169"/>
          <w:rFonts w:hint="default"/>
          <w:color w:val="auto"/>
        </w:rPr>
        <w:t>4.12售后服务的要求</w:t>
      </w:r>
      <w:bookmarkEnd w:id="292"/>
    </w:p>
    <w:p>
      <w:pPr>
        <w:tabs>
          <w:tab w:val="left" w:pos="7560"/>
        </w:tabs>
        <w:adjustRightInd w:val="0"/>
        <w:snapToGrid w:val="0"/>
        <w:spacing w:line="360" w:lineRule="auto"/>
        <w:ind w:firstLine="482" w:firstLineChars="200"/>
        <w:rPr>
          <w:rFonts w:ascii="宋体" w:hAnsi="宋体" w:cs="宋体"/>
          <w:b/>
          <w:bCs/>
          <w:color w:val="auto"/>
          <w:kern w:val="0"/>
          <w:sz w:val="24"/>
          <w:szCs w:val="24"/>
        </w:rPr>
      </w:pPr>
      <w:r>
        <w:rPr>
          <w:rFonts w:hint="eastAsia" w:ascii="宋体" w:hAnsi="宋体" w:cs="宋体"/>
          <w:b/>
          <w:bCs/>
          <w:color w:val="auto"/>
          <w:kern w:val="0"/>
          <w:sz w:val="24"/>
          <w:szCs w:val="24"/>
        </w:rPr>
        <w:t>4.12.1地下管线普查成果更新探测服务（包件1-5）</w:t>
      </w:r>
    </w:p>
    <w:p>
      <w:pPr>
        <w:tabs>
          <w:tab w:val="left" w:pos="7560"/>
        </w:tabs>
        <w:adjustRightInd w:val="0"/>
        <w:snapToGrid w:val="0"/>
        <w:spacing w:line="360" w:lineRule="auto"/>
        <w:ind w:firstLine="480" w:firstLineChars="200"/>
        <w:rPr>
          <w:rFonts w:ascii="宋体" w:hAnsi="宋体"/>
          <w:color w:val="auto"/>
          <w:sz w:val="24"/>
        </w:rPr>
      </w:pPr>
      <w:r>
        <w:rPr>
          <w:rFonts w:hint="eastAsia" w:ascii="宋体" w:hAnsi="宋体"/>
          <w:color w:val="auto"/>
          <w:sz w:val="24"/>
        </w:rPr>
        <w:t>1.</w:t>
      </w:r>
      <w:r>
        <w:rPr>
          <w:rFonts w:hint="eastAsia" w:ascii="宋体" w:hAnsi="宋体" w:cs="宋体"/>
          <w:color w:val="auto"/>
          <w:sz w:val="24"/>
        </w:rPr>
        <w:t>中</w:t>
      </w:r>
      <w:r>
        <w:rPr>
          <w:rFonts w:ascii="宋体" w:hAnsi="宋体"/>
          <w:color w:val="auto"/>
          <w:sz w:val="24"/>
        </w:rPr>
        <w:t>标人需要有完整的技术支持体系和售后服务体系，</w:t>
      </w:r>
      <w:r>
        <w:rPr>
          <w:rFonts w:hint="eastAsia" w:ascii="宋体" w:hAnsi="宋体" w:cs="宋体"/>
          <w:color w:val="auto"/>
          <w:sz w:val="24"/>
        </w:rPr>
        <w:t>中</w:t>
      </w:r>
      <w:r>
        <w:rPr>
          <w:rFonts w:ascii="宋体" w:hAnsi="宋体"/>
          <w:color w:val="auto"/>
          <w:sz w:val="24"/>
        </w:rPr>
        <w:t>标人须为本项目提供一年的免费维护（维护日期从</w:t>
      </w:r>
      <w:r>
        <w:rPr>
          <w:rFonts w:hint="eastAsia" w:ascii="宋体" w:hAnsi="宋体"/>
          <w:color w:val="auto"/>
          <w:sz w:val="24"/>
        </w:rPr>
        <w:t>项目</w:t>
      </w:r>
      <w:r>
        <w:rPr>
          <w:rFonts w:hint="eastAsia" w:ascii="宋体" w:hAnsi="宋体" w:cs="宋体"/>
          <w:color w:val="auto"/>
          <w:sz w:val="24"/>
        </w:rPr>
        <w:t>验收</w:t>
      </w:r>
      <w:r>
        <w:rPr>
          <w:rFonts w:ascii="宋体" w:hAnsi="宋体"/>
          <w:color w:val="auto"/>
          <w:sz w:val="24"/>
        </w:rPr>
        <w:t>之日起计算）；维护内容为</w:t>
      </w:r>
      <w:r>
        <w:rPr>
          <w:rFonts w:hint="eastAsia" w:ascii="宋体" w:hAnsi="宋体" w:cs="宋体"/>
          <w:color w:val="auto"/>
          <w:sz w:val="24"/>
        </w:rPr>
        <w:t>中</w:t>
      </w:r>
      <w:r>
        <w:rPr>
          <w:rFonts w:ascii="宋体" w:hAnsi="宋体"/>
          <w:color w:val="auto"/>
          <w:sz w:val="24"/>
        </w:rPr>
        <w:t>标人所提供的全部成果资料。</w:t>
      </w:r>
    </w:p>
    <w:p>
      <w:pPr>
        <w:tabs>
          <w:tab w:val="left" w:pos="7560"/>
        </w:tabs>
        <w:adjustRightInd w:val="0"/>
        <w:snapToGrid w:val="0"/>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为保证技术支持和售后服务工作的有效进行，要求参与技术支持和售后服务人员应具备下列基本条件：</w:t>
      </w:r>
    </w:p>
    <w:p>
      <w:pPr>
        <w:tabs>
          <w:tab w:val="left" w:pos="7560"/>
        </w:tabs>
        <w:adjustRightInd w:val="0"/>
        <w:snapToGrid w:val="0"/>
        <w:spacing w:line="360" w:lineRule="auto"/>
        <w:ind w:firstLine="480" w:firstLineChars="200"/>
        <w:rPr>
          <w:rFonts w:ascii="宋体" w:hAnsi="宋体"/>
          <w:color w:val="auto"/>
          <w:sz w:val="24"/>
        </w:rPr>
      </w:pPr>
      <w:r>
        <w:rPr>
          <w:rFonts w:hint="eastAsia" w:ascii="宋体" w:hAnsi="宋体"/>
          <w:color w:val="auto"/>
          <w:sz w:val="24"/>
        </w:rPr>
        <w:t>（</w:t>
      </w:r>
      <w:r>
        <w:rPr>
          <w:rFonts w:ascii="宋体" w:hAnsi="宋体"/>
          <w:color w:val="auto"/>
          <w:sz w:val="24"/>
        </w:rPr>
        <w:t>1）主要负责人参与了本项目的</w:t>
      </w:r>
      <w:r>
        <w:rPr>
          <w:rFonts w:hint="eastAsia" w:ascii="宋体" w:hAnsi="宋体"/>
          <w:color w:val="auto"/>
          <w:sz w:val="24"/>
        </w:rPr>
        <w:t>地下管线</w:t>
      </w:r>
      <w:r>
        <w:rPr>
          <w:rFonts w:ascii="宋体" w:hAnsi="宋体"/>
          <w:color w:val="auto"/>
          <w:sz w:val="24"/>
        </w:rPr>
        <w:t>普查工作；</w:t>
      </w:r>
    </w:p>
    <w:p>
      <w:pPr>
        <w:tabs>
          <w:tab w:val="left" w:pos="7560"/>
        </w:tabs>
        <w:adjustRightInd w:val="0"/>
        <w:snapToGrid w:val="0"/>
        <w:spacing w:line="360" w:lineRule="auto"/>
        <w:ind w:firstLine="480" w:firstLineChars="200"/>
        <w:rPr>
          <w:rFonts w:ascii="宋体" w:hAnsi="宋体"/>
          <w:color w:val="auto"/>
          <w:sz w:val="24"/>
        </w:rPr>
      </w:pPr>
      <w:r>
        <w:rPr>
          <w:rFonts w:hint="eastAsia" w:ascii="宋体" w:hAnsi="宋体"/>
          <w:color w:val="auto"/>
          <w:sz w:val="24"/>
        </w:rPr>
        <w:t>（</w:t>
      </w:r>
      <w:r>
        <w:rPr>
          <w:rFonts w:ascii="宋体" w:hAnsi="宋体"/>
          <w:color w:val="auto"/>
          <w:sz w:val="24"/>
        </w:rPr>
        <w:t>2）熟练掌握本项目的相关技术。</w:t>
      </w:r>
    </w:p>
    <w:p>
      <w:pPr>
        <w:tabs>
          <w:tab w:val="left" w:pos="7560"/>
        </w:tabs>
        <w:adjustRightInd w:val="0"/>
        <w:snapToGrid w:val="0"/>
        <w:spacing w:line="360" w:lineRule="auto"/>
        <w:ind w:firstLine="480" w:firstLineChars="200"/>
        <w:rPr>
          <w:rFonts w:ascii="宋体" w:hAnsi="宋体" w:cs="宋体"/>
          <w:color w:val="auto"/>
          <w:kern w:val="0"/>
          <w:sz w:val="24"/>
          <w:szCs w:val="24"/>
        </w:rPr>
      </w:pPr>
      <w:r>
        <w:rPr>
          <w:rFonts w:hint="eastAsia" w:ascii="宋体" w:hAnsi="宋体"/>
          <w:color w:val="auto"/>
          <w:sz w:val="24"/>
        </w:rPr>
        <w:t>3.在一年的免费维护期内</w:t>
      </w:r>
      <w:r>
        <w:rPr>
          <w:rFonts w:ascii="宋体" w:hAnsi="宋体"/>
          <w:color w:val="auto"/>
          <w:sz w:val="24"/>
        </w:rPr>
        <w:t>提供</w:t>
      </w:r>
      <w:r>
        <w:rPr>
          <w:rFonts w:hint="eastAsia" w:ascii="宋体" w:hAnsi="宋体"/>
          <w:color w:val="auto"/>
          <w:sz w:val="24"/>
        </w:rPr>
        <w:t>每日12</w:t>
      </w:r>
      <w:r>
        <w:rPr>
          <w:rFonts w:ascii="宋体" w:hAnsi="宋体"/>
          <w:color w:val="auto"/>
          <w:sz w:val="24"/>
        </w:rPr>
        <w:t>小时服务和技术支持。对采购人的服务通知，在接报后1小时内响应。电话或远程无法解决的问题必须到达现场处理的，交通及其它费用由中标人负责</w:t>
      </w:r>
      <w:r>
        <w:rPr>
          <w:rFonts w:hint="eastAsia" w:ascii="宋体" w:hAnsi="宋体" w:cs="宋体"/>
          <w:color w:val="auto"/>
          <w:kern w:val="0"/>
          <w:sz w:val="24"/>
          <w:szCs w:val="24"/>
        </w:rPr>
        <w:t>。</w:t>
      </w:r>
    </w:p>
    <w:p>
      <w:pPr>
        <w:tabs>
          <w:tab w:val="left" w:pos="7560"/>
        </w:tabs>
        <w:adjustRightInd w:val="0"/>
        <w:snapToGrid w:val="0"/>
        <w:spacing w:line="360" w:lineRule="auto"/>
        <w:ind w:firstLine="482" w:firstLineChars="200"/>
        <w:rPr>
          <w:rFonts w:ascii="宋体" w:hAnsi="宋体" w:cs="宋体"/>
          <w:b/>
          <w:bCs/>
          <w:color w:val="auto"/>
          <w:kern w:val="0"/>
          <w:sz w:val="24"/>
          <w:szCs w:val="24"/>
        </w:rPr>
      </w:pPr>
      <w:r>
        <w:rPr>
          <w:rFonts w:hint="eastAsia" w:ascii="宋体" w:hAnsi="宋体" w:cs="宋体"/>
          <w:b/>
          <w:bCs/>
          <w:color w:val="auto"/>
          <w:kern w:val="0"/>
          <w:sz w:val="24"/>
          <w:szCs w:val="24"/>
        </w:rPr>
        <w:t>4.12.2地下管线普查成果更新监理服务(包件6)</w:t>
      </w:r>
    </w:p>
    <w:p>
      <w:pPr>
        <w:tabs>
          <w:tab w:val="left" w:pos="7560"/>
        </w:tabs>
        <w:adjustRightInd w:val="0"/>
        <w:snapToGrid w:val="0"/>
        <w:spacing w:line="360" w:lineRule="auto"/>
        <w:ind w:firstLine="480" w:firstLineChars="200"/>
        <w:rPr>
          <w:rFonts w:ascii="宋体" w:hAnsi="宋体"/>
          <w:color w:val="auto"/>
          <w:sz w:val="24"/>
        </w:rPr>
      </w:pPr>
      <w:r>
        <w:rPr>
          <w:rFonts w:hint="eastAsia" w:ascii="宋体" w:hAnsi="宋体"/>
          <w:color w:val="auto"/>
          <w:sz w:val="24"/>
        </w:rPr>
        <w:t>1.</w:t>
      </w:r>
      <w:r>
        <w:rPr>
          <w:rFonts w:hint="eastAsia" w:ascii="宋体" w:hAnsi="宋体" w:cs="宋体"/>
          <w:color w:val="auto"/>
          <w:sz w:val="24"/>
        </w:rPr>
        <w:t>中</w:t>
      </w:r>
      <w:r>
        <w:rPr>
          <w:rFonts w:ascii="宋体" w:hAnsi="宋体"/>
          <w:color w:val="auto"/>
          <w:sz w:val="24"/>
        </w:rPr>
        <w:t>标人需要有完整的技术支持体系和售后服务体系，</w:t>
      </w:r>
      <w:r>
        <w:rPr>
          <w:rFonts w:hint="eastAsia" w:ascii="宋体" w:hAnsi="宋体" w:cs="宋体"/>
          <w:color w:val="auto"/>
          <w:sz w:val="24"/>
        </w:rPr>
        <w:t>中</w:t>
      </w:r>
      <w:r>
        <w:rPr>
          <w:rFonts w:ascii="宋体" w:hAnsi="宋体"/>
          <w:color w:val="auto"/>
          <w:sz w:val="24"/>
        </w:rPr>
        <w:t>标人须为本项目提供一年的免费维护（维护日期从</w:t>
      </w:r>
      <w:r>
        <w:rPr>
          <w:rFonts w:hint="eastAsia" w:ascii="宋体" w:hAnsi="宋体" w:cs="宋体"/>
          <w:color w:val="auto"/>
          <w:sz w:val="24"/>
        </w:rPr>
        <w:t>项目验收</w:t>
      </w:r>
      <w:r>
        <w:rPr>
          <w:rFonts w:ascii="宋体" w:hAnsi="宋体"/>
          <w:color w:val="auto"/>
          <w:sz w:val="24"/>
        </w:rPr>
        <w:t>之日起计算）；维护内容为</w:t>
      </w:r>
      <w:r>
        <w:rPr>
          <w:rFonts w:hint="eastAsia" w:ascii="宋体" w:hAnsi="宋体" w:cs="宋体"/>
          <w:color w:val="auto"/>
          <w:sz w:val="24"/>
        </w:rPr>
        <w:t>中</w:t>
      </w:r>
      <w:r>
        <w:rPr>
          <w:rFonts w:ascii="宋体" w:hAnsi="宋体"/>
          <w:color w:val="auto"/>
          <w:sz w:val="24"/>
        </w:rPr>
        <w:t>标人所提供的全部成果资料。</w:t>
      </w:r>
    </w:p>
    <w:p>
      <w:pPr>
        <w:tabs>
          <w:tab w:val="left" w:pos="7560"/>
        </w:tabs>
        <w:adjustRightInd w:val="0"/>
        <w:snapToGrid w:val="0"/>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为保证技术支持和售后服务工作的有效进行，要求参与技术支持和售后服务人员应具备下列基本条件：</w:t>
      </w:r>
    </w:p>
    <w:p>
      <w:pPr>
        <w:tabs>
          <w:tab w:val="left" w:pos="7560"/>
        </w:tabs>
        <w:adjustRightInd w:val="0"/>
        <w:snapToGrid w:val="0"/>
        <w:spacing w:line="360" w:lineRule="auto"/>
        <w:ind w:firstLine="480" w:firstLineChars="200"/>
        <w:rPr>
          <w:rFonts w:ascii="宋体" w:hAnsi="宋体"/>
          <w:color w:val="auto"/>
          <w:sz w:val="24"/>
        </w:rPr>
      </w:pPr>
      <w:r>
        <w:rPr>
          <w:rFonts w:hint="eastAsia" w:ascii="宋体" w:hAnsi="宋体"/>
          <w:color w:val="auto"/>
          <w:sz w:val="24"/>
        </w:rPr>
        <w:t>（</w:t>
      </w:r>
      <w:r>
        <w:rPr>
          <w:rFonts w:ascii="宋体" w:hAnsi="宋体"/>
          <w:color w:val="auto"/>
          <w:sz w:val="24"/>
        </w:rPr>
        <w:t>1）主要负责人参与了本项目的</w:t>
      </w:r>
      <w:r>
        <w:rPr>
          <w:rFonts w:hint="eastAsia" w:ascii="宋体" w:hAnsi="宋体"/>
          <w:color w:val="auto"/>
          <w:sz w:val="24"/>
        </w:rPr>
        <w:t>地下管线</w:t>
      </w:r>
      <w:r>
        <w:rPr>
          <w:rFonts w:ascii="宋体" w:hAnsi="宋体"/>
          <w:color w:val="auto"/>
          <w:sz w:val="24"/>
        </w:rPr>
        <w:t>普查</w:t>
      </w:r>
      <w:r>
        <w:rPr>
          <w:rFonts w:hint="eastAsia" w:ascii="宋体" w:hAnsi="宋体"/>
          <w:color w:val="auto"/>
          <w:sz w:val="24"/>
        </w:rPr>
        <w:t>监理</w:t>
      </w:r>
      <w:r>
        <w:rPr>
          <w:rFonts w:ascii="宋体" w:hAnsi="宋体"/>
          <w:color w:val="auto"/>
          <w:sz w:val="24"/>
        </w:rPr>
        <w:t>工作；</w:t>
      </w:r>
    </w:p>
    <w:p>
      <w:pPr>
        <w:tabs>
          <w:tab w:val="left" w:pos="7560"/>
        </w:tabs>
        <w:adjustRightInd w:val="0"/>
        <w:snapToGrid w:val="0"/>
        <w:spacing w:line="360" w:lineRule="auto"/>
        <w:ind w:firstLine="480" w:firstLineChars="200"/>
        <w:rPr>
          <w:rFonts w:ascii="宋体" w:hAnsi="宋体"/>
          <w:color w:val="auto"/>
          <w:sz w:val="24"/>
        </w:rPr>
      </w:pPr>
      <w:r>
        <w:rPr>
          <w:rFonts w:hint="eastAsia" w:ascii="宋体" w:hAnsi="宋体"/>
          <w:color w:val="auto"/>
          <w:sz w:val="24"/>
        </w:rPr>
        <w:t>（</w:t>
      </w:r>
      <w:r>
        <w:rPr>
          <w:rFonts w:ascii="宋体" w:hAnsi="宋体"/>
          <w:color w:val="auto"/>
          <w:sz w:val="24"/>
        </w:rPr>
        <w:t>2）熟练掌握本项目的相关技术。</w:t>
      </w:r>
    </w:p>
    <w:p>
      <w:pPr>
        <w:tabs>
          <w:tab w:val="left" w:pos="7560"/>
        </w:tabs>
        <w:adjustRightInd w:val="0"/>
        <w:snapToGrid w:val="0"/>
        <w:spacing w:line="360" w:lineRule="auto"/>
        <w:ind w:firstLine="480" w:firstLineChars="200"/>
        <w:rPr>
          <w:rFonts w:ascii="宋体" w:hAnsi="宋体" w:cs="宋体"/>
          <w:color w:val="auto"/>
          <w:kern w:val="0"/>
          <w:sz w:val="24"/>
          <w:szCs w:val="24"/>
        </w:rPr>
      </w:pPr>
      <w:r>
        <w:rPr>
          <w:rFonts w:hint="eastAsia" w:ascii="宋体" w:hAnsi="宋体"/>
          <w:color w:val="auto"/>
          <w:sz w:val="24"/>
        </w:rPr>
        <w:t>3.在一年的免费维护期内</w:t>
      </w:r>
      <w:r>
        <w:rPr>
          <w:rFonts w:ascii="宋体" w:hAnsi="宋体"/>
          <w:color w:val="auto"/>
          <w:sz w:val="24"/>
        </w:rPr>
        <w:t>提供</w:t>
      </w:r>
      <w:r>
        <w:rPr>
          <w:rFonts w:hint="eastAsia" w:ascii="宋体" w:hAnsi="宋体"/>
          <w:color w:val="auto"/>
          <w:sz w:val="24"/>
        </w:rPr>
        <w:t>每日12</w:t>
      </w:r>
      <w:r>
        <w:rPr>
          <w:rFonts w:ascii="宋体" w:hAnsi="宋体"/>
          <w:color w:val="auto"/>
          <w:sz w:val="24"/>
        </w:rPr>
        <w:t>小时服务和技术支持。对采购人的服务通知，在接报后1小时内响应。电话或远程无法解决的问题必须到达现场处理的，交通及其它费用由中标人负责。</w:t>
      </w:r>
    </w:p>
    <w:p>
      <w:pPr>
        <w:widowControl/>
        <w:adjustRightInd w:val="0"/>
        <w:snapToGrid w:val="0"/>
        <w:spacing w:line="240" w:lineRule="atLeast"/>
        <w:ind w:firstLine="482" w:firstLineChars="200"/>
        <w:jc w:val="left"/>
        <w:rPr>
          <w:rFonts w:ascii="宋体" w:hAnsi="宋体" w:cs="宋体"/>
          <w:color w:val="auto"/>
          <w:kern w:val="0"/>
          <w:sz w:val="24"/>
          <w:szCs w:val="24"/>
        </w:rPr>
      </w:pPr>
      <w:r>
        <w:rPr>
          <w:rFonts w:hint="eastAsia" w:ascii="宋体" w:hAnsi="宋体" w:cs="宋体"/>
          <w:b/>
          <w:bCs/>
          <w:color w:val="auto"/>
          <w:kern w:val="0"/>
          <w:sz w:val="24"/>
          <w:szCs w:val="24"/>
        </w:rPr>
        <w:t>4.12.3地下管线普查成果更新质检服务(包件7)：无</w:t>
      </w:r>
      <w:r>
        <w:rPr>
          <w:rFonts w:hint="eastAsia" w:ascii="宋体" w:hAnsi="宋体" w:cs="宋体"/>
          <w:color w:val="auto"/>
          <w:kern w:val="0"/>
          <w:sz w:val="24"/>
          <w:szCs w:val="24"/>
        </w:rPr>
        <w:t>。</w:t>
      </w:r>
    </w:p>
    <w:p>
      <w:pPr>
        <w:pStyle w:val="209"/>
        <w:rPr>
          <w:rFonts w:hAnsi="宋体" w:cs="Calibri"/>
          <w:b/>
          <w:color w:val="auto"/>
          <w:kern w:val="2"/>
          <w:sz w:val="28"/>
          <w:szCs w:val="28"/>
          <w:lang w:val="zh-CN"/>
        </w:rPr>
      </w:pPr>
    </w:p>
    <w:p>
      <w:pPr>
        <w:tabs>
          <w:tab w:val="left" w:pos="1134"/>
        </w:tabs>
        <w:snapToGrid w:val="0"/>
        <w:spacing w:line="360" w:lineRule="auto"/>
        <w:ind w:firstLine="565" w:firstLineChars="201"/>
        <w:rPr>
          <w:rFonts w:ascii="宋体" w:hAnsi="宋体" w:cs="Calibri"/>
          <w:b/>
          <w:color w:val="auto"/>
          <w:sz w:val="28"/>
          <w:szCs w:val="28"/>
          <w:lang w:val="zh-CN"/>
        </w:rPr>
      </w:pPr>
      <w:r>
        <w:rPr>
          <w:rFonts w:hint="eastAsia" w:ascii="宋体" w:hAnsi="宋体" w:cs="Calibri"/>
          <w:b/>
          <w:color w:val="auto"/>
          <w:sz w:val="28"/>
          <w:szCs w:val="28"/>
          <w:lang w:val="zh-CN"/>
        </w:rPr>
        <w:t>*本项目投标报价总最高限价为人民币42981000.00元，包件1最高限价：6567000.00元；包件2最高限价：9729000.00元；包件3最高限价：5220000.00元；包件4最高限价：6567000.00元；包件5最高限价：10047000.00元；包件6最高限价：2948000.00元；包件7最高限价：1903000.00元；单价最高限价见第4章4.2.3最高限价。如供应商投标报价高于所投包件最高限价或单价报价高于单价最高限价的则其对应包件投标文件将按无效投标文件处理。</w:t>
      </w:r>
    </w:p>
    <w:p>
      <w:pPr>
        <w:pStyle w:val="85"/>
        <w:tabs>
          <w:tab w:val="left" w:pos="993"/>
          <w:tab w:val="left" w:pos="1134"/>
        </w:tabs>
        <w:spacing w:line="560" w:lineRule="exact"/>
        <w:ind w:firstLine="562"/>
        <w:rPr>
          <w:rFonts w:ascii="宋体" w:hAnsi="宋体" w:eastAsia="宋体"/>
          <w:b/>
          <w:color w:val="auto"/>
          <w:sz w:val="28"/>
          <w:szCs w:val="28"/>
          <w:lang w:val="zh-CN"/>
        </w:rPr>
      </w:pPr>
      <w:r>
        <w:rPr>
          <w:rFonts w:hint="eastAsia" w:ascii="宋体" w:hAnsi="宋体" w:eastAsia="宋体"/>
          <w:b/>
          <w:color w:val="auto"/>
          <w:sz w:val="28"/>
          <w:szCs w:val="28"/>
          <w:lang w:val="zh-CN"/>
        </w:rPr>
        <w:t>*在评标过程中，评标委员会认为供应商投标报价明显低于其他通过符合性审查供应商的投标报价，有可能影响产品质量或者不能诚信履约的，评标委员会应当要求其在合理的时间内提供书面说明，必要时提交相关证明材料。供应商提交的书面说明、相关证明材料（如涉及），应当加盖供应商（法定名称）电子签章，在评标委员会要求的时间内通过云平台进行递交，否则无效。如因断电、断网、系统故障或其他不可抗力等因素，导致系统无法使用的，由供应商按评标委员会的要求进行澄清或者说明。供应商不能证明其投标报价合理性的，评标委员会应当将其投标文件作为无效处理。</w:t>
      </w:r>
    </w:p>
    <w:p>
      <w:pPr>
        <w:spacing w:line="360" w:lineRule="auto"/>
        <w:ind w:firstLine="565" w:firstLineChars="202"/>
        <w:rPr>
          <w:rFonts w:asciiTheme="minorEastAsia" w:hAnsiTheme="minorEastAsia" w:eastAsiaTheme="minorEastAsia"/>
          <w:color w:val="auto"/>
          <w:sz w:val="28"/>
          <w:szCs w:val="28"/>
        </w:rPr>
      </w:pPr>
    </w:p>
    <w:p>
      <w:pPr>
        <w:widowControl/>
        <w:jc w:val="left"/>
        <w:rPr>
          <w:rFonts w:ascii="宋体" w:cs="宋体"/>
          <w:color w:val="auto"/>
          <w:kern w:val="0"/>
          <w:sz w:val="24"/>
          <w:szCs w:val="24"/>
        </w:rPr>
      </w:pPr>
      <w:r>
        <w:rPr>
          <w:color w:val="auto"/>
        </w:rPr>
        <w:br w:type="page"/>
      </w:r>
    </w:p>
    <w:p>
      <w:pPr>
        <w:pStyle w:val="209"/>
        <w:rPr>
          <w:color w:val="auto"/>
        </w:rPr>
      </w:pPr>
    </w:p>
    <w:bookmarkEnd w:id="256"/>
    <w:bookmarkEnd w:id="257"/>
    <w:bookmarkEnd w:id="258"/>
    <w:bookmarkEnd w:id="259"/>
    <w:bookmarkEnd w:id="260"/>
    <w:p>
      <w:pPr>
        <w:pStyle w:val="4"/>
        <w:numPr>
          <w:ilvl w:val="0"/>
          <w:numId w:val="3"/>
        </w:numPr>
        <w:spacing w:before="0" w:after="0" w:line="360" w:lineRule="auto"/>
        <w:ind w:left="0" w:firstLine="0"/>
        <w:rPr>
          <w:color w:val="auto"/>
        </w:rPr>
      </w:pPr>
      <w:bookmarkStart w:id="293" w:name="_Toc1676"/>
      <w:bookmarkStart w:id="294" w:name="_Toc7800"/>
      <w:bookmarkStart w:id="295" w:name="_Toc7093"/>
      <w:bookmarkStart w:id="296" w:name="_Toc10524"/>
      <w:bookmarkStart w:id="297" w:name="_Toc79654109"/>
      <w:r>
        <w:rPr>
          <w:rFonts w:hint="eastAsia"/>
          <w:color w:val="auto"/>
        </w:rPr>
        <w:t>资格性审查</w:t>
      </w:r>
      <w:bookmarkEnd w:id="293"/>
      <w:bookmarkEnd w:id="294"/>
      <w:bookmarkEnd w:id="295"/>
      <w:bookmarkEnd w:id="296"/>
      <w:bookmarkEnd w:id="297"/>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资格性审查由采购人组建的资格审查小组依据法律法规和招标文件的规定，对投标保证金(区公资交易中心出具的</w:t>
      </w:r>
      <w:r>
        <w:rPr>
          <w:rFonts w:hint="eastAsia" w:ascii="宋体" w:hAnsi="宋体"/>
          <w:b/>
          <w:color w:val="auto"/>
          <w:sz w:val="28"/>
          <w:szCs w:val="28"/>
        </w:rPr>
        <w:t>《成都市政府采购项目供应商参与及保证金交纳情况表》或供应商递交的投标保函</w:t>
      </w:r>
      <w:r>
        <w:rPr>
          <w:rFonts w:hint="eastAsia" w:ascii="宋体" w:hAnsi="宋体"/>
          <w:color w:val="auto"/>
          <w:sz w:val="28"/>
          <w:szCs w:val="28"/>
        </w:rPr>
        <w:t>)、投标文件中的资格证明等进行审查，以确定供应商是否具备投标资格，并出具资格性审查报告。</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资格性审查时因断电、断网、系统故障或其他不可抗力等因素，导致资格审查小组无法通过系统阅读投标文件进行审查的，待系统恢复后继续审查。出现上述情况时，区公资交易中心将以电子邮件形式通知各供应商。</w:t>
      </w:r>
      <w:r>
        <w:rPr>
          <w:rFonts w:hint="eastAsia" w:ascii="宋体" w:hAnsi="宋体"/>
          <w:color w:val="auto"/>
          <w:sz w:val="28"/>
          <w:szCs w:val="28"/>
          <w:lang w:eastAsia="zh-CN"/>
        </w:rPr>
        <w:t>包件</w:t>
      </w:r>
      <w:r>
        <w:rPr>
          <w:rFonts w:hint="eastAsia" w:ascii="宋体" w:hAnsi="宋体"/>
          <w:color w:val="auto"/>
          <w:sz w:val="28"/>
          <w:szCs w:val="28"/>
          <w:lang w:val="en-US" w:eastAsia="zh-CN"/>
        </w:rPr>
        <w:t>1-7</w:t>
      </w:r>
      <w:r>
        <w:rPr>
          <w:rFonts w:hint="eastAsia" w:ascii="宋体" w:hAnsi="宋体"/>
          <w:color w:val="auto"/>
          <w:sz w:val="28"/>
          <w:szCs w:val="28"/>
        </w:rPr>
        <w:t>资格性审查标准见下表：</w:t>
      </w:r>
    </w:p>
    <w:p>
      <w:pPr>
        <w:tabs>
          <w:tab w:val="left" w:pos="851"/>
        </w:tabs>
        <w:spacing w:line="360" w:lineRule="auto"/>
        <w:rPr>
          <w:rFonts w:ascii="宋体" w:hAnsi="宋体"/>
          <w:color w:val="auto"/>
          <w:sz w:val="28"/>
          <w:szCs w:val="28"/>
        </w:rPr>
      </w:pPr>
    </w:p>
    <w:tbl>
      <w:tblPr>
        <w:tblStyle w:val="43"/>
        <w:tblW w:w="503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744"/>
        <w:gridCol w:w="1273"/>
        <w:gridCol w:w="6316"/>
        <w:gridCol w:w="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 w:type="dxa"/>
        </w:trPr>
        <w:tc>
          <w:tcPr>
            <w:tcW w:w="2749"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b/>
                <w:color w:val="auto"/>
                <w:sz w:val="20"/>
              </w:rPr>
            </w:pPr>
            <w:r>
              <w:rPr>
                <w:b/>
                <w:color w:val="auto"/>
                <w:sz w:val="20"/>
              </w:rPr>
              <w:t>资格性审查项</w:t>
            </w:r>
          </w:p>
        </w:tc>
        <w:tc>
          <w:tcPr>
            <w:tcW w:w="631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rPr>
            </w:pPr>
            <w:r>
              <w:rPr>
                <w:b/>
                <w:color w:val="auto"/>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 w:type="dxa"/>
        </w:trPr>
        <w:tc>
          <w:tcPr>
            <w:tcW w:w="73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w:t>
            </w:r>
          </w:p>
        </w:tc>
        <w:tc>
          <w:tcPr>
            <w:tcW w:w="201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在中华人民共和国境内依法登记注册，并有效存续具有独立法人资格的</w:t>
            </w:r>
            <w:r>
              <w:rPr>
                <w:rFonts w:hint="eastAsia"/>
                <w:color w:val="auto"/>
                <w:sz w:val="20"/>
              </w:rPr>
              <w:t>供应商</w:t>
            </w:r>
          </w:p>
        </w:tc>
        <w:tc>
          <w:tcPr>
            <w:tcW w:w="631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营业执照复印件（正本或副本）或法人证书复印件（正本或副本）</w:t>
            </w:r>
            <w:r>
              <w:rPr>
                <w:rFonts w:hint="eastAsia"/>
                <w:color w:val="auto"/>
                <w:sz w:val="20"/>
              </w:rPr>
              <w:t>。</w:t>
            </w:r>
            <w:r>
              <w:rPr>
                <w:color w:val="auto"/>
                <w:sz w:val="20"/>
              </w:rPr>
              <w:t>【说明：</w:t>
            </w:r>
            <w:r>
              <w:rPr>
                <w:rFonts w:hint="eastAsia" w:ascii="宋体" w:hAnsi="宋体"/>
                <w:color w:val="auto"/>
                <w:sz w:val="20"/>
                <w:szCs w:val="28"/>
              </w:rPr>
              <w:t>①</w:t>
            </w:r>
            <w:r>
              <w:rPr>
                <w:color w:val="auto"/>
                <w:sz w:val="20"/>
              </w:rPr>
              <w:t>营业执照或法人证书载明有期限的，应在有效期限内；</w:t>
            </w:r>
            <w:r>
              <w:rPr>
                <w:rFonts w:hint="eastAsia" w:ascii="宋体" w:hAnsi="宋体"/>
                <w:color w:val="auto"/>
                <w:sz w:val="20"/>
                <w:szCs w:val="28"/>
              </w:rPr>
              <w:t>②</w:t>
            </w:r>
            <w:r>
              <w:rPr>
                <w:color w:val="auto"/>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2</w:t>
            </w:r>
          </w:p>
        </w:tc>
        <w:tc>
          <w:tcPr>
            <w:tcW w:w="744" w:type="dxa"/>
            <w:vMerge w:val="restart"/>
            <w:tcBorders>
              <w:top w:val="single" w:color="auto" w:sz="2" w:space="0"/>
              <w:left w:val="single" w:color="auto" w:sz="2" w:space="0"/>
              <w:right w:val="single" w:color="auto" w:sz="4" w:space="0"/>
            </w:tcBorders>
            <w:vAlign w:val="center"/>
          </w:tcPr>
          <w:p>
            <w:pPr>
              <w:tabs>
                <w:tab w:val="left" w:pos="851"/>
              </w:tabs>
              <w:spacing w:line="360" w:lineRule="auto"/>
              <w:rPr>
                <w:color w:val="auto"/>
                <w:sz w:val="20"/>
              </w:rPr>
            </w:pPr>
            <w:r>
              <w:rPr>
                <w:rFonts w:hint="eastAsia"/>
                <w:color w:val="auto"/>
                <w:sz w:val="20"/>
              </w:rPr>
              <w:t>书面声明材料</w:t>
            </w:r>
          </w:p>
        </w:tc>
        <w:tc>
          <w:tcPr>
            <w:tcW w:w="1273"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具有良好的商业信誉的证明材料</w:t>
            </w:r>
          </w:p>
        </w:tc>
        <w:tc>
          <w:tcPr>
            <w:tcW w:w="637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供应商具有良好的商业信誉的书面声明材料。【说明：</w:t>
            </w:r>
            <w:r>
              <w:rPr>
                <w:rFonts w:hint="eastAsia" w:ascii="宋体" w:hAnsi="宋体"/>
                <w:color w:val="auto"/>
                <w:sz w:val="20"/>
                <w:szCs w:val="28"/>
              </w:rPr>
              <w:t>①</w:t>
            </w:r>
            <w:r>
              <w:rPr>
                <w:rFonts w:hint="eastAsia"/>
                <w:color w:val="auto"/>
                <w:sz w:val="20"/>
              </w:rPr>
              <w:t>按招标文件第</w:t>
            </w:r>
            <w:r>
              <w:rPr>
                <w:color w:val="auto"/>
                <w:sz w:val="20"/>
              </w:rPr>
              <w:t>3</w:t>
            </w:r>
            <w:r>
              <w:rPr>
                <w:rFonts w:hint="eastAsia"/>
                <w:color w:val="auto"/>
                <w:sz w:val="20"/>
              </w:rPr>
              <w:t>章的内容及要求提供书面声明材料</w:t>
            </w:r>
            <w:r>
              <w:rPr>
                <w:rFonts w:hint="eastAsia" w:ascii="宋体" w:hAnsi="宋体"/>
                <w:color w:val="auto"/>
                <w:sz w:val="20"/>
                <w:szCs w:val="28"/>
              </w:rPr>
              <w:t>；②供应商具有良好的商业信誉</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744" w:type="dxa"/>
            <w:vMerge w:val="continue"/>
            <w:tcBorders>
              <w:left w:val="single" w:color="auto" w:sz="2" w:space="0"/>
              <w:right w:val="single" w:color="auto" w:sz="4" w:space="0"/>
            </w:tcBorders>
            <w:vAlign w:val="center"/>
          </w:tcPr>
          <w:p>
            <w:pPr>
              <w:tabs>
                <w:tab w:val="left" w:pos="851"/>
              </w:tabs>
              <w:spacing w:line="360" w:lineRule="auto"/>
              <w:rPr>
                <w:color w:val="auto"/>
                <w:sz w:val="20"/>
              </w:rPr>
            </w:pPr>
          </w:p>
        </w:tc>
        <w:tc>
          <w:tcPr>
            <w:tcW w:w="1273"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参加政府采购活动前三年内，在经营活动中没有重大违法记录</w:t>
            </w:r>
          </w:p>
        </w:tc>
        <w:tc>
          <w:tcPr>
            <w:tcW w:w="637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w:t>
            </w:r>
            <w:r>
              <w:rPr>
                <w:rFonts w:hint="eastAsia"/>
                <w:color w:val="auto"/>
                <w:sz w:val="20"/>
              </w:rPr>
              <w:t>供应商参加政府采购活动前三年内，在经营活动中没有重大违法记录的书面声明材料。【说明：</w:t>
            </w:r>
            <w:r>
              <w:rPr>
                <w:rFonts w:hint="eastAsia" w:ascii="宋体" w:hAnsi="宋体"/>
                <w:color w:val="auto"/>
                <w:sz w:val="20"/>
                <w:szCs w:val="28"/>
              </w:rPr>
              <w:t>①</w:t>
            </w:r>
            <w:r>
              <w:rPr>
                <w:rFonts w:hint="eastAsia"/>
                <w:color w:val="auto"/>
                <w:sz w:val="20"/>
              </w:rPr>
              <w:t>按第</w:t>
            </w:r>
            <w:r>
              <w:rPr>
                <w:color w:val="auto"/>
                <w:sz w:val="20"/>
              </w:rPr>
              <w:t>3</w:t>
            </w:r>
            <w:r>
              <w:rPr>
                <w:rFonts w:hint="eastAsia"/>
                <w:color w:val="auto"/>
                <w:sz w:val="20"/>
              </w:rPr>
              <w:t>章的内容及要求提供书面声明材料；</w:t>
            </w:r>
            <w:r>
              <w:rPr>
                <w:rFonts w:hint="eastAsia" w:ascii="宋体" w:hAnsi="宋体"/>
                <w:color w:val="auto"/>
                <w:sz w:val="20"/>
                <w:szCs w:val="28"/>
              </w:rPr>
              <w:t>②供应商参加政府采购活动前三年内，在经营活动中没有重大违法记录</w:t>
            </w:r>
            <w:r>
              <w:rPr>
                <w:rFonts w:hint="eastAsia"/>
                <w:color w:val="auto"/>
                <w:sz w:val="20"/>
              </w:rPr>
              <w:t>。】</w:t>
            </w:r>
          </w:p>
          <w:p>
            <w:pPr>
              <w:tabs>
                <w:tab w:val="left" w:pos="851"/>
              </w:tabs>
              <w:spacing w:line="360" w:lineRule="auto"/>
              <w:rPr>
                <w:color w:val="auto"/>
                <w:sz w:val="20"/>
              </w:rPr>
            </w:pPr>
            <w:r>
              <w:rPr>
                <w:color w:val="auto"/>
                <w:sz w:val="20"/>
              </w:rPr>
              <w:t xml:space="preserve">2. </w:t>
            </w:r>
            <w:r>
              <w:rPr>
                <w:rFonts w:hint="eastAsia"/>
                <w:color w:val="auto"/>
                <w:sz w:val="20"/>
              </w:rPr>
              <w:t>资格审查小组根据</w:t>
            </w:r>
            <w:r>
              <w:rPr>
                <w:color w:val="auto"/>
                <w:sz w:val="20"/>
              </w:rPr>
              <w:t>“</w:t>
            </w:r>
            <w:r>
              <w:rPr>
                <w:rFonts w:hint="eastAsia"/>
                <w:color w:val="auto"/>
                <w:sz w:val="20"/>
              </w:rPr>
              <w:t>信用中国</w:t>
            </w:r>
            <w:r>
              <w:rPr>
                <w:color w:val="auto"/>
                <w:sz w:val="20"/>
              </w:rPr>
              <w:t>”</w:t>
            </w:r>
            <w:r>
              <w:rPr>
                <w:rFonts w:hint="eastAsia"/>
                <w:color w:val="auto"/>
                <w:sz w:val="20"/>
              </w:rPr>
              <w:t>和</w:t>
            </w:r>
            <w:r>
              <w:rPr>
                <w:color w:val="auto"/>
                <w:sz w:val="20"/>
              </w:rPr>
              <w:t>“</w:t>
            </w:r>
            <w:r>
              <w:rPr>
                <w:rFonts w:hint="eastAsia"/>
                <w:color w:val="auto"/>
                <w:sz w:val="20"/>
              </w:rPr>
              <w:t>中国政府采购网</w:t>
            </w:r>
            <w:r>
              <w:rPr>
                <w:color w:val="auto"/>
                <w:sz w:val="20"/>
              </w:rPr>
              <w:t>”</w:t>
            </w:r>
            <w:r>
              <w:rPr>
                <w:rFonts w:hint="eastAsia"/>
                <w:color w:val="auto"/>
                <w:sz w:val="20"/>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 w:type="dxa"/>
        </w:trPr>
        <w:tc>
          <w:tcPr>
            <w:tcW w:w="73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744" w:type="dxa"/>
            <w:vMerge w:val="continue"/>
            <w:tcBorders>
              <w:left w:val="single" w:color="auto" w:sz="2" w:space="0"/>
              <w:right w:val="single" w:color="auto" w:sz="4" w:space="0"/>
            </w:tcBorders>
            <w:vAlign w:val="center"/>
          </w:tcPr>
          <w:p>
            <w:pPr>
              <w:tabs>
                <w:tab w:val="left" w:pos="851"/>
              </w:tabs>
              <w:spacing w:line="360" w:lineRule="auto"/>
              <w:rPr>
                <w:color w:val="auto"/>
                <w:sz w:val="20"/>
              </w:rPr>
            </w:pPr>
          </w:p>
        </w:tc>
        <w:tc>
          <w:tcPr>
            <w:tcW w:w="1273"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未被列入失信被执行人、重大税收违法案件当事人名单、政府采购严重违法失信行为记录名单</w:t>
            </w:r>
          </w:p>
        </w:tc>
        <w:tc>
          <w:tcPr>
            <w:tcW w:w="631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w:t>
            </w:r>
            <w:r>
              <w:rPr>
                <w:rFonts w:hint="eastAsia"/>
                <w:color w:val="auto"/>
                <w:sz w:val="20"/>
              </w:rPr>
              <w:t>供应商未列入失信被执行人、重大税收违法案件当事人名单、政府采购严重违法失信行为记录名单的书面声明材料。【说明：</w:t>
            </w:r>
            <w:r>
              <w:rPr>
                <w:rFonts w:hint="eastAsia" w:ascii="宋体" w:hAnsi="宋体"/>
                <w:color w:val="auto"/>
                <w:sz w:val="20"/>
                <w:szCs w:val="28"/>
              </w:rPr>
              <w:t>①</w:t>
            </w:r>
            <w:r>
              <w:rPr>
                <w:rFonts w:hint="eastAsia"/>
                <w:color w:val="auto"/>
                <w:sz w:val="20"/>
              </w:rPr>
              <w:t>供应商未列入失信被执行人、重大税收违法案件当事人名单、政府采购严重违法失信行为记录名单；</w:t>
            </w:r>
            <w:r>
              <w:rPr>
                <w:rFonts w:hint="eastAsia" w:ascii="宋体" w:hAnsi="宋体"/>
                <w:color w:val="auto"/>
                <w:sz w:val="20"/>
                <w:szCs w:val="28"/>
              </w:rPr>
              <w:t>②</w:t>
            </w:r>
            <w:r>
              <w:rPr>
                <w:rFonts w:hint="eastAsia"/>
                <w:color w:val="auto"/>
                <w:sz w:val="20"/>
              </w:rPr>
              <w:t>按第</w:t>
            </w:r>
            <w:r>
              <w:rPr>
                <w:color w:val="auto"/>
                <w:sz w:val="20"/>
              </w:rPr>
              <w:t>3</w:t>
            </w:r>
            <w:r>
              <w:rPr>
                <w:rFonts w:hint="eastAsia"/>
                <w:color w:val="auto"/>
                <w:sz w:val="20"/>
              </w:rPr>
              <w:t>章的内容及要求提供书面声明材料。】</w:t>
            </w:r>
          </w:p>
          <w:p>
            <w:pPr>
              <w:tabs>
                <w:tab w:val="left" w:pos="851"/>
              </w:tabs>
              <w:spacing w:line="360" w:lineRule="auto"/>
              <w:rPr>
                <w:color w:val="auto"/>
                <w:sz w:val="20"/>
              </w:rPr>
            </w:pPr>
            <w:r>
              <w:rPr>
                <w:color w:val="auto"/>
                <w:sz w:val="20"/>
              </w:rPr>
              <w:t xml:space="preserve">2. </w:t>
            </w:r>
            <w:r>
              <w:rPr>
                <w:rFonts w:hint="eastAsia"/>
                <w:color w:val="auto"/>
                <w:sz w:val="20"/>
              </w:rPr>
              <w:t>资格审查小组根据</w:t>
            </w:r>
            <w:r>
              <w:rPr>
                <w:color w:val="auto"/>
                <w:sz w:val="20"/>
              </w:rPr>
              <w:t>“</w:t>
            </w:r>
            <w:r>
              <w:rPr>
                <w:rFonts w:hint="eastAsia"/>
                <w:color w:val="auto"/>
                <w:sz w:val="20"/>
              </w:rPr>
              <w:t>信用中国</w:t>
            </w:r>
            <w:r>
              <w:rPr>
                <w:color w:val="auto"/>
                <w:sz w:val="20"/>
              </w:rPr>
              <w:t>”</w:t>
            </w:r>
            <w:r>
              <w:rPr>
                <w:rFonts w:hint="eastAsia"/>
                <w:color w:val="auto"/>
                <w:sz w:val="20"/>
              </w:rPr>
              <w:t>和</w:t>
            </w:r>
            <w:r>
              <w:rPr>
                <w:color w:val="auto"/>
                <w:sz w:val="20"/>
              </w:rPr>
              <w:t>“</w:t>
            </w:r>
            <w:r>
              <w:rPr>
                <w:rFonts w:hint="eastAsia"/>
                <w:color w:val="auto"/>
                <w:sz w:val="20"/>
              </w:rPr>
              <w:t>中国政府采购网</w:t>
            </w:r>
            <w:r>
              <w:rPr>
                <w:color w:val="auto"/>
                <w:sz w:val="20"/>
              </w:rPr>
              <w:t>”</w:t>
            </w:r>
            <w:r>
              <w:rPr>
                <w:rFonts w:hint="eastAsia"/>
                <w:color w:val="auto"/>
                <w:sz w:val="20"/>
              </w:rPr>
              <w:t>网站的查询结果，在资格审查期间对供应商在参加政府采购活动前三年内，在经营活动中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 w:type="dxa"/>
        </w:trPr>
        <w:tc>
          <w:tcPr>
            <w:tcW w:w="73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744" w:type="dxa"/>
            <w:vMerge w:val="continue"/>
            <w:tcBorders>
              <w:left w:val="single" w:color="auto" w:sz="2" w:space="0"/>
              <w:right w:val="single" w:color="auto" w:sz="4" w:space="0"/>
            </w:tcBorders>
            <w:vAlign w:val="center"/>
          </w:tcPr>
          <w:p>
            <w:pPr>
              <w:tabs>
                <w:tab w:val="left" w:pos="851"/>
              </w:tabs>
              <w:spacing w:line="360" w:lineRule="auto"/>
              <w:rPr>
                <w:color w:val="auto"/>
                <w:sz w:val="20"/>
              </w:rPr>
            </w:pPr>
          </w:p>
        </w:tc>
        <w:tc>
          <w:tcPr>
            <w:tcW w:w="1273"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未处于被行政部门禁止参与政府采购活动的期限内</w:t>
            </w:r>
          </w:p>
        </w:tc>
        <w:tc>
          <w:tcPr>
            <w:tcW w:w="631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供应商未处于被行政部门禁止参与政府采购活动的期限内。【说明：</w:t>
            </w:r>
            <w:r>
              <w:rPr>
                <w:rFonts w:hint="eastAsia" w:ascii="宋体" w:hAnsi="宋体"/>
                <w:color w:val="auto"/>
                <w:sz w:val="20"/>
                <w:szCs w:val="28"/>
              </w:rPr>
              <w:t>①</w:t>
            </w:r>
            <w:r>
              <w:rPr>
                <w:rFonts w:hint="eastAsia"/>
                <w:color w:val="auto"/>
                <w:sz w:val="20"/>
              </w:rPr>
              <w:t>按招标文件第</w:t>
            </w:r>
            <w:r>
              <w:rPr>
                <w:color w:val="auto"/>
                <w:sz w:val="20"/>
              </w:rPr>
              <w:t>3</w:t>
            </w:r>
            <w:r>
              <w:rPr>
                <w:rFonts w:hint="eastAsia"/>
                <w:color w:val="auto"/>
                <w:sz w:val="20"/>
              </w:rPr>
              <w:t>章的内容及要求提供书面声明材料</w:t>
            </w:r>
            <w:r>
              <w:rPr>
                <w:rFonts w:hint="eastAsia" w:ascii="宋体" w:hAnsi="宋体"/>
                <w:color w:val="auto"/>
                <w:sz w:val="20"/>
                <w:szCs w:val="28"/>
              </w:rPr>
              <w:t>；②供应商未处于被行政部门禁止参与政府采购活动的期限内。</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 w:type="dxa"/>
        </w:trPr>
        <w:tc>
          <w:tcPr>
            <w:tcW w:w="73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744" w:type="dxa"/>
            <w:vMerge w:val="continue"/>
            <w:tcBorders>
              <w:left w:val="single" w:color="auto" w:sz="2" w:space="0"/>
              <w:right w:val="single" w:color="auto" w:sz="4" w:space="0"/>
            </w:tcBorders>
            <w:vAlign w:val="center"/>
          </w:tcPr>
          <w:p>
            <w:pPr>
              <w:tabs>
                <w:tab w:val="left" w:pos="851"/>
              </w:tabs>
              <w:spacing w:line="360" w:lineRule="auto"/>
              <w:rPr>
                <w:color w:val="auto"/>
                <w:sz w:val="20"/>
              </w:rPr>
            </w:pPr>
          </w:p>
        </w:tc>
        <w:tc>
          <w:tcPr>
            <w:tcW w:w="1273"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行贿犯罪记录</w:t>
            </w:r>
          </w:p>
        </w:tc>
        <w:tc>
          <w:tcPr>
            <w:tcW w:w="631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在行贿犯罪信息查询期限内，供应商及其现任法定代表人、主要负责人没有行贿犯罪记录的书面声明材料。【说明：</w:t>
            </w:r>
            <w:r>
              <w:rPr>
                <w:rFonts w:hint="eastAsia" w:ascii="宋体" w:hAnsi="宋体"/>
                <w:color w:val="auto"/>
                <w:sz w:val="20"/>
                <w:szCs w:val="28"/>
              </w:rPr>
              <w:t>①</w:t>
            </w:r>
            <w:r>
              <w:rPr>
                <w:rFonts w:hint="eastAsia"/>
                <w:color w:val="auto"/>
                <w:sz w:val="20"/>
              </w:rPr>
              <w:t>按招标文件第</w:t>
            </w:r>
            <w:r>
              <w:rPr>
                <w:color w:val="auto"/>
                <w:sz w:val="20"/>
              </w:rPr>
              <w:t>3</w:t>
            </w:r>
            <w:r>
              <w:rPr>
                <w:rFonts w:hint="eastAsia"/>
                <w:color w:val="auto"/>
                <w:sz w:val="20"/>
              </w:rPr>
              <w:t>章的内容及要求提供书面声明材料，投标文件中不需提供中国裁判文书网（</w:t>
            </w:r>
            <w:r>
              <w:rPr>
                <w:color w:val="auto"/>
                <w:sz w:val="20"/>
              </w:rPr>
              <w:t>https://wenshu.court.gov.cn</w:t>
            </w:r>
            <w:r>
              <w:rPr>
                <w:rFonts w:hint="eastAsia"/>
                <w:color w:val="auto"/>
                <w:sz w:val="20"/>
              </w:rPr>
              <w:t>）查询结果的证明材料；</w:t>
            </w:r>
            <w:r>
              <w:rPr>
                <w:rFonts w:hint="eastAsia" w:ascii="宋体" w:hAnsi="宋体"/>
                <w:color w:val="auto"/>
                <w:sz w:val="20"/>
                <w:szCs w:val="28"/>
              </w:rPr>
              <w:t>②在行贿犯罪信息查询期限内，供应商及其现任法定代表人、主要负责人没有行贿犯罪记录</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 w:type="dxa"/>
        </w:trPr>
        <w:tc>
          <w:tcPr>
            <w:tcW w:w="732"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744"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auto"/>
                <w:sz w:val="20"/>
              </w:rPr>
            </w:pPr>
          </w:p>
        </w:tc>
        <w:tc>
          <w:tcPr>
            <w:tcW w:w="1273"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单位负责人为同一人或者存在直接控股、管理关系的不同供应商，不得参加同一项目的投标</w:t>
            </w:r>
          </w:p>
        </w:tc>
        <w:tc>
          <w:tcPr>
            <w:tcW w:w="631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与供应商负责人为同一人或者存在直接控股、管理关系的相关供应商的书面声明材料。【说明：①按招标文件第</w:t>
            </w:r>
            <w:r>
              <w:rPr>
                <w:color w:val="auto"/>
                <w:sz w:val="20"/>
              </w:rPr>
              <w:t>3</w:t>
            </w:r>
            <w:r>
              <w:rPr>
                <w:rFonts w:hint="eastAsia"/>
                <w:color w:val="auto"/>
                <w:sz w:val="20"/>
              </w:rPr>
              <w:t>章的内容及要求提供书面声明材料；②参加投标的供应商中无与供应商的负责人为同一人或者存在直接控股、管理关系的供应商。】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 w:type="dxa"/>
        </w:trPr>
        <w:tc>
          <w:tcPr>
            <w:tcW w:w="732" w:type="dxa"/>
            <w:vMerge w:val="restart"/>
            <w:tcBorders>
              <w:left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3</w:t>
            </w:r>
          </w:p>
        </w:tc>
        <w:tc>
          <w:tcPr>
            <w:tcW w:w="744" w:type="dxa"/>
            <w:vMerge w:val="restart"/>
            <w:tcBorders>
              <w:left w:val="single" w:color="auto" w:sz="2" w:space="0"/>
              <w:right w:val="single" w:color="auto" w:sz="4" w:space="0"/>
            </w:tcBorders>
            <w:vAlign w:val="center"/>
          </w:tcPr>
          <w:p>
            <w:pPr>
              <w:tabs>
                <w:tab w:val="left" w:pos="851"/>
              </w:tabs>
              <w:spacing w:line="360" w:lineRule="auto"/>
              <w:rPr>
                <w:color w:val="auto"/>
                <w:sz w:val="20"/>
              </w:rPr>
            </w:pPr>
            <w:r>
              <w:rPr>
                <w:rFonts w:hint="eastAsia"/>
                <w:color w:val="auto"/>
                <w:sz w:val="20"/>
              </w:rPr>
              <w:t>其他</w:t>
            </w:r>
          </w:p>
        </w:tc>
        <w:tc>
          <w:tcPr>
            <w:tcW w:w="1273"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具有履行合同所必须的设备和专业技术能力</w:t>
            </w:r>
          </w:p>
        </w:tc>
        <w:tc>
          <w:tcPr>
            <w:tcW w:w="631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采购人对供应商履行合同所必须的设备和专业技术能力无其他特殊要求，供应商具有有效的营业执照或法人证书</w:t>
            </w:r>
            <w:r>
              <w:rPr>
                <w:rFonts w:hint="eastAsia" w:ascii="宋体" w:hAnsi="宋体"/>
                <w:color w:val="auto"/>
                <w:sz w:val="20"/>
                <w:szCs w:val="28"/>
              </w:rPr>
              <w:t>即可，可不提供其他证明材料</w:t>
            </w: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 w:type="dxa"/>
        </w:trPr>
        <w:tc>
          <w:tcPr>
            <w:tcW w:w="73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744" w:type="dxa"/>
            <w:vMerge w:val="continue"/>
            <w:tcBorders>
              <w:left w:val="single" w:color="auto" w:sz="2" w:space="0"/>
              <w:right w:val="single" w:color="auto" w:sz="4" w:space="0"/>
            </w:tcBorders>
            <w:vAlign w:val="center"/>
          </w:tcPr>
          <w:p>
            <w:pPr>
              <w:tabs>
                <w:tab w:val="left" w:pos="851"/>
              </w:tabs>
              <w:spacing w:line="360" w:lineRule="auto"/>
              <w:rPr>
                <w:color w:val="auto"/>
                <w:sz w:val="20"/>
              </w:rPr>
            </w:pPr>
          </w:p>
        </w:tc>
        <w:tc>
          <w:tcPr>
            <w:tcW w:w="1273"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法律、行政法规规定的其他条件</w:t>
            </w:r>
          </w:p>
        </w:tc>
        <w:tc>
          <w:tcPr>
            <w:tcW w:w="631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采购人对法律、行政法规规定的其他条件无其他特殊要求，供应商具有有效的营业执照或法人证书</w:t>
            </w:r>
            <w:r>
              <w:rPr>
                <w:rFonts w:hint="eastAsia" w:ascii="宋体" w:hAnsi="宋体"/>
                <w:color w:val="auto"/>
                <w:sz w:val="20"/>
                <w:szCs w:val="28"/>
              </w:rPr>
              <w:t>即可，可不提供其他证明材料</w:t>
            </w: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 w:type="dxa"/>
        </w:trPr>
        <w:tc>
          <w:tcPr>
            <w:tcW w:w="73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744" w:type="dxa"/>
            <w:vMerge w:val="continue"/>
            <w:tcBorders>
              <w:left w:val="single" w:color="auto" w:sz="2" w:space="0"/>
              <w:right w:val="single" w:color="auto" w:sz="4" w:space="0"/>
            </w:tcBorders>
            <w:vAlign w:val="center"/>
          </w:tcPr>
          <w:p>
            <w:pPr>
              <w:tabs>
                <w:tab w:val="left" w:pos="851"/>
              </w:tabs>
              <w:spacing w:line="360" w:lineRule="auto"/>
              <w:rPr>
                <w:color w:val="auto"/>
                <w:sz w:val="20"/>
              </w:rPr>
            </w:pPr>
          </w:p>
        </w:tc>
        <w:tc>
          <w:tcPr>
            <w:tcW w:w="1273"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不属于其他国家相关法律法规规定的禁止参加投标的供应商</w:t>
            </w:r>
          </w:p>
        </w:tc>
        <w:tc>
          <w:tcPr>
            <w:tcW w:w="631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w:t>
            </w:r>
            <w:r>
              <w:rPr>
                <w:rFonts w:hint="eastAsia"/>
                <w:color w:val="auto"/>
                <w:sz w:val="20"/>
              </w:rPr>
              <w:t>、根据招标文件的要求不属于禁止参加投标或投标无效的供应商；</w:t>
            </w:r>
          </w:p>
          <w:p>
            <w:pPr>
              <w:tabs>
                <w:tab w:val="left" w:pos="851"/>
              </w:tabs>
              <w:spacing w:line="360" w:lineRule="auto"/>
              <w:rPr>
                <w:color w:val="auto"/>
                <w:sz w:val="20"/>
              </w:rPr>
            </w:pPr>
            <w:r>
              <w:rPr>
                <w:color w:val="auto"/>
                <w:sz w:val="20"/>
              </w:rPr>
              <w:t>2</w:t>
            </w:r>
            <w:r>
              <w:rPr>
                <w:rFonts w:hint="eastAsia"/>
                <w:color w:val="auto"/>
                <w:sz w:val="20"/>
              </w:rPr>
              <w:t>、资格审查小组未发现或者未知晓供应商存在属于国家相关法律法规规定的禁止参加投标或投标无效的供应商。</w:t>
            </w:r>
          </w:p>
          <w:p>
            <w:pPr>
              <w:tabs>
                <w:tab w:val="left" w:pos="851"/>
              </w:tabs>
              <w:spacing w:line="360" w:lineRule="auto"/>
              <w:rPr>
                <w:color w:val="auto"/>
                <w:sz w:val="20"/>
              </w:rPr>
            </w:pP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 w:type="dxa"/>
        </w:trPr>
        <w:tc>
          <w:tcPr>
            <w:tcW w:w="73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744" w:type="dxa"/>
            <w:vMerge w:val="continue"/>
            <w:tcBorders>
              <w:left w:val="single" w:color="auto" w:sz="2" w:space="0"/>
              <w:right w:val="single" w:color="auto" w:sz="4" w:space="0"/>
            </w:tcBorders>
            <w:vAlign w:val="center"/>
          </w:tcPr>
          <w:p>
            <w:pPr>
              <w:tabs>
                <w:tab w:val="left" w:pos="851"/>
              </w:tabs>
              <w:spacing w:line="360" w:lineRule="auto"/>
              <w:rPr>
                <w:color w:val="auto"/>
                <w:sz w:val="20"/>
              </w:rPr>
            </w:pPr>
          </w:p>
        </w:tc>
        <w:tc>
          <w:tcPr>
            <w:tcW w:w="1273"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联合体投标</w:t>
            </w:r>
          </w:p>
        </w:tc>
        <w:tc>
          <w:tcPr>
            <w:tcW w:w="631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 w:type="dxa"/>
        </w:trPr>
        <w:tc>
          <w:tcPr>
            <w:tcW w:w="73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744" w:type="dxa"/>
            <w:vMerge w:val="continue"/>
            <w:tcBorders>
              <w:left w:val="single" w:color="auto" w:sz="2" w:space="0"/>
              <w:right w:val="single" w:color="auto" w:sz="4" w:space="0"/>
            </w:tcBorders>
            <w:vAlign w:val="center"/>
          </w:tcPr>
          <w:p>
            <w:pPr>
              <w:tabs>
                <w:tab w:val="left" w:pos="851"/>
              </w:tabs>
              <w:spacing w:line="360" w:lineRule="auto"/>
              <w:rPr>
                <w:color w:val="auto"/>
                <w:sz w:val="20"/>
              </w:rPr>
            </w:pPr>
          </w:p>
        </w:tc>
        <w:tc>
          <w:tcPr>
            <w:tcW w:w="1273"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投标保证金</w:t>
            </w:r>
          </w:p>
        </w:tc>
        <w:tc>
          <w:tcPr>
            <w:tcW w:w="631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 w:type="dxa"/>
        </w:trPr>
        <w:tc>
          <w:tcPr>
            <w:tcW w:w="73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744" w:type="dxa"/>
            <w:vMerge w:val="continue"/>
            <w:tcBorders>
              <w:left w:val="single" w:color="auto" w:sz="2" w:space="0"/>
              <w:right w:val="single" w:color="auto" w:sz="4" w:space="0"/>
            </w:tcBorders>
            <w:vAlign w:val="center"/>
          </w:tcPr>
          <w:p>
            <w:pPr>
              <w:tabs>
                <w:tab w:val="left" w:pos="851"/>
              </w:tabs>
              <w:spacing w:line="360" w:lineRule="auto"/>
              <w:rPr>
                <w:color w:val="auto"/>
                <w:sz w:val="20"/>
              </w:rPr>
            </w:pPr>
          </w:p>
        </w:tc>
        <w:tc>
          <w:tcPr>
            <w:tcW w:w="1273"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投标文件解密情况</w:t>
            </w:r>
          </w:p>
        </w:tc>
        <w:tc>
          <w:tcPr>
            <w:tcW w:w="631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ascii="宋体" w:hAnsi="宋体"/>
                <w:color w:val="auto"/>
                <w:sz w:val="20"/>
                <w:szCs w:val="28"/>
              </w:rPr>
              <w:t>除因断电、断网、系统故障或其他不可抗力等因素，导致系统无法使用外，投标文件已成功解密。</w:t>
            </w: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 w:type="dxa"/>
        </w:trPr>
        <w:tc>
          <w:tcPr>
            <w:tcW w:w="73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744" w:type="dxa"/>
            <w:vMerge w:val="continue"/>
            <w:tcBorders>
              <w:left w:val="single" w:color="auto" w:sz="2" w:space="0"/>
              <w:right w:val="single" w:color="auto" w:sz="4" w:space="0"/>
            </w:tcBorders>
            <w:vAlign w:val="center"/>
          </w:tcPr>
          <w:p>
            <w:pPr>
              <w:tabs>
                <w:tab w:val="left" w:pos="851"/>
              </w:tabs>
              <w:spacing w:line="360" w:lineRule="auto"/>
              <w:rPr>
                <w:color w:val="auto"/>
                <w:sz w:val="20"/>
              </w:rPr>
            </w:pPr>
          </w:p>
        </w:tc>
        <w:tc>
          <w:tcPr>
            <w:tcW w:w="1273"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投标文件签章</w:t>
            </w:r>
          </w:p>
        </w:tc>
        <w:tc>
          <w:tcPr>
            <w:tcW w:w="631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 w:type="dxa"/>
        </w:trPr>
        <w:tc>
          <w:tcPr>
            <w:tcW w:w="73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744" w:type="dxa"/>
            <w:vMerge w:val="continue"/>
            <w:tcBorders>
              <w:left w:val="single" w:color="auto" w:sz="2" w:space="0"/>
              <w:right w:val="single" w:color="auto" w:sz="4" w:space="0"/>
            </w:tcBorders>
            <w:vAlign w:val="center"/>
          </w:tcPr>
          <w:p>
            <w:pPr>
              <w:tabs>
                <w:tab w:val="left" w:pos="851"/>
              </w:tabs>
              <w:spacing w:line="360" w:lineRule="auto"/>
              <w:rPr>
                <w:color w:val="auto"/>
                <w:sz w:val="20"/>
              </w:rPr>
            </w:pPr>
          </w:p>
        </w:tc>
        <w:tc>
          <w:tcPr>
            <w:tcW w:w="1273"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投标文件资格响应文件的语言</w:t>
            </w:r>
          </w:p>
        </w:tc>
        <w:tc>
          <w:tcPr>
            <w:tcW w:w="631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 w:type="dxa"/>
        </w:trPr>
        <w:tc>
          <w:tcPr>
            <w:tcW w:w="73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color w:val="auto"/>
                <w:kern w:val="2"/>
                <w:sz w:val="20"/>
                <w:szCs w:val="22"/>
                <w:lang w:val="en-US" w:eastAsia="zh-CN" w:bidi="ar-SA"/>
              </w:rPr>
            </w:pPr>
            <w:r>
              <w:rPr>
                <w:color w:val="auto"/>
                <w:sz w:val="20"/>
              </w:rPr>
              <w:t>4</w:t>
            </w:r>
          </w:p>
        </w:tc>
        <w:tc>
          <w:tcPr>
            <w:tcW w:w="201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Calibri" w:hAnsi="Calibri" w:eastAsia="宋体" w:cs="Times New Roman"/>
                <w:color w:val="auto"/>
                <w:kern w:val="2"/>
                <w:sz w:val="20"/>
                <w:szCs w:val="22"/>
                <w:lang w:val="en-US" w:eastAsia="zh-CN" w:bidi="ar-SA"/>
              </w:rPr>
            </w:pPr>
            <w:r>
              <w:rPr>
                <w:rFonts w:hint="eastAsia"/>
                <w:sz w:val="20"/>
              </w:rPr>
              <w:t>投标文件资格性审查部分组成</w:t>
            </w:r>
          </w:p>
        </w:tc>
        <w:tc>
          <w:tcPr>
            <w:tcW w:w="631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color w:val="auto"/>
                <w:kern w:val="2"/>
                <w:sz w:val="20"/>
                <w:szCs w:val="22"/>
                <w:lang w:val="en-US" w:eastAsia="zh-CN" w:bidi="ar-SA"/>
              </w:rPr>
            </w:pPr>
            <w:r>
              <w:rPr>
                <w:rFonts w:hint="eastAsia" w:ascii="宋体" w:hAnsi="宋体"/>
                <w:sz w:val="20"/>
                <w:szCs w:val="28"/>
              </w:rPr>
              <w:t>符合招标文件“</w:t>
            </w:r>
            <w:r>
              <w:rPr>
                <w:rFonts w:ascii="宋体" w:hAnsi="宋体"/>
                <w:sz w:val="20"/>
                <w:szCs w:val="28"/>
              </w:rPr>
              <w:t>2.4.</w:t>
            </w:r>
            <w:r>
              <w:rPr>
                <w:rFonts w:hint="eastAsia" w:ascii="宋体" w:hAnsi="宋体"/>
                <w:sz w:val="20"/>
                <w:szCs w:val="28"/>
              </w:rPr>
              <w:t>6投标</w:t>
            </w:r>
            <w:r>
              <w:rPr>
                <w:rFonts w:ascii="宋体" w:hAnsi="宋体"/>
                <w:sz w:val="20"/>
                <w:szCs w:val="28"/>
              </w:rPr>
              <w:t>文件的组成”规定要求。</w:t>
            </w:r>
            <w:r>
              <w:rPr>
                <w:rFonts w:hint="eastAsia" w:ascii="宋体" w:hAnsi="宋体"/>
                <w:sz w:val="20"/>
                <w:szCs w:val="28"/>
              </w:rPr>
              <w:t>【说明：投标人按招标文件3.2.1关于投标人资格申明的</w:t>
            </w:r>
            <w:r>
              <w:rPr>
                <w:rFonts w:hint="eastAsia"/>
                <w:sz w:val="20"/>
              </w:rPr>
              <w:t>内容</w:t>
            </w:r>
            <w:r>
              <w:rPr>
                <w:rFonts w:hint="eastAsia" w:ascii="宋体" w:hAnsi="宋体"/>
                <w:sz w:val="20"/>
                <w:szCs w:val="28"/>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 w:type="dxa"/>
        </w:trPr>
        <w:tc>
          <w:tcPr>
            <w:tcW w:w="73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color w:val="auto"/>
                <w:kern w:val="2"/>
                <w:sz w:val="20"/>
                <w:szCs w:val="22"/>
                <w:lang w:val="en-US" w:eastAsia="zh-CN" w:bidi="ar-SA"/>
              </w:rPr>
            </w:pPr>
            <w:r>
              <w:rPr>
                <w:color w:val="auto"/>
                <w:sz w:val="20"/>
              </w:rPr>
              <w:t>5</w:t>
            </w:r>
          </w:p>
        </w:tc>
        <w:tc>
          <w:tcPr>
            <w:tcW w:w="201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具有健全的财务会计制度的证明材料</w:t>
            </w:r>
          </w:p>
        </w:tc>
        <w:tc>
          <w:tcPr>
            <w:tcW w:w="631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2020</w:t>
            </w:r>
            <w:r>
              <w:rPr>
                <w:rFonts w:hint="eastAsia"/>
                <w:color w:val="auto"/>
                <w:sz w:val="20"/>
              </w:rPr>
              <w:t>会计年度资产负债表复印件。【说明：①可提供2020年度经审计的财务报告复印件；②也可提供2020年度供应商内部的财务报表复印件（包括资产负债表、现金流量表、利润表）；③也可提供距文件递交截止日一年内银行出具的资信证明（复印件）；④供应商注册时间至文件递交截止日不足一年的，也可提供在工商备案的公司章程（复印件）；⑤供应商为事业法人或其他组织的提供其具有健全的财务会计制度的承诺函（格式自拟）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 w:type="dxa"/>
        </w:trPr>
        <w:tc>
          <w:tcPr>
            <w:tcW w:w="73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color w:val="auto"/>
                <w:kern w:val="2"/>
                <w:sz w:val="20"/>
                <w:szCs w:val="22"/>
                <w:lang w:val="en-US" w:eastAsia="zh-CN" w:bidi="ar-SA"/>
              </w:rPr>
            </w:pPr>
            <w:r>
              <w:rPr>
                <w:color w:val="auto"/>
                <w:sz w:val="20"/>
              </w:rPr>
              <w:t>6</w:t>
            </w:r>
          </w:p>
        </w:tc>
        <w:tc>
          <w:tcPr>
            <w:tcW w:w="201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缴纳社会保障资金的证明材料</w:t>
            </w:r>
          </w:p>
        </w:tc>
        <w:tc>
          <w:tcPr>
            <w:tcW w:w="631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供应商缴纳</w:t>
            </w:r>
            <w:r>
              <w:rPr>
                <w:rFonts w:hint="eastAsia"/>
                <w:color w:val="auto"/>
                <w:sz w:val="20"/>
                <w:lang w:eastAsia="zh-CN"/>
              </w:rPr>
              <w:t>2021年至今任意时段的社保</w:t>
            </w:r>
            <w:r>
              <w:rPr>
                <w:rFonts w:hint="eastAsia"/>
                <w:color w:val="auto"/>
                <w:sz w:val="20"/>
              </w:rPr>
              <w:t>的银行电子回单或行政部门出具的社保缴纳证明材料复印件或承诺函（格式自拟）复印件（依法不需要缴纳社会保障资金的供应商，应提供相应文件证明其依法不需要缴纳社会保障资金）；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 w:type="dxa"/>
        </w:trPr>
        <w:tc>
          <w:tcPr>
            <w:tcW w:w="73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Calibri" w:hAnsi="Calibri" w:eastAsia="宋体" w:cs="Times New Roman"/>
                <w:color w:val="auto"/>
                <w:kern w:val="2"/>
                <w:sz w:val="20"/>
                <w:szCs w:val="22"/>
                <w:lang w:val="en-US" w:eastAsia="zh-CN" w:bidi="ar-SA"/>
              </w:rPr>
            </w:pPr>
            <w:r>
              <w:rPr>
                <w:rFonts w:hint="eastAsia"/>
                <w:color w:val="auto"/>
                <w:sz w:val="20"/>
                <w:lang w:val="en-US" w:eastAsia="zh-CN"/>
              </w:rPr>
              <w:t>7</w:t>
            </w:r>
          </w:p>
        </w:tc>
        <w:tc>
          <w:tcPr>
            <w:tcW w:w="201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缴纳税收的证明材料</w:t>
            </w:r>
          </w:p>
        </w:tc>
        <w:tc>
          <w:tcPr>
            <w:tcW w:w="631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供应商缴纳</w:t>
            </w:r>
            <w:r>
              <w:rPr>
                <w:rFonts w:hint="eastAsia"/>
                <w:color w:val="auto"/>
                <w:sz w:val="20"/>
                <w:lang w:eastAsia="zh-CN"/>
              </w:rPr>
              <w:t>2021年至今任意时段的税收</w:t>
            </w:r>
            <w:r>
              <w:rPr>
                <w:rFonts w:hint="eastAsia"/>
                <w:color w:val="auto"/>
                <w:sz w:val="20"/>
              </w:rPr>
              <w:t>的银行电子回单或者行政部门出具的纳税证明或完税证明复印件或承诺函（格式自拟）复印件（依法免税的供应商，应提供相应文件证明其依法免税）。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 w:type="dxa"/>
        </w:trPr>
        <w:tc>
          <w:tcPr>
            <w:tcW w:w="73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eastAsia="宋体"/>
                <w:color w:val="auto"/>
                <w:sz w:val="20"/>
                <w:lang w:val="en-US" w:eastAsia="zh-CN"/>
              </w:rPr>
            </w:pPr>
            <w:r>
              <w:rPr>
                <w:rFonts w:hint="eastAsia"/>
                <w:color w:val="auto"/>
                <w:sz w:val="20"/>
                <w:lang w:val="en-US" w:eastAsia="zh-CN"/>
              </w:rPr>
              <w:t>8</w:t>
            </w:r>
          </w:p>
        </w:tc>
        <w:tc>
          <w:tcPr>
            <w:tcW w:w="201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eastAsia="宋体"/>
                <w:color w:val="auto"/>
                <w:sz w:val="20"/>
                <w:lang w:eastAsia="zh-CN"/>
              </w:rPr>
            </w:pPr>
            <w:r>
              <w:rPr>
                <w:rFonts w:hint="eastAsia"/>
                <w:color w:val="auto"/>
                <w:sz w:val="20"/>
                <w:lang w:eastAsia="zh-CN"/>
              </w:rPr>
              <w:t>特定资格要求</w:t>
            </w:r>
          </w:p>
        </w:tc>
        <w:tc>
          <w:tcPr>
            <w:tcW w:w="6316" w:type="dxa"/>
            <w:tcBorders>
              <w:top w:val="single" w:color="auto" w:sz="2" w:space="0"/>
              <w:left w:val="single" w:color="auto" w:sz="2" w:space="0"/>
              <w:bottom w:val="single" w:color="auto" w:sz="2" w:space="0"/>
              <w:right w:val="single" w:color="auto" w:sz="2" w:space="0"/>
            </w:tcBorders>
            <w:vAlign w:val="center"/>
          </w:tcPr>
          <w:p>
            <w:pPr>
              <w:pStyle w:val="2"/>
              <w:spacing w:after="0" w:line="360" w:lineRule="auto"/>
              <w:rPr>
                <w:rFonts w:ascii="Calibri" w:hAnsi="Calibri"/>
                <w:color w:val="auto"/>
                <w:kern w:val="2"/>
                <w:szCs w:val="22"/>
              </w:rPr>
            </w:pPr>
            <w:r>
              <w:rPr>
                <w:rFonts w:hint="eastAsia" w:ascii="Calibri" w:hAnsi="Calibri"/>
                <w:color w:val="auto"/>
                <w:kern w:val="2"/>
                <w:szCs w:val="22"/>
              </w:rPr>
              <w:t>1.（包件1-5）地下管线普查成果更新探测服务：供应商须具备测绘地理信息主管部门颁发的测绘甲级资质证书复印件。测绘甲级资质证书须含“工程测量”和“地理信息系统工程”专业甲级，且“工程测量”专业中必须含有“地下管线测量”子项；“地理信息系统工程”专业中必须含有“地理信息系统及数据库建设”子项。</w:t>
            </w:r>
          </w:p>
          <w:p>
            <w:pPr>
              <w:pStyle w:val="2"/>
              <w:spacing w:after="0" w:line="360" w:lineRule="auto"/>
              <w:rPr>
                <w:rFonts w:ascii="Calibri" w:hAnsi="Calibri"/>
                <w:color w:val="auto"/>
                <w:kern w:val="2"/>
                <w:szCs w:val="22"/>
              </w:rPr>
            </w:pPr>
            <w:r>
              <w:rPr>
                <w:rFonts w:hint="eastAsia" w:ascii="Calibri" w:hAnsi="Calibri"/>
                <w:color w:val="auto"/>
                <w:kern w:val="2"/>
                <w:szCs w:val="22"/>
              </w:rPr>
              <w:t>2.（包件6）地下管线普查成果更新监理服务：供应商须具备测绘地理信息主管部门颁发的测绘甲级资质证书复印件。测绘甲级资质证书须含“工程测量”专业甲级，且“工程测量”专业中须含“地下管线测量”子项。</w:t>
            </w:r>
          </w:p>
          <w:p>
            <w:pPr>
              <w:tabs>
                <w:tab w:val="left" w:pos="851"/>
              </w:tabs>
              <w:spacing w:line="360" w:lineRule="auto"/>
              <w:rPr>
                <w:rFonts w:hint="eastAsia"/>
                <w:color w:val="auto"/>
                <w:sz w:val="20"/>
              </w:rPr>
            </w:pPr>
            <w:r>
              <w:rPr>
                <w:rFonts w:hint="eastAsia" w:ascii="Calibri" w:hAnsi="Calibri" w:eastAsia="宋体" w:cs="Times New Roman"/>
                <w:color w:val="auto"/>
                <w:kern w:val="2"/>
                <w:sz w:val="20"/>
                <w:szCs w:val="22"/>
                <w:lang w:val="en-US" w:eastAsia="zh-CN" w:bidi="ar-SA"/>
              </w:rPr>
              <w:t>3.（包件7）地下管线普查成果更新质检服务：供应商须具备省级及以上质量主管部门颁发的《计量认证证书CMA》（含管线测量）复印件。</w:t>
            </w:r>
          </w:p>
        </w:tc>
      </w:tr>
    </w:tbl>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注：一、以上每一项结论均为“通过”的，则供应商的投标文件通过资格性审查；如有其中任意一项结论为“不通过”的，则供应商的投标文件按无效投标文件处理。如果资格审查小组认为供应商有任意一项不通过的，应在资格性审查报告中载明不通过的具体原因。</w:t>
      </w:r>
    </w:p>
    <w:p>
      <w:pPr>
        <w:spacing w:line="560" w:lineRule="exact"/>
        <w:ind w:firstLine="565" w:firstLineChars="202"/>
        <w:rPr>
          <w:rFonts w:ascii="宋体" w:hAnsi="宋体"/>
          <w:color w:val="auto"/>
          <w:sz w:val="28"/>
          <w:szCs w:val="28"/>
        </w:rPr>
      </w:pPr>
      <w:r>
        <w:rPr>
          <w:rFonts w:hint="eastAsia" w:ascii="宋体" w:hAnsi="宋体"/>
          <w:color w:val="auto"/>
          <w:sz w:val="28"/>
          <w:szCs w:val="28"/>
        </w:rPr>
        <w:t>二、“信用中国”和“中国政府采购网”网站查询结果，将以纸质截图或将截图保存至电子介质的形式留存。</w:t>
      </w:r>
    </w:p>
    <w:p>
      <w:pPr>
        <w:spacing w:line="560" w:lineRule="exact"/>
        <w:ind w:firstLine="565" w:firstLineChars="202"/>
        <w:rPr>
          <w:rFonts w:ascii="宋体" w:hAnsi="宋体"/>
          <w:color w:val="auto"/>
          <w:sz w:val="28"/>
          <w:szCs w:val="28"/>
        </w:rPr>
      </w:pPr>
      <w:r>
        <w:rPr>
          <w:rFonts w:hint="eastAsia" w:ascii="宋体" w:hAnsi="宋体"/>
          <w:color w:val="auto"/>
          <w:sz w:val="28"/>
          <w:szCs w:val="28"/>
        </w:rPr>
        <w:t>三、供应商的投标文件资格性审查时被判定为无效的，区公资交易中心将通知供应商（以短信、现场公示、电话、“政府采购云平台”等任一方式）。供应商如对资格审查结论有异议的，应及时向区公资交易中心反馈意见。区公资交易中心将及时告知资格审查小组。（说明：无论供应商是否收到通知或提供反馈意见，均不影响资格审查和评标工作，且区公资交易中心对此将不承担任何的责任。供应商对资格审查结论有异议的，其反馈意见仅限于资格审查小组对资格审查结论的正确性进行复核，避免出现审查错误。）</w:t>
      </w:r>
    </w:p>
    <w:p>
      <w:pPr>
        <w:ind w:firstLine="565" w:firstLineChars="202"/>
        <w:rPr>
          <w:color w:val="auto"/>
        </w:rPr>
      </w:pPr>
      <w:r>
        <w:rPr>
          <w:rFonts w:hint="eastAsia" w:ascii="宋体" w:hAnsi="宋体"/>
          <w:color w:val="auto"/>
          <w:sz w:val="28"/>
          <w:szCs w:val="28"/>
        </w:rPr>
        <w:t>四、各包件通过资格性审查的供应商＜3名，对应包件采购失败。</w:t>
      </w:r>
    </w:p>
    <w:p>
      <w:pPr>
        <w:rPr>
          <w:color w:val="auto"/>
        </w:rPr>
      </w:pPr>
    </w:p>
    <w:p>
      <w:pPr>
        <w:pStyle w:val="2"/>
        <w:rPr>
          <w:color w:val="auto"/>
        </w:rPr>
      </w:pPr>
    </w:p>
    <w:p>
      <w:pPr>
        <w:pStyle w:val="4"/>
        <w:numPr>
          <w:ilvl w:val="0"/>
          <w:numId w:val="3"/>
        </w:numPr>
        <w:spacing w:before="0" w:after="0" w:line="360" w:lineRule="auto"/>
        <w:ind w:left="0" w:firstLine="0"/>
        <w:rPr>
          <w:color w:val="auto"/>
        </w:rPr>
      </w:pPr>
      <w:bookmarkStart w:id="298" w:name="_Toc11596"/>
      <w:bookmarkStart w:id="299" w:name="_Toc18121"/>
      <w:bookmarkStart w:id="300" w:name="_Toc16118"/>
      <w:bookmarkStart w:id="301" w:name="_Toc29184"/>
      <w:bookmarkStart w:id="302" w:name="_Toc79654110"/>
      <w:r>
        <w:rPr>
          <w:rFonts w:hint="eastAsia"/>
          <w:color w:val="auto"/>
        </w:rPr>
        <w:t>评标办法</w:t>
      </w:r>
      <w:bookmarkEnd w:id="298"/>
      <w:bookmarkEnd w:id="299"/>
      <w:bookmarkEnd w:id="300"/>
      <w:bookmarkEnd w:id="301"/>
      <w:bookmarkEnd w:id="302"/>
      <w:bookmarkStart w:id="303" w:name="_Toc217446097"/>
      <w:bookmarkStart w:id="304" w:name="_Toc183682415"/>
      <w:bookmarkStart w:id="305" w:name="_Toc183582280"/>
      <w:bookmarkStart w:id="306" w:name="_Toc208849007"/>
    </w:p>
    <w:p>
      <w:pPr>
        <w:pStyle w:val="5"/>
        <w:numPr>
          <w:ilvl w:val="1"/>
          <w:numId w:val="3"/>
        </w:numPr>
        <w:spacing w:before="0" w:after="0" w:line="560" w:lineRule="exact"/>
        <w:ind w:left="2269" w:hanging="2269"/>
        <w:rPr>
          <w:color w:val="auto"/>
        </w:rPr>
      </w:pPr>
      <w:bookmarkStart w:id="307" w:name="_Toc13609"/>
      <w:bookmarkStart w:id="308" w:name="_Toc316292248"/>
      <w:bookmarkStart w:id="309" w:name="_Toc315871642"/>
      <w:bookmarkStart w:id="310" w:name="_Toc30790"/>
      <w:bookmarkStart w:id="311" w:name="_Toc10788"/>
      <w:bookmarkStart w:id="312" w:name="_Toc12005"/>
      <w:bookmarkStart w:id="313" w:name="_Toc79654111"/>
      <w:r>
        <w:rPr>
          <w:rFonts w:hint="eastAsia"/>
          <w:color w:val="auto"/>
        </w:rPr>
        <w:t>总则</w:t>
      </w:r>
      <w:bookmarkEnd w:id="303"/>
      <w:bookmarkEnd w:id="304"/>
      <w:bookmarkEnd w:id="305"/>
      <w:bookmarkEnd w:id="306"/>
      <w:bookmarkEnd w:id="307"/>
      <w:bookmarkEnd w:id="308"/>
      <w:bookmarkEnd w:id="309"/>
      <w:bookmarkEnd w:id="310"/>
      <w:bookmarkEnd w:id="311"/>
      <w:bookmarkEnd w:id="312"/>
      <w:bookmarkEnd w:id="313"/>
    </w:p>
    <w:p>
      <w:pPr>
        <w:numPr>
          <w:ilvl w:val="0"/>
          <w:numId w:val="33"/>
        </w:numPr>
        <w:tabs>
          <w:tab w:val="left" w:pos="1134"/>
        </w:tabs>
        <w:spacing w:after="200" w:line="560" w:lineRule="exact"/>
        <w:ind w:left="0" w:firstLine="565" w:firstLineChars="202"/>
        <w:jc w:val="left"/>
        <w:rPr>
          <w:rFonts w:ascii="宋体" w:hAnsi="宋体"/>
          <w:color w:val="auto"/>
          <w:sz w:val="28"/>
          <w:szCs w:val="28"/>
        </w:rPr>
      </w:pPr>
      <w:r>
        <w:rPr>
          <w:rFonts w:hint="eastAsia" w:ascii="宋体" w:hAnsi="宋体"/>
          <w:color w:val="auto"/>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33"/>
        </w:numPr>
        <w:tabs>
          <w:tab w:val="left" w:pos="1134"/>
        </w:tabs>
        <w:spacing w:after="200" w:line="560" w:lineRule="exact"/>
        <w:ind w:left="0" w:firstLine="565" w:firstLineChars="202"/>
        <w:jc w:val="left"/>
        <w:rPr>
          <w:rFonts w:ascii="宋体" w:hAnsi="宋体"/>
          <w:color w:val="auto"/>
          <w:sz w:val="28"/>
          <w:szCs w:val="28"/>
        </w:rPr>
      </w:pPr>
      <w:r>
        <w:rPr>
          <w:rFonts w:hint="eastAsia" w:ascii="宋体" w:hAnsi="宋体"/>
          <w:color w:val="auto"/>
          <w:sz w:val="28"/>
          <w:szCs w:val="28"/>
        </w:rPr>
        <w:t>评标工作由区公资交易中心负责组织，具体评标事务由采购人或区公资交易中心依法组建的评标委员会负责。评标委员会由采购人代表和评审专家组成。</w:t>
      </w:r>
    </w:p>
    <w:p>
      <w:pPr>
        <w:numPr>
          <w:ilvl w:val="0"/>
          <w:numId w:val="33"/>
        </w:numPr>
        <w:tabs>
          <w:tab w:val="left" w:pos="1134"/>
        </w:tabs>
        <w:spacing w:after="200" w:line="560" w:lineRule="exact"/>
        <w:ind w:left="0" w:firstLine="565" w:firstLineChars="202"/>
        <w:jc w:val="left"/>
        <w:rPr>
          <w:rFonts w:ascii="宋体" w:hAnsi="宋体"/>
          <w:color w:val="auto"/>
          <w:sz w:val="28"/>
          <w:szCs w:val="28"/>
        </w:rPr>
      </w:pPr>
      <w:r>
        <w:rPr>
          <w:rFonts w:hint="eastAsia" w:ascii="宋体" w:hAnsi="宋体"/>
          <w:color w:val="auto"/>
          <w:sz w:val="28"/>
          <w:szCs w:val="28"/>
        </w:rPr>
        <w:t>评标工作应遵循公平、公正、科学及择优的原则，并以相同的评标程序和标准对待所有的供应商。</w:t>
      </w:r>
    </w:p>
    <w:p>
      <w:pPr>
        <w:numPr>
          <w:ilvl w:val="0"/>
          <w:numId w:val="33"/>
        </w:numPr>
        <w:tabs>
          <w:tab w:val="left" w:pos="1134"/>
        </w:tabs>
        <w:spacing w:after="200" w:line="560" w:lineRule="exact"/>
        <w:ind w:left="0" w:firstLine="565" w:firstLineChars="202"/>
        <w:jc w:val="left"/>
        <w:rPr>
          <w:rFonts w:ascii="宋体" w:hAnsi="宋体"/>
          <w:color w:val="auto"/>
          <w:sz w:val="28"/>
          <w:szCs w:val="28"/>
        </w:rPr>
      </w:pPr>
      <w:r>
        <w:rPr>
          <w:rFonts w:hint="eastAsia" w:ascii="宋体" w:hAnsi="宋体"/>
          <w:color w:val="auto"/>
          <w:sz w:val="28"/>
          <w:szCs w:val="28"/>
        </w:rPr>
        <w:t>评标委员会按照招标文件规定的评标程序、评标方法和标准进行独立评审，并独立履行下列职责：</w:t>
      </w:r>
    </w:p>
    <w:p>
      <w:pPr>
        <w:numPr>
          <w:ilvl w:val="1"/>
          <w:numId w:val="34"/>
        </w:numPr>
        <w:spacing w:after="200" w:line="560" w:lineRule="exact"/>
        <w:ind w:left="0" w:firstLine="567"/>
        <w:rPr>
          <w:rFonts w:ascii="宋体" w:hAnsi="宋体"/>
          <w:color w:val="auto"/>
          <w:sz w:val="28"/>
          <w:szCs w:val="28"/>
        </w:rPr>
      </w:pPr>
      <w:r>
        <w:rPr>
          <w:rFonts w:hint="eastAsia" w:ascii="宋体" w:hAnsi="宋体"/>
          <w:color w:val="auto"/>
          <w:sz w:val="28"/>
          <w:szCs w:val="28"/>
        </w:rPr>
        <w:t>熟悉和理解招标文件；</w:t>
      </w:r>
    </w:p>
    <w:p>
      <w:pPr>
        <w:numPr>
          <w:ilvl w:val="1"/>
          <w:numId w:val="34"/>
        </w:numPr>
        <w:spacing w:after="200" w:line="560" w:lineRule="exact"/>
        <w:ind w:left="0" w:firstLine="567"/>
        <w:rPr>
          <w:rFonts w:ascii="宋体" w:hAnsi="宋体"/>
          <w:color w:val="auto"/>
          <w:sz w:val="28"/>
          <w:szCs w:val="28"/>
        </w:rPr>
      </w:pPr>
      <w:r>
        <w:rPr>
          <w:rFonts w:hint="eastAsia" w:ascii="宋体" w:hAnsi="宋体"/>
          <w:color w:val="auto"/>
          <w:sz w:val="28"/>
          <w:szCs w:val="28"/>
        </w:rPr>
        <w:t>审查、评价投标文件是否符合招标文件的商务、技术等实质性要求；</w:t>
      </w:r>
    </w:p>
    <w:p>
      <w:pPr>
        <w:numPr>
          <w:ilvl w:val="1"/>
          <w:numId w:val="34"/>
        </w:numPr>
        <w:spacing w:after="200" w:line="560" w:lineRule="exact"/>
        <w:ind w:left="0" w:firstLine="567"/>
        <w:rPr>
          <w:rFonts w:ascii="宋体" w:hAnsi="宋体"/>
          <w:color w:val="auto"/>
          <w:sz w:val="28"/>
          <w:szCs w:val="28"/>
        </w:rPr>
      </w:pPr>
      <w:r>
        <w:rPr>
          <w:rFonts w:hint="eastAsia" w:ascii="宋体" w:hAnsi="宋体"/>
          <w:color w:val="auto"/>
          <w:sz w:val="28"/>
          <w:szCs w:val="28"/>
        </w:rPr>
        <w:t>对投标文件进行比较和评价；</w:t>
      </w:r>
    </w:p>
    <w:p>
      <w:pPr>
        <w:numPr>
          <w:ilvl w:val="1"/>
          <w:numId w:val="34"/>
        </w:numPr>
        <w:spacing w:after="200" w:line="560" w:lineRule="exact"/>
        <w:ind w:left="0" w:firstLine="567"/>
        <w:rPr>
          <w:rFonts w:ascii="宋体" w:hAnsi="宋体"/>
          <w:color w:val="auto"/>
          <w:sz w:val="28"/>
          <w:szCs w:val="28"/>
        </w:rPr>
      </w:pPr>
      <w:r>
        <w:rPr>
          <w:rFonts w:hint="eastAsia" w:ascii="宋体" w:hAnsi="宋体"/>
          <w:color w:val="auto"/>
          <w:sz w:val="28"/>
          <w:szCs w:val="28"/>
        </w:rPr>
        <w:t>根据需要要求采购人对招标文件作出解释；根据需要要求供应商对投标文件有关事项作出解释或者澄清；</w:t>
      </w:r>
    </w:p>
    <w:p>
      <w:pPr>
        <w:numPr>
          <w:ilvl w:val="1"/>
          <w:numId w:val="34"/>
        </w:numPr>
        <w:spacing w:after="200" w:line="560" w:lineRule="exact"/>
        <w:ind w:left="0" w:firstLine="567"/>
        <w:rPr>
          <w:rFonts w:ascii="宋体" w:hAnsi="宋体"/>
          <w:color w:val="auto"/>
          <w:sz w:val="28"/>
          <w:szCs w:val="28"/>
        </w:rPr>
      </w:pPr>
      <w:r>
        <w:rPr>
          <w:rFonts w:hint="eastAsia" w:ascii="宋体" w:hAnsi="宋体"/>
          <w:color w:val="auto"/>
          <w:sz w:val="28"/>
          <w:szCs w:val="28"/>
        </w:rPr>
        <w:t>确定中标候选人名单，以及根据采购人委托直接确定中标人；</w:t>
      </w:r>
    </w:p>
    <w:p>
      <w:pPr>
        <w:numPr>
          <w:ilvl w:val="1"/>
          <w:numId w:val="34"/>
        </w:numPr>
        <w:spacing w:after="200" w:line="560" w:lineRule="exact"/>
        <w:ind w:left="0" w:firstLine="567"/>
        <w:rPr>
          <w:rFonts w:ascii="宋体" w:hAnsi="宋体"/>
          <w:color w:val="auto"/>
          <w:sz w:val="28"/>
          <w:szCs w:val="28"/>
        </w:rPr>
      </w:pPr>
      <w:r>
        <w:rPr>
          <w:rFonts w:hint="eastAsia" w:ascii="宋体" w:hAnsi="宋体"/>
          <w:color w:val="auto"/>
          <w:sz w:val="28"/>
          <w:szCs w:val="28"/>
        </w:rPr>
        <w:t>起草评标报告并进行签署；</w:t>
      </w:r>
    </w:p>
    <w:p>
      <w:pPr>
        <w:numPr>
          <w:ilvl w:val="1"/>
          <w:numId w:val="34"/>
        </w:numPr>
        <w:spacing w:after="200" w:line="560" w:lineRule="exact"/>
        <w:ind w:left="0" w:firstLine="567"/>
        <w:rPr>
          <w:rFonts w:ascii="宋体" w:hAnsi="宋体"/>
          <w:color w:val="auto"/>
          <w:sz w:val="28"/>
          <w:szCs w:val="28"/>
        </w:rPr>
      </w:pPr>
      <w:r>
        <w:rPr>
          <w:rFonts w:hint="eastAsia" w:ascii="宋体" w:hAnsi="宋体"/>
          <w:color w:val="auto"/>
          <w:sz w:val="28"/>
          <w:szCs w:val="28"/>
        </w:rPr>
        <w:t>向采购人、区公资交易中心或者财政、监察等有关部门报告或举报非法干预评标工作的行为；</w:t>
      </w:r>
    </w:p>
    <w:p>
      <w:pPr>
        <w:numPr>
          <w:ilvl w:val="1"/>
          <w:numId w:val="34"/>
        </w:numPr>
        <w:spacing w:after="200" w:line="560" w:lineRule="exact"/>
        <w:ind w:left="0" w:firstLine="567"/>
        <w:rPr>
          <w:rFonts w:ascii="宋体" w:hAnsi="宋体"/>
          <w:color w:val="auto"/>
          <w:sz w:val="28"/>
          <w:szCs w:val="28"/>
        </w:rPr>
      </w:pPr>
      <w:r>
        <w:rPr>
          <w:rFonts w:hint="eastAsia" w:ascii="宋体" w:hAnsi="宋体"/>
          <w:color w:val="auto"/>
          <w:sz w:val="28"/>
          <w:szCs w:val="28"/>
        </w:rPr>
        <w:t>向采购人、</w:t>
      </w:r>
      <w:r>
        <w:rPr>
          <w:rFonts w:hint="eastAsia" w:cs="Arial"/>
          <w:color w:val="auto"/>
          <w:sz w:val="28"/>
          <w:szCs w:val="28"/>
        </w:rPr>
        <w:t>区公资交易中心</w:t>
      </w:r>
      <w:r>
        <w:rPr>
          <w:rFonts w:hint="eastAsia" w:ascii="宋体" w:hAnsi="宋体"/>
          <w:color w:val="auto"/>
          <w:sz w:val="28"/>
          <w:szCs w:val="28"/>
        </w:rPr>
        <w:t>或者有关部门报告评标中发现的违法行为。</w:t>
      </w:r>
    </w:p>
    <w:p>
      <w:pPr>
        <w:numPr>
          <w:ilvl w:val="1"/>
          <w:numId w:val="34"/>
        </w:numPr>
        <w:spacing w:after="200" w:line="560" w:lineRule="exact"/>
        <w:ind w:left="0" w:firstLine="567"/>
        <w:rPr>
          <w:rFonts w:ascii="宋体" w:hAnsi="宋体"/>
          <w:color w:val="auto"/>
          <w:sz w:val="28"/>
          <w:szCs w:val="28"/>
        </w:rPr>
      </w:pPr>
      <w:r>
        <w:rPr>
          <w:rFonts w:hint="eastAsia" w:ascii="宋体" w:hAnsi="宋体"/>
          <w:color w:val="auto"/>
          <w:sz w:val="28"/>
          <w:szCs w:val="28"/>
        </w:rPr>
        <w:t>法律、法规和规章规定的其他职责。</w:t>
      </w:r>
    </w:p>
    <w:p>
      <w:pPr>
        <w:numPr>
          <w:ilvl w:val="0"/>
          <w:numId w:val="33"/>
        </w:numPr>
        <w:tabs>
          <w:tab w:val="left" w:pos="1134"/>
        </w:tabs>
        <w:spacing w:after="200" w:line="560" w:lineRule="exact"/>
        <w:ind w:left="0" w:firstLine="565" w:firstLineChars="202"/>
        <w:rPr>
          <w:rFonts w:ascii="宋体" w:hAnsi="宋体"/>
          <w:color w:val="auto"/>
          <w:sz w:val="28"/>
          <w:szCs w:val="28"/>
        </w:rPr>
      </w:pPr>
      <w:r>
        <w:rPr>
          <w:rFonts w:hint="eastAsia" w:ascii="宋体" w:hAnsi="宋体"/>
          <w:color w:val="auto"/>
          <w:sz w:val="28"/>
          <w:szCs w:val="28"/>
        </w:rPr>
        <w:t>评标过程独立、保密。供应商非法干预评标过程的行为将导致其投标文件作为无效处理。</w:t>
      </w:r>
    </w:p>
    <w:p>
      <w:pPr>
        <w:numPr>
          <w:ilvl w:val="0"/>
          <w:numId w:val="33"/>
        </w:numPr>
        <w:tabs>
          <w:tab w:val="left" w:pos="1134"/>
        </w:tabs>
        <w:spacing w:after="200" w:line="560" w:lineRule="exact"/>
        <w:ind w:left="0" w:firstLine="565" w:firstLineChars="202"/>
        <w:rPr>
          <w:rFonts w:ascii="宋体" w:hAnsi="宋体"/>
          <w:color w:val="auto"/>
          <w:sz w:val="28"/>
          <w:szCs w:val="28"/>
        </w:rPr>
      </w:pPr>
      <w:r>
        <w:rPr>
          <w:rFonts w:hint="eastAsia" w:ascii="宋体" w:hAnsi="宋体"/>
          <w:color w:val="auto"/>
          <w:sz w:val="28"/>
          <w:szCs w:val="28"/>
        </w:rPr>
        <w:t>评标委员会决定投标文件的响应性依据投标文件本身的内容，而不寻求外部的证据，招标文件有明确约定的除外。</w:t>
      </w:r>
    </w:p>
    <w:p>
      <w:pPr>
        <w:tabs>
          <w:tab w:val="left" w:pos="1134"/>
        </w:tabs>
        <w:spacing w:line="560" w:lineRule="exact"/>
        <w:ind w:firstLine="560" w:firstLineChars="200"/>
        <w:rPr>
          <w:rFonts w:ascii="宋体" w:hAnsi="宋体"/>
          <w:color w:val="auto"/>
          <w:sz w:val="28"/>
          <w:szCs w:val="28"/>
        </w:rPr>
      </w:pPr>
      <w:r>
        <w:rPr>
          <w:rFonts w:hint="eastAsia" w:ascii="宋体" w:hAnsi="宋体"/>
          <w:color w:val="auto"/>
          <w:sz w:val="28"/>
          <w:szCs w:val="28"/>
        </w:rPr>
        <w:t>七、评标委员会发现招标文件表述不明确或需要说明的事项，可提请采购人和区公资交易中心书面解释说明。</w:t>
      </w:r>
    </w:p>
    <w:p>
      <w:pPr>
        <w:pStyle w:val="5"/>
        <w:numPr>
          <w:ilvl w:val="1"/>
          <w:numId w:val="3"/>
        </w:numPr>
        <w:spacing w:before="0" w:after="0" w:line="560" w:lineRule="exact"/>
        <w:ind w:left="2269" w:hanging="2269"/>
        <w:rPr>
          <w:color w:val="auto"/>
        </w:rPr>
      </w:pPr>
      <w:bookmarkStart w:id="314" w:name="_Toc3818"/>
      <w:bookmarkStart w:id="315" w:name="_Toc7423"/>
      <w:bookmarkStart w:id="316" w:name="_Toc28274"/>
      <w:bookmarkStart w:id="317" w:name="_Toc29481"/>
      <w:bookmarkStart w:id="318" w:name="_Toc79654112"/>
      <w:bookmarkStart w:id="319" w:name="_Toc217446098"/>
      <w:bookmarkStart w:id="320" w:name="_Toc316292250"/>
      <w:bookmarkStart w:id="321" w:name="_Toc315871644"/>
      <w:r>
        <w:rPr>
          <w:rFonts w:hint="eastAsia"/>
          <w:color w:val="auto"/>
        </w:rPr>
        <w:t>评标方法</w:t>
      </w:r>
      <w:bookmarkEnd w:id="314"/>
      <w:bookmarkEnd w:id="315"/>
      <w:bookmarkEnd w:id="316"/>
      <w:bookmarkEnd w:id="317"/>
      <w:bookmarkEnd w:id="318"/>
    </w:p>
    <w:p>
      <w:pPr>
        <w:spacing w:line="560" w:lineRule="exact"/>
        <w:rPr>
          <w:color w:val="auto"/>
        </w:rPr>
      </w:pPr>
      <w:r>
        <w:rPr>
          <w:rFonts w:hint="eastAsia" w:ascii="宋体" w:hAnsi="宋体"/>
          <w:color w:val="auto"/>
          <w:sz w:val="28"/>
          <w:szCs w:val="28"/>
        </w:rPr>
        <w:t xml:space="preserve">  综合评分法。</w:t>
      </w:r>
    </w:p>
    <w:p>
      <w:pPr>
        <w:pStyle w:val="5"/>
        <w:numPr>
          <w:ilvl w:val="1"/>
          <w:numId w:val="3"/>
        </w:numPr>
        <w:spacing w:before="0" w:after="0" w:line="560" w:lineRule="exact"/>
        <w:ind w:left="2269" w:hanging="2269"/>
        <w:rPr>
          <w:color w:val="auto"/>
        </w:rPr>
      </w:pPr>
      <w:bookmarkStart w:id="322" w:name="_Toc6803"/>
      <w:bookmarkStart w:id="323" w:name="_Toc10678"/>
      <w:bookmarkStart w:id="324" w:name="_Toc30741"/>
      <w:bookmarkStart w:id="325" w:name="_Toc3207"/>
      <w:bookmarkStart w:id="326" w:name="_Toc79654113"/>
      <w:r>
        <w:rPr>
          <w:rFonts w:hint="eastAsia"/>
          <w:color w:val="auto"/>
        </w:rPr>
        <w:t>评标程序</w:t>
      </w:r>
      <w:bookmarkEnd w:id="319"/>
      <w:bookmarkEnd w:id="320"/>
      <w:bookmarkEnd w:id="321"/>
      <w:bookmarkEnd w:id="322"/>
      <w:bookmarkEnd w:id="323"/>
      <w:bookmarkEnd w:id="324"/>
      <w:bookmarkEnd w:id="325"/>
      <w:bookmarkEnd w:id="326"/>
    </w:p>
    <w:p>
      <w:pPr>
        <w:pStyle w:val="6"/>
        <w:numPr>
          <w:ilvl w:val="2"/>
          <w:numId w:val="3"/>
        </w:numPr>
        <w:spacing w:after="200" w:line="560" w:lineRule="exact"/>
        <w:ind w:left="0" w:firstLine="0"/>
        <w:rPr>
          <w:color w:val="auto"/>
        </w:rPr>
      </w:pPr>
      <w:bookmarkStart w:id="327" w:name="_Toc316475650"/>
      <w:bookmarkEnd w:id="327"/>
      <w:bookmarkStart w:id="328" w:name="_Toc217446099"/>
      <w:r>
        <w:rPr>
          <w:rFonts w:hint="eastAsia"/>
          <w:color w:val="auto"/>
        </w:rPr>
        <w:t>符合性审查</w:t>
      </w:r>
    </w:p>
    <w:p>
      <w:pPr>
        <w:tabs>
          <w:tab w:val="left" w:pos="851"/>
        </w:tabs>
        <w:spacing w:line="560" w:lineRule="exact"/>
        <w:ind w:firstLine="565" w:firstLineChars="202"/>
        <w:rPr>
          <w:rFonts w:ascii="宋体" w:hAnsi="宋体"/>
          <w:color w:val="auto"/>
          <w:sz w:val="28"/>
          <w:szCs w:val="28"/>
        </w:rPr>
      </w:pPr>
      <w:r>
        <w:rPr>
          <w:rFonts w:hint="eastAsia" w:ascii="宋体" w:hAnsi="宋体"/>
          <w:color w:val="auto"/>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rPr>
          <w:rFonts w:ascii="宋体" w:hAnsi="宋体"/>
          <w:color w:val="auto"/>
          <w:sz w:val="28"/>
          <w:szCs w:val="28"/>
        </w:rPr>
      </w:pPr>
      <w:r>
        <w:rPr>
          <w:rFonts w:hint="eastAsia" w:ascii="宋体" w:hAnsi="宋体"/>
          <w:color w:val="auto"/>
          <w:sz w:val="28"/>
          <w:szCs w:val="28"/>
        </w:rPr>
        <w:t>包件（</w:t>
      </w:r>
      <w:r>
        <w:rPr>
          <w:rFonts w:hint="eastAsia" w:ascii="宋体" w:hAnsi="宋体"/>
          <w:color w:val="auto"/>
          <w:sz w:val="28"/>
          <w:szCs w:val="28"/>
          <w:lang w:eastAsia="zh-CN"/>
        </w:rPr>
        <w:t>包件1-7</w:t>
      </w:r>
      <w:r>
        <w:rPr>
          <w:rFonts w:hint="eastAsia" w:ascii="宋体" w:hAnsi="宋体"/>
          <w:color w:val="auto"/>
          <w:sz w:val="28"/>
          <w:szCs w:val="28"/>
        </w:rPr>
        <w:t>）符合性审查标准见下表（按以下顺序审查）：</w:t>
      </w:r>
    </w:p>
    <w:tbl>
      <w:tblPr>
        <w:tblStyle w:val="43"/>
        <w:tblW w:w="5178"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901"/>
        <w:gridCol w:w="6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auto"/>
                <w:sz w:val="24"/>
                <w:szCs w:val="28"/>
              </w:rPr>
            </w:pPr>
            <w:r>
              <w:rPr>
                <w:rFonts w:hint="eastAsia" w:ascii="宋体" w:hAnsi="宋体"/>
                <w:b/>
                <w:color w:val="auto"/>
                <w:sz w:val="24"/>
                <w:szCs w:val="28"/>
              </w:rPr>
              <w:t>序号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color w:val="auto"/>
                <w:sz w:val="24"/>
                <w:szCs w:val="28"/>
              </w:rPr>
            </w:pPr>
            <w:r>
              <w:rPr>
                <w:rFonts w:hint="eastAsia" w:ascii="宋体" w:hAnsi="宋体"/>
                <w:b/>
                <w:color w:val="auto"/>
                <w:sz w:val="24"/>
                <w:szCs w:val="28"/>
              </w:rPr>
              <w:t>符合性审查项</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color w:val="auto"/>
                <w:sz w:val="24"/>
                <w:szCs w:val="28"/>
              </w:rPr>
            </w:pPr>
            <w:r>
              <w:rPr>
                <w:rFonts w:hint="eastAsia" w:ascii="宋体" w:hAnsi="宋体"/>
                <w:b/>
                <w:color w:val="auto"/>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hint="eastAsia" w:ascii="宋体" w:hAnsi="宋体"/>
                <w:color w:val="auto"/>
                <w:sz w:val="24"/>
                <w:szCs w:val="28"/>
              </w:rPr>
              <w:t>1</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投标文件商务技术</w:t>
            </w:r>
            <w:r>
              <w:rPr>
                <w:rFonts w:ascii="宋体" w:hAnsi="宋体"/>
                <w:color w:val="auto"/>
                <w:sz w:val="24"/>
                <w:szCs w:val="28"/>
              </w:rPr>
              <w:t>响应文件</w:t>
            </w:r>
            <w:r>
              <w:rPr>
                <w:rFonts w:hint="eastAsia" w:ascii="宋体" w:hAnsi="宋体"/>
                <w:color w:val="auto"/>
                <w:sz w:val="24"/>
                <w:szCs w:val="28"/>
              </w:rPr>
              <w:t>及</w:t>
            </w:r>
            <w:r>
              <w:rPr>
                <w:rFonts w:ascii="宋体" w:hAnsi="宋体"/>
                <w:color w:val="auto"/>
                <w:sz w:val="24"/>
                <w:szCs w:val="28"/>
              </w:rPr>
              <w:t>报价要求响应文件</w:t>
            </w:r>
            <w:r>
              <w:rPr>
                <w:rFonts w:hint="eastAsia" w:ascii="宋体" w:hAnsi="宋体"/>
                <w:color w:val="auto"/>
                <w:sz w:val="24"/>
                <w:szCs w:val="28"/>
              </w:rPr>
              <w:t>组成</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eastAsia="zh-CN"/>
              </w:rPr>
            </w:pPr>
            <w:r>
              <w:rPr>
                <w:rFonts w:hint="eastAsia" w:ascii="宋体" w:hAnsi="宋体"/>
                <w:color w:val="auto"/>
                <w:sz w:val="24"/>
                <w:szCs w:val="28"/>
                <w:lang w:val="en-US" w:eastAsia="zh-CN"/>
              </w:rPr>
              <w:t>2</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投标文件商务技术</w:t>
            </w:r>
            <w:r>
              <w:rPr>
                <w:rFonts w:ascii="宋体" w:hAnsi="宋体"/>
                <w:color w:val="auto"/>
                <w:sz w:val="24"/>
                <w:szCs w:val="28"/>
              </w:rPr>
              <w:t>响应文件</w:t>
            </w:r>
            <w:r>
              <w:rPr>
                <w:rFonts w:hint="eastAsia" w:ascii="宋体" w:hAnsi="宋体"/>
                <w:color w:val="auto"/>
                <w:sz w:val="24"/>
                <w:szCs w:val="28"/>
              </w:rPr>
              <w:t>的计量单位、语言、报价货币、投标有效期</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eastAsia="zh-CN"/>
              </w:rPr>
            </w:pPr>
            <w:r>
              <w:rPr>
                <w:rFonts w:hint="eastAsia" w:ascii="宋体" w:hAnsi="宋体"/>
                <w:color w:val="auto"/>
                <w:sz w:val="24"/>
                <w:szCs w:val="28"/>
                <w:lang w:val="en-US" w:eastAsia="zh-CN"/>
              </w:rPr>
              <w:t>3</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第4章打*号的服务、商务和其他要求</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投标文件均实质性响应招标文件中加*号的服务、商务和其他要求。【说明：无须提供证明材料，上传空白页即可，不对本项上传的材料作符合性审查】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eastAsia="zh-CN"/>
              </w:rPr>
            </w:pPr>
            <w:r>
              <w:rPr>
                <w:rFonts w:hint="eastAsia" w:ascii="宋体" w:hAnsi="宋体"/>
                <w:color w:val="auto"/>
                <w:sz w:val="24"/>
                <w:szCs w:val="28"/>
                <w:lang w:val="en-US" w:eastAsia="zh-CN"/>
              </w:rPr>
              <w:t>4</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进口产品</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招标文件中未载明“允许采购进口产品”的产品，投标产品为国产产品。【说明：无须提供证明材料，上传空白页即可，不对本项上传的材料作符合性审查】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eastAsia="zh-CN"/>
              </w:rPr>
            </w:pPr>
            <w:r>
              <w:rPr>
                <w:rFonts w:hint="eastAsia" w:ascii="宋体" w:hAnsi="宋体"/>
                <w:color w:val="auto"/>
                <w:sz w:val="24"/>
                <w:szCs w:val="28"/>
                <w:lang w:val="en-US" w:eastAsia="zh-CN"/>
              </w:rPr>
              <w:t>5</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不属于禁止参加投标或投标无效的供应商</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（1）根据招标文件的要求不属于禁止参加投标或投标无效的供应商；</w:t>
            </w:r>
          </w:p>
          <w:p>
            <w:pPr>
              <w:tabs>
                <w:tab w:val="left" w:pos="851"/>
              </w:tabs>
              <w:spacing w:line="360" w:lineRule="auto"/>
              <w:rPr>
                <w:rFonts w:ascii="宋体" w:hAnsi="宋体"/>
                <w:color w:val="auto"/>
                <w:sz w:val="24"/>
                <w:szCs w:val="28"/>
              </w:rPr>
            </w:pPr>
            <w:r>
              <w:rPr>
                <w:rFonts w:hint="eastAsia" w:ascii="宋体" w:hAnsi="宋体"/>
                <w:color w:val="auto"/>
                <w:sz w:val="24"/>
                <w:szCs w:val="28"/>
              </w:rPr>
              <w:t>（2）评标委员会未发现或者未知晓供应商存在属于国家相关法律法规规定的禁止参加投标或投标无效的供应商。</w:t>
            </w:r>
          </w:p>
          <w:p>
            <w:pPr>
              <w:tabs>
                <w:tab w:val="left" w:pos="851"/>
              </w:tabs>
              <w:spacing w:line="360" w:lineRule="auto"/>
              <w:rPr>
                <w:rFonts w:ascii="宋体" w:hAnsi="宋体"/>
                <w:color w:val="auto"/>
                <w:sz w:val="24"/>
                <w:szCs w:val="28"/>
              </w:rPr>
            </w:pPr>
            <w:r>
              <w:rPr>
                <w:rFonts w:hint="eastAsia" w:ascii="宋体" w:hAnsi="宋体"/>
                <w:color w:val="auto"/>
                <w:sz w:val="24"/>
                <w:szCs w:val="28"/>
              </w:rPr>
              <w:t>【说明：无须提供证明材料，上传空白页即可，不对本项上传的材料作符合性审查】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eastAsia="zh-CN"/>
              </w:rPr>
            </w:pPr>
            <w:r>
              <w:rPr>
                <w:rFonts w:hint="eastAsia" w:ascii="宋体" w:hAnsi="宋体"/>
                <w:color w:val="auto"/>
                <w:sz w:val="24"/>
                <w:szCs w:val="28"/>
                <w:lang w:val="en-US" w:eastAsia="zh-CN"/>
              </w:rPr>
              <w:t>6</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法定代表人身份证复印件或护照复印件</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eastAsia="zh-CN"/>
              </w:rPr>
            </w:pPr>
            <w:r>
              <w:rPr>
                <w:rFonts w:hint="eastAsia" w:ascii="宋体" w:hAnsi="宋体"/>
                <w:color w:val="auto"/>
                <w:sz w:val="24"/>
                <w:szCs w:val="28"/>
                <w:lang w:val="en-US" w:eastAsia="zh-CN"/>
              </w:rPr>
              <w:t>7</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除资格性审查要求的证明材料外，招标文件要求提供的其他证明材料</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cs="仿宋_GB2312" w:asciiTheme="minorEastAsia" w:hAnsiTheme="minorEastAsia" w:eastAsiaTheme="minorEastAsia"/>
                <w:color w:val="auto"/>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val="en-US" w:eastAsia="zh-CN"/>
              </w:rPr>
            </w:pPr>
            <w:r>
              <w:rPr>
                <w:rFonts w:hint="eastAsia" w:ascii="宋体" w:hAnsi="宋体"/>
                <w:color w:val="auto"/>
                <w:sz w:val="24"/>
                <w:szCs w:val="28"/>
                <w:lang w:val="en-US" w:eastAsia="zh-CN"/>
              </w:rPr>
              <w:t>8</w:t>
            </w:r>
            <w:bookmarkStart w:id="685" w:name="_GoBack"/>
            <w:bookmarkEnd w:id="685"/>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color w:val="auto"/>
                <w:kern w:val="2"/>
                <w:sz w:val="24"/>
                <w:szCs w:val="28"/>
                <w:lang w:val="en-US" w:eastAsia="zh-CN" w:bidi="ar-SA"/>
              </w:rPr>
            </w:pPr>
            <w:r>
              <w:rPr>
                <w:rFonts w:hint="eastAsia" w:ascii="宋体" w:hAnsi="宋体"/>
                <w:color w:val="auto"/>
                <w:sz w:val="24"/>
                <w:szCs w:val="28"/>
              </w:rPr>
              <w:t>投标报价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color w:val="auto"/>
                <w:kern w:val="2"/>
                <w:sz w:val="24"/>
                <w:szCs w:val="28"/>
                <w:lang w:val="en-US" w:eastAsia="zh-CN" w:bidi="ar-SA"/>
              </w:rPr>
            </w:pPr>
            <w:r>
              <w:rPr>
                <w:rFonts w:hint="eastAsia" w:ascii="宋体" w:hAnsi="宋体"/>
                <w:color w:val="auto"/>
                <w:sz w:val="24"/>
                <w:szCs w:val="28"/>
              </w:rPr>
              <w:t>开标记录、投标文件【注：（1）投标报价唯一（说明：投标报价出现下列情况的，按以下原则处理，并以修正后的价格作为供应商的投标报价：①投标文件中的大写金额和小写金额不一致的，以大写金额为准，但大写金额出现文字错误，导致金额无法判断的除外；</w:t>
            </w:r>
            <w:r>
              <w:rPr>
                <w:rFonts w:hint="eastAsia" w:ascii="宋体" w:hAnsi="宋体" w:cs="宋体"/>
                <w:color w:val="auto"/>
                <w:sz w:val="24"/>
                <w:szCs w:val="28"/>
              </w:rPr>
              <w:t>②</w:t>
            </w:r>
            <w:r>
              <w:rPr>
                <w:rFonts w:hint="eastAsia" w:ascii="宋体" w:hAnsi="宋体"/>
                <w:color w:val="auto"/>
                <w:sz w:val="24"/>
                <w:szCs w:val="28"/>
              </w:rPr>
              <w:t>单价金额小数点或者百分比有明显错位的，以总价为准，并修改单价；</w:t>
            </w:r>
            <w:r>
              <w:rPr>
                <w:rFonts w:hint="eastAsia" w:ascii="宋体" w:hAnsi="宋体" w:cs="宋体"/>
                <w:color w:val="auto"/>
                <w:sz w:val="24"/>
                <w:szCs w:val="28"/>
              </w:rPr>
              <w:t>③</w:t>
            </w:r>
            <w:r>
              <w:rPr>
                <w:rFonts w:hint="eastAsia" w:ascii="宋体" w:hAnsi="宋体"/>
                <w:color w:val="auto"/>
                <w:sz w:val="24"/>
                <w:szCs w:val="28"/>
              </w:rPr>
              <w:t>总价金额与按单价汇总金额不一致的，以单价金额计算结果为准；同时出现两种以上不一致的，按照前款规定的顺序修正。修正后的投标报价经供应商以书面形式通过政府采购云平台进行确认，并加盖供应商（法定名称）电子签章，供应商逾时确认的，其投标无效。（2）未超过招标文件规定的最高限价；（3）投标报价应包含本次招标要求的所有货物及服务的费用；（4）在评标过程中，评标委员会认为供应商投标报价明显低于其他通过符合性审查供应商的投标报价，有可能影响产品质量或者不能诚信履约的，评标委员会应当要求其在合理的时间内提供书面说明，必要时提交相关证明材料。（说明：①书面说明、相关证明材料（如涉及）加盖供应商（法定名称）章（电子签章），在评标委员会要求的时间内通过政府采购云平台进行递交；②供应商提供了书面说明、相关证明材料（如涉及），且能证明其投标报价合理性）。（</w:t>
            </w:r>
            <w:r>
              <w:rPr>
                <w:rFonts w:ascii="宋体" w:hAnsi="宋体"/>
                <w:color w:val="auto"/>
                <w:sz w:val="24"/>
                <w:szCs w:val="28"/>
              </w:rPr>
              <w:t>5）如因断电、断网、系统故障或其他不可抗力等因素，导致系统无法使用的，由</w:t>
            </w:r>
            <w:r>
              <w:rPr>
                <w:rFonts w:hint="eastAsia" w:ascii="宋体" w:hAnsi="宋体"/>
                <w:color w:val="auto"/>
                <w:sz w:val="24"/>
                <w:szCs w:val="28"/>
              </w:rPr>
              <w:t>供应商</w:t>
            </w:r>
            <w:r>
              <w:rPr>
                <w:rFonts w:ascii="宋体" w:hAnsi="宋体"/>
                <w:color w:val="auto"/>
                <w:sz w:val="24"/>
                <w:szCs w:val="28"/>
              </w:rPr>
              <w:t>按评标委员会的要求进行澄清或者说明</w:t>
            </w:r>
            <w:r>
              <w:rPr>
                <w:rFonts w:hint="eastAsia" w:ascii="宋体" w:hAnsi="宋体"/>
                <w:color w:val="auto"/>
                <w:sz w:val="24"/>
                <w:szCs w:val="28"/>
              </w:rPr>
              <w:t>。（6）无须提供证明材料，上传空白页即可，不对本项上传的材料作符合性审查。】</w:t>
            </w:r>
          </w:p>
        </w:tc>
      </w:tr>
    </w:tbl>
    <w:p>
      <w:pPr>
        <w:tabs>
          <w:tab w:val="left" w:pos="851"/>
        </w:tabs>
        <w:spacing w:line="560" w:lineRule="exact"/>
        <w:ind w:firstLine="560" w:firstLineChars="200"/>
        <w:rPr>
          <w:rFonts w:ascii="宋体" w:hAnsi="宋体"/>
          <w:color w:val="auto"/>
          <w:sz w:val="28"/>
          <w:szCs w:val="28"/>
        </w:rPr>
      </w:pPr>
      <w:r>
        <w:rPr>
          <w:rFonts w:hint="eastAsia" w:ascii="宋体" w:hAnsi="宋体"/>
          <w:color w:val="auto"/>
          <w:sz w:val="28"/>
          <w:szCs w:val="28"/>
        </w:rPr>
        <w:t>一、以上每一项结论均为“通过”的，则供应商的投标文件通过符合性审查；如有任意一项结论为“不通过”的，则供应商的投标文件按无效投标文件处理。如果评标委员会认为供应商有任意一项不通过的，应在符合性审查报告中载明不通过的具体原因。</w:t>
      </w:r>
    </w:p>
    <w:p>
      <w:pPr>
        <w:tabs>
          <w:tab w:val="left" w:pos="851"/>
        </w:tabs>
        <w:spacing w:line="560" w:lineRule="exact"/>
        <w:ind w:firstLine="565" w:firstLineChars="202"/>
        <w:rPr>
          <w:rFonts w:ascii="宋体" w:hAnsi="宋体"/>
          <w:color w:val="auto"/>
          <w:sz w:val="28"/>
          <w:szCs w:val="28"/>
        </w:rPr>
      </w:pPr>
      <w:r>
        <w:rPr>
          <w:rFonts w:hint="eastAsia" w:ascii="宋体" w:hAnsi="宋体"/>
          <w:color w:val="auto"/>
          <w:sz w:val="28"/>
          <w:szCs w:val="28"/>
        </w:rPr>
        <w:t>二、供应商的投标文件符合性审查时被判定为无效投标文件的，区公资交易中心将通知供应商（以短信、现场公示、电话、“政府采购云平台”等任一方式）。供应商如对评审结论有异议的，应及时向区公资交易中心反馈意见。区公资交易中心在评审结束前将收到的反馈意见及时告知评标委员会。（说明：无论供应商是否收到通知或提供反馈意见，均不影响评标委员会的评标工作，且区公资交易中心对此将不承担任何的责任。供应商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auto"/>
          <w:sz w:val="28"/>
          <w:szCs w:val="28"/>
        </w:rPr>
      </w:pPr>
      <w:r>
        <w:rPr>
          <w:rFonts w:hint="eastAsia" w:ascii="宋体" w:hAnsi="宋体"/>
          <w:color w:val="auto"/>
          <w:sz w:val="28"/>
          <w:szCs w:val="28"/>
        </w:rPr>
        <w:t>三、各包件通过符合性审查的供应商＜3名，对应包件采购失败。</w:t>
      </w:r>
    </w:p>
    <w:p>
      <w:pPr>
        <w:pStyle w:val="6"/>
        <w:numPr>
          <w:ilvl w:val="2"/>
          <w:numId w:val="3"/>
        </w:numPr>
        <w:spacing w:after="200" w:line="560" w:lineRule="exact"/>
        <w:ind w:left="0" w:firstLine="0"/>
        <w:rPr>
          <w:color w:val="auto"/>
        </w:rPr>
      </w:pPr>
      <w:r>
        <w:rPr>
          <w:rFonts w:hint="eastAsia"/>
          <w:color w:val="auto"/>
        </w:rPr>
        <w:t>解释、澄清有关问题</w:t>
      </w:r>
    </w:p>
    <w:p>
      <w:pPr>
        <w:numPr>
          <w:ilvl w:val="0"/>
          <w:numId w:val="35"/>
        </w:numPr>
        <w:tabs>
          <w:tab w:val="left" w:pos="1134"/>
        </w:tabs>
        <w:spacing w:after="200" w:line="560" w:lineRule="exact"/>
        <w:ind w:left="0" w:firstLine="525"/>
        <w:rPr>
          <w:rFonts w:ascii="宋体" w:hAnsi="宋体"/>
          <w:color w:val="auto"/>
          <w:sz w:val="28"/>
          <w:szCs w:val="28"/>
        </w:rPr>
      </w:pPr>
      <w:r>
        <w:rPr>
          <w:rFonts w:hint="eastAsia" w:ascii="宋体" w:hAnsi="宋体"/>
          <w:color w:val="auto"/>
          <w:sz w:val="28"/>
          <w:szCs w:val="28"/>
        </w:rPr>
        <w:t>评标过程中，评标委员会认为招标文件有关事项表述不明确或需要说明的，可以提请区公资交易中心书面解释。区公资交易中心的解释不得改变招标文件的原义或者影响公平、公正，解释事项如果涉及供应商权益的以有利于供应商的原则进行解释。</w:t>
      </w:r>
    </w:p>
    <w:p>
      <w:pPr>
        <w:numPr>
          <w:ilvl w:val="0"/>
          <w:numId w:val="35"/>
        </w:numPr>
        <w:tabs>
          <w:tab w:val="left" w:pos="1134"/>
        </w:tabs>
        <w:spacing w:after="200" w:line="560" w:lineRule="exact"/>
        <w:ind w:left="0" w:firstLine="525"/>
        <w:rPr>
          <w:rFonts w:ascii="宋体" w:hAnsi="宋体"/>
          <w:color w:val="auto"/>
          <w:sz w:val="28"/>
          <w:szCs w:val="28"/>
        </w:rPr>
      </w:pPr>
      <w:r>
        <w:rPr>
          <w:rFonts w:hint="eastAsia" w:ascii="宋体" w:hAnsi="宋体"/>
          <w:color w:val="auto"/>
          <w:sz w:val="28"/>
          <w:szCs w:val="28"/>
        </w:rPr>
        <w:t>对投标文件中含义不明确、同类问题表述不一致或者有明显文字和计算错误的内容，评标委员会应当要求供应商作出必要的澄清、说明或补正，并给予供应商必要的反馈时间。供应商应当按评标委员会的要求进行澄清、说明或者补正。供应商的澄清、说明或者补正不得超出投标文件的范围或者改变投标文件的实质性内容。澄清不影响投标文件的效力，有效的澄清材料，是投标文件的组成部分。</w:t>
      </w:r>
    </w:p>
    <w:p>
      <w:pPr>
        <w:numPr>
          <w:ilvl w:val="0"/>
          <w:numId w:val="35"/>
        </w:numPr>
        <w:tabs>
          <w:tab w:val="left" w:pos="1134"/>
        </w:tabs>
        <w:spacing w:after="200" w:line="560" w:lineRule="exact"/>
        <w:ind w:left="0" w:firstLine="525"/>
        <w:rPr>
          <w:rFonts w:ascii="宋体" w:hAnsi="宋体"/>
          <w:color w:val="auto"/>
          <w:sz w:val="28"/>
          <w:szCs w:val="28"/>
        </w:rPr>
      </w:pPr>
      <w:r>
        <w:rPr>
          <w:rFonts w:hint="eastAsia" w:ascii="宋体" w:hAnsi="宋体"/>
          <w:color w:val="auto"/>
          <w:sz w:val="28"/>
          <w:szCs w:val="28"/>
        </w:rPr>
        <w:t>澄清应当不超出投标文件的范围、不实质性改变投标文件的内容、不影响供应商的公平竞争、不导致投标文件从不响应招标文件变为响应招标文件的条件。下列内容不得澄清：</w:t>
      </w:r>
    </w:p>
    <w:p>
      <w:pPr>
        <w:pStyle w:val="157"/>
        <w:numPr>
          <w:ilvl w:val="0"/>
          <w:numId w:val="36"/>
        </w:numPr>
        <w:tabs>
          <w:tab w:val="left" w:pos="1260"/>
        </w:tabs>
        <w:spacing w:after="200" w:line="560" w:lineRule="exact"/>
        <w:ind w:left="0" w:firstLine="525" w:firstLineChars="0"/>
        <w:rPr>
          <w:rFonts w:ascii="宋体" w:hAnsi="宋体"/>
          <w:color w:val="auto"/>
          <w:sz w:val="28"/>
          <w:szCs w:val="28"/>
        </w:rPr>
      </w:pPr>
      <w:r>
        <w:rPr>
          <w:rFonts w:hint="eastAsia" w:ascii="宋体" w:hAnsi="宋体"/>
          <w:color w:val="auto"/>
          <w:sz w:val="28"/>
          <w:szCs w:val="28"/>
        </w:rPr>
        <w:t>供应商投标文件中不响应招标文件规定的技术参数指标和商务应答；</w:t>
      </w:r>
    </w:p>
    <w:p>
      <w:pPr>
        <w:pStyle w:val="157"/>
        <w:numPr>
          <w:ilvl w:val="0"/>
          <w:numId w:val="36"/>
        </w:numPr>
        <w:tabs>
          <w:tab w:val="left" w:pos="1260"/>
        </w:tabs>
        <w:spacing w:after="200" w:line="560" w:lineRule="exact"/>
        <w:ind w:left="0" w:firstLine="525" w:firstLineChars="0"/>
        <w:rPr>
          <w:rFonts w:ascii="宋体" w:hAnsi="宋体"/>
          <w:color w:val="auto"/>
          <w:sz w:val="28"/>
          <w:szCs w:val="28"/>
        </w:rPr>
      </w:pPr>
      <w:r>
        <w:rPr>
          <w:rFonts w:hint="eastAsia" w:ascii="宋体" w:hAnsi="宋体"/>
          <w:color w:val="auto"/>
          <w:sz w:val="28"/>
          <w:szCs w:val="28"/>
        </w:rPr>
        <w:t>供应商投标文件中未提供的证明其是否符合招标文件资格性、符合性规定要求的相关材料。</w:t>
      </w:r>
    </w:p>
    <w:p>
      <w:pPr>
        <w:pStyle w:val="157"/>
        <w:numPr>
          <w:ilvl w:val="0"/>
          <w:numId w:val="36"/>
        </w:numPr>
        <w:tabs>
          <w:tab w:val="left" w:pos="1260"/>
        </w:tabs>
        <w:spacing w:after="200" w:line="560" w:lineRule="exact"/>
        <w:ind w:left="0" w:firstLine="525" w:firstLineChars="0"/>
        <w:rPr>
          <w:rFonts w:ascii="宋体" w:hAnsi="宋体"/>
          <w:color w:val="auto"/>
          <w:sz w:val="28"/>
          <w:szCs w:val="28"/>
        </w:rPr>
      </w:pPr>
      <w:r>
        <w:rPr>
          <w:rFonts w:hint="eastAsia" w:ascii="宋体" w:hAnsi="宋体"/>
          <w:color w:val="auto"/>
          <w:sz w:val="28"/>
          <w:szCs w:val="28"/>
        </w:rPr>
        <w:t>供应商投标文件中的材料因印刷、影印等不清晰而难以辨认的。</w:t>
      </w:r>
    </w:p>
    <w:p>
      <w:pPr>
        <w:numPr>
          <w:ilvl w:val="0"/>
          <w:numId w:val="35"/>
        </w:numPr>
        <w:tabs>
          <w:tab w:val="left" w:pos="1134"/>
        </w:tabs>
        <w:spacing w:after="200" w:line="560" w:lineRule="exact"/>
        <w:ind w:left="0" w:firstLine="525"/>
        <w:rPr>
          <w:rFonts w:ascii="宋体" w:hAnsi="宋体"/>
          <w:color w:val="auto"/>
          <w:sz w:val="28"/>
          <w:szCs w:val="28"/>
        </w:rPr>
      </w:pPr>
      <w:r>
        <w:rPr>
          <w:rFonts w:hint="eastAsia" w:ascii="宋体" w:hAnsi="宋体"/>
          <w:color w:val="auto"/>
          <w:sz w:val="28"/>
          <w:szCs w:val="28"/>
        </w:rPr>
        <w:t>投标文件报价出现下列情况的，不需要供应商澄清，按以下原则处理：</w:t>
      </w:r>
    </w:p>
    <w:p>
      <w:pPr>
        <w:pStyle w:val="157"/>
        <w:numPr>
          <w:ilvl w:val="0"/>
          <w:numId w:val="37"/>
        </w:numPr>
        <w:tabs>
          <w:tab w:val="left" w:pos="1050"/>
        </w:tabs>
        <w:spacing w:after="200" w:line="560" w:lineRule="exact"/>
        <w:ind w:left="0" w:firstLine="525" w:firstLineChars="0"/>
        <w:rPr>
          <w:rFonts w:ascii="宋体" w:hAnsi="宋体"/>
          <w:color w:val="auto"/>
          <w:sz w:val="28"/>
          <w:szCs w:val="28"/>
        </w:rPr>
      </w:pPr>
      <w:r>
        <w:rPr>
          <w:rFonts w:hint="eastAsia" w:ascii="宋体" w:hAnsi="宋体"/>
          <w:color w:val="auto"/>
          <w:sz w:val="28"/>
          <w:szCs w:val="28"/>
        </w:rPr>
        <w:t>大写金额和小写金额不一致的，以大写金额为准，但大写金额出现文字错误，导致金额无法判断的除外；</w:t>
      </w:r>
    </w:p>
    <w:p>
      <w:pPr>
        <w:pStyle w:val="157"/>
        <w:numPr>
          <w:ilvl w:val="0"/>
          <w:numId w:val="37"/>
        </w:numPr>
        <w:tabs>
          <w:tab w:val="left" w:pos="1050"/>
        </w:tabs>
        <w:spacing w:after="200" w:line="560" w:lineRule="exact"/>
        <w:ind w:left="0" w:firstLine="525" w:firstLineChars="0"/>
        <w:rPr>
          <w:rFonts w:ascii="宋体" w:hAnsi="宋体"/>
          <w:color w:val="auto"/>
          <w:sz w:val="28"/>
          <w:szCs w:val="28"/>
        </w:rPr>
      </w:pPr>
      <w:r>
        <w:rPr>
          <w:rFonts w:hint="eastAsia" w:ascii="宋体" w:hAnsi="宋体"/>
          <w:color w:val="auto"/>
          <w:sz w:val="28"/>
          <w:szCs w:val="28"/>
        </w:rPr>
        <w:t>单价金额小数点或者百分比有明显错位的，以总价为准，并修改单价；</w:t>
      </w:r>
    </w:p>
    <w:p>
      <w:pPr>
        <w:pStyle w:val="157"/>
        <w:numPr>
          <w:ilvl w:val="0"/>
          <w:numId w:val="37"/>
        </w:numPr>
        <w:tabs>
          <w:tab w:val="left" w:pos="1050"/>
        </w:tabs>
        <w:spacing w:after="200" w:line="560" w:lineRule="exact"/>
        <w:ind w:left="0" w:firstLine="525" w:firstLineChars="0"/>
        <w:rPr>
          <w:rFonts w:ascii="宋体" w:hAnsi="宋体"/>
          <w:color w:val="auto"/>
          <w:sz w:val="28"/>
          <w:szCs w:val="28"/>
        </w:rPr>
      </w:pPr>
      <w:r>
        <w:rPr>
          <w:rFonts w:hint="eastAsia" w:ascii="宋体" w:hAnsi="宋体"/>
          <w:color w:val="auto"/>
          <w:sz w:val="28"/>
          <w:szCs w:val="28"/>
        </w:rPr>
        <w:t>总价金额与按单价汇总金额不一致的，以单价金额计算结果为准。</w:t>
      </w:r>
    </w:p>
    <w:p>
      <w:pPr>
        <w:spacing w:line="560" w:lineRule="exact"/>
        <w:ind w:firstLine="560"/>
        <w:rPr>
          <w:color w:val="auto"/>
          <w:sz w:val="28"/>
          <w:szCs w:val="28"/>
        </w:rPr>
      </w:pPr>
      <w:r>
        <w:rPr>
          <w:rFonts w:hint="eastAsia"/>
          <w:color w:val="auto"/>
          <w:sz w:val="28"/>
          <w:szCs w:val="28"/>
        </w:rPr>
        <w:t>同时出现两种以上不一致的，按照前款规定的顺序修正。修正后的报价经供应商确认后产生约束力，供应商不确认的，其投标无效。</w:t>
      </w:r>
    </w:p>
    <w:p>
      <w:pPr>
        <w:spacing w:line="560" w:lineRule="exact"/>
        <w:ind w:firstLine="560" w:firstLineChars="200"/>
        <w:rPr>
          <w:color w:val="auto"/>
          <w:sz w:val="28"/>
          <w:szCs w:val="28"/>
        </w:rPr>
      </w:pPr>
      <w:r>
        <w:rPr>
          <w:rFonts w:hint="eastAsia"/>
          <w:color w:val="auto"/>
          <w:sz w:val="28"/>
          <w:szCs w:val="28"/>
        </w:rPr>
        <w:t>五、对不同语言文本投标文件的解释发生异议的，以中文文本为准。</w:t>
      </w:r>
    </w:p>
    <w:p>
      <w:pPr>
        <w:tabs>
          <w:tab w:val="left" w:pos="720"/>
        </w:tabs>
        <w:spacing w:line="560" w:lineRule="exact"/>
        <w:ind w:firstLine="560" w:firstLineChars="200"/>
        <w:rPr>
          <w:color w:val="auto"/>
          <w:sz w:val="28"/>
          <w:szCs w:val="28"/>
        </w:rPr>
      </w:pPr>
      <w:r>
        <w:rPr>
          <w:rFonts w:hint="eastAsia"/>
          <w:color w:val="auto"/>
          <w:sz w:val="28"/>
          <w:szCs w:val="28"/>
        </w:rPr>
        <w:t>六、评标结束之前，供应商应随时关注系统提示，及时通过“政府采购云平台”在线响应评标委员会发出的澄清、说明或补正要求，签章并确认提交成功。逾时回复将不能提交，视为供应商自行放弃，其损失由供应商承担。</w:t>
      </w:r>
    </w:p>
    <w:p>
      <w:pPr>
        <w:tabs>
          <w:tab w:val="left" w:pos="851"/>
        </w:tabs>
        <w:spacing w:line="560" w:lineRule="exact"/>
        <w:ind w:firstLine="551" w:firstLineChars="196"/>
        <w:rPr>
          <w:rFonts w:ascii="宋体" w:hAnsi="宋体"/>
          <w:b/>
          <w:color w:val="auto"/>
          <w:sz w:val="28"/>
          <w:szCs w:val="28"/>
        </w:rPr>
      </w:pPr>
      <w:r>
        <w:rPr>
          <w:rFonts w:hint="eastAsia" w:ascii="宋体" w:hAnsi="宋体"/>
          <w:b/>
          <w:color w:val="auto"/>
          <w:sz w:val="28"/>
          <w:szCs w:val="28"/>
        </w:rPr>
        <w:t>评标委员会应当积极履行澄清、说明或者更正的职责，不得滥用权力。</w:t>
      </w:r>
    </w:p>
    <w:p>
      <w:pPr>
        <w:pStyle w:val="6"/>
        <w:numPr>
          <w:ilvl w:val="2"/>
          <w:numId w:val="3"/>
        </w:numPr>
        <w:spacing w:after="200" w:line="560" w:lineRule="exact"/>
        <w:ind w:left="851"/>
        <w:rPr>
          <w:color w:val="auto"/>
        </w:rPr>
      </w:pPr>
      <w:bookmarkStart w:id="329" w:name="_Toc315871651"/>
      <w:bookmarkEnd w:id="329"/>
      <w:bookmarkStart w:id="330" w:name="_Toc315871650"/>
      <w:bookmarkEnd w:id="330"/>
      <w:bookmarkStart w:id="331" w:name="_Toc315871652"/>
      <w:bookmarkEnd w:id="331"/>
      <w:bookmarkStart w:id="332" w:name="_Toc315871649"/>
      <w:bookmarkEnd w:id="332"/>
      <w:bookmarkStart w:id="333" w:name="_Toc316292253"/>
      <w:bookmarkStart w:id="334" w:name="_Toc315871647"/>
      <w:bookmarkStart w:id="335" w:name="_Toc315871653"/>
      <w:bookmarkStart w:id="336" w:name="_Toc316292255"/>
      <w:r>
        <w:rPr>
          <w:rFonts w:hint="eastAsia"/>
          <w:color w:val="auto"/>
        </w:rPr>
        <w:t>比较与评价</w:t>
      </w:r>
      <w:bookmarkEnd w:id="333"/>
      <w:bookmarkEnd w:id="334"/>
    </w:p>
    <w:p>
      <w:pPr>
        <w:tabs>
          <w:tab w:val="left" w:pos="851"/>
        </w:tabs>
        <w:spacing w:line="560" w:lineRule="exact"/>
        <w:ind w:firstLine="565" w:firstLineChars="202"/>
        <w:rPr>
          <w:rFonts w:ascii="宋体" w:hAnsi="宋体"/>
          <w:color w:val="auto"/>
          <w:sz w:val="28"/>
          <w:szCs w:val="28"/>
        </w:rPr>
      </w:pPr>
      <w:r>
        <w:rPr>
          <w:rFonts w:hint="eastAsia" w:ascii="宋体" w:hAnsi="宋体"/>
          <w:color w:val="auto"/>
          <w:sz w:val="28"/>
          <w:szCs w:val="28"/>
        </w:rPr>
        <w:t>按招标文件中规定的评标细则及标准，对符合性检查合格的投标文件进行商务和服务评估，综合比较与评价。</w:t>
      </w:r>
    </w:p>
    <w:p>
      <w:pPr>
        <w:pStyle w:val="6"/>
        <w:numPr>
          <w:ilvl w:val="2"/>
          <w:numId w:val="3"/>
        </w:numPr>
        <w:spacing w:after="200" w:line="560" w:lineRule="exact"/>
        <w:ind w:left="0" w:firstLine="0"/>
        <w:rPr>
          <w:color w:val="auto"/>
        </w:rPr>
      </w:pPr>
      <w:r>
        <w:rPr>
          <w:rFonts w:hint="eastAsia"/>
          <w:color w:val="auto"/>
        </w:rPr>
        <w:t>复核</w:t>
      </w:r>
    </w:p>
    <w:p>
      <w:pPr>
        <w:tabs>
          <w:tab w:val="left" w:pos="851"/>
        </w:tabs>
        <w:spacing w:line="560" w:lineRule="exact"/>
        <w:ind w:firstLine="565" w:firstLineChars="202"/>
        <w:rPr>
          <w:rFonts w:ascii="宋体" w:hAnsi="宋体"/>
          <w:color w:val="auto"/>
          <w:sz w:val="28"/>
          <w:szCs w:val="28"/>
        </w:rPr>
      </w:pPr>
      <w:r>
        <w:rPr>
          <w:rFonts w:hint="eastAsia" w:ascii="宋体" w:hAnsi="宋体"/>
          <w:color w:val="auto"/>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auto"/>
          <w:sz w:val="28"/>
          <w:szCs w:val="28"/>
        </w:rPr>
      </w:pPr>
      <w:r>
        <w:rPr>
          <w:rFonts w:hint="eastAsia" w:ascii="宋体" w:hAnsi="宋体"/>
          <w:color w:val="auto"/>
          <w:sz w:val="28"/>
          <w:szCs w:val="28"/>
        </w:rPr>
        <w:t>评标结果汇总完成后，评标委员会拟出具评审报告前，</w:t>
      </w:r>
      <w:r>
        <w:rPr>
          <w:rFonts w:hint="eastAsia" w:cs="Arial"/>
          <w:color w:val="auto"/>
          <w:sz w:val="28"/>
          <w:szCs w:val="28"/>
        </w:rPr>
        <w:t>区公资交易中心</w:t>
      </w:r>
      <w:r>
        <w:rPr>
          <w:rFonts w:hint="eastAsia" w:ascii="宋体" w:hAnsi="宋体"/>
          <w:color w:val="auto"/>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auto"/>
          <w:sz w:val="28"/>
          <w:szCs w:val="28"/>
        </w:rPr>
      </w:pPr>
      <w:r>
        <w:rPr>
          <w:rFonts w:hint="eastAsia" w:ascii="宋体" w:hAnsi="宋体"/>
          <w:color w:val="auto"/>
          <w:sz w:val="28"/>
          <w:szCs w:val="28"/>
        </w:rPr>
        <w:t>评标结果汇总完成后，除下列情形外，任何人不得修改评标结果：</w:t>
      </w:r>
    </w:p>
    <w:p>
      <w:pPr>
        <w:pStyle w:val="85"/>
        <w:numPr>
          <w:ilvl w:val="0"/>
          <w:numId w:val="38"/>
        </w:numPr>
        <w:tabs>
          <w:tab w:val="left" w:pos="851"/>
          <w:tab w:val="left" w:pos="1276"/>
        </w:tabs>
        <w:spacing w:after="200" w:line="560" w:lineRule="exact"/>
        <w:ind w:left="0" w:firstLine="424" w:firstLineChars="0"/>
        <w:rPr>
          <w:rFonts w:ascii="宋体" w:hAnsi="宋体"/>
          <w:color w:val="auto"/>
          <w:sz w:val="28"/>
          <w:szCs w:val="28"/>
        </w:rPr>
      </w:pPr>
      <w:r>
        <w:rPr>
          <w:rFonts w:hint="eastAsia" w:ascii="宋体" w:hAnsi="宋体"/>
          <w:color w:val="auto"/>
          <w:sz w:val="28"/>
          <w:szCs w:val="28"/>
        </w:rPr>
        <w:t>分值汇总计算错误的；</w:t>
      </w:r>
    </w:p>
    <w:p>
      <w:pPr>
        <w:pStyle w:val="85"/>
        <w:numPr>
          <w:ilvl w:val="0"/>
          <w:numId w:val="38"/>
        </w:numPr>
        <w:tabs>
          <w:tab w:val="left" w:pos="851"/>
          <w:tab w:val="left" w:pos="1276"/>
        </w:tabs>
        <w:spacing w:after="200" w:line="560" w:lineRule="exact"/>
        <w:ind w:left="0" w:firstLine="424" w:firstLineChars="0"/>
        <w:rPr>
          <w:rFonts w:ascii="宋体" w:hAnsi="宋体"/>
          <w:color w:val="auto"/>
          <w:sz w:val="28"/>
          <w:szCs w:val="28"/>
        </w:rPr>
      </w:pPr>
      <w:r>
        <w:rPr>
          <w:rFonts w:hint="eastAsia" w:ascii="宋体" w:hAnsi="宋体"/>
          <w:color w:val="auto"/>
          <w:sz w:val="28"/>
          <w:szCs w:val="28"/>
        </w:rPr>
        <w:t>分项评分超出评分标准范围的；</w:t>
      </w:r>
    </w:p>
    <w:p>
      <w:pPr>
        <w:pStyle w:val="85"/>
        <w:numPr>
          <w:ilvl w:val="0"/>
          <w:numId w:val="38"/>
        </w:numPr>
        <w:tabs>
          <w:tab w:val="left" w:pos="851"/>
          <w:tab w:val="left" w:pos="1276"/>
          <w:tab w:val="left" w:pos="1418"/>
        </w:tabs>
        <w:spacing w:after="200" w:line="560" w:lineRule="exact"/>
        <w:ind w:left="0" w:firstLine="424" w:firstLineChars="0"/>
        <w:rPr>
          <w:rFonts w:ascii="宋体" w:hAnsi="宋体"/>
          <w:color w:val="auto"/>
          <w:sz w:val="28"/>
          <w:szCs w:val="28"/>
        </w:rPr>
      </w:pPr>
      <w:r>
        <w:rPr>
          <w:rFonts w:hint="eastAsia" w:ascii="宋体" w:hAnsi="宋体"/>
          <w:color w:val="auto"/>
          <w:sz w:val="28"/>
          <w:szCs w:val="28"/>
        </w:rPr>
        <w:t>评标委员会成员对客观评审因素评分不一致的；</w:t>
      </w:r>
    </w:p>
    <w:p>
      <w:pPr>
        <w:pStyle w:val="85"/>
        <w:numPr>
          <w:ilvl w:val="0"/>
          <w:numId w:val="38"/>
        </w:numPr>
        <w:tabs>
          <w:tab w:val="left" w:pos="851"/>
          <w:tab w:val="left" w:pos="1276"/>
        </w:tabs>
        <w:spacing w:after="200" w:line="560" w:lineRule="exact"/>
        <w:ind w:left="0" w:firstLine="426" w:firstLineChars="0"/>
        <w:rPr>
          <w:rFonts w:ascii="宋体" w:hAnsi="宋体"/>
          <w:color w:val="auto"/>
          <w:sz w:val="28"/>
          <w:szCs w:val="28"/>
        </w:rPr>
      </w:pPr>
      <w:r>
        <w:rPr>
          <w:rFonts w:hint="eastAsia" w:ascii="宋体" w:hAnsi="宋体"/>
          <w:color w:val="auto"/>
          <w:sz w:val="28"/>
          <w:szCs w:val="28"/>
        </w:rPr>
        <w:t>经评标委员会认定评分畸高、畸低的。</w:t>
      </w:r>
    </w:p>
    <w:p>
      <w:pPr>
        <w:tabs>
          <w:tab w:val="left" w:pos="851"/>
        </w:tabs>
        <w:spacing w:line="560" w:lineRule="exact"/>
        <w:ind w:firstLine="565" w:firstLineChars="202"/>
        <w:rPr>
          <w:rFonts w:ascii="宋体" w:hAnsi="宋体"/>
          <w:color w:val="auto"/>
          <w:sz w:val="28"/>
          <w:szCs w:val="28"/>
        </w:rPr>
      </w:pPr>
      <w:r>
        <w:rPr>
          <w:rFonts w:hint="eastAsia" w:ascii="宋体" w:hAnsi="宋体"/>
          <w:color w:val="auto"/>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pStyle w:val="6"/>
        <w:numPr>
          <w:ilvl w:val="2"/>
          <w:numId w:val="3"/>
        </w:numPr>
        <w:spacing w:after="200" w:line="560" w:lineRule="exact"/>
        <w:ind w:left="0" w:firstLine="0"/>
        <w:rPr>
          <w:color w:val="auto"/>
        </w:rPr>
      </w:pPr>
      <w:r>
        <w:rPr>
          <w:rFonts w:hint="eastAsia"/>
          <w:color w:val="auto"/>
        </w:rPr>
        <w:t>确定中标候选人名单</w:t>
      </w:r>
    </w:p>
    <w:p>
      <w:pPr>
        <w:spacing w:line="360" w:lineRule="auto"/>
        <w:ind w:firstLine="560" w:firstLineChars="200"/>
        <w:rPr>
          <w:rFonts w:ascii="宋体" w:hAnsi="宋体"/>
          <w:color w:val="auto"/>
          <w:sz w:val="28"/>
          <w:szCs w:val="28"/>
        </w:rPr>
      </w:pPr>
      <w:r>
        <w:rPr>
          <w:rFonts w:hint="eastAsia" w:ascii="宋体" w:hAnsi="宋体"/>
          <w:color w:val="auto"/>
          <w:sz w:val="28"/>
          <w:szCs w:val="28"/>
        </w:rPr>
        <w:t>各包件按供应商综合得分从高到低进行排序，各包件确定1至3名中标候选人。综合得分相同的，按投标报价由低到高顺序排列；得分且投标报价相同的并列，</w:t>
      </w:r>
      <w:r>
        <w:rPr>
          <w:rFonts w:hint="eastAsia" w:ascii="宋体" w:hAnsi="宋体" w:cs="Helvetica"/>
          <w:color w:val="auto"/>
          <w:kern w:val="0"/>
          <w:sz w:val="28"/>
          <w:szCs w:val="28"/>
        </w:rPr>
        <w:t>投标文件满足招标文件全部实质性要求且按照评审因素的量化指标评审得分最高的供应商为排名第一的中标候选人；报价相同且满足招标文件全部实质性要求且按照评审因素的量化指标评审得分也相同的排名并列第一的中标候选人，应当由采购人采取抽签的方式选择中标人。</w:t>
      </w:r>
    </w:p>
    <w:p>
      <w:pPr>
        <w:pStyle w:val="6"/>
        <w:numPr>
          <w:ilvl w:val="2"/>
          <w:numId w:val="3"/>
        </w:numPr>
        <w:spacing w:after="200" w:line="560" w:lineRule="exact"/>
        <w:ind w:left="0" w:firstLine="0"/>
        <w:rPr>
          <w:color w:val="auto"/>
        </w:rPr>
      </w:pPr>
      <w:r>
        <w:rPr>
          <w:rFonts w:hint="eastAsia"/>
          <w:color w:val="auto"/>
        </w:rPr>
        <w:t>编写评标报告</w:t>
      </w:r>
      <w:bookmarkEnd w:id="335"/>
      <w:bookmarkEnd w:id="336"/>
    </w:p>
    <w:p>
      <w:pPr>
        <w:spacing w:line="560" w:lineRule="exact"/>
        <w:ind w:firstLine="560" w:firstLineChars="200"/>
        <w:rPr>
          <w:rFonts w:ascii="宋体" w:hAnsi="宋体"/>
          <w:color w:val="auto"/>
          <w:sz w:val="28"/>
          <w:szCs w:val="28"/>
        </w:rPr>
      </w:pPr>
      <w:r>
        <w:rPr>
          <w:rFonts w:hint="eastAsia" w:ascii="宋体" w:hAnsi="宋体"/>
          <w:color w:val="auto"/>
          <w:sz w:val="28"/>
          <w:szCs w:val="28"/>
        </w:rPr>
        <w:t>评标报告是评标委员会根据全体评标成员签字的原始评标记录和评标结果编写的报告，其主要内容包括：</w:t>
      </w:r>
    </w:p>
    <w:p>
      <w:pPr>
        <w:numPr>
          <w:ilvl w:val="0"/>
          <w:numId w:val="39"/>
        </w:numPr>
        <w:tabs>
          <w:tab w:val="left" w:pos="1155"/>
        </w:tabs>
        <w:spacing w:after="200" w:line="560" w:lineRule="exact"/>
        <w:ind w:left="0" w:firstLine="525"/>
        <w:rPr>
          <w:rFonts w:ascii="宋体" w:hAnsi="宋体"/>
          <w:color w:val="auto"/>
          <w:sz w:val="28"/>
          <w:szCs w:val="28"/>
        </w:rPr>
      </w:pPr>
      <w:r>
        <w:rPr>
          <w:rFonts w:hint="eastAsia" w:ascii="宋体" w:hAnsi="宋体"/>
          <w:color w:val="auto"/>
          <w:sz w:val="28"/>
          <w:szCs w:val="28"/>
        </w:rPr>
        <w:t>招标公告刊登的媒体名称、开标日期和地点；</w:t>
      </w:r>
    </w:p>
    <w:p>
      <w:pPr>
        <w:numPr>
          <w:ilvl w:val="0"/>
          <w:numId w:val="39"/>
        </w:numPr>
        <w:tabs>
          <w:tab w:val="left" w:pos="1155"/>
        </w:tabs>
        <w:spacing w:after="200" w:line="560" w:lineRule="exact"/>
        <w:ind w:left="0" w:firstLine="525"/>
        <w:rPr>
          <w:rFonts w:ascii="宋体" w:hAnsi="宋体"/>
          <w:color w:val="auto"/>
          <w:sz w:val="28"/>
          <w:szCs w:val="28"/>
        </w:rPr>
      </w:pPr>
      <w:r>
        <w:rPr>
          <w:rFonts w:hint="eastAsia" w:ascii="宋体" w:hAnsi="宋体"/>
          <w:color w:val="auto"/>
          <w:sz w:val="28"/>
          <w:szCs w:val="28"/>
        </w:rPr>
        <w:t>供应商名单和评标委员会成员名单；</w:t>
      </w:r>
    </w:p>
    <w:p>
      <w:pPr>
        <w:numPr>
          <w:ilvl w:val="0"/>
          <w:numId w:val="39"/>
        </w:numPr>
        <w:tabs>
          <w:tab w:val="left" w:pos="1155"/>
        </w:tabs>
        <w:spacing w:after="200" w:line="560" w:lineRule="exact"/>
        <w:ind w:left="0" w:firstLine="525"/>
        <w:rPr>
          <w:rFonts w:ascii="宋体" w:hAnsi="宋体"/>
          <w:color w:val="auto"/>
          <w:sz w:val="28"/>
          <w:szCs w:val="28"/>
        </w:rPr>
      </w:pPr>
      <w:r>
        <w:rPr>
          <w:rFonts w:hint="eastAsia" w:ascii="宋体" w:hAnsi="宋体"/>
          <w:color w:val="auto"/>
          <w:sz w:val="28"/>
          <w:szCs w:val="28"/>
        </w:rPr>
        <w:t>评标方法和标准；</w:t>
      </w:r>
    </w:p>
    <w:p>
      <w:pPr>
        <w:numPr>
          <w:ilvl w:val="0"/>
          <w:numId w:val="39"/>
        </w:numPr>
        <w:tabs>
          <w:tab w:val="left" w:pos="1155"/>
        </w:tabs>
        <w:spacing w:after="200" w:line="560" w:lineRule="exact"/>
        <w:ind w:left="0" w:firstLine="525"/>
        <w:rPr>
          <w:rFonts w:ascii="宋体" w:hAnsi="宋体"/>
          <w:color w:val="auto"/>
          <w:sz w:val="28"/>
          <w:szCs w:val="28"/>
        </w:rPr>
      </w:pPr>
      <w:r>
        <w:rPr>
          <w:rFonts w:hint="eastAsia" w:ascii="宋体" w:hAnsi="宋体"/>
          <w:color w:val="auto"/>
          <w:sz w:val="28"/>
          <w:szCs w:val="28"/>
        </w:rPr>
        <w:t>开标记录和评标情况及说明，包括投标无效供应商名单及原因；</w:t>
      </w:r>
    </w:p>
    <w:p>
      <w:pPr>
        <w:numPr>
          <w:ilvl w:val="0"/>
          <w:numId w:val="39"/>
        </w:numPr>
        <w:tabs>
          <w:tab w:val="left" w:pos="1155"/>
        </w:tabs>
        <w:spacing w:after="200" w:line="560" w:lineRule="exact"/>
        <w:ind w:left="0" w:firstLine="525"/>
        <w:rPr>
          <w:rFonts w:ascii="宋体" w:hAnsi="宋体"/>
          <w:color w:val="auto"/>
          <w:sz w:val="28"/>
          <w:szCs w:val="28"/>
        </w:rPr>
      </w:pPr>
      <w:r>
        <w:rPr>
          <w:rFonts w:hint="eastAsia" w:ascii="宋体" w:hAnsi="宋体"/>
          <w:color w:val="auto"/>
          <w:sz w:val="28"/>
          <w:szCs w:val="28"/>
        </w:rPr>
        <w:t>评标结果，确定的中标候选人名单或者经采购人委托直接确定的中标人；</w:t>
      </w:r>
    </w:p>
    <w:p>
      <w:pPr>
        <w:numPr>
          <w:ilvl w:val="0"/>
          <w:numId w:val="39"/>
        </w:numPr>
        <w:tabs>
          <w:tab w:val="left" w:pos="1155"/>
        </w:tabs>
        <w:spacing w:after="200" w:line="560" w:lineRule="exact"/>
        <w:ind w:left="0" w:firstLine="525"/>
        <w:rPr>
          <w:rFonts w:ascii="宋体" w:hAnsi="宋体"/>
          <w:color w:val="auto"/>
          <w:sz w:val="28"/>
          <w:szCs w:val="28"/>
        </w:rPr>
      </w:pPr>
      <w:r>
        <w:rPr>
          <w:rFonts w:hint="eastAsia" w:ascii="宋体" w:hAnsi="宋体"/>
          <w:color w:val="auto"/>
          <w:sz w:val="28"/>
          <w:szCs w:val="28"/>
        </w:rPr>
        <w:t xml:space="preserve">其他需要说明的情况，包括评标过程中供应商根据评标委员会要求进行的澄清、说明或者补正，评标委员会成员的更换等； </w:t>
      </w:r>
    </w:p>
    <w:p>
      <w:pPr>
        <w:numPr>
          <w:ilvl w:val="0"/>
          <w:numId w:val="39"/>
        </w:numPr>
        <w:tabs>
          <w:tab w:val="left" w:pos="1155"/>
        </w:tabs>
        <w:spacing w:after="200" w:line="560" w:lineRule="exact"/>
        <w:ind w:left="0" w:firstLine="525"/>
        <w:rPr>
          <w:rFonts w:ascii="宋体" w:hAnsi="宋体"/>
          <w:color w:val="auto"/>
          <w:sz w:val="28"/>
          <w:szCs w:val="28"/>
        </w:rPr>
      </w:pPr>
      <w:r>
        <w:rPr>
          <w:rFonts w:hint="eastAsia" w:ascii="宋体" w:hAnsi="宋体"/>
          <w:color w:val="auto"/>
          <w:sz w:val="28"/>
          <w:szCs w:val="28"/>
        </w:rPr>
        <w:t>报价最高的供应商为中标候选人的，评标委员会应当对其报价的合理性予以特别说明。</w:t>
      </w:r>
    </w:p>
    <w:p>
      <w:pPr>
        <w:tabs>
          <w:tab w:val="left" w:pos="1155"/>
        </w:tabs>
        <w:spacing w:line="560" w:lineRule="exact"/>
        <w:ind w:firstLine="523" w:firstLineChars="187"/>
        <w:rPr>
          <w:rFonts w:ascii="宋体" w:hAnsi="宋体"/>
          <w:color w:val="auto"/>
          <w:sz w:val="28"/>
          <w:szCs w:val="28"/>
        </w:rPr>
      </w:pPr>
      <w:r>
        <w:rPr>
          <w:rFonts w:hint="eastAsia" w:ascii="宋体" w:hAnsi="宋体"/>
          <w:color w:val="auto"/>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5"/>
        <w:numPr>
          <w:ilvl w:val="1"/>
          <w:numId w:val="3"/>
        </w:numPr>
        <w:spacing w:line="560" w:lineRule="exact"/>
        <w:ind w:left="2269" w:hanging="2269"/>
        <w:rPr>
          <w:color w:val="auto"/>
        </w:rPr>
      </w:pPr>
      <w:bookmarkStart w:id="337" w:name="_Toc11482"/>
      <w:bookmarkStart w:id="338" w:name="_Toc30340"/>
      <w:bookmarkStart w:id="339" w:name="_Toc7609"/>
      <w:bookmarkStart w:id="340" w:name="_Toc479753445"/>
      <w:bookmarkStart w:id="341" w:name="_Toc27797"/>
      <w:bookmarkStart w:id="342" w:name="_Toc79654114"/>
      <w:bookmarkStart w:id="343" w:name="_Toc217446103"/>
      <w:bookmarkStart w:id="344" w:name="_Toc315871654"/>
      <w:bookmarkStart w:id="345" w:name="_Toc316292256"/>
      <w:r>
        <w:rPr>
          <w:rFonts w:hint="eastAsia"/>
          <w:color w:val="auto"/>
        </w:rPr>
        <w:t>评标争议处理规则</w:t>
      </w:r>
      <w:bookmarkEnd w:id="337"/>
      <w:bookmarkEnd w:id="338"/>
      <w:bookmarkEnd w:id="339"/>
      <w:bookmarkEnd w:id="340"/>
      <w:bookmarkEnd w:id="341"/>
      <w:bookmarkEnd w:id="342"/>
    </w:p>
    <w:p>
      <w:pPr>
        <w:tabs>
          <w:tab w:val="left" w:pos="1155"/>
        </w:tabs>
        <w:spacing w:line="560" w:lineRule="exact"/>
        <w:ind w:firstLine="523" w:firstLineChars="187"/>
        <w:rPr>
          <w:rFonts w:ascii="宋体" w:hAnsi="宋体"/>
          <w:color w:val="auto"/>
          <w:sz w:val="28"/>
          <w:szCs w:val="28"/>
        </w:rPr>
      </w:pPr>
      <w:r>
        <w:rPr>
          <w:rFonts w:hint="eastAsia" w:ascii="宋体" w:hAnsi="宋体"/>
          <w:color w:val="auto"/>
          <w:sz w:val="28"/>
          <w:szCs w:val="28"/>
        </w:rPr>
        <w:t>评标委员会在评审过程中，对于符合性审查、对供应商文件做无效投标处理及其他需要共同认定的事项存在争议的，应当以少数服从多数的原则做出结论，但不得违背法律法规和招标文件规定。</w:t>
      </w:r>
      <w:r>
        <w:rPr>
          <w:rFonts w:hint="eastAsia" w:cs="Arial"/>
          <w:color w:val="auto"/>
          <w:sz w:val="28"/>
          <w:szCs w:val="28"/>
        </w:rPr>
        <w:t>持不同意见的评标委员会成员应当在评标报告上签署不同意见及理由，否则视为同意评标报告。</w:t>
      </w:r>
      <w:r>
        <w:rPr>
          <w:rFonts w:hint="eastAsia" w:ascii="宋体" w:hAnsi="宋体"/>
          <w:color w:val="auto"/>
          <w:sz w:val="28"/>
          <w:szCs w:val="28"/>
        </w:rPr>
        <w:t>持不同意见的评标委员会成员认为认定过程和结果不符合法律法规或者招标文件规定的，应当及时向采购人或</w:t>
      </w:r>
      <w:r>
        <w:rPr>
          <w:rFonts w:hint="eastAsia" w:cs="Arial"/>
          <w:color w:val="auto"/>
          <w:sz w:val="28"/>
          <w:szCs w:val="28"/>
        </w:rPr>
        <w:t>区公资交易中心</w:t>
      </w:r>
      <w:r>
        <w:rPr>
          <w:rFonts w:hint="eastAsia" w:ascii="宋体" w:hAnsi="宋体"/>
          <w:color w:val="auto"/>
          <w:sz w:val="28"/>
          <w:szCs w:val="28"/>
        </w:rPr>
        <w:t>书面反映。采购人或</w:t>
      </w:r>
      <w:r>
        <w:rPr>
          <w:rFonts w:hint="eastAsia" w:cs="Arial"/>
          <w:color w:val="auto"/>
          <w:sz w:val="28"/>
          <w:szCs w:val="28"/>
        </w:rPr>
        <w:t>区公资交易中心</w:t>
      </w:r>
      <w:r>
        <w:rPr>
          <w:rFonts w:hint="eastAsia" w:ascii="宋体" w:hAnsi="宋体"/>
          <w:color w:val="auto"/>
          <w:sz w:val="28"/>
          <w:szCs w:val="28"/>
        </w:rPr>
        <w:t>收到书面反映后，应当书面报告采购项目同级财政部门依法处理。</w:t>
      </w:r>
    </w:p>
    <w:p>
      <w:pPr>
        <w:pStyle w:val="5"/>
        <w:numPr>
          <w:ilvl w:val="1"/>
          <w:numId w:val="3"/>
        </w:numPr>
        <w:spacing w:before="0" w:after="0" w:line="560" w:lineRule="exact"/>
        <w:ind w:left="2269" w:hanging="2269"/>
        <w:rPr>
          <w:color w:val="auto"/>
        </w:rPr>
      </w:pPr>
      <w:bookmarkStart w:id="346" w:name="_Toc23552"/>
      <w:bookmarkStart w:id="347" w:name="_Toc18642"/>
      <w:bookmarkStart w:id="348" w:name="_Toc25222"/>
      <w:bookmarkStart w:id="349" w:name="_Toc6600"/>
      <w:bookmarkStart w:id="350" w:name="_Toc79654115"/>
      <w:r>
        <w:rPr>
          <w:rFonts w:hint="eastAsia"/>
          <w:color w:val="auto"/>
        </w:rPr>
        <w:t>评标细则及标准</w:t>
      </w:r>
      <w:bookmarkEnd w:id="343"/>
      <w:bookmarkEnd w:id="344"/>
      <w:bookmarkEnd w:id="345"/>
      <w:bookmarkEnd w:id="346"/>
      <w:bookmarkEnd w:id="347"/>
      <w:bookmarkEnd w:id="348"/>
      <w:bookmarkEnd w:id="349"/>
      <w:bookmarkEnd w:id="350"/>
    </w:p>
    <w:p>
      <w:pPr>
        <w:numPr>
          <w:ilvl w:val="0"/>
          <w:numId w:val="40"/>
        </w:numPr>
        <w:tabs>
          <w:tab w:val="left" w:pos="1155"/>
        </w:tabs>
        <w:spacing w:after="200" w:line="560" w:lineRule="exact"/>
        <w:ind w:left="0" w:firstLine="567"/>
        <w:rPr>
          <w:rFonts w:ascii="宋体" w:hAnsi="宋体"/>
          <w:color w:val="auto"/>
          <w:sz w:val="28"/>
          <w:szCs w:val="28"/>
        </w:rPr>
      </w:pPr>
      <w:r>
        <w:rPr>
          <w:rFonts w:hint="eastAsia" w:ascii="宋体" w:hAnsi="宋体"/>
          <w:color w:val="auto"/>
          <w:sz w:val="28"/>
          <w:szCs w:val="28"/>
        </w:rPr>
        <w:t>评标委员会只对通过初审的投标文件，根据招标文件的要求采用相同的评标程序、评分办法及标准进行评价和比较。</w:t>
      </w:r>
    </w:p>
    <w:p>
      <w:pPr>
        <w:numPr>
          <w:ilvl w:val="0"/>
          <w:numId w:val="40"/>
        </w:numPr>
        <w:tabs>
          <w:tab w:val="left" w:pos="1155"/>
        </w:tabs>
        <w:spacing w:after="200" w:line="560" w:lineRule="exact"/>
        <w:ind w:left="0" w:firstLine="567"/>
        <w:rPr>
          <w:rFonts w:ascii="宋体" w:hAnsi="宋体"/>
          <w:color w:val="auto"/>
          <w:sz w:val="28"/>
          <w:szCs w:val="28"/>
        </w:rPr>
      </w:pPr>
      <w:r>
        <w:rPr>
          <w:rFonts w:hint="eastAsia" w:ascii="宋体" w:hAnsi="宋体"/>
          <w:color w:val="auto"/>
          <w:sz w:val="28"/>
          <w:szCs w:val="28"/>
        </w:rPr>
        <w:t>本次综合评分的因素是：价格、服务、商务等。</w:t>
      </w:r>
    </w:p>
    <w:p>
      <w:pPr>
        <w:numPr>
          <w:ilvl w:val="0"/>
          <w:numId w:val="40"/>
        </w:numPr>
        <w:tabs>
          <w:tab w:val="left" w:pos="1155"/>
        </w:tabs>
        <w:spacing w:after="200" w:line="560" w:lineRule="exact"/>
        <w:ind w:left="0" w:firstLine="525"/>
        <w:rPr>
          <w:rFonts w:ascii="宋体" w:hAnsi="宋体"/>
          <w:color w:val="auto"/>
          <w:sz w:val="28"/>
          <w:szCs w:val="28"/>
        </w:rPr>
      </w:pPr>
      <w:bookmarkStart w:id="351" w:name="_Toc217102344"/>
      <w:bookmarkStart w:id="352" w:name="_Toc218498587"/>
      <w:bookmarkStart w:id="353" w:name="_Toc310176995"/>
      <w:r>
        <w:rPr>
          <w:rFonts w:hint="eastAsia" w:ascii="宋体" w:hAnsi="宋体"/>
          <w:color w:val="auto"/>
          <w:sz w:val="28"/>
          <w:szCs w:val="28"/>
        </w:rPr>
        <w:t>评标委员会成员应依据招标文件规定的评分标准和方法独立打分。</w:t>
      </w:r>
    </w:p>
    <w:p>
      <w:pPr>
        <w:pStyle w:val="6"/>
        <w:numPr>
          <w:ilvl w:val="2"/>
          <w:numId w:val="3"/>
        </w:numPr>
        <w:spacing w:after="200" w:line="560" w:lineRule="exact"/>
        <w:ind w:left="0" w:firstLine="0"/>
        <w:rPr>
          <w:color w:val="auto"/>
        </w:rPr>
      </w:pPr>
      <w:r>
        <w:rPr>
          <w:rFonts w:hint="eastAsia"/>
          <w:color w:val="auto"/>
        </w:rPr>
        <w:t>评分办法</w:t>
      </w:r>
      <w:bookmarkEnd w:id="351"/>
      <w:bookmarkEnd w:id="352"/>
      <w:bookmarkEnd w:id="353"/>
    </w:p>
    <w:p>
      <w:pPr>
        <w:spacing w:line="560" w:lineRule="exact"/>
        <w:ind w:firstLine="630" w:firstLineChars="225"/>
        <w:rPr>
          <w:rFonts w:ascii="宋体" w:hAnsi="宋体"/>
          <w:color w:val="auto"/>
          <w:sz w:val="28"/>
          <w:szCs w:val="28"/>
        </w:rPr>
      </w:pPr>
      <w:r>
        <w:rPr>
          <w:rFonts w:hint="eastAsia" w:ascii="宋体" w:hAnsi="宋体"/>
          <w:color w:val="auto"/>
          <w:sz w:val="28"/>
          <w:szCs w:val="28"/>
        </w:rPr>
        <w:t xml:space="preserve">本次评标采用综合评分法，由评标委员会各成员独立对通过初审（资格检查和符合性检查）的供应商的投标文件进行评审和打分，    </w:t>
      </w:r>
    </w:p>
    <w:p>
      <w:pPr>
        <w:spacing w:line="560" w:lineRule="exact"/>
        <w:ind w:firstLine="630" w:firstLineChars="225"/>
        <w:rPr>
          <w:rFonts w:ascii="宋体" w:hAnsi="宋体"/>
          <w:color w:val="auto"/>
          <w:sz w:val="28"/>
          <w:szCs w:val="28"/>
        </w:rPr>
      </w:pPr>
      <w:r>
        <w:rPr>
          <w:rFonts w:hint="eastAsia" w:ascii="宋体" w:hAnsi="宋体"/>
          <w:color w:val="auto"/>
          <w:sz w:val="28"/>
          <w:szCs w:val="28"/>
        </w:rPr>
        <w:t>评标得分＝（A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）/n</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3</w:t>
      </w:r>
    </w:p>
    <w:p>
      <w:pPr>
        <w:widowControl/>
        <w:spacing w:line="560" w:lineRule="exact"/>
        <w:ind w:firstLine="560" w:firstLineChars="200"/>
        <w:rPr>
          <w:rFonts w:ascii="宋体" w:hAnsi="宋体"/>
          <w:color w:val="auto"/>
          <w:sz w:val="28"/>
          <w:szCs w:val="28"/>
        </w:rPr>
      </w:pPr>
      <w:r>
        <w:rPr>
          <w:rFonts w:hint="eastAsia" w:ascii="宋体" w:hAnsi="宋体"/>
          <w:color w:val="auto"/>
          <w:sz w:val="28"/>
          <w:szCs w:val="28"/>
        </w:rPr>
        <w:t>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分别为每个</w:t>
      </w:r>
      <w:r>
        <w:rPr>
          <w:rFonts w:hint="eastAsia" w:ascii="宋体" w:hAnsi="宋体" w:cs="宋体"/>
          <w:color w:val="auto"/>
          <w:kern w:val="0"/>
          <w:sz w:val="28"/>
          <w:szCs w:val="28"/>
        </w:rPr>
        <w:t>经济类</w:t>
      </w:r>
      <w:r>
        <w:rPr>
          <w:rFonts w:hint="eastAsia" w:ascii="宋体" w:hAnsi="宋体"/>
          <w:color w:val="auto"/>
          <w:sz w:val="28"/>
          <w:szCs w:val="28"/>
        </w:rPr>
        <w:t>评委的打分，n</w:t>
      </w:r>
      <w:r>
        <w:rPr>
          <w:rFonts w:hint="eastAsia" w:ascii="宋体" w:hAnsi="宋体"/>
          <w:color w:val="auto"/>
          <w:sz w:val="28"/>
          <w:szCs w:val="28"/>
          <w:vertAlign w:val="subscript"/>
        </w:rPr>
        <w:t>1</w:t>
      </w:r>
      <w:r>
        <w:rPr>
          <w:rFonts w:hint="eastAsia" w:ascii="宋体" w:hAnsi="宋体"/>
          <w:color w:val="auto"/>
          <w:sz w:val="28"/>
          <w:szCs w:val="28"/>
        </w:rPr>
        <w:t>为</w:t>
      </w:r>
      <w:r>
        <w:rPr>
          <w:rFonts w:hint="eastAsia" w:ascii="宋体" w:hAnsi="宋体" w:cs="宋体"/>
          <w:color w:val="auto"/>
          <w:kern w:val="0"/>
          <w:sz w:val="28"/>
          <w:szCs w:val="28"/>
        </w:rPr>
        <w:t>经济类</w:t>
      </w:r>
      <w:r>
        <w:rPr>
          <w:rFonts w:hint="eastAsia" w:ascii="宋体" w:hAnsi="宋体"/>
          <w:color w:val="auto"/>
          <w:sz w:val="28"/>
          <w:szCs w:val="28"/>
        </w:rPr>
        <w:t>评委人数；B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xml:space="preserve"> 分别为每个技术类评委（含采购人代表）的打分，n</w:t>
      </w:r>
      <w:r>
        <w:rPr>
          <w:rFonts w:hint="eastAsia" w:ascii="宋体" w:hAnsi="宋体"/>
          <w:color w:val="auto"/>
          <w:sz w:val="28"/>
          <w:szCs w:val="28"/>
          <w:vertAlign w:val="subscript"/>
        </w:rPr>
        <w:t>2</w:t>
      </w:r>
      <w:r>
        <w:rPr>
          <w:rFonts w:hint="eastAsia" w:ascii="宋体" w:hAnsi="宋体"/>
          <w:color w:val="auto"/>
          <w:sz w:val="28"/>
          <w:szCs w:val="28"/>
        </w:rPr>
        <w:t>为</w:t>
      </w:r>
      <w:r>
        <w:rPr>
          <w:rFonts w:hint="eastAsia" w:ascii="宋体" w:hAnsi="宋体" w:cs="宋体"/>
          <w:color w:val="auto"/>
          <w:kern w:val="0"/>
          <w:sz w:val="28"/>
          <w:szCs w:val="28"/>
        </w:rPr>
        <w:t>技术类</w:t>
      </w:r>
      <w:r>
        <w:rPr>
          <w:rFonts w:hint="eastAsia" w:ascii="宋体" w:hAnsi="宋体"/>
          <w:color w:val="auto"/>
          <w:sz w:val="28"/>
          <w:szCs w:val="28"/>
        </w:rPr>
        <w:t>评委（含采购人代表）人数；C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xml:space="preserve"> 分别为评审委员会每个成员的打分，n</w:t>
      </w:r>
      <w:r>
        <w:rPr>
          <w:rFonts w:hint="eastAsia" w:ascii="宋体" w:hAnsi="宋体"/>
          <w:color w:val="auto"/>
          <w:sz w:val="28"/>
          <w:szCs w:val="28"/>
          <w:vertAlign w:val="subscript"/>
        </w:rPr>
        <w:t>3</w:t>
      </w:r>
      <w:r>
        <w:rPr>
          <w:rFonts w:hint="eastAsia" w:ascii="宋体" w:hAnsi="宋体"/>
          <w:color w:val="auto"/>
          <w:sz w:val="28"/>
          <w:szCs w:val="28"/>
        </w:rPr>
        <w:t>为评委人数。</w:t>
      </w:r>
    </w:p>
    <w:p>
      <w:pPr>
        <w:pStyle w:val="6"/>
        <w:numPr>
          <w:ilvl w:val="2"/>
          <w:numId w:val="3"/>
        </w:numPr>
        <w:spacing w:after="200"/>
        <w:ind w:left="0" w:firstLine="0"/>
        <w:rPr>
          <w:color w:val="auto"/>
        </w:rPr>
      </w:pPr>
      <w:r>
        <w:rPr>
          <w:rFonts w:hint="eastAsia"/>
          <w:color w:val="auto"/>
        </w:rPr>
        <w:t>评分标准</w:t>
      </w:r>
    </w:p>
    <w:p>
      <w:pPr>
        <w:widowControl/>
        <w:spacing w:line="560" w:lineRule="exact"/>
        <w:rPr>
          <w:rFonts w:ascii="宋体" w:hAnsi="宋体"/>
          <w:b/>
          <w:bCs/>
          <w:color w:val="auto"/>
          <w:sz w:val="28"/>
          <w:szCs w:val="28"/>
        </w:rPr>
      </w:pPr>
      <w:r>
        <w:rPr>
          <w:rFonts w:hint="eastAsia" w:ascii="宋体" w:hAnsi="宋体"/>
          <w:b/>
          <w:bCs/>
          <w:color w:val="auto"/>
          <w:sz w:val="28"/>
          <w:szCs w:val="28"/>
        </w:rPr>
        <w:t xml:space="preserve">包件1-5 </w:t>
      </w:r>
      <w:r>
        <w:rPr>
          <w:rFonts w:ascii="宋体" w:hAnsi="宋体"/>
          <w:b/>
          <w:bCs/>
          <w:color w:val="auto"/>
          <w:sz w:val="28"/>
          <w:szCs w:val="28"/>
        </w:rPr>
        <w:t xml:space="preserve"> </w:t>
      </w:r>
      <w:r>
        <w:rPr>
          <w:rFonts w:hint="eastAsia" w:ascii="宋体" w:hAnsi="宋体"/>
          <w:b/>
          <w:bCs/>
          <w:color w:val="auto"/>
          <w:sz w:val="28"/>
          <w:szCs w:val="28"/>
        </w:rPr>
        <w:t>地下管线普查成果更新探测服务评分标准（成都市双流区地下管线普查成果更新项目采购(包件1-5)）</w:t>
      </w:r>
    </w:p>
    <w:tbl>
      <w:tblPr>
        <w:tblStyle w:val="43"/>
        <w:tblW w:w="9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973"/>
        <w:gridCol w:w="6550"/>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05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Cs w:val="21"/>
              </w:rPr>
            </w:pPr>
            <w:r>
              <w:rPr>
                <w:rFonts w:hint="eastAsia" w:ascii="宋体" w:hAnsi="宋体" w:cs="宋体"/>
                <w:b/>
                <w:color w:val="auto"/>
                <w:szCs w:val="21"/>
              </w:rPr>
              <w:t>评标项目</w:t>
            </w:r>
          </w:p>
        </w:tc>
        <w:tc>
          <w:tcPr>
            <w:tcW w:w="65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Cs w:val="21"/>
              </w:rPr>
            </w:pPr>
            <w:r>
              <w:rPr>
                <w:rFonts w:hint="eastAsia" w:ascii="宋体" w:hAnsi="宋体" w:cs="宋体"/>
                <w:b/>
                <w:color w:val="auto"/>
                <w:szCs w:val="21"/>
              </w:rPr>
              <w:t>评分标准</w:t>
            </w:r>
          </w:p>
        </w:tc>
        <w:tc>
          <w:tcPr>
            <w:tcW w:w="11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Cs w:val="21"/>
              </w:rPr>
            </w:pPr>
            <w:r>
              <w:rPr>
                <w:rFonts w:hint="eastAsia" w:ascii="宋体" w:hAnsi="宋体" w:cs="宋体"/>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205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价格</w:t>
            </w:r>
          </w:p>
          <w:p>
            <w:pPr>
              <w:jc w:val="center"/>
              <w:rPr>
                <w:rFonts w:ascii="宋体" w:hAnsi="宋体" w:cs="宋体"/>
                <w:color w:val="auto"/>
                <w:szCs w:val="21"/>
              </w:rPr>
            </w:pPr>
            <w:r>
              <w:rPr>
                <w:rFonts w:hint="eastAsia" w:ascii="宋体" w:hAnsi="宋体" w:cs="宋体"/>
                <w:color w:val="auto"/>
                <w:szCs w:val="21"/>
              </w:rPr>
              <w:t>（15分）</w:t>
            </w:r>
          </w:p>
        </w:tc>
        <w:tc>
          <w:tcPr>
            <w:tcW w:w="6550"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满足招标文件要求且报价最低的供应商的价格为评标基准价，其价格分为满分。其他供应商的价格分统一按照下列公式计算：投标报价得分=(评标基准价/投标报价)×15×100。</w:t>
            </w:r>
          </w:p>
          <w:p>
            <w:pPr>
              <w:ind w:firstLine="430" w:firstLineChars="204"/>
              <w:jc w:val="left"/>
              <w:rPr>
                <w:rFonts w:ascii="宋体" w:hAnsi="宋体"/>
                <w:b/>
                <w:color w:val="auto"/>
                <w:szCs w:val="21"/>
              </w:rPr>
            </w:pPr>
            <w:r>
              <w:rPr>
                <w:rFonts w:hint="eastAsia" w:ascii="宋体" w:hAnsi="宋体"/>
                <w:b/>
                <w:color w:val="auto"/>
                <w:szCs w:val="21"/>
              </w:rPr>
              <w:t>注：1、因落实政府采购政策进行价格调整的，以调整后的价格计算评标基准价和投标报价。</w:t>
            </w:r>
          </w:p>
          <w:p>
            <w:pPr>
              <w:ind w:firstLine="430" w:firstLineChars="204"/>
              <w:jc w:val="left"/>
              <w:rPr>
                <w:rFonts w:ascii="宋体" w:hAnsi="宋体"/>
                <w:b/>
                <w:color w:val="auto"/>
                <w:szCs w:val="21"/>
              </w:rPr>
            </w:pPr>
            <w:r>
              <w:rPr>
                <w:rFonts w:hint="eastAsia" w:ascii="宋体" w:hAnsi="宋体"/>
                <w:b/>
                <w:color w:val="auto"/>
                <w:szCs w:val="21"/>
              </w:rPr>
              <w:t>2、小微企业（残疾人福利性单位、监狱企业视同小微企业）价格扣除及失信企业价格惩戒加成或扣分政策按照供应商须知附表的相关要求执行。</w:t>
            </w:r>
          </w:p>
          <w:p>
            <w:pPr>
              <w:ind w:firstLine="430" w:firstLineChars="204"/>
              <w:jc w:val="left"/>
              <w:rPr>
                <w:rFonts w:ascii="宋体" w:hAnsi="宋体"/>
                <w:b/>
                <w:color w:val="auto"/>
                <w:szCs w:val="21"/>
              </w:rPr>
            </w:pPr>
            <w:r>
              <w:rPr>
                <w:rFonts w:hint="eastAsia" w:ascii="宋体" w:hAnsi="宋体"/>
                <w:b/>
                <w:color w:val="auto"/>
                <w:szCs w:val="21"/>
              </w:rPr>
              <w:t>3、根据四川省人民政府令第301号“四川省测绘地理信息局关于《四川省测绘地理信息市场管理办法》第十四条执行中有关问题的解答意见”中相关内容：“评标委员会发现投标单位报价明显低于其他投标报价，且不能做出合理说明并提供相关证明材料的，可以依法认定其投标无效”,“报价低于平均报价15%的为明显低于其他投标报价”是指：投标单位报价低于有效供应商的平均报价，且低于平均报价的幅度超过15%(平均报价-投标单位报价)/平均报价×100%≥15%)的，视为明显低于其他投标报价。</w:t>
            </w:r>
          </w:p>
          <w:p>
            <w:pPr>
              <w:ind w:firstLine="430" w:firstLineChars="204"/>
              <w:jc w:val="left"/>
              <w:rPr>
                <w:rFonts w:ascii="宋体" w:hAnsi="宋体"/>
                <w:color w:val="auto"/>
                <w:szCs w:val="21"/>
              </w:rPr>
            </w:pPr>
            <w:r>
              <w:rPr>
                <w:rFonts w:hint="eastAsia" w:ascii="宋体" w:hAnsi="宋体"/>
                <w:b/>
                <w:color w:val="auto"/>
                <w:szCs w:val="21"/>
              </w:rPr>
              <w:t>4、评分的取值按四舍五入法，保留小数点后两位。</w:t>
            </w:r>
          </w:p>
        </w:tc>
        <w:tc>
          <w:tcPr>
            <w:tcW w:w="11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经济评审因素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4" w:hRule="atLeast"/>
          <w:jc w:val="center"/>
        </w:trPr>
        <w:tc>
          <w:tcPr>
            <w:tcW w:w="10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技术</w:t>
            </w:r>
          </w:p>
          <w:p>
            <w:pPr>
              <w:jc w:val="center"/>
              <w:rPr>
                <w:rFonts w:ascii="宋体" w:hAnsi="宋体" w:cs="宋体"/>
                <w:color w:val="auto"/>
                <w:szCs w:val="21"/>
              </w:rPr>
            </w:pPr>
            <w:r>
              <w:rPr>
                <w:rFonts w:hint="eastAsia" w:ascii="宋体" w:hAnsi="宋体" w:cs="宋体"/>
                <w:color w:val="auto"/>
                <w:szCs w:val="21"/>
              </w:rPr>
              <w:t>服务</w:t>
            </w:r>
          </w:p>
          <w:p>
            <w:pPr>
              <w:jc w:val="center"/>
              <w:rPr>
                <w:rFonts w:ascii="宋体" w:hAnsi="宋体" w:cs="宋体"/>
                <w:color w:val="auto"/>
                <w:szCs w:val="21"/>
              </w:rPr>
            </w:pPr>
            <w:r>
              <w:rPr>
                <w:rFonts w:hint="eastAsia" w:ascii="宋体" w:hAnsi="宋体" w:cs="宋体"/>
                <w:color w:val="auto"/>
                <w:szCs w:val="21"/>
              </w:rPr>
              <w:t>部分</w:t>
            </w:r>
          </w:p>
          <w:p>
            <w:pPr>
              <w:jc w:val="center"/>
              <w:rPr>
                <w:rFonts w:ascii="宋体" w:hAnsi="宋体" w:cs="宋体"/>
                <w:color w:val="auto"/>
                <w:szCs w:val="21"/>
              </w:rPr>
            </w:pPr>
            <w:r>
              <w:rPr>
                <w:rFonts w:hint="eastAsia" w:ascii="宋体" w:hAnsi="宋体" w:cs="宋体"/>
                <w:color w:val="auto"/>
                <w:szCs w:val="21"/>
              </w:rPr>
              <w:t>（35分）</w:t>
            </w:r>
          </w:p>
        </w:tc>
        <w:tc>
          <w:tcPr>
            <w:tcW w:w="973" w:type="dxa"/>
            <w:tcBorders>
              <w:top w:val="single" w:color="auto" w:sz="4" w:space="0"/>
              <w:left w:val="single" w:color="auto" w:sz="4" w:space="0"/>
              <w:right w:val="single" w:color="auto" w:sz="4" w:space="0"/>
            </w:tcBorders>
            <w:vAlign w:val="center"/>
          </w:tcPr>
          <w:p>
            <w:pPr>
              <w:jc w:val="center"/>
              <w:rPr>
                <w:rFonts w:ascii="宋体" w:hAnsi="宋体"/>
                <w:color w:val="auto"/>
                <w:szCs w:val="21"/>
              </w:rPr>
            </w:pPr>
            <w:r>
              <w:rPr>
                <w:rFonts w:hint="eastAsia" w:ascii="宋体" w:hAnsi="宋体"/>
                <w:color w:val="auto"/>
                <w:szCs w:val="21"/>
              </w:rPr>
              <w:t>项目需求分析</w:t>
            </w:r>
          </w:p>
          <w:p>
            <w:pPr>
              <w:jc w:val="center"/>
              <w:rPr>
                <w:rFonts w:ascii="宋体" w:hAnsi="宋体" w:cs="宋体"/>
                <w:color w:val="auto"/>
                <w:szCs w:val="21"/>
              </w:rPr>
            </w:pPr>
            <w:r>
              <w:rPr>
                <w:rFonts w:hint="eastAsia" w:ascii="宋体" w:hAnsi="宋体" w:cs="宋体"/>
                <w:color w:val="auto"/>
                <w:spacing w:val="-20"/>
                <w:szCs w:val="21"/>
              </w:rPr>
              <w:t>（</w:t>
            </w:r>
            <w:r>
              <w:rPr>
                <w:rFonts w:ascii="宋体" w:hAnsi="宋体" w:cs="宋体"/>
                <w:color w:val="auto"/>
                <w:szCs w:val="21"/>
              </w:rPr>
              <w:t>5</w:t>
            </w:r>
            <w:r>
              <w:rPr>
                <w:rFonts w:hint="eastAsia" w:ascii="宋体" w:hAnsi="宋体" w:cs="宋体"/>
                <w:color w:val="auto"/>
                <w:spacing w:val="-20"/>
                <w:szCs w:val="21"/>
              </w:rPr>
              <w:t>分）</w:t>
            </w:r>
          </w:p>
        </w:tc>
        <w:tc>
          <w:tcPr>
            <w:tcW w:w="6550"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供应商根据对项目的理解，结合实际工作，对此项目作出需求分析的得3分。未提供相关分析或分析明显错误的此项不得分。</w:t>
            </w:r>
          </w:p>
          <w:p>
            <w:pPr>
              <w:ind w:firstLine="428" w:firstLineChars="204"/>
              <w:jc w:val="left"/>
              <w:rPr>
                <w:rFonts w:ascii="宋体" w:hAnsi="宋体"/>
                <w:color w:val="auto"/>
                <w:szCs w:val="21"/>
              </w:rPr>
            </w:pPr>
            <w:r>
              <w:rPr>
                <w:rFonts w:hint="eastAsia" w:ascii="宋体" w:hAnsi="宋体"/>
                <w:color w:val="auto"/>
                <w:szCs w:val="21"/>
              </w:rPr>
              <w:t>需求分析表述简单粗略的不加分；需求分析表述基本可行且有针对性的加1分；需求分析表述详尽、全面完善的加2分。</w:t>
            </w:r>
          </w:p>
        </w:tc>
        <w:tc>
          <w:tcPr>
            <w:tcW w:w="11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技术评审</w:t>
            </w:r>
          </w:p>
          <w:p>
            <w:pPr>
              <w:jc w:val="center"/>
              <w:rPr>
                <w:rFonts w:ascii="宋体" w:hAnsi="宋体" w:cs="宋体"/>
                <w:color w:val="auto"/>
                <w:szCs w:val="21"/>
              </w:rPr>
            </w:pPr>
            <w:r>
              <w:rPr>
                <w:rFonts w:hint="eastAsia" w:ascii="宋体" w:hAnsi="宋体" w:cs="宋体"/>
                <w:color w:val="auto"/>
                <w:szCs w:val="21"/>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9" w:hRule="atLeast"/>
          <w:jc w:val="center"/>
        </w:trPr>
        <w:tc>
          <w:tcPr>
            <w:tcW w:w="107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Cs w:val="21"/>
              </w:rPr>
            </w:pPr>
          </w:p>
        </w:tc>
        <w:tc>
          <w:tcPr>
            <w:tcW w:w="973" w:type="dxa"/>
            <w:tcBorders>
              <w:left w:val="single" w:color="auto" w:sz="4" w:space="0"/>
              <w:right w:val="single" w:color="auto" w:sz="4" w:space="0"/>
            </w:tcBorders>
            <w:vAlign w:val="center"/>
          </w:tcPr>
          <w:p>
            <w:pPr>
              <w:jc w:val="center"/>
              <w:rPr>
                <w:rFonts w:ascii="宋体" w:hAnsi="宋体"/>
                <w:color w:val="auto"/>
                <w:szCs w:val="21"/>
              </w:rPr>
            </w:pPr>
            <w:r>
              <w:rPr>
                <w:rFonts w:hint="eastAsia" w:ascii="宋体" w:hAnsi="宋体"/>
                <w:color w:val="auto"/>
                <w:szCs w:val="21"/>
              </w:rPr>
              <w:t>普查技术方案</w:t>
            </w:r>
          </w:p>
          <w:p>
            <w:pPr>
              <w:jc w:val="center"/>
              <w:rPr>
                <w:rFonts w:ascii="宋体" w:hAnsi="宋体" w:cs="宋体"/>
                <w:color w:val="auto"/>
                <w:szCs w:val="21"/>
              </w:rPr>
            </w:pPr>
            <w:r>
              <w:rPr>
                <w:rFonts w:hint="eastAsia" w:ascii="宋体" w:hAnsi="宋体" w:cs="宋体"/>
                <w:color w:val="auto"/>
                <w:spacing w:val="-20"/>
                <w:szCs w:val="21"/>
              </w:rPr>
              <w:t>（</w:t>
            </w:r>
            <w:r>
              <w:rPr>
                <w:rFonts w:hint="eastAsia" w:ascii="宋体" w:hAnsi="宋体" w:cs="宋体"/>
                <w:color w:val="auto"/>
                <w:szCs w:val="21"/>
              </w:rPr>
              <w:t>15</w:t>
            </w:r>
            <w:r>
              <w:rPr>
                <w:rFonts w:hint="eastAsia" w:ascii="宋体" w:hAnsi="宋体" w:cs="宋体"/>
                <w:color w:val="auto"/>
                <w:spacing w:val="-20"/>
                <w:szCs w:val="21"/>
              </w:rPr>
              <w:t>分）</w:t>
            </w:r>
          </w:p>
        </w:tc>
        <w:tc>
          <w:tcPr>
            <w:tcW w:w="6550" w:type="dxa"/>
            <w:tcBorders>
              <w:top w:val="single" w:color="auto" w:sz="4" w:space="0"/>
              <w:left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供应商根据对项目的理解，结合实际工作，制定符合本项目的普查技术方案，技术方案应包含以下子项：地下管线探查方法、管线测量方法、内业资料整理制度、作业质量管控措施、保密措施。每提供一个子项得1分，最多得5分。方案中未提供相关子项或相关子项表述明显错误的，该子项不得分。</w:t>
            </w:r>
          </w:p>
          <w:p>
            <w:pPr>
              <w:ind w:firstLine="428" w:firstLineChars="204"/>
              <w:jc w:val="left"/>
              <w:rPr>
                <w:rFonts w:ascii="宋体" w:hAnsi="宋体"/>
                <w:color w:val="auto"/>
                <w:szCs w:val="21"/>
              </w:rPr>
            </w:pPr>
            <w:r>
              <w:rPr>
                <w:rFonts w:hint="eastAsia" w:ascii="宋体" w:hAnsi="宋体"/>
                <w:color w:val="auto"/>
                <w:szCs w:val="21"/>
              </w:rPr>
              <w:t>其中某一子项表述简单粗略的，该子项不加分；表述基本可行且有针对性的，该子项加1分；表述详尽、合理可行、具有针对性的，该子项加2分；最多加10分。</w:t>
            </w:r>
          </w:p>
        </w:tc>
        <w:tc>
          <w:tcPr>
            <w:tcW w:w="1116" w:type="dxa"/>
            <w:tcBorders>
              <w:top w:val="single" w:color="auto" w:sz="4" w:space="0"/>
              <w:left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技术评审</w:t>
            </w:r>
          </w:p>
          <w:p>
            <w:pPr>
              <w:jc w:val="center"/>
              <w:rPr>
                <w:rFonts w:ascii="宋体" w:hAnsi="宋体" w:cs="宋体"/>
                <w:color w:val="auto"/>
                <w:szCs w:val="21"/>
              </w:rPr>
            </w:pPr>
            <w:r>
              <w:rPr>
                <w:rFonts w:hint="eastAsia" w:ascii="宋体" w:hAnsi="宋体" w:cs="宋体"/>
                <w:color w:val="auto"/>
                <w:szCs w:val="21"/>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7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Cs w:val="21"/>
              </w:rPr>
            </w:pPr>
          </w:p>
        </w:tc>
        <w:tc>
          <w:tcPr>
            <w:tcW w:w="973" w:type="dxa"/>
            <w:tcBorders>
              <w:left w:val="single" w:color="auto" w:sz="4" w:space="0"/>
              <w:right w:val="single" w:color="auto" w:sz="4" w:space="0"/>
            </w:tcBorders>
            <w:vAlign w:val="center"/>
          </w:tcPr>
          <w:p>
            <w:pPr>
              <w:widowControl/>
              <w:jc w:val="center"/>
              <w:rPr>
                <w:rFonts w:ascii="宋体" w:hAnsi="宋体" w:cs="宋体"/>
                <w:color w:val="auto"/>
                <w:szCs w:val="21"/>
                <w:lang w:val="zh-CN"/>
              </w:rPr>
            </w:pPr>
            <w:r>
              <w:rPr>
                <w:rFonts w:hint="eastAsia" w:ascii="宋体" w:hAnsi="宋体" w:cs="宋体"/>
                <w:color w:val="auto"/>
                <w:szCs w:val="21"/>
                <w:lang w:val="zh-CN"/>
              </w:rPr>
              <w:t>项目进度计划</w:t>
            </w:r>
          </w:p>
          <w:p>
            <w:pPr>
              <w:widowControl/>
              <w:jc w:val="center"/>
              <w:rPr>
                <w:rFonts w:ascii="宋体" w:hAnsi="宋体" w:cs="宋体"/>
                <w:color w:val="auto"/>
                <w:szCs w:val="21"/>
              </w:rPr>
            </w:pPr>
            <w:r>
              <w:rPr>
                <w:rFonts w:hint="eastAsia" w:ascii="宋体" w:hAnsi="宋体" w:cs="宋体"/>
                <w:color w:val="auto"/>
                <w:spacing w:val="-20"/>
                <w:szCs w:val="21"/>
              </w:rPr>
              <w:t>（</w:t>
            </w:r>
            <w:r>
              <w:rPr>
                <w:rFonts w:hint="eastAsia" w:ascii="宋体" w:hAnsi="宋体" w:cs="宋体"/>
                <w:color w:val="auto"/>
                <w:szCs w:val="21"/>
              </w:rPr>
              <w:t>5</w:t>
            </w:r>
            <w:r>
              <w:rPr>
                <w:rFonts w:hint="eastAsia" w:ascii="宋体" w:hAnsi="宋体" w:cs="宋体"/>
                <w:color w:val="auto"/>
                <w:spacing w:val="-20"/>
                <w:szCs w:val="21"/>
              </w:rPr>
              <w:t>分）</w:t>
            </w:r>
          </w:p>
        </w:tc>
        <w:tc>
          <w:tcPr>
            <w:tcW w:w="6550" w:type="dxa"/>
            <w:tcBorders>
              <w:left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供应商根据对项目的理解，结合实际工作，制定符合本项目的进度计划和保障措施的得3分。未提供相关进度计划和保障措施，或进度计划和保障措施不满足要求的，此项不得分。</w:t>
            </w:r>
          </w:p>
          <w:p>
            <w:pPr>
              <w:ind w:firstLine="428" w:firstLineChars="204"/>
              <w:jc w:val="left"/>
              <w:rPr>
                <w:rFonts w:ascii="宋体" w:hAnsi="宋体"/>
                <w:color w:val="auto"/>
                <w:szCs w:val="21"/>
              </w:rPr>
            </w:pPr>
            <w:r>
              <w:rPr>
                <w:rFonts w:hint="eastAsia" w:ascii="宋体" w:hAnsi="宋体"/>
                <w:color w:val="auto"/>
                <w:szCs w:val="21"/>
              </w:rPr>
              <w:t>进度计划和保障措施表述简单粗略的不加分；表述基本可行且有针对性的加1分；表述详尽、全面完善的加2分。</w:t>
            </w:r>
          </w:p>
        </w:tc>
        <w:tc>
          <w:tcPr>
            <w:tcW w:w="1116" w:type="dxa"/>
            <w:tcBorders>
              <w:top w:val="single" w:color="auto" w:sz="4" w:space="0"/>
              <w:left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技术评审</w:t>
            </w:r>
          </w:p>
          <w:p>
            <w:pPr>
              <w:jc w:val="center"/>
              <w:rPr>
                <w:rFonts w:ascii="宋体" w:hAnsi="宋体" w:cs="宋体"/>
                <w:color w:val="auto"/>
                <w:szCs w:val="21"/>
              </w:rPr>
            </w:pPr>
            <w:r>
              <w:rPr>
                <w:rFonts w:hint="eastAsia" w:ascii="宋体" w:hAnsi="宋体" w:cs="宋体"/>
                <w:color w:val="auto"/>
                <w:szCs w:val="21"/>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07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Cs w:val="21"/>
              </w:rPr>
            </w:pPr>
          </w:p>
        </w:tc>
        <w:tc>
          <w:tcPr>
            <w:tcW w:w="973" w:type="dxa"/>
            <w:tcBorders>
              <w:left w:val="single" w:color="auto" w:sz="4" w:space="0"/>
              <w:bottom w:val="single" w:color="auto" w:sz="4" w:space="0"/>
              <w:right w:val="single" w:color="auto" w:sz="4" w:space="0"/>
            </w:tcBorders>
            <w:vAlign w:val="center"/>
          </w:tcPr>
          <w:p>
            <w:pPr>
              <w:jc w:val="center"/>
              <w:rPr>
                <w:rFonts w:ascii="宋体" w:hAnsi="宋体" w:cs="宋体"/>
                <w:color w:val="auto"/>
                <w:szCs w:val="21"/>
                <w:lang w:val="zh-CN"/>
              </w:rPr>
            </w:pPr>
            <w:r>
              <w:rPr>
                <w:rFonts w:hint="eastAsia" w:ascii="宋体" w:hAnsi="宋体" w:cs="宋体"/>
                <w:color w:val="auto"/>
                <w:szCs w:val="21"/>
                <w:lang w:val="zh-CN"/>
              </w:rPr>
              <w:t>安全作业方案</w:t>
            </w:r>
          </w:p>
          <w:p>
            <w:pPr>
              <w:jc w:val="center"/>
              <w:rPr>
                <w:rFonts w:ascii="宋体" w:hAnsi="宋体" w:cs="宋体"/>
                <w:color w:val="auto"/>
                <w:szCs w:val="21"/>
              </w:rPr>
            </w:pPr>
            <w:r>
              <w:rPr>
                <w:rFonts w:hint="eastAsia" w:ascii="宋体" w:hAnsi="宋体" w:cs="宋体"/>
                <w:color w:val="auto"/>
                <w:spacing w:val="-20"/>
                <w:szCs w:val="21"/>
              </w:rPr>
              <w:t>（</w:t>
            </w:r>
            <w:r>
              <w:rPr>
                <w:rFonts w:hint="eastAsia" w:ascii="宋体" w:hAnsi="宋体" w:cs="宋体"/>
                <w:color w:val="auto"/>
                <w:szCs w:val="21"/>
              </w:rPr>
              <w:t>5</w:t>
            </w:r>
            <w:r>
              <w:rPr>
                <w:rFonts w:hint="eastAsia" w:ascii="宋体" w:hAnsi="宋体" w:cs="宋体"/>
                <w:color w:val="auto"/>
                <w:spacing w:val="-20"/>
                <w:szCs w:val="21"/>
              </w:rPr>
              <w:t>分）</w:t>
            </w:r>
          </w:p>
        </w:tc>
        <w:tc>
          <w:tcPr>
            <w:tcW w:w="6550"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供应商根据招标文件要求提供安全作业方案的得3分。未提供相关安全作业方案或安全作业方案明显错误的此项不得分。</w:t>
            </w:r>
          </w:p>
          <w:p>
            <w:pPr>
              <w:ind w:firstLine="428" w:firstLineChars="204"/>
              <w:jc w:val="left"/>
              <w:rPr>
                <w:rFonts w:ascii="宋体" w:hAnsi="宋体"/>
                <w:color w:val="auto"/>
                <w:szCs w:val="21"/>
              </w:rPr>
            </w:pPr>
            <w:r>
              <w:rPr>
                <w:rFonts w:hint="eastAsia" w:ascii="宋体" w:hAnsi="宋体"/>
                <w:color w:val="auto"/>
                <w:szCs w:val="21"/>
              </w:rPr>
              <w:t>安全作业方案表述简单粗略的不加分；表述基本可行且有针对性的加1分；表述详尽，贴合采购人要求提供安全作业危险来源及隐患、安全预防措施制度严谨、清晰有效、能优质满足采购人需求的加2分。</w:t>
            </w:r>
          </w:p>
        </w:tc>
        <w:tc>
          <w:tcPr>
            <w:tcW w:w="11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技术评审</w:t>
            </w:r>
          </w:p>
          <w:p>
            <w:pPr>
              <w:jc w:val="center"/>
              <w:rPr>
                <w:rFonts w:ascii="宋体" w:hAnsi="宋体" w:cs="宋体"/>
                <w:color w:val="auto"/>
                <w:szCs w:val="21"/>
              </w:rPr>
            </w:pPr>
            <w:r>
              <w:rPr>
                <w:rFonts w:hint="eastAsia" w:ascii="宋体" w:hAnsi="宋体" w:cs="宋体"/>
                <w:color w:val="auto"/>
                <w:szCs w:val="21"/>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jc w:val="center"/>
        </w:trPr>
        <w:tc>
          <w:tcPr>
            <w:tcW w:w="107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Cs w:val="21"/>
              </w:rPr>
            </w:pPr>
          </w:p>
        </w:tc>
        <w:tc>
          <w:tcPr>
            <w:tcW w:w="973" w:type="dxa"/>
            <w:tcBorders>
              <w:left w:val="single" w:color="auto" w:sz="4" w:space="0"/>
              <w:right w:val="single" w:color="auto" w:sz="4" w:space="0"/>
            </w:tcBorders>
            <w:vAlign w:val="center"/>
          </w:tcPr>
          <w:p>
            <w:pPr>
              <w:jc w:val="center"/>
              <w:rPr>
                <w:rFonts w:ascii="宋体" w:hAnsi="宋体"/>
                <w:color w:val="auto"/>
                <w:szCs w:val="21"/>
              </w:rPr>
            </w:pPr>
            <w:r>
              <w:rPr>
                <w:rFonts w:hint="eastAsia" w:ascii="宋体" w:hAnsi="宋体"/>
                <w:color w:val="auto"/>
                <w:szCs w:val="21"/>
              </w:rPr>
              <w:t>重难点分析</w:t>
            </w:r>
          </w:p>
          <w:p>
            <w:pPr>
              <w:jc w:val="center"/>
              <w:rPr>
                <w:rFonts w:ascii="宋体" w:hAnsi="宋体" w:cs="宋体"/>
                <w:color w:val="auto"/>
                <w:szCs w:val="21"/>
              </w:rPr>
            </w:pPr>
            <w:r>
              <w:rPr>
                <w:rFonts w:hint="eastAsia" w:ascii="宋体" w:hAnsi="宋体" w:cs="宋体"/>
                <w:color w:val="auto"/>
                <w:spacing w:val="-20"/>
                <w:szCs w:val="21"/>
              </w:rPr>
              <w:t>（</w:t>
            </w:r>
            <w:r>
              <w:rPr>
                <w:rFonts w:hint="eastAsia" w:ascii="宋体" w:hAnsi="宋体" w:cs="宋体"/>
                <w:color w:val="auto"/>
                <w:szCs w:val="21"/>
              </w:rPr>
              <w:t>5</w:t>
            </w:r>
            <w:r>
              <w:rPr>
                <w:rFonts w:hint="eastAsia" w:ascii="宋体" w:hAnsi="宋体" w:cs="宋体"/>
                <w:color w:val="auto"/>
                <w:spacing w:val="-20"/>
                <w:szCs w:val="21"/>
              </w:rPr>
              <w:t>分）</w:t>
            </w:r>
          </w:p>
          <w:p>
            <w:pPr>
              <w:ind w:firstLine="420" w:firstLineChars="200"/>
              <w:jc w:val="center"/>
              <w:rPr>
                <w:rFonts w:ascii="宋体" w:hAnsi="宋体" w:cs="宋体"/>
                <w:color w:val="auto"/>
                <w:szCs w:val="21"/>
              </w:rPr>
            </w:pPr>
          </w:p>
        </w:tc>
        <w:tc>
          <w:tcPr>
            <w:tcW w:w="6550" w:type="dxa"/>
            <w:tcBorders>
              <w:top w:val="single" w:color="auto" w:sz="4" w:space="0"/>
              <w:left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供应商根据对项目深入理解，作出重难点分析，提出解决方案的得3分。未提供重难点分析及解决方案或重难点分析及解决方案明显错误的此项不得分。</w:t>
            </w:r>
          </w:p>
          <w:p>
            <w:pPr>
              <w:ind w:firstLine="428" w:firstLineChars="204"/>
              <w:jc w:val="left"/>
              <w:rPr>
                <w:rFonts w:ascii="宋体" w:hAnsi="宋体"/>
                <w:color w:val="auto"/>
                <w:szCs w:val="21"/>
              </w:rPr>
            </w:pPr>
            <w:r>
              <w:rPr>
                <w:rFonts w:hint="eastAsia" w:ascii="宋体" w:hAnsi="宋体"/>
                <w:color w:val="auto"/>
                <w:szCs w:val="21"/>
              </w:rPr>
              <w:t>重难点分析及解决方案表述简单粗略的不加分；表述基本可行且有针对性的加1分；认识深刻，分析合理，能提出专业的重难点解决方案的加2分。</w:t>
            </w:r>
          </w:p>
        </w:tc>
        <w:tc>
          <w:tcPr>
            <w:tcW w:w="1116" w:type="dxa"/>
            <w:tcBorders>
              <w:top w:val="single" w:color="auto" w:sz="4" w:space="0"/>
              <w:left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技术评审</w:t>
            </w:r>
          </w:p>
          <w:p>
            <w:pPr>
              <w:jc w:val="center"/>
              <w:rPr>
                <w:rFonts w:ascii="宋体" w:hAnsi="宋体" w:cs="宋体"/>
                <w:color w:val="auto"/>
                <w:szCs w:val="21"/>
              </w:rPr>
            </w:pPr>
            <w:r>
              <w:rPr>
                <w:rFonts w:hint="eastAsia" w:ascii="宋体" w:hAnsi="宋体" w:cs="宋体"/>
                <w:color w:val="auto"/>
                <w:szCs w:val="21"/>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1" w:hRule="atLeast"/>
          <w:jc w:val="center"/>
        </w:trPr>
        <w:tc>
          <w:tcPr>
            <w:tcW w:w="1079" w:type="dxa"/>
            <w:vMerge w:val="restart"/>
            <w:tcBorders>
              <w:top w:val="single" w:color="auto" w:sz="4" w:space="0"/>
              <w:left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商务</w:t>
            </w:r>
          </w:p>
          <w:p>
            <w:pPr>
              <w:jc w:val="center"/>
              <w:rPr>
                <w:rFonts w:ascii="宋体" w:hAnsi="宋体" w:cs="宋体"/>
                <w:color w:val="auto"/>
                <w:szCs w:val="21"/>
              </w:rPr>
            </w:pPr>
            <w:r>
              <w:rPr>
                <w:rFonts w:hint="eastAsia" w:ascii="宋体" w:hAnsi="宋体" w:cs="宋体"/>
                <w:color w:val="auto"/>
                <w:szCs w:val="21"/>
              </w:rPr>
              <w:t>部分</w:t>
            </w:r>
          </w:p>
          <w:p>
            <w:pPr>
              <w:jc w:val="center"/>
              <w:rPr>
                <w:rFonts w:ascii="宋体" w:hAnsi="宋体" w:cs="宋体"/>
                <w:color w:val="auto"/>
                <w:szCs w:val="21"/>
              </w:rPr>
            </w:pPr>
            <w:r>
              <w:rPr>
                <w:rFonts w:hint="eastAsia" w:ascii="宋体" w:hAnsi="宋体" w:cs="宋体"/>
                <w:color w:val="auto"/>
                <w:szCs w:val="21"/>
              </w:rPr>
              <w:t>（50分）</w:t>
            </w:r>
          </w:p>
        </w:tc>
        <w:tc>
          <w:tcPr>
            <w:tcW w:w="9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人员配置</w:t>
            </w:r>
          </w:p>
          <w:p>
            <w:pPr>
              <w:jc w:val="cente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u w:val="single"/>
              </w:rPr>
              <w:t xml:space="preserve">16 </w:t>
            </w:r>
            <w:r>
              <w:rPr>
                <w:rFonts w:hint="eastAsia" w:ascii="宋体" w:hAnsi="宋体" w:cs="宋体"/>
                <w:color w:val="auto"/>
                <w:szCs w:val="21"/>
              </w:rPr>
              <w:t>分）</w:t>
            </w:r>
          </w:p>
        </w:tc>
        <w:tc>
          <w:tcPr>
            <w:tcW w:w="6550"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1、拟为本项目配备的项目负责人具有测绘相关专业高级职称的得1分，项目负责人具有正高级职称的加1分。此项共计2分。</w:t>
            </w:r>
          </w:p>
          <w:p>
            <w:pPr>
              <w:ind w:firstLine="428" w:firstLineChars="204"/>
              <w:jc w:val="left"/>
              <w:rPr>
                <w:rFonts w:ascii="宋体" w:hAnsi="宋体"/>
                <w:color w:val="auto"/>
                <w:szCs w:val="21"/>
              </w:rPr>
            </w:pPr>
            <w:r>
              <w:rPr>
                <w:rFonts w:hint="eastAsia" w:ascii="宋体" w:hAnsi="宋体"/>
                <w:color w:val="auto"/>
                <w:szCs w:val="21"/>
              </w:rPr>
              <w:t>2、拟为本项目配备的技术负责人具有测绘相关专业高级职称的得1分，技术负责人具有正高级职称的加1分。此项共计2分。</w:t>
            </w:r>
          </w:p>
          <w:p>
            <w:pPr>
              <w:ind w:firstLine="428" w:firstLineChars="204"/>
              <w:jc w:val="left"/>
              <w:rPr>
                <w:rFonts w:ascii="宋体" w:hAnsi="宋体"/>
                <w:color w:val="auto"/>
                <w:szCs w:val="21"/>
              </w:rPr>
            </w:pPr>
            <w:r>
              <w:rPr>
                <w:rFonts w:hint="eastAsia" w:ascii="宋体" w:hAnsi="宋体"/>
                <w:color w:val="auto"/>
                <w:szCs w:val="21"/>
              </w:rPr>
              <w:t>3、拟为本项目配备的质量负责人具有测绘相关专业高级职称的得1分。此项共计1分。</w:t>
            </w:r>
          </w:p>
          <w:p>
            <w:pPr>
              <w:ind w:firstLine="428" w:firstLineChars="204"/>
              <w:jc w:val="left"/>
              <w:rPr>
                <w:rFonts w:ascii="宋体" w:hAnsi="宋体"/>
                <w:color w:val="auto"/>
                <w:szCs w:val="21"/>
              </w:rPr>
            </w:pPr>
            <w:r>
              <w:rPr>
                <w:rFonts w:ascii="宋体" w:hAnsi="宋体"/>
                <w:color w:val="auto"/>
                <w:szCs w:val="21"/>
              </w:rPr>
              <w:t>4</w:t>
            </w:r>
            <w:r>
              <w:rPr>
                <w:rFonts w:hint="eastAsia" w:ascii="宋体" w:hAnsi="宋体"/>
                <w:color w:val="auto"/>
                <w:szCs w:val="21"/>
              </w:rPr>
              <w:t>、拟为本项目配备的技术</w:t>
            </w:r>
            <w:r>
              <w:rPr>
                <w:rFonts w:ascii="宋体" w:hAnsi="宋体"/>
                <w:color w:val="auto"/>
                <w:szCs w:val="21"/>
              </w:rPr>
              <w:t>人员及售后服务人员</w:t>
            </w:r>
            <w:r>
              <w:rPr>
                <w:rFonts w:hint="eastAsia" w:ascii="宋体" w:hAnsi="宋体"/>
                <w:color w:val="auto"/>
                <w:szCs w:val="21"/>
              </w:rPr>
              <w:t>30人及以上得6分。上述人员具有测绘或者物探相关专业中级职称的每一个人加0.5分，具有测绘或者物探相关专业高级及</w:t>
            </w:r>
            <w:r>
              <w:rPr>
                <w:rFonts w:ascii="宋体" w:hAnsi="宋体"/>
                <w:color w:val="auto"/>
                <w:szCs w:val="21"/>
              </w:rPr>
              <w:t>以上</w:t>
            </w:r>
            <w:r>
              <w:rPr>
                <w:rFonts w:hint="eastAsia" w:ascii="宋体" w:hAnsi="宋体"/>
                <w:color w:val="auto"/>
                <w:szCs w:val="21"/>
              </w:rPr>
              <w:t>职称的每一个人加1分，最多加5分。此项共计11分。</w:t>
            </w:r>
          </w:p>
          <w:p>
            <w:pPr>
              <w:ind w:firstLine="430" w:firstLineChars="204"/>
              <w:jc w:val="left"/>
              <w:rPr>
                <w:rFonts w:ascii="宋体" w:hAnsi="宋体"/>
                <w:b/>
                <w:color w:val="auto"/>
                <w:szCs w:val="21"/>
              </w:rPr>
            </w:pPr>
            <w:r>
              <w:rPr>
                <w:rFonts w:hint="eastAsia" w:ascii="宋体" w:hAnsi="宋体"/>
                <w:b/>
                <w:color w:val="auto"/>
                <w:szCs w:val="21"/>
              </w:rPr>
              <w:t>注：1、以上人员不重复计算。</w:t>
            </w:r>
          </w:p>
          <w:p>
            <w:pPr>
              <w:ind w:firstLine="430" w:firstLineChars="204"/>
              <w:jc w:val="left"/>
              <w:rPr>
                <w:rFonts w:ascii="宋体" w:hAnsi="宋体"/>
                <w:b/>
                <w:color w:val="auto"/>
                <w:szCs w:val="21"/>
              </w:rPr>
            </w:pPr>
            <w:r>
              <w:rPr>
                <w:rFonts w:hint="eastAsia" w:ascii="宋体" w:hAnsi="宋体"/>
                <w:b/>
                <w:color w:val="auto"/>
                <w:szCs w:val="21"/>
              </w:rPr>
              <w:t>2、供应商需提供以上相关人员有效的身份证复印件、有效的资格证书复印件及为本单位人员的证明材料复印件，无有效证明材料的相应项不得分。</w:t>
            </w:r>
          </w:p>
          <w:p>
            <w:pPr>
              <w:ind w:firstLine="430" w:firstLineChars="204"/>
              <w:jc w:val="left"/>
              <w:rPr>
                <w:rFonts w:ascii="宋体" w:hAnsi="宋体"/>
                <w:b/>
                <w:color w:val="auto"/>
                <w:szCs w:val="21"/>
              </w:rPr>
            </w:pPr>
          </w:p>
        </w:tc>
        <w:tc>
          <w:tcPr>
            <w:tcW w:w="11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rPr>
            </w:pPr>
            <w:r>
              <w:rPr>
                <w:rFonts w:hint="eastAsia" w:ascii="宋体" w:hAnsi="宋体" w:cs="宋体"/>
                <w:color w:val="auto"/>
                <w:kern w:val="0"/>
                <w:szCs w:val="21"/>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1079" w:type="dxa"/>
            <w:vMerge w:val="continue"/>
            <w:tcBorders>
              <w:left w:val="single" w:color="auto" w:sz="4" w:space="0"/>
              <w:right w:val="single" w:color="auto" w:sz="4" w:space="0"/>
            </w:tcBorders>
            <w:vAlign w:val="center"/>
          </w:tcPr>
          <w:p>
            <w:pPr>
              <w:jc w:val="center"/>
              <w:rPr>
                <w:rFonts w:ascii="宋体" w:hAnsi="宋体" w:cs="宋体"/>
                <w:color w:val="auto"/>
                <w:szCs w:val="21"/>
              </w:rPr>
            </w:pPr>
          </w:p>
        </w:tc>
        <w:tc>
          <w:tcPr>
            <w:tcW w:w="9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仪器设备配置</w:t>
            </w:r>
          </w:p>
          <w:p>
            <w:pPr>
              <w:jc w:val="cente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u w:val="single"/>
              </w:rPr>
              <w:t xml:space="preserve"> 16 </w:t>
            </w:r>
            <w:r>
              <w:rPr>
                <w:rFonts w:hint="eastAsia" w:ascii="宋体" w:hAnsi="宋体" w:cs="宋体"/>
                <w:color w:val="auto"/>
                <w:szCs w:val="21"/>
              </w:rPr>
              <w:t>分)</w:t>
            </w:r>
          </w:p>
        </w:tc>
        <w:tc>
          <w:tcPr>
            <w:tcW w:w="6550"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1、拟投入管线探测仪器数量10台得2分；每增加1台加0.2分，最多加2分。此项共计4分。</w:t>
            </w:r>
          </w:p>
          <w:p>
            <w:pPr>
              <w:ind w:firstLine="428" w:firstLineChars="204"/>
              <w:jc w:val="left"/>
              <w:rPr>
                <w:rFonts w:ascii="宋体" w:hAnsi="宋体"/>
                <w:color w:val="auto"/>
                <w:szCs w:val="21"/>
              </w:rPr>
            </w:pPr>
            <w:r>
              <w:rPr>
                <w:rFonts w:hint="eastAsia" w:ascii="宋体" w:hAnsi="宋体"/>
                <w:color w:val="auto"/>
                <w:szCs w:val="21"/>
              </w:rPr>
              <w:t>2、拟投入</w:t>
            </w:r>
            <w:r>
              <w:rPr>
                <w:rFonts w:ascii="宋体" w:hAnsi="宋体"/>
                <w:color w:val="auto"/>
                <w:szCs w:val="21"/>
              </w:rPr>
              <w:t>GNSS</w:t>
            </w:r>
            <w:r>
              <w:rPr>
                <w:rFonts w:hint="eastAsia" w:ascii="宋体" w:hAnsi="宋体"/>
                <w:color w:val="auto"/>
                <w:szCs w:val="21"/>
              </w:rPr>
              <w:t>接收机数量10台得2分；每增加1台加0.2分，最多加2分。此项共计4分。</w:t>
            </w:r>
          </w:p>
          <w:p>
            <w:pPr>
              <w:ind w:firstLine="428" w:firstLineChars="204"/>
              <w:jc w:val="left"/>
              <w:rPr>
                <w:rFonts w:ascii="宋体" w:hAnsi="宋体"/>
                <w:color w:val="auto"/>
                <w:szCs w:val="21"/>
              </w:rPr>
            </w:pPr>
            <w:r>
              <w:rPr>
                <w:rFonts w:hint="eastAsia" w:ascii="宋体" w:hAnsi="宋体"/>
                <w:color w:val="auto"/>
                <w:szCs w:val="21"/>
              </w:rPr>
              <w:t>3、拟投入的全站仪数量10台得2分；每增加1台加0.2分，最多加2分。此项共计4分。</w:t>
            </w:r>
          </w:p>
          <w:p>
            <w:pPr>
              <w:ind w:firstLine="428" w:firstLineChars="204"/>
              <w:jc w:val="left"/>
              <w:rPr>
                <w:rFonts w:ascii="宋体" w:hAnsi="宋体"/>
                <w:color w:val="auto"/>
                <w:szCs w:val="21"/>
              </w:rPr>
            </w:pPr>
            <w:r>
              <w:rPr>
                <w:rFonts w:hint="eastAsia" w:ascii="宋体" w:hAnsi="宋体"/>
                <w:color w:val="auto"/>
                <w:szCs w:val="21"/>
              </w:rPr>
              <w:t>4、拟投入地质雷达1台的，得</w:t>
            </w:r>
            <w:r>
              <w:rPr>
                <w:rFonts w:ascii="宋体" w:hAnsi="宋体"/>
                <w:color w:val="auto"/>
                <w:szCs w:val="21"/>
              </w:rPr>
              <w:t>2</w:t>
            </w:r>
            <w:r>
              <w:rPr>
                <w:rFonts w:hint="eastAsia" w:ascii="宋体" w:hAnsi="宋体"/>
                <w:color w:val="auto"/>
                <w:szCs w:val="21"/>
              </w:rPr>
              <w:t>分。</w:t>
            </w:r>
          </w:p>
          <w:p>
            <w:pPr>
              <w:ind w:firstLine="428" w:firstLineChars="204"/>
              <w:jc w:val="left"/>
              <w:rPr>
                <w:rFonts w:ascii="宋体" w:hAnsi="宋体"/>
                <w:color w:val="auto"/>
                <w:szCs w:val="21"/>
              </w:rPr>
            </w:pPr>
            <w:r>
              <w:rPr>
                <w:rFonts w:hint="eastAsia" w:ascii="宋体" w:hAnsi="宋体"/>
                <w:color w:val="auto"/>
                <w:szCs w:val="21"/>
              </w:rPr>
              <w:t>5、拟投入非金属管线探测仪或管线探地雷达1台的，得2分。</w:t>
            </w:r>
            <w:r>
              <w:rPr>
                <w:rFonts w:hint="eastAsia" w:ascii="宋体" w:hAnsi="宋体"/>
                <w:color w:val="auto"/>
                <w:szCs w:val="21"/>
              </w:rPr>
              <w:br w:type="page"/>
            </w:r>
          </w:p>
          <w:p>
            <w:pPr>
              <w:ind w:firstLine="430" w:firstLineChars="204"/>
              <w:jc w:val="left"/>
              <w:rPr>
                <w:rFonts w:ascii="宋体" w:hAnsi="宋体"/>
                <w:b/>
                <w:color w:val="auto"/>
                <w:szCs w:val="21"/>
              </w:rPr>
            </w:pPr>
            <w:r>
              <w:rPr>
                <w:rFonts w:hint="eastAsia" w:ascii="宋体" w:hAnsi="宋体"/>
                <w:b/>
                <w:color w:val="auto"/>
                <w:szCs w:val="21"/>
              </w:rPr>
              <w:t>注：1、自有的管线探测仪、地质雷达和非金属管线探测仪提供购置发票复印件，非自有的管线探测仪、地质雷达和非金属管线探测仪、管线探地雷达提供租赁证明材料，无有效证明材料不得分。</w:t>
            </w:r>
          </w:p>
          <w:p>
            <w:pPr>
              <w:ind w:firstLine="430" w:firstLineChars="204"/>
              <w:jc w:val="left"/>
              <w:rPr>
                <w:rFonts w:ascii="宋体" w:hAnsi="宋体"/>
                <w:b/>
                <w:color w:val="auto"/>
                <w:szCs w:val="21"/>
              </w:rPr>
            </w:pPr>
            <w:r>
              <w:rPr>
                <w:rFonts w:hint="eastAsia" w:ascii="宋体" w:hAnsi="宋体"/>
                <w:b/>
                <w:color w:val="auto"/>
                <w:szCs w:val="21"/>
              </w:rPr>
              <w:t>2、自有的GNSS接收机和全站仪提供购置发票复印件和有效期内的仪器检定证书复印件，非自有的GNSS接收机和全站仪提供租赁合同复印件和仪器检定证书复印件，无有效证明材料不得分。</w:t>
            </w:r>
          </w:p>
          <w:p>
            <w:pPr>
              <w:ind w:firstLine="430" w:firstLineChars="204"/>
              <w:jc w:val="left"/>
              <w:rPr>
                <w:rFonts w:ascii="宋体" w:hAnsi="宋体"/>
                <w:color w:val="auto"/>
                <w:szCs w:val="21"/>
              </w:rPr>
            </w:pPr>
            <w:r>
              <w:rPr>
                <w:rFonts w:hint="eastAsia" w:ascii="宋体" w:hAnsi="宋体"/>
                <w:b/>
                <w:color w:val="auto"/>
                <w:szCs w:val="21"/>
              </w:rPr>
              <w:t>3、若</w:t>
            </w:r>
            <w:r>
              <w:rPr>
                <w:rFonts w:ascii="宋体" w:hAnsi="宋体"/>
                <w:b/>
                <w:color w:val="auto"/>
                <w:szCs w:val="21"/>
              </w:rPr>
              <w:t>涉及多个仪器设备使用同一份发票或证书的，应注明用于本包件的数量及对应产品编号。</w:t>
            </w:r>
          </w:p>
        </w:tc>
        <w:tc>
          <w:tcPr>
            <w:tcW w:w="11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rPr>
            </w:pPr>
            <w:r>
              <w:rPr>
                <w:rFonts w:hint="eastAsia" w:ascii="宋体" w:hAnsi="宋体" w:cs="宋体"/>
                <w:color w:val="auto"/>
                <w:kern w:val="0"/>
                <w:szCs w:val="21"/>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vMerge w:val="continue"/>
            <w:tcBorders>
              <w:left w:val="single" w:color="auto" w:sz="4" w:space="0"/>
              <w:right w:val="single" w:color="auto" w:sz="4" w:space="0"/>
            </w:tcBorders>
            <w:vAlign w:val="center"/>
          </w:tcPr>
          <w:p>
            <w:pPr>
              <w:jc w:val="center"/>
              <w:rPr>
                <w:rFonts w:ascii="宋体" w:hAnsi="宋体" w:cs="宋体"/>
                <w:color w:val="auto"/>
                <w:szCs w:val="21"/>
              </w:rPr>
            </w:pPr>
          </w:p>
        </w:tc>
        <w:tc>
          <w:tcPr>
            <w:tcW w:w="9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企业</w:t>
            </w:r>
          </w:p>
          <w:p>
            <w:pPr>
              <w:jc w:val="center"/>
              <w:rPr>
                <w:rFonts w:ascii="宋体" w:hAnsi="宋体" w:cs="宋体"/>
                <w:color w:val="auto"/>
                <w:szCs w:val="21"/>
              </w:rPr>
            </w:pPr>
            <w:r>
              <w:rPr>
                <w:rFonts w:hint="eastAsia" w:ascii="宋体" w:hAnsi="宋体" w:cs="宋体"/>
                <w:color w:val="auto"/>
                <w:szCs w:val="21"/>
              </w:rPr>
              <w:t>业绩</w:t>
            </w:r>
          </w:p>
          <w:p>
            <w:pPr>
              <w:jc w:val="center"/>
              <w:rPr>
                <w:rFonts w:ascii="宋体" w:hAnsi="宋体" w:cs="宋体"/>
                <w:color w:val="auto"/>
                <w:szCs w:val="21"/>
              </w:rPr>
            </w:pPr>
            <w:r>
              <w:rPr>
                <w:rFonts w:hint="eastAsia" w:ascii="宋体" w:hAnsi="宋体" w:cs="宋体"/>
                <w:color w:val="auto"/>
                <w:szCs w:val="21"/>
              </w:rPr>
              <w:t>(12分)</w:t>
            </w:r>
          </w:p>
        </w:tc>
        <w:tc>
          <w:tcPr>
            <w:tcW w:w="6550"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2017年1月1日至今以来，每完成一个类似地下管线普查业绩的得0.5分，最多6分；以上提供业绩中同时具有</w:t>
            </w:r>
            <w:r>
              <w:rPr>
                <w:rFonts w:hint="eastAsia" w:ascii="宋体" w:hAnsi="宋体"/>
                <w:b/>
                <w:color w:val="auto"/>
                <w:szCs w:val="21"/>
              </w:rPr>
              <w:t>测绘成果</w:t>
            </w:r>
            <w:r>
              <w:rPr>
                <w:rFonts w:hint="eastAsia" w:ascii="宋体" w:hAnsi="宋体"/>
                <w:color w:val="auto"/>
                <w:szCs w:val="21"/>
              </w:rPr>
              <w:t>质量检验机构出具的本项目质检报告每一个加1.5分，最多加6分。本项共计12分。</w:t>
            </w:r>
          </w:p>
          <w:p>
            <w:pPr>
              <w:ind w:firstLine="430" w:firstLineChars="204"/>
              <w:jc w:val="left"/>
              <w:rPr>
                <w:rFonts w:ascii="宋体" w:hAnsi="宋体"/>
                <w:b/>
                <w:color w:val="auto"/>
                <w:szCs w:val="21"/>
              </w:rPr>
            </w:pPr>
            <w:r>
              <w:rPr>
                <w:rFonts w:hint="eastAsia" w:ascii="宋体" w:hAnsi="宋体"/>
                <w:b/>
                <w:color w:val="auto"/>
                <w:szCs w:val="21"/>
              </w:rPr>
              <w:t>注：1、提供合同（或任务来源证明文件）、测绘成果质量检验机构出具的质检报告复印件，未提供证明材料或证明材料不齐、不能清晰反映上述内容的，不得分。</w:t>
            </w:r>
          </w:p>
          <w:p>
            <w:pPr>
              <w:ind w:firstLine="430" w:firstLineChars="204"/>
              <w:jc w:val="left"/>
              <w:rPr>
                <w:rFonts w:ascii="宋体" w:hAnsi="宋体"/>
                <w:color w:val="auto"/>
                <w:szCs w:val="21"/>
              </w:rPr>
            </w:pPr>
            <w:r>
              <w:rPr>
                <w:rFonts w:hint="eastAsia" w:ascii="宋体" w:hAnsi="宋体"/>
                <w:b/>
                <w:color w:val="auto"/>
                <w:szCs w:val="21"/>
              </w:rPr>
              <w:t>2、业绩</w:t>
            </w:r>
            <w:r>
              <w:rPr>
                <w:rFonts w:ascii="宋体" w:hAnsi="宋体"/>
                <w:b/>
                <w:color w:val="auto"/>
                <w:szCs w:val="21"/>
              </w:rPr>
              <w:t>时间以合同签订</w:t>
            </w:r>
            <w:r>
              <w:rPr>
                <w:rFonts w:hint="eastAsia" w:ascii="宋体" w:hAnsi="宋体"/>
                <w:b/>
                <w:color w:val="auto"/>
                <w:szCs w:val="21"/>
              </w:rPr>
              <w:t>时间</w:t>
            </w:r>
            <w:r>
              <w:rPr>
                <w:rFonts w:ascii="宋体" w:hAnsi="宋体"/>
                <w:b/>
                <w:color w:val="auto"/>
                <w:szCs w:val="21"/>
              </w:rPr>
              <w:t>为准。</w:t>
            </w:r>
          </w:p>
        </w:tc>
        <w:tc>
          <w:tcPr>
            <w:tcW w:w="11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kern w:val="0"/>
                <w:szCs w:val="21"/>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079" w:type="dxa"/>
            <w:vMerge w:val="continue"/>
            <w:tcBorders>
              <w:left w:val="single" w:color="auto" w:sz="4" w:space="0"/>
              <w:right w:val="single" w:color="auto" w:sz="4" w:space="0"/>
            </w:tcBorders>
            <w:vAlign w:val="center"/>
          </w:tcPr>
          <w:p>
            <w:pPr>
              <w:jc w:val="left"/>
              <w:rPr>
                <w:rFonts w:ascii="宋体" w:hAnsi="宋体" w:cs="宋体"/>
                <w:color w:val="auto"/>
                <w:szCs w:val="21"/>
              </w:rPr>
            </w:pPr>
          </w:p>
        </w:tc>
        <w:tc>
          <w:tcPr>
            <w:tcW w:w="9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ascii="宋体" w:hAnsi="宋体" w:cs="宋体"/>
                <w:color w:val="auto"/>
              </w:rPr>
              <w:t>企业</w:t>
            </w:r>
          </w:p>
          <w:p>
            <w:pPr>
              <w:jc w:val="center"/>
              <w:rPr>
                <w:rFonts w:ascii="宋体" w:hAnsi="宋体" w:cs="宋体"/>
                <w:color w:val="auto"/>
              </w:rPr>
            </w:pPr>
            <w:r>
              <w:rPr>
                <w:rFonts w:hint="eastAsia" w:ascii="宋体" w:hAnsi="宋体" w:cs="宋体"/>
                <w:color w:val="auto"/>
              </w:rPr>
              <w:t>信誉</w:t>
            </w:r>
          </w:p>
          <w:p>
            <w:pPr>
              <w:jc w:val="center"/>
              <w:rPr>
                <w:rFonts w:ascii="宋体" w:hAnsi="宋体" w:cs="宋体"/>
                <w:color w:val="auto"/>
                <w:szCs w:val="21"/>
              </w:rPr>
            </w:pPr>
            <w:r>
              <w:rPr>
                <w:rFonts w:hint="eastAsia" w:ascii="宋体" w:hAnsi="宋体" w:cs="宋体"/>
                <w:color w:val="auto"/>
                <w:szCs w:val="21"/>
              </w:rPr>
              <w:t>（4分）</w:t>
            </w:r>
          </w:p>
        </w:tc>
        <w:tc>
          <w:tcPr>
            <w:tcW w:w="6550"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1、提供有效期内的质量管理体系认证证书、环境管理体系认证证书、职业健康安全管理体系认证证书、</w:t>
            </w:r>
            <w:r>
              <w:rPr>
                <w:rFonts w:ascii="宋体" w:hAnsi="宋体"/>
                <w:color w:val="auto"/>
                <w:szCs w:val="21"/>
              </w:rPr>
              <w:t>信息安全管理体系认证证书</w:t>
            </w:r>
            <w:r>
              <w:rPr>
                <w:rFonts w:hint="eastAsia" w:ascii="宋体" w:hAnsi="宋体"/>
                <w:color w:val="auto"/>
                <w:szCs w:val="21"/>
              </w:rPr>
              <w:t>，每有一个得1分，满分4分。</w:t>
            </w:r>
          </w:p>
          <w:p>
            <w:pPr>
              <w:ind w:firstLine="430" w:firstLineChars="204"/>
              <w:jc w:val="left"/>
              <w:rPr>
                <w:rFonts w:ascii="宋体" w:hAnsi="宋体"/>
                <w:b/>
                <w:color w:val="auto"/>
                <w:szCs w:val="21"/>
              </w:rPr>
            </w:pPr>
            <w:r>
              <w:rPr>
                <w:rFonts w:hint="eastAsia" w:ascii="宋体" w:hAnsi="宋体"/>
                <w:b/>
                <w:color w:val="auto"/>
                <w:szCs w:val="21"/>
              </w:rPr>
              <w:t>注：提供证书复印件。</w:t>
            </w:r>
          </w:p>
        </w:tc>
        <w:tc>
          <w:tcPr>
            <w:tcW w:w="11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kern w:val="0"/>
                <w:szCs w:val="21"/>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79" w:type="dxa"/>
            <w:vMerge w:val="continue"/>
            <w:tcBorders>
              <w:left w:val="single" w:color="auto" w:sz="4" w:space="0"/>
              <w:right w:val="single" w:color="auto" w:sz="4" w:space="0"/>
            </w:tcBorders>
            <w:vAlign w:val="center"/>
          </w:tcPr>
          <w:p>
            <w:pPr>
              <w:widowControl/>
              <w:jc w:val="left"/>
              <w:rPr>
                <w:rFonts w:ascii="宋体" w:hAnsi="宋体" w:cs="宋体"/>
                <w:color w:val="auto"/>
                <w:szCs w:val="21"/>
              </w:rPr>
            </w:pPr>
          </w:p>
        </w:tc>
        <w:tc>
          <w:tcPr>
            <w:tcW w:w="9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扶持少数民族不发达地区</w:t>
            </w:r>
          </w:p>
          <w:p>
            <w:pPr>
              <w:jc w:val="center"/>
              <w:rPr>
                <w:rFonts w:ascii="宋体" w:hAnsi="宋体" w:cs="宋体"/>
                <w:color w:val="auto"/>
                <w:szCs w:val="21"/>
              </w:rPr>
            </w:pPr>
            <w:r>
              <w:rPr>
                <w:rFonts w:hint="eastAsia" w:ascii="宋体" w:hAnsi="宋体" w:cs="宋体"/>
                <w:color w:val="auto"/>
                <w:szCs w:val="21"/>
              </w:rPr>
              <w:t>（1分）</w:t>
            </w:r>
          </w:p>
        </w:tc>
        <w:tc>
          <w:tcPr>
            <w:tcW w:w="6550"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供应商属于不发达地区供应商或属于少数民族地区供应商，得1分。</w:t>
            </w:r>
          </w:p>
          <w:p>
            <w:pPr>
              <w:ind w:firstLine="428" w:firstLineChars="204"/>
              <w:jc w:val="left"/>
              <w:rPr>
                <w:rFonts w:ascii="宋体" w:hAnsi="宋体"/>
                <w:color w:val="auto"/>
                <w:szCs w:val="21"/>
              </w:rPr>
            </w:pPr>
            <w:r>
              <w:rPr>
                <w:rFonts w:hint="eastAsia" w:ascii="宋体" w:hAnsi="宋体"/>
                <w:color w:val="auto"/>
                <w:szCs w:val="21"/>
              </w:rPr>
              <w:t>（提供供应商属于不发达地区供应商的相关证明材料或者提供注册地在少数民族地区的营业执照或法人登记证书等相关证明材料。）</w:t>
            </w:r>
          </w:p>
          <w:p>
            <w:pPr>
              <w:ind w:firstLine="430" w:firstLineChars="204"/>
              <w:jc w:val="left"/>
              <w:rPr>
                <w:rFonts w:ascii="宋体" w:hAnsi="宋体"/>
                <w:b/>
                <w:color w:val="auto"/>
                <w:szCs w:val="21"/>
              </w:rPr>
            </w:pPr>
            <w:r>
              <w:rPr>
                <w:rFonts w:hint="eastAsia" w:ascii="宋体" w:hAnsi="宋体"/>
                <w:b/>
                <w:color w:val="auto"/>
                <w:szCs w:val="21"/>
              </w:rPr>
              <w:t>注：1、供应商应在其提供的相关证明材料上注明“属于不发达地区供应商或属于少数民族地区供应商的相关证明材料”；如未注明或者注明不明确的，评审委员会可不予采用。</w:t>
            </w:r>
          </w:p>
          <w:p>
            <w:pPr>
              <w:ind w:firstLine="430" w:firstLineChars="204"/>
              <w:jc w:val="left"/>
              <w:rPr>
                <w:rFonts w:ascii="宋体" w:hAnsi="宋体"/>
                <w:color w:val="auto"/>
                <w:szCs w:val="21"/>
              </w:rPr>
            </w:pPr>
            <w:r>
              <w:rPr>
                <w:rFonts w:hint="eastAsia" w:ascii="宋体" w:hAnsi="宋体"/>
                <w:b/>
                <w:color w:val="auto"/>
                <w:szCs w:val="21"/>
              </w:rPr>
              <w:t>2、相关证明材料复印件。</w:t>
            </w:r>
          </w:p>
        </w:tc>
        <w:tc>
          <w:tcPr>
            <w:tcW w:w="11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kern w:val="0"/>
                <w:szCs w:val="21"/>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1079" w:type="dxa"/>
            <w:vMerge w:val="continue"/>
            <w:tcBorders>
              <w:left w:val="single" w:color="auto" w:sz="4" w:space="0"/>
              <w:right w:val="single" w:color="auto" w:sz="4" w:space="0"/>
            </w:tcBorders>
            <w:vAlign w:val="center"/>
          </w:tcPr>
          <w:p>
            <w:pPr>
              <w:widowControl/>
              <w:jc w:val="left"/>
              <w:rPr>
                <w:rFonts w:ascii="宋体" w:hAnsi="宋体" w:cs="宋体"/>
                <w:color w:val="auto"/>
                <w:szCs w:val="21"/>
              </w:rPr>
            </w:pPr>
          </w:p>
        </w:tc>
        <w:tc>
          <w:tcPr>
            <w:tcW w:w="9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投标文件的规范性</w:t>
            </w:r>
          </w:p>
          <w:p>
            <w:pPr>
              <w:jc w:val="center"/>
              <w:rPr>
                <w:rFonts w:ascii="宋体" w:hAnsi="宋体" w:cs="宋体"/>
                <w:color w:val="auto"/>
                <w:szCs w:val="21"/>
              </w:rPr>
            </w:pPr>
            <w:r>
              <w:rPr>
                <w:rFonts w:hint="eastAsia" w:ascii="宋体" w:hAnsi="宋体" w:cs="宋体"/>
                <w:color w:val="auto"/>
                <w:szCs w:val="21"/>
              </w:rPr>
              <w:t>（1分）</w:t>
            </w:r>
          </w:p>
        </w:tc>
        <w:tc>
          <w:tcPr>
            <w:tcW w:w="6550"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投标文件制作规范的，得1分；每有一项偏差的扣0.5分，扣完为止。</w:t>
            </w:r>
          </w:p>
        </w:tc>
        <w:tc>
          <w:tcPr>
            <w:tcW w:w="11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kern w:val="0"/>
                <w:szCs w:val="21"/>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0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
                <w:color w:val="auto"/>
                <w:szCs w:val="21"/>
              </w:rPr>
            </w:pPr>
            <w:r>
              <w:rPr>
                <w:rFonts w:hint="eastAsia" w:ascii="宋体" w:hAnsi="宋体" w:cs="宋体"/>
                <w:color w:val="auto"/>
                <w:szCs w:val="21"/>
              </w:rPr>
              <w:t>合计</w:t>
            </w:r>
          </w:p>
        </w:tc>
        <w:tc>
          <w:tcPr>
            <w:tcW w:w="8639" w:type="dxa"/>
            <w:gridSpan w:val="3"/>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ascii="宋体" w:hAnsi="宋体" w:cs="宋体"/>
                <w:color w:val="auto"/>
                <w:szCs w:val="21"/>
              </w:rPr>
            </w:pPr>
            <w:r>
              <w:rPr>
                <w:rFonts w:hint="eastAsia" w:ascii="宋体" w:hAnsi="宋体" w:cs="宋体"/>
                <w:color w:val="auto"/>
                <w:szCs w:val="21"/>
              </w:rPr>
              <w:t>100分</w:t>
            </w:r>
          </w:p>
        </w:tc>
      </w:tr>
    </w:tbl>
    <w:p>
      <w:pPr>
        <w:spacing w:line="560" w:lineRule="exact"/>
        <w:rPr>
          <w:rFonts w:ascii="宋体" w:hAnsi="宋体"/>
          <w:b/>
          <w:bCs/>
          <w:color w:val="auto"/>
          <w:sz w:val="28"/>
        </w:rPr>
      </w:pPr>
    </w:p>
    <w:p>
      <w:pPr>
        <w:spacing w:line="560" w:lineRule="exact"/>
        <w:rPr>
          <w:rFonts w:ascii="宋体" w:hAnsi="宋体"/>
          <w:b/>
          <w:bCs/>
          <w:color w:val="auto"/>
          <w:sz w:val="28"/>
        </w:rPr>
      </w:pPr>
      <w:r>
        <w:rPr>
          <w:rFonts w:hint="eastAsia" w:ascii="宋体" w:hAnsi="宋体"/>
          <w:b/>
          <w:bCs/>
          <w:color w:val="auto"/>
          <w:sz w:val="28"/>
        </w:rPr>
        <w:t xml:space="preserve">包件6 </w:t>
      </w:r>
      <w:r>
        <w:rPr>
          <w:rFonts w:ascii="宋体" w:hAnsi="宋体"/>
          <w:b/>
          <w:bCs/>
          <w:color w:val="auto"/>
          <w:sz w:val="28"/>
        </w:rPr>
        <w:t xml:space="preserve">  </w:t>
      </w:r>
      <w:r>
        <w:rPr>
          <w:rFonts w:hint="eastAsia" w:ascii="宋体" w:hAnsi="宋体"/>
          <w:b/>
          <w:bCs/>
          <w:color w:val="auto"/>
          <w:sz w:val="28"/>
        </w:rPr>
        <w:t>地下管线普查成果更新监理服务评分标准（成都市双流区地下管线普查成果更新项目采购）</w:t>
      </w:r>
    </w:p>
    <w:tbl>
      <w:tblPr>
        <w:tblStyle w:val="43"/>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308"/>
        <w:gridCol w:w="5912"/>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39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Cs w:val="21"/>
              </w:rPr>
            </w:pPr>
            <w:r>
              <w:rPr>
                <w:rFonts w:hint="eastAsia" w:ascii="宋体" w:hAnsi="宋体" w:cs="宋体"/>
                <w:b/>
                <w:color w:val="auto"/>
                <w:szCs w:val="21"/>
              </w:rPr>
              <w:t>评标项目</w:t>
            </w:r>
          </w:p>
        </w:tc>
        <w:tc>
          <w:tcPr>
            <w:tcW w:w="59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Cs w:val="21"/>
              </w:rPr>
            </w:pPr>
            <w:r>
              <w:rPr>
                <w:rFonts w:hint="eastAsia" w:ascii="宋体" w:hAnsi="宋体" w:cs="宋体"/>
                <w:b/>
                <w:color w:val="auto"/>
                <w:szCs w:val="21"/>
              </w:rPr>
              <w:t>评分标准</w:t>
            </w:r>
          </w:p>
        </w:tc>
        <w:tc>
          <w:tcPr>
            <w:tcW w:w="7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Cs w:val="21"/>
              </w:rPr>
            </w:pPr>
            <w:r>
              <w:rPr>
                <w:rFonts w:hint="eastAsia" w:ascii="宋体" w:hAnsi="宋体" w:cs="宋体"/>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239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价格</w:t>
            </w:r>
          </w:p>
          <w:p>
            <w:pPr>
              <w:jc w:val="center"/>
              <w:rPr>
                <w:rFonts w:ascii="宋体" w:hAnsi="宋体" w:cs="宋体"/>
                <w:color w:val="auto"/>
                <w:szCs w:val="21"/>
              </w:rPr>
            </w:pPr>
            <w:r>
              <w:rPr>
                <w:rFonts w:hint="eastAsia" w:ascii="宋体" w:hAnsi="宋体" w:cs="宋体"/>
                <w:color w:val="auto"/>
                <w:szCs w:val="21"/>
              </w:rPr>
              <w:t>（15分）</w:t>
            </w:r>
          </w:p>
        </w:tc>
        <w:tc>
          <w:tcPr>
            <w:tcW w:w="5912"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满足招标文件要求且报价最低的供应商的价格为评标基准价，其价格分为满分。其他供应商的价格分统一按照下列公式计算：投标报价得分=(评标基准价/投标报价)×15×100。</w:t>
            </w:r>
          </w:p>
          <w:p>
            <w:pPr>
              <w:ind w:firstLine="430" w:firstLineChars="204"/>
              <w:jc w:val="left"/>
              <w:rPr>
                <w:rFonts w:ascii="宋体" w:hAnsi="宋体"/>
                <w:b/>
                <w:color w:val="auto"/>
                <w:szCs w:val="21"/>
              </w:rPr>
            </w:pPr>
            <w:r>
              <w:rPr>
                <w:rFonts w:hint="eastAsia" w:ascii="宋体" w:hAnsi="宋体"/>
                <w:b/>
                <w:color w:val="auto"/>
                <w:szCs w:val="21"/>
              </w:rPr>
              <w:t>注：1、因落实政府采购政策进行价格调整的，以调整后的价格计算评标基准价和投标报价。</w:t>
            </w:r>
          </w:p>
          <w:p>
            <w:pPr>
              <w:ind w:firstLine="430" w:firstLineChars="204"/>
              <w:jc w:val="left"/>
              <w:rPr>
                <w:rFonts w:ascii="宋体" w:hAnsi="宋体"/>
                <w:b/>
                <w:color w:val="auto"/>
                <w:szCs w:val="21"/>
              </w:rPr>
            </w:pPr>
            <w:r>
              <w:rPr>
                <w:rFonts w:hint="eastAsia" w:ascii="宋体" w:hAnsi="宋体"/>
                <w:b/>
                <w:color w:val="auto"/>
                <w:szCs w:val="21"/>
              </w:rPr>
              <w:t>2、小微企业（残疾人福利性单位、监狱企业视同小微企业）价格扣除及失信企业价格惩戒加成或扣分政策按照供应商须知附表的相关要求执行。</w:t>
            </w:r>
          </w:p>
          <w:p>
            <w:pPr>
              <w:ind w:firstLine="430" w:firstLineChars="204"/>
              <w:jc w:val="left"/>
              <w:rPr>
                <w:rFonts w:ascii="宋体" w:hAnsi="宋体"/>
                <w:b/>
                <w:color w:val="auto"/>
                <w:szCs w:val="21"/>
              </w:rPr>
            </w:pPr>
            <w:r>
              <w:rPr>
                <w:rFonts w:hint="eastAsia" w:ascii="宋体" w:hAnsi="宋体"/>
                <w:b/>
                <w:color w:val="auto"/>
                <w:szCs w:val="21"/>
              </w:rPr>
              <w:t>3、根据四川省人民政府令第301号“四川省测绘地理信息局关于《四川省测绘地理信息市场管理办法》第十四条执行中有关问题的解答意见”中相关内容：“评标委员会发现投标单位报价明显低于其他投标报价，且不能做出合理说明并提供相关证明材料的，可以依法认定其投标无效”,“报价低于平均报价15%的为明显低于其他投标报价”是指：投标单位报价低于有效供应商的平均报价，且低于平均报价的幅度超过15%(平均报价-投标单位报价)/平均报价×100%≥15%)的，视为明显低于其他投标报价。</w:t>
            </w:r>
          </w:p>
          <w:p>
            <w:pPr>
              <w:ind w:firstLine="430" w:firstLineChars="204"/>
              <w:jc w:val="left"/>
              <w:rPr>
                <w:rFonts w:ascii="宋体" w:hAnsi="宋体"/>
                <w:color w:val="auto"/>
                <w:szCs w:val="21"/>
              </w:rPr>
            </w:pPr>
            <w:r>
              <w:rPr>
                <w:rFonts w:hint="eastAsia" w:ascii="宋体" w:hAnsi="宋体"/>
                <w:b/>
                <w:color w:val="auto"/>
                <w:szCs w:val="21"/>
              </w:rPr>
              <w:t>4、评分的取值按四舍五入法，保留小数点后两位。</w:t>
            </w:r>
          </w:p>
        </w:tc>
        <w:tc>
          <w:tcPr>
            <w:tcW w:w="7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经济评审因素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jc w:val="center"/>
        </w:trPr>
        <w:tc>
          <w:tcPr>
            <w:tcW w:w="1091" w:type="dxa"/>
            <w:vMerge w:val="restart"/>
            <w:tcBorders>
              <w:top w:val="single" w:color="auto" w:sz="4" w:space="0"/>
              <w:left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技术</w:t>
            </w:r>
          </w:p>
          <w:p>
            <w:pPr>
              <w:jc w:val="center"/>
              <w:rPr>
                <w:rFonts w:ascii="宋体" w:hAnsi="宋体" w:cs="宋体"/>
                <w:color w:val="auto"/>
                <w:szCs w:val="21"/>
              </w:rPr>
            </w:pPr>
            <w:r>
              <w:rPr>
                <w:rFonts w:hint="eastAsia" w:ascii="宋体" w:hAnsi="宋体" w:cs="宋体"/>
                <w:color w:val="auto"/>
                <w:szCs w:val="21"/>
              </w:rPr>
              <w:t>部分</w:t>
            </w:r>
          </w:p>
          <w:p>
            <w:pPr>
              <w:jc w:val="center"/>
              <w:rPr>
                <w:rFonts w:ascii="宋体" w:hAnsi="宋体" w:cs="宋体"/>
                <w:color w:val="auto"/>
                <w:szCs w:val="21"/>
              </w:rPr>
            </w:pPr>
            <w:r>
              <w:rPr>
                <w:rFonts w:hint="eastAsia" w:ascii="宋体" w:hAnsi="宋体" w:cs="宋体"/>
                <w:color w:val="auto"/>
                <w:szCs w:val="21"/>
              </w:rPr>
              <w:t>（35分）</w:t>
            </w:r>
          </w:p>
        </w:tc>
        <w:tc>
          <w:tcPr>
            <w:tcW w:w="1308" w:type="dxa"/>
            <w:tcBorders>
              <w:top w:val="single" w:color="auto" w:sz="4" w:space="0"/>
              <w:left w:val="single" w:color="auto" w:sz="4" w:space="0"/>
              <w:right w:val="single" w:color="auto" w:sz="4" w:space="0"/>
            </w:tcBorders>
            <w:vAlign w:val="center"/>
          </w:tcPr>
          <w:p>
            <w:pPr>
              <w:jc w:val="center"/>
              <w:rPr>
                <w:rFonts w:ascii="宋体" w:hAnsi="宋体"/>
                <w:color w:val="auto"/>
                <w:szCs w:val="21"/>
              </w:rPr>
            </w:pPr>
            <w:r>
              <w:rPr>
                <w:rFonts w:hint="eastAsia" w:ascii="宋体" w:hAnsi="宋体"/>
                <w:color w:val="auto"/>
                <w:szCs w:val="21"/>
              </w:rPr>
              <w:t>项目需</w:t>
            </w:r>
          </w:p>
          <w:p>
            <w:pPr>
              <w:jc w:val="center"/>
              <w:rPr>
                <w:rFonts w:ascii="宋体" w:hAnsi="宋体"/>
                <w:color w:val="auto"/>
                <w:szCs w:val="21"/>
              </w:rPr>
            </w:pPr>
            <w:r>
              <w:rPr>
                <w:rFonts w:hint="eastAsia" w:ascii="宋体" w:hAnsi="宋体"/>
                <w:color w:val="auto"/>
                <w:szCs w:val="21"/>
              </w:rPr>
              <w:t>求分析</w:t>
            </w:r>
          </w:p>
          <w:p>
            <w:pPr>
              <w:jc w:val="center"/>
              <w:rPr>
                <w:rFonts w:ascii="宋体" w:hAnsi="宋体" w:cs="宋体"/>
                <w:color w:val="auto"/>
                <w:szCs w:val="21"/>
              </w:rPr>
            </w:pPr>
            <w:r>
              <w:rPr>
                <w:rFonts w:hint="eastAsia" w:ascii="宋体" w:hAnsi="宋体"/>
                <w:color w:val="auto"/>
                <w:szCs w:val="21"/>
              </w:rPr>
              <w:t>（5分）</w:t>
            </w:r>
          </w:p>
        </w:tc>
        <w:tc>
          <w:tcPr>
            <w:tcW w:w="5912"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供应商根据对项目的理解，结合实际工作，对此项目作出需求分析的得3分。未提供相关分析或分析明显错误的此项不得分。</w:t>
            </w:r>
          </w:p>
          <w:p>
            <w:pPr>
              <w:ind w:firstLine="428" w:firstLineChars="204"/>
              <w:jc w:val="left"/>
              <w:rPr>
                <w:rFonts w:ascii="宋体" w:hAnsi="宋体"/>
                <w:color w:val="auto"/>
                <w:szCs w:val="21"/>
              </w:rPr>
            </w:pPr>
            <w:r>
              <w:rPr>
                <w:rFonts w:hint="eastAsia" w:ascii="宋体" w:hAnsi="宋体"/>
                <w:color w:val="auto"/>
                <w:szCs w:val="21"/>
              </w:rPr>
              <w:t>需求分析表述简单粗略的不加分；需求分析表述基本可行且有针对性的加1分；需求分析表述详尽、全面完善的加2分。</w:t>
            </w:r>
          </w:p>
        </w:tc>
        <w:tc>
          <w:tcPr>
            <w:tcW w:w="7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技术评审</w:t>
            </w:r>
          </w:p>
          <w:p>
            <w:pPr>
              <w:jc w:val="center"/>
              <w:rPr>
                <w:rFonts w:ascii="宋体" w:hAnsi="宋体" w:cs="宋体"/>
                <w:color w:val="auto"/>
                <w:szCs w:val="21"/>
              </w:rPr>
            </w:pPr>
            <w:r>
              <w:rPr>
                <w:rFonts w:hint="eastAsia" w:ascii="宋体" w:hAnsi="宋体" w:cs="宋体"/>
                <w:color w:val="auto"/>
                <w:szCs w:val="21"/>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4" w:hRule="atLeast"/>
          <w:jc w:val="center"/>
        </w:trPr>
        <w:tc>
          <w:tcPr>
            <w:tcW w:w="1091" w:type="dxa"/>
            <w:vMerge w:val="continue"/>
            <w:tcBorders>
              <w:left w:val="single" w:color="auto" w:sz="4" w:space="0"/>
              <w:right w:val="single" w:color="auto" w:sz="4" w:space="0"/>
            </w:tcBorders>
            <w:vAlign w:val="center"/>
          </w:tcPr>
          <w:p>
            <w:pPr>
              <w:widowControl/>
              <w:jc w:val="center"/>
              <w:rPr>
                <w:rFonts w:ascii="宋体" w:hAnsi="宋体" w:cs="宋体"/>
                <w:color w:val="auto"/>
                <w:szCs w:val="21"/>
              </w:rPr>
            </w:pPr>
          </w:p>
        </w:tc>
        <w:tc>
          <w:tcPr>
            <w:tcW w:w="1308" w:type="dxa"/>
            <w:tcBorders>
              <w:left w:val="single" w:color="auto" w:sz="4" w:space="0"/>
              <w:right w:val="single" w:color="auto" w:sz="4" w:space="0"/>
            </w:tcBorders>
            <w:vAlign w:val="center"/>
          </w:tcPr>
          <w:p>
            <w:pPr>
              <w:jc w:val="center"/>
              <w:rPr>
                <w:rFonts w:ascii="宋体" w:hAnsi="宋体"/>
                <w:color w:val="auto"/>
                <w:szCs w:val="21"/>
              </w:rPr>
            </w:pPr>
            <w:r>
              <w:rPr>
                <w:rFonts w:hint="eastAsia" w:ascii="宋体" w:hAnsi="宋体"/>
                <w:color w:val="auto"/>
                <w:szCs w:val="21"/>
              </w:rPr>
              <w:t>监理服</w:t>
            </w:r>
          </w:p>
          <w:p>
            <w:pPr>
              <w:jc w:val="center"/>
              <w:rPr>
                <w:rFonts w:ascii="宋体" w:hAnsi="宋体"/>
                <w:color w:val="auto"/>
                <w:szCs w:val="21"/>
              </w:rPr>
            </w:pPr>
            <w:r>
              <w:rPr>
                <w:rFonts w:hint="eastAsia" w:ascii="宋体" w:hAnsi="宋体"/>
                <w:color w:val="auto"/>
                <w:szCs w:val="21"/>
              </w:rPr>
              <w:t>务方案</w:t>
            </w:r>
          </w:p>
          <w:p>
            <w:pPr>
              <w:jc w:val="center"/>
              <w:rPr>
                <w:rFonts w:ascii="宋体" w:hAnsi="宋体" w:cs="宋体"/>
                <w:color w:val="auto"/>
                <w:szCs w:val="21"/>
              </w:rPr>
            </w:pPr>
            <w:r>
              <w:rPr>
                <w:rFonts w:hint="eastAsia" w:ascii="宋体" w:hAnsi="宋体"/>
                <w:color w:val="auto"/>
                <w:szCs w:val="21"/>
              </w:rPr>
              <w:t>（15分）</w:t>
            </w:r>
          </w:p>
        </w:tc>
        <w:tc>
          <w:tcPr>
            <w:tcW w:w="5912" w:type="dxa"/>
            <w:tcBorders>
              <w:top w:val="single" w:color="auto" w:sz="4" w:space="0"/>
              <w:left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供应商根据对项目的理解，结合实际工作，制定符合本项目的监理服务方案，监理服务方案应包含以下子项：工程准备监理、合同履行监理、工程进度监理、普查质量监理、数据成果监理。每提供一个子项得1分，最多得5分。方案中未提供相关子项或相关子项表述明显错误的，该子项不得分。</w:t>
            </w:r>
          </w:p>
          <w:p>
            <w:pPr>
              <w:ind w:firstLine="428" w:firstLineChars="204"/>
              <w:jc w:val="left"/>
              <w:rPr>
                <w:rFonts w:ascii="宋体" w:hAnsi="宋体"/>
                <w:color w:val="auto"/>
                <w:szCs w:val="21"/>
              </w:rPr>
            </w:pPr>
            <w:r>
              <w:rPr>
                <w:rFonts w:hint="eastAsia" w:ascii="宋体" w:hAnsi="宋体"/>
                <w:color w:val="auto"/>
                <w:szCs w:val="21"/>
              </w:rPr>
              <w:t>其中某一子项表述简单粗略的，该子项不加分；表述基本可行且有针对性的，该子项加1分；表述详尽、合理可行、具有针对性的，该子项加2分；最多加10分。</w:t>
            </w:r>
          </w:p>
        </w:tc>
        <w:tc>
          <w:tcPr>
            <w:tcW w:w="727" w:type="dxa"/>
            <w:tcBorders>
              <w:top w:val="single" w:color="auto" w:sz="4" w:space="0"/>
              <w:left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技术评审</w:t>
            </w:r>
          </w:p>
          <w:p>
            <w:pPr>
              <w:jc w:val="center"/>
              <w:rPr>
                <w:rFonts w:ascii="宋体" w:hAnsi="宋体" w:cs="宋体"/>
                <w:color w:val="auto"/>
                <w:szCs w:val="21"/>
              </w:rPr>
            </w:pPr>
            <w:r>
              <w:rPr>
                <w:rFonts w:hint="eastAsia" w:ascii="宋体" w:hAnsi="宋体" w:cs="宋体"/>
                <w:color w:val="auto"/>
                <w:szCs w:val="21"/>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91" w:type="dxa"/>
            <w:vMerge w:val="continue"/>
            <w:tcBorders>
              <w:left w:val="single" w:color="auto" w:sz="4" w:space="0"/>
              <w:right w:val="single" w:color="auto" w:sz="4" w:space="0"/>
            </w:tcBorders>
            <w:vAlign w:val="center"/>
          </w:tcPr>
          <w:p>
            <w:pPr>
              <w:widowControl/>
              <w:jc w:val="center"/>
              <w:rPr>
                <w:rFonts w:ascii="宋体" w:hAnsi="宋体" w:cs="宋体"/>
                <w:color w:val="auto"/>
                <w:szCs w:val="21"/>
              </w:rPr>
            </w:pPr>
          </w:p>
        </w:tc>
        <w:tc>
          <w:tcPr>
            <w:tcW w:w="1308" w:type="dxa"/>
            <w:tcBorders>
              <w:left w:val="single" w:color="auto" w:sz="4" w:space="0"/>
              <w:right w:val="single" w:color="auto" w:sz="4" w:space="0"/>
            </w:tcBorders>
            <w:vAlign w:val="center"/>
          </w:tcPr>
          <w:p>
            <w:pPr>
              <w:jc w:val="center"/>
              <w:rPr>
                <w:rFonts w:ascii="宋体" w:hAnsi="宋体" w:cs="宋体"/>
                <w:color w:val="auto"/>
                <w:szCs w:val="21"/>
                <w:lang w:val="zh-CN"/>
              </w:rPr>
            </w:pPr>
            <w:r>
              <w:rPr>
                <w:rFonts w:hint="eastAsia" w:ascii="宋体" w:hAnsi="宋体" w:cs="宋体"/>
                <w:color w:val="auto"/>
                <w:szCs w:val="21"/>
                <w:lang w:val="zh-CN"/>
              </w:rPr>
              <w:t>项目进</w:t>
            </w:r>
          </w:p>
          <w:p>
            <w:pPr>
              <w:jc w:val="center"/>
              <w:rPr>
                <w:rFonts w:ascii="宋体" w:hAnsi="宋体" w:cs="宋体"/>
                <w:color w:val="auto"/>
                <w:szCs w:val="21"/>
                <w:lang w:val="zh-CN"/>
              </w:rPr>
            </w:pPr>
            <w:r>
              <w:rPr>
                <w:rFonts w:hint="eastAsia" w:ascii="宋体" w:hAnsi="宋体" w:cs="宋体"/>
                <w:color w:val="auto"/>
                <w:szCs w:val="21"/>
                <w:lang w:val="zh-CN"/>
              </w:rPr>
              <w:t>度计划</w:t>
            </w:r>
          </w:p>
          <w:p>
            <w:pPr>
              <w:jc w:val="center"/>
              <w:rPr>
                <w:rFonts w:ascii="宋体" w:hAnsi="宋体" w:cs="宋体"/>
                <w:color w:val="auto"/>
                <w:szCs w:val="21"/>
              </w:rPr>
            </w:pPr>
            <w:r>
              <w:rPr>
                <w:rFonts w:hint="eastAsia" w:ascii="宋体" w:hAnsi="宋体" w:cs="宋体"/>
                <w:color w:val="auto"/>
                <w:spacing w:val="-20"/>
                <w:szCs w:val="21"/>
              </w:rPr>
              <w:t>（</w:t>
            </w:r>
            <w:r>
              <w:rPr>
                <w:rFonts w:hint="eastAsia" w:ascii="宋体" w:hAnsi="宋体" w:cs="宋体"/>
                <w:color w:val="auto"/>
                <w:szCs w:val="21"/>
              </w:rPr>
              <w:t>5</w:t>
            </w:r>
            <w:r>
              <w:rPr>
                <w:rFonts w:hint="eastAsia" w:ascii="宋体" w:hAnsi="宋体" w:cs="宋体"/>
                <w:color w:val="auto"/>
                <w:spacing w:val="-20"/>
                <w:szCs w:val="21"/>
              </w:rPr>
              <w:t>分）</w:t>
            </w:r>
          </w:p>
        </w:tc>
        <w:tc>
          <w:tcPr>
            <w:tcW w:w="5912" w:type="dxa"/>
            <w:tcBorders>
              <w:left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供应商根据对项目的理解，结合实际工作，制定符合本项目的进度计划和保障措施的得3分。未提供相关进度计划和保障措施，或进度计划和保障措施不满足要求的，此项不得分。</w:t>
            </w:r>
          </w:p>
          <w:p>
            <w:pPr>
              <w:ind w:firstLine="428" w:firstLineChars="204"/>
              <w:jc w:val="left"/>
              <w:rPr>
                <w:rFonts w:ascii="宋体" w:hAnsi="宋体"/>
                <w:color w:val="auto"/>
                <w:szCs w:val="21"/>
              </w:rPr>
            </w:pPr>
            <w:r>
              <w:rPr>
                <w:rFonts w:hint="eastAsia" w:ascii="宋体" w:hAnsi="宋体"/>
                <w:color w:val="auto"/>
                <w:szCs w:val="21"/>
              </w:rPr>
              <w:t>进度计划和保障措施表述简单粗略的不加分；表述基本可行且有针对性的加1分；表述详尽、全面完善的加2分。</w:t>
            </w:r>
          </w:p>
        </w:tc>
        <w:tc>
          <w:tcPr>
            <w:tcW w:w="727" w:type="dxa"/>
            <w:tcBorders>
              <w:left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技术评审</w:t>
            </w:r>
          </w:p>
          <w:p>
            <w:pPr>
              <w:jc w:val="center"/>
              <w:rPr>
                <w:rFonts w:ascii="宋体" w:hAnsi="宋体" w:cs="宋体"/>
                <w:color w:val="auto"/>
                <w:szCs w:val="21"/>
              </w:rPr>
            </w:pPr>
            <w:r>
              <w:rPr>
                <w:rFonts w:hint="eastAsia" w:ascii="宋体" w:hAnsi="宋体" w:cs="宋体"/>
                <w:color w:val="auto"/>
                <w:szCs w:val="21"/>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91" w:type="dxa"/>
            <w:vMerge w:val="continue"/>
            <w:tcBorders>
              <w:left w:val="single" w:color="auto" w:sz="4" w:space="0"/>
              <w:right w:val="single" w:color="auto" w:sz="4" w:space="0"/>
            </w:tcBorders>
            <w:vAlign w:val="center"/>
          </w:tcPr>
          <w:p>
            <w:pPr>
              <w:widowControl/>
              <w:jc w:val="center"/>
              <w:rPr>
                <w:rFonts w:ascii="宋体" w:hAnsi="宋体" w:cs="宋体"/>
                <w:color w:val="auto"/>
                <w:szCs w:val="21"/>
              </w:rPr>
            </w:pPr>
          </w:p>
        </w:tc>
        <w:tc>
          <w:tcPr>
            <w:tcW w:w="1308" w:type="dxa"/>
            <w:tcBorders>
              <w:left w:val="single" w:color="auto" w:sz="4" w:space="0"/>
              <w:right w:val="single" w:color="auto" w:sz="4" w:space="0"/>
            </w:tcBorders>
            <w:vAlign w:val="center"/>
          </w:tcPr>
          <w:p>
            <w:pPr>
              <w:jc w:val="center"/>
              <w:rPr>
                <w:rFonts w:ascii="宋体" w:hAnsi="宋体" w:cs="宋体"/>
                <w:color w:val="auto"/>
                <w:szCs w:val="21"/>
                <w:lang w:val="zh-CN"/>
              </w:rPr>
            </w:pPr>
            <w:r>
              <w:rPr>
                <w:rFonts w:hint="eastAsia" w:ascii="宋体" w:hAnsi="宋体" w:cs="宋体"/>
                <w:color w:val="auto"/>
                <w:szCs w:val="21"/>
                <w:lang w:val="zh-CN"/>
              </w:rPr>
              <w:t>安全作</w:t>
            </w:r>
          </w:p>
          <w:p>
            <w:pPr>
              <w:jc w:val="center"/>
              <w:rPr>
                <w:rFonts w:ascii="宋体" w:hAnsi="宋体" w:cs="宋体"/>
                <w:color w:val="auto"/>
                <w:szCs w:val="21"/>
                <w:lang w:val="zh-CN"/>
              </w:rPr>
            </w:pPr>
            <w:r>
              <w:rPr>
                <w:rFonts w:hint="eastAsia" w:ascii="宋体" w:hAnsi="宋体" w:cs="宋体"/>
                <w:color w:val="auto"/>
                <w:szCs w:val="21"/>
                <w:lang w:val="zh-CN"/>
              </w:rPr>
              <w:t>业方案</w:t>
            </w:r>
          </w:p>
          <w:p>
            <w:pPr>
              <w:jc w:val="center"/>
              <w:rPr>
                <w:rFonts w:ascii="宋体" w:hAnsi="宋体" w:cs="宋体"/>
                <w:color w:val="auto"/>
                <w:spacing w:val="-20"/>
                <w:szCs w:val="21"/>
              </w:rPr>
            </w:pPr>
            <w:r>
              <w:rPr>
                <w:rFonts w:hint="eastAsia" w:ascii="宋体" w:hAnsi="宋体" w:cs="宋体"/>
                <w:color w:val="auto"/>
                <w:spacing w:val="-20"/>
                <w:szCs w:val="21"/>
              </w:rPr>
              <w:t>（</w:t>
            </w:r>
            <w:r>
              <w:rPr>
                <w:rFonts w:hint="eastAsia" w:ascii="宋体" w:hAnsi="宋体" w:cs="宋体"/>
                <w:color w:val="auto"/>
                <w:szCs w:val="21"/>
              </w:rPr>
              <w:t>5</w:t>
            </w:r>
            <w:r>
              <w:rPr>
                <w:rFonts w:hint="eastAsia" w:ascii="宋体" w:hAnsi="宋体" w:cs="宋体"/>
                <w:color w:val="auto"/>
                <w:spacing w:val="-20"/>
                <w:szCs w:val="21"/>
              </w:rPr>
              <w:t>分）</w:t>
            </w:r>
          </w:p>
        </w:tc>
        <w:tc>
          <w:tcPr>
            <w:tcW w:w="5912"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供应商根据招标文件要求提供安全作业方案的得3分。未提供相关安全作业方案或安全作业方案明显错误的此项不得分。</w:t>
            </w:r>
          </w:p>
          <w:p>
            <w:pPr>
              <w:ind w:firstLine="428" w:firstLineChars="204"/>
              <w:jc w:val="left"/>
              <w:rPr>
                <w:rFonts w:ascii="宋体" w:hAnsi="宋体"/>
                <w:color w:val="auto"/>
                <w:szCs w:val="21"/>
              </w:rPr>
            </w:pPr>
            <w:r>
              <w:rPr>
                <w:rFonts w:hint="eastAsia" w:ascii="宋体" w:hAnsi="宋体"/>
                <w:color w:val="auto"/>
                <w:szCs w:val="21"/>
              </w:rPr>
              <w:t>安全作业方案表述简单粗略的不加分；表述基本可行且有针对性的加1分；表述详尽，贴合采购人要求提供安全作业危险来源及隐患、安全预防措施制度严谨、清晰有效、能优质满足采购人需求的加2分。</w:t>
            </w:r>
          </w:p>
        </w:tc>
        <w:tc>
          <w:tcPr>
            <w:tcW w:w="7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技术评审</w:t>
            </w:r>
          </w:p>
          <w:p>
            <w:pPr>
              <w:pStyle w:val="2"/>
              <w:spacing w:after="0"/>
              <w:ind w:left="2940"/>
              <w:jc w:val="center"/>
              <w:rPr>
                <w:color w:val="auto"/>
                <w:lang w:val="zh-CN"/>
              </w:rPr>
            </w:pPr>
            <w:r>
              <w:rPr>
                <w:rFonts w:hint="eastAsia" w:ascii="宋体" w:hAnsi="宋体" w:cs="宋体"/>
                <w:color w:val="auto"/>
                <w:szCs w:val="21"/>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7" w:hRule="atLeast"/>
          <w:jc w:val="center"/>
        </w:trPr>
        <w:tc>
          <w:tcPr>
            <w:tcW w:w="1091" w:type="dxa"/>
            <w:vMerge w:val="continue"/>
            <w:tcBorders>
              <w:left w:val="single" w:color="auto" w:sz="4" w:space="0"/>
              <w:right w:val="single" w:color="auto" w:sz="4" w:space="0"/>
            </w:tcBorders>
            <w:vAlign w:val="center"/>
          </w:tcPr>
          <w:p>
            <w:pPr>
              <w:widowControl/>
              <w:jc w:val="center"/>
              <w:rPr>
                <w:rFonts w:ascii="宋体" w:hAnsi="宋体" w:cs="宋体"/>
                <w:color w:val="auto"/>
                <w:szCs w:val="21"/>
              </w:rPr>
            </w:pPr>
          </w:p>
        </w:tc>
        <w:tc>
          <w:tcPr>
            <w:tcW w:w="1308" w:type="dxa"/>
            <w:tcBorders>
              <w:left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olor w:val="auto"/>
                <w:szCs w:val="21"/>
              </w:rPr>
              <w:t>重难点分析</w:t>
            </w:r>
            <w:r>
              <w:rPr>
                <w:rFonts w:hint="eastAsia" w:ascii="宋体" w:hAnsi="宋体" w:cs="宋体"/>
                <w:color w:val="auto"/>
                <w:spacing w:val="-20"/>
                <w:szCs w:val="21"/>
              </w:rPr>
              <w:t>（</w:t>
            </w:r>
            <w:r>
              <w:rPr>
                <w:rFonts w:hint="eastAsia" w:ascii="宋体" w:hAnsi="宋体" w:cs="宋体"/>
                <w:color w:val="auto"/>
                <w:szCs w:val="21"/>
              </w:rPr>
              <w:t>5</w:t>
            </w:r>
            <w:r>
              <w:rPr>
                <w:rFonts w:hint="eastAsia" w:ascii="宋体" w:hAnsi="宋体" w:cs="宋体"/>
                <w:color w:val="auto"/>
                <w:spacing w:val="-20"/>
                <w:szCs w:val="21"/>
              </w:rPr>
              <w:t>分）</w:t>
            </w:r>
          </w:p>
          <w:p>
            <w:pPr>
              <w:jc w:val="center"/>
              <w:rPr>
                <w:rFonts w:ascii="宋体" w:hAnsi="宋体" w:cs="宋体"/>
                <w:color w:val="auto"/>
                <w:szCs w:val="21"/>
              </w:rPr>
            </w:pPr>
          </w:p>
        </w:tc>
        <w:tc>
          <w:tcPr>
            <w:tcW w:w="5912" w:type="dxa"/>
            <w:tcBorders>
              <w:top w:val="single" w:color="auto" w:sz="4" w:space="0"/>
              <w:left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供应商根据对项目深入理解，作出重难点分析，提出解决方案的得3分。未提供重难点分析及解决方案或重难点分析及解决方案明显错误的此项不得分。</w:t>
            </w:r>
          </w:p>
          <w:p>
            <w:pPr>
              <w:ind w:firstLine="428" w:firstLineChars="204"/>
              <w:jc w:val="left"/>
              <w:rPr>
                <w:rFonts w:ascii="宋体" w:hAnsi="宋体"/>
                <w:color w:val="auto"/>
                <w:szCs w:val="21"/>
              </w:rPr>
            </w:pPr>
            <w:r>
              <w:rPr>
                <w:rFonts w:hint="eastAsia" w:ascii="宋体" w:hAnsi="宋体"/>
                <w:color w:val="auto"/>
                <w:szCs w:val="21"/>
              </w:rPr>
              <w:t>重难点分析及解决方案表述简单粗略的不加分；表述基本可行且有针对性的加1分；认识深刻，分析合理，能提出专业的重难点解决方案的加2分。</w:t>
            </w:r>
          </w:p>
        </w:tc>
        <w:tc>
          <w:tcPr>
            <w:tcW w:w="727" w:type="dxa"/>
            <w:tcBorders>
              <w:top w:val="single" w:color="auto" w:sz="4" w:space="0"/>
              <w:left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技术评审</w:t>
            </w:r>
          </w:p>
          <w:p>
            <w:pPr>
              <w:jc w:val="center"/>
              <w:rPr>
                <w:rFonts w:ascii="宋体" w:hAnsi="宋体" w:cs="宋体"/>
                <w:color w:val="auto"/>
                <w:szCs w:val="21"/>
              </w:rPr>
            </w:pPr>
            <w:r>
              <w:rPr>
                <w:rFonts w:hint="eastAsia" w:ascii="宋体" w:hAnsi="宋体" w:cs="宋体"/>
                <w:color w:val="auto"/>
                <w:szCs w:val="21"/>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6" w:hRule="atLeast"/>
          <w:jc w:val="center"/>
        </w:trPr>
        <w:tc>
          <w:tcPr>
            <w:tcW w:w="1091" w:type="dxa"/>
            <w:vMerge w:val="restart"/>
            <w:tcBorders>
              <w:top w:val="single" w:color="auto" w:sz="4" w:space="0"/>
              <w:left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商务</w:t>
            </w:r>
          </w:p>
          <w:p>
            <w:pPr>
              <w:jc w:val="center"/>
              <w:rPr>
                <w:rFonts w:ascii="宋体" w:hAnsi="宋体" w:cs="宋体"/>
                <w:color w:val="auto"/>
                <w:szCs w:val="21"/>
              </w:rPr>
            </w:pPr>
            <w:r>
              <w:rPr>
                <w:rFonts w:hint="eastAsia" w:ascii="宋体" w:hAnsi="宋体" w:cs="宋体"/>
                <w:color w:val="auto"/>
                <w:szCs w:val="21"/>
              </w:rPr>
              <w:t>部分</w:t>
            </w:r>
          </w:p>
          <w:p>
            <w:pPr>
              <w:jc w:val="center"/>
              <w:rPr>
                <w:rFonts w:ascii="宋体" w:hAnsi="宋体" w:cs="宋体"/>
                <w:color w:val="auto"/>
                <w:szCs w:val="21"/>
              </w:rPr>
            </w:pPr>
            <w:r>
              <w:rPr>
                <w:rFonts w:hint="eastAsia" w:ascii="宋体" w:hAnsi="宋体" w:cs="宋体"/>
                <w:color w:val="auto"/>
                <w:szCs w:val="21"/>
              </w:rPr>
              <w:t>（50）</w:t>
            </w:r>
          </w:p>
        </w:tc>
        <w:tc>
          <w:tcPr>
            <w:tcW w:w="13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人员配置</w:t>
            </w:r>
          </w:p>
          <w:p>
            <w:pPr>
              <w:jc w:val="cente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u w:val="single"/>
              </w:rPr>
              <w:t xml:space="preserve">17 </w:t>
            </w:r>
            <w:r>
              <w:rPr>
                <w:rFonts w:hint="eastAsia" w:ascii="宋体" w:hAnsi="宋体" w:cs="宋体"/>
                <w:color w:val="auto"/>
                <w:szCs w:val="21"/>
              </w:rPr>
              <w:t>分）</w:t>
            </w:r>
          </w:p>
        </w:tc>
        <w:tc>
          <w:tcPr>
            <w:tcW w:w="5912"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s="宋体"/>
                <w:color w:val="auto"/>
                <w:szCs w:val="21"/>
              </w:rPr>
            </w:pPr>
            <w:r>
              <w:rPr>
                <w:rFonts w:hint="eastAsia" w:ascii="宋体" w:hAnsi="宋体" w:cs="宋体"/>
                <w:color w:val="auto"/>
                <w:szCs w:val="21"/>
              </w:rPr>
              <w:t>1、拟为本项目配备的总监理负责人具有测绘相关专业高级职称的得2分，总监理负责人</w:t>
            </w:r>
            <w:r>
              <w:rPr>
                <w:rFonts w:hint="eastAsia" w:ascii="宋体" w:hAnsi="宋体"/>
                <w:color w:val="auto"/>
                <w:szCs w:val="21"/>
              </w:rPr>
              <w:t>具有正高级职称的加2分。此项共计4分。</w:t>
            </w:r>
          </w:p>
          <w:p>
            <w:pPr>
              <w:ind w:firstLine="346" w:firstLineChars="165"/>
              <w:jc w:val="left"/>
              <w:rPr>
                <w:rFonts w:ascii="宋体" w:hAnsi="宋体" w:cs="宋体"/>
                <w:color w:val="auto"/>
                <w:szCs w:val="21"/>
              </w:rPr>
            </w:pPr>
            <w:r>
              <w:rPr>
                <w:rFonts w:hint="eastAsia" w:ascii="宋体" w:hAnsi="宋体" w:cs="宋体"/>
                <w:color w:val="auto"/>
                <w:szCs w:val="21"/>
              </w:rPr>
              <w:t>2、拟为本项目配备的专业监理负责人中具有测绘相关专业中级及以上职称的每一人得2分，最多得6分。此项共计6分。</w:t>
            </w:r>
          </w:p>
          <w:p>
            <w:pPr>
              <w:ind w:firstLine="428" w:firstLineChars="204"/>
              <w:jc w:val="left"/>
              <w:rPr>
                <w:rFonts w:ascii="宋体" w:hAnsi="宋体"/>
                <w:color w:val="auto"/>
                <w:szCs w:val="21"/>
              </w:rPr>
            </w:pPr>
            <w:r>
              <w:rPr>
                <w:rFonts w:hint="eastAsia" w:ascii="宋体" w:hAnsi="宋体"/>
                <w:color w:val="auto"/>
                <w:szCs w:val="21"/>
              </w:rPr>
              <w:t>3、拟为本项目配备的监理</w:t>
            </w:r>
            <w:r>
              <w:rPr>
                <w:rFonts w:ascii="宋体" w:hAnsi="宋体"/>
                <w:color w:val="auto"/>
                <w:szCs w:val="21"/>
              </w:rPr>
              <w:t>人员</w:t>
            </w:r>
            <w:r>
              <w:rPr>
                <w:rFonts w:hint="eastAsia" w:ascii="宋体" w:hAnsi="宋体"/>
                <w:color w:val="auto"/>
                <w:szCs w:val="21"/>
              </w:rPr>
              <w:t>5人及以上得5分；上述人员具有测绘相关专业中级及以上职称的每一个人加0.5分，最多加2分。此项共计7分。</w:t>
            </w:r>
          </w:p>
          <w:p>
            <w:pPr>
              <w:ind w:firstLine="430" w:firstLineChars="204"/>
              <w:jc w:val="left"/>
              <w:rPr>
                <w:rFonts w:ascii="宋体" w:hAnsi="宋体"/>
                <w:b/>
                <w:color w:val="auto"/>
                <w:szCs w:val="21"/>
              </w:rPr>
            </w:pPr>
            <w:r>
              <w:rPr>
                <w:rFonts w:hint="eastAsia" w:ascii="宋体" w:hAnsi="宋体"/>
                <w:b/>
                <w:color w:val="auto"/>
                <w:szCs w:val="21"/>
              </w:rPr>
              <w:t>注：1、以上人员不重复计算。</w:t>
            </w:r>
          </w:p>
          <w:p>
            <w:pPr>
              <w:ind w:firstLine="430" w:firstLineChars="204"/>
              <w:jc w:val="left"/>
              <w:rPr>
                <w:rFonts w:ascii="宋体" w:hAnsi="宋体"/>
                <w:color w:val="auto"/>
                <w:szCs w:val="21"/>
              </w:rPr>
            </w:pPr>
            <w:r>
              <w:rPr>
                <w:rFonts w:hint="eastAsia" w:ascii="宋体" w:hAnsi="宋体"/>
                <w:b/>
                <w:color w:val="auto"/>
                <w:szCs w:val="21"/>
              </w:rPr>
              <w:t>2、供应商需提供以上相关人员有效的身份证复印件、有效的资格证书复印件及为本单位人员的证明材料复印件，无有效证明材料的相应项不得分。</w:t>
            </w:r>
          </w:p>
        </w:tc>
        <w:tc>
          <w:tcPr>
            <w:tcW w:w="7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91" w:type="dxa"/>
            <w:vMerge w:val="continue"/>
            <w:tcBorders>
              <w:left w:val="single" w:color="auto" w:sz="4" w:space="0"/>
              <w:right w:val="single" w:color="auto" w:sz="4" w:space="0"/>
            </w:tcBorders>
            <w:vAlign w:val="center"/>
          </w:tcPr>
          <w:p>
            <w:pPr>
              <w:jc w:val="center"/>
              <w:rPr>
                <w:rFonts w:ascii="宋体" w:hAnsi="宋体" w:cs="宋体"/>
                <w:color w:val="auto"/>
                <w:szCs w:val="21"/>
              </w:rPr>
            </w:pPr>
          </w:p>
        </w:tc>
        <w:tc>
          <w:tcPr>
            <w:tcW w:w="13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仪器设备配置</w:t>
            </w:r>
          </w:p>
          <w:p>
            <w:pPr>
              <w:jc w:val="cente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u w:val="single"/>
              </w:rPr>
              <w:t xml:space="preserve"> 15 </w:t>
            </w:r>
            <w:r>
              <w:rPr>
                <w:rFonts w:hint="eastAsia" w:ascii="宋体" w:hAnsi="宋体" w:cs="宋体"/>
                <w:color w:val="auto"/>
                <w:szCs w:val="21"/>
              </w:rPr>
              <w:t>分)</w:t>
            </w:r>
          </w:p>
        </w:tc>
        <w:tc>
          <w:tcPr>
            <w:tcW w:w="5912"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1、拟投入管线探测仪器数量3台得3分；每增加1台加1分，最多加2分。此项共计5分。</w:t>
            </w:r>
          </w:p>
          <w:p>
            <w:pPr>
              <w:ind w:firstLine="428" w:firstLineChars="204"/>
              <w:jc w:val="left"/>
              <w:rPr>
                <w:rFonts w:ascii="宋体" w:hAnsi="宋体"/>
                <w:color w:val="auto"/>
                <w:szCs w:val="21"/>
              </w:rPr>
            </w:pPr>
            <w:r>
              <w:rPr>
                <w:rFonts w:hint="eastAsia" w:ascii="宋体" w:hAnsi="宋体"/>
                <w:color w:val="auto"/>
                <w:szCs w:val="21"/>
              </w:rPr>
              <w:t>2、拟投入</w:t>
            </w:r>
            <w:r>
              <w:rPr>
                <w:rFonts w:ascii="宋体" w:hAnsi="宋体"/>
                <w:color w:val="auto"/>
                <w:szCs w:val="21"/>
              </w:rPr>
              <w:t>GNSS</w:t>
            </w:r>
            <w:r>
              <w:rPr>
                <w:rFonts w:hint="eastAsia" w:ascii="宋体" w:hAnsi="宋体"/>
                <w:color w:val="auto"/>
                <w:szCs w:val="21"/>
              </w:rPr>
              <w:t>接收机数量3台得3分；每增加1台加1分，最多加2分。此项共计5分。</w:t>
            </w:r>
          </w:p>
          <w:p>
            <w:pPr>
              <w:ind w:firstLine="428" w:firstLineChars="204"/>
              <w:jc w:val="left"/>
              <w:rPr>
                <w:rFonts w:ascii="宋体" w:hAnsi="宋体"/>
                <w:color w:val="auto"/>
                <w:szCs w:val="21"/>
              </w:rPr>
            </w:pPr>
            <w:r>
              <w:rPr>
                <w:rFonts w:hint="eastAsia" w:ascii="宋体" w:hAnsi="宋体"/>
                <w:color w:val="auto"/>
                <w:szCs w:val="21"/>
              </w:rPr>
              <w:t>3、拟投入的全站仪数量3台得3分；每增加1台加1分，最多加2分。此项共计5分。</w:t>
            </w:r>
          </w:p>
          <w:p>
            <w:pPr>
              <w:ind w:firstLine="430" w:firstLineChars="204"/>
              <w:jc w:val="left"/>
              <w:rPr>
                <w:rFonts w:ascii="宋体" w:hAnsi="宋体"/>
                <w:b/>
                <w:color w:val="auto"/>
                <w:szCs w:val="21"/>
              </w:rPr>
            </w:pPr>
            <w:r>
              <w:rPr>
                <w:rFonts w:hint="eastAsia" w:ascii="宋体" w:hAnsi="宋体"/>
                <w:b/>
                <w:color w:val="auto"/>
                <w:szCs w:val="21"/>
              </w:rPr>
              <w:t>注：1、自有的管线探测仪提供购置发票复印件，非自有的管线探测仪提供租赁证明材料，无有效证明材料不得分。</w:t>
            </w:r>
          </w:p>
          <w:p>
            <w:pPr>
              <w:ind w:firstLine="430" w:firstLineChars="204"/>
              <w:jc w:val="left"/>
              <w:rPr>
                <w:rFonts w:ascii="宋体" w:hAnsi="宋体"/>
                <w:b/>
                <w:color w:val="auto"/>
                <w:szCs w:val="21"/>
              </w:rPr>
            </w:pPr>
            <w:r>
              <w:rPr>
                <w:rFonts w:hint="eastAsia" w:ascii="宋体" w:hAnsi="宋体"/>
                <w:b/>
                <w:color w:val="auto"/>
                <w:szCs w:val="21"/>
              </w:rPr>
              <w:t>2、自有的GNSS接收机和全站仪提供购置发票复印件和有效期内的仪器检定证书复印件，非自有的GNSS接收机和全站仪提供租赁合同复印件和仪器检定证书复印件，无有效证明材料不得分。</w:t>
            </w:r>
          </w:p>
          <w:p>
            <w:pPr>
              <w:ind w:firstLine="430" w:firstLineChars="204"/>
              <w:jc w:val="left"/>
              <w:rPr>
                <w:rFonts w:ascii="宋体" w:hAnsi="宋体"/>
                <w:color w:val="auto"/>
                <w:szCs w:val="21"/>
              </w:rPr>
            </w:pPr>
            <w:r>
              <w:rPr>
                <w:rFonts w:hint="eastAsia" w:ascii="宋体" w:hAnsi="宋体"/>
                <w:b/>
                <w:color w:val="auto"/>
                <w:szCs w:val="21"/>
              </w:rPr>
              <w:t>3、若</w:t>
            </w:r>
            <w:r>
              <w:rPr>
                <w:rFonts w:ascii="宋体" w:hAnsi="宋体"/>
                <w:b/>
                <w:color w:val="auto"/>
                <w:szCs w:val="21"/>
              </w:rPr>
              <w:t>涉及多个仪器设备使用同一份发票或证书的，应注明用于本</w:t>
            </w:r>
            <w:r>
              <w:rPr>
                <w:rFonts w:hint="eastAsia" w:ascii="宋体" w:hAnsi="宋体"/>
                <w:b/>
                <w:color w:val="auto"/>
                <w:szCs w:val="21"/>
              </w:rPr>
              <w:t>项目</w:t>
            </w:r>
            <w:r>
              <w:rPr>
                <w:rFonts w:ascii="宋体" w:hAnsi="宋体"/>
                <w:b/>
                <w:color w:val="auto"/>
                <w:szCs w:val="21"/>
              </w:rPr>
              <w:t>的数量及对应产品编号。</w:t>
            </w:r>
          </w:p>
        </w:tc>
        <w:tc>
          <w:tcPr>
            <w:tcW w:w="7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91" w:type="dxa"/>
            <w:vMerge w:val="continue"/>
            <w:tcBorders>
              <w:left w:val="single" w:color="auto" w:sz="4" w:space="0"/>
              <w:right w:val="single" w:color="auto" w:sz="4" w:space="0"/>
            </w:tcBorders>
            <w:vAlign w:val="center"/>
          </w:tcPr>
          <w:p>
            <w:pPr>
              <w:jc w:val="center"/>
              <w:rPr>
                <w:rFonts w:ascii="宋体" w:hAnsi="宋体" w:cs="宋体"/>
                <w:i/>
                <w:color w:val="auto"/>
                <w:szCs w:val="21"/>
              </w:rPr>
            </w:pPr>
          </w:p>
        </w:tc>
        <w:tc>
          <w:tcPr>
            <w:tcW w:w="13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企业业绩</w:t>
            </w:r>
          </w:p>
          <w:p>
            <w:pPr>
              <w:jc w:val="center"/>
              <w:rPr>
                <w:rFonts w:ascii="宋体" w:hAnsi="宋体" w:cs="宋体"/>
                <w:color w:val="auto"/>
                <w:szCs w:val="21"/>
              </w:rPr>
            </w:pPr>
            <w:r>
              <w:rPr>
                <w:rFonts w:hint="eastAsia" w:ascii="宋体" w:hAnsi="宋体" w:cs="宋体"/>
                <w:color w:val="auto"/>
                <w:szCs w:val="21"/>
              </w:rPr>
              <w:t>（12分）</w:t>
            </w:r>
          </w:p>
        </w:tc>
        <w:tc>
          <w:tcPr>
            <w:tcW w:w="5912"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2017年1月1日以来，每完成一个类似地下管线普查监理业绩的得3分，最多12分。</w:t>
            </w:r>
          </w:p>
          <w:p>
            <w:pPr>
              <w:ind w:firstLine="430" w:firstLineChars="204"/>
              <w:jc w:val="left"/>
              <w:rPr>
                <w:rFonts w:ascii="宋体" w:hAnsi="宋体"/>
                <w:b/>
                <w:color w:val="auto"/>
                <w:szCs w:val="21"/>
              </w:rPr>
            </w:pPr>
            <w:r>
              <w:rPr>
                <w:rFonts w:hint="eastAsia" w:ascii="宋体" w:hAnsi="宋体"/>
                <w:b/>
                <w:color w:val="auto"/>
                <w:szCs w:val="21"/>
              </w:rPr>
              <w:t>注：1、以上业绩需提供合同（或任务来源证明文件）复印件以及验收证明材料，未附证明材料或证明材料不齐、不能清晰反映上述内容的，不得分。</w:t>
            </w:r>
          </w:p>
          <w:p>
            <w:pPr>
              <w:ind w:firstLine="430" w:firstLineChars="204"/>
              <w:jc w:val="left"/>
              <w:rPr>
                <w:rFonts w:ascii="宋体" w:hAnsi="宋体"/>
                <w:color w:val="auto"/>
                <w:szCs w:val="21"/>
              </w:rPr>
            </w:pPr>
            <w:r>
              <w:rPr>
                <w:rFonts w:hint="eastAsia" w:ascii="宋体" w:hAnsi="宋体"/>
                <w:b/>
                <w:color w:val="auto"/>
                <w:szCs w:val="21"/>
              </w:rPr>
              <w:t>2、业绩</w:t>
            </w:r>
            <w:r>
              <w:rPr>
                <w:rFonts w:ascii="宋体" w:hAnsi="宋体"/>
                <w:b/>
                <w:color w:val="auto"/>
                <w:szCs w:val="21"/>
              </w:rPr>
              <w:t>时间以合同签订</w:t>
            </w:r>
            <w:r>
              <w:rPr>
                <w:rFonts w:hint="eastAsia" w:ascii="宋体" w:hAnsi="宋体"/>
                <w:b/>
                <w:color w:val="auto"/>
                <w:szCs w:val="21"/>
              </w:rPr>
              <w:t>时间</w:t>
            </w:r>
            <w:r>
              <w:rPr>
                <w:rFonts w:ascii="宋体" w:hAnsi="宋体"/>
                <w:b/>
                <w:color w:val="auto"/>
                <w:szCs w:val="21"/>
              </w:rPr>
              <w:t>为准。</w:t>
            </w:r>
          </w:p>
        </w:tc>
        <w:tc>
          <w:tcPr>
            <w:tcW w:w="7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kern w:val="0"/>
                <w:szCs w:val="21"/>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091" w:type="dxa"/>
            <w:vMerge w:val="continue"/>
            <w:tcBorders>
              <w:left w:val="single" w:color="auto" w:sz="4" w:space="0"/>
              <w:right w:val="single" w:color="auto" w:sz="4" w:space="0"/>
            </w:tcBorders>
            <w:vAlign w:val="center"/>
          </w:tcPr>
          <w:p>
            <w:pPr>
              <w:jc w:val="left"/>
              <w:rPr>
                <w:rFonts w:ascii="宋体" w:hAnsi="宋体" w:cs="宋体"/>
                <w:color w:val="auto"/>
                <w:szCs w:val="21"/>
              </w:rPr>
            </w:pPr>
          </w:p>
        </w:tc>
        <w:tc>
          <w:tcPr>
            <w:tcW w:w="13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rPr>
            </w:pPr>
            <w:r>
              <w:rPr>
                <w:rFonts w:hint="eastAsia" w:ascii="宋体" w:hAnsi="宋体" w:cs="宋体"/>
                <w:color w:val="auto"/>
              </w:rPr>
              <w:t>企业</w:t>
            </w:r>
          </w:p>
          <w:p>
            <w:pPr>
              <w:jc w:val="center"/>
              <w:rPr>
                <w:rFonts w:ascii="宋体" w:hAnsi="宋体" w:cs="宋体"/>
                <w:color w:val="auto"/>
              </w:rPr>
            </w:pPr>
            <w:r>
              <w:rPr>
                <w:rFonts w:hint="eastAsia" w:ascii="宋体" w:hAnsi="宋体" w:cs="宋体"/>
                <w:color w:val="auto"/>
              </w:rPr>
              <w:t>信誉</w:t>
            </w:r>
          </w:p>
          <w:p>
            <w:pPr>
              <w:jc w:val="center"/>
              <w:rPr>
                <w:rFonts w:ascii="宋体" w:hAnsi="宋体" w:cs="宋体"/>
                <w:color w:val="auto"/>
                <w:szCs w:val="21"/>
              </w:rPr>
            </w:pPr>
            <w:r>
              <w:rPr>
                <w:rFonts w:hint="eastAsia" w:ascii="宋体" w:hAnsi="宋体" w:cs="宋体"/>
                <w:color w:val="auto"/>
                <w:szCs w:val="21"/>
              </w:rPr>
              <w:t>（3分）</w:t>
            </w:r>
          </w:p>
        </w:tc>
        <w:tc>
          <w:tcPr>
            <w:tcW w:w="5912"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提供有效期内的质量管理体系认证证书、环境管理体系认证证书、职业健康安全管理体系认证证书的，每提供一个得1分，此项共计3分。</w:t>
            </w:r>
          </w:p>
          <w:p>
            <w:pPr>
              <w:ind w:firstLine="430" w:firstLineChars="204"/>
              <w:jc w:val="left"/>
              <w:rPr>
                <w:rFonts w:ascii="宋体" w:hAnsi="宋体"/>
                <w:b/>
                <w:color w:val="auto"/>
                <w:szCs w:val="21"/>
              </w:rPr>
            </w:pPr>
            <w:r>
              <w:rPr>
                <w:rFonts w:hint="eastAsia" w:ascii="宋体" w:hAnsi="宋体"/>
                <w:b/>
                <w:color w:val="auto"/>
                <w:szCs w:val="21"/>
              </w:rPr>
              <w:t>注：提供证书复印件。</w:t>
            </w:r>
          </w:p>
        </w:tc>
        <w:tc>
          <w:tcPr>
            <w:tcW w:w="7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kern w:val="0"/>
                <w:szCs w:val="21"/>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91" w:type="dxa"/>
            <w:vMerge w:val="continue"/>
            <w:tcBorders>
              <w:left w:val="single" w:color="auto" w:sz="4" w:space="0"/>
              <w:right w:val="single" w:color="auto" w:sz="4" w:space="0"/>
            </w:tcBorders>
            <w:vAlign w:val="center"/>
          </w:tcPr>
          <w:p>
            <w:pPr>
              <w:widowControl/>
              <w:jc w:val="left"/>
              <w:rPr>
                <w:rFonts w:ascii="宋体" w:hAnsi="宋体" w:cs="宋体"/>
                <w:color w:val="auto"/>
                <w:szCs w:val="21"/>
              </w:rPr>
            </w:pPr>
          </w:p>
        </w:tc>
        <w:tc>
          <w:tcPr>
            <w:tcW w:w="13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扶持少数民族不发达地区（1分）</w:t>
            </w:r>
          </w:p>
        </w:tc>
        <w:tc>
          <w:tcPr>
            <w:tcW w:w="5912"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供应商属于不发达地区供应商或属于少数民族地区供应商，得1分。</w:t>
            </w:r>
          </w:p>
          <w:p>
            <w:pPr>
              <w:ind w:firstLine="428" w:firstLineChars="204"/>
              <w:jc w:val="left"/>
              <w:rPr>
                <w:rFonts w:ascii="宋体" w:hAnsi="宋体"/>
                <w:color w:val="auto"/>
                <w:szCs w:val="21"/>
              </w:rPr>
            </w:pPr>
            <w:r>
              <w:rPr>
                <w:rFonts w:hint="eastAsia" w:ascii="宋体" w:hAnsi="宋体"/>
                <w:color w:val="auto"/>
                <w:szCs w:val="21"/>
              </w:rPr>
              <w:t>（提供供应商属于不发达地区供应商的相关证明材料或者提供注册地在少数民族地区的营业执照或法人登记证书等相关证明材料。）</w:t>
            </w:r>
          </w:p>
          <w:p>
            <w:pPr>
              <w:ind w:firstLine="430" w:firstLineChars="204"/>
              <w:jc w:val="left"/>
              <w:rPr>
                <w:rFonts w:ascii="宋体" w:hAnsi="宋体"/>
                <w:b/>
                <w:color w:val="auto"/>
                <w:szCs w:val="21"/>
              </w:rPr>
            </w:pPr>
            <w:r>
              <w:rPr>
                <w:rFonts w:hint="eastAsia" w:ascii="宋体" w:hAnsi="宋体"/>
                <w:b/>
                <w:color w:val="auto"/>
                <w:szCs w:val="21"/>
              </w:rPr>
              <w:t>注：1、供应商应在其提供的相关证明材料上注明“属于不发达地区供应商或属于少数民族地区供应商的相关证明材料”；如未注明或者注明不明确的，评审委员会可不予采用。</w:t>
            </w:r>
          </w:p>
          <w:p>
            <w:pPr>
              <w:ind w:firstLine="430" w:firstLineChars="204"/>
              <w:jc w:val="left"/>
              <w:rPr>
                <w:rFonts w:ascii="宋体" w:hAnsi="宋体"/>
                <w:color w:val="auto"/>
                <w:szCs w:val="21"/>
              </w:rPr>
            </w:pPr>
            <w:r>
              <w:rPr>
                <w:rFonts w:hint="eastAsia" w:ascii="宋体" w:hAnsi="宋体"/>
                <w:b/>
                <w:color w:val="auto"/>
                <w:szCs w:val="21"/>
              </w:rPr>
              <w:t>2、相关证明材料复印件。</w:t>
            </w:r>
          </w:p>
        </w:tc>
        <w:tc>
          <w:tcPr>
            <w:tcW w:w="7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kern w:val="0"/>
                <w:szCs w:val="21"/>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1091" w:type="dxa"/>
            <w:vMerge w:val="continue"/>
            <w:tcBorders>
              <w:left w:val="single" w:color="auto" w:sz="4" w:space="0"/>
              <w:right w:val="single" w:color="auto" w:sz="4" w:space="0"/>
            </w:tcBorders>
            <w:vAlign w:val="center"/>
          </w:tcPr>
          <w:p>
            <w:pPr>
              <w:widowControl/>
              <w:jc w:val="left"/>
              <w:rPr>
                <w:rFonts w:ascii="宋体" w:hAnsi="宋体" w:cs="宋体"/>
                <w:color w:val="auto"/>
                <w:szCs w:val="21"/>
              </w:rPr>
            </w:pPr>
          </w:p>
        </w:tc>
        <w:tc>
          <w:tcPr>
            <w:tcW w:w="13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投标文件</w:t>
            </w:r>
          </w:p>
          <w:p>
            <w:pPr>
              <w:jc w:val="center"/>
              <w:rPr>
                <w:rFonts w:ascii="宋体" w:hAnsi="宋体" w:cs="宋体"/>
                <w:color w:val="auto"/>
                <w:szCs w:val="21"/>
              </w:rPr>
            </w:pPr>
            <w:r>
              <w:rPr>
                <w:rFonts w:hint="eastAsia" w:ascii="宋体" w:hAnsi="宋体" w:cs="宋体"/>
                <w:color w:val="auto"/>
                <w:szCs w:val="21"/>
              </w:rPr>
              <w:t>的规范性</w:t>
            </w:r>
          </w:p>
          <w:p>
            <w:pPr>
              <w:jc w:val="center"/>
              <w:rPr>
                <w:rFonts w:ascii="宋体" w:hAnsi="宋体" w:cs="宋体"/>
                <w:color w:val="auto"/>
                <w:szCs w:val="21"/>
              </w:rPr>
            </w:pPr>
            <w:r>
              <w:rPr>
                <w:rFonts w:hint="eastAsia" w:ascii="宋体" w:hAnsi="宋体" w:cs="宋体"/>
                <w:color w:val="auto"/>
                <w:szCs w:val="21"/>
              </w:rPr>
              <w:t>（2分）</w:t>
            </w:r>
          </w:p>
        </w:tc>
        <w:tc>
          <w:tcPr>
            <w:tcW w:w="5912"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投标文件制作规范的，得2分；每有一项偏差的扣0.5分，扣完为止。</w:t>
            </w:r>
          </w:p>
        </w:tc>
        <w:tc>
          <w:tcPr>
            <w:tcW w:w="7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kern w:val="0"/>
                <w:szCs w:val="21"/>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0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
                <w:color w:val="auto"/>
                <w:szCs w:val="21"/>
              </w:rPr>
            </w:pPr>
            <w:r>
              <w:rPr>
                <w:rFonts w:hint="eastAsia" w:ascii="宋体" w:hAnsi="宋体" w:cs="宋体"/>
                <w:color w:val="auto"/>
                <w:szCs w:val="21"/>
              </w:rPr>
              <w:t>合计</w:t>
            </w:r>
          </w:p>
        </w:tc>
        <w:tc>
          <w:tcPr>
            <w:tcW w:w="7947" w:type="dxa"/>
            <w:gridSpan w:val="3"/>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ascii="宋体" w:hAnsi="宋体" w:cs="宋体"/>
                <w:color w:val="auto"/>
                <w:szCs w:val="21"/>
              </w:rPr>
            </w:pPr>
            <w:r>
              <w:rPr>
                <w:rFonts w:hint="eastAsia" w:ascii="宋体" w:hAnsi="宋体" w:cs="宋体"/>
                <w:color w:val="auto"/>
                <w:szCs w:val="21"/>
              </w:rPr>
              <w:t>100分</w:t>
            </w:r>
          </w:p>
        </w:tc>
      </w:tr>
    </w:tbl>
    <w:p>
      <w:pPr>
        <w:spacing w:line="560" w:lineRule="exact"/>
        <w:rPr>
          <w:rFonts w:ascii="宋体" w:hAnsi="宋体"/>
          <w:b/>
          <w:bCs/>
          <w:color w:val="auto"/>
          <w:sz w:val="28"/>
        </w:rPr>
      </w:pPr>
    </w:p>
    <w:p>
      <w:pPr>
        <w:spacing w:line="560" w:lineRule="exact"/>
        <w:rPr>
          <w:rFonts w:ascii="宋体" w:hAnsi="宋体"/>
          <w:b/>
          <w:bCs/>
          <w:color w:val="auto"/>
          <w:sz w:val="28"/>
        </w:rPr>
      </w:pPr>
      <w:r>
        <w:rPr>
          <w:rFonts w:hint="eastAsia" w:ascii="宋体" w:hAnsi="宋体"/>
          <w:b/>
          <w:bCs/>
          <w:color w:val="auto"/>
          <w:sz w:val="28"/>
        </w:rPr>
        <w:t xml:space="preserve">包件7 </w:t>
      </w:r>
      <w:r>
        <w:rPr>
          <w:rFonts w:ascii="宋体" w:hAnsi="宋体"/>
          <w:b/>
          <w:bCs/>
          <w:color w:val="auto"/>
          <w:sz w:val="28"/>
        </w:rPr>
        <w:t xml:space="preserve"> </w:t>
      </w:r>
      <w:r>
        <w:rPr>
          <w:rFonts w:hint="eastAsia" w:ascii="宋体" w:hAnsi="宋体"/>
          <w:b/>
          <w:bCs/>
          <w:color w:val="auto"/>
          <w:sz w:val="28"/>
        </w:rPr>
        <w:t>地下管线普查成果更新质检服务评分标准（成都市双流区地下管线普查成果更新项目采购）</w:t>
      </w:r>
    </w:p>
    <w:tbl>
      <w:tblPr>
        <w:tblStyle w:val="43"/>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965"/>
        <w:gridCol w:w="6237"/>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10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Cs w:val="21"/>
              </w:rPr>
            </w:pPr>
            <w:r>
              <w:rPr>
                <w:rFonts w:hint="eastAsia" w:ascii="宋体" w:hAnsi="宋体" w:cs="宋体"/>
                <w:b/>
                <w:color w:val="auto"/>
                <w:szCs w:val="21"/>
              </w:rPr>
              <w:t>评标项目</w:t>
            </w:r>
          </w:p>
        </w:tc>
        <w:tc>
          <w:tcPr>
            <w:tcW w:w="62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Cs w:val="21"/>
              </w:rPr>
            </w:pPr>
            <w:r>
              <w:rPr>
                <w:rFonts w:hint="eastAsia" w:ascii="宋体" w:hAnsi="宋体" w:cs="宋体"/>
                <w:b/>
                <w:color w:val="auto"/>
                <w:szCs w:val="21"/>
              </w:rPr>
              <w:t>评分标准</w:t>
            </w:r>
          </w:p>
        </w:tc>
        <w:tc>
          <w:tcPr>
            <w:tcW w:w="10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szCs w:val="21"/>
              </w:rPr>
            </w:pPr>
            <w:r>
              <w:rPr>
                <w:rFonts w:hint="eastAsia" w:ascii="宋体" w:hAnsi="宋体" w:cs="宋体"/>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0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价格</w:t>
            </w:r>
          </w:p>
          <w:p>
            <w:pPr>
              <w:jc w:val="center"/>
              <w:rPr>
                <w:rFonts w:ascii="宋体" w:hAnsi="宋体" w:cs="宋体"/>
                <w:color w:val="auto"/>
                <w:szCs w:val="21"/>
              </w:rPr>
            </w:pPr>
            <w:r>
              <w:rPr>
                <w:rFonts w:hint="eastAsia" w:ascii="宋体" w:hAnsi="宋体" w:cs="宋体"/>
                <w:color w:val="auto"/>
                <w:szCs w:val="21"/>
              </w:rPr>
              <w:t>（15分）</w:t>
            </w:r>
          </w:p>
        </w:tc>
        <w:tc>
          <w:tcPr>
            <w:tcW w:w="6237"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满足招标文件要求且报价最低的供应商的价格为评标基准价，其价格分为满分。其他供应商的价格分统一按照下列公式计算：投标报价得分=(评标基准价/投标报价)×15×100。</w:t>
            </w:r>
          </w:p>
          <w:p>
            <w:pPr>
              <w:ind w:firstLine="430" w:firstLineChars="204"/>
              <w:jc w:val="left"/>
              <w:rPr>
                <w:rFonts w:ascii="宋体" w:hAnsi="宋体"/>
                <w:b/>
                <w:color w:val="auto"/>
                <w:szCs w:val="21"/>
              </w:rPr>
            </w:pPr>
            <w:r>
              <w:rPr>
                <w:rFonts w:hint="eastAsia" w:ascii="宋体" w:hAnsi="宋体"/>
                <w:b/>
                <w:color w:val="auto"/>
                <w:szCs w:val="21"/>
              </w:rPr>
              <w:t>注：1、因落实政府采购政策进行价格调整的，以调整后的价格计算评标基准价和投标报价。</w:t>
            </w:r>
          </w:p>
          <w:p>
            <w:pPr>
              <w:ind w:firstLine="430" w:firstLineChars="204"/>
              <w:jc w:val="left"/>
              <w:rPr>
                <w:rFonts w:ascii="宋体" w:hAnsi="宋体"/>
                <w:b/>
                <w:color w:val="auto"/>
                <w:szCs w:val="21"/>
              </w:rPr>
            </w:pPr>
            <w:r>
              <w:rPr>
                <w:rFonts w:hint="eastAsia" w:ascii="宋体" w:hAnsi="宋体"/>
                <w:b/>
                <w:color w:val="auto"/>
                <w:szCs w:val="21"/>
              </w:rPr>
              <w:t>2、小微企业（残疾人福利性单位、监狱企业视同小微企业）价格扣除及失信企业价格惩戒加成或扣分政策按照供应商须知附表的相关要求执行。</w:t>
            </w:r>
          </w:p>
          <w:p>
            <w:pPr>
              <w:ind w:firstLine="430" w:firstLineChars="204"/>
              <w:jc w:val="left"/>
              <w:rPr>
                <w:rFonts w:ascii="宋体" w:hAnsi="宋体"/>
                <w:b/>
                <w:color w:val="auto"/>
                <w:szCs w:val="21"/>
              </w:rPr>
            </w:pPr>
            <w:r>
              <w:rPr>
                <w:rFonts w:hint="eastAsia" w:ascii="宋体" w:hAnsi="宋体"/>
                <w:b/>
                <w:color w:val="auto"/>
                <w:szCs w:val="21"/>
              </w:rPr>
              <w:t>3、根据四川省人民政府令第301号“四川省测绘地理信息局关于《四川省测绘地理信息市场管理办法》第十四条执行中有关问题的解答意见”中相关内容：“评标委员会发现投标单位报价明显低于其他投标报价，且不能做出合理说明并提供相关证明材料的，可以依法认定其投标无效”,“报价低于平均报价15%的为明显低于其他投标报价”是指：投标单位报价低于有效供应商的平均报价，且低于平均报价的幅度超过15%(平均报价-投标单位报价)/平均报价×100%≥15%)的，视为明显低于其他投标报价。</w:t>
            </w:r>
          </w:p>
          <w:p>
            <w:pPr>
              <w:ind w:firstLine="430" w:firstLineChars="204"/>
              <w:jc w:val="left"/>
              <w:rPr>
                <w:rFonts w:ascii="宋体" w:hAnsi="宋体"/>
                <w:color w:val="auto"/>
                <w:szCs w:val="21"/>
              </w:rPr>
            </w:pPr>
            <w:r>
              <w:rPr>
                <w:rFonts w:hint="eastAsia" w:ascii="宋体" w:hAnsi="宋体"/>
                <w:b/>
                <w:color w:val="auto"/>
                <w:szCs w:val="21"/>
              </w:rPr>
              <w:t>4、评分的取值按四舍五入法，保留小数点后两位。</w:t>
            </w:r>
          </w:p>
        </w:tc>
        <w:tc>
          <w:tcPr>
            <w:tcW w:w="10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经济评审因素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技术</w:t>
            </w:r>
          </w:p>
          <w:p>
            <w:pPr>
              <w:jc w:val="center"/>
              <w:rPr>
                <w:rFonts w:ascii="宋体" w:hAnsi="宋体" w:cs="宋体"/>
                <w:color w:val="auto"/>
                <w:szCs w:val="21"/>
              </w:rPr>
            </w:pPr>
            <w:r>
              <w:rPr>
                <w:rFonts w:hint="eastAsia" w:ascii="宋体" w:hAnsi="宋体" w:cs="宋体"/>
                <w:color w:val="auto"/>
                <w:szCs w:val="21"/>
              </w:rPr>
              <w:t>部分</w:t>
            </w:r>
          </w:p>
          <w:p>
            <w:pPr>
              <w:jc w:val="center"/>
              <w:rPr>
                <w:rFonts w:ascii="宋体" w:hAnsi="宋体" w:cs="宋体"/>
                <w:color w:val="auto"/>
                <w:szCs w:val="21"/>
              </w:rPr>
            </w:pPr>
            <w:r>
              <w:rPr>
                <w:rFonts w:hint="eastAsia" w:ascii="宋体" w:hAnsi="宋体" w:cs="宋体"/>
                <w:color w:val="auto"/>
                <w:szCs w:val="21"/>
              </w:rPr>
              <w:t>（35分）</w:t>
            </w:r>
          </w:p>
        </w:tc>
        <w:tc>
          <w:tcPr>
            <w:tcW w:w="9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olor w:val="auto"/>
                <w:szCs w:val="21"/>
              </w:rPr>
              <w:t>项目需求分析（5分）</w:t>
            </w:r>
          </w:p>
        </w:tc>
        <w:tc>
          <w:tcPr>
            <w:tcW w:w="6237"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供应商根据对项目的理解，结合实际工作，对此项目作出需求分析的得3分。未提供相关分析或分析明显错误的此项不得分。</w:t>
            </w:r>
          </w:p>
          <w:p>
            <w:pPr>
              <w:ind w:firstLine="428" w:firstLineChars="204"/>
              <w:jc w:val="left"/>
              <w:rPr>
                <w:rFonts w:ascii="宋体" w:hAnsi="宋体"/>
                <w:color w:val="auto"/>
                <w:szCs w:val="21"/>
              </w:rPr>
            </w:pPr>
            <w:r>
              <w:rPr>
                <w:rFonts w:hint="eastAsia" w:ascii="宋体" w:hAnsi="宋体"/>
                <w:color w:val="auto"/>
                <w:szCs w:val="21"/>
              </w:rPr>
              <w:t>需求分析表述简单粗略的不加分；需求分析表述基本可行且有针对性的加1分；需求分析表述详尽、全面完善的加2分。</w:t>
            </w:r>
          </w:p>
        </w:tc>
        <w:tc>
          <w:tcPr>
            <w:tcW w:w="10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技术评审</w:t>
            </w:r>
          </w:p>
          <w:p>
            <w:pPr>
              <w:jc w:val="center"/>
              <w:rPr>
                <w:rFonts w:ascii="宋体" w:hAnsi="宋体" w:cs="宋体"/>
                <w:color w:val="auto"/>
                <w:szCs w:val="21"/>
              </w:rPr>
            </w:pPr>
            <w:r>
              <w:rPr>
                <w:rFonts w:hint="eastAsia" w:ascii="宋体" w:hAnsi="宋体" w:cs="宋体"/>
                <w:color w:val="auto"/>
                <w:szCs w:val="21"/>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jc w:val="center"/>
        </w:trPr>
        <w:tc>
          <w:tcPr>
            <w:tcW w:w="113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Cs w:val="21"/>
              </w:rPr>
            </w:pPr>
          </w:p>
        </w:tc>
        <w:tc>
          <w:tcPr>
            <w:tcW w:w="9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olor w:val="auto"/>
                <w:szCs w:val="21"/>
              </w:rPr>
              <w:t>质检服务方案</w:t>
            </w:r>
            <w:r>
              <w:rPr>
                <w:rFonts w:hint="eastAsia" w:ascii="宋体" w:hAnsi="宋体" w:cs="宋体"/>
                <w:color w:val="auto"/>
                <w:szCs w:val="21"/>
              </w:rPr>
              <w:t>(15分)</w:t>
            </w:r>
          </w:p>
        </w:tc>
        <w:tc>
          <w:tcPr>
            <w:tcW w:w="6237"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供应商根据对项目的理解，结合实际工作，制定符合本项目的质检服务方案，质检服务方案应包含以下子项：工作流程、抽样、检验内容、检验方法、质量评定。每提供一个子项得1分，最多得5分。方案中未提供相关子项或相关子项表述明显错误的，该子项不得分。</w:t>
            </w:r>
          </w:p>
          <w:p>
            <w:pPr>
              <w:ind w:firstLine="428" w:firstLineChars="204"/>
              <w:jc w:val="left"/>
              <w:rPr>
                <w:rFonts w:ascii="宋体" w:hAnsi="宋体"/>
                <w:color w:val="auto"/>
                <w:szCs w:val="21"/>
              </w:rPr>
            </w:pPr>
            <w:r>
              <w:rPr>
                <w:rFonts w:hint="eastAsia" w:ascii="宋体" w:hAnsi="宋体"/>
                <w:color w:val="auto"/>
                <w:szCs w:val="21"/>
              </w:rPr>
              <w:t>其中某一子项表述简单粗略的，该子项不加分；表述基本可行且有针对性，该子项加1分；表述详尽、合理可行、具有针对性的，该子项加2分；最多加10分。</w:t>
            </w:r>
          </w:p>
        </w:tc>
        <w:tc>
          <w:tcPr>
            <w:tcW w:w="10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技术评审</w:t>
            </w:r>
          </w:p>
          <w:p>
            <w:pPr>
              <w:jc w:val="center"/>
              <w:rPr>
                <w:rFonts w:ascii="宋体" w:hAnsi="宋体" w:cs="宋体"/>
                <w:color w:val="auto"/>
                <w:szCs w:val="21"/>
              </w:rPr>
            </w:pPr>
            <w:r>
              <w:rPr>
                <w:rFonts w:hint="eastAsia" w:ascii="宋体" w:hAnsi="宋体" w:cs="宋体"/>
                <w:color w:val="auto"/>
                <w:szCs w:val="21"/>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6" w:hRule="atLeast"/>
          <w:jc w:val="center"/>
        </w:trPr>
        <w:tc>
          <w:tcPr>
            <w:tcW w:w="113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Cs w:val="21"/>
              </w:rPr>
            </w:pPr>
          </w:p>
        </w:tc>
        <w:tc>
          <w:tcPr>
            <w:tcW w:w="9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lang w:val="zh-CN"/>
              </w:rPr>
            </w:pPr>
            <w:r>
              <w:rPr>
                <w:rFonts w:hint="eastAsia" w:ascii="宋体" w:hAnsi="宋体" w:cs="宋体"/>
                <w:color w:val="auto"/>
                <w:szCs w:val="21"/>
                <w:lang w:val="zh-CN"/>
              </w:rPr>
              <w:t>项目进度计划</w:t>
            </w:r>
          </w:p>
          <w:p>
            <w:pPr>
              <w:jc w:val="center"/>
              <w:rPr>
                <w:rFonts w:ascii="宋体" w:hAnsi="宋体" w:cs="宋体"/>
                <w:color w:val="auto"/>
                <w:szCs w:val="21"/>
              </w:rPr>
            </w:pPr>
            <w:r>
              <w:rPr>
                <w:rFonts w:hint="eastAsia" w:ascii="宋体" w:hAnsi="宋体" w:cs="宋体"/>
                <w:color w:val="auto"/>
                <w:spacing w:val="-20"/>
                <w:szCs w:val="21"/>
              </w:rPr>
              <w:t>（</w:t>
            </w:r>
            <w:r>
              <w:rPr>
                <w:rFonts w:hint="eastAsia" w:ascii="宋体" w:hAnsi="宋体" w:cs="宋体"/>
                <w:color w:val="auto"/>
                <w:szCs w:val="21"/>
              </w:rPr>
              <w:t>5</w:t>
            </w:r>
            <w:r>
              <w:rPr>
                <w:rFonts w:hint="eastAsia" w:ascii="宋体" w:hAnsi="宋体" w:cs="宋体"/>
                <w:color w:val="auto"/>
                <w:spacing w:val="-20"/>
                <w:szCs w:val="21"/>
              </w:rPr>
              <w:t>分）</w:t>
            </w:r>
          </w:p>
        </w:tc>
        <w:tc>
          <w:tcPr>
            <w:tcW w:w="6237"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供应商根据对项目的理解，结合实际工作，制定符合本项目的进度计划和保障措施的得3分。未提供相关进度计划和保障措施，或进度计划和保障措施不满足要求的，此项不得分。</w:t>
            </w:r>
          </w:p>
          <w:p>
            <w:pPr>
              <w:ind w:firstLine="428" w:firstLineChars="204"/>
              <w:jc w:val="left"/>
              <w:rPr>
                <w:rFonts w:ascii="宋体" w:hAnsi="宋体"/>
                <w:color w:val="auto"/>
                <w:szCs w:val="21"/>
              </w:rPr>
            </w:pPr>
            <w:r>
              <w:rPr>
                <w:rFonts w:hint="eastAsia" w:ascii="宋体" w:hAnsi="宋体"/>
                <w:color w:val="auto"/>
                <w:szCs w:val="21"/>
              </w:rPr>
              <w:t>进度计划和保障措施表述简单粗略的不加分；表述基本可行且有针对性的加1分；表述详尽、全面完善的加2分。</w:t>
            </w:r>
          </w:p>
        </w:tc>
        <w:tc>
          <w:tcPr>
            <w:tcW w:w="10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技术评审</w:t>
            </w:r>
          </w:p>
          <w:p>
            <w:pPr>
              <w:jc w:val="center"/>
              <w:rPr>
                <w:rFonts w:ascii="宋体" w:hAnsi="宋体" w:cs="宋体"/>
                <w:color w:val="auto"/>
                <w:szCs w:val="21"/>
              </w:rPr>
            </w:pPr>
            <w:r>
              <w:rPr>
                <w:rFonts w:hint="eastAsia" w:ascii="宋体" w:hAnsi="宋体" w:cs="宋体"/>
                <w:color w:val="auto"/>
                <w:szCs w:val="21"/>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jc w:val="center"/>
        </w:trPr>
        <w:tc>
          <w:tcPr>
            <w:tcW w:w="113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Cs w:val="21"/>
              </w:rPr>
            </w:pPr>
          </w:p>
        </w:tc>
        <w:tc>
          <w:tcPr>
            <w:tcW w:w="9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pacing w:val="-20"/>
                <w:szCs w:val="21"/>
              </w:rPr>
            </w:pPr>
            <w:r>
              <w:rPr>
                <w:rFonts w:hint="eastAsia" w:ascii="宋体" w:hAnsi="宋体" w:cs="宋体"/>
                <w:color w:val="auto"/>
                <w:szCs w:val="21"/>
                <w:lang w:val="zh-CN"/>
              </w:rPr>
              <w:t>安全作业方案</w:t>
            </w:r>
            <w:r>
              <w:rPr>
                <w:rFonts w:hint="eastAsia" w:ascii="宋体" w:hAnsi="宋体" w:cs="宋体"/>
                <w:color w:val="auto"/>
                <w:spacing w:val="-20"/>
                <w:szCs w:val="21"/>
              </w:rPr>
              <w:t>（</w:t>
            </w:r>
            <w:r>
              <w:rPr>
                <w:rFonts w:hint="eastAsia" w:ascii="宋体" w:hAnsi="宋体" w:cs="宋体"/>
                <w:color w:val="auto"/>
                <w:szCs w:val="21"/>
              </w:rPr>
              <w:t>5</w:t>
            </w:r>
            <w:r>
              <w:rPr>
                <w:rFonts w:hint="eastAsia" w:ascii="宋体" w:hAnsi="宋体" w:cs="宋体"/>
                <w:color w:val="auto"/>
                <w:spacing w:val="-20"/>
                <w:szCs w:val="21"/>
              </w:rPr>
              <w:t>分）</w:t>
            </w:r>
          </w:p>
        </w:tc>
        <w:tc>
          <w:tcPr>
            <w:tcW w:w="6237"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供应商根据招标文件要求提供安全作业方案的得3分。未提供相关安全作业方案或安全作业方案明显错误的此项不得分。</w:t>
            </w:r>
          </w:p>
          <w:p>
            <w:pPr>
              <w:ind w:firstLine="428" w:firstLineChars="204"/>
              <w:jc w:val="left"/>
              <w:rPr>
                <w:rFonts w:ascii="宋体" w:hAnsi="宋体"/>
                <w:color w:val="auto"/>
                <w:szCs w:val="21"/>
              </w:rPr>
            </w:pPr>
            <w:r>
              <w:rPr>
                <w:rFonts w:hint="eastAsia" w:ascii="宋体" w:hAnsi="宋体"/>
                <w:color w:val="auto"/>
                <w:szCs w:val="21"/>
              </w:rPr>
              <w:t>安全作业方案表述简单粗略的不加分；表述基本可行且有针对性的加1分；表述详尽，贴合采购人要求提供安全作业危险来源及隐患、安全预防措施制度严谨、清晰有效、能优质满足采购人需求的加2分。</w:t>
            </w:r>
          </w:p>
        </w:tc>
        <w:tc>
          <w:tcPr>
            <w:tcW w:w="10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技术评审</w:t>
            </w:r>
          </w:p>
          <w:p>
            <w:pPr>
              <w:pStyle w:val="2"/>
              <w:spacing w:after="0"/>
              <w:ind w:left="2940"/>
              <w:jc w:val="center"/>
              <w:rPr>
                <w:color w:val="auto"/>
                <w:lang w:val="zh-CN"/>
              </w:rPr>
            </w:pPr>
            <w:r>
              <w:rPr>
                <w:rFonts w:hint="eastAsia" w:ascii="宋体" w:hAnsi="宋体" w:cs="宋体"/>
                <w:color w:val="auto"/>
                <w:szCs w:val="21"/>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jc w:val="center"/>
        </w:trPr>
        <w:tc>
          <w:tcPr>
            <w:tcW w:w="113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Cs w:val="21"/>
              </w:rPr>
            </w:pPr>
          </w:p>
        </w:tc>
        <w:tc>
          <w:tcPr>
            <w:tcW w:w="9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r>
              <w:rPr>
                <w:rFonts w:hint="eastAsia" w:ascii="宋体" w:hAnsi="宋体"/>
                <w:color w:val="auto"/>
                <w:szCs w:val="21"/>
              </w:rPr>
              <w:t>重难点分析</w:t>
            </w:r>
          </w:p>
          <w:p>
            <w:pPr>
              <w:jc w:val="center"/>
              <w:rPr>
                <w:rFonts w:ascii="宋体" w:hAnsi="宋体" w:cs="宋体"/>
                <w:color w:val="auto"/>
                <w:szCs w:val="21"/>
              </w:rPr>
            </w:pPr>
            <w:r>
              <w:rPr>
                <w:rFonts w:hint="eastAsia" w:ascii="宋体" w:hAnsi="宋体" w:cs="宋体"/>
                <w:color w:val="auto"/>
                <w:spacing w:val="-20"/>
                <w:szCs w:val="21"/>
              </w:rPr>
              <w:t>（</w:t>
            </w:r>
            <w:r>
              <w:rPr>
                <w:rFonts w:hint="eastAsia" w:ascii="宋体" w:hAnsi="宋体" w:cs="宋体"/>
                <w:color w:val="auto"/>
                <w:szCs w:val="21"/>
              </w:rPr>
              <w:t>5</w:t>
            </w:r>
            <w:r>
              <w:rPr>
                <w:rFonts w:hint="eastAsia" w:ascii="宋体" w:hAnsi="宋体" w:cs="宋体"/>
                <w:color w:val="auto"/>
                <w:spacing w:val="-20"/>
                <w:szCs w:val="21"/>
              </w:rPr>
              <w:t>分）</w:t>
            </w:r>
          </w:p>
          <w:p>
            <w:pPr>
              <w:jc w:val="center"/>
              <w:rPr>
                <w:rFonts w:ascii="宋体" w:hAnsi="宋体" w:cs="宋体"/>
                <w:color w:val="auto"/>
                <w:szCs w:val="21"/>
              </w:rPr>
            </w:pPr>
          </w:p>
        </w:tc>
        <w:tc>
          <w:tcPr>
            <w:tcW w:w="6237"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供应商根据对项目深入理解，作出重难点分析，提出解决方案的得3分。未提供重难点分析及解决方案或重难点分析及解决方案明显错误的此项不得分。</w:t>
            </w:r>
          </w:p>
          <w:p>
            <w:pPr>
              <w:ind w:firstLine="428" w:firstLineChars="204"/>
              <w:jc w:val="left"/>
              <w:rPr>
                <w:rFonts w:ascii="宋体" w:hAnsi="宋体"/>
                <w:color w:val="auto"/>
                <w:szCs w:val="21"/>
              </w:rPr>
            </w:pPr>
            <w:r>
              <w:rPr>
                <w:rFonts w:hint="eastAsia" w:ascii="宋体" w:hAnsi="宋体"/>
                <w:color w:val="auto"/>
                <w:szCs w:val="21"/>
              </w:rPr>
              <w:t>重难点分析及解决方案表述简单粗略的不加分；表述基本可行且有针对性的加1分；认识深刻，分析合理，能提出专业的重难点解决方案的加2分。</w:t>
            </w:r>
          </w:p>
        </w:tc>
        <w:tc>
          <w:tcPr>
            <w:tcW w:w="10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技术评审</w:t>
            </w:r>
          </w:p>
          <w:p>
            <w:pPr>
              <w:jc w:val="center"/>
              <w:rPr>
                <w:rFonts w:ascii="宋体" w:hAnsi="宋体" w:cs="宋体"/>
                <w:color w:val="auto"/>
                <w:szCs w:val="21"/>
              </w:rPr>
            </w:pPr>
            <w:r>
              <w:rPr>
                <w:rFonts w:hint="eastAsia" w:ascii="宋体" w:hAnsi="宋体" w:cs="宋体"/>
                <w:color w:val="auto"/>
                <w:szCs w:val="21"/>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9" w:hRule="atLeast"/>
          <w:jc w:val="center"/>
        </w:trPr>
        <w:tc>
          <w:tcPr>
            <w:tcW w:w="1137" w:type="dxa"/>
            <w:vMerge w:val="restart"/>
            <w:tcBorders>
              <w:left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商务</w:t>
            </w:r>
          </w:p>
          <w:p>
            <w:pPr>
              <w:jc w:val="center"/>
              <w:rPr>
                <w:rFonts w:ascii="宋体" w:hAnsi="宋体" w:cs="宋体"/>
                <w:color w:val="auto"/>
                <w:szCs w:val="21"/>
              </w:rPr>
            </w:pPr>
            <w:r>
              <w:rPr>
                <w:rFonts w:hint="eastAsia" w:ascii="宋体" w:hAnsi="宋体" w:cs="宋体"/>
                <w:color w:val="auto"/>
                <w:szCs w:val="21"/>
              </w:rPr>
              <w:t>部分</w:t>
            </w:r>
          </w:p>
          <w:p>
            <w:pPr>
              <w:jc w:val="center"/>
              <w:rPr>
                <w:rFonts w:ascii="宋体" w:hAnsi="宋体" w:cs="宋体"/>
                <w:color w:val="auto"/>
                <w:szCs w:val="21"/>
              </w:rPr>
            </w:pPr>
            <w:r>
              <w:rPr>
                <w:rFonts w:hint="eastAsia" w:ascii="宋体" w:hAnsi="宋体" w:cs="宋体"/>
                <w:color w:val="auto"/>
                <w:szCs w:val="21"/>
              </w:rPr>
              <w:t>（50分）</w:t>
            </w:r>
          </w:p>
        </w:tc>
        <w:tc>
          <w:tcPr>
            <w:tcW w:w="9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人员配置</w:t>
            </w:r>
          </w:p>
          <w:p>
            <w:pPr>
              <w:jc w:val="cente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u w:val="single"/>
              </w:rPr>
              <w:t xml:space="preserve">18 </w:t>
            </w:r>
            <w:r>
              <w:rPr>
                <w:rFonts w:hint="eastAsia" w:ascii="宋体" w:hAnsi="宋体" w:cs="宋体"/>
                <w:color w:val="auto"/>
                <w:szCs w:val="21"/>
              </w:rPr>
              <w:t>分）</w:t>
            </w:r>
          </w:p>
        </w:tc>
        <w:tc>
          <w:tcPr>
            <w:tcW w:w="6237"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1、拟为本项目配备的项目负责人具有测绘类相关专业高级及以上职称的得4分，项目负责人为省级及以上测绘地理信息质量检验专家库成员的加2分。此项共计6分。</w:t>
            </w:r>
          </w:p>
          <w:p>
            <w:pPr>
              <w:ind w:firstLine="428" w:firstLineChars="204"/>
              <w:jc w:val="left"/>
              <w:rPr>
                <w:rFonts w:ascii="宋体" w:hAnsi="宋体"/>
                <w:color w:val="auto"/>
                <w:szCs w:val="21"/>
              </w:rPr>
            </w:pPr>
            <w:r>
              <w:rPr>
                <w:rFonts w:hint="eastAsia" w:ascii="宋体" w:hAnsi="宋体"/>
                <w:color w:val="auto"/>
                <w:szCs w:val="21"/>
              </w:rPr>
              <w:t>2、拟为本项目配备的技术负责人具有测绘类相关专业高级及以上职称的得4分，技术负责人为省级及以上测绘地理信息质量检验专家库成员的加2分。此项共计6分。</w:t>
            </w:r>
          </w:p>
          <w:p>
            <w:pPr>
              <w:ind w:firstLine="428" w:firstLineChars="204"/>
              <w:jc w:val="left"/>
              <w:rPr>
                <w:rFonts w:ascii="宋体" w:hAnsi="宋体"/>
                <w:color w:val="auto"/>
                <w:szCs w:val="21"/>
              </w:rPr>
            </w:pPr>
            <w:r>
              <w:rPr>
                <w:rFonts w:hint="eastAsia" w:ascii="宋体" w:hAnsi="宋体"/>
                <w:color w:val="auto"/>
                <w:szCs w:val="21"/>
              </w:rPr>
              <w:t>3、拟为本项目配备的质检人员5人及以上得2分。上述人员具有测绘相关专业中级及以上职称的每一个人得1分，最多得4分。此项共计6分。</w:t>
            </w:r>
          </w:p>
          <w:p>
            <w:pPr>
              <w:ind w:firstLine="430" w:firstLineChars="204"/>
              <w:jc w:val="left"/>
              <w:rPr>
                <w:rFonts w:ascii="宋体" w:hAnsi="宋体"/>
                <w:b/>
                <w:color w:val="auto"/>
                <w:szCs w:val="21"/>
              </w:rPr>
            </w:pPr>
            <w:r>
              <w:rPr>
                <w:rFonts w:hint="eastAsia" w:ascii="宋体" w:hAnsi="宋体"/>
                <w:b/>
                <w:color w:val="auto"/>
                <w:szCs w:val="21"/>
              </w:rPr>
              <w:t>注：1、以上人员不重复计算。</w:t>
            </w:r>
          </w:p>
          <w:p>
            <w:pPr>
              <w:ind w:firstLine="430" w:firstLineChars="204"/>
              <w:jc w:val="left"/>
              <w:rPr>
                <w:rFonts w:ascii="宋体" w:hAnsi="宋体"/>
                <w:b/>
                <w:color w:val="auto"/>
                <w:szCs w:val="21"/>
              </w:rPr>
            </w:pPr>
            <w:r>
              <w:rPr>
                <w:rFonts w:hint="eastAsia" w:ascii="宋体" w:hAnsi="宋体"/>
                <w:b/>
                <w:color w:val="auto"/>
                <w:szCs w:val="21"/>
              </w:rPr>
              <w:t>2、供应商需提供以上相关人员有效的身份证复印件、有效的资格证书复印件以及为本单位人员的证明材料复印件，无有效证明材料的相应项不得分。</w:t>
            </w:r>
          </w:p>
          <w:p>
            <w:pPr>
              <w:ind w:firstLine="428" w:firstLineChars="204"/>
              <w:jc w:val="left"/>
              <w:rPr>
                <w:rFonts w:ascii="宋体" w:hAnsi="宋体"/>
                <w:color w:val="auto"/>
                <w:szCs w:val="21"/>
              </w:rPr>
            </w:pPr>
          </w:p>
        </w:tc>
        <w:tc>
          <w:tcPr>
            <w:tcW w:w="10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9" w:hRule="atLeast"/>
          <w:jc w:val="center"/>
        </w:trPr>
        <w:tc>
          <w:tcPr>
            <w:tcW w:w="1137" w:type="dxa"/>
            <w:vMerge w:val="continue"/>
            <w:tcBorders>
              <w:left w:val="single" w:color="auto" w:sz="4" w:space="0"/>
              <w:right w:val="single" w:color="auto" w:sz="4" w:space="0"/>
            </w:tcBorders>
            <w:vAlign w:val="center"/>
          </w:tcPr>
          <w:p>
            <w:pPr>
              <w:jc w:val="center"/>
              <w:rPr>
                <w:rFonts w:ascii="宋体" w:hAnsi="宋体" w:cs="宋体"/>
                <w:color w:val="auto"/>
                <w:szCs w:val="21"/>
              </w:rPr>
            </w:pPr>
          </w:p>
        </w:tc>
        <w:tc>
          <w:tcPr>
            <w:tcW w:w="9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仪器设备配置</w:t>
            </w:r>
          </w:p>
          <w:p>
            <w:pPr>
              <w:jc w:val="cente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u w:val="single"/>
              </w:rPr>
              <w:t xml:space="preserve"> 14 </w:t>
            </w:r>
            <w:r>
              <w:rPr>
                <w:rFonts w:hint="eastAsia" w:ascii="宋体" w:hAnsi="宋体" w:cs="宋体"/>
                <w:color w:val="auto"/>
                <w:szCs w:val="21"/>
              </w:rPr>
              <w:t>分)</w:t>
            </w:r>
          </w:p>
        </w:tc>
        <w:tc>
          <w:tcPr>
            <w:tcW w:w="6237"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1、拟投入管线探测仪器数量1台得2分；每增加1台加2分，最多加2分。此项共计4分。</w:t>
            </w:r>
          </w:p>
          <w:p>
            <w:pPr>
              <w:ind w:firstLine="428" w:firstLineChars="204"/>
              <w:jc w:val="left"/>
              <w:rPr>
                <w:rFonts w:ascii="宋体" w:hAnsi="宋体"/>
                <w:color w:val="auto"/>
                <w:szCs w:val="21"/>
              </w:rPr>
            </w:pPr>
            <w:r>
              <w:rPr>
                <w:rFonts w:hint="eastAsia" w:ascii="宋体" w:hAnsi="宋体"/>
                <w:color w:val="auto"/>
                <w:szCs w:val="21"/>
              </w:rPr>
              <w:t>2、拟投入GNSS接收机数量2台得2分；每增加1台加1分，最多加3分。此项共计5分。</w:t>
            </w:r>
          </w:p>
          <w:p>
            <w:pPr>
              <w:ind w:firstLine="428" w:firstLineChars="204"/>
              <w:jc w:val="left"/>
              <w:rPr>
                <w:rFonts w:ascii="宋体" w:hAnsi="宋体"/>
                <w:color w:val="auto"/>
                <w:szCs w:val="21"/>
              </w:rPr>
            </w:pPr>
            <w:r>
              <w:rPr>
                <w:rFonts w:hint="eastAsia" w:ascii="宋体" w:hAnsi="宋体"/>
                <w:color w:val="auto"/>
                <w:szCs w:val="21"/>
              </w:rPr>
              <w:t>3、拟投入的全站仪数量2台得2分；每增加1台加1分，最多加3分。此项共计5分。</w:t>
            </w:r>
          </w:p>
          <w:p>
            <w:pPr>
              <w:ind w:firstLine="430" w:firstLineChars="204"/>
              <w:jc w:val="left"/>
              <w:rPr>
                <w:rFonts w:ascii="宋体" w:hAnsi="宋体"/>
                <w:b/>
                <w:color w:val="auto"/>
                <w:szCs w:val="21"/>
              </w:rPr>
            </w:pPr>
            <w:r>
              <w:rPr>
                <w:rFonts w:hint="eastAsia" w:ascii="宋体" w:hAnsi="宋体"/>
                <w:b/>
                <w:color w:val="auto"/>
                <w:szCs w:val="21"/>
              </w:rPr>
              <w:t>注：1、自有的管线探测仪提供相关证明材料复印件，非自有的管线探测仪提供租赁证明材料，无有效证明材料不得分。</w:t>
            </w:r>
          </w:p>
          <w:p>
            <w:pPr>
              <w:ind w:firstLine="430" w:firstLineChars="204"/>
              <w:jc w:val="left"/>
              <w:rPr>
                <w:rFonts w:ascii="宋体" w:hAnsi="宋体"/>
                <w:b/>
                <w:color w:val="auto"/>
                <w:szCs w:val="21"/>
              </w:rPr>
            </w:pPr>
            <w:r>
              <w:rPr>
                <w:rFonts w:hint="eastAsia" w:ascii="宋体" w:hAnsi="宋体"/>
                <w:b/>
                <w:color w:val="auto"/>
                <w:szCs w:val="21"/>
              </w:rPr>
              <w:t>2、自有的GNSS接收机和全站仪提供有效期内的仪器检定证书复印件，非自有的GNSS接收机和全站仪提供租赁合同复印件和仪器检定证书复印件，无有效证明材料不得分。</w:t>
            </w:r>
          </w:p>
          <w:p>
            <w:pPr>
              <w:ind w:firstLine="430" w:firstLineChars="204"/>
              <w:jc w:val="left"/>
              <w:rPr>
                <w:rFonts w:ascii="宋体" w:hAnsi="宋体"/>
                <w:color w:val="auto"/>
                <w:szCs w:val="21"/>
              </w:rPr>
            </w:pPr>
            <w:r>
              <w:rPr>
                <w:rFonts w:hint="eastAsia" w:ascii="宋体" w:hAnsi="宋体"/>
                <w:b/>
                <w:color w:val="auto"/>
                <w:szCs w:val="21"/>
              </w:rPr>
              <w:t>3、若涉及多个仪器设备使用同一份证明材料或证书的，应注明用于本项目的数量及对应产品编号。</w:t>
            </w:r>
          </w:p>
        </w:tc>
        <w:tc>
          <w:tcPr>
            <w:tcW w:w="10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9" w:hRule="atLeast"/>
          <w:jc w:val="center"/>
        </w:trPr>
        <w:tc>
          <w:tcPr>
            <w:tcW w:w="1137" w:type="dxa"/>
            <w:vMerge w:val="continue"/>
            <w:tcBorders>
              <w:left w:val="single" w:color="auto" w:sz="4" w:space="0"/>
              <w:right w:val="single" w:color="auto" w:sz="4" w:space="0"/>
            </w:tcBorders>
            <w:vAlign w:val="center"/>
          </w:tcPr>
          <w:p>
            <w:pPr>
              <w:widowControl/>
              <w:jc w:val="center"/>
              <w:rPr>
                <w:rFonts w:ascii="宋体" w:hAnsi="宋体" w:cs="宋体"/>
                <w:i/>
                <w:color w:val="auto"/>
                <w:szCs w:val="21"/>
              </w:rPr>
            </w:pPr>
          </w:p>
        </w:tc>
        <w:tc>
          <w:tcPr>
            <w:tcW w:w="9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企业</w:t>
            </w:r>
          </w:p>
          <w:p>
            <w:pPr>
              <w:jc w:val="center"/>
              <w:rPr>
                <w:rFonts w:ascii="宋体" w:hAnsi="宋体" w:cs="宋体"/>
                <w:color w:val="auto"/>
                <w:szCs w:val="21"/>
              </w:rPr>
            </w:pPr>
            <w:r>
              <w:rPr>
                <w:rFonts w:hint="eastAsia" w:ascii="宋体" w:hAnsi="宋体" w:cs="宋体"/>
                <w:color w:val="auto"/>
                <w:szCs w:val="21"/>
              </w:rPr>
              <w:t>业绩</w:t>
            </w:r>
          </w:p>
          <w:p>
            <w:pPr>
              <w:jc w:val="center"/>
              <w:rPr>
                <w:rFonts w:ascii="宋体" w:hAnsi="宋体" w:cs="宋体"/>
                <w:color w:val="auto"/>
                <w:szCs w:val="21"/>
              </w:rPr>
            </w:pPr>
            <w:r>
              <w:rPr>
                <w:rFonts w:hint="eastAsia" w:ascii="宋体" w:hAnsi="宋体" w:cs="宋体"/>
                <w:color w:val="auto"/>
                <w:szCs w:val="21"/>
              </w:rPr>
              <w:t>(15分)</w:t>
            </w:r>
          </w:p>
        </w:tc>
        <w:tc>
          <w:tcPr>
            <w:tcW w:w="6237"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2017年1月1日以来，每承担过一个类似地下管线普查质检业绩的得3分，最多15分。</w:t>
            </w:r>
          </w:p>
          <w:p>
            <w:pPr>
              <w:ind w:firstLine="430" w:firstLineChars="204"/>
              <w:jc w:val="left"/>
              <w:rPr>
                <w:rFonts w:ascii="宋体" w:hAnsi="宋体"/>
                <w:b/>
                <w:color w:val="auto"/>
                <w:szCs w:val="21"/>
              </w:rPr>
            </w:pPr>
            <w:r>
              <w:rPr>
                <w:rFonts w:hint="eastAsia" w:ascii="宋体" w:hAnsi="宋体"/>
                <w:b/>
                <w:color w:val="auto"/>
                <w:szCs w:val="21"/>
              </w:rPr>
              <w:t>注：1、以上业绩需提供合同（或任务来源证明文件）复印件，未附证明材料或证明材料不齐、不能清晰反映上述内容的，不得分。</w:t>
            </w:r>
          </w:p>
          <w:p>
            <w:pPr>
              <w:ind w:firstLine="430" w:firstLineChars="204"/>
              <w:jc w:val="left"/>
              <w:rPr>
                <w:rFonts w:ascii="宋体" w:hAnsi="宋体"/>
                <w:color w:val="auto"/>
                <w:szCs w:val="21"/>
              </w:rPr>
            </w:pPr>
            <w:r>
              <w:rPr>
                <w:rFonts w:hint="eastAsia" w:ascii="宋体" w:hAnsi="宋体"/>
                <w:b/>
                <w:color w:val="auto"/>
                <w:szCs w:val="21"/>
              </w:rPr>
              <w:t>2、业绩时间以合同签订时间为准。</w:t>
            </w:r>
          </w:p>
        </w:tc>
        <w:tc>
          <w:tcPr>
            <w:tcW w:w="10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kern w:val="0"/>
                <w:szCs w:val="21"/>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1137" w:type="dxa"/>
            <w:vMerge w:val="continue"/>
            <w:tcBorders>
              <w:left w:val="single" w:color="auto" w:sz="4" w:space="0"/>
              <w:right w:val="single" w:color="auto" w:sz="4" w:space="0"/>
            </w:tcBorders>
            <w:vAlign w:val="center"/>
          </w:tcPr>
          <w:p>
            <w:pPr>
              <w:widowControl/>
              <w:jc w:val="center"/>
              <w:rPr>
                <w:rFonts w:ascii="宋体" w:hAnsi="宋体" w:cs="宋体"/>
                <w:color w:val="auto"/>
                <w:szCs w:val="21"/>
              </w:rPr>
            </w:pPr>
          </w:p>
        </w:tc>
        <w:tc>
          <w:tcPr>
            <w:tcW w:w="9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扶持少数民族不发达地区</w:t>
            </w:r>
          </w:p>
          <w:p>
            <w:pPr>
              <w:jc w:val="center"/>
              <w:rPr>
                <w:rFonts w:ascii="宋体" w:hAnsi="宋体" w:cs="宋体"/>
                <w:color w:val="auto"/>
                <w:szCs w:val="21"/>
              </w:rPr>
            </w:pPr>
            <w:r>
              <w:rPr>
                <w:rFonts w:hint="eastAsia" w:ascii="宋体" w:hAnsi="宋体" w:cs="宋体"/>
                <w:color w:val="auto"/>
                <w:szCs w:val="21"/>
              </w:rPr>
              <w:t>（1分）</w:t>
            </w:r>
          </w:p>
        </w:tc>
        <w:tc>
          <w:tcPr>
            <w:tcW w:w="6237"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供应商属于不发达地区供应商或属于少数民族地区供应商，得1分。</w:t>
            </w:r>
          </w:p>
          <w:p>
            <w:pPr>
              <w:ind w:firstLine="428" w:firstLineChars="204"/>
              <w:jc w:val="left"/>
              <w:rPr>
                <w:rFonts w:ascii="宋体" w:hAnsi="宋体"/>
                <w:color w:val="auto"/>
                <w:szCs w:val="21"/>
              </w:rPr>
            </w:pPr>
            <w:r>
              <w:rPr>
                <w:rFonts w:hint="eastAsia" w:ascii="宋体" w:hAnsi="宋体"/>
                <w:color w:val="auto"/>
                <w:szCs w:val="21"/>
              </w:rPr>
              <w:t>（提供供应商属于不发达地区供应商的相关证明材料或者提供注册地在少数民族地区的营业执照或法人登记证书等相关证明材料。）</w:t>
            </w:r>
          </w:p>
          <w:p>
            <w:pPr>
              <w:ind w:firstLine="430" w:firstLineChars="204"/>
              <w:jc w:val="left"/>
              <w:rPr>
                <w:rFonts w:ascii="宋体" w:hAnsi="宋体"/>
                <w:b/>
                <w:color w:val="auto"/>
                <w:szCs w:val="21"/>
              </w:rPr>
            </w:pPr>
            <w:r>
              <w:rPr>
                <w:rFonts w:hint="eastAsia" w:ascii="宋体" w:hAnsi="宋体"/>
                <w:b/>
                <w:color w:val="auto"/>
                <w:szCs w:val="21"/>
              </w:rPr>
              <w:t>注：1、供应商应在其提供的相关证明材料上注明“属于不发达地区供应商或属于少数民族地区供应商的相关证明材料”；如未注明或者注明不明确的，评审委员会可不予采用。</w:t>
            </w:r>
          </w:p>
          <w:p>
            <w:pPr>
              <w:ind w:firstLine="430" w:firstLineChars="204"/>
              <w:jc w:val="left"/>
              <w:rPr>
                <w:rFonts w:ascii="宋体" w:hAnsi="宋体"/>
                <w:color w:val="auto"/>
                <w:szCs w:val="21"/>
              </w:rPr>
            </w:pPr>
            <w:r>
              <w:rPr>
                <w:rFonts w:hint="eastAsia" w:ascii="宋体" w:hAnsi="宋体"/>
                <w:b/>
                <w:color w:val="auto"/>
                <w:szCs w:val="21"/>
              </w:rPr>
              <w:t>2、相关证明材料复印件。</w:t>
            </w:r>
          </w:p>
        </w:tc>
        <w:tc>
          <w:tcPr>
            <w:tcW w:w="10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kern w:val="0"/>
                <w:szCs w:val="21"/>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jc w:val="center"/>
        </w:trPr>
        <w:tc>
          <w:tcPr>
            <w:tcW w:w="1137"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color w:val="auto"/>
                <w:szCs w:val="21"/>
              </w:rPr>
            </w:pPr>
          </w:p>
        </w:tc>
        <w:tc>
          <w:tcPr>
            <w:tcW w:w="9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投标文件的规范性</w:t>
            </w:r>
          </w:p>
          <w:p>
            <w:pPr>
              <w:jc w:val="center"/>
              <w:rPr>
                <w:rFonts w:ascii="宋体" w:hAnsi="宋体" w:cs="宋体"/>
                <w:color w:val="auto"/>
                <w:szCs w:val="21"/>
              </w:rPr>
            </w:pPr>
            <w:r>
              <w:rPr>
                <w:rFonts w:hint="eastAsia" w:ascii="宋体" w:hAnsi="宋体" w:cs="宋体"/>
                <w:color w:val="auto"/>
                <w:szCs w:val="21"/>
              </w:rPr>
              <w:t>（2分）</w:t>
            </w:r>
          </w:p>
        </w:tc>
        <w:tc>
          <w:tcPr>
            <w:tcW w:w="6237" w:type="dxa"/>
            <w:tcBorders>
              <w:top w:val="single" w:color="auto" w:sz="4" w:space="0"/>
              <w:left w:val="single" w:color="auto" w:sz="4" w:space="0"/>
              <w:bottom w:val="single" w:color="auto" w:sz="4" w:space="0"/>
              <w:right w:val="single" w:color="auto" w:sz="4" w:space="0"/>
            </w:tcBorders>
            <w:vAlign w:val="center"/>
          </w:tcPr>
          <w:p>
            <w:pPr>
              <w:ind w:firstLine="428" w:firstLineChars="204"/>
              <w:jc w:val="left"/>
              <w:rPr>
                <w:rFonts w:ascii="宋体" w:hAnsi="宋体"/>
                <w:color w:val="auto"/>
                <w:szCs w:val="21"/>
              </w:rPr>
            </w:pPr>
            <w:r>
              <w:rPr>
                <w:rFonts w:hint="eastAsia" w:ascii="宋体" w:hAnsi="宋体"/>
                <w:color w:val="auto"/>
                <w:szCs w:val="21"/>
              </w:rPr>
              <w:t>投标文件制作规范的，得2分；每有一项偏差的扣0.5分，扣完为止。</w:t>
            </w:r>
          </w:p>
        </w:tc>
        <w:tc>
          <w:tcPr>
            <w:tcW w:w="10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rPr>
            </w:pPr>
            <w:r>
              <w:rPr>
                <w:rFonts w:hint="eastAsia" w:ascii="宋体" w:hAnsi="宋体" w:cs="宋体"/>
                <w:color w:val="auto"/>
                <w:kern w:val="0"/>
                <w:szCs w:val="21"/>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i/>
                <w:color w:val="auto"/>
                <w:szCs w:val="21"/>
              </w:rPr>
            </w:pPr>
            <w:r>
              <w:rPr>
                <w:rFonts w:hint="eastAsia" w:ascii="宋体" w:hAnsi="宋体" w:cs="宋体"/>
                <w:color w:val="auto"/>
                <w:szCs w:val="21"/>
              </w:rPr>
              <w:t>合计</w:t>
            </w:r>
          </w:p>
        </w:tc>
        <w:tc>
          <w:tcPr>
            <w:tcW w:w="8283" w:type="dxa"/>
            <w:gridSpan w:val="3"/>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ascii="宋体" w:hAnsi="宋体" w:cs="宋体"/>
                <w:color w:val="auto"/>
                <w:szCs w:val="21"/>
              </w:rPr>
            </w:pPr>
            <w:r>
              <w:rPr>
                <w:rFonts w:hint="eastAsia" w:ascii="宋体" w:hAnsi="宋体" w:cs="宋体"/>
                <w:color w:val="auto"/>
                <w:szCs w:val="21"/>
              </w:rPr>
              <w:t>100分</w:t>
            </w:r>
          </w:p>
        </w:tc>
      </w:tr>
    </w:tbl>
    <w:p>
      <w:pPr>
        <w:spacing w:line="560" w:lineRule="exact"/>
        <w:rPr>
          <w:rFonts w:ascii="宋体" w:hAnsi="宋体"/>
          <w:color w:val="auto"/>
          <w:sz w:val="28"/>
        </w:rPr>
      </w:pPr>
    </w:p>
    <w:p>
      <w:pPr>
        <w:spacing w:line="560" w:lineRule="exact"/>
        <w:ind w:firstLine="560" w:firstLineChars="200"/>
        <w:rPr>
          <w:rFonts w:ascii="宋体" w:hAnsi="宋体"/>
          <w:color w:val="auto"/>
          <w:sz w:val="28"/>
        </w:rPr>
      </w:pPr>
      <w:r>
        <w:rPr>
          <w:rFonts w:hint="eastAsia" w:ascii="宋体" w:hAnsi="宋体"/>
          <w:color w:val="auto"/>
          <w:sz w:val="28"/>
        </w:rPr>
        <w:t>说明：</w:t>
      </w:r>
    </w:p>
    <w:p>
      <w:pPr>
        <w:spacing w:line="560" w:lineRule="exact"/>
        <w:ind w:firstLine="560" w:firstLineChars="200"/>
        <w:rPr>
          <w:rFonts w:ascii="宋体" w:hAnsi="宋体"/>
          <w:color w:val="auto"/>
          <w:sz w:val="28"/>
        </w:rPr>
      </w:pPr>
      <w:r>
        <w:rPr>
          <w:rFonts w:hint="eastAsia" w:ascii="宋体" w:hAnsi="宋体"/>
          <w:color w:val="auto"/>
          <w:sz w:val="28"/>
        </w:rPr>
        <w:t>1、评分的取值按四舍五入法，保留小数点后两位；</w:t>
      </w:r>
    </w:p>
    <w:p>
      <w:pPr>
        <w:spacing w:line="560" w:lineRule="exact"/>
        <w:ind w:firstLine="560" w:firstLineChars="200"/>
        <w:rPr>
          <w:rFonts w:ascii="宋体" w:hAnsi="宋体"/>
          <w:color w:val="auto"/>
          <w:sz w:val="28"/>
        </w:rPr>
      </w:pPr>
      <w:r>
        <w:rPr>
          <w:rFonts w:hint="eastAsia" w:ascii="宋体" w:hAnsi="宋体"/>
          <w:color w:val="auto"/>
          <w:sz w:val="28"/>
        </w:rPr>
        <w:t>2、评分标准中要求提供复印件的证明材料须清晰可辨。</w:t>
      </w:r>
    </w:p>
    <w:p>
      <w:pPr>
        <w:spacing w:line="560" w:lineRule="exact"/>
        <w:ind w:firstLine="560" w:firstLineChars="200"/>
        <w:rPr>
          <w:rFonts w:ascii="宋体" w:hAnsi="宋体"/>
          <w:color w:val="auto"/>
          <w:sz w:val="28"/>
        </w:rPr>
      </w:pPr>
    </w:p>
    <w:p>
      <w:pPr>
        <w:pStyle w:val="5"/>
        <w:numPr>
          <w:ilvl w:val="1"/>
          <w:numId w:val="3"/>
        </w:numPr>
        <w:spacing w:before="0" w:after="0" w:line="560" w:lineRule="exact"/>
        <w:ind w:left="2269" w:hanging="2127"/>
        <w:rPr>
          <w:color w:val="auto"/>
        </w:rPr>
      </w:pPr>
      <w:bookmarkStart w:id="354" w:name="_Toc315871656"/>
      <w:bookmarkEnd w:id="354"/>
      <w:bookmarkStart w:id="355" w:name="_Toc320624275"/>
      <w:bookmarkEnd w:id="355"/>
      <w:bookmarkStart w:id="356" w:name="_Toc320624265"/>
      <w:bookmarkEnd w:id="356"/>
      <w:bookmarkStart w:id="357" w:name="_Toc320624285"/>
      <w:bookmarkEnd w:id="357"/>
      <w:bookmarkStart w:id="358" w:name="_Toc320624255"/>
      <w:bookmarkEnd w:id="358"/>
      <w:bookmarkStart w:id="359" w:name="_Toc320624295"/>
      <w:bookmarkEnd w:id="359"/>
      <w:bookmarkStart w:id="360" w:name="_Toc320624290"/>
      <w:bookmarkEnd w:id="360"/>
      <w:bookmarkStart w:id="361" w:name="_Toc315871658"/>
      <w:bookmarkEnd w:id="361"/>
      <w:bookmarkStart w:id="362" w:name="_Toc315871725"/>
      <w:bookmarkEnd w:id="362"/>
      <w:bookmarkStart w:id="363" w:name="_Toc320624260"/>
      <w:bookmarkEnd w:id="363"/>
      <w:bookmarkStart w:id="364" w:name="_Toc315871657"/>
      <w:bookmarkEnd w:id="364"/>
      <w:bookmarkStart w:id="365" w:name="_Toc320624280"/>
      <w:bookmarkEnd w:id="365"/>
      <w:bookmarkStart w:id="366" w:name="_Toc320624240"/>
      <w:bookmarkEnd w:id="366"/>
      <w:bookmarkStart w:id="367" w:name="_Toc318206701"/>
      <w:bookmarkEnd w:id="367"/>
      <w:bookmarkStart w:id="368" w:name="_Toc79654116"/>
      <w:bookmarkStart w:id="369" w:name="_Toc18803"/>
      <w:bookmarkStart w:id="370" w:name="_Toc315871726"/>
      <w:bookmarkStart w:id="371" w:name="_Toc15076"/>
      <w:bookmarkStart w:id="372" w:name="_Toc19565"/>
      <w:bookmarkStart w:id="373" w:name="_Toc316292258"/>
      <w:bookmarkStart w:id="374" w:name="_Toc23841"/>
      <w:bookmarkStart w:id="375" w:name="_Toc217446060"/>
      <w:r>
        <w:rPr>
          <w:rFonts w:hint="eastAsia"/>
          <w:color w:val="auto"/>
        </w:rPr>
        <w:t>废标</w:t>
      </w:r>
      <w:bookmarkEnd w:id="368"/>
      <w:bookmarkEnd w:id="369"/>
      <w:bookmarkEnd w:id="370"/>
      <w:bookmarkEnd w:id="371"/>
      <w:bookmarkEnd w:id="372"/>
      <w:bookmarkEnd w:id="373"/>
      <w:bookmarkEnd w:id="374"/>
    </w:p>
    <w:p>
      <w:pPr>
        <w:spacing w:line="560" w:lineRule="exact"/>
        <w:ind w:firstLine="560" w:firstLineChars="200"/>
        <w:rPr>
          <w:rFonts w:ascii="宋体" w:hAnsi="宋体"/>
          <w:color w:val="auto"/>
          <w:sz w:val="28"/>
          <w:szCs w:val="28"/>
        </w:rPr>
      </w:pPr>
      <w:r>
        <w:rPr>
          <w:rFonts w:hint="eastAsia" w:ascii="宋体" w:hAnsi="宋体"/>
          <w:color w:val="auto"/>
          <w:sz w:val="28"/>
          <w:szCs w:val="28"/>
        </w:rPr>
        <w:t>本次政府采购活动中，出现下列情形之一的，对应包件予以废标：</w:t>
      </w:r>
    </w:p>
    <w:p>
      <w:pPr>
        <w:numPr>
          <w:ilvl w:val="0"/>
          <w:numId w:val="41"/>
        </w:numPr>
        <w:tabs>
          <w:tab w:val="left" w:pos="1155"/>
        </w:tabs>
        <w:spacing w:after="200" w:line="560" w:lineRule="exact"/>
        <w:ind w:left="0" w:firstLine="525"/>
        <w:rPr>
          <w:rFonts w:ascii="宋体" w:hAnsi="宋体"/>
          <w:color w:val="auto"/>
          <w:sz w:val="28"/>
          <w:szCs w:val="28"/>
        </w:rPr>
      </w:pPr>
      <w:r>
        <w:rPr>
          <w:rFonts w:hint="eastAsia" w:ascii="宋体" w:hAnsi="宋体"/>
          <w:color w:val="auto"/>
          <w:sz w:val="28"/>
          <w:szCs w:val="28"/>
        </w:rPr>
        <w:t>符合专业条件的供应商或者对招标文件作实质响应的供应商不足三家的；</w:t>
      </w:r>
    </w:p>
    <w:p>
      <w:pPr>
        <w:numPr>
          <w:ilvl w:val="0"/>
          <w:numId w:val="41"/>
        </w:numPr>
        <w:tabs>
          <w:tab w:val="left" w:pos="1155"/>
        </w:tabs>
        <w:spacing w:after="200" w:line="560" w:lineRule="exact"/>
        <w:ind w:left="0" w:firstLine="525"/>
        <w:rPr>
          <w:rFonts w:ascii="宋体" w:hAnsi="宋体"/>
          <w:color w:val="auto"/>
          <w:sz w:val="28"/>
          <w:szCs w:val="28"/>
        </w:rPr>
      </w:pPr>
      <w:r>
        <w:rPr>
          <w:rFonts w:hint="eastAsia" w:ascii="宋体" w:hAnsi="宋体"/>
          <w:color w:val="auto"/>
          <w:sz w:val="28"/>
          <w:szCs w:val="28"/>
        </w:rPr>
        <w:t>出现影响采购公正的违法、违规行为的；</w:t>
      </w:r>
    </w:p>
    <w:p>
      <w:pPr>
        <w:numPr>
          <w:ilvl w:val="0"/>
          <w:numId w:val="41"/>
        </w:numPr>
        <w:tabs>
          <w:tab w:val="left" w:pos="1155"/>
        </w:tabs>
        <w:spacing w:after="200" w:line="560" w:lineRule="exact"/>
        <w:ind w:left="0" w:firstLine="525"/>
        <w:rPr>
          <w:rFonts w:ascii="宋体" w:hAnsi="宋体"/>
          <w:color w:val="auto"/>
          <w:sz w:val="28"/>
          <w:szCs w:val="28"/>
        </w:rPr>
      </w:pPr>
      <w:r>
        <w:rPr>
          <w:rFonts w:hint="eastAsia" w:ascii="宋体" w:hAnsi="宋体"/>
          <w:color w:val="auto"/>
          <w:sz w:val="28"/>
          <w:szCs w:val="28"/>
        </w:rPr>
        <w:t>供应商的报价均超过了采购预算，采购人不能支付的；</w:t>
      </w:r>
    </w:p>
    <w:p>
      <w:pPr>
        <w:numPr>
          <w:ilvl w:val="0"/>
          <w:numId w:val="41"/>
        </w:numPr>
        <w:tabs>
          <w:tab w:val="left" w:pos="1155"/>
        </w:tabs>
        <w:spacing w:after="200" w:line="560" w:lineRule="exact"/>
        <w:ind w:left="0" w:firstLine="525"/>
        <w:rPr>
          <w:rFonts w:ascii="宋体" w:hAnsi="宋体"/>
          <w:color w:val="auto"/>
          <w:sz w:val="28"/>
          <w:szCs w:val="28"/>
        </w:rPr>
      </w:pPr>
      <w:r>
        <w:rPr>
          <w:rFonts w:hint="eastAsia" w:ascii="宋体" w:hAnsi="宋体"/>
          <w:color w:val="auto"/>
          <w:sz w:val="28"/>
          <w:szCs w:val="28"/>
        </w:rPr>
        <w:t>因重大变故，采购任务取消的；</w:t>
      </w:r>
    </w:p>
    <w:p>
      <w:pPr>
        <w:numPr>
          <w:ilvl w:val="0"/>
          <w:numId w:val="41"/>
        </w:numPr>
        <w:tabs>
          <w:tab w:val="left" w:pos="1155"/>
        </w:tabs>
        <w:spacing w:after="200" w:line="560" w:lineRule="exact"/>
        <w:ind w:left="0" w:firstLine="525"/>
        <w:rPr>
          <w:rFonts w:ascii="宋体" w:hAnsi="宋体"/>
          <w:color w:val="auto"/>
          <w:sz w:val="28"/>
          <w:szCs w:val="28"/>
        </w:rPr>
      </w:pPr>
      <w:r>
        <w:rPr>
          <w:rFonts w:hint="eastAsia" w:ascii="宋体" w:hAnsi="宋体"/>
          <w:color w:val="auto"/>
          <w:sz w:val="28"/>
          <w:szCs w:val="28"/>
        </w:rPr>
        <w:t>废标后，区公资交易中心将在“四川政府采购网”和“成都市公共资源交易服务中心”网站上公告。</w:t>
      </w:r>
    </w:p>
    <w:p>
      <w:pPr>
        <w:pStyle w:val="5"/>
        <w:numPr>
          <w:ilvl w:val="1"/>
          <w:numId w:val="3"/>
        </w:numPr>
        <w:spacing w:before="0" w:after="0" w:line="560" w:lineRule="exact"/>
        <w:ind w:left="2269" w:hanging="2127"/>
        <w:rPr>
          <w:color w:val="auto"/>
        </w:rPr>
      </w:pPr>
      <w:bookmarkStart w:id="376" w:name="_Toc19880"/>
      <w:bookmarkStart w:id="377" w:name="_Toc27932"/>
      <w:bookmarkStart w:id="378" w:name="_Toc315871727"/>
      <w:bookmarkStart w:id="379" w:name="_Toc3782"/>
      <w:bookmarkStart w:id="380" w:name="_Toc8992"/>
      <w:bookmarkStart w:id="381" w:name="_Toc316292259"/>
      <w:bookmarkStart w:id="382" w:name="_Toc79654117"/>
      <w:r>
        <w:rPr>
          <w:rFonts w:hint="eastAsia"/>
          <w:color w:val="auto"/>
        </w:rPr>
        <w:t>定标</w:t>
      </w:r>
      <w:bookmarkEnd w:id="375"/>
      <w:bookmarkEnd w:id="376"/>
      <w:bookmarkEnd w:id="377"/>
      <w:bookmarkEnd w:id="378"/>
      <w:bookmarkEnd w:id="379"/>
      <w:bookmarkEnd w:id="380"/>
      <w:bookmarkEnd w:id="381"/>
      <w:bookmarkEnd w:id="382"/>
      <w:bookmarkStart w:id="383" w:name="_Toc217446061"/>
    </w:p>
    <w:p>
      <w:pPr>
        <w:pStyle w:val="6"/>
        <w:numPr>
          <w:ilvl w:val="2"/>
          <w:numId w:val="3"/>
        </w:numPr>
        <w:spacing w:after="200" w:line="560" w:lineRule="exact"/>
        <w:ind w:left="0" w:firstLine="0"/>
        <w:rPr>
          <w:color w:val="auto"/>
        </w:rPr>
      </w:pPr>
      <w:bookmarkStart w:id="384" w:name="_Toc316292260"/>
      <w:bookmarkStart w:id="385" w:name="_Toc315871728"/>
      <w:r>
        <w:rPr>
          <w:rFonts w:hint="eastAsia"/>
          <w:color w:val="auto"/>
        </w:rPr>
        <w:t>定标原则</w:t>
      </w:r>
      <w:bookmarkEnd w:id="383"/>
      <w:bookmarkEnd w:id="384"/>
      <w:bookmarkEnd w:id="385"/>
    </w:p>
    <w:p>
      <w:pPr>
        <w:spacing w:line="560" w:lineRule="exact"/>
        <w:ind w:firstLine="560" w:firstLineChars="200"/>
        <w:rPr>
          <w:rFonts w:ascii="宋体" w:hAnsi="宋体"/>
          <w:color w:val="auto"/>
          <w:sz w:val="28"/>
          <w:szCs w:val="28"/>
        </w:rPr>
      </w:pPr>
      <w:bookmarkStart w:id="386" w:name="_Toc316292261"/>
      <w:bookmarkStart w:id="387" w:name="_Toc315871729"/>
      <w:bookmarkStart w:id="388" w:name="_Toc217446062"/>
      <w:r>
        <w:rPr>
          <w:rFonts w:hint="eastAsia" w:ascii="宋体" w:hAnsi="宋体"/>
          <w:color w:val="auto"/>
          <w:sz w:val="28"/>
          <w:szCs w:val="28"/>
        </w:rPr>
        <w:t>各包件根据评标委员会确定的中标候选人名单，采购人按顺序确定各包件1名中标人。中标候选供应商并列的，由采购人采取随机抽取的方式确定中标人。</w:t>
      </w:r>
    </w:p>
    <w:p>
      <w:pPr>
        <w:spacing w:line="360" w:lineRule="auto"/>
        <w:ind w:firstLine="560" w:firstLineChars="200"/>
        <w:rPr>
          <w:rFonts w:ascii="宋体" w:hAnsi="宋体"/>
          <w:color w:val="auto"/>
          <w:sz w:val="28"/>
          <w:szCs w:val="28"/>
        </w:rPr>
      </w:pPr>
      <w:r>
        <w:rPr>
          <w:rFonts w:hint="eastAsia" w:ascii="宋体" w:hAnsi="宋体" w:cs="Helvetica"/>
          <w:color w:val="auto"/>
          <w:kern w:val="0"/>
          <w:sz w:val="28"/>
          <w:szCs w:val="28"/>
        </w:rPr>
        <w:t>采购人在收到评标报告</w:t>
      </w:r>
      <w:r>
        <w:rPr>
          <w:rFonts w:hint="eastAsia" w:ascii="宋体" w:hAnsi="宋体" w:cs="宋体"/>
          <w:color w:val="auto"/>
          <w:kern w:val="0"/>
          <w:sz w:val="28"/>
          <w:szCs w:val="28"/>
        </w:rPr>
        <w:t>5</w:t>
      </w:r>
      <w:r>
        <w:rPr>
          <w:rFonts w:hint="eastAsia" w:ascii="宋体" w:hAnsi="宋体" w:cs="Helvetica"/>
          <w:color w:val="auto"/>
          <w:kern w:val="0"/>
          <w:sz w:val="28"/>
          <w:szCs w:val="28"/>
        </w:rPr>
        <w:t>个工作日内未按评标报告推荐的中标候选人顺序确定中标人，又不能说明合法理由的，视同按评标报告推荐的顺序确定排名第一的中标候选人为中标人。</w:t>
      </w:r>
    </w:p>
    <w:p>
      <w:pPr>
        <w:pStyle w:val="6"/>
        <w:numPr>
          <w:ilvl w:val="2"/>
          <w:numId w:val="3"/>
        </w:numPr>
        <w:spacing w:after="200" w:line="560" w:lineRule="exact"/>
        <w:ind w:left="0" w:firstLine="0"/>
        <w:rPr>
          <w:color w:val="auto"/>
        </w:rPr>
      </w:pPr>
      <w:r>
        <w:rPr>
          <w:rFonts w:hint="eastAsia"/>
          <w:color w:val="auto"/>
        </w:rPr>
        <w:t>定标程序</w:t>
      </w:r>
      <w:bookmarkEnd w:id="386"/>
      <w:bookmarkEnd w:id="387"/>
      <w:bookmarkEnd w:id="388"/>
    </w:p>
    <w:bookmarkEnd w:id="328"/>
    <w:p>
      <w:pPr>
        <w:spacing w:line="560" w:lineRule="exact"/>
        <w:ind w:firstLine="560" w:firstLineChars="200"/>
        <w:rPr>
          <w:rFonts w:ascii="宋体" w:hAnsi="宋体"/>
          <w:color w:val="auto"/>
          <w:kern w:val="0"/>
          <w:sz w:val="28"/>
          <w:szCs w:val="28"/>
        </w:rPr>
      </w:pPr>
      <w:bookmarkStart w:id="389" w:name="_Toc316292262"/>
      <w:bookmarkStart w:id="390" w:name="_Toc315871730"/>
      <w:r>
        <w:rPr>
          <w:rFonts w:hint="eastAsia" w:ascii="宋体" w:hAnsi="宋体"/>
          <w:color w:val="auto"/>
          <w:kern w:val="0"/>
          <w:sz w:val="28"/>
          <w:szCs w:val="28"/>
        </w:rPr>
        <w:t>一、评审委员会将评审情况写出书面报告。</w:t>
      </w:r>
    </w:p>
    <w:p>
      <w:pPr>
        <w:spacing w:line="560" w:lineRule="exact"/>
        <w:ind w:firstLine="560" w:firstLineChars="200"/>
        <w:rPr>
          <w:rFonts w:ascii="宋体" w:hAnsi="宋体"/>
          <w:color w:val="auto"/>
          <w:kern w:val="0"/>
          <w:sz w:val="28"/>
          <w:szCs w:val="28"/>
        </w:rPr>
      </w:pPr>
      <w:r>
        <w:rPr>
          <w:rFonts w:hint="eastAsia" w:ascii="宋体" w:hAnsi="宋体"/>
          <w:color w:val="auto"/>
          <w:kern w:val="0"/>
          <w:sz w:val="28"/>
          <w:szCs w:val="28"/>
        </w:rPr>
        <w:t>二、区公资交易中心在评审结束之日起2个工作日内将评审报告送采购人。</w:t>
      </w:r>
    </w:p>
    <w:p>
      <w:pPr>
        <w:pStyle w:val="2"/>
        <w:spacing w:line="560" w:lineRule="exact"/>
        <w:ind w:firstLine="560" w:firstLineChars="200"/>
        <w:rPr>
          <w:rFonts w:ascii="宋体" w:hAnsi="宋体"/>
          <w:color w:val="auto"/>
          <w:sz w:val="28"/>
          <w:szCs w:val="28"/>
        </w:rPr>
      </w:pPr>
      <w:r>
        <w:rPr>
          <w:rFonts w:hint="eastAsia" w:ascii="宋体" w:hAnsi="宋体"/>
          <w:color w:val="auto"/>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560" w:lineRule="exact"/>
        <w:ind w:firstLine="560" w:firstLineChars="200"/>
        <w:jc w:val="left"/>
        <w:rPr>
          <w:rFonts w:ascii="宋体" w:hAnsi="宋体"/>
          <w:color w:val="auto"/>
          <w:kern w:val="0"/>
          <w:sz w:val="28"/>
          <w:szCs w:val="28"/>
        </w:rPr>
      </w:pPr>
      <w:r>
        <w:rPr>
          <w:rFonts w:hint="eastAsia" w:ascii="宋体" w:hAnsi="宋体"/>
          <w:color w:val="auto"/>
          <w:kern w:val="0"/>
          <w:sz w:val="28"/>
          <w:szCs w:val="28"/>
        </w:rPr>
        <w:t>四、根据采购人确定的中标（成交）人，区公资交易中心在“四川政府采购网”和“成都市公共资源交易服务中心”网站上发布中标（成交）公告，同时向中标（成交）人发出中标（成交）通知书。</w:t>
      </w:r>
    </w:p>
    <w:p>
      <w:pPr>
        <w:tabs>
          <w:tab w:val="left" w:pos="1155"/>
        </w:tabs>
        <w:spacing w:line="560" w:lineRule="exact"/>
        <w:ind w:firstLine="565" w:firstLineChars="202"/>
        <w:rPr>
          <w:rFonts w:ascii="宋体" w:hAnsi="宋体"/>
          <w:color w:val="auto"/>
          <w:kern w:val="0"/>
          <w:sz w:val="28"/>
          <w:szCs w:val="28"/>
          <w:highlight w:val="none"/>
        </w:rPr>
      </w:pPr>
      <w:r>
        <w:rPr>
          <w:rFonts w:hint="eastAsia" w:ascii="宋体" w:hAnsi="宋体"/>
          <w:color w:val="auto"/>
          <w:kern w:val="0"/>
          <w:sz w:val="28"/>
          <w:szCs w:val="28"/>
          <w:highlight w:val="none"/>
        </w:rPr>
        <w:t>五、采购人、区公资交易中心不解释中标（成交）或未中标（成交）原因，不退回投标文件和其他投标资料。</w:t>
      </w:r>
    </w:p>
    <w:p>
      <w:pPr>
        <w:pStyle w:val="5"/>
        <w:numPr>
          <w:ilvl w:val="1"/>
          <w:numId w:val="3"/>
        </w:numPr>
        <w:spacing w:before="0" w:after="0" w:line="560" w:lineRule="exact"/>
        <w:ind w:left="2269" w:hanging="2269"/>
        <w:rPr>
          <w:color w:val="auto"/>
          <w:highlight w:val="none"/>
        </w:rPr>
      </w:pPr>
      <w:bookmarkStart w:id="391" w:name="_Toc24014"/>
      <w:bookmarkStart w:id="392" w:name="_Toc1482"/>
      <w:bookmarkStart w:id="393" w:name="_Toc20789"/>
      <w:bookmarkStart w:id="394" w:name="_Toc31963"/>
      <w:bookmarkStart w:id="395" w:name="_Toc79654118"/>
      <w:r>
        <w:rPr>
          <w:rFonts w:hint="eastAsia"/>
          <w:color w:val="auto"/>
          <w:highlight w:val="none"/>
        </w:rPr>
        <w:t>评标专家在政府采购活动中承担以下义务</w:t>
      </w:r>
      <w:bookmarkEnd w:id="389"/>
      <w:bookmarkEnd w:id="390"/>
      <w:bookmarkEnd w:id="391"/>
      <w:bookmarkEnd w:id="392"/>
      <w:bookmarkEnd w:id="393"/>
      <w:bookmarkEnd w:id="394"/>
      <w:bookmarkEnd w:id="395"/>
    </w:p>
    <w:p>
      <w:pPr>
        <w:numPr>
          <w:ilvl w:val="0"/>
          <w:numId w:val="42"/>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遵纪守法，客观、公正、廉洁地履行职责。</w:t>
      </w:r>
    </w:p>
    <w:p>
      <w:pPr>
        <w:numPr>
          <w:ilvl w:val="0"/>
          <w:numId w:val="42"/>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按照政府采购法律法规和采购文件的规定要求对供应商的资格条件和供应商提供的产品价格、技术、服务等方面严格进行独立评审，提供科学合理、公平公正的评审意见，参与起草评审报告，并予签字确认。</w:t>
      </w:r>
    </w:p>
    <w:p>
      <w:pPr>
        <w:numPr>
          <w:ilvl w:val="0"/>
          <w:numId w:val="42"/>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保守秘密。不得泄漏供应商的投标文件及知悉的商业秘密，不得向供应商透露评审情况。</w:t>
      </w:r>
    </w:p>
    <w:p>
      <w:pPr>
        <w:numPr>
          <w:ilvl w:val="0"/>
          <w:numId w:val="42"/>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发现供应商在政府采购活动中有不正当竞争或恶意串通等违规行为，及时向政府采购评审工作的组织者或财政部门报告并加以制止。</w:t>
      </w:r>
    </w:p>
    <w:p>
      <w:pPr>
        <w:numPr>
          <w:ilvl w:val="0"/>
          <w:numId w:val="42"/>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发现采购人、区公资交易中心及其工作人员在政府采购活动中有干预评审、发表倾向性和歧视性言论、受贿或者接受供应商的其他好处及其他违法违规行为，及时向财政部门报告。</w:t>
      </w:r>
    </w:p>
    <w:p>
      <w:pPr>
        <w:numPr>
          <w:ilvl w:val="0"/>
          <w:numId w:val="42"/>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解答有关方面对政府采购评审工作中有关问题的询问，配合采购人或者区公资交易中心答复供应商的询问、质疑，配合财政部门的投诉处理工作等事宜。</w:t>
      </w:r>
    </w:p>
    <w:p>
      <w:pPr>
        <w:numPr>
          <w:ilvl w:val="0"/>
          <w:numId w:val="42"/>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法律、法规和规章规定的其他义务。</w:t>
      </w:r>
    </w:p>
    <w:p>
      <w:pPr>
        <w:pStyle w:val="5"/>
        <w:numPr>
          <w:ilvl w:val="1"/>
          <w:numId w:val="3"/>
        </w:numPr>
        <w:spacing w:before="0" w:after="0" w:line="560" w:lineRule="exact"/>
        <w:ind w:left="2269" w:hanging="2269"/>
        <w:rPr>
          <w:color w:val="auto"/>
          <w:highlight w:val="none"/>
        </w:rPr>
      </w:pPr>
      <w:bookmarkStart w:id="396" w:name="_Toc31664"/>
      <w:bookmarkStart w:id="397" w:name="_Toc9396"/>
      <w:bookmarkStart w:id="398" w:name="_Toc3861"/>
      <w:bookmarkStart w:id="399" w:name="_Toc7637"/>
      <w:bookmarkStart w:id="400" w:name="_Toc79654119"/>
      <w:r>
        <w:rPr>
          <w:rFonts w:hint="eastAsia"/>
          <w:color w:val="auto"/>
          <w:highlight w:val="none"/>
        </w:rPr>
        <w:t>评标委员会及其成员不得有下列行为：</w:t>
      </w:r>
      <w:bookmarkEnd w:id="396"/>
      <w:bookmarkEnd w:id="397"/>
      <w:bookmarkEnd w:id="398"/>
      <w:bookmarkEnd w:id="399"/>
      <w:bookmarkEnd w:id="400"/>
    </w:p>
    <w:p>
      <w:pPr>
        <w:tabs>
          <w:tab w:val="left" w:pos="1418"/>
        </w:tabs>
        <w:spacing w:line="560" w:lineRule="exact"/>
        <w:ind w:firstLine="560" w:firstLineChars="200"/>
        <w:rPr>
          <w:color w:val="auto"/>
          <w:sz w:val="28"/>
          <w:szCs w:val="28"/>
          <w:highlight w:val="none"/>
        </w:rPr>
      </w:pPr>
      <w:r>
        <w:rPr>
          <w:rFonts w:hint="eastAsia"/>
          <w:color w:val="auto"/>
          <w:sz w:val="28"/>
          <w:szCs w:val="28"/>
          <w:highlight w:val="none"/>
        </w:rPr>
        <w:t>一、确定参与评标至评标结束前私自接触供应商；</w:t>
      </w:r>
    </w:p>
    <w:p>
      <w:pPr>
        <w:tabs>
          <w:tab w:val="left" w:pos="1418"/>
        </w:tabs>
        <w:spacing w:line="560" w:lineRule="exact"/>
        <w:ind w:firstLine="560" w:firstLineChars="200"/>
        <w:rPr>
          <w:color w:val="auto"/>
          <w:sz w:val="28"/>
          <w:szCs w:val="28"/>
          <w:highlight w:val="none"/>
        </w:rPr>
      </w:pPr>
      <w:r>
        <w:rPr>
          <w:rFonts w:hint="eastAsia"/>
          <w:color w:val="auto"/>
          <w:sz w:val="28"/>
          <w:szCs w:val="28"/>
          <w:highlight w:val="none"/>
        </w:rPr>
        <w:t>二、接受供应商提出的与投标文件不一致的澄清或者说明，除招标文件明确可以澄清的除外；</w:t>
      </w:r>
    </w:p>
    <w:p>
      <w:pPr>
        <w:tabs>
          <w:tab w:val="left" w:pos="1418"/>
        </w:tabs>
        <w:spacing w:line="560" w:lineRule="exact"/>
        <w:ind w:firstLine="560" w:firstLineChars="200"/>
        <w:rPr>
          <w:color w:val="auto"/>
          <w:sz w:val="28"/>
          <w:szCs w:val="28"/>
          <w:highlight w:val="none"/>
        </w:rPr>
      </w:pPr>
      <w:r>
        <w:rPr>
          <w:rFonts w:hint="eastAsia"/>
          <w:color w:val="auto"/>
          <w:sz w:val="28"/>
          <w:szCs w:val="28"/>
          <w:highlight w:val="none"/>
        </w:rPr>
        <w:t>三、违反评标纪律发表倾向性意见或者征询采购人的倾向性意见；</w:t>
      </w:r>
    </w:p>
    <w:p>
      <w:pPr>
        <w:tabs>
          <w:tab w:val="left" w:pos="1418"/>
        </w:tabs>
        <w:spacing w:line="560" w:lineRule="exact"/>
        <w:ind w:firstLine="560" w:firstLineChars="200"/>
        <w:rPr>
          <w:color w:val="auto"/>
          <w:sz w:val="28"/>
          <w:szCs w:val="28"/>
          <w:highlight w:val="none"/>
        </w:rPr>
      </w:pPr>
      <w:r>
        <w:rPr>
          <w:rFonts w:hint="eastAsia"/>
          <w:color w:val="auto"/>
          <w:sz w:val="28"/>
          <w:szCs w:val="28"/>
          <w:highlight w:val="none"/>
        </w:rPr>
        <w:t>四、对需要专业判断的主观评审因素协商评分；</w:t>
      </w:r>
    </w:p>
    <w:p>
      <w:pPr>
        <w:tabs>
          <w:tab w:val="left" w:pos="1418"/>
        </w:tabs>
        <w:spacing w:line="560" w:lineRule="exact"/>
        <w:ind w:firstLine="560" w:firstLineChars="200"/>
        <w:rPr>
          <w:color w:val="auto"/>
          <w:sz w:val="28"/>
          <w:szCs w:val="28"/>
          <w:highlight w:val="none"/>
        </w:rPr>
      </w:pPr>
      <w:r>
        <w:rPr>
          <w:rFonts w:hint="eastAsia"/>
          <w:color w:val="auto"/>
          <w:sz w:val="28"/>
          <w:szCs w:val="28"/>
          <w:highlight w:val="none"/>
        </w:rPr>
        <w:t>五、在评标过程中擅离职守，影响评标程序正常进行的；</w:t>
      </w:r>
    </w:p>
    <w:p>
      <w:pPr>
        <w:tabs>
          <w:tab w:val="left" w:pos="1276"/>
          <w:tab w:val="left" w:pos="1418"/>
        </w:tabs>
        <w:spacing w:line="560" w:lineRule="exact"/>
        <w:ind w:firstLine="560" w:firstLineChars="200"/>
        <w:rPr>
          <w:color w:val="auto"/>
          <w:sz w:val="28"/>
          <w:szCs w:val="28"/>
          <w:highlight w:val="none"/>
        </w:rPr>
      </w:pPr>
      <w:r>
        <w:rPr>
          <w:rFonts w:hint="eastAsia"/>
          <w:color w:val="auto"/>
          <w:sz w:val="28"/>
          <w:szCs w:val="28"/>
          <w:highlight w:val="none"/>
        </w:rPr>
        <w:t>六、记录、复制或者带走任何评标资料；</w:t>
      </w:r>
    </w:p>
    <w:p>
      <w:pPr>
        <w:tabs>
          <w:tab w:val="left" w:pos="993"/>
          <w:tab w:val="left" w:pos="1276"/>
          <w:tab w:val="left" w:pos="1418"/>
        </w:tabs>
        <w:spacing w:line="560" w:lineRule="exact"/>
        <w:ind w:firstLine="560" w:firstLineChars="200"/>
        <w:rPr>
          <w:color w:val="auto"/>
          <w:sz w:val="28"/>
          <w:szCs w:val="28"/>
          <w:highlight w:val="none"/>
        </w:rPr>
      </w:pPr>
      <w:r>
        <w:rPr>
          <w:rFonts w:hint="eastAsia"/>
          <w:color w:val="auto"/>
          <w:sz w:val="28"/>
          <w:szCs w:val="28"/>
          <w:highlight w:val="none"/>
        </w:rPr>
        <w:t>七、其他不遵守评标纪律的行为。</w:t>
      </w:r>
    </w:p>
    <w:p>
      <w:pPr>
        <w:tabs>
          <w:tab w:val="left" w:pos="1155"/>
        </w:tabs>
        <w:spacing w:line="560" w:lineRule="exact"/>
        <w:ind w:left="142" w:firstLine="565" w:firstLineChars="202"/>
        <w:rPr>
          <w:color w:val="auto"/>
          <w:sz w:val="28"/>
          <w:szCs w:val="28"/>
          <w:highlight w:val="none"/>
        </w:rPr>
      </w:pPr>
      <w:r>
        <w:rPr>
          <w:rFonts w:hint="eastAsia"/>
          <w:color w:val="auto"/>
          <w:sz w:val="28"/>
          <w:szCs w:val="28"/>
          <w:highlight w:val="none"/>
        </w:rPr>
        <w:t>评标委员会成员有前款第一至五项行为之一的，其评审意见无效，并不得获取评审劳务报酬和报销异地评审差旅费。</w:t>
      </w:r>
    </w:p>
    <w:p>
      <w:pPr>
        <w:pStyle w:val="5"/>
        <w:numPr>
          <w:ilvl w:val="1"/>
          <w:numId w:val="3"/>
        </w:numPr>
        <w:spacing w:before="0" w:after="0" w:line="560" w:lineRule="exact"/>
        <w:ind w:left="2269" w:hanging="2127"/>
        <w:rPr>
          <w:color w:val="auto"/>
          <w:highlight w:val="none"/>
        </w:rPr>
      </w:pPr>
      <w:bookmarkStart w:id="401" w:name="_Toc22920"/>
      <w:bookmarkStart w:id="402" w:name="_Toc6837"/>
      <w:bookmarkStart w:id="403" w:name="_Toc16147"/>
      <w:bookmarkStart w:id="404" w:name="_Toc494464930"/>
      <w:bookmarkStart w:id="405" w:name="_Toc15267"/>
      <w:bookmarkStart w:id="406" w:name="_Toc79654120"/>
      <w:r>
        <w:rPr>
          <w:rFonts w:hint="eastAsia"/>
          <w:color w:val="auto"/>
          <w:highlight w:val="none"/>
        </w:rPr>
        <w:t>评审专家在政府采购活动中应当遵守以下工作纪律</w:t>
      </w:r>
      <w:bookmarkEnd w:id="401"/>
      <w:bookmarkEnd w:id="402"/>
      <w:bookmarkEnd w:id="403"/>
      <w:bookmarkEnd w:id="404"/>
      <w:bookmarkEnd w:id="405"/>
      <w:bookmarkEnd w:id="406"/>
    </w:p>
    <w:p>
      <w:pPr>
        <w:numPr>
          <w:ilvl w:val="0"/>
          <w:numId w:val="43"/>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遵行《政府采购法》第十二条和《政府采购法实施条例》第九条及政府采购相关法律法规关于回避的规定。</w:t>
      </w:r>
    </w:p>
    <w:p>
      <w:pPr>
        <w:numPr>
          <w:ilvl w:val="0"/>
          <w:numId w:val="43"/>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应邀按时参加评审和咨询活动，遵守评标区管理规定。</w:t>
      </w:r>
    </w:p>
    <w:p>
      <w:pPr>
        <w:numPr>
          <w:ilvl w:val="0"/>
          <w:numId w:val="43"/>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color w:val="auto"/>
          <w:sz w:val="28"/>
          <w:szCs w:val="28"/>
          <w:highlight w:val="none"/>
        </w:rPr>
        <w:t>区公资交易中心</w:t>
      </w:r>
      <w:r>
        <w:rPr>
          <w:rFonts w:hint="eastAsia" w:ascii="宋体" w:hAnsi="宋体"/>
          <w:color w:val="auto"/>
          <w:sz w:val="28"/>
          <w:szCs w:val="28"/>
          <w:highlight w:val="none"/>
        </w:rPr>
        <w:t>，不得私自转托他人。</w:t>
      </w:r>
    </w:p>
    <w:p>
      <w:pPr>
        <w:numPr>
          <w:ilvl w:val="0"/>
          <w:numId w:val="43"/>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不得参加与自己有利害关系的政府采购项目的评审活动。对与自己有利害关系的评审项目，如受到邀请，应主动提出回避。财政部门、采购人或</w:t>
      </w:r>
      <w:r>
        <w:rPr>
          <w:rFonts w:hint="eastAsia" w:cs="Arial"/>
          <w:color w:val="auto"/>
          <w:sz w:val="28"/>
          <w:szCs w:val="28"/>
          <w:highlight w:val="none"/>
        </w:rPr>
        <w:t>区公资交易中心</w:t>
      </w:r>
      <w:r>
        <w:rPr>
          <w:rFonts w:hint="eastAsia" w:ascii="宋体" w:hAnsi="宋体"/>
          <w:color w:val="auto"/>
          <w:sz w:val="28"/>
          <w:szCs w:val="28"/>
          <w:highlight w:val="none"/>
        </w:rPr>
        <w:t>也可要求该评审专家回避。</w:t>
      </w:r>
    </w:p>
    <w:p>
      <w:pPr>
        <w:numPr>
          <w:ilvl w:val="0"/>
          <w:numId w:val="43"/>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3"/>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评审过程中，不得发表影响评审公正的倾向性、歧视性言论；不得征询或者接受采购人的倾向性意见；不得修改或细化招标文件确定的评标程序、评标方法、评标因素和评标标准；不得接受供应商主动提出的澄清和解释；不得协商评分；不得以任何明示或暗示的方式要求参加该采购项目的供应商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3"/>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在评标过程中和评标结束后，不得记录、复制或带走任何评标资料，除因规定的义务外，不得向外界透露评标内容。</w:t>
      </w:r>
    </w:p>
    <w:p>
      <w:pPr>
        <w:numPr>
          <w:ilvl w:val="0"/>
          <w:numId w:val="43"/>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服从评标现场</w:t>
      </w:r>
      <w:r>
        <w:rPr>
          <w:rFonts w:hint="eastAsia" w:cs="Arial"/>
          <w:color w:val="auto"/>
          <w:sz w:val="28"/>
          <w:szCs w:val="28"/>
          <w:highlight w:val="none"/>
        </w:rPr>
        <w:t>区公资交易中心</w:t>
      </w:r>
      <w:r>
        <w:rPr>
          <w:rFonts w:hint="eastAsia" w:ascii="宋体" w:hAnsi="宋体"/>
          <w:color w:val="auto"/>
          <w:sz w:val="28"/>
          <w:szCs w:val="28"/>
          <w:highlight w:val="none"/>
        </w:rPr>
        <w:t>的现场秩序管理，接受评标现场监督人员的合法监督。</w:t>
      </w:r>
    </w:p>
    <w:p>
      <w:pPr>
        <w:numPr>
          <w:ilvl w:val="0"/>
          <w:numId w:val="43"/>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遵守有关廉洁自律规定，不得私下接触供应商，不得收受供应商及有关业务单位和个人的财物或好处，不得接受采购组织单位的请托。</w:t>
      </w:r>
    </w:p>
    <w:p>
      <w:pPr>
        <w:numPr>
          <w:ilvl w:val="0"/>
          <w:numId w:val="43"/>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在咨询工作中，严格执行国家产业政策和产品标准，认真听取咨询方的合理要求，提出科学合理的、无倾向性和歧视性的咨询方案，并对所提出的意见和建议承担个人责任。</w:t>
      </w:r>
    </w:p>
    <w:p>
      <w:pPr>
        <w:numPr>
          <w:ilvl w:val="0"/>
          <w:numId w:val="43"/>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有关部门（机构）制定的其他评审工作纪律。</w:t>
      </w:r>
      <w:bookmarkEnd w:id="0"/>
      <w:bookmarkEnd w:id="1"/>
      <w:bookmarkEnd w:id="2"/>
      <w:bookmarkEnd w:id="3"/>
      <w:bookmarkStart w:id="407" w:name="_Toc19415"/>
      <w:r>
        <w:rPr>
          <w:color w:val="auto"/>
          <w:highlight w:val="none"/>
        </w:rPr>
        <w:br w:type="page"/>
      </w:r>
    </w:p>
    <w:p>
      <w:pPr>
        <w:pStyle w:val="4"/>
        <w:numPr>
          <w:ilvl w:val="0"/>
          <w:numId w:val="3"/>
        </w:numPr>
        <w:spacing w:before="0" w:after="0" w:line="360" w:lineRule="auto"/>
        <w:rPr>
          <w:color w:val="auto"/>
          <w:sz w:val="24"/>
          <w:highlight w:val="none"/>
        </w:rPr>
      </w:pPr>
      <w:bookmarkStart w:id="408" w:name="_Toc20535"/>
      <w:bookmarkStart w:id="409" w:name="_Toc27722"/>
      <w:bookmarkStart w:id="410" w:name="_Toc1640"/>
      <w:bookmarkStart w:id="411" w:name="_Toc79654121"/>
      <w:r>
        <w:rPr>
          <w:rFonts w:hint="eastAsia"/>
          <w:color w:val="auto"/>
          <w:highlight w:val="none"/>
        </w:rPr>
        <w:t>拟签订合同文本</w:t>
      </w:r>
      <w:bookmarkEnd w:id="407"/>
      <w:bookmarkEnd w:id="408"/>
      <w:bookmarkEnd w:id="409"/>
      <w:bookmarkEnd w:id="410"/>
      <w:bookmarkEnd w:id="411"/>
      <w:bookmarkStart w:id="412" w:name="_Toc316475764"/>
      <w:bookmarkEnd w:id="412"/>
      <w:bookmarkStart w:id="413" w:name="_Toc316475672"/>
      <w:bookmarkEnd w:id="413"/>
      <w:bookmarkStart w:id="414" w:name="_Toc316475763"/>
      <w:bookmarkEnd w:id="414"/>
      <w:bookmarkStart w:id="415" w:name="_Toc316475756"/>
      <w:bookmarkEnd w:id="415"/>
      <w:bookmarkStart w:id="416" w:name="_Toc316475676"/>
      <w:bookmarkEnd w:id="416"/>
      <w:bookmarkStart w:id="417" w:name="_Toc316475759"/>
      <w:bookmarkEnd w:id="417"/>
      <w:bookmarkStart w:id="418" w:name="_Toc316475665"/>
      <w:bookmarkEnd w:id="418"/>
      <w:bookmarkStart w:id="419" w:name="_Toc316475664"/>
      <w:bookmarkEnd w:id="419"/>
      <w:bookmarkStart w:id="420" w:name="_Toc316475755"/>
      <w:bookmarkEnd w:id="420"/>
      <w:bookmarkStart w:id="421" w:name="_Toc316475751"/>
      <w:bookmarkEnd w:id="421"/>
      <w:bookmarkStart w:id="422" w:name="_Toc316475758"/>
      <w:bookmarkEnd w:id="422"/>
      <w:bookmarkStart w:id="423" w:name="_Toc316475677"/>
      <w:bookmarkEnd w:id="423"/>
      <w:bookmarkStart w:id="424" w:name="_Toc316475761"/>
      <w:bookmarkEnd w:id="424"/>
      <w:bookmarkStart w:id="425" w:name="_Toc316475671"/>
      <w:bookmarkEnd w:id="425"/>
      <w:bookmarkStart w:id="426" w:name="_Toc316475754"/>
      <w:bookmarkEnd w:id="426"/>
      <w:bookmarkStart w:id="427" w:name="_Toc316475675"/>
      <w:bookmarkEnd w:id="427"/>
      <w:bookmarkStart w:id="428" w:name="_Toc316475669"/>
      <w:bookmarkEnd w:id="428"/>
      <w:bookmarkStart w:id="429" w:name="_Toc316475762"/>
      <w:bookmarkEnd w:id="429"/>
      <w:bookmarkStart w:id="430" w:name="_Toc316475673"/>
      <w:bookmarkEnd w:id="430"/>
      <w:bookmarkStart w:id="431" w:name="_Toc316475667"/>
      <w:bookmarkEnd w:id="431"/>
      <w:bookmarkStart w:id="432" w:name="_Toc316475666"/>
      <w:bookmarkEnd w:id="432"/>
      <w:bookmarkStart w:id="433" w:name="_Toc316475670"/>
      <w:bookmarkEnd w:id="433"/>
      <w:bookmarkStart w:id="434" w:name="_Toc316475760"/>
      <w:bookmarkEnd w:id="434"/>
      <w:bookmarkStart w:id="435" w:name="_Toc316475752"/>
      <w:bookmarkEnd w:id="435"/>
      <w:bookmarkStart w:id="436" w:name="_Toc316475668"/>
      <w:bookmarkEnd w:id="436"/>
      <w:bookmarkStart w:id="437" w:name="_Toc316475753"/>
      <w:bookmarkEnd w:id="437"/>
      <w:bookmarkStart w:id="438" w:name="_Toc316475674"/>
      <w:bookmarkEnd w:id="438"/>
      <w:bookmarkStart w:id="439" w:name="_Toc316475757"/>
      <w:bookmarkEnd w:id="439"/>
    </w:p>
    <w:p>
      <w:pPr>
        <w:pStyle w:val="209"/>
        <w:rPr>
          <w:rFonts w:hAnsi="宋体"/>
          <w:color w:val="auto"/>
          <w:highlight w:val="none"/>
        </w:rPr>
      </w:pPr>
    </w:p>
    <w:p>
      <w:pPr>
        <w:pStyle w:val="5"/>
        <w:jc w:val="center"/>
        <w:rPr>
          <w:b w:val="0"/>
          <w:color w:val="auto"/>
          <w:sz w:val="36"/>
          <w:highlight w:val="none"/>
        </w:rPr>
      </w:pPr>
      <w:bookmarkStart w:id="440" w:name="_Toc79654122"/>
      <w:r>
        <w:rPr>
          <w:rFonts w:hint="eastAsia"/>
          <w:b w:val="0"/>
          <w:color w:val="auto"/>
          <w:sz w:val="36"/>
          <w:highlight w:val="none"/>
        </w:rPr>
        <w:t>地下管线普查成果更新探测服务项目政府采购合同</w:t>
      </w:r>
      <w:bookmarkEnd w:id="440"/>
    </w:p>
    <w:p>
      <w:pPr>
        <w:autoSpaceDE w:val="0"/>
        <w:autoSpaceDN w:val="0"/>
        <w:adjustRightInd w:val="0"/>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（根据本项目包件1-5具体情况签订内容）</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委托方（甲方）： </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受托方（乙方）：</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依照《中华人民共和国政府采购法》、《中华人民共和国招投标法》和《中华人民共和国民法典》等有关法律、法规，遵循平等、自愿、公平和诚实信用的原则，结合招投标文件，就甲方委托乙方承担的XXXXXXXXXXXXXXXXXXXXXXXX（第X包）工作事宜，达成如下合同协议：</w:t>
      </w:r>
    </w:p>
    <w:p>
      <w:pPr>
        <w:rPr>
          <w:b/>
          <w:color w:val="auto"/>
          <w:sz w:val="24"/>
          <w:highlight w:val="none"/>
        </w:rPr>
      </w:pPr>
      <w:r>
        <w:rPr>
          <w:rFonts w:hint="eastAsia"/>
          <w:b/>
          <w:color w:val="auto"/>
          <w:sz w:val="24"/>
          <w:highlight w:val="none"/>
        </w:rPr>
        <w:t>1、项目名称</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XXXXXXXXXXXXXXXXXXXXXXXXXXXXXXXXXXXXXXXX（第包）</w:t>
      </w:r>
    </w:p>
    <w:p>
      <w:pPr>
        <w:rPr>
          <w:b/>
          <w:color w:val="auto"/>
          <w:sz w:val="24"/>
          <w:highlight w:val="none"/>
        </w:rPr>
      </w:pPr>
      <w:r>
        <w:rPr>
          <w:rFonts w:hint="eastAsia"/>
          <w:b/>
          <w:color w:val="auto"/>
          <w:sz w:val="24"/>
          <w:highlight w:val="none"/>
        </w:rPr>
        <w:t>2、合同组成</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2.1下列文件应被认为是本合同的组成部分</w:t>
      </w:r>
    </w:p>
    <w:p>
      <w:pPr>
        <w:spacing w:line="400" w:lineRule="exact"/>
        <w:ind w:firstLine="600" w:firstLineChars="250"/>
        <w:rPr>
          <w:rFonts w:ascii="宋体" w:hAnsi="宋体" w:cs="宋体"/>
          <w:color w:val="auto"/>
          <w:sz w:val="24"/>
          <w:highlight w:val="none"/>
        </w:rPr>
      </w:pPr>
      <w:r>
        <w:rPr>
          <w:rFonts w:hint="eastAsia" w:ascii="宋体" w:hAnsi="宋体" w:cs="宋体"/>
          <w:color w:val="auto"/>
          <w:sz w:val="24"/>
          <w:highlight w:val="none"/>
        </w:rPr>
        <w:t>（1）本合同书；</w:t>
      </w:r>
    </w:p>
    <w:p>
      <w:pPr>
        <w:spacing w:line="400" w:lineRule="exact"/>
        <w:ind w:firstLine="600" w:firstLineChars="250"/>
        <w:rPr>
          <w:rFonts w:ascii="宋体" w:hAnsi="宋体" w:cs="宋体"/>
          <w:color w:val="auto"/>
          <w:sz w:val="24"/>
          <w:highlight w:val="none"/>
        </w:rPr>
      </w:pPr>
      <w:r>
        <w:rPr>
          <w:rFonts w:hint="eastAsia" w:ascii="宋体" w:hAnsi="宋体" w:cs="宋体"/>
          <w:color w:val="auto"/>
          <w:sz w:val="24"/>
          <w:highlight w:val="none"/>
        </w:rPr>
        <w:t>（2）中标通知书；</w:t>
      </w:r>
    </w:p>
    <w:p>
      <w:pPr>
        <w:spacing w:line="400" w:lineRule="exact"/>
        <w:ind w:firstLine="570"/>
        <w:jc w:val="left"/>
        <w:rPr>
          <w:rFonts w:ascii="宋体" w:hAnsi="宋体" w:cs="宋体"/>
          <w:color w:val="auto"/>
          <w:sz w:val="24"/>
          <w:highlight w:val="none"/>
        </w:rPr>
      </w:pPr>
      <w:r>
        <w:rPr>
          <w:rFonts w:hint="eastAsia" w:ascii="宋体" w:hAnsi="宋体" w:cs="宋体"/>
          <w:color w:val="auto"/>
          <w:sz w:val="24"/>
          <w:highlight w:val="none"/>
        </w:rPr>
        <w:t>（3）双方有关本项目的洽商、变更、调整等书面协议或文件；</w:t>
      </w:r>
    </w:p>
    <w:p>
      <w:pPr>
        <w:spacing w:line="400" w:lineRule="exact"/>
        <w:ind w:firstLine="570"/>
        <w:jc w:val="left"/>
        <w:rPr>
          <w:rFonts w:ascii="宋体" w:hAnsi="宋体" w:cs="宋体"/>
          <w:color w:val="auto"/>
          <w:sz w:val="24"/>
          <w:highlight w:val="none"/>
        </w:rPr>
      </w:pPr>
      <w:r>
        <w:rPr>
          <w:rFonts w:hint="eastAsia" w:ascii="宋体" w:hAnsi="宋体" w:cs="宋体"/>
          <w:color w:val="auto"/>
          <w:sz w:val="24"/>
          <w:highlight w:val="none"/>
        </w:rPr>
        <w:t>（4）招标文件；</w:t>
      </w:r>
    </w:p>
    <w:p>
      <w:pPr>
        <w:spacing w:line="400" w:lineRule="exact"/>
        <w:ind w:firstLine="570"/>
        <w:jc w:val="left"/>
        <w:rPr>
          <w:rFonts w:ascii="宋体" w:hAnsi="宋体" w:cs="宋体"/>
          <w:color w:val="auto"/>
          <w:sz w:val="24"/>
          <w:highlight w:val="none"/>
        </w:rPr>
      </w:pPr>
      <w:r>
        <w:rPr>
          <w:rFonts w:hint="eastAsia" w:ascii="宋体" w:hAnsi="宋体" w:cs="宋体"/>
          <w:color w:val="auto"/>
          <w:sz w:val="24"/>
          <w:highlight w:val="none"/>
        </w:rPr>
        <w:t>（5）投标文件；</w:t>
      </w:r>
    </w:p>
    <w:p>
      <w:pPr>
        <w:spacing w:line="400" w:lineRule="exact"/>
        <w:ind w:firstLine="570"/>
        <w:jc w:val="left"/>
        <w:rPr>
          <w:rFonts w:ascii="宋体" w:hAnsi="宋体" w:cs="宋体"/>
          <w:color w:val="auto"/>
          <w:sz w:val="24"/>
          <w:highlight w:val="none"/>
        </w:rPr>
      </w:pPr>
      <w:r>
        <w:rPr>
          <w:rFonts w:hint="eastAsia" w:ascii="宋体" w:hAnsi="宋体" w:cs="宋体"/>
          <w:color w:val="auto"/>
          <w:sz w:val="24"/>
          <w:highlight w:val="none"/>
        </w:rPr>
        <w:t>（6）标准、规范及有关技术文件。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以上文本构成此合同不可分割的部分并与合同正文具有同等法律效力。</w:t>
      </w:r>
    </w:p>
    <w:p>
      <w:pPr>
        <w:spacing w:line="40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2.2本合同文件解释。解释合同文件的优先顺序按第2.1款顺序，当合同文件出现含糊不清或不一致时，由双方协商解决。</w:t>
      </w:r>
    </w:p>
    <w:p>
      <w:pPr>
        <w:rPr>
          <w:b/>
          <w:color w:val="auto"/>
          <w:sz w:val="24"/>
          <w:highlight w:val="none"/>
        </w:rPr>
      </w:pPr>
      <w:r>
        <w:rPr>
          <w:rFonts w:hint="eastAsia"/>
          <w:b/>
          <w:color w:val="auto"/>
          <w:sz w:val="24"/>
          <w:highlight w:val="none"/>
        </w:rPr>
        <w:t>3、项目内容及要求</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3.1利用现有地下管线普查数据成果，在普查更新范围内采用全野外探测及内外业结合核实探测的方式摸清地下管线类型、管线属性等基本情况，收集地下管线隐患信息资料并入库，具体要求按招标文件第六章执行。</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（1）管线类型：包括给水、排水、燃气、热力、电力、通信（含广播电视）、工业（不包括油气管线）、综合管廊(沟)等管线及其附属设施。</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2）管线属性：包括种类、数量、功能、材质、管径、埋设方式、平面位置、埋深、高程、走向、连接方式、权属单位、建设时间、运行时间、管线特征以及相关场站等信息，建立地下管线基础信息普查成果更新数据库。</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（3）隐患信息：收集地下管线存在的隐患信息。</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3.2本项目预估工作量为：全野外探测管线约公里，内外业结合核实探测管线约公里。</w:t>
      </w:r>
    </w:p>
    <w:p>
      <w:pPr>
        <w:rPr>
          <w:b/>
          <w:color w:val="auto"/>
          <w:sz w:val="24"/>
          <w:highlight w:val="none"/>
        </w:rPr>
      </w:pPr>
      <w:r>
        <w:rPr>
          <w:rFonts w:hint="eastAsia"/>
          <w:b/>
          <w:color w:val="auto"/>
          <w:sz w:val="24"/>
          <w:highlight w:val="none"/>
        </w:rPr>
        <w:t>4、工期要求</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（1）乙方完成地下管线普查成果更新工作，并经监理检查合格后，可分批提交进行成果核验的管线权属单位，完成时间为XXXX年XX月XX日。</w:t>
      </w:r>
      <w:r>
        <w:rPr>
          <w:rFonts w:hint="eastAsia" w:ascii="宋体" w:hAnsi="宋体"/>
          <w:i/>
          <w:iCs/>
          <w:color w:val="auto"/>
          <w:sz w:val="24"/>
          <w:highlight w:val="none"/>
        </w:rPr>
        <w:t>（注：最终完成时间不晚于2021年12月31日）</w:t>
      </w:r>
    </w:p>
    <w:p>
      <w:pPr>
        <w:spacing w:line="400" w:lineRule="exact"/>
        <w:ind w:firstLine="480" w:firstLineChars="200"/>
        <w:rPr>
          <w:rFonts w:ascii="宋体" w:hAnsi="宋体" w:cs="仿宋"/>
          <w:color w:val="auto"/>
          <w:sz w:val="24"/>
          <w:highlight w:val="none"/>
        </w:rPr>
      </w:pPr>
      <w:r>
        <w:rPr>
          <w:rFonts w:hint="eastAsia" w:ascii="宋体" w:hAnsi="宋体"/>
          <w:color w:val="auto"/>
          <w:sz w:val="24"/>
          <w:highlight w:val="none"/>
        </w:rPr>
        <w:t>（2）乙方全力配合管线权属单位对</w:t>
      </w:r>
      <w:r>
        <w:rPr>
          <w:rFonts w:hint="eastAsia" w:ascii="宋体" w:hAnsi="宋体" w:cs="仿宋"/>
          <w:color w:val="auto"/>
          <w:sz w:val="24"/>
          <w:highlight w:val="none"/>
        </w:rPr>
        <w:t>提交的地下管线普查更新成果进行核验，并对核验过程中的相关问题进行整改，</w:t>
      </w:r>
      <w:r>
        <w:rPr>
          <w:rFonts w:hint="eastAsia" w:ascii="宋体" w:hAnsi="宋体"/>
          <w:color w:val="auto"/>
          <w:sz w:val="24"/>
          <w:highlight w:val="none"/>
        </w:rPr>
        <w:t>完成时间为XXXX年XX月XX日。</w:t>
      </w:r>
      <w:r>
        <w:rPr>
          <w:rFonts w:hint="eastAsia" w:ascii="宋体" w:hAnsi="宋体"/>
          <w:i/>
          <w:iCs/>
          <w:color w:val="auto"/>
          <w:sz w:val="24"/>
          <w:highlight w:val="none"/>
        </w:rPr>
        <w:t>（注：最终完成时间不晚于</w:t>
      </w:r>
      <w:r>
        <w:rPr>
          <w:rFonts w:hint="eastAsia" w:ascii="宋体" w:hAnsi="宋体"/>
          <w:color w:val="auto"/>
          <w:sz w:val="24"/>
          <w:highlight w:val="none"/>
        </w:rPr>
        <w:t>2022年4月30日)</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（3）乙方全力配合甲方委托的测绘成果质检单位对普查更新成果进行质量检验，并对质检过程中的相关问题进行整改，完成时间为XXXX年XX月XX日。</w:t>
      </w:r>
      <w:r>
        <w:rPr>
          <w:rFonts w:hint="eastAsia" w:ascii="宋体" w:hAnsi="宋体"/>
          <w:i/>
          <w:iCs/>
          <w:color w:val="auto"/>
          <w:sz w:val="24"/>
          <w:highlight w:val="none"/>
        </w:rPr>
        <w:t>（注：最终完成时间不晚于</w:t>
      </w:r>
      <w:r>
        <w:rPr>
          <w:rFonts w:hint="eastAsia" w:ascii="宋体" w:hAnsi="宋体"/>
          <w:color w:val="auto"/>
          <w:sz w:val="24"/>
          <w:highlight w:val="none"/>
        </w:rPr>
        <w:t>2022年6月30日)</w:t>
      </w:r>
    </w:p>
    <w:p>
      <w:pPr>
        <w:spacing w:line="400" w:lineRule="exact"/>
        <w:ind w:firstLine="484" w:firstLineChars="202"/>
        <w:rPr>
          <w:rFonts w:ascii="宋体" w:hAnsi="宋体"/>
          <w:color w:val="auto"/>
          <w:sz w:val="24"/>
          <w:highlight w:val="none"/>
        </w:rPr>
      </w:pPr>
      <w:r>
        <w:rPr>
          <w:rFonts w:hint="eastAsia" w:ascii="宋体" w:hAnsi="宋体"/>
          <w:color w:val="auto"/>
          <w:sz w:val="24"/>
          <w:highlight w:val="none"/>
        </w:rPr>
        <w:t xml:space="preserve"> (4)乙方全力配合甲方对地下管线普查成果进行整合检查及数据入库工作，完成时间为XXXX年XX月XX日。</w:t>
      </w:r>
      <w:r>
        <w:rPr>
          <w:rFonts w:hint="eastAsia" w:ascii="宋体" w:hAnsi="宋体"/>
          <w:i/>
          <w:iCs/>
          <w:color w:val="auto"/>
          <w:sz w:val="24"/>
          <w:highlight w:val="none"/>
        </w:rPr>
        <w:t>（注：最终完成时间不晚于</w:t>
      </w:r>
      <w:r>
        <w:rPr>
          <w:rFonts w:hint="eastAsia" w:ascii="宋体" w:hAnsi="宋体"/>
          <w:color w:val="auto"/>
          <w:sz w:val="24"/>
          <w:highlight w:val="none"/>
        </w:rPr>
        <w:t>2022年10月31日)</w:t>
      </w:r>
    </w:p>
    <w:p>
      <w:pPr>
        <w:rPr>
          <w:b/>
          <w:color w:val="auto"/>
          <w:sz w:val="24"/>
          <w:highlight w:val="none"/>
        </w:rPr>
      </w:pPr>
      <w:r>
        <w:rPr>
          <w:rFonts w:hint="eastAsia"/>
          <w:b/>
          <w:color w:val="auto"/>
          <w:sz w:val="24"/>
          <w:highlight w:val="none"/>
        </w:rPr>
        <w:t>5、成果提交</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5.1 地下管线普查更新成果可分批提交核验和质检，每批次提交成果不小于包件成果的30%。若乙方提交成果的时限不满足合同第4条要求，乙方按合同第14条相关约定支付违约金和延期损失费。</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5.2提交的主要成果</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乙方提交的主要成果包含数据成果和文字成果，分别提供两套成果。</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5.2.1 数据成果</w:t>
      </w:r>
    </w:p>
    <w:p>
      <w:pPr>
        <w:pStyle w:val="2"/>
        <w:spacing w:after="0" w:line="400" w:lineRule="exact"/>
        <w:ind w:firstLine="424" w:firstLineChars="177"/>
        <w:rPr>
          <w:rFonts w:ascii="宋体" w:hAnsi="宋体"/>
          <w:color w:val="auto"/>
          <w:sz w:val="24"/>
          <w:highlight w:val="none"/>
        </w:rPr>
      </w:pPr>
      <w:r>
        <w:rPr>
          <w:rFonts w:hint="eastAsia" w:ascii="宋体" w:hAnsi="宋体"/>
          <w:color w:val="auto"/>
          <w:sz w:val="24"/>
          <w:highlight w:val="none"/>
        </w:rPr>
        <w:t>（1）地下管线普查更新数据库（MDB），包括：管线点属性库、管线线属性库、管线面属性库、管线辅助点属性库、管线辅助线属性库、管线注记属性库；</w:t>
      </w:r>
    </w:p>
    <w:p>
      <w:pPr>
        <w:spacing w:line="400" w:lineRule="exact"/>
        <w:ind w:firstLine="424" w:firstLineChars="177"/>
        <w:rPr>
          <w:rFonts w:ascii="宋体" w:hAnsi="宋体"/>
          <w:color w:val="auto"/>
          <w:sz w:val="24"/>
          <w:highlight w:val="none"/>
        </w:rPr>
      </w:pPr>
      <w:r>
        <w:rPr>
          <w:rFonts w:hint="eastAsia" w:ascii="宋体" w:hAnsi="宋体"/>
          <w:color w:val="auto"/>
          <w:sz w:val="24"/>
          <w:highlight w:val="none"/>
        </w:rPr>
        <w:t>（2）综合地下管线成果图（DWG格式）；</w:t>
      </w:r>
    </w:p>
    <w:p>
      <w:pPr>
        <w:pStyle w:val="2"/>
        <w:spacing w:after="0" w:line="400" w:lineRule="exact"/>
        <w:ind w:firstLine="424" w:firstLineChars="177"/>
        <w:rPr>
          <w:rFonts w:ascii="宋体" w:hAnsi="宋体"/>
          <w:color w:val="auto"/>
          <w:sz w:val="24"/>
          <w:highlight w:val="none"/>
        </w:rPr>
      </w:pPr>
      <w:r>
        <w:rPr>
          <w:rFonts w:hint="eastAsia" w:ascii="宋体" w:hAnsi="宋体"/>
          <w:color w:val="auto"/>
          <w:sz w:val="24"/>
          <w:highlight w:val="none"/>
        </w:rPr>
        <w:t>（3）管线点探测记录表（电子记录）；</w:t>
      </w:r>
    </w:p>
    <w:p>
      <w:pPr>
        <w:spacing w:line="400" w:lineRule="exact"/>
        <w:ind w:firstLine="424" w:firstLineChars="177"/>
        <w:rPr>
          <w:rFonts w:ascii="宋体" w:hAnsi="宋体"/>
          <w:color w:val="auto"/>
          <w:sz w:val="24"/>
          <w:highlight w:val="none"/>
        </w:rPr>
      </w:pPr>
      <w:r>
        <w:rPr>
          <w:rFonts w:hint="eastAsia" w:ascii="宋体" w:hAnsi="宋体"/>
          <w:color w:val="auto"/>
          <w:sz w:val="24"/>
          <w:highlight w:val="none"/>
        </w:rPr>
        <w:t>（4）控制点和管线点的观测记录和计算资料（电子记录）；</w:t>
      </w:r>
    </w:p>
    <w:p>
      <w:pPr>
        <w:pStyle w:val="2"/>
        <w:spacing w:after="0" w:line="400" w:lineRule="exact"/>
        <w:ind w:firstLine="424" w:firstLineChars="177"/>
        <w:rPr>
          <w:rFonts w:ascii="宋体" w:hAnsi="宋体"/>
          <w:color w:val="auto"/>
          <w:sz w:val="24"/>
          <w:highlight w:val="none"/>
        </w:rPr>
      </w:pPr>
      <w:r>
        <w:rPr>
          <w:rFonts w:hint="eastAsia" w:ascii="宋体" w:hAnsi="宋体"/>
          <w:color w:val="auto"/>
          <w:sz w:val="24"/>
          <w:highlight w:val="none"/>
        </w:rPr>
        <w:t>（5）管线点成果表（电子记录）。</w:t>
      </w:r>
    </w:p>
    <w:p>
      <w:pPr>
        <w:spacing w:line="400" w:lineRule="exact"/>
        <w:ind w:firstLine="424" w:firstLineChars="177"/>
        <w:rPr>
          <w:rFonts w:ascii="宋体" w:hAnsi="宋体"/>
          <w:color w:val="auto"/>
          <w:sz w:val="24"/>
          <w:highlight w:val="none"/>
        </w:rPr>
      </w:pPr>
      <w:r>
        <w:rPr>
          <w:rFonts w:hint="eastAsia" w:ascii="宋体" w:hAnsi="宋体"/>
          <w:color w:val="auto"/>
          <w:sz w:val="24"/>
          <w:highlight w:val="none"/>
        </w:rPr>
        <w:t>5.2.2 文字成果</w:t>
      </w:r>
    </w:p>
    <w:p>
      <w:pPr>
        <w:pStyle w:val="2"/>
        <w:spacing w:after="0" w:line="400" w:lineRule="exact"/>
        <w:ind w:firstLine="424" w:firstLineChars="177"/>
        <w:rPr>
          <w:rFonts w:ascii="宋体" w:hAnsi="宋体"/>
          <w:color w:val="auto"/>
          <w:sz w:val="24"/>
          <w:highlight w:val="none"/>
        </w:rPr>
      </w:pPr>
      <w:r>
        <w:rPr>
          <w:rFonts w:hint="eastAsia" w:ascii="宋体" w:hAnsi="宋体"/>
          <w:color w:val="auto"/>
          <w:sz w:val="24"/>
          <w:highlight w:val="none"/>
        </w:rPr>
        <w:t>（1）经批准的地下管线普查成果更新技术设计书；</w:t>
      </w:r>
    </w:p>
    <w:p>
      <w:pPr>
        <w:spacing w:line="400" w:lineRule="exact"/>
        <w:ind w:firstLine="424" w:firstLineChars="177"/>
        <w:rPr>
          <w:rFonts w:ascii="宋体" w:hAnsi="宋体"/>
          <w:color w:val="auto"/>
          <w:sz w:val="24"/>
          <w:highlight w:val="none"/>
        </w:rPr>
      </w:pPr>
      <w:r>
        <w:rPr>
          <w:rFonts w:hint="eastAsia" w:ascii="宋体" w:hAnsi="宋体"/>
          <w:color w:val="auto"/>
          <w:sz w:val="24"/>
          <w:highlight w:val="none"/>
        </w:rPr>
        <w:t xml:space="preserve">（2）仪器检校资料； </w:t>
      </w:r>
    </w:p>
    <w:p>
      <w:pPr>
        <w:pStyle w:val="2"/>
        <w:spacing w:after="0" w:line="400" w:lineRule="exact"/>
        <w:ind w:firstLine="424" w:firstLineChars="177"/>
        <w:rPr>
          <w:rFonts w:ascii="宋体" w:hAnsi="宋体"/>
          <w:color w:val="auto"/>
          <w:sz w:val="24"/>
          <w:highlight w:val="none"/>
        </w:rPr>
      </w:pPr>
      <w:r>
        <w:rPr>
          <w:rFonts w:hint="eastAsia" w:ascii="宋体" w:hAnsi="宋体"/>
          <w:color w:val="auto"/>
          <w:sz w:val="24"/>
          <w:highlight w:val="none"/>
        </w:rPr>
        <w:t>（3）图根控制点成果表；</w:t>
      </w:r>
    </w:p>
    <w:p>
      <w:pPr>
        <w:spacing w:line="400" w:lineRule="exact"/>
        <w:ind w:firstLine="424" w:firstLineChars="177"/>
        <w:rPr>
          <w:rFonts w:ascii="宋体" w:hAnsi="宋体"/>
          <w:color w:val="auto"/>
          <w:sz w:val="24"/>
          <w:highlight w:val="none"/>
        </w:rPr>
      </w:pPr>
      <w:r>
        <w:rPr>
          <w:rFonts w:hint="eastAsia" w:ascii="宋体" w:hAnsi="宋体"/>
          <w:color w:val="auto"/>
          <w:sz w:val="24"/>
          <w:highlight w:val="none"/>
        </w:rPr>
        <w:t>（4）各种检查和开挖验证记录；</w:t>
      </w:r>
    </w:p>
    <w:p>
      <w:pPr>
        <w:pStyle w:val="2"/>
        <w:spacing w:after="0" w:line="400" w:lineRule="exact"/>
        <w:ind w:firstLine="424" w:firstLineChars="177"/>
        <w:rPr>
          <w:rFonts w:ascii="宋体" w:hAnsi="宋体"/>
          <w:color w:val="auto"/>
          <w:sz w:val="24"/>
          <w:highlight w:val="none"/>
        </w:rPr>
      </w:pPr>
      <w:r>
        <w:rPr>
          <w:rFonts w:hint="eastAsia" w:ascii="宋体" w:hAnsi="宋体"/>
          <w:color w:val="auto"/>
          <w:sz w:val="24"/>
          <w:highlight w:val="none"/>
        </w:rPr>
        <w:t>（5）地下管线普查成果更新检查报告</w:t>
      </w:r>
    </w:p>
    <w:p>
      <w:pPr>
        <w:spacing w:line="400" w:lineRule="exact"/>
        <w:ind w:firstLine="424" w:firstLineChars="177"/>
        <w:rPr>
          <w:rFonts w:ascii="宋体" w:hAnsi="宋体"/>
          <w:color w:val="auto"/>
          <w:sz w:val="24"/>
          <w:highlight w:val="none"/>
        </w:rPr>
      </w:pPr>
      <w:r>
        <w:rPr>
          <w:rFonts w:hint="eastAsia" w:ascii="宋体" w:hAnsi="宋体"/>
          <w:color w:val="auto"/>
          <w:sz w:val="24"/>
          <w:highlight w:val="none"/>
        </w:rPr>
        <w:t>（6）地下管线普查成果更新技术总结报告。</w:t>
      </w:r>
    </w:p>
    <w:p>
      <w:pPr>
        <w:spacing w:line="400" w:lineRule="exact"/>
        <w:ind w:firstLine="424" w:firstLineChars="177"/>
        <w:rPr>
          <w:rFonts w:ascii="宋体" w:hAnsi="宋体"/>
          <w:color w:val="auto"/>
          <w:sz w:val="24"/>
          <w:highlight w:val="none"/>
        </w:rPr>
      </w:pPr>
      <w:r>
        <w:rPr>
          <w:rFonts w:hint="eastAsia" w:ascii="宋体" w:hAnsi="宋体"/>
          <w:color w:val="auto"/>
          <w:sz w:val="24"/>
          <w:highlight w:val="none"/>
        </w:rPr>
        <w:t>5.2.3其他成果</w:t>
      </w:r>
    </w:p>
    <w:p>
      <w:pPr>
        <w:spacing w:line="400" w:lineRule="exact"/>
        <w:ind w:firstLine="424" w:firstLineChars="177"/>
        <w:rPr>
          <w:rFonts w:ascii="宋体" w:hAnsi="宋体"/>
          <w:color w:val="auto"/>
          <w:sz w:val="24"/>
          <w:highlight w:val="none"/>
        </w:rPr>
      </w:pPr>
      <w:r>
        <w:rPr>
          <w:rFonts w:hint="eastAsia"/>
          <w:color w:val="auto"/>
          <w:sz w:val="24"/>
          <w:highlight w:val="none"/>
        </w:rPr>
        <w:t>成都市地下管线普查成果更新工作领导小组办公室和甲方规定的其他成果。</w:t>
      </w:r>
    </w:p>
    <w:p>
      <w:pPr>
        <w:rPr>
          <w:b/>
          <w:color w:val="auto"/>
          <w:sz w:val="24"/>
          <w:highlight w:val="none"/>
        </w:rPr>
      </w:pPr>
      <w:r>
        <w:rPr>
          <w:rFonts w:hint="eastAsia"/>
          <w:b/>
          <w:color w:val="auto"/>
          <w:sz w:val="24"/>
          <w:highlight w:val="none"/>
        </w:rPr>
        <w:t>6、合同价款及支付方式</w:t>
      </w:r>
    </w:p>
    <w:p>
      <w:pPr>
        <w:spacing w:line="400" w:lineRule="exact"/>
        <w:ind w:firstLine="465"/>
        <w:jc w:val="left"/>
        <w:rPr>
          <w:rFonts w:ascii="宋体" w:hAnsi="宋体" w:cs="宋体"/>
          <w:color w:val="auto"/>
          <w:sz w:val="24"/>
          <w:highlight w:val="none"/>
        </w:rPr>
      </w:pPr>
      <w:r>
        <w:rPr>
          <w:rFonts w:hint="eastAsia" w:ascii="宋体" w:hAnsi="宋体" w:cs="宋体"/>
          <w:color w:val="auto"/>
          <w:sz w:val="24"/>
          <w:highlight w:val="none"/>
        </w:rPr>
        <w:t>6.1合同价款</w:t>
      </w:r>
    </w:p>
    <w:p>
      <w:pPr>
        <w:spacing w:line="400" w:lineRule="exact"/>
        <w:ind w:firstLine="426"/>
        <w:jc w:val="left"/>
        <w:rPr>
          <w:rFonts w:ascii="宋体" w:hAnsi="宋体" w:cs="宋体"/>
          <w:b/>
          <w:color w:val="auto"/>
          <w:sz w:val="24"/>
          <w:highlight w:val="none"/>
        </w:rPr>
      </w:pPr>
      <w:r>
        <w:rPr>
          <w:rFonts w:hint="eastAsia" w:ascii="宋体" w:hAnsi="宋体" w:cs="宋体"/>
          <w:b/>
          <w:color w:val="auto"/>
          <w:sz w:val="24"/>
          <w:highlight w:val="none"/>
        </w:rPr>
        <w:t>（1）本合同为单价合同，全野外探测单价为元/公里，内外业结合核实探测单价为元/公里，本包件预算金额为 万元，合同总金额不超过本包件的预算金额。</w:t>
      </w:r>
    </w:p>
    <w:p>
      <w:pPr>
        <w:spacing w:line="400" w:lineRule="exact"/>
        <w:ind w:firstLine="426"/>
        <w:jc w:val="left"/>
        <w:rPr>
          <w:rFonts w:ascii="宋体" w:hAnsi="宋体" w:cs="宋体"/>
          <w:b/>
          <w:color w:val="auto"/>
          <w:sz w:val="24"/>
          <w:highlight w:val="none"/>
        </w:rPr>
      </w:pPr>
      <w:r>
        <w:rPr>
          <w:rFonts w:hint="eastAsia" w:ascii="宋体" w:hAnsi="宋体" w:cs="宋体"/>
          <w:b/>
          <w:color w:val="auto"/>
          <w:sz w:val="24"/>
          <w:highlight w:val="none"/>
        </w:rPr>
        <w:t>（2）合同总金额=（全野外探测单价</w:t>
      </w:r>
      <w:r>
        <w:rPr>
          <w:rFonts w:ascii="仿宋" w:hAnsi="仿宋" w:eastAsia="仿宋"/>
          <w:b/>
          <w:color w:val="auto"/>
          <w:sz w:val="24"/>
          <w:highlight w:val="none"/>
        </w:rPr>
        <w:t>×</w:t>
      </w:r>
      <w:r>
        <w:rPr>
          <w:rFonts w:hint="eastAsia" w:ascii="宋体" w:hAnsi="宋体" w:cs="宋体"/>
          <w:b/>
          <w:color w:val="auto"/>
          <w:sz w:val="24"/>
          <w:highlight w:val="none"/>
        </w:rPr>
        <w:t>全野外探测实际提交长度）+（内外业结合核实探测单价</w:t>
      </w:r>
      <w:r>
        <w:rPr>
          <w:rFonts w:ascii="仿宋" w:hAnsi="仿宋" w:eastAsia="仿宋"/>
          <w:b/>
          <w:color w:val="auto"/>
          <w:sz w:val="24"/>
          <w:highlight w:val="none"/>
        </w:rPr>
        <w:t>×</w:t>
      </w:r>
      <w:r>
        <w:rPr>
          <w:rFonts w:hint="eastAsia" w:ascii="宋体" w:hAnsi="宋体" w:cs="宋体"/>
          <w:b/>
          <w:color w:val="auto"/>
          <w:sz w:val="24"/>
          <w:highlight w:val="none"/>
        </w:rPr>
        <w:t>内外业结合核实探测实际提交长度），实际提交长度为入库合格后的全野外探测、内外业结合核实探测管线长度。合同总金额超出本包件的预算金额时按预算金额结算。</w:t>
      </w:r>
    </w:p>
    <w:p>
      <w:pPr>
        <w:pStyle w:val="2"/>
        <w:spacing w:after="0" w:line="400" w:lineRule="exact"/>
        <w:ind w:firstLine="424" w:firstLineChars="176"/>
        <w:rPr>
          <w:color w:val="auto"/>
          <w:highlight w:val="none"/>
        </w:rPr>
      </w:pPr>
      <w:r>
        <w:rPr>
          <w:rFonts w:hint="eastAsia" w:ascii="宋体" w:hAnsi="宋体" w:cs="宋体"/>
          <w:b/>
          <w:color w:val="auto"/>
          <w:sz w:val="24"/>
          <w:highlight w:val="none"/>
        </w:rPr>
        <w:t>（3）可直接利用的地下管线普查成果不计入经费计算。</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6.2支付方式</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6.2.1</w:t>
      </w:r>
      <w:r>
        <w:rPr>
          <w:rFonts w:ascii="宋体" w:hAnsi="宋体"/>
          <w:color w:val="auto"/>
          <w:sz w:val="24"/>
          <w:highlight w:val="none"/>
        </w:rPr>
        <w:t>合同签订后15</w:t>
      </w:r>
      <w:r>
        <w:rPr>
          <w:rFonts w:hint="eastAsia" w:ascii="宋体" w:hAnsi="宋体"/>
          <w:color w:val="auto"/>
          <w:sz w:val="24"/>
          <w:highlight w:val="none"/>
        </w:rPr>
        <w:t>个工作</w:t>
      </w:r>
      <w:r>
        <w:rPr>
          <w:rFonts w:ascii="宋体" w:hAnsi="宋体"/>
          <w:color w:val="auto"/>
          <w:sz w:val="24"/>
          <w:highlight w:val="none"/>
        </w:rPr>
        <w:t>日内，</w:t>
      </w:r>
      <w:r>
        <w:rPr>
          <w:rFonts w:hint="eastAsia" w:ascii="宋体" w:hAnsi="宋体"/>
          <w:color w:val="auto"/>
          <w:sz w:val="24"/>
          <w:highlight w:val="none"/>
        </w:rPr>
        <w:t>甲方</w:t>
      </w:r>
      <w:r>
        <w:rPr>
          <w:rFonts w:ascii="宋体" w:hAnsi="宋体"/>
          <w:color w:val="auto"/>
          <w:sz w:val="24"/>
          <w:highlight w:val="none"/>
        </w:rPr>
        <w:t>向</w:t>
      </w:r>
      <w:r>
        <w:rPr>
          <w:rFonts w:hint="eastAsia" w:ascii="宋体" w:hAnsi="宋体"/>
          <w:color w:val="auto"/>
          <w:sz w:val="24"/>
          <w:highlight w:val="none"/>
        </w:rPr>
        <w:t>乙方</w:t>
      </w:r>
      <w:r>
        <w:rPr>
          <w:rFonts w:ascii="宋体" w:hAnsi="宋体"/>
          <w:color w:val="auto"/>
          <w:sz w:val="24"/>
          <w:highlight w:val="none"/>
        </w:rPr>
        <w:t>支付</w:t>
      </w:r>
      <w:r>
        <w:rPr>
          <w:rFonts w:hint="eastAsia" w:ascii="宋体" w:hAnsi="宋体"/>
          <w:color w:val="auto"/>
          <w:sz w:val="24"/>
          <w:highlight w:val="none"/>
        </w:rPr>
        <w:t>预算金额</w:t>
      </w:r>
      <w:r>
        <w:rPr>
          <w:rFonts w:ascii="宋体" w:hAnsi="宋体"/>
          <w:color w:val="auto"/>
          <w:sz w:val="24"/>
          <w:highlight w:val="none"/>
        </w:rPr>
        <w:t>的</w:t>
      </w:r>
      <w:r>
        <w:rPr>
          <w:rFonts w:hint="eastAsia" w:ascii="宋体" w:hAnsi="宋体"/>
          <w:color w:val="auto"/>
          <w:sz w:val="24"/>
          <w:highlight w:val="none"/>
          <w:u w:val="single"/>
        </w:rPr>
        <w:t xml:space="preserve"> 30 </w:t>
      </w:r>
      <w:r>
        <w:rPr>
          <w:rFonts w:ascii="宋体" w:hAnsi="宋体"/>
          <w:color w:val="auto"/>
          <w:sz w:val="24"/>
          <w:highlight w:val="none"/>
        </w:rPr>
        <w:t>%</w:t>
      </w:r>
      <w:r>
        <w:rPr>
          <w:rFonts w:hint="eastAsia" w:ascii="宋体" w:hAnsi="宋体"/>
          <w:color w:val="auto"/>
          <w:sz w:val="24"/>
          <w:highlight w:val="none"/>
        </w:rPr>
        <w:t>作为首付款</w:t>
      </w:r>
      <w:r>
        <w:rPr>
          <w:rFonts w:hint="eastAsia" w:ascii="宋体" w:hAnsi="宋体" w:cs="宋体"/>
          <w:b/>
          <w:color w:val="auto"/>
          <w:sz w:val="24"/>
          <w:highlight w:val="none"/>
        </w:rPr>
        <w:t>。</w:t>
      </w:r>
    </w:p>
    <w:p>
      <w:pPr>
        <w:spacing w:line="400" w:lineRule="exact"/>
        <w:ind w:firstLine="480" w:firstLineChars="200"/>
        <w:rPr>
          <w:rFonts w:ascii="宋体" w:hAnsi="宋体"/>
          <w:bCs/>
          <w:color w:val="auto"/>
          <w:sz w:val="24"/>
          <w:highlight w:val="none"/>
        </w:rPr>
      </w:pPr>
      <w:r>
        <w:rPr>
          <w:rFonts w:hint="eastAsia" w:ascii="宋体" w:hAnsi="宋体"/>
          <w:color w:val="auto"/>
          <w:sz w:val="24"/>
          <w:highlight w:val="none"/>
        </w:rPr>
        <w:t>6.2.2 2022年4月底前，甲方</w:t>
      </w:r>
      <w:r>
        <w:rPr>
          <w:rFonts w:ascii="宋体" w:hAnsi="宋体"/>
          <w:color w:val="auto"/>
          <w:sz w:val="24"/>
          <w:highlight w:val="none"/>
        </w:rPr>
        <w:t>向</w:t>
      </w:r>
      <w:r>
        <w:rPr>
          <w:rFonts w:hint="eastAsia" w:ascii="宋体" w:hAnsi="宋体"/>
          <w:color w:val="auto"/>
          <w:sz w:val="24"/>
          <w:highlight w:val="none"/>
        </w:rPr>
        <w:t>乙方支付第一次进度款。第一次进度款=（全野外探测单价</w:t>
      </w:r>
      <w:r>
        <w:rPr>
          <w:rFonts w:ascii="宋体" w:hAnsi="宋体"/>
          <w:color w:val="auto"/>
          <w:sz w:val="24"/>
          <w:highlight w:val="none"/>
        </w:rPr>
        <w:t>×</w:t>
      </w:r>
      <w:r>
        <w:rPr>
          <w:rFonts w:hint="eastAsia" w:ascii="宋体" w:hAnsi="宋体"/>
          <w:color w:val="auto"/>
          <w:sz w:val="24"/>
          <w:highlight w:val="none"/>
        </w:rPr>
        <w:t>全野外探测实际提交长度+内外业结合核实探测单价</w:t>
      </w:r>
      <w:r>
        <w:rPr>
          <w:rFonts w:ascii="宋体" w:hAnsi="宋体"/>
          <w:color w:val="auto"/>
          <w:sz w:val="24"/>
          <w:highlight w:val="none"/>
        </w:rPr>
        <w:t>×</w:t>
      </w:r>
      <w:r>
        <w:rPr>
          <w:rFonts w:hint="eastAsia" w:ascii="宋体" w:hAnsi="宋体"/>
          <w:color w:val="auto"/>
          <w:sz w:val="24"/>
          <w:highlight w:val="none"/>
        </w:rPr>
        <w:t>内外业结合核实探测实际提交长度）</w:t>
      </w:r>
      <w:r>
        <w:rPr>
          <w:rFonts w:ascii="宋体" w:hAnsi="宋体"/>
          <w:color w:val="auto"/>
          <w:sz w:val="24"/>
          <w:highlight w:val="none"/>
        </w:rPr>
        <w:t>×</w:t>
      </w:r>
      <w:r>
        <w:rPr>
          <w:rFonts w:hint="eastAsia" w:ascii="宋体" w:hAnsi="宋体"/>
          <w:color w:val="auto"/>
          <w:sz w:val="24"/>
          <w:highlight w:val="none"/>
        </w:rPr>
        <w:t>60%-首付款，</w:t>
      </w:r>
      <w:r>
        <w:rPr>
          <w:rFonts w:hint="eastAsia" w:ascii="宋体" w:hAnsi="宋体" w:cs="宋体"/>
          <w:color w:val="auto"/>
          <w:sz w:val="24"/>
          <w:highlight w:val="none"/>
        </w:rPr>
        <w:t>若第一次进度款计算值为零或负数，则不支付。第一次进度款</w:t>
      </w:r>
      <w:r>
        <w:rPr>
          <w:rFonts w:hint="eastAsia" w:ascii="宋体" w:hAnsi="宋体"/>
          <w:color w:val="auto"/>
          <w:sz w:val="24"/>
          <w:highlight w:val="none"/>
        </w:rPr>
        <w:t>中实际提交长</w:t>
      </w:r>
      <w:r>
        <w:rPr>
          <w:rFonts w:hint="eastAsia" w:ascii="宋体" w:hAnsi="宋体" w:cs="宋体"/>
          <w:bCs/>
          <w:color w:val="auto"/>
          <w:sz w:val="24"/>
          <w:highlight w:val="none"/>
        </w:rPr>
        <w:t>度为经监理单位检查合格</w:t>
      </w:r>
      <w:r>
        <w:rPr>
          <w:rFonts w:hint="eastAsia" w:ascii="宋体" w:hAnsi="宋体" w:cs="宋体"/>
          <w:color w:val="auto"/>
          <w:sz w:val="24"/>
          <w:highlight w:val="none"/>
        </w:rPr>
        <w:t>的管线长度。</w:t>
      </w:r>
    </w:p>
    <w:p>
      <w:pPr>
        <w:spacing w:line="400" w:lineRule="exact"/>
        <w:ind w:firstLine="424" w:firstLineChars="177"/>
        <w:rPr>
          <w:rFonts w:ascii="宋体" w:hAnsi="宋体"/>
          <w:color w:val="auto"/>
          <w:sz w:val="24"/>
          <w:highlight w:val="none"/>
        </w:rPr>
      </w:pPr>
      <w:r>
        <w:rPr>
          <w:rFonts w:hint="eastAsia" w:ascii="宋体" w:hAnsi="宋体"/>
          <w:color w:val="auto"/>
          <w:sz w:val="24"/>
          <w:highlight w:val="none"/>
        </w:rPr>
        <w:t>6.2.3乙方将管线普查成果全部提交完毕并经测绘成果</w:t>
      </w:r>
      <w:r>
        <w:rPr>
          <w:rFonts w:ascii="宋体" w:hAnsi="宋体"/>
          <w:color w:val="auto"/>
          <w:sz w:val="24"/>
          <w:highlight w:val="none"/>
        </w:rPr>
        <w:t>质量检验机构检验合格后，</w:t>
      </w:r>
      <w:r>
        <w:rPr>
          <w:rFonts w:hint="eastAsia" w:ascii="宋体" w:hAnsi="宋体"/>
          <w:color w:val="auto"/>
          <w:sz w:val="24"/>
          <w:highlight w:val="none"/>
        </w:rPr>
        <w:t>甲方于</w:t>
      </w:r>
      <w:r>
        <w:rPr>
          <w:rFonts w:ascii="宋体" w:hAnsi="宋体"/>
          <w:color w:val="auto"/>
          <w:sz w:val="24"/>
          <w:highlight w:val="none"/>
        </w:rPr>
        <w:t>15</w:t>
      </w:r>
      <w:r>
        <w:rPr>
          <w:rFonts w:hint="eastAsia" w:ascii="宋体" w:hAnsi="宋体"/>
          <w:color w:val="auto"/>
          <w:sz w:val="24"/>
          <w:highlight w:val="none"/>
        </w:rPr>
        <w:t>个工作</w:t>
      </w:r>
      <w:r>
        <w:rPr>
          <w:rFonts w:ascii="宋体" w:hAnsi="宋体"/>
          <w:color w:val="auto"/>
          <w:sz w:val="24"/>
          <w:highlight w:val="none"/>
        </w:rPr>
        <w:t>日</w:t>
      </w:r>
      <w:r>
        <w:rPr>
          <w:rFonts w:hint="eastAsia" w:ascii="宋体" w:hAnsi="宋体"/>
          <w:color w:val="auto"/>
          <w:sz w:val="24"/>
          <w:highlight w:val="none"/>
        </w:rPr>
        <w:t>内向乙方支付第二次进度款。第二次进度款=（全野外探测单价</w:t>
      </w:r>
      <w:r>
        <w:rPr>
          <w:rFonts w:ascii="宋体" w:hAnsi="宋体"/>
          <w:color w:val="auto"/>
          <w:sz w:val="24"/>
          <w:highlight w:val="none"/>
        </w:rPr>
        <w:t>×</w:t>
      </w:r>
      <w:r>
        <w:rPr>
          <w:rFonts w:hint="eastAsia" w:ascii="宋体" w:hAnsi="宋体"/>
          <w:color w:val="auto"/>
          <w:sz w:val="24"/>
          <w:highlight w:val="none"/>
        </w:rPr>
        <w:t>全野外探测实际提交长度+内外业结合核实探测单价</w:t>
      </w:r>
      <w:r>
        <w:rPr>
          <w:rFonts w:ascii="宋体" w:hAnsi="宋体"/>
          <w:color w:val="auto"/>
          <w:sz w:val="24"/>
          <w:highlight w:val="none"/>
        </w:rPr>
        <w:t>×</w:t>
      </w:r>
      <w:r>
        <w:rPr>
          <w:rFonts w:hint="eastAsia" w:ascii="宋体" w:hAnsi="宋体"/>
          <w:color w:val="auto"/>
          <w:sz w:val="24"/>
          <w:highlight w:val="none"/>
        </w:rPr>
        <w:t>内外业结合核实探测实际提交长度）</w:t>
      </w:r>
      <w:r>
        <w:rPr>
          <w:rFonts w:ascii="宋体" w:hAnsi="宋体"/>
          <w:color w:val="auto"/>
          <w:sz w:val="24"/>
          <w:highlight w:val="none"/>
        </w:rPr>
        <w:t>×</w:t>
      </w:r>
      <w:r>
        <w:rPr>
          <w:rFonts w:hint="eastAsia" w:ascii="宋体" w:hAnsi="宋体"/>
          <w:color w:val="auto"/>
          <w:sz w:val="24"/>
          <w:highlight w:val="none"/>
        </w:rPr>
        <w:t>80</w:t>
      </w:r>
      <w:r>
        <w:rPr>
          <w:rFonts w:ascii="宋体" w:hAnsi="宋体"/>
          <w:color w:val="auto"/>
          <w:sz w:val="24"/>
          <w:highlight w:val="none"/>
        </w:rPr>
        <w:t>%</w:t>
      </w:r>
      <w:r>
        <w:rPr>
          <w:rFonts w:hint="eastAsia" w:ascii="宋体" w:hAnsi="宋体"/>
          <w:color w:val="auto"/>
          <w:sz w:val="24"/>
          <w:highlight w:val="none"/>
        </w:rPr>
        <w:t>-首付款-第一次进度款，</w:t>
      </w:r>
      <w:r>
        <w:rPr>
          <w:rFonts w:hint="eastAsia" w:ascii="宋体" w:hAnsi="宋体" w:cs="宋体"/>
          <w:color w:val="auto"/>
          <w:sz w:val="24"/>
          <w:highlight w:val="none"/>
        </w:rPr>
        <w:t>若第二次进度款计算为零或负，则不支付。</w:t>
      </w:r>
      <w:r>
        <w:rPr>
          <w:rFonts w:hint="eastAsia" w:ascii="宋体" w:hAnsi="宋体"/>
          <w:color w:val="auto"/>
          <w:sz w:val="24"/>
          <w:highlight w:val="none"/>
        </w:rPr>
        <w:t>第二次进度款中</w:t>
      </w:r>
      <w:r>
        <w:rPr>
          <w:rFonts w:hint="eastAsia" w:ascii="宋体" w:hAnsi="宋体" w:cs="宋体"/>
          <w:bCs/>
          <w:color w:val="auto"/>
          <w:sz w:val="24"/>
          <w:highlight w:val="none"/>
        </w:rPr>
        <w:t>实际提交长度为经质量检验合格后</w:t>
      </w:r>
      <w:r>
        <w:rPr>
          <w:rFonts w:hint="eastAsia" w:ascii="宋体" w:hAnsi="宋体" w:cs="宋体"/>
          <w:color w:val="auto"/>
          <w:sz w:val="24"/>
          <w:highlight w:val="none"/>
        </w:rPr>
        <w:t>的管线长度。</w:t>
      </w:r>
    </w:p>
    <w:p>
      <w:pPr>
        <w:spacing w:line="400" w:lineRule="exact"/>
        <w:ind w:firstLine="424" w:firstLineChars="177"/>
        <w:rPr>
          <w:rFonts w:ascii="宋体" w:hAnsi="宋体"/>
          <w:color w:val="auto"/>
          <w:sz w:val="24"/>
          <w:highlight w:val="none"/>
        </w:rPr>
      </w:pPr>
      <w:r>
        <w:rPr>
          <w:rFonts w:hint="eastAsia" w:ascii="宋体" w:hAnsi="宋体"/>
          <w:color w:val="auto"/>
          <w:sz w:val="24"/>
          <w:highlight w:val="none"/>
        </w:rPr>
        <w:t>6.2.4全部普查成果完成整合检查、汇交入库，且项目通过验收后60个工作日内甲方向乙方支付尾款。尾款=</w:t>
      </w:r>
      <w:r>
        <w:rPr>
          <w:rFonts w:hint="eastAsia" w:ascii="宋体" w:hAnsi="宋体" w:cs="宋体"/>
          <w:color w:val="auto"/>
          <w:sz w:val="24"/>
          <w:highlight w:val="none"/>
        </w:rPr>
        <w:t>合同总金额-首付款-第一次进度款-第二次进度款。</w:t>
      </w:r>
    </w:p>
    <w:p>
      <w:pPr>
        <w:spacing w:line="400" w:lineRule="exact"/>
        <w:ind w:firstLine="424" w:firstLineChars="177"/>
        <w:rPr>
          <w:rFonts w:ascii="宋体" w:hAnsi="宋体" w:cs="宋体"/>
          <w:color w:val="auto"/>
          <w:sz w:val="24"/>
          <w:highlight w:val="none"/>
        </w:rPr>
      </w:pPr>
      <w:r>
        <w:rPr>
          <w:rFonts w:hint="eastAsia" w:ascii="宋体" w:hAnsi="宋体"/>
          <w:color w:val="auto"/>
          <w:sz w:val="24"/>
          <w:highlight w:val="none"/>
        </w:rPr>
        <w:t>6.2.5支付每笔款项前，乙方须按项目进度及要求提交付款申请，并出具等额的发票,否则甲方有权顺延支付。</w:t>
      </w:r>
    </w:p>
    <w:p>
      <w:pPr>
        <w:rPr>
          <w:b/>
          <w:color w:val="auto"/>
          <w:sz w:val="24"/>
          <w:highlight w:val="none"/>
        </w:rPr>
      </w:pPr>
      <w:bookmarkStart w:id="441" w:name="_Toc3828132"/>
      <w:r>
        <w:rPr>
          <w:rFonts w:hint="eastAsia"/>
          <w:b/>
          <w:color w:val="auto"/>
          <w:sz w:val="24"/>
          <w:highlight w:val="none"/>
        </w:rPr>
        <w:t>7、知识产权</w:t>
      </w:r>
      <w:bookmarkEnd w:id="441"/>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乙方应保证在本项目使用的任何产品和服务（包括部分使用）时，不会产生因第三方提出侵犯其著作权或其它知识产权而引起的法律和经济纠纷，如因著作权或其它知识产权而引起法律和经济纠纷，由乙方承担全部相关责任，由此造成甲方无法完成本合同约定的项目内容，甲方有权解除合同，并要求乙方全额退还已收的全部款项。</w:t>
      </w:r>
    </w:p>
    <w:p>
      <w:pPr>
        <w:rPr>
          <w:b/>
          <w:color w:val="auto"/>
          <w:sz w:val="24"/>
          <w:highlight w:val="none"/>
        </w:rPr>
      </w:pPr>
      <w:r>
        <w:rPr>
          <w:rFonts w:hint="eastAsia"/>
          <w:b/>
          <w:color w:val="auto"/>
          <w:sz w:val="24"/>
          <w:highlight w:val="none"/>
        </w:rPr>
        <w:t>8、无产权瑕疵条款</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乙方保证所提供的服务的所有权完全属于乙方且无任何抵押、查封等产权瑕疵。如有产权瑕疵的，视为乙方违约，甲方有权解除合同并追究相关责任。</w:t>
      </w:r>
    </w:p>
    <w:p>
      <w:pPr>
        <w:rPr>
          <w:b/>
          <w:color w:val="auto"/>
          <w:sz w:val="24"/>
          <w:highlight w:val="none"/>
        </w:rPr>
      </w:pPr>
      <w:r>
        <w:rPr>
          <w:rFonts w:hint="eastAsia"/>
          <w:b/>
          <w:color w:val="auto"/>
          <w:sz w:val="24"/>
          <w:highlight w:val="none"/>
        </w:rPr>
        <w:t>9、质检和验收</w:t>
      </w:r>
    </w:p>
    <w:p>
      <w:pPr>
        <w:spacing w:line="400" w:lineRule="exact"/>
        <w:ind w:firstLine="480" w:firstLineChars="200"/>
        <w:rPr>
          <w:rFonts w:ascii="宋体" w:hAnsi="宋体" w:cs="宋体"/>
          <w:color w:val="auto"/>
          <w:sz w:val="24"/>
          <w:highlight w:val="none"/>
        </w:rPr>
      </w:pPr>
      <w:r>
        <w:rPr>
          <w:rFonts w:hint="eastAsia"/>
          <w:color w:val="auto"/>
          <w:sz w:val="24"/>
          <w:highlight w:val="none"/>
        </w:rPr>
        <w:t>9</w:t>
      </w:r>
      <w:r>
        <w:rPr>
          <w:rFonts w:hint="eastAsia" w:ascii="宋体" w:hAnsi="宋体" w:cs="宋体"/>
          <w:color w:val="auto"/>
          <w:sz w:val="24"/>
          <w:highlight w:val="none"/>
        </w:rPr>
        <w:t>.1本合同约定的成果全部完成后，乙方应当将全部成果提交甲方进行质量检验，经甲方委托的</w:t>
      </w:r>
      <w:r>
        <w:rPr>
          <w:rFonts w:hint="eastAsia" w:ascii="宋体" w:hAnsi="宋体"/>
          <w:color w:val="auto"/>
          <w:sz w:val="24"/>
          <w:highlight w:val="none"/>
        </w:rPr>
        <w:t>测绘成果质检</w:t>
      </w:r>
      <w:r>
        <w:rPr>
          <w:rFonts w:ascii="宋体" w:hAnsi="宋体"/>
          <w:color w:val="auto"/>
          <w:sz w:val="24"/>
          <w:highlight w:val="none"/>
        </w:rPr>
        <w:t>机构</w:t>
      </w:r>
      <w:r>
        <w:rPr>
          <w:rFonts w:hint="eastAsia" w:ascii="宋体" w:hAnsi="宋体" w:cs="宋体"/>
          <w:color w:val="auto"/>
          <w:sz w:val="24"/>
          <w:highlight w:val="none"/>
        </w:rPr>
        <w:t>质检合格后，由</w:t>
      </w:r>
      <w:r>
        <w:rPr>
          <w:rFonts w:hint="eastAsia" w:ascii="宋体" w:hAnsi="宋体"/>
          <w:color w:val="auto"/>
          <w:sz w:val="24"/>
          <w:highlight w:val="none"/>
        </w:rPr>
        <w:t>测绘成果质检</w:t>
      </w:r>
      <w:r>
        <w:rPr>
          <w:rFonts w:ascii="宋体" w:hAnsi="宋体"/>
          <w:color w:val="auto"/>
          <w:sz w:val="24"/>
          <w:highlight w:val="none"/>
        </w:rPr>
        <w:t>机构</w:t>
      </w:r>
      <w:r>
        <w:rPr>
          <w:rFonts w:hint="eastAsia" w:ascii="宋体" w:hAnsi="宋体" w:cs="宋体"/>
          <w:color w:val="auto"/>
          <w:sz w:val="24"/>
          <w:highlight w:val="none"/>
        </w:rPr>
        <w:t>具质量检验报告。</w:t>
      </w:r>
    </w:p>
    <w:p>
      <w:pPr>
        <w:spacing w:line="400" w:lineRule="exact"/>
        <w:ind w:firstLine="480" w:firstLineChars="200"/>
        <w:rPr>
          <w:rFonts w:ascii="宋体" w:hAnsi="宋体" w:cs="宋体"/>
          <w:color w:val="auto"/>
          <w:sz w:val="24"/>
          <w:highlight w:val="none"/>
        </w:rPr>
      </w:pPr>
      <w:r>
        <w:rPr>
          <w:rFonts w:hint="eastAsia"/>
          <w:color w:val="auto"/>
          <w:sz w:val="24"/>
          <w:highlight w:val="none"/>
        </w:rPr>
        <w:t>9</w:t>
      </w:r>
      <w:r>
        <w:rPr>
          <w:rFonts w:hint="eastAsia" w:ascii="宋体" w:hAnsi="宋体" w:cs="宋体"/>
          <w:color w:val="auto"/>
          <w:sz w:val="24"/>
          <w:highlight w:val="none"/>
        </w:rPr>
        <w:t>.2待全部成果通过质量检验合格后，由甲方根据市领导小组办公室相关管理规定对普查成果进行汇交。</w:t>
      </w:r>
    </w:p>
    <w:p>
      <w:pPr>
        <w:spacing w:line="400" w:lineRule="exact"/>
        <w:ind w:firstLine="480" w:firstLineChars="200"/>
        <w:rPr>
          <w:rFonts w:ascii="宋体" w:hAnsi="宋体" w:cs="宋体"/>
          <w:color w:val="auto"/>
          <w:sz w:val="24"/>
          <w:highlight w:val="none"/>
        </w:rPr>
      </w:pPr>
      <w:r>
        <w:rPr>
          <w:rFonts w:hint="eastAsia"/>
          <w:color w:val="auto"/>
          <w:sz w:val="24"/>
          <w:highlight w:val="none"/>
        </w:rPr>
        <w:t>9</w:t>
      </w:r>
      <w:r>
        <w:rPr>
          <w:rFonts w:hint="eastAsia" w:ascii="宋体" w:hAnsi="宋体" w:cs="宋体"/>
          <w:color w:val="auto"/>
          <w:sz w:val="24"/>
          <w:highlight w:val="none"/>
        </w:rPr>
        <w:t>.3普查成果通过数据整合检查及入库后，项目验收由甲方组织实施，乙方与甲方严格按照《财政部关于进一步加强政府采购需求和履约验收管理的指导意见》（财库〔2016〕205号）的要求进行验收。甲方在验收过程中发现不符合要求或合同约定的事项，乙方应立即予以整改。</w:t>
      </w:r>
    </w:p>
    <w:p>
      <w:pPr>
        <w:rPr>
          <w:b/>
          <w:color w:val="auto"/>
          <w:sz w:val="24"/>
          <w:highlight w:val="none"/>
        </w:rPr>
      </w:pPr>
      <w:r>
        <w:rPr>
          <w:rFonts w:hint="eastAsia"/>
          <w:b/>
          <w:color w:val="auto"/>
          <w:sz w:val="24"/>
          <w:highlight w:val="none"/>
        </w:rPr>
        <w:t xml:space="preserve">10、甲方的义务和权利 </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10.1 指定专人负责与乙方配合和联系工作。</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本项目甲方指定的专人为：袁明权、张振华；</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联系电话：15982033761 13518121242 。</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10.2协助乙方完成本项目成果核验、</w:t>
      </w:r>
      <w:r>
        <w:rPr>
          <w:rFonts w:hint="eastAsia" w:ascii="宋体" w:hAnsi="宋体"/>
          <w:color w:val="auto"/>
          <w:sz w:val="24"/>
          <w:highlight w:val="none"/>
        </w:rPr>
        <w:t>测绘成果</w:t>
      </w:r>
      <w:r>
        <w:rPr>
          <w:rFonts w:hint="eastAsia" w:ascii="宋体" w:hAnsi="宋体" w:cs="宋体"/>
          <w:color w:val="auto"/>
          <w:sz w:val="24"/>
          <w:highlight w:val="none"/>
        </w:rPr>
        <w:t>质检的协调工作。</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10.3 负责对生产技术要求进行解释。</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10.4 对乙方提供成果的商业秘密、技术秘密有保密的义务。</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10.5 按照合同约定的期限和方式向乙方支付合同价款。</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10.6 按本合同内容对乙方的项目实施情况进行监督检查。</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10.7 甲方独自承担本项目成果汇交义务。</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10.8 甲方有权要求乙方更换不能胜任本项目工作的项目负责人、技术负责人或质量负责人。</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10.9 甲方不负责提供控制网未覆盖区域的控制点加密成果。</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10.10 国家法律、法规所规定由甲方承担的其它责任。</w:t>
      </w:r>
    </w:p>
    <w:p>
      <w:pPr>
        <w:rPr>
          <w:b/>
          <w:color w:val="auto"/>
          <w:sz w:val="24"/>
          <w:highlight w:val="none"/>
        </w:rPr>
      </w:pPr>
      <w:r>
        <w:rPr>
          <w:rFonts w:hint="eastAsia"/>
          <w:b/>
          <w:color w:val="auto"/>
          <w:sz w:val="24"/>
          <w:highlight w:val="none"/>
        </w:rPr>
        <w:t>11、乙方的义务和权利</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11.1在约定时限内提交合格成果，并配合甲方组织的成果核验、质检、成果汇交、整合检查、数据入库和验收工作。</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11.2 对甲方提出的项目要求等进行的必要调整和完善意见应积极响应。</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11.3 指定专人（项目负责人、技术负责人和质量负责人）与甲方配合和联系工作，乙方应按甲方要求及时更换不能胜任本项目工作的项目负责人、技术负责人和质量负责人。</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本项目乙方项目负责人：       ,联系电话：。</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本项目乙方技术负责人：       ,联系电话：。</w:t>
      </w:r>
    </w:p>
    <w:p>
      <w:pPr>
        <w:spacing w:line="400" w:lineRule="exact"/>
        <w:ind w:firstLine="424" w:firstLineChars="177"/>
        <w:jc w:val="left"/>
        <w:rPr>
          <w:color w:val="auto"/>
          <w:highlight w:val="none"/>
        </w:rPr>
      </w:pPr>
      <w:r>
        <w:rPr>
          <w:rFonts w:hint="eastAsia" w:ascii="宋体" w:hAnsi="宋体" w:cs="宋体"/>
          <w:color w:val="auto"/>
          <w:sz w:val="24"/>
          <w:highlight w:val="none"/>
        </w:rPr>
        <w:t>本项目乙方质量负责人：       ,联系电话：。</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11.4乙方应参加甲方组织的验收工作，并就项目成果向甲方和验收组作介绍、说明。</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11.5项目进行过程中，乙方项目负责人、技术负责人和质量负责人如需更换，必须向甲方提交书面报告，经甲方同意后方可更换。</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11.6乙方承担其人员、仪器设备等全部安全责任。</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11.7本项目所有资料、成果的所有权归甲方。乙方不承担本项目汇交义务。乙方对本项目所有的成果资料具有保密的义务，不得以任何形式向第三方提供和泄露，不得利用本项目成果资料生产其它任何形式的产品，本项目终止时应将所有资料移交给甲方，不得作任何形式的保留。</w:t>
      </w:r>
    </w:p>
    <w:p>
      <w:pPr>
        <w:spacing w:line="400" w:lineRule="exact"/>
        <w:ind w:firstLine="424" w:firstLineChars="177"/>
        <w:jc w:val="left"/>
        <w:rPr>
          <w:rFonts w:ascii="宋体" w:hAnsi="宋体" w:cs="宋体"/>
          <w:color w:val="auto"/>
          <w:sz w:val="24"/>
          <w:highlight w:val="none"/>
        </w:rPr>
      </w:pPr>
      <w:r>
        <w:rPr>
          <w:rFonts w:hint="eastAsia" w:ascii="宋体" w:hAnsi="宋体" w:cs="宋体"/>
          <w:color w:val="auto"/>
          <w:sz w:val="24"/>
          <w:highlight w:val="none"/>
        </w:rPr>
        <w:t>11.8 若乙方及乙方人员在履行合同过程中，造成甲方或任何第三方人身或财产损害，导致甲方向其员工或任何第三方承担法律责任的，甲方有权向乙方追偿。</w:t>
      </w:r>
    </w:p>
    <w:p>
      <w:pPr>
        <w:tabs>
          <w:tab w:val="left" w:pos="7560"/>
        </w:tabs>
        <w:adjustRightInd w:val="0"/>
        <w:snapToGrid w:val="0"/>
        <w:spacing w:line="400" w:lineRule="exact"/>
        <w:ind w:firstLine="480" w:firstLineChars="200"/>
        <w:rPr>
          <w:rFonts w:ascii="宋体" w:hAnsi="宋体"/>
          <w:i/>
          <w:color w:val="auto"/>
          <w:sz w:val="24"/>
          <w:highlight w:val="none"/>
        </w:rPr>
      </w:pPr>
      <w:r>
        <w:rPr>
          <w:rFonts w:hint="eastAsia" w:ascii="宋体" w:hAnsi="宋体" w:cs="宋体"/>
          <w:color w:val="auto"/>
          <w:sz w:val="24"/>
          <w:highlight w:val="none"/>
        </w:rPr>
        <w:t>11</w:t>
      </w:r>
      <w:r>
        <w:rPr>
          <w:rFonts w:hint="eastAsia" w:ascii="宋体" w:hAnsi="宋体"/>
          <w:color w:val="auto"/>
          <w:sz w:val="24"/>
          <w:highlight w:val="none"/>
        </w:rPr>
        <w:t>.9</w:t>
      </w:r>
      <w:r>
        <w:rPr>
          <w:rFonts w:hint="eastAsia" w:ascii="宋体" w:hAnsi="宋体" w:cs="宋体"/>
          <w:color w:val="auto"/>
          <w:sz w:val="24"/>
          <w:highlight w:val="none"/>
        </w:rPr>
        <w:t>乙方</w:t>
      </w:r>
      <w:r>
        <w:rPr>
          <w:rFonts w:ascii="宋体" w:hAnsi="宋体"/>
          <w:color w:val="auto"/>
          <w:sz w:val="24"/>
          <w:highlight w:val="none"/>
        </w:rPr>
        <w:t>需要有完整的技术支持体系和售后服务体系，</w:t>
      </w:r>
      <w:r>
        <w:rPr>
          <w:rFonts w:hint="eastAsia" w:ascii="宋体" w:hAnsi="宋体" w:cs="宋体"/>
          <w:color w:val="auto"/>
          <w:sz w:val="24"/>
          <w:highlight w:val="none"/>
        </w:rPr>
        <w:t>乙方</w:t>
      </w:r>
      <w:r>
        <w:rPr>
          <w:rFonts w:ascii="宋体" w:hAnsi="宋体"/>
          <w:color w:val="auto"/>
          <w:sz w:val="24"/>
          <w:highlight w:val="none"/>
        </w:rPr>
        <w:t>须为本项目提供一年的免费维护（维护日期从</w:t>
      </w:r>
      <w:r>
        <w:rPr>
          <w:rFonts w:hint="eastAsia" w:ascii="宋体" w:hAnsi="宋体"/>
          <w:color w:val="auto"/>
          <w:sz w:val="24"/>
          <w:highlight w:val="none"/>
        </w:rPr>
        <w:t>项目</w:t>
      </w:r>
      <w:r>
        <w:rPr>
          <w:rFonts w:hint="eastAsia" w:ascii="宋体" w:hAnsi="宋体" w:cs="宋体"/>
          <w:color w:val="auto"/>
          <w:sz w:val="24"/>
          <w:highlight w:val="none"/>
        </w:rPr>
        <w:t>验收</w:t>
      </w:r>
      <w:r>
        <w:rPr>
          <w:rFonts w:ascii="宋体" w:hAnsi="宋体"/>
          <w:color w:val="auto"/>
          <w:sz w:val="24"/>
          <w:highlight w:val="none"/>
        </w:rPr>
        <w:t>之日起计算）；维护内容为</w:t>
      </w:r>
      <w:r>
        <w:rPr>
          <w:rFonts w:hint="eastAsia" w:ascii="宋体" w:hAnsi="宋体" w:cs="宋体"/>
          <w:color w:val="auto"/>
          <w:sz w:val="24"/>
          <w:highlight w:val="none"/>
        </w:rPr>
        <w:t>甲方</w:t>
      </w:r>
      <w:r>
        <w:rPr>
          <w:rFonts w:ascii="宋体" w:hAnsi="宋体"/>
          <w:color w:val="auto"/>
          <w:sz w:val="24"/>
          <w:highlight w:val="none"/>
        </w:rPr>
        <w:t>所提供的全部成果资料。</w:t>
      </w:r>
    </w:p>
    <w:p>
      <w:pPr>
        <w:tabs>
          <w:tab w:val="left" w:pos="7560"/>
        </w:tabs>
        <w:adjustRightInd w:val="0"/>
        <w:snapToGrid w:val="0"/>
        <w:spacing w:line="400" w:lineRule="exact"/>
        <w:ind w:firstLine="480" w:firstLineChars="200"/>
        <w:rPr>
          <w:rFonts w:ascii="宋体" w:hAnsi="宋体"/>
          <w:i/>
          <w:color w:val="auto"/>
          <w:sz w:val="24"/>
          <w:highlight w:val="none"/>
        </w:rPr>
      </w:pPr>
      <w:r>
        <w:rPr>
          <w:rFonts w:hint="eastAsia" w:ascii="宋体" w:hAnsi="宋体"/>
          <w:color w:val="auto"/>
          <w:sz w:val="24"/>
          <w:highlight w:val="none"/>
        </w:rPr>
        <w:t>1.</w:t>
      </w:r>
      <w:r>
        <w:rPr>
          <w:rFonts w:ascii="宋体" w:hAnsi="宋体"/>
          <w:color w:val="auto"/>
          <w:sz w:val="24"/>
          <w:highlight w:val="none"/>
        </w:rPr>
        <w:t>为保证技术支持和售后服务工作的有效进行，要求参与技术支持和售后服务人员应具备下列基本条件：</w:t>
      </w:r>
    </w:p>
    <w:p>
      <w:pPr>
        <w:tabs>
          <w:tab w:val="left" w:pos="7560"/>
        </w:tabs>
        <w:adjustRightInd w:val="0"/>
        <w:snapToGrid w:val="0"/>
        <w:spacing w:line="400" w:lineRule="exact"/>
        <w:ind w:firstLine="480" w:firstLineChars="200"/>
        <w:rPr>
          <w:rFonts w:ascii="宋体" w:hAnsi="宋体"/>
          <w:i/>
          <w:color w:val="auto"/>
          <w:sz w:val="24"/>
          <w:highlight w:val="none"/>
        </w:rPr>
      </w:pPr>
      <w:r>
        <w:rPr>
          <w:rFonts w:ascii="宋体" w:hAnsi="宋体"/>
          <w:color w:val="auto"/>
          <w:sz w:val="24"/>
          <w:highlight w:val="none"/>
        </w:rPr>
        <w:t>（1）主要负责人参与了本项目的</w:t>
      </w:r>
      <w:r>
        <w:rPr>
          <w:rFonts w:hint="eastAsia" w:ascii="宋体" w:hAnsi="宋体"/>
          <w:color w:val="auto"/>
          <w:sz w:val="24"/>
          <w:highlight w:val="none"/>
        </w:rPr>
        <w:t>地下管线</w:t>
      </w:r>
      <w:r>
        <w:rPr>
          <w:rFonts w:ascii="宋体" w:hAnsi="宋体"/>
          <w:color w:val="auto"/>
          <w:sz w:val="24"/>
          <w:highlight w:val="none"/>
        </w:rPr>
        <w:t>普查工作；</w:t>
      </w:r>
    </w:p>
    <w:p>
      <w:pPr>
        <w:tabs>
          <w:tab w:val="left" w:pos="7560"/>
        </w:tabs>
        <w:adjustRightInd w:val="0"/>
        <w:snapToGrid w:val="0"/>
        <w:spacing w:line="400" w:lineRule="exact"/>
        <w:ind w:firstLine="480" w:firstLineChars="200"/>
        <w:rPr>
          <w:rFonts w:ascii="宋体" w:hAnsi="宋体"/>
          <w:i/>
          <w:color w:val="auto"/>
          <w:sz w:val="24"/>
          <w:highlight w:val="none"/>
        </w:rPr>
      </w:pPr>
      <w:r>
        <w:rPr>
          <w:rFonts w:ascii="宋体" w:hAnsi="宋体"/>
          <w:color w:val="auto"/>
          <w:sz w:val="24"/>
          <w:highlight w:val="none"/>
        </w:rPr>
        <w:t>（2）熟练掌握本项目的相关技术。</w:t>
      </w:r>
    </w:p>
    <w:p>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2.在一年的免费维护期内</w:t>
      </w:r>
      <w:r>
        <w:rPr>
          <w:rFonts w:ascii="宋体" w:hAnsi="宋体"/>
          <w:color w:val="auto"/>
          <w:sz w:val="24"/>
          <w:highlight w:val="none"/>
        </w:rPr>
        <w:t>提供</w:t>
      </w:r>
      <w:r>
        <w:rPr>
          <w:rFonts w:hint="eastAsia" w:ascii="宋体" w:hAnsi="宋体"/>
          <w:color w:val="auto"/>
          <w:sz w:val="24"/>
          <w:highlight w:val="none"/>
        </w:rPr>
        <w:t>每日12</w:t>
      </w:r>
      <w:r>
        <w:rPr>
          <w:rFonts w:ascii="宋体" w:hAnsi="宋体"/>
          <w:color w:val="auto"/>
          <w:sz w:val="24"/>
          <w:highlight w:val="none"/>
        </w:rPr>
        <w:t>小时服务和技术支持。对</w:t>
      </w:r>
      <w:r>
        <w:rPr>
          <w:rFonts w:hint="eastAsia" w:ascii="宋体" w:hAnsi="宋体" w:cs="宋体"/>
          <w:color w:val="auto"/>
          <w:sz w:val="24"/>
          <w:highlight w:val="none"/>
        </w:rPr>
        <w:t>甲方</w:t>
      </w:r>
      <w:r>
        <w:rPr>
          <w:rFonts w:ascii="宋体" w:hAnsi="宋体"/>
          <w:color w:val="auto"/>
          <w:sz w:val="24"/>
          <w:highlight w:val="none"/>
        </w:rPr>
        <w:t>的服务通知，在接报后1小时内响应。电话或远程无法解决的问题必须到达现场处理的，交通及其它费用由</w:t>
      </w:r>
      <w:r>
        <w:rPr>
          <w:rFonts w:hint="eastAsia" w:ascii="宋体" w:hAnsi="宋体" w:cs="宋体"/>
          <w:color w:val="auto"/>
          <w:sz w:val="24"/>
          <w:highlight w:val="none"/>
        </w:rPr>
        <w:t>乙方</w:t>
      </w:r>
      <w:r>
        <w:rPr>
          <w:rFonts w:ascii="宋体" w:hAnsi="宋体"/>
          <w:color w:val="auto"/>
          <w:sz w:val="24"/>
          <w:highlight w:val="none"/>
        </w:rPr>
        <w:t>负责。</w:t>
      </w:r>
    </w:p>
    <w:p>
      <w:pPr>
        <w:pStyle w:val="2"/>
        <w:rPr>
          <w:color w:val="auto"/>
          <w:highlight w:val="none"/>
        </w:rPr>
      </w:pPr>
      <w:r>
        <w:rPr>
          <w:rFonts w:hint="eastAsia"/>
          <w:color w:val="auto"/>
          <w:highlight w:val="none"/>
        </w:rPr>
        <w:t xml:space="preserve">          </w:t>
      </w:r>
      <w:r>
        <w:rPr>
          <w:rFonts w:hint="eastAsia" w:ascii="宋体" w:hAnsi="宋体"/>
          <w:color w:val="auto"/>
          <w:sz w:val="24"/>
          <w:highlight w:val="none"/>
        </w:rPr>
        <w:t>3. 负责解决已有控制网未覆盖区域的控制点加密成果问题，以保障成果能汇交。</w:t>
      </w:r>
    </w:p>
    <w:p>
      <w:pPr>
        <w:rPr>
          <w:b/>
          <w:color w:val="auto"/>
          <w:sz w:val="24"/>
          <w:highlight w:val="none"/>
        </w:rPr>
      </w:pPr>
      <w:r>
        <w:rPr>
          <w:rFonts w:hint="eastAsia"/>
          <w:b/>
          <w:color w:val="auto"/>
          <w:sz w:val="24"/>
          <w:highlight w:val="none"/>
        </w:rPr>
        <w:t>12、甲方违约责任</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12.1 如果甲方未按合同要求支付乙方合同价款，则甲方应以应付而未付价款基数按同期全国银行间同业拆借中心公布的贷款市场报价利率向乙方支付违约金。</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12.2由于甲方（或甲方认可的第三方）原因导致乙方未能按期完成项目的，则工期顺延，但顺延时间不能超过甲方（或甲方认可的第三方）原因所影响的时间。因不可抗力因素导致本合同终止，甲方不负违约责任。 </w:t>
      </w:r>
    </w:p>
    <w:p>
      <w:pPr>
        <w:rPr>
          <w:b/>
          <w:color w:val="auto"/>
          <w:sz w:val="24"/>
          <w:highlight w:val="none"/>
        </w:rPr>
      </w:pPr>
      <w:r>
        <w:rPr>
          <w:rFonts w:hint="eastAsia"/>
          <w:b/>
          <w:color w:val="auto"/>
          <w:sz w:val="24"/>
          <w:highlight w:val="none"/>
        </w:rPr>
        <w:t xml:space="preserve">13、乙方违约责任 </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13.1 合同签订后，由于乙方原因而终止合同的，乙方应退还甲方所有资料和已付款项，并按合同总金额的</w:t>
      </w:r>
      <w:r>
        <w:rPr>
          <w:rFonts w:hint="eastAsia" w:ascii="宋体" w:hAnsi="宋体" w:cs="宋体"/>
          <w:color w:val="auto"/>
          <w:sz w:val="24"/>
          <w:highlight w:val="none"/>
          <w:u w:val="single"/>
        </w:rPr>
        <w:t xml:space="preserve">20% </w:t>
      </w:r>
      <w:r>
        <w:rPr>
          <w:rFonts w:hint="eastAsia" w:ascii="宋体" w:hAnsi="宋体" w:cs="宋体"/>
          <w:color w:val="auto"/>
          <w:sz w:val="24"/>
          <w:highlight w:val="none"/>
        </w:rPr>
        <w:t>向甲方支付违约金。</w:t>
      </w:r>
    </w:p>
    <w:p>
      <w:pPr>
        <w:ind w:firstLine="480" w:firstLineChars="200"/>
        <w:rPr>
          <w:rFonts w:ascii="宋体" w:hAnsi="宋体" w:cs="宋体"/>
          <w:color w:val="auto"/>
          <w:sz w:val="24"/>
          <w:highlight w:val="none"/>
        </w:rPr>
      </w:pPr>
      <w:r>
        <w:rPr>
          <w:rFonts w:hint="eastAsia" w:ascii="宋体" w:hAnsi="宋体" w:cs="宋体"/>
          <w:color w:val="auto"/>
          <w:sz w:val="24"/>
          <w:highlight w:val="none"/>
        </w:rPr>
        <w:t>13.2乙方未能按合同规定的日期提交成果时，乙方应向甲方支付延期损失费，每天的延期损失费按合同总金额的</w:t>
      </w:r>
      <w:r>
        <w:rPr>
          <w:rFonts w:hint="eastAsia" w:ascii="宋体" w:hAnsi="宋体" w:cs="宋体"/>
          <w:color w:val="auto"/>
          <w:sz w:val="24"/>
          <w:highlight w:val="none"/>
          <w:u w:val="single"/>
        </w:rPr>
        <w:t xml:space="preserve"> 0.3</w:t>
      </w:r>
      <w:r>
        <w:rPr>
          <w:rFonts w:hint="eastAsia" w:ascii="宋体" w:hAnsi="宋体" w:cs="宋体"/>
          <w:color w:val="auto"/>
          <w:sz w:val="24"/>
          <w:highlight w:val="none"/>
        </w:rPr>
        <w:t>‰ 计算。</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13.3因乙方原因, 提交的成果未能通过首次检验的,重复检验的费用由乙方承担。因质检不合格造成延期的，按13.2条处理，延期天数不计质检时间。</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13.4乙方成果提交延期三个月以上的，甲方有权视情况解除合同，要求乙方全额退还已收款项，按合同总金额的</w:t>
      </w:r>
      <w:r>
        <w:rPr>
          <w:rFonts w:hint="eastAsia" w:ascii="宋体" w:hAnsi="宋体" w:cs="宋体"/>
          <w:color w:val="auto"/>
          <w:sz w:val="24"/>
          <w:highlight w:val="none"/>
          <w:u w:val="single"/>
        </w:rPr>
        <w:t>20%</w:t>
      </w:r>
      <w:r>
        <w:rPr>
          <w:rFonts w:hint="eastAsia" w:ascii="宋体" w:hAnsi="宋体" w:cs="宋体"/>
          <w:color w:val="auto"/>
          <w:sz w:val="24"/>
          <w:highlight w:val="none"/>
        </w:rPr>
        <w:t>向甲方支付违约金，并追究相关责任。</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13.5乙方违反本合同第11.7条约定的，甲方有权要求乙方全额退还已收款项，按合同总金额的</w:t>
      </w:r>
      <w:r>
        <w:rPr>
          <w:rFonts w:hint="eastAsia" w:ascii="宋体" w:hAnsi="宋体" w:cs="宋体"/>
          <w:color w:val="auto"/>
          <w:sz w:val="24"/>
          <w:highlight w:val="none"/>
          <w:u w:val="single"/>
        </w:rPr>
        <w:t xml:space="preserve">20% </w:t>
      </w:r>
      <w:r>
        <w:rPr>
          <w:rFonts w:hint="eastAsia" w:ascii="宋体" w:hAnsi="宋体" w:cs="宋体"/>
          <w:color w:val="auto"/>
          <w:sz w:val="24"/>
          <w:highlight w:val="none"/>
        </w:rPr>
        <w:t>向甲方赔偿损失，甲方并有权向乙方追究其法律责任。</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13.6项目进行过程中，乙方未经甲方同意擅自更换项目负责人或技术负责人的，每人次乙方应偿付本合同有效期内合同总金额</w:t>
      </w:r>
      <w:r>
        <w:rPr>
          <w:rFonts w:hint="eastAsia" w:ascii="宋体" w:hAnsi="宋体" w:cs="宋体"/>
          <w:color w:val="auto"/>
          <w:sz w:val="24"/>
          <w:highlight w:val="none"/>
          <w:u w:val="single"/>
        </w:rPr>
        <w:t>1%</w:t>
      </w:r>
      <w:r>
        <w:rPr>
          <w:rFonts w:hint="eastAsia" w:ascii="宋体" w:hAnsi="宋体" w:cs="宋体"/>
          <w:color w:val="auto"/>
          <w:sz w:val="24"/>
          <w:highlight w:val="none"/>
        </w:rPr>
        <w:t>的违约金。</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13.7如乙方擅自更换项目负责人或技术负责人超过2次或经甲方要求后仍未整改的，甲方有权解除合同，乙方需支付合同总金额2</w:t>
      </w:r>
      <w:r>
        <w:rPr>
          <w:rFonts w:ascii="宋体" w:hAnsi="宋体"/>
          <w:color w:val="auto"/>
          <w:sz w:val="24"/>
          <w:szCs w:val="24"/>
          <w:highlight w:val="none"/>
        </w:rPr>
        <w:t>0</w:t>
      </w:r>
      <w:r>
        <w:rPr>
          <w:rFonts w:hint="eastAsia" w:ascii="宋体" w:hAnsi="宋体"/>
          <w:color w:val="auto"/>
          <w:sz w:val="24"/>
          <w:szCs w:val="24"/>
          <w:highlight w:val="none"/>
        </w:rPr>
        <w:t>%的违约金。</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13.8乙方在核验、质检及验收过程中未按甲方要求进行整改的，每逾期一日应按合同总金额0.3‰支付违约金；逾期十日的，甲方有权解除合同，乙方应向甲方支付合同总金额20%的违约金。</w:t>
      </w:r>
    </w:p>
    <w:p>
      <w:pPr>
        <w:pStyle w:val="2"/>
        <w:ind w:firstLine="480" w:firstLineChars="200"/>
        <w:rPr>
          <w:rFonts w:ascii="宋体" w:hAnsi="宋体" w:cs="宋体"/>
          <w:color w:val="auto"/>
          <w:kern w:val="2"/>
          <w:sz w:val="24"/>
          <w:szCs w:val="22"/>
          <w:highlight w:val="none"/>
        </w:rPr>
      </w:pPr>
      <w:r>
        <w:rPr>
          <w:rFonts w:hint="eastAsia" w:ascii="宋体" w:hAnsi="宋体" w:cs="宋体"/>
          <w:color w:val="auto"/>
          <w:kern w:val="2"/>
          <w:sz w:val="24"/>
          <w:szCs w:val="22"/>
          <w:highlight w:val="none"/>
        </w:rPr>
        <w:t>13.9乙方未按甲方要求按时参与甲方组织的成果核验、质检、成果汇交、整合检查、数据入库和验收工作的，每次应向甲方支付合同总金额的1%元的违约金；累计达三次及以上的，甲方有权解除合同，乙方需支付合同总金额20%的违约金。</w:t>
      </w:r>
    </w:p>
    <w:p>
      <w:pPr>
        <w:pStyle w:val="3"/>
        <w:ind w:firstLine="480" w:firstLineChars="200"/>
        <w:rPr>
          <w:color w:val="auto"/>
          <w:highlight w:val="none"/>
        </w:rPr>
      </w:pPr>
      <w:r>
        <w:rPr>
          <w:rFonts w:hint="eastAsia" w:ascii="宋体" w:hAnsi="宋体"/>
          <w:color w:val="auto"/>
          <w:sz w:val="24"/>
          <w:szCs w:val="24"/>
          <w:highlight w:val="none"/>
        </w:rPr>
        <w:t>13.10乙方在免费维护期内未按约定及甲方要求及时响应的，每次应向甲方</w:t>
      </w:r>
      <w:r>
        <w:rPr>
          <w:rFonts w:hint="eastAsia" w:ascii="宋体" w:hAnsi="宋体" w:cs="宋体"/>
          <w:color w:val="auto"/>
          <w:kern w:val="2"/>
          <w:sz w:val="24"/>
          <w:szCs w:val="22"/>
          <w:highlight w:val="none"/>
        </w:rPr>
        <w:t>支付合同总金额的1%元的</w:t>
      </w:r>
      <w:r>
        <w:rPr>
          <w:rFonts w:hint="eastAsia" w:ascii="宋体" w:hAnsi="宋体"/>
          <w:color w:val="auto"/>
          <w:sz w:val="24"/>
          <w:szCs w:val="24"/>
          <w:highlight w:val="none"/>
        </w:rPr>
        <w:t>违约金。如甲方委托第三方进行维护的，相应费用由乙方承担。</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13.11乙方应当支付的违约金、延期损失费及应当赔偿的损失，甲方有权从未支付款项（进度款和尾款）中予以扣除。</w:t>
      </w:r>
    </w:p>
    <w:p>
      <w:pPr>
        <w:pStyle w:val="2"/>
        <w:rPr>
          <w:color w:val="auto"/>
          <w:highlight w:val="none"/>
        </w:rPr>
      </w:pPr>
    </w:p>
    <w:p>
      <w:pPr>
        <w:rPr>
          <w:b/>
          <w:color w:val="auto"/>
          <w:sz w:val="24"/>
          <w:highlight w:val="none"/>
        </w:rPr>
      </w:pPr>
      <w:bookmarkStart w:id="442" w:name="_Toc3828137"/>
      <w:r>
        <w:rPr>
          <w:rFonts w:hint="eastAsia"/>
          <w:b/>
          <w:color w:val="auto"/>
          <w:sz w:val="24"/>
          <w:highlight w:val="none"/>
        </w:rPr>
        <w:t>14、合同的变更和修改、中止和终止</w:t>
      </w:r>
      <w:bookmarkEnd w:id="442"/>
    </w:p>
    <w:p>
      <w:pPr>
        <w:spacing w:line="400" w:lineRule="exact"/>
        <w:ind w:firstLine="480" w:firstLineChars="200"/>
        <w:rPr>
          <w:rFonts w:ascii="宋体" w:hAnsi="宋体" w:cs="宋体"/>
          <w:color w:val="auto"/>
          <w:sz w:val="24"/>
          <w:highlight w:val="none"/>
        </w:rPr>
      </w:pPr>
      <w:bookmarkStart w:id="443" w:name="_Toc223749406"/>
      <w:bookmarkStart w:id="444" w:name="_Toc233048261"/>
      <w:bookmarkStart w:id="445" w:name="_Toc244407206"/>
      <w:bookmarkStart w:id="446" w:name="_Toc87071014"/>
      <w:r>
        <w:rPr>
          <w:rFonts w:hint="eastAsia" w:ascii="宋体" w:hAnsi="宋体" w:cs="宋体"/>
          <w:color w:val="auto"/>
          <w:sz w:val="24"/>
          <w:highlight w:val="none"/>
        </w:rPr>
        <w:t>14.1本合同一经生效，合同双方均不得擅自对本合同的内容作任何单方的修改。但任何一方均可以对合同内容以书面形式提出变更、修改、取消或补充的建议，经双方同意后，由双方法人代表或委托代理人（须经法定表人书面授权委托）签字后生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14.2如遇政府采购任务取消，甲方有权取消、中止或终止合同；如果甲方认定乙方在竞标或执行合同中有腐败或欺诈行为，投入的相关人员和仪器设备弄虚作假的，甲方有权在任何时候发出书面通知终止合同，并不承担任何责任。</w:t>
      </w:r>
    </w:p>
    <w:p>
      <w:pPr>
        <w:spacing w:line="400" w:lineRule="exact"/>
        <w:ind w:firstLine="480" w:firstLineChars="200"/>
        <w:rPr>
          <w:rFonts w:ascii="宋体" w:hAnsi="宋体" w:cs="宋体"/>
          <w:color w:val="auto"/>
          <w:sz w:val="24"/>
          <w:highlight w:val="none"/>
        </w:rPr>
      </w:pPr>
      <w:bookmarkStart w:id="447" w:name="_Toc3828138"/>
      <w:r>
        <w:rPr>
          <w:rFonts w:hint="eastAsia" w:ascii="宋体" w:hAnsi="宋体" w:cs="宋体"/>
          <w:color w:val="auto"/>
          <w:sz w:val="24"/>
          <w:highlight w:val="none"/>
        </w:rPr>
        <w:t>14.3甲方因乙方不履约或乙方其他原因而解除合同的，乙方须返还甲方所有已付款项、赔偿甲方由此产生的损失并承担其他相关责任。</w:t>
      </w:r>
      <w:bookmarkEnd w:id="447"/>
    </w:p>
    <w:p>
      <w:pPr>
        <w:rPr>
          <w:b/>
          <w:color w:val="auto"/>
          <w:sz w:val="24"/>
          <w:highlight w:val="none"/>
        </w:rPr>
      </w:pPr>
      <w:bookmarkStart w:id="448" w:name="_Toc3828139"/>
      <w:r>
        <w:rPr>
          <w:rFonts w:hint="eastAsia"/>
          <w:b/>
          <w:color w:val="auto"/>
          <w:sz w:val="24"/>
          <w:highlight w:val="none"/>
        </w:rPr>
        <w:t>15、不可抗力</w:t>
      </w:r>
      <w:bookmarkEnd w:id="448"/>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15.1不可抗力是指合同签字后发生的非甲乙双方所能控制的、并非合同方过失的、无法中止的、不能预防的事件。合同双方中的任何一方，由于不可抗力事件而影响合同义务的执行时，则延迟履行合同义务的期限相当于不可抗力事件影响的时间，但是不能因为不可抗力的延迟而调整合同价格。</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15.2受到不可抗力影响的一方应在不可抗力事故发生后，尽快将所发生的不可抗力事件的情况以传真或电报通知另一方，并尽快取得另一方审阅确认，受影响的一方同时应尽量设法缩小这种影响和由此而引起的延误，一旦不可抗力的影响消除后，应将此情况立即通知对方。</w:t>
      </w:r>
    </w:p>
    <w:bookmarkEnd w:id="443"/>
    <w:bookmarkEnd w:id="444"/>
    <w:bookmarkEnd w:id="445"/>
    <w:bookmarkEnd w:id="446"/>
    <w:p>
      <w:pPr>
        <w:rPr>
          <w:b/>
          <w:color w:val="auto"/>
          <w:sz w:val="24"/>
          <w:highlight w:val="none"/>
        </w:rPr>
      </w:pPr>
      <w:bookmarkStart w:id="449" w:name="_Toc3828140"/>
      <w:r>
        <w:rPr>
          <w:rFonts w:hint="eastAsia"/>
          <w:b/>
          <w:color w:val="auto"/>
          <w:sz w:val="24"/>
          <w:highlight w:val="none"/>
        </w:rPr>
        <w:t>16、争议的解决方式</w:t>
      </w:r>
      <w:bookmarkEnd w:id="449"/>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16.1 本合同适用法律为中华人民共和国法律。</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16.2凡与本合同有关的一切争议，甲乙双方应通过友好协商解决。如经协商后仍不能达成协议时，任何一方都有权向合同签订地人民法院诉讼。</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16.3诉讼结果对双方都有约束力，双方应遵照执行。</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16.4上述过程发生的费用，除诉讼结果另有规定外，应由败诉方承担。</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16.5在进行诉讼期间，除提交诉讼的事项外，合同仍应继续履行。</w:t>
      </w:r>
    </w:p>
    <w:p>
      <w:pPr>
        <w:rPr>
          <w:b/>
          <w:color w:val="auto"/>
          <w:sz w:val="24"/>
          <w:highlight w:val="none"/>
        </w:rPr>
      </w:pPr>
      <w:r>
        <w:rPr>
          <w:rFonts w:hint="eastAsia"/>
          <w:b/>
          <w:color w:val="auto"/>
          <w:sz w:val="24"/>
          <w:highlight w:val="none"/>
        </w:rPr>
        <w:t>17、通知送达</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17.1乙方确认合同联系方式如下：</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联系人：       联系地址：       电子邮箱：       电话：</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甲方对乙方的通知可以向乙方直接送达，也可以采用下列任何一种方式向乙方进行送达；如涉及诉讼，法院也可以采用下列任何一种方式向乙方送达诉讼文书；对此，乙方均予以认可：</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（1）甲方可通过邮寄方式送达，乙方在本合同中明确的联系地址、乙方工商注册住所或户籍所在地的住所，均为有效的送达地址，甲方向任一地址发出邮件后三日（四川省以外为五日）即视为送达；</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（2）甲方可通过传真、联系电话、电子邮箱、微信等方式送达，发出的当日即视为送达。</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（3）甲方可以采取在报纸上刊登公告的形式送达，在公告刊登后三日即视为送达。</w:t>
      </w:r>
    </w:p>
    <w:p>
      <w:pPr>
        <w:rPr>
          <w:b/>
          <w:color w:val="auto"/>
          <w:sz w:val="24"/>
          <w:highlight w:val="none"/>
        </w:rPr>
      </w:pPr>
      <w:r>
        <w:rPr>
          <w:rFonts w:hint="eastAsia"/>
          <w:b/>
          <w:color w:val="auto"/>
          <w:sz w:val="24"/>
          <w:highlight w:val="none"/>
        </w:rPr>
        <w:t>18、合同生效及其它事项</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18.1 本合同一式份,甲方执份，乙方执份，具有同等的法律效力。</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18.2本合同经双方法定代表人或授权代表签字并盖章后生效。全部成果交接完毕和费用结算完成后，本合同终止。</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18.3 其它未尽事宜由甲乙双方共同协商签订补充协议。  </w:t>
      </w:r>
    </w:p>
    <w:p>
      <w:pPr>
        <w:spacing w:line="400" w:lineRule="exact"/>
        <w:ind w:firstLine="480" w:firstLineChars="200"/>
        <w:rPr>
          <w:rFonts w:ascii="宋体" w:hAnsi="宋体" w:cs="宋体"/>
          <w:color w:val="auto"/>
          <w:sz w:val="24"/>
          <w:highlight w:val="none"/>
        </w:rPr>
      </w:pPr>
    </w:p>
    <w:p>
      <w:pPr>
        <w:spacing w:line="400" w:lineRule="exact"/>
        <w:rPr>
          <w:rFonts w:ascii="宋体" w:hAnsi="宋体" w:cs="宋体"/>
          <w:color w:val="auto"/>
          <w:sz w:val="24"/>
          <w:highlight w:val="none"/>
        </w:rPr>
      </w:pPr>
    </w:p>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（以下无正文，为签署区）</w:t>
      </w:r>
    </w:p>
    <w:p>
      <w:pPr>
        <w:spacing w:line="400" w:lineRule="exact"/>
        <w:rPr>
          <w:rFonts w:ascii="宋体" w:hAnsi="宋体" w:cs="宋体"/>
          <w:color w:val="auto"/>
          <w:sz w:val="24"/>
          <w:highlight w:val="none"/>
        </w:rPr>
      </w:pPr>
    </w:p>
    <w:p>
      <w:pPr>
        <w:spacing w:line="400" w:lineRule="exact"/>
        <w:rPr>
          <w:rFonts w:ascii="宋体" w:hAnsi="宋体" w:cs="宋体"/>
          <w:color w:val="auto"/>
          <w:sz w:val="24"/>
          <w:highlight w:val="none"/>
        </w:rPr>
      </w:pPr>
      <w:r>
        <w:rPr>
          <w:rFonts w:hint="eastAsia" w:ascii="宋体" w:hAnsi="宋体" w:cs="宋体"/>
          <w:color w:val="auto"/>
          <w:sz w:val="24"/>
          <w:highlight w:val="none"/>
        </w:rPr>
        <w:t xml:space="preserve">甲 方：                               乙 方： </w:t>
      </w:r>
    </w:p>
    <w:p>
      <w:pPr>
        <w:spacing w:line="400" w:lineRule="exact"/>
        <w:rPr>
          <w:rFonts w:ascii="宋体" w:hAnsi="宋体" w:cs="宋体"/>
          <w:color w:val="auto"/>
          <w:sz w:val="24"/>
          <w:highlight w:val="none"/>
        </w:rPr>
      </w:pPr>
      <w:r>
        <w:rPr>
          <w:rFonts w:hint="eastAsia" w:ascii="宋体" w:hAnsi="宋体" w:cs="宋体"/>
          <w:color w:val="auto"/>
          <w:sz w:val="24"/>
          <w:highlight w:val="none"/>
        </w:rPr>
        <w:t>（印章）：                           （印章）：</w:t>
      </w:r>
    </w:p>
    <w:p>
      <w:pPr>
        <w:spacing w:line="400" w:lineRule="exact"/>
        <w:rPr>
          <w:rFonts w:ascii="宋体" w:hAnsi="宋体" w:cs="宋体"/>
          <w:color w:val="auto"/>
          <w:sz w:val="24"/>
          <w:highlight w:val="none"/>
        </w:rPr>
      </w:pPr>
      <w:r>
        <w:rPr>
          <w:rFonts w:hint="eastAsia" w:ascii="宋体" w:hAnsi="宋体" w:cs="宋体"/>
          <w:color w:val="auto"/>
          <w:sz w:val="24"/>
          <w:highlight w:val="none"/>
        </w:rPr>
        <w:t>法定代表人（或委托代理人）：          法定代表人（或委托代理人）：</w:t>
      </w:r>
    </w:p>
    <w:p>
      <w:pPr>
        <w:spacing w:line="400" w:lineRule="exact"/>
        <w:rPr>
          <w:rFonts w:ascii="宋体" w:hAnsi="宋体" w:cs="宋体"/>
          <w:color w:val="auto"/>
          <w:sz w:val="24"/>
          <w:highlight w:val="none"/>
        </w:rPr>
      </w:pPr>
      <w:r>
        <w:rPr>
          <w:rFonts w:hint="eastAsia" w:ascii="宋体" w:hAnsi="宋体" w:cs="宋体"/>
          <w:color w:val="auto"/>
          <w:sz w:val="24"/>
          <w:highlight w:val="none"/>
        </w:rPr>
        <w:t xml:space="preserve">地址：                               地址： </w:t>
      </w:r>
    </w:p>
    <w:p>
      <w:pPr>
        <w:spacing w:line="400" w:lineRule="exact"/>
        <w:rPr>
          <w:rFonts w:ascii="宋体" w:hAnsi="宋体" w:cs="宋体"/>
          <w:color w:val="auto"/>
          <w:sz w:val="24"/>
          <w:highlight w:val="none"/>
        </w:rPr>
      </w:pPr>
      <w:r>
        <w:rPr>
          <w:rFonts w:hint="eastAsia" w:ascii="宋体" w:hAnsi="宋体" w:cs="宋体"/>
          <w:color w:val="auto"/>
          <w:sz w:val="24"/>
          <w:highlight w:val="none"/>
        </w:rPr>
        <w:t>邮政编码：                           邮政编码：</w:t>
      </w:r>
    </w:p>
    <w:p>
      <w:pPr>
        <w:spacing w:line="400" w:lineRule="exact"/>
        <w:rPr>
          <w:rFonts w:ascii="宋体" w:hAnsi="宋体" w:cs="宋体"/>
          <w:color w:val="auto"/>
          <w:sz w:val="24"/>
          <w:highlight w:val="none"/>
        </w:rPr>
      </w:pPr>
      <w:r>
        <w:rPr>
          <w:rFonts w:hint="eastAsia" w:ascii="宋体" w:hAnsi="宋体" w:cs="宋体"/>
          <w:color w:val="auto"/>
          <w:sz w:val="24"/>
          <w:highlight w:val="none"/>
        </w:rPr>
        <w:t xml:space="preserve">电 话：                              电 话： </w:t>
      </w:r>
    </w:p>
    <w:p>
      <w:pPr>
        <w:spacing w:line="400" w:lineRule="exact"/>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pPr>
        <w:spacing w:line="400" w:lineRule="exact"/>
        <w:rPr>
          <w:rFonts w:ascii="宋体" w:hAnsi="宋体" w:cs="宋体"/>
          <w:color w:val="auto"/>
          <w:sz w:val="24"/>
          <w:highlight w:val="none"/>
        </w:rPr>
      </w:pPr>
      <w:r>
        <w:rPr>
          <w:rFonts w:hint="eastAsia" w:ascii="宋体" w:hAnsi="宋体" w:cs="宋体"/>
          <w:color w:val="auto"/>
          <w:sz w:val="24"/>
          <w:highlight w:val="none"/>
        </w:rPr>
        <w:t>帐 号：                              帐 号：</w:t>
      </w:r>
    </w:p>
    <w:p>
      <w:pPr>
        <w:spacing w:line="400" w:lineRule="exact"/>
        <w:rPr>
          <w:rFonts w:ascii="宋体" w:hAnsi="宋体" w:cs="宋体"/>
          <w:color w:val="auto"/>
          <w:sz w:val="24"/>
          <w:highlight w:val="none"/>
        </w:rPr>
      </w:pPr>
      <w:r>
        <w:rPr>
          <w:rFonts w:hint="eastAsia" w:ascii="宋体" w:hAnsi="宋体" w:cs="宋体"/>
          <w:color w:val="auto"/>
          <w:sz w:val="24"/>
          <w:highlight w:val="none"/>
        </w:rPr>
        <w:t>合同订立日期：    年    月    日</w:t>
      </w:r>
    </w:p>
    <w:p>
      <w:pPr>
        <w:spacing w:line="400" w:lineRule="exact"/>
        <w:rPr>
          <w:rFonts w:ascii="宋体" w:hAnsi="宋体" w:cs="宋体"/>
          <w:color w:val="auto"/>
          <w:sz w:val="24"/>
          <w:highlight w:val="none"/>
        </w:rPr>
      </w:pPr>
      <w:r>
        <w:rPr>
          <w:rFonts w:hint="eastAsia" w:ascii="宋体" w:hAnsi="宋体" w:cs="宋体"/>
          <w:color w:val="auto"/>
          <w:sz w:val="24"/>
          <w:highlight w:val="none"/>
        </w:rPr>
        <w:t>合同订立地点：</w:t>
      </w:r>
    </w:p>
    <w:p>
      <w:pPr>
        <w:widowControl/>
        <w:jc w:val="left"/>
        <w:rPr>
          <w:rFonts w:ascii="宋体" w:hAnsi="宋体" w:cs="宋体"/>
          <w:color w:val="auto"/>
          <w:kern w:val="0"/>
          <w:sz w:val="24"/>
          <w:szCs w:val="24"/>
          <w:highlight w:val="none"/>
        </w:rPr>
      </w:pPr>
      <w:r>
        <w:rPr>
          <w:rFonts w:hint="eastAsia" w:ascii="宋体" w:hAnsi="宋体" w:cs="宋体"/>
          <w:color w:val="auto"/>
          <w:sz w:val="24"/>
          <w:highlight w:val="none"/>
        </w:rPr>
        <w:br w:type="page"/>
      </w:r>
    </w:p>
    <w:p>
      <w:pPr>
        <w:pStyle w:val="5"/>
        <w:jc w:val="center"/>
        <w:rPr>
          <w:b w:val="0"/>
          <w:color w:val="auto"/>
          <w:sz w:val="36"/>
          <w:highlight w:val="none"/>
        </w:rPr>
      </w:pPr>
      <w:bookmarkStart w:id="450" w:name="_Toc79654123"/>
      <w:r>
        <w:rPr>
          <w:rFonts w:hint="eastAsia"/>
          <w:b w:val="0"/>
          <w:color w:val="auto"/>
          <w:sz w:val="36"/>
          <w:highlight w:val="none"/>
        </w:rPr>
        <w:t>地下管线普查成果更新监理服务项目政府采购合同</w:t>
      </w:r>
      <w:bookmarkEnd w:id="450"/>
    </w:p>
    <w:p>
      <w:pPr>
        <w:autoSpaceDE w:val="0"/>
        <w:autoSpaceDN w:val="0"/>
        <w:adjustRightInd w:val="0"/>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（根据本项目包件6具体情况签订内容）</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委托方（甲方）：</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受托方（乙方）：</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依照《中华人民共和国政府采购法》、《中华人民共和国招投标法》和《中华人民共和国民法典》等有关法律、法规，遵循平等、自愿、公平和诚实信用的原则，结合招投标文件，就甲方委托乙方承担的XXXXXXXXXXXXXXXXXXXXXXXX工作事宜，达成如下合同协议：</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1、项目名称</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XXXXXXXXXXXXXXXXXXXXXXXXXXXXXXXXXXXXXXXX</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2、合同组成</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2.1下列文件应被认为是本合同的组成部分</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（1）本合同书；</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（2）中标通知书；</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（3）双方有关本项目的洽商、变更、调整等书面协议或文件；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（4）招标文件；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（5）投标文件；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（6）标准、规范及有关技术文件。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以上文本构成此合同不可分割的部分并与合同正文具有同等法律效力。</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2.2本合同文件解释。解释合同文件的优先顺序按第2.1款顺序，当合同文件出现含糊不清或不一致时，由双方协商解决。</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3、项目内容及要求</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3.1监理对象</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对普查更新范围内的给水、排水、燃气、热力、电力、通信（含广播电视）、工业（不包括油气管线）、综合管廊(沟)等管线及其附属设施进行监理，具体要求按招标文件第六章执行。</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3.2工作内容</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（1）工程监理包括合同履行监理、工程进度监理、工程准备监理、普查质量监理、数据监理和普查成果资料监理，同时对施工过程的作业安全和资料保密进行监督，并对地下管线普查工程质量进行评价。</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（2）本项目监理服务预估工作量为：全野外探测管线约公里，内外业结合核实探测管线约公里。</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4、工期要求</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乙方自签订合同之日起直至地下管线普查成果更新项目完成验收。（最终完成时间不晚于2022年6月30日）</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5、成果提交</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5.1若乙方提交成果的时限不满足合同第4条要求，乙方按合同第14条相关约定支付违约金和延期损失费。</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5.2提交的主要成果（纸质和电子版各两套）</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（1）监理实施细则；</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（2）监理检查记录；</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（3）外业巡查记录；</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（4）监理日志；</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（5）监理月报；</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（6）监理文档资料（含请示、通知、会议记录、处理意见等）；</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（7）监理总结报告。</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6、合同价款及支付方式</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6.1合同价款</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（1）合同为单价合同，地下管线普查成果更新监理服务单价为元/公里。本项目预算金额为 万元，合同总金额不超过本包件的预算金额。</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（2）合同总金额=中标单价×地下管线实际提交长度，实际提交长度为入库合格后的全野外探测、内外业结合核实探测管线长度。合同总金额超出本包件的预算金额时按照预算金额结算。</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（3）可直接利用的地下管线普查成果不计入经费计算。</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6.2支付方式</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6.2.1合同签订后15个工作日内，甲方向乙方支付预算金额的 30 %作为首付款。</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6.2.2 2022年4月底前，甲方向乙方支付第一次进度款。第一次进度款=（中标单价×地下管线实际提交长度）×60%-首付款，若第一次进度款计算为零或负数，则不支付。第一次进度款中实际提交长度为经监理单位检查合格的管线长度。</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6.2.3乙方将管线普查成果全部提交完毕并经测绘成果质量检验机构检验合格后，甲方于15个工作日内向乙方支付第二次进度款。第二次进度款=（中标单价×地下管线实际提交长度）×80%-首付款-第一次进度款，若第二次进度款计算为零或负数，则不支付。第二次进度款中实际提交长度为经质量检验合格后的管线长度。</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6.2.4全部管线普查成果完成整合检查、汇交入库，且项目通过验收后60个工作日内甲方向乙方支付尾款。尾款=合同总金额-首付款-第一次进度款-第二次进度款。</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6.2.5支付每笔款项前，乙方须按项目进度及要求提交付款申请，并出具等额的发票，否则甲方有权顺延支付。</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7、知识产权</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乙方应保证在本项目使用的任何产品和服务（包括部分使用）时，不会产生因第三方提出侵犯其著作权或其它知识产权而引起的法律和经济纠纷，如因著作权或其它知识产权而引起法律和经济纠纷，由乙方承担全部相关责任，由此造成甲方无法完成本合同约定的项目内容，甲方有权解除合同，并要求乙方全额退还已收的全部款项。</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8、无产权瑕疵条款</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乙方保证所提供的服务的所有权完全属于乙方且无任何抵押、查封等产权瑕疵。如有产权瑕疵的，视为乙方违约，甲方有权解除合同并追究相关责任。</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9、验收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9.1项目完成后,由乙方向甲方提供全部监理成果。</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9.2项目验收由甲方组织实施，乙方与甲方严格按照《财政部关于进一步加强政府采购需求和履约验收管理的指导意见》（财库〔2016〕205号）的要求进行验收。</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10、甲方的义务和权利</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10.1 指定专人负责与乙方配合和联系工作。</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本项目甲方指定的专人为：袁明权、张振华；</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联系电话：15982033761 13518121242 。</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10.2为乙方完成本项目监理服务的各种必要关系提供协调工作。</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10.3 负责对生产技术要求进行解释。</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10.4 对乙方提供成果的商业秘密、技术秘密有保密的义务。</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10.5 按照合同约定的期限和方式向乙方支付合同价款。</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10.6 按本合同内容对乙方的项目实施情况进行监督检查。</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10.7 甲方独自承担本项目成果汇交义务。</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10.8 甲方有权要求乙方更换不能胜任本项目工作的总监理工程师。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10.9 国家法律、法规所规定由甲方承担的其它责任。</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11、乙方的义务和权利</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11.1在约定时限内提交合格监理成果资料，并配合甲方组织的成果核验、质检、成果汇交、整合检查、数据入库和验收工作。</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11.2 对甲方提出的项目要求等进行的必要调整和完善意见应积极响应。</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11.3 指定专人与甲方配合和联系工作，乙方应按甲方要求及时更换不能胜任本项目工作的总监理工程师。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本项目乙方总监理工程师：         ,联系电话：。</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11.4乙方应参加甲方组织的验收工作，并就项目成果向甲方和验收组作介绍、说明。</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11.5项目进行过程中，乙方总监理工程师如需更换，必须向甲方提交书面报告，经甲方同意后方可更换。</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11.6乙方承担其人员、仪器设备等全部安全责任。</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11.7本项目所有资料、成果的所有权归甲方。乙方不承担本项目汇交义务。乙方对本项目所有的成果资料具有保密的义务，不得以任何形式向第三方提供和泄露，不得利用本项目成果资料生产其它任何形式的产品，本项目终止时应将所有资料移交给甲方，不得作任何形式的保留。</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11.8 若乙方及乙方人员在履行合同过程中，造成甲方或任何第三方人身或财产损害，导致甲方向其员工或任何第三方承担法律责任的，甲方有权向乙方追偿。</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11.9乙方需要有完整的技术支持体系和售后服务体系，乙方须为本项目提供一年的免费维护（维护日期从项目验收之日起计算）；维护内容为甲方所提供的全部成果资料。</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1.为保证技术支持和售后服务工作的有效进行，要求参与技术支持和售后服务人员应具备下列基本条件：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（1）主要负责人参与了本项目的地下管线普查工作；</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（2）熟练掌握本项目的相关技术。</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2.在一年的免费维护期内提供每日12小时服务和技术支持。对甲方的服务通知，在接报后1小时内响应。电话或远程无法解决的问题必须到达现场处理的，交通及其它费用由乙方负责。</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12、甲方违约责任</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12.1 如果甲方未按合同要求支付乙方合同价款，则甲方应以应付而未付价款为基数按同期全国银行间同业拆借中心公布的贷款市场报价利率向乙方支付违约金。</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12.2由于甲方（或甲方认可的第三方）原因导致乙方未能按期完成项目的，则工期顺延，但顺延时间不能超过甲方（或甲方认可的第三方）原因所影响的时间。因不可抗力因素导致本合同终止，甲方不负违约责任。</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13、乙方违约责任</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13.1 合同签订后，由于乙方原因而终止合同的，乙方应退还甲方所有资料和已付款项，并按合同总金额的20% 向甲方支付违约金。</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13.2乙方未能按合同规定的日期提交成果时，乙方应向甲方支付延期损失费，每天的延期损失费按合同总金额的 0.3‰计算。</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13.3乙方成果提交延期三个月以上的，甲方有权视情况解除合同，要求乙方全额退还已收款项，按合同总金额的20%向甲方支付违约金，并追究相关责任。</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13.4乙方违反本合同第11.7条约定的，甲方有权要求乙方全额退还已收款项，按本合同总金额的20% 向甲方赔偿损失，甲方并有权向乙方追究其法律责任。</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13.5项目进行过程中，乙方未经甲方同意擅自更换总监理工程师的，每人次乙方应偿付本合同有效期内合同总金额1%的违约金。</w:t>
      </w:r>
    </w:p>
    <w:p>
      <w:pPr>
        <w:spacing w:line="400" w:lineRule="exact"/>
        <w:ind w:firstLine="480" w:firstLineChars="200"/>
        <w:rPr>
          <w:rFonts w:ascii="宋体" w:hAnsi="宋体" w:cs="宋体"/>
          <w:color w:val="auto"/>
          <w:sz w:val="24"/>
          <w:highlight w:val="none"/>
        </w:rPr>
      </w:pPr>
      <w:r>
        <w:rPr>
          <w:rFonts w:hint="eastAsia" w:ascii="宋体" w:hAnsi="宋体"/>
          <w:color w:val="auto"/>
          <w:sz w:val="24"/>
          <w:szCs w:val="24"/>
          <w:highlight w:val="none"/>
        </w:rPr>
        <w:t>13.6如乙方擅自更换总监理工程师超过2</w:t>
      </w:r>
      <w:r>
        <w:rPr>
          <w:rFonts w:ascii="宋体" w:hAnsi="宋体"/>
          <w:color w:val="auto"/>
          <w:sz w:val="24"/>
          <w:szCs w:val="24"/>
          <w:highlight w:val="none"/>
        </w:rPr>
        <w:t>次或经甲方要求后仍未整改的，甲方有权解除合同，乙方需支付合同总金额</w:t>
      </w:r>
      <w:r>
        <w:rPr>
          <w:rFonts w:hint="eastAsia" w:ascii="宋体" w:hAnsi="宋体"/>
          <w:color w:val="auto"/>
          <w:sz w:val="24"/>
          <w:szCs w:val="24"/>
          <w:highlight w:val="none"/>
        </w:rPr>
        <w:t>2</w:t>
      </w:r>
      <w:r>
        <w:rPr>
          <w:rFonts w:ascii="宋体" w:hAnsi="宋体"/>
          <w:color w:val="auto"/>
          <w:sz w:val="24"/>
          <w:szCs w:val="24"/>
          <w:highlight w:val="none"/>
        </w:rPr>
        <w:t>0%的违约金</w:t>
      </w:r>
      <w:r>
        <w:rPr>
          <w:rFonts w:hint="eastAsia" w:ascii="宋体" w:hAnsi="宋体" w:cs="宋体"/>
          <w:color w:val="auto"/>
          <w:sz w:val="24"/>
          <w:highlight w:val="none"/>
        </w:rPr>
        <w:t>。</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13.7乙方未按甲方要求按时参与甲方组织的成果核验、质检、成果汇交、整合检查、数据入库和验收工作的，每次应向甲方支付合同总金额1%的</w:t>
      </w:r>
      <w:r>
        <w:rPr>
          <w:rFonts w:ascii="宋体" w:hAnsi="宋体"/>
          <w:color w:val="auto"/>
          <w:sz w:val="24"/>
          <w:szCs w:val="24"/>
          <w:highlight w:val="none"/>
        </w:rPr>
        <w:t>违约金；累计达</w:t>
      </w:r>
      <w:r>
        <w:rPr>
          <w:rFonts w:hint="eastAsia" w:ascii="宋体" w:hAnsi="宋体"/>
          <w:color w:val="auto"/>
          <w:sz w:val="24"/>
          <w:szCs w:val="24"/>
          <w:highlight w:val="none"/>
        </w:rPr>
        <w:t>三</w:t>
      </w:r>
      <w:r>
        <w:rPr>
          <w:rFonts w:ascii="宋体" w:hAnsi="宋体"/>
          <w:color w:val="auto"/>
          <w:sz w:val="24"/>
          <w:szCs w:val="24"/>
          <w:highlight w:val="none"/>
        </w:rPr>
        <w:t>次</w:t>
      </w:r>
      <w:r>
        <w:rPr>
          <w:rFonts w:hint="eastAsia" w:ascii="宋体" w:hAnsi="宋体"/>
          <w:color w:val="auto"/>
          <w:sz w:val="24"/>
          <w:szCs w:val="24"/>
          <w:highlight w:val="none"/>
        </w:rPr>
        <w:t>及以上</w:t>
      </w:r>
      <w:r>
        <w:rPr>
          <w:rFonts w:ascii="宋体" w:hAnsi="宋体"/>
          <w:color w:val="auto"/>
          <w:sz w:val="24"/>
          <w:szCs w:val="24"/>
          <w:highlight w:val="none"/>
        </w:rPr>
        <w:t>的，甲方有权解除合同，乙方需支付合同总金额</w:t>
      </w:r>
      <w:r>
        <w:rPr>
          <w:rFonts w:hint="eastAsia" w:ascii="宋体" w:hAnsi="宋体"/>
          <w:color w:val="auto"/>
          <w:sz w:val="24"/>
          <w:szCs w:val="24"/>
          <w:highlight w:val="none"/>
        </w:rPr>
        <w:t>2</w:t>
      </w:r>
      <w:r>
        <w:rPr>
          <w:rFonts w:ascii="宋体" w:hAnsi="宋体"/>
          <w:color w:val="auto"/>
          <w:sz w:val="24"/>
          <w:szCs w:val="24"/>
          <w:highlight w:val="none"/>
        </w:rPr>
        <w:t>0%的违约金。</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13.8</w:t>
      </w:r>
      <w:r>
        <w:rPr>
          <w:rFonts w:ascii="宋体" w:hAnsi="宋体"/>
          <w:color w:val="auto"/>
          <w:sz w:val="24"/>
          <w:szCs w:val="24"/>
          <w:highlight w:val="none"/>
        </w:rPr>
        <w:t>乙方在免费维护</w:t>
      </w:r>
      <w:r>
        <w:rPr>
          <w:rFonts w:hint="eastAsia" w:ascii="宋体" w:hAnsi="宋体"/>
          <w:color w:val="auto"/>
          <w:sz w:val="24"/>
          <w:szCs w:val="24"/>
          <w:highlight w:val="none"/>
        </w:rPr>
        <w:t>期内未按约定及甲方要求及时响应的，每次应向甲方支付合同总金额1%的</w:t>
      </w:r>
      <w:r>
        <w:rPr>
          <w:rFonts w:ascii="宋体" w:hAnsi="宋体"/>
          <w:color w:val="auto"/>
          <w:sz w:val="24"/>
          <w:szCs w:val="24"/>
          <w:highlight w:val="none"/>
        </w:rPr>
        <w:t>违约金</w:t>
      </w:r>
      <w:r>
        <w:rPr>
          <w:rFonts w:hint="eastAsia" w:ascii="宋体" w:hAnsi="宋体"/>
          <w:color w:val="auto"/>
          <w:sz w:val="24"/>
          <w:szCs w:val="24"/>
          <w:highlight w:val="none"/>
        </w:rPr>
        <w:t>；</w:t>
      </w:r>
      <w:r>
        <w:rPr>
          <w:rFonts w:ascii="宋体" w:hAnsi="宋体"/>
          <w:color w:val="auto"/>
          <w:sz w:val="24"/>
          <w:szCs w:val="24"/>
          <w:highlight w:val="none"/>
        </w:rPr>
        <w:t>如甲方</w:t>
      </w:r>
      <w:r>
        <w:rPr>
          <w:rFonts w:hint="eastAsia" w:ascii="宋体" w:hAnsi="宋体"/>
          <w:color w:val="auto"/>
          <w:sz w:val="24"/>
          <w:szCs w:val="24"/>
          <w:highlight w:val="none"/>
        </w:rPr>
        <w:t>委托第三方进行维护的，相应费用由乙方承担。</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13.9乙方应当支付的违约金、延期损失费及应当赔偿的损失，甲方有权从未支付款项（进度款和尾款）中予以扣除。</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14、合同的变更和修改、中止和终止</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14.1本合同一经生效，合同双方均不得擅自对本合同的内容作任何单方的修改。但任何一方均可以对合同内容以书面形式提出变更、修改、取消或补充的建议，经双方同意后，由双方法人代表或委托代理人（须经法定表人书面授权委托）签字后生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14.2如遇政府采购任务取消，甲方有权取消、中止或终止合同；如果甲方认定乙方在竞标或执行合同中有腐败或欺诈行为，投入的相关人员和仪器设备弄虚作假的，甲方有权在任何时候发出书面通知终止合同，并不承担任何责任。</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14.3甲方因乙方不履约或乙方其他原因而解除合同的，乙方须返还甲方所有已付款项、赔偿甲方由此产生的损失并承担其他相关责任。</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15、不可抗力</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15.1不可抗力是指合同签字后发生的非甲乙双方所能控制的、并非合同方过失的、无法中止的、不能预防的事件。合同双方中的任何一方，由于不可抗力事件而影响合同义务的执行时，则延迟履行合同义务的期限相当于不可抗力事件影响的时间，但是不能因为不可抗力的延迟而调整合同价格。</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15.2受到不可抗力影响的一方应在不可抗力事故发生后，尽快将所发生的不可抗力事件的情况以传真或电报通知另一方，并尽快取得另一方审阅确认，受影响的一方同时应尽量设法缩小这种影响和由此而引起的延误，一旦不可抗力的影响消除后，应将此情况立即通知对方。</w:t>
      </w:r>
    </w:p>
    <w:p>
      <w:pPr>
        <w:ind w:firstLine="472" w:firstLineChars="196"/>
        <w:rPr>
          <w:b/>
          <w:color w:val="auto"/>
          <w:sz w:val="24"/>
          <w:highlight w:val="none"/>
        </w:rPr>
      </w:pPr>
      <w:r>
        <w:rPr>
          <w:rFonts w:hint="eastAsia"/>
          <w:b/>
          <w:color w:val="auto"/>
          <w:sz w:val="24"/>
          <w:highlight w:val="none"/>
        </w:rPr>
        <w:t>16、通知送达</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16.1乙方确认合同联系方式如下：</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联系人：       联系地址：       电子邮箱：       电话：</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甲方对乙方的通知可以向乙方直接送达，也可以采用下列任何一种方式向乙方进行送达；如涉及诉讼，法院也可以采用下列任何一种方式向乙方送达诉讼文书；对此，乙方均予以认可：</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（1）甲方可通过邮寄方式送达，乙方在本合同中明确的联系地址、乙方工商注册住所或户籍所在地的住所，均为有效的送达地址，甲方向任一地址发出邮件后三日（四川省以外为五日）即视为送达；</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（2）甲方可通过传真、联系电话、电子邮箱、微信等方式送达，发出的当日即视为送达。</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（3）甲方可以采取在报纸上刊登公告的形式送达，在公告刊登后三日即视为送达。</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17、争议的解决方式</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17.1 本合同适用法律为中华人民共和国法律。</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17.2凡与本合同有关的一切争议，甲乙双方应通过友好协商解决。如经协商后仍不能达成协议时，任何一方都有权向合同签订地人民法院诉讼。</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17.3诉讼结果对双方都有约束力，双方应遵照执行。</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17.4上述过程发生的费用，除诉讼结果另有规定外，应由败诉方承担。</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17.5在进行诉讼期间，除提交诉讼的事项外，合同仍应继续履行。</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18、合同生效及其它事项</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18.1 本合同一式份,甲方执份，乙方执份，具有同等的法律效力。</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18.2本合同经双方法定代表人或授权代表签字并盖章后生效。全部成果交接完毕和费用结算完成后，本合同终止。</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18.3 其它未尽事宜由甲乙双方共同协商签订补充协议。</w:t>
      </w:r>
    </w:p>
    <w:p>
      <w:pPr>
        <w:spacing w:line="400" w:lineRule="exact"/>
        <w:ind w:firstLine="480" w:firstLineChars="200"/>
        <w:rPr>
          <w:rFonts w:ascii="宋体" w:hAnsi="宋体" w:cs="宋体"/>
          <w:color w:val="auto"/>
          <w:sz w:val="24"/>
          <w:highlight w:val="none"/>
        </w:rPr>
      </w:pPr>
    </w:p>
    <w:p>
      <w:pPr>
        <w:spacing w:line="400" w:lineRule="exact"/>
        <w:ind w:firstLine="480" w:firstLineChars="200"/>
        <w:rPr>
          <w:rFonts w:ascii="宋体" w:hAnsi="宋体" w:cs="宋体"/>
          <w:color w:val="auto"/>
          <w:sz w:val="24"/>
          <w:highlight w:val="none"/>
        </w:rPr>
      </w:pPr>
    </w:p>
    <w:p>
      <w:pPr>
        <w:spacing w:line="400" w:lineRule="exact"/>
        <w:ind w:firstLine="480" w:firstLineChars="200"/>
        <w:rPr>
          <w:rFonts w:ascii="宋体" w:hAnsi="宋体" w:cs="宋体"/>
          <w:color w:val="auto"/>
          <w:sz w:val="24"/>
          <w:highlight w:val="none"/>
        </w:rPr>
      </w:pPr>
    </w:p>
    <w:p>
      <w:pPr>
        <w:spacing w:line="400" w:lineRule="exact"/>
        <w:ind w:firstLine="480" w:firstLineChars="200"/>
        <w:rPr>
          <w:rFonts w:ascii="宋体" w:hAnsi="宋体" w:cs="宋体"/>
          <w:color w:val="auto"/>
          <w:sz w:val="24"/>
          <w:highlight w:val="none"/>
        </w:rPr>
      </w:pPr>
    </w:p>
    <w:p>
      <w:pPr>
        <w:jc w:val="center"/>
        <w:rPr>
          <w:rFonts w:ascii="宋体" w:hAnsi="宋体" w:cs="宋体"/>
          <w:color w:val="auto"/>
          <w:sz w:val="24"/>
          <w:highlight w:val="none"/>
        </w:rPr>
      </w:pPr>
      <w:r>
        <w:rPr>
          <w:rFonts w:hint="eastAsia" w:ascii="宋体" w:hAnsi="宋体" w:cs="宋体"/>
          <w:color w:val="auto"/>
          <w:sz w:val="24"/>
          <w:highlight w:val="none"/>
        </w:rPr>
        <w:t>（以下无正文，为签署区）</w:t>
      </w:r>
    </w:p>
    <w:p>
      <w:pPr>
        <w:rPr>
          <w:rFonts w:ascii="宋体" w:hAnsi="宋体" w:cs="宋体"/>
          <w:color w:val="auto"/>
          <w:sz w:val="24"/>
          <w:highlight w:val="none"/>
        </w:rPr>
      </w:pPr>
    </w:p>
    <w:p>
      <w:pPr>
        <w:rPr>
          <w:rFonts w:ascii="宋体" w:hAnsi="宋体" w:cs="宋体"/>
          <w:color w:val="auto"/>
          <w:sz w:val="24"/>
          <w:highlight w:val="none"/>
        </w:rPr>
      </w:pPr>
      <w:r>
        <w:rPr>
          <w:rFonts w:hint="eastAsia" w:ascii="宋体" w:hAnsi="宋体" w:cs="宋体"/>
          <w:color w:val="auto"/>
          <w:sz w:val="24"/>
          <w:highlight w:val="none"/>
        </w:rPr>
        <w:t xml:space="preserve">甲 方：                             乙 方： </w:t>
      </w:r>
    </w:p>
    <w:p>
      <w:pPr>
        <w:rPr>
          <w:rFonts w:ascii="宋体" w:hAnsi="宋体" w:cs="宋体"/>
          <w:color w:val="auto"/>
          <w:sz w:val="24"/>
          <w:highlight w:val="none"/>
        </w:rPr>
      </w:pPr>
      <w:r>
        <w:rPr>
          <w:rFonts w:hint="eastAsia" w:ascii="宋体" w:hAnsi="宋体" w:cs="宋体"/>
          <w:color w:val="auto"/>
          <w:sz w:val="24"/>
          <w:highlight w:val="none"/>
        </w:rPr>
        <w:t>（印章）：                           （印章）：</w:t>
      </w:r>
    </w:p>
    <w:p>
      <w:pPr>
        <w:rPr>
          <w:rFonts w:ascii="宋体" w:hAnsi="宋体" w:cs="宋体"/>
          <w:color w:val="auto"/>
          <w:sz w:val="24"/>
          <w:highlight w:val="none"/>
        </w:rPr>
      </w:pPr>
      <w:r>
        <w:rPr>
          <w:rFonts w:hint="eastAsia" w:ascii="宋体" w:hAnsi="宋体" w:cs="宋体"/>
          <w:color w:val="auto"/>
          <w:sz w:val="24"/>
          <w:highlight w:val="none"/>
        </w:rPr>
        <w:t>法定代表人（或委托代理人）：          法定代表人（或委托代理人）：</w:t>
      </w:r>
    </w:p>
    <w:p>
      <w:pPr>
        <w:rPr>
          <w:rFonts w:ascii="宋体" w:hAnsi="宋体" w:cs="宋体"/>
          <w:color w:val="auto"/>
          <w:sz w:val="24"/>
          <w:highlight w:val="none"/>
        </w:rPr>
      </w:pPr>
      <w:r>
        <w:rPr>
          <w:rFonts w:hint="eastAsia" w:ascii="宋体" w:hAnsi="宋体" w:cs="宋体"/>
          <w:color w:val="auto"/>
          <w:sz w:val="24"/>
          <w:highlight w:val="none"/>
        </w:rPr>
        <w:t xml:space="preserve">地址：                               地址： </w:t>
      </w:r>
    </w:p>
    <w:p>
      <w:pPr>
        <w:rPr>
          <w:rFonts w:ascii="宋体" w:hAnsi="宋体" w:cs="宋体"/>
          <w:color w:val="auto"/>
          <w:sz w:val="24"/>
          <w:highlight w:val="none"/>
        </w:rPr>
      </w:pPr>
      <w:r>
        <w:rPr>
          <w:rFonts w:hint="eastAsia" w:ascii="宋体" w:hAnsi="宋体" w:cs="宋体"/>
          <w:color w:val="auto"/>
          <w:sz w:val="24"/>
          <w:highlight w:val="none"/>
        </w:rPr>
        <w:t>邮政编码：                           邮政编码：</w:t>
      </w:r>
    </w:p>
    <w:p>
      <w:pPr>
        <w:rPr>
          <w:rFonts w:ascii="宋体" w:hAnsi="宋体" w:cs="宋体"/>
          <w:color w:val="auto"/>
          <w:sz w:val="24"/>
          <w:highlight w:val="none"/>
        </w:rPr>
      </w:pPr>
      <w:r>
        <w:rPr>
          <w:rFonts w:hint="eastAsia" w:ascii="宋体" w:hAnsi="宋体" w:cs="宋体"/>
          <w:color w:val="auto"/>
          <w:sz w:val="24"/>
          <w:highlight w:val="none"/>
        </w:rPr>
        <w:t xml:space="preserve">电 话：                              电 话： </w:t>
      </w:r>
    </w:p>
    <w:p>
      <w:pPr>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pPr>
        <w:rPr>
          <w:rFonts w:ascii="宋体" w:hAnsi="宋体" w:cs="宋体"/>
          <w:color w:val="auto"/>
          <w:sz w:val="24"/>
          <w:highlight w:val="none"/>
        </w:rPr>
      </w:pPr>
      <w:r>
        <w:rPr>
          <w:rFonts w:hint="eastAsia" w:ascii="宋体" w:hAnsi="宋体" w:cs="宋体"/>
          <w:color w:val="auto"/>
          <w:sz w:val="24"/>
          <w:highlight w:val="none"/>
        </w:rPr>
        <w:t>帐 号：                              帐 号：</w:t>
      </w:r>
    </w:p>
    <w:p>
      <w:pPr>
        <w:rPr>
          <w:rFonts w:ascii="宋体" w:hAnsi="宋体" w:cs="宋体"/>
          <w:color w:val="auto"/>
          <w:sz w:val="24"/>
          <w:highlight w:val="none"/>
        </w:rPr>
      </w:pPr>
      <w:r>
        <w:rPr>
          <w:rFonts w:hint="eastAsia" w:ascii="宋体" w:hAnsi="宋体" w:cs="宋体"/>
          <w:color w:val="auto"/>
          <w:sz w:val="24"/>
          <w:highlight w:val="none"/>
        </w:rPr>
        <w:t>合同订立日期：    年    月    日</w:t>
      </w:r>
    </w:p>
    <w:p>
      <w:pPr>
        <w:pStyle w:val="2"/>
        <w:rPr>
          <w:rFonts w:ascii="宋体" w:hAnsi="宋体" w:cs="宋体"/>
          <w:color w:val="auto"/>
          <w:sz w:val="24"/>
          <w:highlight w:val="none"/>
        </w:rPr>
      </w:pPr>
      <w:r>
        <w:rPr>
          <w:rFonts w:hint="eastAsia" w:ascii="宋体" w:hAnsi="宋体" w:cs="宋体"/>
          <w:color w:val="auto"/>
          <w:sz w:val="24"/>
          <w:highlight w:val="none"/>
        </w:rPr>
        <w:t>合同订立地点：</w:t>
      </w:r>
    </w:p>
    <w:p>
      <w:pPr>
        <w:widowControl/>
        <w:jc w:val="left"/>
        <w:rPr>
          <w:rFonts w:ascii="宋体" w:hAnsi="宋体" w:cs="宋体"/>
          <w:bCs/>
          <w:color w:val="auto"/>
          <w:sz w:val="36"/>
          <w:szCs w:val="28"/>
          <w:highlight w:val="none"/>
        </w:rPr>
      </w:pPr>
      <w:bookmarkStart w:id="451" w:name="_Toc79654124"/>
      <w:r>
        <w:rPr>
          <w:b/>
          <w:color w:val="auto"/>
          <w:sz w:val="36"/>
          <w:highlight w:val="none"/>
        </w:rPr>
        <w:br w:type="page"/>
      </w:r>
    </w:p>
    <w:p>
      <w:pPr>
        <w:pStyle w:val="5"/>
        <w:jc w:val="center"/>
        <w:rPr>
          <w:b w:val="0"/>
          <w:color w:val="auto"/>
          <w:sz w:val="36"/>
          <w:highlight w:val="none"/>
        </w:rPr>
      </w:pPr>
      <w:r>
        <w:rPr>
          <w:rFonts w:hint="eastAsia"/>
          <w:b w:val="0"/>
          <w:color w:val="auto"/>
          <w:sz w:val="36"/>
          <w:highlight w:val="none"/>
        </w:rPr>
        <w:t>地下管线普查成果更新质检服务项目政府采购合同</w:t>
      </w:r>
      <w:bookmarkEnd w:id="451"/>
    </w:p>
    <w:p>
      <w:pPr>
        <w:autoSpaceDE w:val="0"/>
        <w:autoSpaceDN w:val="0"/>
        <w:adjustRightInd w:val="0"/>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（根据本项目包件7具体情况签订内容）</w:t>
      </w:r>
    </w:p>
    <w:p>
      <w:pPr>
        <w:spacing w:line="360" w:lineRule="auto"/>
        <w:ind w:firstLine="480" w:firstLineChars="200"/>
        <w:rPr>
          <w:rFonts w:ascii="宋体" w:hAnsi="宋体" w:cs="宋体"/>
          <w:color w:val="auto"/>
          <w:sz w:val="24"/>
          <w:highlight w:val="none"/>
        </w:rPr>
      </w:pPr>
    </w:p>
    <w:p>
      <w:pPr>
        <w:ind w:firstLine="480" w:firstLineChars="200"/>
        <w:contextualSpacing/>
        <w:rPr>
          <w:rFonts w:ascii="宋体" w:hAnsi="宋体" w:cs="宋体"/>
          <w:color w:val="auto"/>
          <w:sz w:val="24"/>
          <w:highlight w:val="none"/>
        </w:rPr>
      </w:pP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 xml:space="preserve">委托方（甲方）： </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受托方（乙方）：</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依照《中华人民共和国政府采购法》、《中华人民共和国招投标法》和《中华人民共和国民法典》等有关法律、法规，遵循平等、自愿、公平和诚实信用的原则，结合招投标文件，就甲方委托乙方承担的XXXXXXXXXXXXXXXXXXXXXXXX工作事宜，达成如下合同协议：</w:t>
      </w:r>
    </w:p>
    <w:p>
      <w:pPr>
        <w:ind w:firstLine="482" w:firstLineChars="200"/>
        <w:contextualSpacing/>
        <w:rPr>
          <w:b/>
          <w:color w:val="auto"/>
          <w:sz w:val="24"/>
          <w:highlight w:val="none"/>
        </w:rPr>
      </w:pPr>
      <w:r>
        <w:rPr>
          <w:rFonts w:hint="eastAsia"/>
          <w:b/>
          <w:color w:val="auto"/>
          <w:sz w:val="24"/>
          <w:highlight w:val="none"/>
        </w:rPr>
        <w:t>1、项目名称</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XXXXXXXXXXXXXXXXXXXXXXXXXXXXXXXXXXXXXXXX</w:t>
      </w:r>
    </w:p>
    <w:p>
      <w:pPr>
        <w:ind w:firstLine="482" w:firstLineChars="200"/>
        <w:contextualSpacing/>
        <w:rPr>
          <w:b/>
          <w:color w:val="auto"/>
          <w:sz w:val="24"/>
          <w:highlight w:val="none"/>
        </w:rPr>
      </w:pPr>
      <w:r>
        <w:rPr>
          <w:rFonts w:hint="eastAsia"/>
          <w:b/>
          <w:color w:val="auto"/>
          <w:sz w:val="24"/>
          <w:highlight w:val="none"/>
        </w:rPr>
        <w:t>2、合同组成</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2.1下列文件应被认为是本合同的组成部分</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（1）本合同书；</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（2）中标通知书；</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（3）双方有关本项目的洽商、变更、调整等书面协议或文件；</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（4）招标文件；</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（5）投标文件；</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（6）标准、规范及有关技术文件。</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以上文本构成此合同不可分割的部分并与合同正文具有同等法律效力。</w:t>
      </w:r>
    </w:p>
    <w:p>
      <w:pPr>
        <w:ind w:firstLine="480" w:firstLineChars="200"/>
        <w:contextualSpacing/>
        <w:rPr>
          <w:rFonts w:ascii="宋体" w:hAnsi="宋体" w:cs="宋体"/>
          <w:b/>
          <w:color w:val="auto"/>
          <w:sz w:val="24"/>
          <w:highlight w:val="none"/>
        </w:rPr>
      </w:pPr>
      <w:r>
        <w:rPr>
          <w:rFonts w:hint="eastAsia" w:ascii="宋体" w:hAnsi="宋体" w:cs="宋体"/>
          <w:color w:val="auto"/>
          <w:sz w:val="24"/>
          <w:highlight w:val="none"/>
        </w:rPr>
        <w:t>2.2本合同文件解释。解释合同文件的优先顺序按第2.1款顺序，当合同文件出现含糊不清或不一致时，由双方协商解决。</w:t>
      </w:r>
    </w:p>
    <w:p>
      <w:pPr>
        <w:ind w:firstLine="482" w:firstLineChars="200"/>
        <w:contextualSpacing/>
        <w:rPr>
          <w:b/>
          <w:color w:val="auto"/>
          <w:sz w:val="24"/>
          <w:highlight w:val="none"/>
        </w:rPr>
      </w:pPr>
      <w:r>
        <w:rPr>
          <w:rFonts w:hint="eastAsia"/>
          <w:b/>
          <w:color w:val="auto"/>
          <w:sz w:val="24"/>
          <w:highlight w:val="none"/>
        </w:rPr>
        <w:t>3、项目内容及要求</w:t>
      </w:r>
    </w:p>
    <w:p>
      <w:pPr>
        <w:ind w:firstLine="480" w:firstLineChars="200"/>
        <w:contextualSpacing/>
        <w:jc w:val="left"/>
        <w:rPr>
          <w:rFonts w:ascii="宋体" w:hAnsi="宋体"/>
          <w:color w:val="auto"/>
          <w:sz w:val="24"/>
          <w:highlight w:val="none"/>
        </w:rPr>
      </w:pPr>
      <w:r>
        <w:rPr>
          <w:rFonts w:hint="eastAsia" w:ascii="宋体" w:hAnsi="宋体"/>
          <w:color w:val="auto"/>
          <w:sz w:val="24"/>
          <w:highlight w:val="none"/>
        </w:rPr>
        <w:t>3.2工作内容</w:t>
      </w:r>
    </w:p>
    <w:p>
      <w:pPr>
        <w:ind w:firstLine="480" w:firstLineChars="200"/>
        <w:contextualSpacing/>
        <w:jc w:val="left"/>
        <w:rPr>
          <w:rFonts w:eastAsia="仿宋"/>
          <w:color w:val="auto"/>
          <w:sz w:val="28"/>
          <w:szCs w:val="28"/>
          <w:highlight w:val="none"/>
        </w:rPr>
      </w:pPr>
      <w:r>
        <w:rPr>
          <w:rFonts w:hint="eastAsia" w:ascii="宋体" w:hAnsi="宋体"/>
          <w:color w:val="auto"/>
          <w:sz w:val="24"/>
          <w:highlight w:val="none"/>
        </w:rPr>
        <w:t>（1）依据《测绘成果质量检查与验收》GB/T 24356、《城镇地下管线普查成果质量检验技术规定》(DB51/T 2449—2018)和《管线测量成果质量检验技术规程》（CH/T 1033）对标段内地下管线普查成果进行质量检验。</w:t>
      </w:r>
    </w:p>
    <w:p>
      <w:pPr>
        <w:ind w:firstLine="480" w:firstLineChars="200"/>
        <w:contextualSpacing/>
        <w:jc w:val="left"/>
        <w:rPr>
          <w:rFonts w:ascii="宋体" w:hAnsi="宋体" w:cs="宋体"/>
          <w:color w:val="auto"/>
          <w:sz w:val="24"/>
          <w:highlight w:val="none"/>
        </w:rPr>
      </w:pPr>
      <w:r>
        <w:rPr>
          <w:rFonts w:hint="eastAsia" w:ascii="宋体" w:hAnsi="宋体"/>
          <w:color w:val="auto"/>
          <w:sz w:val="24"/>
          <w:highlight w:val="none"/>
        </w:rPr>
        <w:t>（2）本项目质检服务预估工作量为：全野外探测管线约公里，内外业结合核实探测管线约公里。</w:t>
      </w:r>
    </w:p>
    <w:p>
      <w:pPr>
        <w:ind w:firstLine="482" w:firstLineChars="200"/>
        <w:contextualSpacing/>
        <w:rPr>
          <w:b/>
          <w:color w:val="auto"/>
          <w:sz w:val="24"/>
          <w:highlight w:val="none"/>
        </w:rPr>
      </w:pPr>
      <w:r>
        <w:rPr>
          <w:rFonts w:hint="eastAsia"/>
          <w:b/>
          <w:color w:val="auto"/>
          <w:sz w:val="24"/>
          <w:highlight w:val="none"/>
        </w:rPr>
        <w:t>4、工期要求</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收到经监理审查合格的成果后在30工作日内完成地下管线质检工作，质检</w:t>
      </w:r>
      <w:r>
        <w:rPr>
          <w:rFonts w:ascii="宋体" w:hAnsi="宋体" w:cs="宋体"/>
          <w:color w:val="auto"/>
          <w:sz w:val="24"/>
          <w:highlight w:val="none"/>
        </w:rPr>
        <w:t>工作</w:t>
      </w:r>
      <w:r>
        <w:rPr>
          <w:rFonts w:hint="eastAsia" w:ascii="宋体" w:hAnsi="宋体"/>
          <w:color w:val="auto"/>
          <w:sz w:val="24"/>
          <w:highlight w:val="none"/>
        </w:rPr>
        <w:t>不晚于2022年6月30日</w:t>
      </w:r>
      <w:r>
        <w:rPr>
          <w:rFonts w:hint="eastAsia" w:ascii="宋体" w:hAnsi="宋体" w:cs="宋体"/>
          <w:color w:val="auto"/>
          <w:sz w:val="24"/>
          <w:highlight w:val="none"/>
        </w:rPr>
        <w:t>。</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注：由甲方（或经甲方认可的第三方）原因导致乙方未能按期完成项目的，则工期顺延，但顺延时间不能超过甲方（或甲方认可的第三方）原因所影响的时间。</w:t>
      </w:r>
    </w:p>
    <w:p>
      <w:pPr>
        <w:ind w:firstLine="482" w:firstLineChars="200"/>
        <w:contextualSpacing/>
        <w:rPr>
          <w:b/>
          <w:color w:val="auto"/>
          <w:sz w:val="24"/>
          <w:highlight w:val="none"/>
        </w:rPr>
      </w:pPr>
      <w:r>
        <w:rPr>
          <w:rFonts w:hint="eastAsia"/>
          <w:b/>
          <w:color w:val="auto"/>
          <w:sz w:val="24"/>
          <w:highlight w:val="none"/>
        </w:rPr>
        <w:t>5、成果提交</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5.1若乙方提交成果的时限不满足合同第4条要求，乙方按合同第13条相关约定支付违约金和延期损失费。</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5.2提交的主要成果</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（1）检验方案；</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（2）成果检验报告；</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（3）工作总结报告；</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（4）其他相关资料。</w:t>
      </w:r>
    </w:p>
    <w:p>
      <w:pPr>
        <w:ind w:firstLine="482" w:firstLineChars="200"/>
        <w:contextualSpacing/>
        <w:rPr>
          <w:b/>
          <w:color w:val="auto"/>
          <w:sz w:val="24"/>
          <w:highlight w:val="none"/>
        </w:rPr>
      </w:pPr>
      <w:r>
        <w:rPr>
          <w:rFonts w:hint="eastAsia"/>
          <w:b/>
          <w:color w:val="auto"/>
          <w:sz w:val="24"/>
          <w:highlight w:val="none"/>
        </w:rPr>
        <w:t>6、合同价款及支付方式</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6.1合同价款</w:t>
      </w:r>
    </w:p>
    <w:p>
      <w:pPr>
        <w:ind w:firstLine="482" w:firstLineChars="200"/>
        <w:contextualSpacing/>
        <w:jc w:val="left"/>
        <w:rPr>
          <w:rFonts w:ascii="宋体" w:hAnsi="宋体" w:cs="宋体"/>
          <w:b/>
          <w:color w:val="auto"/>
          <w:sz w:val="24"/>
          <w:highlight w:val="none"/>
        </w:rPr>
      </w:pPr>
      <w:r>
        <w:rPr>
          <w:rFonts w:hint="eastAsia" w:ascii="宋体" w:hAnsi="宋体" w:cs="宋体"/>
          <w:b/>
          <w:color w:val="auto"/>
          <w:sz w:val="24"/>
          <w:highlight w:val="none"/>
        </w:rPr>
        <w:t>（1）合同为单价合同，地下管线普查成果更新质检服务单价为元/公里。本项目预算金额为 万元，合同总金额不超过本包件的预算金额。</w:t>
      </w:r>
    </w:p>
    <w:p>
      <w:pPr>
        <w:ind w:firstLine="482" w:firstLineChars="200"/>
        <w:contextualSpacing/>
        <w:jc w:val="left"/>
        <w:rPr>
          <w:rFonts w:ascii="宋体" w:hAnsi="宋体" w:cs="宋体"/>
          <w:b/>
          <w:color w:val="auto"/>
          <w:sz w:val="24"/>
          <w:highlight w:val="none"/>
        </w:rPr>
      </w:pPr>
      <w:r>
        <w:rPr>
          <w:rFonts w:hint="eastAsia" w:ascii="宋体" w:hAnsi="宋体" w:cs="宋体"/>
          <w:b/>
          <w:color w:val="auto"/>
          <w:sz w:val="24"/>
          <w:highlight w:val="none"/>
        </w:rPr>
        <w:t>（2）合同总金额=中标单价×地下管线实际提交长度，实际提交长度为入库合格后的全野外探测、内外业结合核实探测管线长度。合同总金额超出本包件的预算金额时按照预算金额结算。</w:t>
      </w:r>
    </w:p>
    <w:p>
      <w:pPr>
        <w:ind w:firstLine="482" w:firstLineChars="200"/>
        <w:contextualSpacing/>
        <w:jc w:val="left"/>
        <w:rPr>
          <w:rFonts w:ascii="宋体" w:hAnsi="宋体" w:cs="宋体"/>
          <w:color w:val="auto"/>
          <w:sz w:val="24"/>
          <w:highlight w:val="none"/>
        </w:rPr>
      </w:pPr>
      <w:r>
        <w:rPr>
          <w:rFonts w:hint="eastAsia" w:ascii="宋体" w:hAnsi="宋体" w:cs="宋体"/>
          <w:b/>
          <w:color w:val="auto"/>
          <w:sz w:val="24"/>
          <w:highlight w:val="none"/>
        </w:rPr>
        <w:t>（3）可直接利用的地下管线普查成果不计入经费计算。</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6.2支付方式</w:t>
      </w:r>
    </w:p>
    <w:p>
      <w:pPr>
        <w:ind w:firstLine="480" w:firstLineChars="200"/>
        <w:contextualSpacing/>
        <w:rPr>
          <w:rFonts w:ascii="宋体" w:hAnsi="宋体"/>
          <w:color w:val="auto"/>
          <w:sz w:val="24"/>
          <w:highlight w:val="none"/>
        </w:rPr>
      </w:pPr>
      <w:r>
        <w:rPr>
          <w:rFonts w:hint="eastAsia" w:ascii="宋体" w:hAnsi="宋体"/>
          <w:color w:val="auto"/>
          <w:sz w:val="24"/>
          <w:highlight w:val="none"/>
        </w:rPr>
        <w:t>6.2.1</w:t>
      </w:r>
      <w:r>
        <w:rPr>
          <w:rFonts w:ascii="宋体" w:hAnsi="宋体"/>
          <w:color w:val="auto"/>
          <w:sz w:val="24"/>
          <w:highlight w:val="none"/>
        </w:rPr>
        <w:t>合同签订后15</w:t>
      </w:r>
      <w:r>
        <w:rPr>
          <w:rFonts w:hint="eastAsia" w:ascii="宋体" w:hAnsi="宋体"/>
          <w:color w:val="auto"/>
          <w:sz w:val="24"/>
          <w:highlight w:val="none"/>
        </w:rPr>
        <w:t>个工作</w:t>
      </w:r>
      <w:r>
        <w:rPr>
          <w:rFonts w:ascii="宋体" w:hAnsi="宋体"/>
          <w:color w:val="auto"/>
          <w:sz w:val="24"/>
          <w:highlight w:val="none"/>
        </w:rPr>
        <w:t>日内，</w:t>
      </w:r>
      <w:r>
        <w:rPr>
          <w:rFonts w:hint="eastAsia" w:ascii="宋体" w:hAnsi="宋体"/>
          <w:color w:val="auto"/>
          <w:sz w:val="24"/>
          <w:highlight w:val="none"/>
        </w:rPr>
        <w:t>甲方</w:t>
      </w:r>
      <w:r>
        <w:rPr>
          <w:rFonts w:ascii="宋体" w:hAnsi="宋体"/>
          <w:color w:val="auto"/>
          <w:sz w:val="24"/>
          <w:highlight w:val="none"/>
        </w:rPr>
        <w:t>向</w:t>
      </w:r>
      <w:r>
        <w:rPr>
          <w:rFonts w:hint="eastAsia" w:ascii="宋体" w:hAnsi="宋体"/>
          <w:color w:val="auto"/>
          <w:sz w:val="24"/>
          <w:highlight w:val="none"/>
        </w:rPr>
        <w:t>乙方</w:t>
      </w:r>
      <w:r>
        <w:rPr>
          <w:rFonts w:ascii="宋体" w:hAnsi="宋体"/>
          <w:color w:val="auto"/>
          <w:sz w:val="24"/>
          <w:highlight w:val="none"/>
        </w:rPr>
        <w:t>支付</w:t>
      </w:r>
      <w:r>
        <w:rPr>
          <w:rFonts w:hint="eastAsia" w:ascii="宋体" w:hAnsi="宋体"/>
          <w:color w:val="auto"/>
          <w:sz w:val="24"/>
          <w:highlight w:val="none"/>
        </w:rPr>
        <w:t>预算金额</w:t>
      </w:r>
      <w:r>
        <w:rPr>
          <w:rFonts w:ascii="宋体" w:hAnsi="宋体"/>
          <w:color w:val="auto"/>
          <w:sz w:val="24"/>
          <w:highlight w:val="none"/>
        </w:rPr>
        <w:t>的</w:t>
      </w:r>
      <w:r>
        <w:rPr>
          <w:rFonts w:hint="eastAsia" w:ascii="宋体" w:hAnsi="宋体"/>
          <w:color w:val="auto"/>
          <w:sz w:val="24"/>
          <w:highlight w:val="none"/>
          <w:u w:val="single"/>
        </w:rPr>
        <w:t xml:space="preserve"> 30 </w:t>
      </w:r>
      <w:r>
        <w:rPr>
          <w:rFonts w:ascii="宋体" w:hAnsi="宋体"/>
          <w:color w:val="auto"/>
          <w:sz w:val="24"/>
          <w:highlight w:val="none"/>
        </w:rPr>
        <w:t>%</w:t>
      </w:r>
      <w:r>
        <w:rPr>
          <w:rFonts w:hint="eastAsia" w:ascii="宋体" w:hAnsi="宋体"/>
          <w:color w:val="auto"/>
          <w:sz w:val="24"/>
          <w:highlight w:val="none"/>
        </w:rPr>
        <w:t>作为首付款。</w:t>
      </w:r>
    </w:p>
    <w:p>
      <w:pPr>
        <w:pStyle w:val="2"/>
        <w:spacing w:after="0"/>
        <w:ind w:firstLine="480" w:firstLineChars="200"/>
        <w:contextualSpacing/>
        <w:rPr>
          <w:color w:val="auto"/>
          <w:highlight w:val="none"/>
        </w:rPr>
      </w:pPr>
      <w:r>
        <w:rPr>
          <w:rFonts w:hint="eastAsia" w:ascii="宋体" w:hAnsi="宋体"/>
          <w:color w:val="auto"/>
          <w:sz w:val="24"/>
          <w:highlight w:val="none"/>
        </w:rPr>
        <w:t>6.2.2 乙方</w:t>
      </w:r>
      <w:r>
        <w:rPr>
          <w:rFonts w:ascii="宋体" w:hAnsi="宋体"/>
          <w:color w:val="auto"/>
          <w:sz w:val="24"/>
          <w:highlight w:val="none"/>
        </w:rPr>
        <w:t>完成</w:t>
      </w:r>
      <w:r>
        <w:rPr>
          <w:rFonts w:hint="eastAsia" w:ascii="宋体" w:hAnsi="宋体"/>
          <w:color w:val="auto"/>
          <w:sz w:val="24"/>
          <w:highlight w:val="none"/>
        </w:rPr>
        <w:t>项目</w:t>
      </w:r>
      <w:r>
        <w:rPr>
          <w:rFonts w:ascii="宋体" w:hAnsi="宋体"/>
          <w:color w:val="auto"/>
          <w:sz w:val="24"/>
          <w:highlight w:val="none"/>
        </w:rPr>
        <w:t>所有地下管线普查质检工作，出具质检报告并提交经</w:t>
      </w:r>
      <w:r>
        <w:rPr>
          <w:rFonts w:hint="eastAsia" w:ascii="宋体" w:hAnsi="宋体"/>
          <w:color w:val="auto"/>
          <w:sz w:val="24"/>
          <w:highlight w:val="none"/>
        </w:rPr>
        <w:t>甲方</w:t>
      </w:r>
      <w:r>
        <w:rPr>
          <w:rFonts w:ascii="宋体" w:hAnsi="宋体"/>
          <w:color w:val="auto"/>
          <w:sz w:val="24"/>
          <w:highlight w:val="none"/>
        </w:rPr>
        <w:t>确认的所有正式成果资料后，</w:t>
      </w:r>
      <w:r>
        <w:rPr>
          <w:rFonts w:hint="eastAsia" w:ascii="宋体" w:hAnsi="宋体"/>
          <w:color w:val="auto"/>
          <w:sz w:val="24"/>
          <w:highlight w:val="none"/>
        </w:rPr>
        <w:t>甲方于</w:t>
      </w:r>
      <w:r>
        <w:rPr>
          <w:rFonts w:ascii="宋体" w:hAnsi="宋体"/>
          <w:color w:val="auto"/>
          <w:sz w:val="24"/>
          <w:highlight w:val="none"/>
        </w:rPr>
        <w:t>15</w:t>
      </w:r>
      <w:r>
        <w:rPr>
          <w:rFonts w:hint="eastAsia" w:ascii="宋体" w:hAnsi="宋体"/>
          <w:color w:val="auto"/>
          <w:sz w:val="24"/>
          <w:highlight w:val="none"/>
        </w:rPr>
        <w:t>个工作</w:t>
      </w:r>
      <w:r>
        <w:rPr>
          <w:rFonts w:ascii="宋体" w:hAnsi="宋体"/>
          <w:color w:val="auto"/>
          <w:sz w:val="24"/>
          <w:highlight w:val="none"/>
        </w:rPr>
        <w:t>日</w:t>
      </w:r>
      <w:r>
        <w:rPr>
          <w:rFonts w:hint="eastAsia" w:ascii="宋体" w:hAnsi="宋体"/>
          <w:color w:val="auto"/>
          <w:sz w:val="24"/>
          <w:highlight w:val="none"/>
        </w:rPr>
        <w:t>内向乙方支付进度款。进度款=（</w:t>
      </w:r>
      <w:r>
        <w:rPr>
          <w:rFonts w:hint="eastAsia" w:ascii="宋体" w:hAnsi="宋体" w:cs="宋体"/>
          <w:color w:val="auto"/>
          <w:sz w:val="24"/>
          <w:highlight w:val="none"/>
        </w:rPr>
        <w:t>中标单价</w:t>
      </w:r>
      <w:r>
        <w:rPr>
          <w:rFonts w:ascii="宋体" w:hAnsi="宋体"/>
          <w:color w:val="auto"/>
          <w:sz w:val="24"/>
          <w:highlight w:val="none"/>
        </w:rPr>
        <w:t>×</w:t>
      </w:r>
      <w:r>
        <w:rPr>
          <w:rFonts w:hint="eastAsia" w:ascii="宋体" w:hAnsi="宋体" w:cs="宋体"/>
          <w:color w:val="auto"/>
          <w:sz w:val="24"/>
          <w:highlight w:val="none"/>
        </w:rPr>
        <w:t>地下管线实际提交长度）</w:t>
      </w:r>
      <w:r>
        <w:rPr>
          <w:rFonts w:ascii="宋体" w:hAnsi="宋体"/>
          <w:color w:val="auto"/>
          <w:sz w:val="24"/>
          <w:highlight w:val="none"/>
        </w:rPr>
        <w:t>×</w:t>
      </w:r>
      <w:r>
        <w:rPr>
          <w:rFonts w:hint="eastAsia" w:ascii="宋体" w:hAnsi="宋体"/>
          <w:color w:val="auto"/>
          <w:sz w:val="24"/>
          <w:highlight w:val="none"/>
        </w:rPr>
        <w:t>80</w:t>
      </w:r>
      <w:r>
        <w:rPr>
          <w:rFonts w:ascii="宋体" w:hAnsi="宋体"/>
          <w:color w:val="auto"/>
          <w:sz w:val="24"/>
          <w:highlight w:val="none"/>
        </w:rPr>
        <w:t>%</w:t>
      </w:r>
      <w:r>
        <w:rPr>
          <w:rFonts w:hint="eastAsia" w:ascii="宋体" w:hAnsi="宋体"/>
          <w:color w:val="auto"/>
          <w:sz w:val="24"/>
          <w:highlight w:val="none"/>
        </w:rPr>
        <w:t>-首付款，</w:t>
      </w:r>
      <w:r>
        <w:rPr>
          <w:rFonts w:hint="eastAsia" w:ascii="宋体" w:hAnsi="宋体" w:cs="宋体"/>
          <w:color w:val="auto"/>
          <w:sz w:val="24"/>
          <w:highlight w:val="none"/>
        </w:rPr>
        <w:t>若进度款计算为零或负数，则不支付。</w:t>
      </w:r>
      <w:r>
        <w:rPr>
          <w:rFonts w:hint="eastAsia" w:ascii="宋体" w:hAnsi="宋体"/>
          <w:color w:val="auto"/>
          <w:sz w:val="24"/>
          <w:highlight w:val="none"/>
        </w:rPr>
        <w:t>进度款中</w:t>
      </w:r>
      <w:r>
        <w:rPr>
          <w:rFonts w:hint="eastAsia" w:ascii="宋体" w:hAnsi="宋体" w:cs="宋体"/>
          <w:bCs/>
          <w:color w:val="auto"/>
          <w:sz w:val="24"/>
          <w:highlight w:val="none"/>
        </w:rPr>
        <w:t>实际提交长度为经质量检验合格后</w:t>
      </w:r>
      <w:r>
        <w:rPr>
          <w:rFonts w:hint="eastAsia" w:ascii="宋体" w:hAnsi="宋体" w:cs="宋体"/>
          <w:color w:val="auto"/>
          <w:sz w:val="24"/>
          <w:highlight w:val="none"/>
        </w:rPr>
        <w:t>的管线长度。</w:t>
      </w:r>
    </w:p>
    <w:p>
      <w:pPr>
        <w:ind w:firstLine="480" w:firstLineChars="200"/>
        <w:contextualSpacing/>
        <w:rPr>
          <w:rFonts w:ascii="宋体" w:hAnsi="宋体"/>
          <w:color w:val="auto"/>
          <w:sz w:val="24"/>
          <w:highlight w:val="none"/>
        </w:rPr>
      </w:pPr>
      <w:r>
        <w:rPr>
          <w:rFonts w:hint="eastAsia" w:ascii="宋体" w:hAnsi="宋体"/>
          <w:color w:val="auto"/>
          <w:sz w:val="24"/>
          <w:highlight w:val="none"/>
        </w:rPr>
        <w:t>6.2.3全部管线普查成果完成整合检查、汇交入库，且项目通过项目验收后</w:t>
      </w:r>
      <w:r>
        <w:rPr>
          <w:rFonts w:hint="eastAsia" w:ascii="宋体" w:hAnsi="宋体"/>
          <w:color w:val="auto"/>
          <w:sz w:val="24"/>
          <w:highlight w:val="none"/>
          <w:u w:val="single"/>
        </w:rPr>
        <w:t>60</w:t>
      </w:r>
      <w:r>
        <w:rPr>
          <w:rFonts w:hint="eastAsia" w:ascii="宋体" w:hAnsi="宋体"/>
          <w:color w:val="auto"/>
          <w:sz w:val="24"/>
          <w:highlight w:val="none"/>
        </w:rPr>
        <w:t>个工作日内甲方向乙方支付尾款。尾款=合同总金额-首付款-进度款。</w:t>
      </w:r>
    </w:p>
    <w:p>
      <w:pPr>
        <w:ind w:firstLine="480" w:firstLineChars="200"/>
        <w:contextualSpacing/>
        <w:rPr>
          <w:rFonts w:ascii="宋体" w:hAnsi="宋体"/>
          <w:color w:val="auto"/>
          <w:sz w:val="24"/>
          <w:highlight w:val="none"/>
        </w:rPr>
      </w:pPr>
      <w:r>
        <w:rPr>
          <w:rFonts w:hint="eastAsia" w:ascii="宋体" w:hAnsi="宋体"/>
          <w:color w:val="auto"/>
          <w:sz w:val="24"/>
          <w:highlight w:val="none"/>
        </w:rPr>
        <w:t>6.2.4支付每笔款项前，乙方须按项目进度及要求提交付款申请，并出具等额的发票，否则甲方有权顺延支付。</w:t>
      </w:r>
    </w:p>
    <w:p>
      <w:pPr>
        <w:ind w:firstLine="482" w:firstLineChars="200"/>
        <w:contextualSpacing/>
        <w:rPr>
          <w:b/>
          <w:color w:val="auto"/>
          <w:sz w:val="24"/>
          <w:highlight w:val="none"/>
        </w:rPr>
      </w:pPr>
      <w:r>
        <w:rPr>
          <w:rFonts w:hint="eastAsia"/>
          <w:b/>
          <w:color w:val="auto"/>
          <w:sz w:val="24"/>
          <w:highlight w:val="none"/>
        </w:rPr>
        <w:t>7、知识产权</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乙方应保证在本项目使用的任何产品和服务（包括部分使用）时，不会产生因第三方提出侵犯其著作权或其它知识产权而引起的法律和经济纠纷，如因著作权或其它知识产权而引起法律和经济纠纷，由乙方承担全部相关责任，由此造成甲方无法完成本合同约定的项目内容，甲方有权解除合同，并要求乙方全额退还已收的全部款项。</w:t>
      </w:r>
    </w:p>
    <w:p>
      <w:pPr>
        <w:ind w:firstLine="482" w:firstLineChars="200"/>
        <w:contextualSpacing/>
        <w:rPr>
          <w:b/>
          <w:color w:val="auto"/>
          <w:sz w:val="24"/>
          <w:highlight w:val="none"/>
        </w:rPr>
      </w:pPr>
      <w:r>
        <w:rPr>
          <w:rFonts w:hint="eastAsia"/>
          <w:b/>
          <w:color w:val="auto"/>
          <w:sz w:val="24"/>
          <w:highlight w:val="none"/>
        </w:rPr>
        <w:t>8、无产权瑕疵条款</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乙方保证所提供的服务的所有权完全属于乙方且无任何抵押、查封等产权瑕疵。如有产权瑕疵的，视为乙方违约，甲方有权解除合同并追究相关责任。</w:t>
      </w:r>
    </w:p>
    <w:p>
      <w:pPr>
        <w:ind w:firstLine="482" w:firstLineChars="200"/>
        <w:contextualSpacing/>
        <w:rPr>
          <w:b/>
          <w:color w:val="auto"/>
          <w:sz w:val="24"/>
          <w:highlight w:val="none"/>
        </w:rPr>
      </w:pPr>
      <w:r>
        <w:rPr>
          <w:rFonts w:hint="eastAsia"/>
          <w:b/>
          <w:color w:val="auto"/>
          <w:sz w:val="24"/>
          <w:highlight w:val="none"/>
        </w:rPr>
        <w:t>9、验收</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9.1项目完成后,由乙方向甲方提供全部质检成果。</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9.2项目验收由甲方组织实施，乙方与甲方严格按照《财政部关于进一步加强政府采购需求和履约验收管理的指导意见》（财库〔2016〕205号）的要求进行验收。</w:t>
      </w:r>
    </w:p>
    <w:p>
      <w:pPr>
        <w:ind w:firstLine="482" w:firstLineChars="200"/>
        <w:contextualSpacing/>
        <w:rPr>
          <w:b/>
          <w:color w:val="auto"/>
          <w:sz w:val="24"/>
          <w:highlight w:val="none"/>
        </w:rPr>
      </w:pPr>
      <w:r>
        <w:rPr>
          <w:rFonts w:hint="eastAsia"/>
          <w:b/>
          <w:color w:val="auto"/>
          <w:sz w:val="24"/>
          <w:highlight w:val="none"/>
        </w:rPr>
        <w:t xml:space="preserve">10、甲方的义务和权利 </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10.1 指定专人负责与乙方配合和联系工作。</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本项目甲方指定的专人为：袁明权、张振华；</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联系电话：15982033761 13518121242 。</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10.2为乙方完成本项目质检服务的各种必要关系提供协调工作。</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10.3 负责对生产技术要求进行解释。</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10.4 对乙方提供成果的商业秘密、技术秘密有保密的义务。</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10.5 按照合同约定的期限和方式向乙方支付合同价款。</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10.6 按本合同内容对乙方的项目实施情况进行监督检查。</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10.7 甲方独自承担本项目成果汇交义务。</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10.8 甲方有权要求乙方更换不能胜任本项目工作的项目负责人或技术负责人。</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10.9 国家法律、法规所规定由甲方承担的其它责任。</w:t>
      </w:r>
    </w:p>
    <w:p>
      <w:pPr>
        <w:ind w:firstLine="482" w:firstLineChars="200"/>
        <w:contextualSpacing/>
        <w:rPr>
          <w:b/>
          <w:color w:val="auto"/>
          <w:sz w:val="24"/>
          <w:highlight w:val="none"/>
        </w:rPr>
      </w:pPr>
      <w:r>
        <w:rPr>
          <w:rFonts w:hint="eastAsia"/>
          <w:b/>
          <w:color w:val="auto"/>
          <w:sz w:val="24"/>
          <w:highlight w:val="none"/>
        </w:rPr>
        <w:t>11、乙方的义务和权利</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11.1在约定时限内提交合格质检成果资料，并配合甲方组织的验收工作。</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11.2 对甲方提出的项目要求等进行的必要调整和完善意见应积极响应。</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11.3 指定专人（项目负责人和技术负责人）与甲方配合和联系工作，乙方应按甲方要求及时更换不能胜任本项目工作的项目负责人或技术负责人。</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本项目乙方项目负责人：,联系电话：。</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本项目乙方技术负责人：,联系电话：。</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11.4乙方应参加甲方组织的验收工作，并就项目成果向甲方和验收组作介绍、说明。</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11.5项目进行过程中，乙方项目负责人和技术负责人如需更换，必须向甲方提交书面报告，经甲方同意后方可更换。</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11.6乙方承担其人员、仪器设备等全部安全责任。</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11.7本项目所有资料、成果的所有权归甲方。乙方不承担本项目汇交义务。乙方对本项目所有的成果资料具有保密的义务，不得以任何形式向第三方提供和泄露，不得利用本项目成果资料生产其它任何形式的产品，本项目终止时应将所有资料移交给甲方，不得作任何形式的保留。</w:t>
      </w:r>
    </w:p>
    <w:p>
      <w:pPr>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11.8 若乙方及乙方人员在履行合同过程中，造成甲方或任何第三方人身或财产损害，导致甲方向其员工或任何第三方承担法律责任的，甲方有权向乙方追偿。</w:t>
      </w:r>
    </w:p>
    <w:p>
      <w:pPr>
        <w:ind w:firstLine="482" w:firstLineChars="200"/>
        <w:contextualSpacing/>
        <w:rPr>
          <w:b/>
          <w:color w:val="auto"/>
          <w:sz w:val="24"/>
          <w:highlight w:val="none"/>
        </w:rPr>
      </w:pPr>
      <w:r>
        <w:rPr>
          <w:rFonts w:hint="eastAsia"/>
          <w:b/>
          <w:color w:val="auto"/>
          <w:sz w:val="24"/>
          <w:highlight w:val="none"/>
        </w:rPr>
        <w:t>12、甲方违约责任</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12.1 如果甲方未按合同要求支付乙方合同价款，则甲方应以应付而未付价款为基数按同期全国银行间同业拆借中心公布的贷款市场报价利率向乙方支付违约金。</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 xml:space="preserve">12.2由于甲方（或甲方认可的第三方）原因导致乙方未能按期完成项目的，则工期顺延，但顺延时间不能超过甲方（或甲方认可的第三方）原因所影响的时间。因不可抗力因素导致本合同终止，甲方不负违约责任。 </w:t>
      </w:r>
    </w:p>
    <w:p>
      <w:pPr>
        <w:ind w:firstLine="482" w:firstLineChars="200"/>
        <w:contextualSpacing/>
        <w:rPr>
          <w:b/>
          <w:color w:val="auto"/>
          <w:sz w:val="24"/>
          <w:highlight w:val="none"/>
        </w:rPr>
      </w:pPr>
      <w:r>
        <w:rPr>
          <w:rFonts w:hint="eastAsia"/>
          <w:b/>
          <w:color w:val="auto"/>
          <w:sz w:val="24"/>
          <w:highlight w:val="none"/>
        </w:rPr>
        <w:t xml:space="preserve">13、乙方违约责任 </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13.1 合同签订后，由于乙方原因而终止合同的，乙方应退还甲方所有资料和已付款项，并按合同总金额的</w:t>
      </w:r>
      <w:r>
        <w:rPr>
          <w:rFonts w:hint="eastAsia" w:ascii="宋体" w:hAnsi="宋体" w:cs="宋体"/>
          <w:color w:val="auto"/>
          <w:sz w:val="24"/>
          <w:highlight w:val="none"/>
          <w:u w:val="single"/>
        </w:rPr>
        <w:t xml:space="preserve">20% </w:t>
      </w:r>
      <w:r>
        <w:rPr>
          <w:rFonts w:hint="eastAsia" w:ascii="宋体" w:hAnsi="宋体" w:cs="宋体"/>
          <w:color w:val="auto"/>
          <w:sz w:val="24"/>
          <w:highlight w:val="none"/>
        </w:rPr>
        <w:t>向甲方支付违约金。</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13.2乙方未能按合同规定的日期提交成果时，乙方应向甲方支付延期损失费，每天的延期损失费按合同总金额的</w:t>
      </w:r>
      <w:r>
        <w:rPr>
          <w:rFonts w:hint="eastAsia" w:ascii="宋体" w:hAnsi="宋体" w:cs="宋体"/>
          <w:color w:val="auto"/>
          <w:sz w:val="24"/>
          <w:highlight w:val="none"/>
          <w:u w:val="single"/>
        </w:rPr>
        <w:t xml:space="preserve"> 0.3</w:t>
      </w:r>
      <w:r>
        <w:rPr>
          <w:rFonts w:hint="eastAsia" w:ascii="宋体" w:hAnsi="宋体" w:cs="宋体"/>
          <w:color w:val="auto"/>
          <w:sz w:val="24"/>
          <w:highlight w:val="none"/>
        </w:rPr>
        <w:t>‰ 计算。</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13.3乙方成果提交延期三个月以上的，甲方有权视情况解除合同，要求乙方全额退还已收款项，按合同总金额的</w:t>
      </w:r>
      <w:r>
        <w:rPr>
          <w:rFonts w:hint="eastAsia" w:ascii="宋体" w:hAnsi="宋体" w:cs="宋体"/>
          <w:color w:val="auto"/>
          <w:sz w:val="24"/>
          <w:highlight w:val="none"/>
          <w:u w:val="single"/>
        </w:rPr>
        <w:t>20%</w:t>
      </w:r>
      <w:r>
        <w:rPr>
          <w:rFonts w:hint="eastAsia" w:ascii="宋体" w:hAnsi="宋体" w:cs="宋体"/>
          <w:color w:val="auto"/>
          <w:sz w:val="24"/>
          <w:highlight w:val="none"/>
        </w:rPr>
        <w:t>向甲方支付违约金，并追究相关责任。</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13.4乙方违反本合同第11.7条约定的，甲方有权要求乙方全额退还已收款项，按本合同总金额的</w:t>
      </w:r>
      <w:r>
        <w:rPr>
          <w:rFonts w:hint="eastAsia" w:ascii="宋体" w:hAnsi="宋体" w:cs="宋体"/>
          <w:color w:val="auto"/>
          <w:sz w:val="24"/>
          <w:highlight w:val="none"/>
          <w:u w:val="single"/>
        </w:rPr>
        <w:t xml:space="preserve">20% </w:t>
      </w:r>
      <w:r>
        <w:rPr>
          <w:rFonts w:hint="eastAsia" w:ascii="宋体" w:hAnsi="宋体" w:cs="宋体"/>
          <w:color w:val="auto"/>
          <w:sz w:val="24"/>
          <w:highlight w:val="none"/>
        </w:rPr>
        <w:t>向甲方赔偿损失，甲方并有权向乙方追究其法律责任。</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13.5项目进行过程中，乙方未经甲方同意擅自</w:t>
      </w:r>
      <w:r>
        <w:rPr>
          <w:rFonts w:hint="eastAsia" w:ascii="宋体" w:hAnsi="宋体"/>
          <w:color w:val="auto"/>
          <w:sz w:val="24"/>
          <w:szCs w:val="24"/>
          <w:highlight w:val="none"/>
        </w:rPr>
        <w:t>项目负责人或技术负责人</w:t>
      </w:r>
      <w:r>
        <w:rPr>
          <w:rFonts w:hint="eastAsia" w:ascii="宋体" w:hAnsi="宋体" w:cs="宋体"/>
          <w:color w:val="auto"/>
          <w:sz w:val="24"/>
          <w:highlight w:val="none"/>
        </w:rPr>
        <w:t>的，每人次乙方应偿付本合同有效期内合同总金额</w:t>
      </w:r>
      <w:r>
        <w:rPr>
          <w:rFonts w:hint="eastAsia" w:ascii="宋体" w:hAnsi="宋体" w:cs="宋体"/>
          <w:color w:val="auto"/>
          <w:sz w:val="24"/>
          <w:highlight w:val="none"/>
          <w:u w:val="single"/>
        </w:rPr>
        <w:t>1%</w:t>
      </w:r>
      <w:r>
        <w:rPr>
          <w:rFonts w:hint="eastAsia" w:ascii="宋体" w:hAnsi="宋体" w:cs="宋体"/>
          <w:color w:val="auto"/>
          <w:sz w:val="24"/>
          <w:highlight w:val="none"/>
        </w:rPr>
        <w:t>的违约金。如乙方擅自更换项目负责人或技术负责人超过2次或经甲方要求后仍未整改的，甲方有权解除合同，乙方需支付合同总金额20%的违约金。</w:t>
      </w:r>
    </w:p>
    <w:p>
      <w:pPr>
        <w:pStyle w:val="2"/>
        <w:ind w:firstLine="480" w:firstLineChars="200"/>
        <w:contextualSpacing/>
        <w:rPr>
          <w:rFonts w:ascii="宋体" w:hAnsi="宋体" w:cs="宋体"/>
          <w:color w:val="auto"/>
          <w:kern w:val="2"/>
          <w:sz w:val="24"/>
          <w:szCs w:val="22"/>
          <w:highlight w:val="none"/>
        </w:rPr>
      </w:pPr>
      <w:r>
        <w:rPr>
          <w:rFonts w:hint="eastAsia" w:ascii="宋体" w:hAnsi="宋体" w:cs="宋体"/>
          <w:color w:val="auto"/>
          <w:kern w:val="2"/>
          <w:sz w:val="24"/>
          <w:szCs w:val="22"/>
          <w:highlight w:val="none"/>
        </w:rPr>
        <w:t>13.6乙方未按甲方要求按时参与甲方组织的验收工作的，每次应向甲方支付合同总金额的1%的违约金；累计达三次及以上的，甲方有权解除合同，乙方需支付合同总金额20%的违约金。</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13.7乙方应当支付的违约金、延期损失费及应当赔偿的损失，甲方有权从未支付款项（进度款和尾款）中予以扣除。</w:t>
      </w:r>
    </w:p>
    <w:p>
      <w:pPr>
        <w:ind w:firstLine="482" w:firstLineChars="200"/>
        <w:contextualSpacing/>
        <w:rPr>
          <w:b/>
          <w:color w:val="auto"/>
          <w:sz w:val="24"/>
          <w:highlight w:val="none"/>
        </w:rPr>
      </w:pPr>
      <w:r>
        <w:rPr>
          <w:rFonts w:hint="eastAsia"/>
          <w:b/>
          <w:color w:val="auto"/>
          <w:sz w:val="24"/>
          <w:highlight w:val="none"/>
        </w:rPr>
        <w:t>14、合同的变更和修改、中止和终止</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14.1本合同一经生效，合同双方均不得擅自对本合同的内容作任何单方的修改。但任何一方均可以对合同内容以书面形式提出变更、修改、取消或补充的建议，经双方同意后，由双方法人代表或委托代理人（须经法定表人书面授权委托）签字后生效。</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14.2如遇政府采购任务取消，甲方有权取消、中止或终止合同；如果甲方认定乙方在竞标或执行合同中有腐败或欺诈行为，投入的相关人员和仪器设备弄虚作假的，甲方有权在任何时候发出书面通知终止合同，并不承担任何责任。</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14.3甲方因乙方不履约或乙方其他原因而解除合同的，乙方须返还甲方所有已付款项、赔偿甲方由此产生的损失并承担其他相关责任。</w:t>
      </w:r>
    </w:p>
    <w:p>
      <w:pPr>
        <w:ind w:firstLine="482" w:firstLineChars="200"/>
        <w:contextualSpacing/>
        <w:rPr>
          <w:b/>
          <w:color w:val="auto"/>
          <w:sz w:val="24"/>
          <w:highlight w:val="none"/>
        </w:rPr>
      </w:pPr>
      <w:r>
        <w:rPr>
          <w:rFonts w:hint="eastAsia"/>
          <w:b/>
          <w:color w:val="auto"/>
          <w:sz w:val="24"/>
          <w:highlight w:val="none"/>
        </w:rPr>
        <w:t>15、不可抗力</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15.1不可抗力是指合同签字后发生的非甲乙双方所能控制的、并非合同方过失的、无法中止的、不能预防的事件。合同双方中的任何一方，由于不可抗力事件而影响合同义务的执行时，则延迟履行合同义务的期限相当于不可抗力事件影响的时间，但是不能因为不可抗力的延迟而调整合同价格。</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15.2受到不可抗力影响的一方应在不可抗力事故发生后，尽快将所发生的不可抗力事件的情况以传真或电报通知另一方，并尽快取得另一方审阅确认，受影响的一方同时应尽量设法缩小这种影响和由此而引起的延误，一旦不可抗力的影响消除后，应将此情况立即通知对方。</w:t>
      </w:r>
    </w:p>
    <w:p>
      <w:pPr>
        <w:ind w:firstLine="482" w:firstLineChars="200"/>
        <w:contextualSpacing/>
        <w:rPr>
          <w:rFonts w:ascii="宋体" w:hAnsi="宋体"/>
          <w:b/>
          <w:color w:val="auto"/>
          <w:sz w:val="24"/>
          <w:szCs w:val="24"/>
          <w:highlight w:val="none"/>
        </w:rPr>
      </w:pPr>
      <w:r>
        <w:rPr>
          <w:rFonts w:hint="eastAsia" w:ascii="宋体" w:hAnsi="宋体"/>
          <w:b/>
          <w:color w:val="auto"/>
          <w:sz w:val="24"/>
          <w:szCs w:val="24"/>
          <w:highlight w:val="none"/>
        </w:rPr>
        <w:t>16、通知送达</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16.1乙方确认合同联系方式如下：</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 xml:space="preserve">联系人： </w:t>
      </w:r>
      <w:r>
        <w:rPr>
          <w:rFonts w:ascii="宋体" w:hAnsi="宋体" w:cs="宋体"/>
          <w:color w:val="auto"/>
          <w:sz w:val="24"/>
          <w:highlight w:val="none"/>
        </w:rPr>
        <w:t xml:space="preserve"> </w:t>
      </w: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 xml:space="preserve">联系地址： </w:t>
      </w:r>
      <w:r>
        <w:rPr>
          <w:rFonts w:ascii="宋体" w:hAnsi="宋体" w:cs="宋体"/>
          <w:color w:val="auto"/>
          <w:sz w:val="24"/>
          <w:highlight w:val="none"/>
        </w:rPr>
        <w:t xml:space="preserve"> </w:t>
      </w: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 xml:space="preserve">电子邮箱： </w:t>
      </w:r>
      <w:r>
        <w:rPr>
          <w:rFonts w:ascii="宋体" w:hAnsi="宋体" w:cs="宋体"/>
          <w:color w:val="auto"/>
          <w:sz w:val="24"/>
          <w:highlight w:val="none"/>
        </w:rPr>
        <w:t xml:space="preserve">  </w:t>
      </w: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电话：</w:t>
      </w:r>
    </w:p>
    <w:p>
      <w:pPr>
        <w:ind w:firstLine="480" w:firstLineChars="200"/>
        <w:contextualSpacing/>
        <w:rPr>
          <w:rFonts w:ascii="宋体" w:hAnsi="宋体" w:cs="宋体"/>
          <w:color w:val="auto"/>
          <w:sz w:val="24"/>
          <w:highlight w:val="none"/>
        </w:rPr>
      </w:pPr>
      <w:r>
        <w:rPr>
          <w:rFonts w:ascii="宋体" w:hAnsi="宋体" w:cs="宋体"/>
          <w:color w:val="auto"/>
          <w:sz w:val="24"/>
          <w:highlight w:val="none"/>
        </w:rPr>
        <w:t>甲方对</w:t>
      </w:r>
      <w:r>
        <w:rPr>
          <w:rFonts w:hint="eastAsia" w:ascii="宋体" w:hAnsi="宋体" w:cs="宋体"/>
          <w:color w:val="auto"/>
          <w:sz w:val="24"/>
          <w:highlight w:val="none"/>
        </w:rPr>
        <w:t>乙方</w:t>
      </w:r>
      <w:r>
        <w:rPr>
          <w:rFonts w:ascii="宋体" w:hAnsi="宋体" w:cs="宋体"/>
          <w:color w:val="auto"/>
          <w:sz w:val="24"/>
          <w:highlight w:val="none"/>
        </w:rPr>
        <w:t>的通知可以向</w:t>
      </w:r>
      <w:r>
        <w:rPr>
          <w:rFonts w:hint="eastAsia" w:ascii="宋体" w:hAnsi="宋体" w:cs="宋体"/>
          <w:color w:val="auto"/>
          <w:sz w:val="24"/>
          <w:highlight w:val="none"/>
        </w:rPr>
        <w:t>乙</w:t>
      </w:r>
      <w:r>
        <w:rPr>
          <w:rFonts w:ascii="宋体" w:hAnsi="宋体" w:cs="宋体"/>
          <w:color w:val="auto"/>
          <w:sz w:val="24"/>
          <w:highlight w:val="none"/>
        </w:rPr>
        <w:t>方直接送达，也可以采用下列任何一种方式向</w:t>
      </w:r>
      <w:r>
        <w:rPr>
          <w:rFonts w:hint="eastAsia" w:ascii="宋体" w:hAnsi="宋体" w:cs="宋体"/>
          <w:color w:val="auto"/>
          <w:sz w:val="24"/>
          <w:highlight w:val="none"/>
        </w:rPr>
        <w:t>乙</w:t>
      </w:r>
      <w:r>
        <w:rPr>
          <w:rFonts w:ascii="宋体" w:hAnsi="宋体" w:cs="宋体"/>
          <w:color w:val="auto"/>
          <w:sz w:val="24"/>
          <w:highlight w:val="none"/>
        </w:rPr>
        <w:t>方进行送达；如涉及诉讼，法院也可以采用下列任何一种方式向</w:t>
      </w:r>
      <w:r>
        <w:rPr>
          <w:rFonts w:hint="eastAsia" w:ascii="宋体" w:hAnsi="宋体" w:cs="宋体"/>
          <w:color w:val="auto"/>
          <w:sz w:val="24"/>
          <w:highlight w:val="none"/>
        </w:rPr>
        <w:t>乙</w:t>
      </w:r>
      <w:r>
        <w:rPr>
          <w:rFonts w:ascii="宋体" w:hAnsi="宋体" w:cs="宋体"/>
          <w:color w:val="auto"/>
          <w:sz w:val="24"/>
          <w:highlight w:val="none"/>
        </w:rPr>
        <w:t>方送达诉讼文书；对此，</w:t>
      </w:r>
      <w:r>
        <w:rPr>
          <w:rFonts w:hint="eastAsia" w:ascii="宋体" w:hAnsi="宋体" w:cs="宋体"/>
          <w:color w:val="auto"/>
          <w:sz w:val="24"/>
          <w:highlight w:val="none"/>
        </w:rPr>
        <w:t>乙方</w:t>
      </w:r>
      <w:r>
        <w:rPr>
          <w:rFonts w:ascii="宋体" w:hAnsi="宋体" w:cs="宋体"/>
          <w:color w:val="auto"/>
          <w:sz w:val="24"/>
          <w:highlight w:val="none"/>
        </w:rPr>
        <w:t>均予以认可：</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甲方可通过邮寄方式送达，</w:t>
      </w:r>
      <w:r>
        <w:rPr>
          <w:rFonts w:hint="eastAsia" w:ascii="宋体" w:hAnsi="宋体" w:cs="宋体"/>
          <w:color w:val="auto"/>
          <w:sz w:val="24"/>
          <w:highlight w:val="none"/>
        </w:rPr>
        <w:t>乙方</w:t>
      </w:r>
      <w:r>
        <w:rPr>
          <w:rFonts w:ascii="宋体" w:hAnsi="宋体" w:cs="宋体"/>
          <w:color w:val="auto"/>
          <w:sz w:val="24"/>
          <w:highlight w:val="none"/>
        </w:rPr>
        <w:t>在本合同中明确的</w:t>
      </w:r>
      <w:r>
        <w:rPr>
          <w:rFonts w:hint="eastAsia" w:ascii="宋体" w:hAnsi="宋体" w:cs="宋体"/>
          <w:color w:val="auto"/>
          <w:sz w:val="24"/>
          <w:highlight w:val="none"/>
        </w:rPr>
        <w:t>联系</w:t>
      </w:r>
      <w:r>
        <w:rPr>
          <w:rFonts w:ascii="宋体" w:hAnsi="宋体" w:cs="宋体"/>
          <w:color w:val="auto"/>
          <w:sz w:val="24"/>
          <w:highlight w:val="none"/>
        </w:rPr>
        <w:t>地址、</w:t>
      </w:r>
      <w:r>
        <w:rPr>
          <w:rFonts w:hint="eastAsia" w:ascii="宋体" w:hAnsi="宋体" w:cs="宋体"/>
          <w:color w:val="auto"/>
          <w:sz w:val="24"/>
          <w:highlight w:val="none"/>
        </w:rPr>
        <w:t>乙方</w:t>
      </w:r>
      <w:r>
        <w:rPr>
          <w:rFonts w:ascii="宋体" w:hAnsi="宋体" w:cs="宋体"/>
          <w:color w:val="auto"/>
          <w:sz w:val="24"/>
          <w:highlight w:val="none"/>
        </w:rPr>
        <w:t>工商注册住所或户籍所在地的住所，均为有效的送达地址，甲方向任一地址发出邮件后三日（四川省以外为五日）即视为送达；</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甲方可通过传真、联系电话、电子邮箱、微信</w:t>
      </w:r>
      <w:r>
        <w:rPr>
          <w:rFonts w:hint="eastAsia" w:ascii="宋体" w:hAnsi="宋体" w:cs="宋体"/>
          <w:color w:val="auto"/>
          <w:sz w:val="24"/>
          <w:highlight w:val="none"/>
        </w:rPr>
        <w:t>等</w:t>
      </w:r>
      <w:r>
        <w:rPr>
          <w:rFonts w:ascii="宋体" w:hAnsi="宋体" w:cs="宋体"/>
          <w:color w:val="auto"/>
          <w:sz w:val="24"/>
          <w:highlight w:val="none"/>
        </w:rPr>
        <w:t>方式送达，发出的当日即视为送达。</w:t>
      </w:r>
    </w:p>
    <w:p>
      <w:pPr>
        <w:ind w:firstLine="480" w:firstLineChars="200"/>
        <w:contextualSpacing/>
        <w:rPr>
          <w:rFonts w:ascii="宋体" w:hAnsi="宋体"/>
          <w:color w:val="auto"/>
          <w:sz w:val="24"/>
          <w:szCs w:val="24"/>
          <w:highlight w:val="none"/>
        </w:rPr>
      </w:pPr>
      <w:r>
        <w:rPr>
          <w:rFonts w:hint="eastAsia" w:ascii="宋体" w:hAnsi="宋体" w:cs="宋体"/>
          <w:color w:val="auto"/>
          <w:sz w:val="24"/>
          <w:highlight w:val="none"/>
        </w:rPr>
        <w:t>（3）</w:t>
      </w:r>
      <w:r>
        <w:rPr>
          <w:rFonts w:ascii="宋体" w:hAnsi="宋体" w:cs="宋体"/>
          <w:color w:val="auto"/>
          <w:sz w:val="24"/>
          <w:highlight w:val="none"/>
        </w:rPr>
        <w:t>甲方可以采取在报纸上刊登公告的形式送达，在公告刊登后三日即视为送</w:t>
      </w:r>
      <w:r>
        <w:rPr>
          <w:rFonts w:ascii="宋体" w:hAnsi="宋体"/>
          <w:color w:val="auto"/>
          <w:sz w:val="24"/>
          <w:szCs w:val="24"/>
          <w:highlight w:val="none"/>
        </w:rPr>
        <w:t>达。</w:t>
      </w:r>
    </w:p>
    <w:p>
      <w:pPr>
        <w:ind w:firstLine="482" w:firstLineChars="200"/>
        <w:contextualSpacing/>
        <w:rPr>
          <w:b/>
          <w:color w:val="auto"/>
          <w:sz w:val="24"/>
          <w:highlight w:val="none"/>
        </w:rPr>
      </w:pPr>
      <w:r>
        <w:rPr>
          <w:rFonts w:hint="eastAsia"/>
          <w:b/>
          <w:color w:val="auto"/>
          <w:sz w:val="24"/>
          <w:highlight w:val="none"/>
        </w:rPr>
        <w:t>17、争议的解决方式</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17.1 本合同适用法律为中华人民共和国法律。</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17.2凡与本合同有关的一切争议，甲乙双方应通过友好协商解决。如经协商后仍不能达成协议时，任何一方都有权向合同签订地人民法院诉讼。</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17.3诉讼结果对双方都有约束力，双方应遵照执行。</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17.4上述过程发生的费用，除诉讼结果另有规定外，应由败诉方承担。</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17.5在进行诉讼期间，除提交诉讼的事项外，合同仍应继续履行。</w:t>
      </w:r>
    </w:p>
    <w:p>
      <w:pPr>
        <w:ind w:firstLine="482" w:firstLineChars="200"/>
        <w:contextualSpacing/>
        <w:rPr>
          <w:b/>
          <w:color w:val="auto"/>
          <w:sz w:val="24"/>
          <w:highlight w:val="none"/>
        </w:rPr>
      </w:pPr>
      <w:r>
        <w:rPr>
          <w:rFonts w:hint="eastAsia"/>
          <w:b/>
          <w:color w:val="auto"/>
          <w:sz w:val="24"/>
          <w:highlight w:val="none"/>
        </w:rPr>
        <w:t>18、合同生效及其它事项</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 本合同一式份,甲方执份，乙方执份，具有同等的法律效力。</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18.2本合同经双方法定代表人或授权代表签字并盖章后生效。全部成果交接完毕和费用结算完成后，本合同终止。</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 xml:space="preserve">18.3 其它未尽事宜由甲乙双方共同协商签订补充协议。  </w:t>
      </w:r>
    </w:p>
    <w:p>
      <w:pPr>
        <w:ind w:firstLine="480" w:firstLineChars="200"/>
        <w:contextualSpacing/>
        <w:rPr>
          <w:rFonts w:ascii="宋体" w:hAnsi="宋体" w:cs="宋体"/>
          <w:color w:val="auto"/>
          <w:sz w:val="24"/>
          <w:highlight w:val="none"/>
        </w:rPr>
      </w:pPr>
    </w:p>
    <w:p>
      <w:pPr>
        <w:ind w:firstLine="480" w:firstLineChars="200"/>
        <w:contextualSpacing/>
        <w:jc w:val="center"/>
        <w:rPr>
          <w:rFonts w:ascii="宋体" w:hAnsi="宋体" w:cs="宋体"/>
          <w:color w:val="auto"/>
          <w:sz w:val="24"/>
          <w:highlight w:val="none"/>
        </w:rPr>
      </w:pPr>
      <w:r>
        <w:rPr>
          <w:rFonts w:hint="eastAsia" w:ascii="宋体" w:hAnsi="宋体" w:cs="宋体"/>
          <w:color w:val="auto"/>
          <w:sz w:val="24"/>
          <w:highlight w:val="none"/>
        </w:rPr>
        <w:t>（以下无正文，为签署区）</w:t>
      </w:r>
    </w:p>
    <w:p>
      <w:pPr>
        <w:ind w:firstLine="480" w:firstLineChars="200"/>
        <w:contextualSpacing/>
        <w:rPr>
          <w:rFonts w:ascii="宋体" w:hAnsi="宋体" w:cs="宋体"/>
          <w:color w:val="auto"/>
          <w:sz w:val="24"/>
          <w:highlight w:val="none"/>
        </w:rPr>
      </w:pP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 xml:space="preserve">甲 方：                             乙 方： </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（印章）：                           （印章）：</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法定代表人（或委托代理人）：          法定代表人（或委托代理人）：</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 xml:space="preserve">地址：                               地址： </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邮政编码：                           邮政编码：</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 xml:space="preserve">电 话：                              电 话： </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帐 号：                              帐 号：</w:t>
      </w:r>
    </w:p>
    <w:p>
      <w:pPr>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合同订立日期：    年    月    日</w:t>
      </w:r>
    </w:p>
    <w:p>
      <w:pPr>
        <w:pStyle w:val="2"/>
        <w:ind w:firstLine="480" w:firstLineChars="200"/>
        <w:contextualSpacing/>
        <w:rPr>
          <w:color w:val="auto"/>
          <w:highlight w:val="none"/>
        </w:rPr>
      </w:pPr>
      <w:r>
        <w:rPr>
          <w:rFonts w:hint="eastAsia" w:ascii="宋体" w:hAnsi="宋体" w:cs="宋体"/>
          <w:color w:val="auto"/>
          <w:sz w:val="24"/>
          <w:highlight w:val="none"/>
        </w:rPr>
        <w:t>合同订立地点：</w:t>
      </w:r>
    </w:p>
    <w:p>
      <w:pPr>
        <w:pStyle w:val="209"/>
        <w:adjustRightInd/>
        <w:ind w:firstLine="480" w:firstLineChars="200"/>
        <w:contextualSpacing/>
        <w:rPr>
          <w:rFonts w:hAnsi="宋体"/>
          <w:color w:val="auto"/>
          <w:highlight w:val="none"/>
        </w:rPr>
      </w:pPr>
    </w:p>
    <w:p>
      <w:pPr>
        <w:pStyle w:val="209"/>
        <w:rPr>
          <w:rFonts w:hAnsi="宋体"/>
          <w:color w:val="auto"/>
          <w:highlight w:val="none"/>
        </w:rPr>
      </w:pPr>
    </w:p>
    <w:p>
      <w:pPr>
        <w:pStyle w:val="209"/>
        <w:rPr>
          <w:rFonts w:hAnsi="宋体"/>
          <w:color w:val="auto"/>
          <w:highlight w:val="none"/>
        </w:rPr>
      </w:pPr>
    </w:p>
    <w:p>
      <w:pPr>
        <w:pStyle w:val="209"/>
        <w:rPr>
          <w:rFonts w:hAnsi="宋体"/>
          <w:color w:val="auto"/>
          <w:highlight w:val="none"/>
        </w:rPr>
      </w:pPr>
    </w:p>
    <w:p>
      <w:pPr>
        <w:widowControl/>
        <w:jc w:val="left"/>
        <w:rPr>
          <w:rFonts w:ascii="宋体" w:hAnsi="宋体" w:cs="宋体"/>
          <w:color w:val="auto"/>
          <w:kern w:val="0"/>
          <w:sz w:val="24"/>
          <w:szCs w:val="24"/>
          <w:highlight w:val="none"/>
        </w:rPr>
      </w:pPr>
      <w:r>
        <w:rPr>
          <w:rFonts w:hAnsi="宋体"/>
          <w:color w:val="auto"/>
          <w:highlight w:val="none"/>
        </w:rPr>
        <w:br w:type="page"/>
      </w:r>
    </w:p>
    <w:p>
      <w:pPr>
        <w:pStyle w:val="4"/>
        <w:jc w:val="both"/>
        <w:rPr>
          <w:color w:val="auto"/>
          <w:spacing w:val="-11"/>
          <w:highlight w:val="none"/>
        </w:rPr>
      </w:pPr>
      <w:bookmarkStart w:id="452" w:name="_Toc79654125"/>
      <w:r>
        <w:rPr>
          <w:rFonts w:hint="eastAsia" w:cs="Tahoma"/>
          <w:color w:val="auto"/>
          <w:spacing w:val="-11"/>
          <w:sz w:val="30"/>
          <w:szCs w:val="30"/>
          <w:highlight w:val="none"/>
        </w:rPr>
        <w:t>附件1：</w:t>
      </w:r>
      <w:bookmarkEnd w:id="452"/>
    </w:p>
    <w:tbl>
      <w:tblPr>
        <w:tblStyle w:val="43"/>
        <w:tblpPr w:leftFromText="180" w:rightFromText="180" w:vertAnchor="text" w:horzAnchor="page" w:tblpX="1274" w:tblpY="460"/>
        <w:tblOverlap w:val="never"/>
        <w:tblW w:w="9400" w:type="dxa"/>
        <w:tblInd w:w="0" w:type="dxa"/>
        <w:tblLayout w:type="fixed"/>
        <w:tblCellMar>
          <w:top w:w="0" w:type="dxa"/>
          <w:left w:w="0" w:type="dxa"/>
          <w:bottom w:w="0" w:type="dxa"/>
          <w:right w:w="0" w:type="dxa"/>
        </w:tblCellMar>
      </w:tblPr>
      <w:tblGrid>
        <w:gridCol w:w="699"/>
        <w:gridCol w:w="3160"/>
        <w:gridCol w:w="2555"/>
        <w:gridCol w:w="2986"/>
      </w:tblGrid>
      <w:tr>
        <w:tblPrEx>
          <w:tblCellMar>
            <w:top w:w="0" w:type="dxa"/>
            <w:left w:w="0" w:type="dxa"/>
            <w:bottom w:w="0" w:type="dxa"/>
            <w:right w:w="0" w:type="dxa"/>
          </w:tblCellMar>
        </w:tblPrEx>
        <w:trPr>
          <w:trHeight w:val="615" w:hRule="atLeast"/>
        </w:trPr>
        <w:tc>
          <w:tcPr>
            <w:tcW w:w="9400"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auto"/>
                <w:sz w:val="36"/>
                <w:szCs w:val="36"/>
                <w:highlight w:val="none"/>
              </w:rPr>
            </w:pPr>
            <w:r>
              <w:rPr>
                <w:rFonts w:hint="eastAsia" w:ascii="宋体" w:hAnsi="宋体" w:cs="Tahoma"/>
                <w:b/>
                <w:color w:val="auto"/>
                <w:spacing w:val="-11"/>
                <w:sz w:val="30"/>
                <w:szCs w:val="30"/>
                <w:highlight w:val="none"/>
              </w:rPr>
              <w:t>成都市双流区首批开展政府采购信用融资业务银行联系方式</w:t>
            </w:r>
          </w:p>
        </w:tc>
      </w:tr>
      <w:tr>
        <w:tblPrEx>
          <w:tblCellMar>
            <w:top w:w="0" w:type="dxa"/>
            <w:left w:w="0" w:type="dxa"/>
            <w:bottom w:w="0" w:type="dxa"/>
            <w:right w:w="0" w:type="dxa"/>
          </w:tblCellMar>
        </w:tblPrEx>
        <w:trPr>
          <w:trHeight w:val="392" w:hRule="atLeast"/>
        </w:trPr>
        <w:tc>
          <w:tcPr>
            <w:tcW w:w="69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color w:val="auto"/>
                <w:sz w:val="22"/>
                <w:highlight w:val="none"/>
              </w:rPr>
            </w:pPr>
          </w:p>
        </w:tc>
        <w:tc>
          <w:tcPr>
            <w:tcW w:w="31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color w:val="auto"/>
                <w:sz w:val="22"/>
                <w:highlight w:val="none"/>
              </w:rPr>
            </w:pPr>
          </w:p>
        </w:tc>
        <w:tc>
          <w:tcPr>
            <w:tcW w:w="25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color w:val="auto"/>
                <w:sz w:val="22"/>
                <w:highlight w:val="none"/>
              </w:rPr>
            </w:pPr>
          </w:p>
        </w:tc>
        <w:tc>
          <w:tcPr>
            <w:tcW w:w="29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color w:val="auto"/>
                <w:sz w:val="22"/>
                <w:highlight w:val="none"/>
              </w:rPr>
            </w:pPr>
          </w:p>
        </w:tc>
      </w:tr>
      <w:tr>
        <w:tblPrEx>
          <w:tblCellMar>
            <w:top w:w="0" w:type="dxa"/>
            <w:left w:w="0" w:type="dxa"/>
            <w:bottom w:w="0" w:type="dxa"/>
            <w:right w:w="0" w:type="dxa"/>
          </w:tblCellMar>
        </w:tblPrEx>
        <w:trPr>
          <w:trHeight w:val="491" w:hRule="atLeast"/>
        </w:trPr>
        <w:tc>
          <w:tcPr>
            <w:tcW w:w="69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序号</w:t>
            </w:r>
          </w:p>
        </w:tc>
        <w:tc>
          <w:tcPr>
            <w:tcW w:w="316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银行名称</w:t>
            </w:r>
          </w:p>
        </w:tc>
        <w:tc>
          <w:tcPr>
            <w:tcW w:w="255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联系人</w:t>
            </w:r>
          </w:p>
        </w:tc>
        <w:tc>
          <w:tcPr>
            <w:tcW w:w="2986"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联系电话</w:t>
            </w:r>
          </w:p>
        </w:tc>
      </w:tr>
      <w:tr>
        <w:tblPrEx>
          <w:tblCellMar>
            <w:top w:w="0" w:type="dxa"/>
            <w:left w:w="0" w:type="dxa"/>
            <w:bottom w:w="0" w:type="dxa"/>
            <w:right w:w="0" w:type="dxa"/>
          </w:tblCellMar>
        </w:tblPrEx>
        <w:trPr>
          <w:trHeight w:val="549" w:hRule="atLeast"/>
        </w:trPr>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w:t>
            </w:r>
          </w:p>
        </w:tc>
        <w:tc>
          <w:tcPr>
            <w:tcW w:w="31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成都银行双流支行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周慧</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18108267808</w:t>
            </w:r>
          </w:p>
        </w:tc>
      </w:tr>
      <w:tr>
        <w:tblPrEx>
          <w:tblCellMar>
            <w:top w:w="0" w:type="dxa"/>
            <w:left w:w="0" w:type="dxa"/>
            <w:bottom w:w="0" w:type="dxa"/>
            <w:right w:w="0" w:type="dxa"/>
          </w:tblCellMar>
        </w:tblPrEx>
        <w:trPr>
          <w:trHeight w:val="549" w:hRule="atLeast"/>
        </w:trPr>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highlight w:val="none"/>
              </w:rPr>
            </w:pPr>
          </w:p>
        </w:tc>
        <w:tc>
          <w:tcPr>
            <w:tcW w:w="31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highlight w:val="none"/>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胡恒彬</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 xml:space="preserve">18190896900 </w:t>
            </w:r>
          </w:p>
        </w:tc>
      </w:tr>
      <w:tr>
        <w:tblPrEx>
          <w:tblCellMar>
            <w:top w:w="0" w:type="dxa"/>
            <w:left w:w="0" w:type="dxa"/>
            <w:bottom w:w="0" w:type="dxa"/>
            <w:right w:w="0" w:type="dxa"/>
          </w:tblCellMar>
        </w:tblPrEx>
        <w:trPr>
          <w:trHeight w:val="549"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2</w:t>
            </w:r>
          </w:p>
        </w:tc>
        <w:tc>
          <w:tcPr>
            <w:tcW w:w="3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中国建设银行双流分行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袁俊辉</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13688076753</w:t>
            </w:r>
          </w:p>
        </w:tc>
      </w:tr>
      <w:tr>
        <w:tblPrEx>
          <w:tblCellMar>
            <w:top w:w="0" w:type="dxa"/>
            <w:left w:w="0" w:type="dxa"/>
            <w:bottom w:w="0" w:type="dxa"/>
            <w:right w:w="0" w:type="dxa"/>
          </w:tblCellMar>
        </w:tblPrEx>
        <w:trPr>
          <w:trHeight w:val="549" w:hRule="atLeast"/>
        </w:trPr>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3</w:t>
            </w:r>
          </w:p>
        </w:tc>
        <w:tc>
          <w:tcPr>
            <w:tcW w:w="31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交通银行双流分行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吴旭睿</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18980585584</w:t>
            </w:r>
          </w:p>
        </w:tc>
      </w:tr>
      <w:tr>
        <w:tblPrEx>
          <w:tblCellMar>
            <w:top w:w="0" w:type="dxa"/>
            <w:left w:w="0" w:type="dxa"/>
            <w:bottom w:w="0" w:type="dxa"/>
            <w:right w:w="0" w:type="dxa"/>
          </w:tblCellMar>
        </w:tblPrEx>
        <w:trPr>
          <w:trHeight w:val="549" w:hRule="atLeast"/>
        </w:trPr>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highlight w:val="none"/>
              </w:rPr>
            </w:pPr>
          </w:p>
        </w:tc>
        <w:tc>
          <w:tcPr>
            <w:tcW w:w="31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highlight w:val="none"/>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席梦娇</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 xml:space="preserve">18284529669 </w:t>
            </w:r>
          </w:p>
        </w:tc>
      </w:tr>
      <w:tr>
        <w:tblPrEx>
          <w:tblCellMar>
            <w:top w:w="0" w:type="dxa"/>
            <w:left w:w="0" w:type="dxa"/>
            <w:bottom w:w="0" w:type="dxa"/>
            <w:right w:w="0" w:type="dxa"/>
          </w:tblCellMar>
        </w:tblPrEx>
        <w:trPr>
          <w:trHeight w:val="549"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4</w:t>
            </w:r>
          </w:p>
        </w:tc>
        <w:tc>
          <w:tcPr>
            <w:tcW w:w="3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中国农业银行双流支行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徐丽</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13981781800</w:t>
            </w:r>
          </w:p>
        </w:tc>
      </w:tr>
      <w:tr>
        <w:tblPrEx>
          <w:tblCellMar>
            <w:top w:w="0" w:type="dxa"/>
            <w:left w:w="0" w:type="dxa"/>
            <w:bottom w:w="0" w:type="dxa"/>
            <w:right w:w="0" w:type="dxa"/>
          </w:tblCellMar>
        </w:tblPrEx>
        <w:trPr>
          <w:trHeight w:val="549"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5</w:t>
            </w:r>
          </w:p>
        </w:tc>
        <w:tc>
          <w:tcPr>
            <w:tcW w:w="3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成都农商银行双流支行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谢薇</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18581896869</w:t>
            </w:r>
          </w:p>
        </w:tc>
      </w:tr>
      <w:tr>
        <w:tblPrEx>
          <w:tblCellMar>
            <w:top w:w="0" w:type="dxa"/>
            <w:left w:w="0" w:type="dxa"/>
            <w:bottom w:w="0" w:type="dxa"/>
            <w:right w:w="0" w:type="dxa"/>
          </w:tblCellMar>
        </w:tblPrEx>
        <w:trPr>
          <w:trHeight w:val="549" w:hRule="atLeast"/>
        </w:trPr>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6</w:t>
            </w:r>
          </w:p>
        </w:tc>
        <w:tc>
          <w:tcPr>
            <w:tcW w:w="31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中国银行双流支行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方讼之</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18684003573</w:t>
            </w:r>
          </w:p>
        </w:tc>
      </w:tr>
      <w:tr>
        <w:tblPrEx>
          <w:tblCellMar>
            <w:top w:w="0" w:type="dxa"/>
            <w:left w:w="0" w:type="dxa"/>
            <w:bottom w:w="0" w:type="dxa"/>
            <w:right w:w="0" w:type="dxa"/>
          </w:tblCellMar>
        </w:tblPrEx>
        <w:trPr>
          <w:trHeight w:val="549" w:hRule="atLeast"/>
        </w:trPr>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highlight w:val="none"/>
              </w:rPr>
            </w:pPr>
          </w:p>
        </w:tc>
        <w:tc>
          <w:tcPr>
            <w:tcW w:w="31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highlight w:val="none"/>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彭洋</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13540664856</w:t>
            </w:r>
          </w:p>
        </w:tc>
      </w:tr>
      <w:tr>
        <w:tblPrEx>
          <w:tblCellMar>
            <w:top w:w="0" w:type="dxa"/>
            <w:left w:w="0" w:type="dxa"/>
            <w:bottom w:w="0" w:type="dxa"/>
            <w:right w:w="0" w:type="dxa"/>
          </w:tblCellMar>
        </w:tblPrEx>
        <w:trPr>
          <w:trHeight w:val="549" w:hRule="atLeast"/>
        </w:trPr>
        <w:tc>
          <w:tcPr>
            <w:tcW w:w="699"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7</w:t>
            </w:r>
          </w:p>
        </w:tc>
        <w:tc>
          <w:tcPr>
            <w:tcW w:w="316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上海银行成都双流支行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马欢</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028-67087516  17761260901</w:t>
            </w:r>
          </w:p>
        </w:tc>
      </w:tr>
      <w:tr>
        <w:tblPrEx>
          <w:tblCellMar>
            <w:top w:w="0" w:type="dxa"/>
            <w:left w:w="0" w:type="dxa"/>
            <w:bottom w:w="0" w:type="dxa"/>
            <w:right w:w="0" w:type="dxa"/>
          </w:tblCellMar>
        </w:tblPrEx>
        <w:trPr>
          <w:trHeight w:val="549" w:hRule="atLeast"/>
        </w:trPr>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8</w:t>
            </w:r>
          </w:p>
        </w:tc>
        <w:tc>
          <w:tcPr>
            <w:tcW w:w="31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浙商银行成都双流支行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唐城</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13540090509</w:t>
            </w:r>
          </w:p>
        </w:tc>
      </w:tr>
      <w:tr>
        <w:tblPrEx>
          <w:tblCellMar>
            <w:top w:w="0" w:type="dxa"/>
            <w:left w:w="0" w:type="dxa"/>
            <w:bottom w:w="0" w:type="dxa"/>
            <w:right w:w="0" w:type="dxa"/>
          </w:tblCellMar>
        </w:tblPrEx>
        <w:trPr>
          <w:trHeight w:val="549" w:hRule="atLeast"/>
        </w:trPr>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highlight w:val="none"/>
              </w:rPr>
            </w:pPr>
          </w:p>
        </w:tc>
        <w:tc>
          <w:tcPr>
            <w:tcW w:w="31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highlight w:val="none"/>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艾燕</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13308183763</w:t>
            </w:r>
          </w:p>
        </w:tc>
      </w:tr>
      <w:tr>
        <w:tblPrEx>
          <w:tblCellMar>
            <w:top w:w="0" w:type="dxa"/>
            <w:left w:w="0" w:type="dxa"/>
            <w:bottom w:w="0" w:type="dxa"/>
            <w:right w:w="0" w:type="dxa"/>
          </w:tblCellMar>
        </w:tblPrEx>
        <w:trPr>
          <w:trHeight w:val="549" w:hRule="atLeast"/>
        </w:trPr>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9</w:t>
            </w:r>
          </w:p>
        </w:tc>
        <w:tc>
          <w:tcPr>
            <w:tcW w:w="31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中国工商银行成都双流支行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邓经理</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028-62580231</w:t>
            </w:r>
          </w:p>
        </w:tc>
      </w:tr>
      <w:tr>
        <w:tblPrEx>
          <w:tblCellMar>
            <w:top w:w="0" w:type="dxa"/>
            <w:left w:w="0" w:type="dxa"/>
            <w:bottom w:w="0" w:type="dxa"/>
            <w:right w:w="0" w:type="dxa"/>
          </w:tblCellMar>
        </w:tblPrEx>
        <w:trPr>
          <w:trHeight w:val="549" w:hRule="atLeast"/>
        </w:trPr>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highlight w:val="none"/>
              </w:rPr>
            </w:pPr>
          </w:p>
        </w:tc>
        <w:tc>
          <w:tcPr>
            <w:tcW w:w="31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highlight w:val="none"/>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肖经理</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028-85895995</w:t>
            </w:r>
          </w:p>
        </w:tc>
      </w:tr>
      <w:tr>
        <w:tblPrEx>
          <w:tblCellMar>
            <w:top w:w="0" w:type="dxa"/>
            <w:left w:w="0" w:type="dxa"/>
            <w:bottom w:w="0" w:type="dxa"/>
            <w:right w:w="0" w:type="dxa"/>
          </w:tblCellMar>
        </w:tblPrEx>
        <w:trPr>
          <w:trHeight w:val="549" w:hRule="atLeast"/>
        </w:trPr>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10</w:t>
            </w:r>
          </w:p>
        </w:tc>
        <w:tc>
          <w:tcPr>
            <w:tcW w:w="31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中国邮政储蓄银行成都双流支行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杨建华</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13981895940</w:t>
            </w:r>
          </w:p>
        </w:tc>
      </w:tr>
      <w:tr>
        <w:tblPrEx>
          <w:tblCellMar>
            <w:top w:w="0" w:type="dxa"/>
            <w:left w:w="0" w:type="dxa"/>
            <w:bottom w:w="0" w:type="dxa"/>
            <w:right w:w="0" w:type="dxa"/>
          </w:tblCellMar>
        </w:tblPrEx>
        <w:trPr>
          <w:trHeight w:val="568" w:hRule="atLeast"/>
        </w:trPr>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highlight w:val="none"/>
              </w:rPr>
            </w:pPr>
          </w:p>
        </w:tc>
        <w:tc>
          <w:tcPr>
            <w:tcW w:w="31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 w:val="22"/>
                <w:highlight w:val="none"/>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王宇飞</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13540385980</w:t>
            </w:r>
          </w:p>
        </w:tc>
      </w:tr>
    </w:tbl>
    <w:p>
      <w:pPr>
        <w:rPr>
          <w:rFonts w:ascii="宋体" w:hAnsi="宋体" w:cs="宋体"/>
          <w:b/>
          <w:color w:val="auto"/>
          <w:sz w:val="30"/>
          <w:szCs w:val="30"/>
          <w:highlight w:val="none"/>
        </w:rPr>
      </w:pPr>
    </w:p>
    <w:p>
      <w:pPr>
        <w:pStyle w:val="2"/>
        <w:rPr>
          <w:color w:val="auto"/>
          <w:highlight w:val="none"/>
        </w:rPr>
      </w:pPr>
      <w:r>
        <w:rPr>
          <w:color w:val="auto"/>
          <w:highlight w:val="none"/>
        </w:rPr>
        <w:br w:type="page"/>
      </w:r>
    </w:p>
    <w:p>
      <w:pPr>
        <w:pStyle w:val="4"/>
        <w:jc w:val="both"/>
        <w:rPr>
          <w:bCs w:val="0"/>
          <w:color w:val="auto"/>
          <w:sz w:val="30"/>
          <w:szCs w:val="30"/>
          <w:highlight w:val="none"/>
        </w:rPr>
      </w:pPr>
      <w:bookmarkStart w:id="453" w:name="_Toc79654126"/>
      <w:r>
        <w:rPr>
          <w:rFonts w:hint="eastAsia"/>
          <w:color w:val="auto"/>
          <w:sz w:val="30"/>
          <w:szCs w:val="30"/>
          <w:highlight w:val="none"/>
        </w:rPr>
        <w:t>附录：</w:t>
      </w:r>
      <w:bookmarkEnd w:id="453"/>
    </w:p>
    <w:p>
      <w:pPr>
        <w:jc w:val="center"/>
        <w:outlineLvl w:val="1"/>
        <w:rPr>
          <w:rFonts w:eastAsia="仿宋"/>
          <w:b/>
          <w:bCs/>
          <w:color w:val="auto"/>
          <w:sz w:val="28"/>
          <w:szCs w:val="28"/>
          <w:highlight w:val="none"/>
        </w:rPr>
      </w:pPr>
      <w:bookmarkStart w:id="454" w:name="_Toc12647"/>
      <w:bookmarkStart w:id="455" w:name="_Toc30982"/>
      <w:bookmarkStart w:id="456" w:name="_Toc79654127"/>
      <w:bookmarkStart w:id="457" w:name="_Toc30748"/>
      <w:bookmarkStart w:id="458" w:name="_Toc19004"/>
      <w:bookmarkStart w:id="459" w:name="_Toc5506"/>
      <w:bookmarkStart w:id="460" w:name="_Toc22250"/>
      <w:bookmarkStart w:id="461" w:name="_Toc7468"/>
      <w:r>
        <w:rPr>
          <w:rFonts w:hint="eastAsia" w:eastAsia="仿宋"/>
          <w:b/>
          <w:bCs/>
          <w:color w:val="auto"/>
          <w:sz w:val="28"/>
          <w:szCs w:val="28"/>
          <w:highlight w:val="none"/>
        </w:rPr>
        <w:t>附录A 成都市地下管线普查成果更新管线数据规定</w:t>
      </w:r>
      <w:bookmarkEnd w:id="454"/>
      <w:bookmarkEnd w:id="455"/>
      <w:bookmarkEnd w:id="456"/>
      <w:bookmarkEnd w:id="457"/>
      <w:bookmarkEnd w:id="458"/>
      <w:bookmarkEnd w:id="459"/>
      <w:bookmarkEnd w:id="460"/>
      <w:bookmarkEnd w:id="461"/>
    </w:p>
    <w:p>
      <w:pPr>
        <w:jc w:val="left"/>
        <w:rPr>
          <w:rFonts w:eastAsia="仿宋"/>
          <w:b/>
          <w:color w:val="auto"/>
          <w:sz w:val="28"/>
          <w:szCs w:val="28"/>
          <w:highlight w:val="none"/>
        </w:rPr>
      </w:pPr>
      <w:r>
        <w:rPr>
          <w:rFonts w:hint="eastAsia" w:eastAsia="仿宋"/>
          <w:b/>
          <w:color w:val="auto"/>
          <w:sz w:val="28"/>
          <w:szCs w:val="28"/>
          <w:highlight w:val="none"/>
        </w:rPr>
        <w:t>一、</w:t>
      </w:r>
      <w:r>
        <w:rPr>
          <w:rFonts w:eastAsia="仿宋"/>
          <w:b/>
          <w:color w:val="auto"/>
          <w:sz w:val="28"/>
          <w:szCs w:val="28"/>
          <w:highlight w:val="none"/>
        </w:rPr>
        <w:t>一般规定</w:t>
      </w:r>
    </w:p>
    <w:p>
      <w:pPr>
        <w:spacing w:line="360" w:lineRule="auto"/>
        <w:ind w:firstLine="560" w:firstLineChars="200"/>
        <w:jc w:val="left"/>
        <w:rPr>
          <w:rFonts w:ascii="仿宋" w:hAnsi="仿宋" w:eastAsia="仿宋"/>
          <w:color w:val="auto"/>
          <w:sz w:val="24"/>
          <w:highlight w:val="none"/>
        </w:rPr>
      </w:pPr>
      <w:r>
        <w:rPr>
          <w:rFonts w:hint="eastAsia" w:eastAsia="仿宋"/>
          <w:color w:val="auto"/>
          <w:sz w:val="28"/>
          <w:szCs w:val="28"/>
          <w:highlight w:val="none"/>
        </w:rPr>
        <w:t>1、管线分类、代号、代码及颜色按附表</w:t>
      </w:r>
      <w:r>
        <w:rPr>
          <w:rFonts w:eastAsia="仿宋"/>
          <w:color w:val="auto"/>
          <w:sz w:val="28"/>
          <w:szCs w:val="28"/>
          <w:highlight w:val="none"/>
        </w:rPr>
        <w:t>A.</w:t>
      </w:r>
      <w:r>
        <w:rPr>
          <w:rFonts w:hint="eastAsia" w:eastAsia="仿宋"/>
          <w:color w:val="auto"/>
          <w:sz w:val="28"/>
          <w:szCs w:val="28"/>
          <w:highlight w:val="none"/>
        </w:rPr>
        <w:t>8执行。</w:t>
      </w:r>
    </w:p>
    <w:p>
      <w:pPr>
        <w:spacing w:line="360" w:lineRule="auto"/>
        <w:ind w:firstLine="560" w:firstLineChars="200"/>
        <w:jc w:val="left"/>
        <w:rPr>
          <w:color w:val="auto"/>
          <w:highlight w:val="none"/>
        </w:rPr>
      </w:pPr>
      <w:r>
        <w:rPr>
          <w:rFonts w:eastAsia="仿宋"/>
          <w:color w:val="auto"/>
          <w:sz w:val="28"/>
          <w:szCs w:val="28"/>
          <w:highlight w:val="none"/>
        </w:rPr>
        <w:t>2</w:t>
      </w:r>
      <w:r>
        <w:rPr>
          <w:rFonts w:hint="eastAsia" w:eastAsia="仿宋"/>
          <w:color w:val="auto"/>
          <w:sz w:val="28"/>
          <w:szCs w:val="28"/>
          <w:highlight w:val="none"/>
        </w:rPr>
        <w:t>、管线要素代码：管线要素应在管线分类基础上，按照点、线、面进行分类，由管线的基础地理信息要素代码、管线分类代码、管线要素类型码组成，采用</w:t>
      </w:r>
      <w:r>
        <w:rPr>
          <w:rFonts w:eastAsia="仿宋"/>
          <w:color w:val="auto"/>
          <w:sz w:val="28"/>
          <w:szCs w:val="28"/>
          <w:highlight w:val="none"/>
        </w:rPr>
        <w:t>8</w:t>
      </w:r>
      <w:r>
        <w:rPr>
          <w:rFonts w:hint="eastAsia" w:eastAsia="仿宋"/>
          <w:color w:val="auto"/>
          <w:sz w:val="28"/>
          <w:szCs w:val="28"/>
          <w:highlight w:val="none"/>
        </w:rPr>
        <w:t>位数字表示，编码规则见附表</w:t>
      </w:r>
      <w:r>
        <w:rPr>
          <w:rFonts w:eastAsia="仿宋"/>
          <w:color w:val="auto"/>
          <w:sz w:val="28"/>
          <w:szCs w:val="28"/>
          <w:highlight w:val="none"/>
        </w:rPr>
        <w:t>A.</w:t>
      </w:r>
      <w:r>
        <w:rPr>
          <w:rFonts w:hint="eastAsia" w:eastAsia="仿宋"/>
          <w:color w:val="auto"/>
          <w:sz w:val="28"/>
          <w:szCs w:val="28"/>
          <w:highlight w:val="none"/>
        </w:rPr>
        <w:t>9，要素代码结构如下图：</w:t>
      </w:r>
    </w:p>
    <w:p>
      <w:pPr>
        <w:pStyle w:val="154"/>
        <w:spacing w:line="360" w:lineRule="auto"/>
        <w:ind w:firstLine="0" w:firstLineChars="0"/>
        <w:jc w:val="center"/>
        <w:rPr>
          <w:color w:val="auto"/>
          <w:highlight w:val="none"/>
        </w:rPr>
      </w:pPr>
      <w:r>
        <w:rPr>
          <w:color w:val="auto"/>
          <w:highlight w:val="none"/>
        </w:rPr>
        <w:drawing>
          <wp:inline distT="0" distB="0" distL="114300" distR="114300">
            <wp:extent cx="4457700" cy="1924050"/>
            <wp:effectExtent l="0" t="0" r="0" b="0"/>
            <wp:docPr id="72" name="图片 29" descr="要素编码图202012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9" descr="要素编码图20201214 "/>
                    <pic:cNvPicPr>
                      <a:picLocks noChangeAspect="1"/>
                    </pic:cNvPicPr>
                  </pic:nvPicPr>
                  <pic:blipFill>
                    <a:blip r:embed="rId34"/>
                    <a:stretch>
                      <a:fillRect/>
                    </a:stretch>
                  </pic:blipFill>
                  <pic:spPr>
                    <a:xfrm>
                      <a:off x="0" y="0"/>
                      <a:ext cx="4457700" cy="1924050"/>
                    </a:xfrm>
                    <a:prstGeom prst="rect">
                      <a:avLst/>
                    </a:prstGeom>
                    <a:noFill/>
                    <a:ln>
                      <a:noFill/>
                    </a:ln>
                  </pic:spPr>
                </pic:pic>
              </a:graphicData>
            </a:graphic>
          </wp:inline>
        </w:drawing>
      </w:r>
    </w:p>
    <w:p>
      <w:pPr>
        <w:spacing w:line="360" w:lineRule="auto"/>
        <w:ind w:firstLine="2409" w:firstLineChars="1000"/>
        <w:jc w:val="left"/>
        <w:rPr>
          <w:rFonts w:eastAsia="仿宋"/>
          <w:b/>
          <w:color w:val="auto"/>
          <w:sz w:val="28"/>
          <w:szCs w:val="28"/>
          <w:highlight w:val="none"/>
        </w:rPr>
      </w:pPr>
      <w:r>
        <w:rPr>
          <w:rFonts w:hint="eastAsia" w:ascii="仿宋" w:hAnsi="仿宋" w:eastAsia="仿宋"/>
          <w:b/>
          <w:color w:val="auto"/>
          <w:sz w:val="24"/>
          <w:highlight w:val="none"/>
        </w:rPr>
        <w:t>图</w:t>
      </w:r>
      <w:r>
        <w:rPr>
          <w:rFonts w:ascii="仿宋" w:hAnsi="仿宋" w:eastAsia="仿宋"/>
          <w:b/>
          <w:color w:val="auto"/>
          <w:sz w:val="24"/>
          <w:highlight w:val="none"/>
        </w:rPr>
        <w:t>A-1</w:t>
      </w:r>
      <w:r>
        <w:rPr>
          <w:rFonts w:hint="eastAsia" w:ascii="仿宋" w:hAnsi="仿宋" w:eastAsia="仿宋"/>
          <w:b/>
          <w:color w:val="auto"/>
          <w:sz w:val="24"/>
          <w:highlight w:val="none"/>
        </w:rPr>
        <w:t>管线要素代码结构</w:t>
      </w:r>
    </w:p>
    <w:p>
      <w:pPr>
        <w:spacing w:line="360" w:lineRule="auto"/>
        <w:ind w:firstLine="560" w:firstLineChars="200"/>
        <w:jc w:val="left"/>
        <w:rPr>
          <w:rFonts w:eastAsia="仿宋"/>
          <w:color w:val="auto"/>
          <w:sz w:val="28"/>
          <w:szCs w:val="28"/>
          <w:highlight w:val="none"/>
        </w:rPr>
      </w:pPr>
      <w:r>
        <w:rPr>
          <w:rFonts w:hint="eastAsia" w:eastAsia="仿宋"/>
          <w:color w:val="auto"/>
          <w:sz w:val="28"/>
          <w:szCs w:val="28"/>
          <w:highlight w:val="none"/>
        </w:rPr>
        <w:t>3、管线点符号见附表</w:t>
      </w:r>
      <w:r>
        <w:rPr>
          <w:rFonts w:eastAsia="仿宋"/>
          <w:color w:val="auto"/>
          <w:sz w:val="28"/>
          <w:szCs w:val="28"/>
          <w:highlight w:val="none"/>
        </w:rPr>
        <w:t>A.</w:t>
      </w:r>
      <w:r>
        <w:rPr>
          <w:rFonts w:hint="eastAsia" w:eastAsia="仿宋"/>
          <w:color w:val="auto"/>
          <w:sz w:val="28"/>
          <w:szCs w:val="28"/>
          <w:highlight w:val="none"/>
        </w:rPr>
        <w:t>10地下管线点图例。</w:t>
      </w:r>
    </w:p>
    <w:p>
      <w:pPr>
        <w:spacing w:line="360" w:lineRule="auto"/>
        <w:ind w:firstLine="560" w:firstLineChars="200"/>
        <w:jc w:val="left"/>
        <w:rPr>
          <w:rFonts w:eastAsia="仿宋"/>
          <w:color w:val="auto"/>
          <w:sz w:val="28"/>
          <w:szCs w:val="28"/>
          <w:highlight w:val="none"/>
        </w:rPr>
      </w:pPr>
      <w:r>
        <w:rPr>
          <w:rFonts w:hint="eastAsia" w:eastAsia="仿宋"/>
          <w:color w:val="auto"/>
          <w:sz w:val="28"/>
          <w:szCs w:val="28"/>
          <w:highlight w:val="none"/>
        </w:rPr>
        <w:t>4、</w:t>
      </w:r>
      <w:r>
        <w:rPr>
          <w:rFonts w:eastAsia="仿宋"/>
          <w:color w:val="auto"/>
          <w:sz w:val="28"/>
          <w:szCs w:val="28"/>
          <w:highlight w:val="none"/>
        </w:rPr>
        <w:t>管线线型图例及</w:t>
      </w:r>
      <w:r>
        <w:rPr>
          <w:rFonts w:hint="eastAsia" w:eastAsia="仿宋"/>
          <w:color w:val="auto"/>
          <w:sz w:val="28"/>
          <w:szCs w:val="28"/>
          <w:highlight w:val="none"/>
        </w:rPr>
        <w:t>颜色按附表</w:t>
      </w:r>
      <w:r>
        <w:rPr>
          <w:rFonts w:eastAsia="仿宋"/>
          <w:color w:val="auto"/>
          <w:sz w:val="28"/>
          <w:szCs w:val="28"/>
          <w:highlight w:val="none"/>
        </w:rPr>
        <w:t>A.1</w:t>
      </w:r>
      <w:r>
        <w:rPr>
          <w:rFonts w:hint="eastAsia" w:eastAsia="仿宋"/>
          <w:color w:val="auto"/>
          <w:sz w:val="28"/>
          <w:szCs w:val="28"/>
          <w:highlight w:val="none"/>
        </w:rPr>
        <w:t>1</w:t>
      </w:r>
      <w:r>
        <w:rPr>
          <w:rFonts w:eastAsia="仿宋"/>
          <w:color w:val="auto"/>
          <w:sz w:val="28"/>
          <w:szCs w:val="28"/>
          <w:highlight w:val="none"/>
        </w:rPr>
        <w:t>的规定执行</w:t>
      </w:r>
      <w:r>
        <w:rPr>
          <w:rFonts w:hint="eastAsia" w:eastAsia="仿宋"/>
          <w:color w:val="auto"/>
          <w:sz w:val="28"/>
          <w:szCs w:val="28"/>
          <w:highlight w:val="none"/>
        </w:rPr>
        <w:t>。</w:t>
      </w:r>
    </w:p>
    <w:p>
      <w:pPr>
        <w:spacing w:line="360" w:lineRule="auto"/>
        <w:ind w:firstLine="560" w:firstLineChars="200"/>
        <w:jc w:val="left"/>
        <w:rPr>
          <w:rFonts w:eastAsia="仿宋"/>
          <w:color w:val="auto"/>
          <w:sz w:val="28"/>
          <w:szCs w:val="28"/>
          <w:highlight w:val="none"/>
        </w:rPr>
      </w:pPr>
      <w:r>
        <w:rPr>
          <w:rFonts w:hint="eastAsia" w:eastAsia="仿宋"/>
          <w:color w:val="auto"/>
          <w:sz w:val="28"/>
          <w:szCs w:val="28"/>
          <w:highlight w:val="none"/>
        </w:rPr>
        <w:t>5、</w:t>
      </w:r>
      <w:r>
        <w:rPr>
          <w:rFonts w:eastAsia="仿宋"/>
          <w:color w:val="auto"/>
          <w:sz w:val="28"/>
          <w:szCs w:val="28"/>
          <w:highlight w:val="none"/>
        </w:rPr>
        <w:t>管线</w:t>
      </w:r>
      <w:r>
        <w:rPr>
          <w:rFonts w:hint="eastAsia" w:eastAsia="仿宋"/>
          <w:color w:val="auto"/>
          <w:sz w:val="28"/>
          <w:szCs w:val="28"/>
          <w:highlight w:val="none"/>
        </w:rPr>
        <w:t>要</w:t>
      </w:r>
      <w:r>
        <w:rPr>
          <w:rFonts w:eastAsia="仿宋"/>
          <w:color w:val="auto"/>
          <w:sz w:val="28"/>
          <w:szCs w:val="28"/>
          <w:highlight w:val="none"/>
        </w:rPr>
        <w:t>素代码按</w:t>
      </w:r>
      <w:r>
        <w:rPr>
          <w:rFonts w:hint="eastAsia" w:eastAsia="仿宋"/>
          <w:color w:val="auto"/>
          <w:sz w:val="28"/>
          <w:szCs w:val="28"/>
          <w:highlight w:val="none"/>
        </w:rPr>
        <w:t>附表</w:t>
      </w:r>
      <w:r>
        <w:rPr>
          <w:rFonts w:eastAsia="仿宋"/>
          <w:color w:val="auto"/>
          <w:sz w:val="28"/>
          <w:szCs w:val="28"/>
          <w:highlight w:val="none"/>
        </w:rPr>
        <w:t>A.1</w:t>
      </w:r>
      <w:r>
        <w:rPr>
          <w:rFonts w:hint="eastAsia" w:eastAsia="仿宋"/>
          <w:color w:val="auto"/>
          <w:sz w:val="28"/>
          <w:szCs w:val="28"/>
          <w:highlight w:val="none"/>
        </w:rPr>
        <w:t>2</w:t>
      </w:r>
      <w:r>
        <w:rPr>
          <w:rFonts w:eastAsia="仿宋"/>
          <w:color w:val="auto"/>
          <w:sz w:val="28"/>
          <w:szCs w:val="28"/>
          <w:highlight w:val="none"/>
        </w:rPr>
        <w:t>的规定执行。</w:t>
      </w:r>
    </w:p>
    <w:p>
      <w:pPr>
        <w:spacing w:line="360" w:lineRule="auto"/>
        <w:ind w:firstLine="560" w:firstLineChars="200"/>
        <w:jc w:val="left"/>
        <w:rPr>
          <w:rFonts w:eastAsia="仿宋"/>
          <w:color w:val="auto"/>
          <w:sz w:val="28"/>
          <w:szCs w:val="28"/>
          <w:highlight w:val="none"/>
        </w:rPr>
      </w:pPr>
      <w:r>
        <w:rPr>
          <w:rFonts w:eastAsia="仿宋"/>
          <w:color w:val="auto"/>
          <w:sz w:val="28"/>
          <w:szCs w:val="28"/>
          <w:highlight w:val="none"/>
        </w:rPr>
        <w:t>6</w:t>
      </w:r>
      <w:r>
        <w:rPr>
          <w:rFonts w:hint="eastAsia" w:eastAsia="仿宋"/>
          <w:color w:val="auto"/>
          <w:sz w:val="28"/>
          <w:szCs w:val="28"/>
          <w:highlight w:val="none"/>
        </w:rPr>
        <w:t>、管线属性值域见</w:t>
      </w:r>
      <w:r>
        <w:rPr>
          <w:rFonts w:eastAsia="仿宋"/>
          <w:color w:val="auto"/>
          <w:sz w:val="28"/>
          <w:szCs w:val="28"/>
          <w:highlight w:val="none"/>
        </w:rPr>
        <w:t>附表A.1</w:t>
      </w:r>
      <w:r>
        <w:rPr>
          <w:rFonts w:hint="eastAsia" w:eastAsia="仿宋"/>
          <w:color w:val="auto"/>
          <w:sz w:val="28"/>
          <w:szCs w:val="28"/>
          <w:highlight w:val="none"/>
        </w:rPr>
        <w:t>3</w:t>
      </w:r>
      <w:r>
        <w:rPr>
          <w:rFonts w:eastAsia="仿宋"/>
          <w:color w:val="auto"/>
          <w:sz w:val="28"/>
          <w:szCs w:val="28"/>
          <w:highlight w:val="none"/>
        </w:rPr>
        <w:t>。</w:t>
      </w:r>
    </w:p>
    <w:p>
      <w:pPr>
        <w:spacing w:line="360" w:lineRule="auto"/>
        <w:ind w:firstLine="560" w:firstLineChars="200"/>
        <w:jc w:val="left"/>
        <w:rPr>
          <w:rFonts w:eastAsia="仿宋"/>
          <w:color w:val="auto"/>
          <w:sz w:val="28"/>
          <w:szCs w:val="28"/>
          <w:highlight w:val="none"/>
        </w:rPr>
      </w:pPr>
      <w:r>
        <w:rPr>
          <w:rFonts w:hint="eastAsia" w:eastAsia="仿宋"/>
          <w:color w:val="auto"/>
          <w:sz w:val="28"/>
          <w:szCs w:val="28"/>
          <w:highlight w:val="none"/>
        </w:rPr>
        <w:t>7、</w:t>
      </w:r>
      <w:r>
        <w:rPr>
          <w:rFonts w:eastAsia="仿宋"/>
          <w:color w:val="auto"/>
          <w:sz w:val="28"/>
          <w:szCs w:val="28"/>
          <w:highlight w:val="none"/>
        </w:rPr>
        <w:t>管线分类、代码和符号可根据需要进行扩充。</w:t>
      </w:r>
    </w:p>
    <w:p>
      <w:pPr>
        <w:spacing w:line="360" w:lineRule="auto"/>
        <w:ind w:firstLine="560" w:firstLineChars="200"/>
        <w:jc w:val="left"/>
        <w:rPr>
          <w:rFonts w:eastAsia="仿宋"/>
          <w:color w:val="auto"/>
          <w:sz w:val="28"/>
          <w:szCs w:val="28"/>
          <w:highlight w:val="none"/>
        </w:rPr>
      </w:pPr>
      <w:r>
        <w:rPr>
          <w:rFonts w:hint="eastAsia" w:eastAsia="仿宋"/>
          <w:color w:val="auto"/>
          <w:sz w:val="28"/>
          <w:szCs w:val="28"/>
          <w:highlight w:val="none"/>
        </w:rPr>
        <w:t>8、管线点号采用25位编号方式，分别按行政区划代码（6位）、管类代号（2位）、更新日期（8位）、测区号（3位）和自然顺序数（6位）排列，自然顺序数位数不够用前置“0”补齐。行政区划代码按GB/T 2260执行。如：</w:t>
      </w:r>
      <w:r>
        <w:rPr>
          <w:rFonts w:eastAsia="仿宋"/>
          <w:color w:val="auto"/>
          <w:sz w:val="28"/>
          <w:szCs w:val="28"/>
          <w:highlight w:val="none"/>
        </w:rPr>
        <w:t>5101</w:t>
      </w:r>
      <w:r>
        <w:rPr>
          <w:rFonts w:hint="eastAsia" w:eastAsia="仿宋"/>
          <w:color w:val="auto"/>
          <w:sz w:val="28"/>
          <w:szCs w:val="28"/>
          <w:highlight w:val="none"/>
        </w:rPr>
        <w:t>02YS</w:t>
      </w:r>
      <w:r>
        <w:rPr>
          <w:rFonts w:eastAsia="仿宋"/>
          <w:color w:val="auto"/>
          <w:sz w:val="28"/>
          <w:szCs w:val="28"/>
          <w:highlight w:val="none"/>
        </w:rPr>
        <w:t>20</w:t>
      </w:r>
      <w:r>
        <w:rPr>
          <w:rFonts w:hint="eastAsia" w:eastAsia="仿宋"/>
          <w:color w:val="auto"/>
          <w:sz w:val="28"/>
          <w:szCs w:val="28"/>
          <w:highlight w:val="none"/>
        </w:rPr>
        <w:t>20121201</w:t>
      </w:r>
      <w:r>
        <w:rPr>
          <w:rFonts w:eastAsia="仿宋"/>
          <w:color w:val="auto"/>
          <w:sz w:val="28"/>
          <w:szCs w:val="28"/>
          <w:highlight w:val="none"/>
        </w:rPr>
        <w:t>00</w:t>
      </w:r>
      <w:r>
        <w:rPr>
          <w:rFonts w:hint="eastAsia" w:eastAsia="仿宋"/>
          <w:color w:val="auto"/>
          <w:sz w:val="28"/>
          <w:szCs w:val="28"/>
          <w:highlight w:val="none"/>
        </w:rPr>
        <w:t>0</w:t>
      </w:r>
      <w:r>
        <w:rPr>
          <w:rFonts w:eastAsia="仿宋"/>
          <w:color w:val="auto"/>
          <w:sz w:val="28"/>
          <w:szCs w:val="28"/>
          <w:highlight w:val="none"/>
        </w:rPr>
        <w:t>00</w:t>
      </w:r>
      <w:r>
        <w:rPr>
          <w:rFonts w:hint="eastAsia" w:eastAsia="仿宋"/>
          <w:color w:val="auto"/>
          <w:sz w:val="28"/>
          <w:szCs w:val="28"/>
          <w:highlight w:val="none"/>
        </w:rPr>
        <w:t>24。</w:t>
      </w:r>
    </w:p>
    <w:p>
      <w:pPr>
        <w:spacing w:line="360" w:lineRule="auto"/>
        <w:jc w:val="center"/>
        <w:rPr>
          <w:rFonts w:ascii="仿宋" w:hAnsi="仿宋" w:eastAsia="仿宋"/>
          <w:color w:val="auto"/>
          <w:sz w:val="24"/>
          <w:highlight w:val="none"/>
        </w:rPr>
      </w:pPr>
      <w:r>
        <w:rPr>
          <w:rFonts w:ascii="仿宋" w:hAnsi="仿宋" w:eastAsia="仿宋"/>
          <w:color w:val="auto"/>
          <w:sz w:val="24"/>
          <w:highlight w:val="none"/>
        </w:rPr>
        <w:drawing>
          <wp:inline distT="0" distB="0" distL="114300" distR="114300">
            <wp:extent cx="3752850" cy="1657350"/>
            <wp:effectExtent l="0" t="0" r="0" b="0"/>
            <wp:docPr id="71" name="图片 30" descr="点号编码图20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0" descr="点号编码图20201214"/>
                    <pic:cNvPicPr>
                      <a:picLocks noChangeAspect="1"/>
                    </pic:cNvPicPr>
                  </pic:nvPicPr>
                  <pic:blipFill>
                    <a:blip r:embed="rId35"/>
                    <a:stretch>
                      <a:fillRect/>
                    </a:stretch>
                  </pic:blipFill>
                  <pic:spPr>
                    <a:xfrm>
                      <a:off x="0" y="0"/>
                      <a:ext cx="3752850" cy="1657350"/>
                    </a:xfrm>
                    <a:prstGeom prst="rect">
                      <a:avLst/>
                    </a:prstGeom>
                    <a:noFill/>
                    <a:ln>
                      <a:noFill/>
                    </a:ln>
                  </pic:spPr>
                </pic:pic>
              </a:graphicData>
            </a:graphic>
          </wp:inline>
        </w:drawing>
      </w:r>
    </w:p>
    <w:p>
      <w:pPr>
        <w:ind w:firstLine="420"/>
        <w:jc w:val="left"/>
        <w:rPr>
          <w:rFonts w:ascii="仿宋" w:hAnsi="仿宋" w:eastAsia="仿宋"/>
          <w:color w:val="auto"/>
          <w:sz w:val="24"/>
          <w:highlight w:val="none"/>
        </w:rPr>
      </w:pPr>
      <w:r>
        <w:rPr>
          <w:rFonts w:hint="eastAsia" w:ascii="仿宋" w:hAnsi="仿宋" w:eastAsia="仿宋"/>
          <w:color w:val="auto"/>
          <w:sz w:val="24"/>
          <w:highlight w:val="none"/>
        </w:rPr>
        <w:t>注：更新日期为监理检查通过后的日期。管类代号见</w:t>
      </w:r>
      <w:r>
        <w:rPr>
          <w:rFonts w:ascii="仿宋" w:hAnsi="仿宋" w:eastAsia="仿宋"/>
          <w:color w:val="auto"/>
          <w:sz w:val="24"/>
          <w:highlight w:val="none"/>
        </w:rPr>
        <w:t>附</w:t>
      </w:r>
      <w:r>
        <w:rPr>
          <w:rFonts w:hint="eastAsia" w:ascii="仿宋" w:hAnsi="仿宋" w:eastAsia="仿宋"/>
          <w:color w:val="auto"/>
          <w:sz w:val="24"/>
          <w:highlight w:val="none"/>
        </w:rPr>
        <w:t>表</w:t>
      </w:r>
      <w:r>
        <w:rPr>
          <w:rFonts w:ascii="仿宋" w:hAnsi="仿宋" w:eastAsia="仿宋"/>
          <w:color w:val="auto"/>
          <w:sz w:val="24"/>
          <w:highlight w:val="none"/>
        </w:rPr>
        <w:t>A.</w:t>
      </w:r>
      <w:r>
        <w:rPr>
          <w:rFonts w:hint="eastAsia" w:ascii="仿宋" w:hAnsi="仿宋" w:eastAsia="仿宋"/>
          <w:color w:val="auto"/>
          <w:sz w:val="24"/>
          <w:highlight w:val="none"/>
        </w:rPr>
        <w:t>8小类代号。</w:t>
      </w:r>
    </w:p>
    <w:p>
      <w:pPr>
        <w:spacing w:line="360" w:lineRule="auto"/>
        <w:jc w:val="left"/>
        <w:rPr>
          <w:rFonts w:eastAsia="仿宋"/>
          <w:b/>
          <w:color w:val="auto"/>
          <w:sz w:val="28"/>
          <w:szCs w:val="28"/>
          <w:highlight w:val="none"/>
        </w:rPr>
      </w:pPr>
      <w:r>
        <w:rPr>
          <w:rFonts w:hint="eastAsia" w:eastAsia="仿宋"/>
          <w:b/>
          <w:color w:val="auto"/>
          <w:sz w:val="28"/>
          <w:szCs w:val="28"/>
          <w:highlight w:val="none"/>
        </w:rPr>
        <w:t>二、管线属性数据分层</w:t>
      </w:r>
    </w:p>
    <w:p>
      <w:pPr>
        <w:spacing w:line="560" w:lineRule="exact"/>
        <w:ind w:firstLine="560" w:firstLineChars="200"/>
        <w:jc w:val="left"/>
        <w:rPr>
          <w:rFonts w:eastAsia="仿宋"/>
          <w:color w:val="auto"/>
          <w:sz w:val="28"/>
          <w:szCs w:val="28"/>
          <w:highlight w:val="none"/>
        </w:rPr>
      </w:pPr>
      <w:r>
        <w:rPr>
          <w:rFonts w:eastAsia="仿宋"/>
          <w:color w:val="auto"/>
          <w:sz w:val="28"/>
          <w:szCs w:val="28"/>
          <w:highlight w:val="none"/>
        </w:rPr>
        <w:t>地下管线数据按数据分层组织管理，管线数据分层命名分别为管线点、管线线、管线面、管线辅助点、管线辅助线、管线注记。管线要素分层及命名规则见表A-2。</w:t>
      </w:r>
    </w:p>
    <w:p>
      <w:pPr>
        <w:spacing w:line="360" w:lineRule="auto"/>
        <w:jc w:val="center"/>
        <w:rPr>
          <w:rFonts w:ascii="仿宋" w:hAnsi="仿宋" w:eastAsia="仿宋"/>
          <w:b/>
          <w:color w:val="auto"/>
          <w:sz w:val="24"/>
          <w:highlight w:val="none"/>
        </w:rPr>
      </w:pPr>
      <w:r>
        <w:rPr>
          <w:rFonts w:ascii="仿宋" w:hAnsi="仿宋" w:eastAsia="仿宋"/>
          <w:b/>
          <w:color w:val="auto"/>
          <w:sz w:val="24"/>
          <w:highlight w:val="none"/>
        </w:rPr>
        <w:t>表A-2 管线要素分层及命名表</w:t>
      </w:r>
    </w:p>
    <w:tbl>
      <w:tblPr>
        <w:tblStyle w:val="43"/>
        <w:tblW w:w="8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220"/>
        <w:gridCol w:w="1185"/>
        <w:gridCol w:w="1095"/>
        <w:gridCol w:w="2295"/>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0"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要素分类</w:t>
            </w:r>
          </w:p>
        </w:tc>
        <w:tc>
          <w:tcPr>
            <w:tcW w:w="2220"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数据分层</w:t>
            </w:r>
          </w:p>
        </w:tc>
        <w:tc>
          <w:tcPr>
            <w:tcW w:w="1185"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几何特征</w:t>
            </w:r>
          </w:p>
        </w:tc>
        <w:tc>
          <w:tcPr>
            <w:tcW w:w="1095"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表名</w:t>
            </w:r>
          </w:p>
        </w:tc>
        <w:tc>
          <w:tcPr>
            <w:tcW w:w="2295"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说明</w:t>
            </w:r>
          </w:p>
        </w:tc>
        <w:tc>
          <w:tcPr>
            <w:tcW w:w="723" w:type="dxa"/>
            <w:noWrap/>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0" w:type="dxa"/>
            <w:vMerge w:val="restart"/>
            <w:noWrap/>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XXxx</w:t>
            </w:r>
          </w:p>
        </w:tc>
        <w:tc>
          <w:tcPr>
            <w:tcW w:w="2220"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储存管线点信息</w:t>
            </w:r>
          </w:p>
        </w:tc>
        <w:tc>
          <w:tcPr>
            <w:tcW w:w="1185"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点状</w:t>
            </w:r>
          </w:p>
        </w:tc>
        <w:tc>
          <w:tcPr>
            <w:tcW w:w="1095"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XXxxP</w:t>
            </w:r>
          </w:p>
        </w:tc>
        <w:tc>
          <w:tcPr>
            <w:tcW w:w="2295" w:type="dxa"/>
            <w:noWrap/>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属性结构见附表A</w:t>
            </w:r>
            <w:r>
              <w:rPr>
                <w:rFonts w:ascii="仿宋" w:hAnsi="仿宋" w:eastAsia="仿宋"/>
                <w:color w:val="auto"/>
                <w:szCs w:val="21"/>
                <w:highlight w:val="none"/>
              </w:rPr>
              <w:t>.1</w:t>
            </w:r>
          </w:p>
        </w:tc>
        <w:tc>
          <w:tcPr>
            <w:tcW w:w="723" w:type="dxa"/>
            <w:noWrap/>
            <w:vAlign w:val="center"/>
          </w:tcPr>
          <w:p>
            <w:pPr>
              <w:jc w:val="center"/>
              <w:rPr>
                <w:rFonts w:ascii="仿宋" w:hAnsi="仿宋" w:eastAsia="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0" w:type="dxa"/>
            <w:vMerge w:val="continue"/>
            <w:noWrap/>
            <w:vAlign w:val="center"/>
          </w:tcPr>
          <w:p>
            <w:pPr>
              <w:jc w:val="center"/>
              <w:rPr>
                <w:rFonts w:ascii="仿宋" w:hAnsi="仿宋" w:eastAsia="仿宋"/>
                <w:color w:val="auto"/>
                <w:szCs w:val="21"/>
                <w:highlight w:val="none"/>
              </w:rPr>
            </w:pPr>
          </w:p>
        </w:tc>
        <w:tc>
          <w:tcPr>
            <w:tcW w:w="2220"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储存管线线信息</w:t>
            </w:r>
          </w:p>
        </w:tc>
        <w:tc>
          <w:tcPr>
            <w:tcW w:w="1185"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线状</w:t>
            </w:r>
          </w:p>
        </w:tc>
        <w:tc>
          <w:tcPr>
            <w:tcW w:w="1095"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XXxxL</w:t>
            </w:r>
          </w:p>
        </w:tc>
        <w:tc>
          <w:tcPr>
            <w:tcW w:w="2295" w:type="dxa"/>
            <w:noWrap/>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属性结构见附表A</w:t>
            </w:r>
            <w:r>
              <w:rPr>
                <w:rFonts w:ascii="仿宋" w:hAnsi="仿宋" w:eastAsia="仿宋"/>
                <w:color w:val="auto"/>
                <w:szCs w:val="21"/>
                <w:highlight w:val="none"/>
              </w:rPr>
              <w:t>.2</w:t>
            </w:r>
          </w:p>
        </w:tc>
        <w:tc>
          <w:tcPr>
            <w:tcW w:w="723" w:type="dxa"/>
            <w:noWrap/>
            <w:vAlign w:val="center"/>
          </w:tcPr>
          <w:p>
            <w:pPr>
              <w:jc w:val="center"/>
              <w:rPr>
                <w:rFonts w:ascii="仿宋" w:hAnsi="仿宋" w:eastAsia="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0" w:type="dxa"/>
            <w:vMerge w:val="continue"/>
            <w:noWrap/>
            <w:vAlign w:val="center"/>
          </w:tcPr>
          <w:p>
            <w:pPr>
              <w:jc w:val="center"/>
              <w:rPr>
                <w:rFonts w:ascii="仿宋" w:hAnsi="仿宋" w:eastAsia="仿宋"/>
                <w:color w:val="auto"/>
                <w:szCs w:val="21"/>
                <w:highlight w:val="none"/>
              </w:rPr>
            </w:pPr>
          </w:p>
        </w:tc>
        <w:tc>
          <w:tcPr>
            <w:tcW w:w="2220"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储存管线面信息</w:t>
            </w:r>
          </w:p>
        </w:tc>
        <w:tc>
          <w:tcPr>
            <w:tcW w:w="1185"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面状</w:t>
            </w:r>
          </w:p>
        </w:tc>
        <w:tc>
          <w:tcPr>
            <w:tcW w:w="1095"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XXxxA</w:t>
            </w:r>
          </w:p>
        </w:tc>
        <w:tc>
          <w:tcPr>
            <w:tcW w:w="2295" w:type="dxa"/>
            <w:noWrap/>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属性结构见附表A</w:t>
            </w:r>
            <w:r>
              <w:rPr>
                <w:rFonts w:ascii="仿宋" w:hAnsi="仿宋" w:eastAsia="仿宋"/>
                <w:color w:val="auto"/>
                <w:szCs w:val="21"/>
                <w:highlight w:val="none"/>
              </w:rPr>
              <w:t>.3</w:t>
            </w:r>
          </w:p>
        </w:tc>
        <w:tc>
          <w:tcPr>
            <w:tcW w:w="723" w:type="dxa"/>
            <w:noWrap/>
            <w:vAlign w:val="center"/>
          </w:tcPr>
          <w:p>
            <w:pPr>
              <w:jc w:val="center"/>
              <w:rPr>
                <w:rFonts w:ascii="仿宋" w:hAnsi="仿宋" w:eastAsia="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0" w:type="dxa"/>
            <w:vMerge w:val="continue"/>
            <w:noWrap/>
            <w:vAlign w:val="center"/>
          </w:tcPr>
          <w:p>
            <w:pPr>
              <w:jc w:val="center"/>
              <w:rPr>
                <w:rFonts w:ascii="仿宋" w:hAnsi="仿宋" w:eastAsia="仿宋"/>
                <w:color w:val="auto"/>
                <w:szCs w:val="21"/>
                <w:highlight w:val="none"/>
              </w:rPr>
            </w:pPr>
          </w:p>
        </w:tc>
        <w:tc>
          <w:tcPr>
            <w:tcW w:w="2220"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储存管线辅助点信息</w:t>
            </w:r>
          </w:p>
        </w:tc>
        <w:tc>
          <w:tcPr>
            <w:tcW w:w="1185"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辅助点</w:t>
            </w:r>
          </w:p>
        </w:tc>
        <w:tc>
          <w:tcPr>
            <w:tcW w:w="1095"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XXxxFZP</w:t>
            </w:r>
          </w:p>
        </w:tc>
        <w:tc>
          <w:tcPr>
            <w:tcW w:w="2295" w:type="dxa"/>
            <w:noWrap/>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属性结构见附表A</w:t>
            </w:r>
            <w:r>
              <w:rPr>
                <w:rFonts w:ascii="仿宋" w:hAnsi="仿宋" w:eastAsia="仿宋"/>
                <w:color w:val="auto"/>
                <w:szCs w:val="21"/>
                <w:highlight w:val="none"/>
              </w:rPr>
              <w:t>.4</w:t>
            </w:r>
          </w:p>
        </w:tc>
        <w:tc>
          <w:tcPr>
            <w:tcW w:w="723" w:type="dxa"/>
            <w:noWrap/>
            <w:vAlign w:val="center"/>
          </w:tcPr>
          <w:p>
            <w:pPr>
              <w:jc w:val="center"/>
              <w:rPr>
                <w:rFonts w:ascii="仿宋" w:hAnsi="仿宋" w:eastAsia="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0" w:type="dxa"/>
            <w:vMerge w:val="continue"/>
            <w:noWrap/>
            <w:vAlign w:val="center"/>
          </w:tcPr>
          <w:p>
            <w:pPr>
              <w:jc w:val="center"/>
              <w:rPr>
                <w:rFonts w:ascii="仿宋" w:hAnsi="仿宋" w:eastAsia="仿宋"/>
                <w:color w:val="auto"/>
                <w:szCs w:val="21"/>
                <w:highlight w:val="none"/>
              </w:rPr>
            </w:pPr>
          </w:p>
        </w:tc>
        <w:tc>
          <w:tcPr>
            <w:tcW w:w="2220"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储存管线辅助</w:t>
            </w:r>
            <w:r>
              <w:rPr>
                <w:rFonts w:hint="eastAsia" w:ascii="仿宋" w:hAnsi="仿宋" w:eastAsia="仿宋"/>
                <w:color w:val="auto"/>
                <w:szCs w:val="21"/>
                <w:highlight w:val="none"/>
              </w:rPr>
              <w:t>线</w:t>
            </w:r>
            <w:r>
              <w:rPr>
                <w:rFonts w:ascii="仿宋" w:hAnsi="仿宋" w:eastAsia="仿宋"/>
                <w:color w:val="auto"/>
                <w:szCs w:val="21"/>
                <w:highlight w:val="none"/>
              </w:rPr>
              <w:t>信息</w:t>
            </w:r>
          </w:p>
        </w:tc>
        <w:tc>
          <w:tcPr>
            <w:tcW w:w="1185"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辅助线</w:t>
            </w:r>
          </w:p>
        </w:tc>
        <w:tc>
          <w:tcPr>
            <w:tcW w:w="1095"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XXxxFZL</w:t>
            </w:r>
          </w:p>
        </w:tc>
        <w:tc>
          <w:tcPr>
            <w:tcW w:w="2295" w:type="dxa"/>
            <w:noWrap/>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属性结构见附表A</w:t>
            </w:r>
            <w:r>
              <w:rPr>
                <w:rFonts w:ascii="仿宋" w:hAnsi="仿宋" w:eastAsia="仿宋"/>
                <w:color w:val="auto"/>
                <w:szCs w:val="21"/>
                <w:highlight w:val="none"/>
              </w:rPr>
              <w:t>.5</w:t>
            </w:r>
          </w:p>
        </w:tc>
        <w:tc>
          <w:tcPr>
            <w:tcW w:w="723" w:type="dxa"/>
            <w:noWrap/>
            <w:vAlign w:val="center"/>
          </w:tcPr>
          <w:p>
            <w:pPr>
              <w:jc w:val="center"/>
              <w:rPr>
                <w:rFonts w:ascii="仿宋" w:hAnsi="仿宋" w:eastAsia="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0" w:type="dxa"/>
            <w:vMerge w:val="continue"/>
            <w:noWrap/>
            <w:vAlign w:val="center"/>
          </w:tcPr>
          <w:p>
            <w:pPr>
              <w:jc w:val="center"/>
              <w:rPr>
                <w:rFonts w:ascii="仿宋" w:hAnsi="仿宋" w:eastAsia="仿宋"/>
                <w:color w:val="auto"/>
                <w:szCs w:val="21"/>
                <w:highlight w:val="none"/>
              </w:rPr>
            </w:pPr>
          </w:p>
        </w:tc>
        <w:tc>
          <w:tcPr>
            <w:tcW w:w="2220"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储存管线</w:t>
            </w:r>
            <w:r>
              <w:rPr>
                <w:rFonts w:hint="eastAsia" w:ascii="仿宋" w:hAnsi="仿宋" w:eastAsia="仿宋"/>
                <w:color w:val="auto"/>
                <w:szCs w:val="21"/>
                <w:highlight w:val="none"/>
              </w:rPr>
              <w:t>注记</w:t>
            </w:r>
            <w:r>
              <w:rPr>
                <w:rFonts w:ascii="仿宋" w:hAnsi="仿宋" w:eastAsia="仿宋"/>
                <w:color w:val="auto"/>
                <w:szCs w:val="21"/>
                <w:highlight w:val="none"/>
              </w:rPr>
              <w:t>信息</w:t>
            </w:r>
          </w:p>
        </w:tc>
        <w:tc>
          <w:tcPr>
            <w:tcW w:w="1185"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注记</w:t>
            </w:r>
          </w:p>
        </w:tc>
        <w:tc>
          <w:tcPr>
            <w:tcW w:w="1095" w:type="dxa"/>
            <w:noWrap/>
            <w:vAlign w:val="center"/>
          </w:tcPr>
          <w:p>
            <w:pPr>
              <w:jc w:val="center"/>
              <w:rPr>
                <w:rFonts w:ascii="仿宋" w:hAnsi="仿宋" w:eastAsia="仿宋"/>
                <w:color w:val="auto"/>
                <w:szCs w:val="21"/>
                <w:highlight w:val="none"/>
              </w:rPr>
            </w:pPr>
            <w:r>
              <w:rPr>
                <w:rFonts w:ascii="仿宋" w:hAnsi="仿宋" w:eastAsia="仿宋"/>
                <w:color w:val="auto"/>
                <w:szCs w:val="21"/>
                <w:highlight w:val="none"/>
              </w:rPr>
              <w:t>XXxxT</w:t>
            </w:r>
          </w:p>
        </w:tc>
        <w:tc>
          <w:tcPr>
            <w:tcW w:w="2295" w:type="dxa"/>
            <w:noWrap/>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属性结构见附表A</w:t>
            </w:r>
            <w:r>
              <w:rPr>
                <w:rFonts w:ascii="仿宋" w:hAnsi="仿宋" w:eastAsia="仿宋"/>
                <w:color w:val="auto"/>
                <w:szCs w:val="21"/>
                <w:highlight w:val="none"/>
              </w:rPr>
              <w:t>.6</w:t>
            </w:r>
          </w:p>
        </w:tc>
        <w:tc>
          <w:tcPr>
            <w:tcW w:w="723" w:type="dxa"/>
            <w:noWrap/>
            <w:vAlign w:val="center"/>
          </w:tcPr>
          <w:p>
            <w:pPr>
              <w:jc w:val="center"/>
              <w:rPr>
                <w:rFonts w:ascii="仿宋" w:hAnsi="仿宋" w:eastAsia="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28" w:type="dxa"/>
            <w:gridSpan w:val="6"/>
            <w:noWrap/>
            <w:vAlign w:val="center"/>
          </w:tcPr>
          <w:p>
            <w:pPr>
              <w:jc w:val="left"/>
              <w:rPr>
                <w:rFonts w:ascii="仿宋" w:hAnsi="仿宋" w:eastAsia="仿宋"/>
                <w:color w:val="auto"/>
                <w:szCs w:val="21"/>
                <w:highlight w:val="none"/>
              </w:rPr>
            </w:pPr>
            <w:r>
              <w:rPr>
                <w:rFonts w:hint="eastAsia" w:ascii="仿宋" w:hAnsi="仿宋" w:eastAsia="仿宋"/>
                <w:color w:val="auto"/>
                <w:szCs w:val="21"/>
                <w:highlight w:val="none"/>
              </w:rPr>
              <w:t>注：XX—管线大类代号，</w:t>
            </w:r>
            <w:r>
              <w:rPr>
                <w:rFonts w:ascii="仿宋" w:hAnsi="仿宋" w:eastAsia="仿宋"/>
                <w:color w:val="auto"/>
                <w:szCs w:val="21"/>
                <w:highlight w:val="none"/>
              </w:rPr>
              <w:t>xx-</w:t>
            </w:r>
            <w:r>
              <w:rPr>
                <w:rFonts w:hint="eastAsia" w:ascii="仿宋" w:hAnsi="仿宋" w:eastAsia="仿宋"/>
                <w:color w:val="auto"/>
                <w:szCs w:val="21"/>
                <w:highlight w:val="none"/>
              </w:rPr>
              <w:t>管线小类代号，见</w:t>
            </w:r>
            <w:r>
              <w:rPr>
                <w:rFonts w:ascii="仿宋" w:hAnsi="仿宋" w:eastAsia="仿宋"/>
                <w:color w:val="auto"/>
                <w:szCs w:val="21"/>
                <w:highlight w:val="none"/>
              </w:rPr>
              <w:t>附</w:t>
            </w:r>
            <w:r>
              <w:rPr>
                <w:rFonts w:hint="eastAsia" w:ascii="仿宋" w:hAnsi="仿宋" w:eastAsia="仿宋"/>
                <w:color w:val="auto"/>
                <w:szCs w:val="21"/>
                <w:highlight w:val="none"/>
              </w:rPr>
              <w:t>表</w:t>
            </w:r>
            <w:r>
              <w:rPr>
                <w:rFonts w:ascii="仿宋" w:hAnsi="仿宋" w:eastAsia="仿宋"/>
                <w:color w:val="auto"/>
                <w:szCs w:val="21"/>
                <w:highlight w:val="none"/>
              </w:rPr>
              <w:t>A.</w:t>
            </w:r>
            <w:r>
              <w:rPr>
                <w:rFonts w:hint="eastAsia" w:ascii="仿宋" w:hAnsi="仿宋" w:eastAsia="仿宋"/>
                <w:color w:val="auto"/>
                <w:szCs w:val="21"/>
                <w:highlight w:val="none"/>
              </w:rPr>
              <w:t>8</w:t>
            </w:r>
            <w:r>
              <w:rPr>
                <w:rFonts w:ascii="仿宋" w:hAnsi="仿宋" w:eastAsia="仿宋"/>
                <w:color w:val="auto"/>
                <w:szCs w:val="21"/>
                <w:highlight w:val="none"/>
              </w:rPr>
              <w:t>。</w:t>
            </w:r>
          </w:p>
        </w:tc>
      </w:tr>
    </w:tbl>
    <w:p>
      <w:pPr>
        <w:pStyle w:val="2"/>
        <w:jc w:val="left"/>
        <w:rPr>
          <w:color w:val="auto"/>
          <w:highlight w:val="none"/>
        </w:rPr>
      </w:pPr>
    </w:p>
    <w:p>
      <w:pPr>
        <w:spacing w:line="360" w:lineRule="auto"/>
        <w:jc w:val="left"/>
        <w:rPr>
          <w:rFonts w:eastAsia="仿宋"/>
          <w:b/>
          <w:color w:val="auto"/>
          <w:sz w:val="28"/>
          <w:szCs w:val="28"/>
          <w:highlight w:val="none"/>
        </w:rPr>
      </w:pPr>
      <w:r>
        <w:rPr>
          <w:rFonts w:hint="eastAsia" w:eastAsia="仿宋"/>
          <w:b/>
          <w:color w:val="auto"/>
          <w:sz w:val="28"/>
          <w:szCs w:val="28"/>
          <w:highlight w:val="none"/>
        </w:rPr>
        <w:t>三、 CAD图形</w:t>
      </w:r>
      <w:r>
        <w:rPr>
          <w:rFonts w:eastAsia="仿宋"/>
          <w:b/>
          <w:color w:val="auto"/>
          <w:sz w:val="28"/>
          <w:szCs w:val="28"/>
          <w:highlight w:val="none"/>
        </w:rPr>
        <w:t>分层</w:t>
      </w:r>
    </w:p>
    <w:p>
      <w:pPr>
        <w:spacing w:line="560" w:lineRule="exact"/>
        <w:ind w:firstLine="560" w:firstLineChars="200"/>
        <w:jc w:val="left"/>
        <w:rPr>
          <w:rFonts w:eastAsia="仿宋"/>
          <w:color w:val="auto"/>
          <w:sz w:val="28"/>
          <w:szCs w:val="28"/>
          <w:highlight w:val="none"/>
        </w:rPr>
      </w:pPr>
      <w:r>
        <w:rPr>
          <w:rFonts w:hint="eastAsia" w:eastAsia="仿宋"/>
          <w:color w:val="auto"/>
          <w:sz w:val="28"/>
          <w:szCs w:val="28"/>
          <w:highlight w:val="none"/>
        </w:rPr>
        <w:t>地下管线数据采用分层的方法进行组织管理，管线图形文件除应叠加基础地形图相关数据外，还需设置不同图层进行存放管线要素及相关辅助要素，主要由各种管线的管线点、管线线、管线面、管线辅助点、管线辅助线、管线注记（</w:t>
      </w:r>
      <w:r>
        <w:rPr>
          <w:rFonts w:eastAsia="仿宋"/>
          <w:color w:val="auto"/>
          <w:sz w:val="28"/>
          <w:szCs w:val="28"/>
          <w:highlight w:val="none"/>
        </w:rPr>
        <w:t>管线点注记</w:t>
      </w:r>
      <w:r>
        <w:rPr>
          <w:rFonts w:hint="eastAsia" w:eastAsia="仿宋"/>
          <w:color w:val="auto"/>
          <w:sz w:val="28"/>
          <w:szCs w:val="28"/>
          <w:highlight w:val="none"/>
        </w:rPr>
        <w:t>、</w:t>
      </w:r>
      <w:r>
        <w:rPr>
          <w:rFonts w:eastAsia="仿宋"/>
          <w:color w:val="auto"/>
          <w:sz w:val="28"/>
          <w:szCs w:val="28"/>
          <w:highlight w:val="none"/>
        </w:rPr>
        <w:t>管线线注记</w:t>
      </w:r>
      <w:r>
        <w:rPr>
          <w:rFonts w:hint="eastAsia" w:eastAsia="仿宋"/>
          <w:color w:val="auto"/>
          <w:sz w:val="28"/>
          <w:szCs w:val="28"/>
          <w:highlight w:val="none"/>
        </w:rPr>
        <w:t>、管</w:t>
      </w:r>
      <w:r>
        <w:rPr>
          <w:rFonts w:eastAsia="仿宋"/>
          <w:color w:val="auto"/>
          <w:sz w:val="28"/>
          <w:szCs w:val="28"/>
          <w:highlight w:val="none"/>
        </w:rPr>
        <w:t>线</w:t>
      </w:r>
      <w:r>
        <w:rPr>
          <w:rFonts w:hint="eastAsia" w:eastAsia="仿宋"/>
          <w:color w:val="auto"/>
          <w:sz w:val="28"/>
          <w:szCs w:val="28"/>
          <w:highlight w:val="none"/>
        </w:rPr>
        <w:t>高</w:t>
      </w:r>
      <w:r>
        <w:rPr>
          <w:rFonts w:eastAsia="仿宋"/>
          <w:color w:val="auto"/>
          <w:sz w:val="28"/>
          <w:szCs w:val="28"/>
          <w:highlight w:val="none"/>
        </w:rPr>
        <w:t>程注记</w:t>
      </w:r>
      <w:r>
        <w:rPr>
          <w:rFonts w:hint="eastAsia" w:eastAsia="仿宋"/>
          <w:color w:val="auto"/>
          <w:sz w:val="28"/>
          <w:szCs w:val="28"/>
          <w:highlight w:val="none"/>
        </w:rPr>
        <w:t>）等组成。CAD图形分层见表</w:t>
      </w:r>
      <w:r>
        <w:rPr>
          <w:rFonts w:eastAsia="仿宋"/>
          <w:color w:val="auto"/>
          <w:sz w:val="28"/>
          <w:szCs w:val="28"/>
          <w:highlight w:val="none"/>
        </w:rPr>
        <w:t>A-3</w:t>
      </w:r>
      <w:r>
        <w:rPr>
          <w:rFonts w:hint="eastAsia" w:eastAsia="仿宋"/>
          <w:color w:val="auto"/>
          <w:sz w:val="28"/>
          <w:szCs w:val="28"/>
          <w:highlight w:val="none"/>
        </w:rPr>
        <w:t>。</w:t>
      </w:r>
    </w:p>
    <w:p>
      <w:pPr>
        <w:jc w:val="center"/>
        <w:rPr>
          <w:rFonts w:ascii="仿宋" w:hAnsi="仿宋" w:eastAsia="仿宋"/>
          <w:b/>
          <w:color w:val="auto"/>
          <w:sz w:val="24"/>
          <w:highlight w:val="none"/>
        </w:rPr>
      </w:pPr>
      <w:r>
        <w:rPr>
          <w:rFonts w:ascii="仿宋" w:hAnsi="仿宋" w:eastAsia="仿宋"/>
          <w:b/>
          <w:color w:val="auto"/>
          <w:sz w:val="24"/>
          <w:highlight w:val="none"/>
        </w:rPr>
        <w:t>表A-3 CAD</w:t>
      </w:r>
      <w:r>
        <w:rPr>
          <w:rFonts w:hint="eastAsia" w:ascii="仿宋" w:hAnsi="仿宋" w:eastAsia="仿宋"/>
          <w:b/>
          <w:color w:val="auto"/>
          <w:sz w:val="24"/>
          <w:highlight w:val="none"/>
        </w:rPr>
        <w:t>图形分层及命名</w:t>
      </w:r>
    </w:p>
    <w:tbl>
      <w:tblPr>
        <w:tblStyle w:val="43"/>
        <w:tblW w:w="8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2373"/>
        <w:gridCol w:w="3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858" w:type="dxa"/>
            <w:noWrap/>
            <w:vAlign w:val="center"/>
          </w:tcPr>
          <w:p>
            <w:pPr>
              <w:pStyle w:val="246"/>
              <w:spacing w:line="240" w:lineRule="auto"/>
              <w:ind w:firstLine="600" w:firstLineChars="250"/>
              <w:jc w:val="left"/>
              <w:rPr>
                <w:rFonts w:ascii="仿宋" w:hAnsi="仿宋" w:eastAsia="仿宋"/>
                <w:color w:val="auto"/>
                <w:sz w:val="24"/>
                <w:szCs w:val="24"/>
                <w:highlight w:val="none"/>
              </w:rPr>
            </w:pPr>
            <w:r>
              <w:rPr>
                <w:rFonts w:ascii="仿宋" w:hAnsi="仿宋" w:eastAsia="仿宋"/>
                <w:color w:val="auto"/>
                <w:sz w:val="24"/>
                <w:szCs w:val="24"/>
                <w:highlight w:val="none"/>
              </w:rPr>
              <w:t>图层</w:t>
            </w:r>
          </w:p>
        </w:tc>
        <w:tc>
          <w:tcPr>
            <w:tcW w:w="2373" w:type="dxa"/>
            <w:noWrap/>
            <w:vAlign w:val="center"/>
          </w:tcPr>
          <w:p>
            <w:pPr>
              <w:pStyle w:val="246"/>
              <w:spacing w:line="240" w:lineRule="auto"/>
              <w:ind w:left="960"/>
              <w:jc w:val="left"/>
              <w:rPr>
                <w:rFonts w:ascii="仿宋" w:hAnsi="仿宋" w:eastAsia="仿宋"/>
                <w:color w:val="auto"/>
                <w:sz w:val="24"/>
                <w:szCs w:val="24"/>
                <w:highlight w:val="none"/>
              </w:rPr>
            </w:pPr>
            <w:r>
              <w:rPr>
                <w:rFonts w:ascii="仿宋" w:hAnsi="仿宋" w:eastAsia="仿宋"/>
                <w:color w:val="auto"/>
                <w:sz w:val="24"/>
                <w:szCs w:val="24"/>
                <w:highlight w:val="none"/>
              </w:rPr>
              <w:t>图层名</w:t>
            </w:r>
          </w:p>
        </w:tc>
        <w:tc>
          <w:tcPr>
            <w:tcW w:w="3830" w:type="dxa"/>
            <w:noWrap/>
            <w:vAlign w:val="center"/>
          </w:tcPr>
          <w:p>
            <w:pPr>
              <w:pStyle w:val="246"/>
              <w:spacing w:line="240" w:lineRule="auto"/>
              <w:ind w:left="960"/>
              <w:jc w:val="left"/>
              <w:rPr>
                <w:rFonts w:ascii="仿宋" w:hAnsi="仿宋" w:eastAsia="仿宋"/>
                <w:color w:val="auto"/>
                <w:sz w:val="24"/>
                <w:szCs w:val="24"/>
                <w:highlight w:val="none"/>
              </w:rPr>
            </w:pPr>
            <w:r>
              <w:rPr>
                <w:rFonts w:ascii="仿宋" w:hAnsi="仿宋" w:eastAsia="仿宋"/>
                <w:color w:val="auto"/>
                <w:sz w:val="24"/>
                <w:szCs w:val="24"/>
                <w:highlight w:val="none"/>
              </w:rPr>
              <w:t>说明内容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58" w:type="dxa"/>
            <w:vMerge w:val="restart"/>
            <w:noWrap/>
            <w:vAlign w:val="center"/>
          </w:tcPr>
          <w:p>
            <w:pPr>
              <w:pStyle w:val="246"/>
              <w:spacing w:line="240" w:lineRule="auto"/>
              <w:ind w:firstLine="600" w:firstLineChars="250"/>
              <w:jc w:val="left"/>
              <w:rPr>
                <w:rFonts w:ascii="仿宋" w:hAnsi="仿宋" w:eastAsia="仿宋"/>
                <w:color w:val="auto"/>
                <w:sz w:val="24"/>
                <w:szCs w:val="24"/>
                <w:highlight w:val="none"/>
              </w:rPr>
            </w:pPr>
            <w:r>
              <w:rPr>
                <w:rFonts w:ascii="仿宋" w:hAnsi="仿宋" w:eastAsia="仿宋"/>
                <w:color w:val="auto"/>
                <w:sz w:val="24"/>
                <w:szCs w:val="24"/>
                <w:highlight w:val="none"/>
              </w:rPr>
              <w:t>管线</w:t>
            </w:r>
          </w:p>
        </w:tc>
        <w:tc>
          <w:tcPr>
            <w:tcW w:w="2373" w:type="dxa"/>
            <w:noWrap/>
            <w:vAlign w:val="center"/>
          </w:tcPr>
          <w:p>
            <w:pPr>
              <w:pStyle w:val="246"/>
              <w:spacing w:line="240" w:lineRule="auto"/>
              <w:ind w:left="960"/>
              <w:jc w:val="left"/>
              <w:rPr>
                <w:rFonts w:ascii="仿宋" w:hAnsi="仿宋" w:eastAsia="仿宋"/>
                <w:color w:val="auto"/>
                <w:sz w:val="24"/>
                <w:szCs w:val="24"/>
                <w:highlight w:val="none"/>
              </w:rPr>
            </w:pPr>
            <w:r>
              <w:rPr>
                <w:rFonts w:ascii="仿宋" w:hAnsi="仿宋" w:eastAsia="仿宋"/>
                <w:color w:val="auto"/>
                <w:sz w:val="24"/>
                <w:szCs w:val="24"/>
                <w:highlight w:val="none"/>
              </w:rPr>
              <w:t>XXxxP</w:t>
            </w:r>
          </w:p>
        </w:tc>
        <w:tc>
          <w:tcPr>
            <w:tcW w:w="3830" w:type="dxa"/>
            <w:noWrap/>
            <w:vAlign w:val="center"/>
          </w:tcPr>
          <w:p>
            <w:pPr>
              <w:pStyle w:val="246"/>
              <w:spacing w:line="240" w:lineRule="auto"/>
              <w:ind w:left="960"/>
              <w:jc w:val="left"/>
              <w:rPr>
                <w:rFonts w:ascii="仿宋" w:hAnsi="仿宋" w:eastAsia="仿宋"/>
                <w:color w:val="auto"/>
                <w:sz w:val="24"/>
                <w:szCs w:val="24"/>
                <w:highlight w:val="none"/>
              </w:rPr>
            </w:pPr>
            <w:r>
              <w:rPr>
                <w:rFonts w:ascii="仿宋" w:hAnsi="仿宋" w:eastAsia="仿宋"/>
                <w:color w:val="auto"/>
                <w:sz w:val="24"/>
                <w:szCs w:val="24"/>
                <w:highlight w:val="none"/>
              </w:rPr>
              <w:t>管线点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58" w:type="dxa"/>
            <w:vMerge w:val="continue"/>
            <w:noWrap/>
            <w:vAlign w:val="center"/>
          </w:tcPr>
          <w:p>
            <w:pPr>
              <w:pStyle w:val="246"/>
              <w:spacing w:line="240" w:lineRule="auto"/>
              <w:ind w:left="960"/>
              <w:jc w:val="left"/>
              <w:rPr>
                <w:rFonts w:ascii="仿宋" w:hAnsi="仿宋" w:eastAsia="仿宋"/>
                <w:color w:val="auto"/>
                <w:sz w:val="24"/>
                <w:szCs w:val="24"/>
                <w:highlight w:val="none"/>
              </w:rPr>
            </w:pPr>
          </w:p>
        </w:tc>
        <w:tc>
          <w:tcPr>
            <w:tcW w:w="2373" w:type="dxa"/>
            <w:noWrap/>
            <w:vAlign w:val="center"/>
          </w:tcPr>
          <w:p>
            <w:pPr>
              <w:pStyle w:val="246"/>
              <w:spacing w:line="240" w:lineRule="auto"/>
              <w:ind w:left="960"/>
              <w:jc w:val="left"/>
              <w:rPr>
                <w:rFonts w:ascii="仿宋" w:hAnsi="仿宋" w:eastAsia="仿宋"/>
                <w:color w:val="auto"/>
                <w:sz w:val="24"/>
                <w:szCs w:val="24"/>
                <w:highlight w:val="none"/>
              </w:rPr>
            </w:pPr>
            <w:r>
              <w:rPr>
                <w:rFonts w:ascii="仿宋" w:hAnsi="仿宋" w:eastAsia="仿宋"/>
                <w:color w:val="auto"/>
                <w:sz w:val="24"/>
                <w:szCs w:val="24"/>
                <w:highlight w:val="none"/>
              </w:rPr>
              <w:t>XXxxL</w:t>
            </w:r>
          </w:p>
        </w:tc>
        <w:tc>
          <w:tcPr>
            <w:tcW w:w="3830" w:type="dxa"/>
            <w:noWrap/>
            <w:vAlign w:val="center"/>
          </w:tcPr>
          <w:p>
            <w:pPr>
              <w:pStyle w:val="246"/>
              <w:spacing w:line="240" w:lineRule="auto"/>
              <w:ind w:left="960"/>
              <w:jc w:val="left"/>
              <w:rPr>
                <w:rFonts w:ascii="仿宋" w:hAnsi="仿宋" w:eastAsia="仿宋"/>
                <w:color w:val="auto"/>
                <w:sz w:val="24"/>
                <w:szCs w:val="24"/>
                <w:highlight w:val="none"/>
              </w:rPr>
            </w:pPr>
            <w:r>
              <w:rPr>
                <w:rFonts w:ascii="仿宋" w:hAnsi="仿宋" w:eastAsia="仿宋"/>
                <w:color w:val="auto"/>
                <w:sz w:val="24"/>
                <w:szCs w:val="24"/>
                <w:highlight w:val="none"/>
              </w:rPr>
              <w:t>管线线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58" w:type="dxa"/>
            <w:vMerge w:val="continue"/>
            <w:noWrap/>
            <w:vAlign w:val="center"/>
          </w:tcPr>
          <w:p>
            <w:pPr>
              <w:pStyle w:val="246"/>
              <w:spacing w:line="240" w:lineRule="auto"/>
              <w:ind w:left="960"/>
              <w:jc w:val="left"/>
              <w:rPr>
                <w:rFonts w:ascii="仿宋" w:hAnsi="仿宋" w:eastAsia="仿宋"/>
                <w:color w:val="auto"/>
                <w:sz w:val="24"/>
                <w:szCs w:val="24"/>
                <w:highlight w:val="none"/>
              </w:rPr>
            </w:pPr>
          </w:p>
        </w:tc>
        <w:tc>
          <w:tcPr>
            <w:tcW w:w="2373" w:type="dxa"/>
            <w:noWrap/>
            <w:vAlign w:val="center"/>
          </w:tcPr>
          <w:p>
            <w:pPr>
              <w:pStyle w:val="246"/>
              <w:spacing w:line="240" w:lineRule="auto"/>
              <w:ind w:left="960"/>
              <w:jc w:val="left"/>
              <w:rPr>
                <w:rFonts w:ascii="仿宋" w:hAnsi="仿宋" w:eastAsia="仿宋"/>
                <w:color w:val="auto"/>
                <w:sz w:val="24"/>
                <w:szCs w:val="24"/>
                <w:highlight w:val="none"/>
              </w:rPr>
            </w:pPr>
            <w:r>
              <w:rPr>
                <w:rFonts w:ascii="仿宋" w:hAnsi="仿宋" w:eastAsia="仿宋"/>
                <w:color w:val="auto"/>
                <w:sz w:val="24"/>
                <w:szCs w:val="24"/>
                <w:highlight w:val="none"/>
              </w:rPr>
              <w:t>XXxx</w:t>
            </w:r>
            <w:r>
              <w:rPr>
                <w:rFonts w:hint="eastAsia" w:ascii="仿宋" w:hAnsi="仿宋" w:eastAsia="仿宋"/>
                <w:color w:val="auto"/>
                <w:sz w:val="24"/>
                <w:szCs w:val="24"/>
                <w:highlight w:val="none"/>
              </w:rPr>
              <w:t>A</w:t>
            </w:r>
          </w:p>
        </w:tc>
        <w:tc>
          <w:tcPr>
            <w:tcW w:w="3830" w:type="dxa"/>
            <w:noWrap/>
            <w:vAlign w:val="center"/>
          </w:tcPr>
          <w:p>
            <w:pPr>
              <w:pStyle w:val="246"/>
              <w:spacing w:line="240" w:lineRule="auto"/>
              <w:ind w:left="960"/>
              <w:jc w:val="left"/>
              <w:rPr>
                <w:rFonts w:ascii="仿宋" w:hAnsi="仿宋" w:eastAsia="仿宋"/>
                <w:color w:val="auto"/>
                <w:sz w:val="24"/>
                <w:szCs w:val="24"/>
                <w:highlight w:val="none"/>
              </w:rPr>
            </w:pPr>
            <w:r>
              <w:rPr>
                <w:rFonts w:hint="eastAsia" w:ascii="仿宋" w:hAnsi="仿宋" w:eastAsia="仿宋"/>
                <w:color w:val="auto"/>
                <w:sz w:val="24"/>
                <w:szCs w:val="24"/>
                <w:highlight w:val="none"/>
              </w:rPr>
              <w:t>管线</w:t>
            </w:r>
            <w:r>
              <w:rPr>
                <w:rFonts w:ascii="仿宋" w:hAnsi="仿宋" w:eastAsia="仿宋"/>
                <w:color w:val="auto"/>
                <w:sz w:val="24"/>
                <w:szCs w:val="24"/>
                <w:highlight w:val="none"/>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58" w:type="dxa"/>
            <w:vMerge w:val="continue"/>
            <w:noWrap/>
            <w:vAlign w:val="center"/>
          </w:tcPr>
          <w:p>
            <w:pPr>
              <w:pStyle w:val="246"/>
              <w:spacing w:line="240" w:lineRule="auto"/>
              <w:ind w:left="960"/>
              <w:jc w:val="left"/>
              <w:rPr>
                <w:rFonts w:ascii="仿宋" w:hAnsi="仿宋" w:eastAsia="仿宋"/>
                <w:color w:val="auto"/>
                <w:sz w:val="24"/>
                <w:szCs w:val="24"/>
                <w:highlight w:val="none"/>
              </w:rPr>
            </w:pPr>
          </w:p>
        </w:tc>
        <w:tc>
          <w:tcPr>
            <w:tcW w:w="2373" w:type="dxa"/>
            <w:noWrap/>
            <w:vAlign w:val="center"/>
          </w:tcPr>
          <w:p>
            <w:pPr>
              <w:pStyle w:val="246"/>
              <w:spacing w:line="240" w:lineRule="auto"/>
              <w:ind w:left="960"/>
              <w:jc w:val="left"/>
              <w:rPr>
                <w:rFonts w:ascii="仿宋" w:hAnsi="仿宋" w:eastAsia="仿宋"/>
                <w:color w:val="auto"/>
                <w:sz w:val="24"/>
                <w:szCs w:val="24"/>
                <w:highlight w:val="none"/>
              </w:rPr>
            </w:pPr>
            <w:r>
              <w:rPr>
                <w:rFonts w:hint="eastAsia" w:ascii="仿宋" w:hAnsi="仿宋" w:eastAsia="仿宋"/>
                <w:color w:val="auto"/>
                <w:sz w:val="24"/>
                <w:szCs w:val="24"/>
                <w:highlight w:val="none"/>
              </w:rPr>
              <w:t>XX</w:t>
            </w:r>
            <w:r>
              <w:rPr>
                <w:rFonts w:ascii="仿宋" w:hAnsi="仿宋" w:eastAsia="仿宋"/>
                <w:color w:val="auto"/>
                <w:sz w:val="24"/>
                <w:szCs w:val="24"/>
                <w:highlight w:val="none"/>
              </w:rPr>
              <w:t>xx</w:t>
            </w:r>
            <w:r>
              <w:rPr>
                <w:rFonts w:hint="eastAsia" w:ascii="仿宋" w:hAnsi="仿宋" w:eastAsia="仿宋"/>
                <w:color w:val="auto"/>
                <w:sz w:val="24"/>
                <w:szCs w:val="24"/>
                <w:highlight w:val="none"/>
              </w:rPr>
              <w:t>FZP</w:t>
            </w:r>
          </w:p>
        </w:tc>
        <w:tc>
          <w:tcPr>
            <w:tcW w:w="3830" w:type="dxa"/>
            <w:noWrap/>
            <w:vAlign w:val="center"/>
          </w:tcPr>
          <w:p>
            <w:pPr>
              <w:pStyle w:val="246"/>
              <w:spacing w:line="240" w:lineRule="auto"/>
              <w:ind w:left="960"/>
              <w:jc w:val="left"/>
              <w:rPr>
                <w:rFonts w:ascii="仿宋" w:hAnsi="仿宋" w:eastAsia="仿宋"/>
                <w:color w:val="auto"/>
                <w:sz w:val="24"/>
                <w:szCs w:val="24"/>
                <w:highlight w:val="none"/>
              </w:rPr>
            </w:pPr>
            <w:r>
              <w:rPr>
                <w:rFonts w:hint="eastAsia" w:ascii="仿宋" w:hAnsi="仿宋" w:eastAsia="仿宋"/>
                <w:color w:val="auto"/>
                <w:sz w:val="24"/>
                <w:szCs w:val="24"/>
                <w:highlight w:val="none"/>
              </w:rPr>
              <w:t>管线辅助点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58" w:type="dxa"/>
            <w:vMerge w:val="continue"/>
            <w:noWrap/>
            <w:vAlign w:val="center"/>
          </w:tcPr>
          <w:p>
            <w:pPr>
              <w:pStyle w:val="246"/>
              <w:spacing w:line="240" w:lineRule="auto"/>
              <w:ind w:left="960"/>
              <w:jc w:val="left"/>
              <w:rPr>
                <w:rFonts w:ascii="仿宋" w:hAnsi="仿宋" w:eastAsia="仿宋"/>
                <w:color w:val="auto"/>
                <w:sz w:val="24"/>
                <w:szCs w:val="24"/>
                <w:highlight w:val="none"/>
              </w:rPr>
            </w:pPr>
          </w:p>
        </w:tc>
        <w:tc>
          <w:tcPr>
            <w:tcW w:w="2373" w:type="dxa"/>
            <w:noWrap/>
            <w:vAlign w:val="center"/>
          </w:tcPr>
          <w:p>
            <w:pPr>
              <w:pStyle w:val="246"/>
              <w:spacing w:line="240" w:lineRule="auto"/>
              <w:ind w:left="960"/>
              <w:jc w:val="left"/>
              <w:rPr>
                <w:rFonts w:ascii="仿宋" w:hAnsi="仿宋" w:eastAsia="仿宋"/>
                <w:color w:val="auto"/>
                <w:sz w:val="24"/>
                <w:szCs w:val="24"/>
                <w:highlight w:val="none"/>
              </w:rPr>
            </w:pPr>
            <w:r>
              <w:rPr>
                <w:rFonts w:hint="eastAsia" w:ascii="仿宋" w:hAnsi="仿宋" w:eastAsia="仿宋"/>
                <w:color w:val="auto"/>
                <w:sz w:val="24"/>
                <w:szCs w:val="24"/>
                <w:highlight w:val="none"/>
              </w:rPr>
              <w:t>XX</w:t>
            </w:r>
            <w:r>
              <w:rPr>
                <w:rFonts w:ascii="仿宋" w:hAnsi="仿宋" w:eastAsia="仿宋"/>
                <w:color w:val="auto"/>
                <w:sz w:val="24"/>
                <w:szCs w:val="24"/>
                <w:highlight w:val="none"/>
              </w:rPr>
              <w:t>xx</w:t>
            </w:r>
            <w:r>
              <w:rPr>
                <w:rFonts w:hint="eastAsia" w:ascii="仿宋" w:hAnsi="仿宋" w:eastAsia="仿宋"/>
                <w:color w:val="auto"/>
                <w:sz w:val="24"/>
                <w:szCs w:val="24"/>
                <w:highlight w:val="none"/>
              </w:rPr>
              <w:t>FZL</w:t>
            </w:r>
          </w:p>
        </w:tc>
        <w:tc>
          <w:tcPr>
            <w:tcW w:w="3830" w:type="dxa"/>
            <w:noWrap/>
            <w:vAlign w:val="center"/>
          </w:tcPr>
          <w:p>
            <w:pPr>
              <w:pStyle w:val="246"/>
              <w:spacing w:line="240" w:lineRule="auto"/>
              <w:ind w:left="960"/>
              <w:jc w:val="left"/>
              <w:rPr>
                <w:rFonts w:ascii="仿宋" w:hAnsi="仿宋" w:eastAsia="仿宋"/>
                <w:color w:val="auto"/>
                <w:sz w:val="24"/>
                <w:szCs w:val="24"/>
                <w:highlight w:val="none"/>
              </w:rPr>
            </w:pPr>
            <w:r>
              <w:rPr>
                <w:rFonts w:hint="eastAsia" w:ascii="仿宋" w:hAnsi="仿宋" w:eastAsia="仿宋"/>
                <w:color w:val="auto"/>
                <w:sz w:val="24"/>
                <w:szCs w:val="24"/>
                <w:highlight w:val="none"/>
              </w:rPr>
              <w:t>管线辅助线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58" w:type="dxa"/>
            <w:vMerge w:val="continue"/>
            <w:noWrap/>
            <w:vAlign w:val="center"/>
          </w:tcPr>
          <w:p>
            <w:pPr>
              <w:pStyle w:val="246"/>
              <w:spacing w:line="240" w:lineRule="auto"/>
              <w:ind w:left="960"/>
              <w:jc w:val="left"/>
              <w:rPr>
                <w:rFonts w:ascii="仿宋" w:hAnsi="仿宋" w:eastAsia="仿宋"/>
                <w:color w:val="auto"/>
                <w:sz w:val="24"/>
                <w:szCs w:val="24"/>
                <w:highlight w:val="none"/>
              </w:rPr>
            </w:pPr>
          </w:p>
        </w:tc>
        <w:tc>
          <w:tcPr>
            <w:tcW w:w="2373" w:type="dxa"/>
            <w:noWrap/>
            <w:vAlign w:val="center"/>
          </w:tcPr>
          <w:p>
            <w:pPr>
              <w:pStyle w:val="246"/>
              <w:spacing w:line="240" w:lineRule="auto"/>
              <w:ind w:left="960"/>
              <w:jc w:val="left"/>
              <w:rPr>
                <w:rFonts w:ascii="仿宋" w:hAnsi="仿宋" w:eastAsia="仿宋"/>
                <w:color w:val="auto"/>
                <w:sz w:val="24"/>
                <w:szCs w:val="24"/>
                <w:highlight w:val="none"/>
              </w:rPr>
            </w:pPr>
            <w:r>
              <w:rPr>
                <w:rFonts w:ascii="仿宋" w:hAnsi="仿宋" w:eastAsia="仿宋"/>
                <w:color w:val="auto"/>
                <w:sz w:val="24"/>
                <w:szCs w:val="24"/>
                <w:highlight w:val="none"/>
              </w:rPr>
              <w:t>XXxxTEXTP</w:t>
            </w:r>
          </w:p>
        </w:tc>
        <w:tc>
          <w:tcPr>
            <w:tcW w:w="3830" w:type="dxa"/>
            <w:noWrap/>
            <w:vAlign w:val="center"/>
          </w:tcPr>
          <w:p>
            <w:pPr>
              <w:pStyle w:val="246"/>
              <w:spacing w:line="240" w:lineRule="auto"/>
              <w:ind w:left="960"/>
              <w:jc w:val="left"/>
              <w:rPr>
                <w:rFonts w:ascii="仿宋" w:hAnsi="仿宋" w:eastAsia="仿宋"/>
                <w:color w:val="auto"/>
                <w:sz w:val="24"/>
                <w:szCs w:val="24"/>
                <w:highlight w:val="none"/>
              </w:rPr>
            </w:pPr>
            <w:r>
              <w:rPr>
                <w:rFonts w:ascii="仿宋" w:hAnsi="仿宋" w:eastAsia="仿宋"/>
                <w:color w:val="auto"/>
                <w:sz w:val="24"/>
                <w:szCs w:val="24"/>
                <w:highlight w:val="none"/>
              </w:rPr>
              <w:t>管线点注记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58" w:type="dxa"/>
            <w:vMerge w:val="continue"/>
            <w:noWrap/>
            <w:vAlign w:val="center"/>
          </w:tcPr>
          <w:p>
            <w:pPr>
              <w:pStyle w:val="246"/>
              <w:spacing w:line="240" w:lineRule="auto"/>
              <w:ind w:left="960"/>
              <w:jc w:val="left"/>
              <w:rPr>
                <w:rFonts w:ascii="仿宋" w:hAnsi="仿宋" w:eastAsia="仿宋"/>
                <w:color w:val="auto"/>
                <w:sz w:val="24"/>
                <w:szCs w:val="24"/>
                <w:highlight w:val="none"/>
              </w:rPr>
            </w:pPr>
          </w:p>
        </w:tc>
        <w:tc>
          <w:tcPr>
            <w:tcW w:w="2373" w:type="dxa"/>
            <w:noWrap/>
            <w:vAlign w:val="center"/>
          </w:tcPr>
          <w:p>
            <w:pPr>
              <w:pStyle w:val="246"/>
              <w:spacing w:line="240" w:lineRule="auto"/>
              <w:ind w:left="960"/>
              <w:jc w:val="left"/>
              <w:rPr>
                <w:rFonts w:ascii="仿宋" w:hAnsi="仿宋" w:eastAsia="仿宋"/>
                <w:color w:val="auto"/>
                <w:sz w:val="24"/>
                <w:szCs w:val="24"/>
                <w:highlight w:val="none"/>
              </w:rPr>
            </w:pPr>
            <w:r>
              <w:rPr>
                <w:rFonts w:ascii="仿宋" w:hAnsi="仿宋" w:eastAsia="仿宋"/>
                <w:color w:val="auto"/>
                <w:sz w:val="24"/>
                <w:szCs w:val="24"/>
                <w:highlight w:val="none"/>
              </w:rPr>
              <w:t>XXxxTEXTL</w:t>
            </w:r>
          </w:p>
        </w:tc>
        <w:tc>
          <w:tcPr>
            <w:tcW w:w="3830" w:type="dxa"/>
            <w:noWrap/>
            <w:vAlign w:val="center"/>
          </w:tcPr>
          <w:p>
            <w:pPr>
              <w:pStyle w:val="246"/>
              <w:spacing w:line="240" w:lineRule="auto"/>
              <w:ind w:left="960"/>
              <w:jc w:val="left"/>
              <w:rPr>
                <w:rFonts w:ascii="仿宋" w:hAnsi="仿宋" w:eastAsia="仿宋"/>
                <w:color w:val="auto"/>
                <w:sz w:val="24"/>
                <w:szCs w:val="24"/>
                <w:highlight w:val="none"/>
              </w:rPr>
            </w:pPr>
            <w:r>
              <w:rPr>
                <w:rFonts w:ascii="仿宋" w:hAnsi="仿宋" w:eastAsia="仿宋"/>
                <w:color w:val="auto"/>
                <w:sz w:val="24"/>
                <w:szCs w:val="24"/>
                <w:highlight w:val="none"/>
              </w:rPr>
              <w:t>管线线注记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58" w:type="dxa"/>
            <w:vMerge w:val="continue"/>
            <w:noWrap/>
            <w:vAlign w:val="center"/>
          </w:tcPr>
          <w:p>
            <w:pPr>
              <w:pStyle w:val="246"/>
              <w:spacing w:line="240" w:lineRule="auto"/>
              <w:ind w:left="960"/>
              <w:jc w:val="left"/>
              <w:rPr>
                <w:rFonts w:ascii="仿宋" w:hAnsi="仿宋" w:eastAsia="仿宋"/>
                <w:color w:val="auto"/>
                <w:sz w:val="24"/>
                <w:szCs w:val="24"/>
                <w:highlight w:val="none"/>
              </w:rPr>
            </w:pPr>
          </w:p>
        </w:tc>
        <w:tc>
          <w:tcPr>
            <w:tcW w:w="2373" w:type="dxa"/>
            <w:noWrap/>
            <w:vAlign w:val="center"/>
          </w:tcPr>
          <w:p>
            <w:pPr>
              <w:pStyle w:val="246"/>
              <w:spacing w:line="240" w:lineRule="auto"/>
              <w:ind w:left="960"/>
              <w:jc w:val="left"/>
              <w:rPr>
                <w:rFonts w:ascii="仿宋" w:hAnsi="仿宋" w:eastAsia="仿宋"/>
                <w:color w:val="auto"/>
                <w:sz w:val="24"/>
                <w:szCs w:val="24"/>
                <w:highlight w:val="none"/>
              </w:rPr>
            </w:pPr>
            <w:r>
              <w:rPr>
                <w:rFonts w:hint="eastAsia" w:ascii="仿宋" w:hAnsi="仿宋" w:eastAsia="仿宋"/>
                <w:color w:val="auto"/>
                <w:sz w:val="24"/>
                <w:szCs w:val="24"/>
                <w:highlight w:val="none"/>
              </w:rPr>
              <w:t>XX</w:t>
            </w:r>
            <w:r>
              <w:rPr>
                <w:rFonts w:ascii="仿宋" w:hAnsi="仿宋" w:eastAsia="仿宋"/>
                <w:color w:val="auto"/>
                <w:sz w:val="24"/>
                <w:szCs w:val="24"/>
                <w:highlight w:val="none"/>
              </w:rPr>
              <w:t>xx</w:t>
            </w:r>
            <w:r>
              <w:rPr>
                <w:rFonts w:hint="eastAsia" w:ascii="仿宋" w:hAnsi="仿宋" w:eastAsia="仿宋"/>
                <w:color w:val="auto"/>
                <w:sz w:val="24"/>
                <w:szCs w:val="24"/>
                <w:highlight w:val="none"/>
              </w:rPr>
              <w:t>LINEH</w:t>
            </w:r>
          </w:p>
        </w:tc>
        <w:tc>
          <w:tcPr>
            <w:tcW w:w="3830" w:type="dxa"/>
            <w:noWrap/>
            <w:vAlign w:val="center"/>
          </w:tcPr>
          <w:p>
            <w:pPr>
              <w:pStyle w:val="246"/>
              <w:spacing w:line="240" w:lineRule="auto"/>
              <w:ind w:left="960"/>
              <w:jc w:val="left"/>
              <w:rPr>
                <w:rFonts w:ascii="仿宋" w:hAnsi="仿宋" w:eastAsia="仿宋"/>
                <w:color w:val="auto"/>
                <w:sz w:val="24"/>
                <w:szCs w:val="24"/>
                <w:highlight w:val="none"/>
              </w:rPr>
            </w:pPr>
            <w:r>
              <w:rPr>
                <w:rFonts w:hint="eastAsia" w:ascii="仿宋" w:hAnsi="仿宋" w:eastAsia="仿宋"/>
                <w:color w:val="auto"/>
                <w:sz w:val="24"/>
                <w:szCs w:val="24"/>
                <w:highlight w:val="none"/>
              </w:rPr>
              <w:t>管</w:t>
            </w:r>
            <w:r>
              <w:rPr>
                <w:rFonts w:ascii="仿宋" w:hAnsi="仿宋" w:eastAsia="仿宋"/>
                <w:color w:val="auto"/>
                <w:sz w:val="24"/>
                <w:szCs w:val="24"/>
                <w:highlight w:val="none"/>
              </w:rPr>
              <w:t>线</w:t>
            </w:r>
            <w:r>
              <w:rPr>
                <w:rFonts w:hint="eastAsia" w:ascii="仿宋" w:hAnsi="仿宋" w:eastAsia="仿宋"/>
                <w:color w:val="auto"/>
                <w:sz w:val="24"/>
                <w:szCs w:val="24"/>
                <w:highlight w:val="none"/>
              </w:rPr>
              <w:t>高</w:t>
            </w:r>
            <w:r>
              <w:rPr>
                <w:rFonts w:ascii="仿宋" w:hAnsi="仿宋" w:eastAsia="仿宋"/>
                <w:color w:val="auto"/>
                <w:sz w:val="24"/>
                <w:szCs w:val="24"/>
                <w:highlight w:val="none"/>
              </w:rPr>
              <w:t>程注记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8" w:type="dxa"/>
            <w:noWrap/>
            <w:vAlign w:val="center"/>
          </w:tcPr>
          <w:p>
            <w:pPr>
              <w:pStyle w:val="246"/>
              <w:spacing w:line="240" w:lineRule="auto"/>
              <w:ind w:firstLine="480" w:firstLineChars="200"/>
              <w:jc w:val="left"/>
              <w:rPr>
                <w:rFonts w:ascii="仿宋" w:hAnsi="仿宋" w:eastAsia="仿宋"/>
                <w:color w:val="auto"/>
                <w:sz w:val="24"/>
                <w:szCs w:val="24"/>
                <w:highlight w:val="none"/>
              </w:rPr>
            </w:pPr>
            <w:r>
              <w:rPr>
                <w:rFonts w:ascii="仿宋" w:hAnsi="仿宋" w:eastAsia="仿宋"/>
                <w:color w:val="auto"/>
                <w:sz w:val="24"/>
                <w:szCs w:val="24"/>
                <w:highlight w:val="none"/>
              </w:rPr>
              <w:t>辅助</w:t>
            </w:r>
          </w:p>
        </w:tc>
        <w:tc>
          <w:tcPr>
            <w:tcW w:w="2373" w:type="dxa"/>
            <w:noWrap/>
            <w:vAlign w:val="center"/>
          </w:tcPr>
          <w:p>
            <w:pPr>
              <w:pStyle w:val="246"/>
              <w:spacing w:line="240" w:lineRule="auto"/>
              <w:ind w:left="960"/>
              <w:jc w:val="left"/>
              <w:rPr>
                <w:rFonts w:ascii="仿宋" w:hAnsi="仿宋" w:eastAsia="仿宋"/>
                <w:color w:val="auto"/>
                <w:sz w:val="24"/>
                <w:szCs w:val="24"/>
                <w:highlight w:val="none"/>
              </w:rPr>
            </w:pPr>
            <w:r>
              <w:rPr>
                <w:rFonts w:ascii="仿宋" w:hAnsi="仿宋" w:eastAsia="仿宋"/>
                <w:color w:val="auto"/>
                <w:sz w:val="24"/>
                <w:szCs w:val="24"/>
                <w:highlight w:val="none"/>
              </w:rPr>
              <w:t>FUZHU</w:t>
            </w:r>
          </w:p>
        </w:tc>
        <w:tc>
          <w:tcPr>
            <w:tcW w:w="3830" w:type="dxa"/>
            <w:noWrap/>
            <w:vAlign w:val="center"/>
          </w:tcPr>
          <w:p>
            <w:pPr>
              <w:pStyle w:val="246"/>
              <w:spacing w:line="240" w:lineRule="auto"/>
              <w:ind w:left="960"/>
              <w:jc w:val="left"/>
              <w:rPr>
                <w:rFonts w:ascii="仿宋" w:hAnsi="仿宋" w:eastAsia="仿宋"/>
                <w:color w:val="auto"/>
                <w:sz w:val="24"/>
                <w:szCs w:val="24"/>
                <w:highlight w:val="none"/>
              </w:rPr>
            </w:pPr>
            <w:r>
              <w:rPr>
                <w:rFonts w:hint="eastAsia" w:ascii="仿宋" w:hAnsi="仿宋" w:eastAsia="仿宋"/>
                <w:color w:val="auto"/>
                <w:sz w:val="24"/>
                <w:szCs w:val="24"/>
                <w:highlight w:val="none"/>
              </w:rPr>
              <w:t>其他相</w:t>
            </w:r>
            <w:r>
              <w:rPr>
                <w:rFonts w:ascii="仿宋" w:hAnsi="仿宋" w:eastAsia="仿宋"/>
                <w:color w:val="auto"/>
                <w:sz w:val="24"/>
                <w:szCs w:val="24"/>
                <w:highlight w:val="none"/>
              </w:rPr>
              <w:t>关图形</w:t>
            </w:r>
            <w:r>
              <w:rPr>
                <w:rFonts w:hint="eastAsia" w:ascii="仿宋" w:hAnsi="仿宋" w:eastAsia="仿宋"/>
                <w:color w:val="auto"/>
                <w:sz w:val="24"/>
                <w:szCs w:val="24"/>
                <w:highlight w:val="none"/>
              </w:rPr>
              <w:t>注记</w:t>
            </w:r>
            <w:r>
              <w:rPr>
                <w:rFonts w:ascii="仿宋" w:hAnsi="仿宋" w:eastAsia="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61" w:type="dxa"/>
            <w:gridSpan w:val="3"/>
            <w:noWrap/>
            <w:vAlign w:val="center"/>
          </w:tcPr>
          <w:p>
            <w:pPr>
              <w:pStyle w:val="246"/>
              <w:spacing w:line="240" w:lineRule="auto"/>
              <w:jc w:val="left"/>
              <w:rPr>
                <w:rFonts w:ascii="仿宋" w:hAnsi="仿宋" w:eastAsia="仿宋"/>
                <w:color w:val="auto"/>
                <w:sz w:val="24"/>
                <w:szCs w:val="24"/>
                <w:highlight w:val="none"/>
              </w:rPr>
            </w:pPr>
            <w:r>
              <w:rPr>
                <w:rFonts w:hint="eastAsia" w:ascii="仿宋" w:hAnsi="仿宋" w:eastAsia="仿宋"/>
                <w:color w:val="auto"/>
                <w:sz w:val="24"/>
                <w:highlight w:val="none"/>
              </w:rPr>
              <w:t>注：XX—管线大类代号，</w:t>
            </w:r>
            <w:r>
              <w:rPr>
                <w:rFonts w:ascii="仿宋" w:hAnsi="仿宋" w:eastAsia="仿宋"/>
                <w:color w:val="auto"/>
                <w:sz w:val="24"/>
                <w:highlight w:val="none"/>
              </w:rPr>
              <w:t>xx-</w:t>
            </w:r>
            <w:r>
              <w:rPr>
                <w:rFonts w:hint="eastAsia" w:ascii="仿宋" w:hAnsi="仿宋" w:eastAsia="仿宋"/>
                <w:color w:val="auto"/>
                <w:sz w:val="24"/>
                <w:highlight w:val="none"/>
              </w:rPr>
              <w:t>管线小类代号，见</w:t>
            </w:r>
            <w:r>
              <w:rPr>
                <w:rFonts w:ascii="仿宋" w:hAnsi="仿宋" w:eastAsia="仿宋"/>
                <w:color w:val="auto"/>
                <w:sz w:val="24"/>
                <w:highlight w:val="none"/>
              </w:rPr>
              <w:t>附</w:t>
            </w:r>
            <w:r>
              <w:rPr>
                <w:rFonts w:hint="eastAsia" w:ascii="仿宋" w:hAnsi="仿宋" w:eastAsia="仿宋"/>
                <w:color w:val="auto"/>
                <w:sz w:val="24"/>
                <w:highlight w:val="none"/>
              </w:rPr>
              <w:t>表</w:t>
            </w:r>
            <w:r>
              <w:rPr>
                <w:rFonts w:ascii="仿宋" w:hAnsi="仿宋" w:eastAsia="仿宋"/>
                <w:color w:val="auto"/>
                <w:sz w:val="24"/>
                <w:highlight w:val="none"/>
              </w:rPr>
              <w:t>A.</w:t>
            </w:r>
            <w:r>
              <w:rPr>
                <w:rFonts w:hint="eastAsia" w:ascii="仿宋" w:hAnsi="仿宋" w:eastAsia="仿宋"/>
                <w:color w:val="auto"/>
                <w:sz w:val="24"/>
                <w:highlight w:val="none"/>
              </w:rPr>
              <w:t>8</w:t>
            </w:r>
            <w:r>
              <w:rPr>
                <w:rFonts w:ascii="仿宋" w:hAnsi="仿宋" w:eastAsia="仿宋"/>
                <w:color w:val="auto"/>
                <w:sz w:val="24"/>
                <w:highlight w:val="none"/>
              </w:rPr>
              <w:t>。</w:t>
            </w:r>
          </w:p>
        </w:tc>
      </w:tr>
    </w:tbl>
    <w:p>
      <w:pPr>
        <w:pStyle w:val="2"/>
        <w:jc w:val="left"/>
        <w:rPr>
          <w:color w:val="auto"/>
          <w:highlight w:val="none"/>
        </w:rPr>
      </w:pPr>
    </w:p>
    <w:p>
      <w:pPr>
        <w:pStyle w:val="2"/>
        <w:jc w:val="left"/>
        <w:rPr>
          <w:color w:val="auto"/>
          <w:highlight w:val="none"/>
        </w:rPr>
      </w:pPr>
    </w:p>
    <w:p>
      <w:pPr>
        <w:pStyle w:val="2"/>
        <w:jc w:val="left"/>
        <w:rPr>
          <w:color w:val="auto"/>
          <w:highlight w:val="none"/>
        </w:rPr>
      </w:pPr>
    </w:p>
    <w:p>
      <w:pPr>
        <w:pStyle w:val="2"/>
        <w:jc w:val="left"/>
        <w:rPr>
          <w:color w:val="auto"/>
          <w:highlight w:val="none"/>
        </w:rPr>
      </w:pPr>
    </w:p>
    <w:p>
      <w:pPr>
        <w:pStyle w:val="2"/>
        <w:jc w:val="left"/>
        <w:rPr>
          <w:color w:val="auto"/>
          <w:highlight w:val="none"/>
        </w:rPr>
      </w:pPr>
    </w:p>
    <w:p>
      <w:pPr>
        <w:pStyle w:val="2"/>
        <w:jc w:val="left"/>
        <w:rPr>
          <w:color w:val="auto"/>
          <w:highlight w:val="none"/>
        </w:rPr>
      </w:pPr>
    </w:p>
    <w:p>
      <w:pPr>
        <w:pStyle w:val="2"/>
        <w:jc w:val="left"/>
        <w:rPr>
          <w:color w:val="auto"/>
          <w:highlight w:val="none"/>
        </w:rPr>
      </w:pPr>
    </w:p>
    <w:p>
      <w:pPr>
        <w:pStyle w:val="2"/>
        <w:jc w:val="left"/>
        <w:rPr>
          <w:color w:val="auto"/>
          <w:highlight w:val="none"/>
        </w:rPr>
        <w:sectPr>
          <w:footerReference r:id="rId3" w:type="default"/>
          <w:footerReference r:id="rId4" w:type="even"/>
          <w:pgSz w:w="11906" w:h="16838"/>
          <w:pgMar w:top="1417" w:right="1474" w:bottom="1134" w:left="1587" w:header="851" w:footer="992" w:gutter="0"/>
          <w:pgNumType w:start="0"/>
          <w:cols w:space="720" w:num="1"/>
          <w:titlePg/>
          <w:docGrid w:type="lines" w:linePitch="312" w:charSpace="0"/>
        </w:sectPr>
      </w:pPr>
    </w:p>
    <w:p>
      <w:pPr>
        <w:pStyle w:val="6"/>
        <w:jc w:val="center"/>
        <w:rPr>
          <w:rFonts w:ascii="仿宋" w:hAnsi="仿宋" w:eastAsia="仿宋" w:cs="仿宋"/>
          <w:color w:val="auto"/>
          <w:sz w:val="24"/>
          <w:highlight w:val="none"/>
        </w:rPr>
      </w:pPr>
      <w:bookmarkStart w:id="462" w:name="_Toc3210"/>
      <w:bookmarkStart w:id="463" w:name="_Toc14124"/>
      <w:bookmarkStart w:id="464" w:name="_Toc30734"/>
      <w:bookmarkStart w:id="465" w:name="_Toc14959"/>
      <w:bookmarkStart w:id="466" w:name="_Toc23964"/>
      <w:bookmarkStart w:id="467" w:name="_Toc21633"/>
      <w:bookmarkStart w:id="468" w:name="_Toc7627"/>
      <w:bookmarkStart w:id="469" w:name="_Toc28292"/>
      <w:r>
        <w:rPr>
          <w:rFonts w:hint="eastAsia" w:ascii="仿宋" w:hAnsi="仿宋" w:eastAsia="仿宋" w:cs="仿宋"/>
          <w:color w:val="auto"/>
          <w:sz w:val="24"/>
          <w:highlight w:val="none"/>
        </w:rPr>
        <w:t>附表A.1 管线点属性结构表</w:t>
      </w:r>
      <w:bookmarkEnd w:id="462"/>
      <w:bookmarkEnd w:id="463"/>
      <w:bookmarkEnd w:id="464"/>
      <w:bookmarkEnd w:id="465"/>
      <w:bookmarkEnd w:id="466"/>
      <w:bookmarkEnd w:id="467"/>
      <w:bookmarkEnd w:id="468"/>
      <w:bookmarkEnd w:id="469"/>
    </w:p>
    <w:tbl>
      <w:tblPr>
        <w:tblStyle w:val="43"/>
        <w:tblW w:w="13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453"/>
        <w:gridCol w:w="1559"/>
        <w:gridCol w:w="1196"/>
        <w:gridCol w:w="992"/>
        <w:gridCol w:w="931"/>
        <w:gridCol w:w="1337"/>
        <w:gridCol w:w="2371"/>
        <w:gridCol w:w="3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07"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序号</w:t>
            </w:r>
          </w:p>
        </w:tc>
        <w:tc>
          <w:tcPr>
            <w:tcW w:w="1453"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中文名称</w:t>
            </w:r>
          </w:p>
        </w:tc>
        <w:tc>
          <w:tcPr>
            <w:tcW w:w="1559"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英文名称</w:t>
            </w:r>
          </w:p>
        </w:tc>
        <w:tc>
          <w:tcPr>
            <w:tcW w:w="1196"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字段类型</w:t>
            </w:r>
          </w:p>
        </w:tc>
        <w:tc>
          <w:tcPr>
            <w:tcW w:w="992"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字段长度</w:t>
            </w:r>
          </w:p>
        </w:tc>
        <w:tc>
          <w:tcPr>
            <w:tcW w:w="931"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小数位数</w:t>
            </w:r>
          </w:p>
        </w:tc>
        <w:tc>
          <w:tcPr>
            <w:tcW w:w="1337"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值域</w:t>
            </w:r>
          </w:p>
        </w:tc>
        <w:tc>
          <w:tcPr>
            <w:tcW w:w="2371"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是否必填（</w:t>
            </w:r>
            <w:r>
              <w:rPr>
                <w:rFonts w:hint="eastAsia" w:ascii="仿宋" w:hAnsi="仿宋" w:eastAsia="仿宋" w:cs="仿宋"/>
                <w:color w:val="auto"/>
                <w:kern w:val="0"/>
                <w:szCs w:val="21"/>
                <w:highlight w:val="none"/>
              </w:rPr>
              <w:t>▲</w:t>
            </w:r>
            <w:r>
              <w:rPr>
                <w:rFonts w:hint="eastAsia" w:ascii="仿宋" w:hAnsi="仿宋" w:eastAsia="仿宋" w:cs="仿宋"/>
                <w:color w:val="auto"/>
                <w:kern w:val="0"/>
                <w:sz w:val="18"/>
                <w:szCs w:val="18"/>
                <w:highlight w:val="none"/>
              </w:rPr>
              <w:t>为必填，△为条件必填，○为选填）</w:t>
            </w:r>
          </w:p>
        </w:tc>
        <w:tc>
          <w:tcPr>
            <w:tcW w:w="3274"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项目编号</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Work_No</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25</w:t>
            </w:r>
          </w:p>
        </w:tc>
        <w:tc>
          <w:tcPr>
            <w:tcW w:w="931" w:type="dxa"/>
            <w:noWrap/>
            <w:vAlign w:val="center"/>
          </w:tcPr>
          <w:p>
            <w:pPr>
              <w:jc w:val="center"/>
              <w:rPr>
                <w:rFonts w:ascii="仿宋" w:hAnsi="仿宋" w:eastAsia="仿宋" w:cs="仿宋"/>
                <w:color w:val="auto"/>
                <w:sz w:val="18"/>
                <w:szCs w:val="18"/>
                <w:highlight w:val="none"/>
              </w:rPr>
            </w:pPr>
          </w:p>
        </w:tc>
        <w:tc>
          <w:tcPr>
            <w:tcW w:w="1337" w:type="dxa"/>
            <w:noWrap/>
            <w:vAlign w:val="center"/>
          </w:tcPr>
          <w:p>
            <w:pPr>
              <w:jc w:val="center"/>
              <w:rPr>
                <w:rFonts w:ascii="仿宋" w:hAnsi="仿宋" w:eastAsia="仿宋" w:cs="仿宋"/>
                <w:color w:val="auto"/>
                <w:sz w:val="18"/>
                <w:szCs w:val="18"/>
                <w:highlight w:val="none"/>
              </w:rPr>
            </w:pPr>
          </w:p>
        </w:tc>
        <w:tc>
          <w:tcPr>
            <w:tcW w:w="237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274" w:type="dxa"/>
            <w:noWrap/>
            <w:vAlign w:val="center"/>
          </w:tcPr>
          <w:p>
            <w:pPr>
              <w:pStyle w:val="9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行政区代码</w:t>
            </w:r>
            <w:r>
              <w:rPr>
                <w:rFonts w:ascii="仿宋" w:hAnsi="仿宋" w:eastAsia="仿宋" w:cs="仿宋"/>
                <w:color w:val="auto"/>
                <w:sz w:val="18"/>
                <w:szCs w:val="18"/>
                <w:highlight w:val="none"/>
              </w:rPr>
              <w:t>+年份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工程编号</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Prj_No</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1" w:type="dxa"/>
            <w:noWrap/>
            <w:vAlign w:val="center"/>
          </w:tcPr>
          <w:p>
            <w:pPr>
              <w:jc w:val="center"/>
              <w:rPr>
                <w:rFonts w:ascii="仿宋" w:hAnsi="仿宋" w:eastAsia="仿宋" w:cs="仿宋"/>
                <w:color w:val="auto"/>
                <w:sz w:val="18"/>
                <w:szCs w:val="18"/>
                <w:highlight w:val="none"/>
              </w:rPr>
            </w:pPr>
          </w:p>
        </w:tc>
        <w:tc>
          <w:tcPr>
            <w:tcW w:w="1337" w:type="dxa"/>
            <w:noWrap/>
            <w:vAlign w:val="center"/>
          </w:tcPr>
          <w:p>
            <w:pPr>
              <w:jc w:val="center"/>
              <w:rPr>
                <w:rFonts w:ascii="仿宋" w:hAnsi="仿宋" w:eastAsia="仿宋" w:cs="仿宋"/>
                <w:color w:val="auto"/>
                <w:sz w:val="18"/>
                <w:szCs w:val="18"/>
                <w:highlight w:val="none"/>
              </w:rPr>
            </w:pPr>
          </w:p>
        </w:tc>
        <w:tc>
          <w:tcPr>
            <w:tcW w:w="2371"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27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标段号+测区号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管线点号</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Exp_No</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25</w:t>
            </w:r>
          </w:p>
        </w:tc>
        <w:tc>
          <w:tcPr>
            <w:tcW w:w="931" w:type="dxa"/>
            <w:noWrap/>
            <w:vAlign w:val="center"/>
          </w:tcPr>
          <w:p>
            <w:pPr>
              <w:jc w:val="center"/>
              <w:rPr>
                <w:rFonts w:ascii="仿宋" w:hAnsi="仿宋" w:eastAsia="仿宋" w:cs="仿宋"/>
                <w:color w:val="auto"/>
                <w:sz w:val="18"/>
                <w:szCs w:val="18"/>
                <w:highlight w:val="none"/>
              </w:rPr>
            </w:pPr>
          </w:p>
        </w:tc>
        <w:tc>
          <w:tcPr>
            <w:tcW w:w="1337" w:type="dxa"/>
            <w:noWrap/>
            <w:vAlign w:val="center"/>
          </w:tcPr>
          <w:p>
            <w:pPr>
              <w:jc w:val="center"/>
              <w:rPr>
                <w:rFonts w:ascii="仿宋" w:hAnsi="仿宋" w:eastAsia="仿宋" w:cs="仿宋"/>
                <w:color w:val="auto"/>
                <w:sz w:val="18"/>
                <w:szCs w:val="18"/>
                <w:highlight w:val="none"/>
              </w:rPr>
            </w:pPr>
          </w:p>
        </w:tc>
        <w:tc>
          <w:tcPr>
            <w:tcW w:w="2371" w:type="dxa"/>
            <w:noWrap/>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27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普查探测的管线点号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图上点号</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Map_No</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1" w:type="dxa"/>
            <w:noWrap/>
            <w:vAlign w:val="center"/>
          </w:tcPr>
          <w:p>
            <w:pPr>
              <w:jc w:val="center"/>
              <w:rPr>
                <w:rFonts w:ascii="仿宋" w:hAnsi="仿宋" w:eastAsia="仿宋" w:cs="仿宋"/>
                <w:color w:val="auto"/>
                <w:sz w:val="18"/>
                <w:szCs w:val="18"/>
                <w:highlight w:val="none"/>
              </w:rPr>
            </w:pPr>
          </w:p>
        </w:tc>
        <w:tc>
          <w:tcPr>
            <w:tcW w:w="1337" w:type="dxa"/>
            <w:noWrap/>
            <w:vAlign w:val="center"/>
          </w:tcPr>
          <w:p>
            <w:pPr>
              <w:jc w:val="center"/>
              <w:rPr>
                <w:rFonts w:ascii="仿宋" w:hAnsi="仿宋" w:eastAsia="仿宋" w:cs="仿宋"/>
                <w:color w:val="auto"/>
                <w:sz w:val="18"/>
                <w:szCs w:val="18"/>
                <w:highlight w:val="none"/>
              </w:rPr>
            </w:pPr>
          </w:p>
        </w:tc>
        <w:tc>
          <w:tcPr>
            <w:tcW w:w="2371" w:type="dxa"/>
            <w:noWrap/>
            <w:vAlign w:val="center"/>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7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可根据实际填写，图上点号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图幅号</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TFH</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931" w:type="dxa"/>
            <w:noWrap/>
            <w:vAlign w:val="center"/>
          </w:tcPr>
          <w:p>
            <w:pPr>
              <w:jc w:val="center"/>
              <w:rPr>
                <w:rFonts w:ascii="仿宋" w:hAnsi="仿宋" w:eastAsia="仿宋" w:cs="仿宋"/>
                <w:color w:val="auto"/>
                <w:sz w:val="18"/>
                <w:szCs w:val="18"/>
                <w:highlight w:val="none"/>
              </w:rPr>
            </w:pPr>
          </w:p>
        </w:tc>
        <w:tc>
          <w:tcPr>
            <w:tcW w:w="1337" w:type="dxa"/>
            <w:noWrap/>
            <w:vAlign w:val="center"/>
          </w:tcPr>
          <w:p>
            <w:pPr>
              <w:jc w:val="center"/>
              <w:rPr>
                <w:rFonts w:ascii="仿宋" w:hAnsi="仿宋" w:eastAsia="仿宋" w:cs="仿宋"/>
                <w:color w:val="auto"/>
                <w:sz w:val="18"/>
                <w:szCs w:val="18"/>
                <w:highlight w:val="none"/>
              </w:rPr>
            </w:pPr>
          </w:p>
        </w:tc>
        <w:tc>
          <w:tcPr>
            <w:tcW w:w="2371" w:type="dxa"/>
            <w:noWrap/>
            <w:vAlign w:val="center"/>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7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图幅号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特征点</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Feature</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1" w:type="dxa"/>
            <w:noWrap/>
            <w:vAlign w:val="center"/>
          </w:tcPr>
          <w:p>
            <w:pPr>
              <w:jc w:val="center"/>
              <w:rPr>
                <w:rFonts w:ascii="仿宋" w:hAnsi="仿宋" w:eastAsia="仿宋" w:cs="仿宋"/>
                <w:color w:val="auto"/>
                <w:sz w:val="18"/>
                <w:szCs w:val="18"/>
                <w:highlight w:val="none"/>
              </w:rPr>
            </w:pPr>
          </w:p>
        </w:tc>
        <w:tc>
          <w:tcPr>
            <w:tcW w:w="1337" w:type="dxa"/>
            <w:noWrap/>
            <w:vAlign w:val="center"/>
          </w:tcPr>
          <w:p>
            <w:pPr>
              <w:jc w:val="center"/>
              <w:rPr>
                <w:rFonts w:ascii="仿宋" w:hAnsi="仿宋" w:eastAsia="仿宋" w:cs="仿宋"/>
                <w:color w:val="auto"/>
                <w:sz w:val="18"/>
                <w:szCs w:val="18"/>
                <w:highlight w:val="none"/>
              </w:rPr>
            </w:pPr>
          </w:p>
        </w:tc>
        <w:tc>
          <w:tcPr>
            <w:tcW w:w="2371" w:type="dxa"/>
            <w:noWrap/>
            <w:vAlign w:val="center"/>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74"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附属设施</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Subsid</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1" w:type="dxa"/>
            <w:noWrap/>
            <w:vAlign w:val="center"/>
          </w:tcPr>
          <w:p>
            <w:pPr>
              <w:jc w:val="center"/>
              <w:rPr>
                <w:rFonts w:ascii="仿宋" w:hAnsi="仿宋" w:eastAsia="仿宋" w:cs="仿宋"/>
                <w:color w:val="auto"/>
                <w:sz w:val="18"/>
                <w:szCs w:val="18"/>
                <w:highlight w:val="none"/>
              </w:rPr>
            </w:pPr>
          </w:p>
        </w:tc>
        <w:tc>
          <w:tcPr>
            <w:tcW w:w="1337" w:type="dxa"/>
            <w:noWrap/>
            <w:vAlign w:val="center"/>
          </w:tcPr>
          <w:p>
            <w:pPr>
              <w:jc w:val="center"/>
              <w:rPr>
                <w:rFonts w:ascii="仿宋" w:hAnsi="仿宋" w:eastAsia="仿宋" w:cs="仿宋"/>
                <w:color w:val="auto"/>
                <w:sz w:val="18"/>
                <w:szCs w:val="18"/>
                <w:highlight w:val="none"/>
              </w:rPr>
            </w:pPr>
          </w:p>
        </w:tc>
        <w:tc>
          <w:tcPr>
            <w:tcW w:w="2371" w:type="dxa"/>
            <w:noWrap/>
            <w:vAlign w:val="center"/>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w:t>
            </w:r>
          </w:p>
        </w:tc>
        <w:tc>
          <w:tcPr>
            <w:tcW w:w="327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有</w:t>
            </w:r>
            <w:r>
              <w:rPr>
                <w:rFonts w:ascii="仿宋" w:hAnsi="仿宋" w:eastAsia="仿宋" w:cs="仿宋"/>
                <w:color w:val="auto"/>
                <w:sz w:val="18"/>
                <w:szCs w:val="18"/>
                <w:highlight w:val="none"/>
              </w:rPr>
              <w:t>附属设施时填写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要素代码</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Code</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8</w:t>
            </w:r>
          </w:p>
        </w:tc>
        <w:tc>
          <w:tcPr>
            <w:tcW w:w="931" w:type="dxa"/>
            <w:noWrap/>
            <w:vAlign w:val="center"/>
          </w:tcPr>
          <w:p>
            <w:pPr>
              <w:jc w:val="center"/>
              <w:rPr>
                <w:rFonts w:ascii="仿宋" w:hAnsi="仿宋" w:eastAsia="仿宋" w:cs="仿宋"/>
                <w:color w:val="auto"/>
                <w:sz w:val="18"/>
                <w:szCs w:val="18"/>
                <w:highlight w:val="none"/>
              </w:rPr>
            </w:pPr>
          </w:p>
        </w:tc>
        <w:tc>
          <w:tcPr>
            <w:tcW w:w="133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见附表A.</w:t>
            </w:r>
            <w:r>
              <w:rPr>
                <w:rFonts w:ascii="仿宋" w:hAnsi="仿宋" w:eastAsia="仿宋" w:cs="仿宋"/>
                <w:color w:val="auto"/>
                <w:sz w:val="18"/>
                <w:szCs w:val="18"/>
                <w:highlight w:val="none"/>
              </w:rPr>
              <w:t>1</w:t>
            </w:r>
            <w:r>
              <w:rPr>
                <w:rFonts w:hint="eastAsia" w:ascii="仿宋" w:hAnsi="仿宋" w:eastAsia="仿宋" w:cs="仿宋"/>
                <w:color w:val="auto"/>
                <w:sz w:val="18"/>
                <w:szCs w:val="18"/>
                <w:highlight w:val="none"/>
              </w:rPr>
              <w:t>2</w:t>
            </w:r>
          </w:p>
        </w:tc>
        <w:tc>
          <w:tcPr>
            <w:tcW w:w="2371" w:type="dxa"/>
            <w:noWrap/>
            <w:vAlign w:val="center"/>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7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管线要素代码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X坐标</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X</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992" w:type="dxa"/>
            <w:noWrap/>
            <w:vAlign w:val="center"/>
          </w:tcPr>
          <w:p>
            <w:pPr>
              <w:jc w:val="center"/>
              <w:rPr>
                <w:rFonts w:ascii="仿宋" w:hAnsi="仿宋" w:eastAsia="仿宋" w:cs="仿宋"/>
                <w:color w:val="auto"/>
                <w:sz w:val="18"/>
                <w:szCs w:val="18"/>
                <w:highlight w:val="none"/>
              </w:rPr>
            </w:pPr>
          </w:p>
        </w:tc>
        <w:tc>
          <w:tcPr>
            <w:tcW w:w="93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337" w:type="dxa"/>
            <w:noWrap/>
            <w:vAlign w:val="center"/>
          </w:tcPr>
          <w:p>
            <w:pPr>
              <w:jc w:val="center"/>
              <w:rPr>
                <w:rFonts w:ascii="仿宋" w:hAnsi="仿宋" w:eastAsia="仿宋" w:cs="仿宋"/>
                <w:color w:val="auto"/>
                <w:sz w:val="18"/>
                <w:szCs w:val="18"/>
                <w:highlight w:val="none"/>
              </w:rPr>
            </w:pPr>
          </w:p>
        </w:tc>
        <w:tc>
          <w:tcPr>
            <w:tcW w:w="2371" w:type="dxa"/>
            <w:noWrap/>
            <w:vAlign w:val="center"/>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7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Y坐标</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Y</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992" w:type="dxa"/>
            <w:noWrap/>
            <w:vAlign w:val="center"/>
          </w:tcPr>
          <w:p>
            <w:pPr>
              <w:jc w:val="center"/>
              <w:rPr>
                <w:rFonts w:ascii="仿宋" w:hAnsi="仿宋" w:eastAsia="仿宋" w:cs="仿宋"/>
                <w:color w:val="auto"/>
                <w:sz w:val="18"/>
                <w:szCs w:val="18"/>
                <w:highlight w:val="none"/>
              </w:rPr>
            </w:pPr>
          </w:p>
        </w:tc>
        <w:tc>
          <w:tcPr>
            <w:tcW w:w="93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337" w:type="dxa"/>
            <w:noWrap/>
            <w:vAlign w:val="center"/>
          </w:tcPr>
          <w:p>
            <w:pPr>
              <w:jc w:val="center"/>
              <w:rPr>
                <w:rFonts w:ascii="仿宋" w:hAnsi="仿宋" w:eastAsia="仿宋" w:cs="仿宋"/>
                <w:color w:val="auto"/>
                <w:sz w:val="18"/>
                <w:szCs w:val="18"/>
                <w:highlight w:val="none"/>
              </w:rPr>
            </w:pPr>
          </w:p>
        </w:tc>
        <w:tc>
          <w:tcPr>
            <w:tcW w:w="2371" w:type="dxa"/>
            <w:noWrap/>
            <w:vAlign w:val="center"/>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7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地面高程</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High</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992" w:type="dxa"/>
            <w:noWrap/>
            <w:vAlign w:val="center"/>
          </w:tcPr>
          <w:p>
            <w:pPr>
              <w:jc w:val="center"/>
              <w:rPr>
                <w:rFonts w:ascii="仿宋" w:hAnsi="仿宋" w:eastAsia="仿宋" w:cs="仿宋"/>
                <w:color w:val="auto"/>
                <w:sz w:val="18"/>
                <w:szCs w:val="18"/>
                <w:highlight w:val="none"/>
              </w:rPr>
            </w:pPr>
          </w:p>
        </w:tc>
        <w:tc>
          <w:tcPr>
            <w:tcW w:w="93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w:t>
            </w:r>
          </w:p>
        </w:tc>
        <w:tc>
          <w:tcPr>
            <w:tcW w:w="1337" w:type="dxa"/>
            <w:noWrap/>
            <w:vAlign w:val="center"/>
          </w:tcPr>
          <w:p>
            <w:pPr>
              <w:jc w:val="center"/>
              <w:rPr>
                <w:rFonts w:ascii="仿宋" w:hAnsi="仿宋" w:eastAsia="仿宋" w:cs="仿宋"/>
                <w:color w:val="auto"/>
                <w:sz w:val="18"/>
                <w:szCs w:val="18"/>
                <w:highlight w:val="none"/>
              </w:rPr>
            </w:pPr>
          </w:p>
        </w:tc>
        <w:tc>
          <w:tcPr>
            <w:tcW w:w="2371" w:type="dxa"/>
            <w:noWrap/>
            <w:vAlign w:val="center"/>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7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符号角度</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Angle</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8</w:t>
            </w:r>
          </w:p>
        </w:tc>
        <w:tc>
          <w:tcPr>
            <w:tcW w:w="93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337" w:type="dxa"/>
            <w:noWrap/>
            <w:vAlign w:val="center"/>
          </w:tcPr>
          <w:p>
            <w:pPr>
              <w:jc w:val="center"/>
              <w:rPr>
                <w:rFonts w:ascii="仿宋" w:hAnsi="仿宋" w:eastAsia="仿宋" w:cs="仿宋"/>
                <w:color w:val="auto"/>
                <w:sz w:val="18"/>
                <w:szCs w:val="18"/>
                <w:highlight w:val="none"/>
              </w:rPr>
            </w:pPr>
          </w:p>
        </w:tc>
        <w:tc>
          <w:tcPr>
            <w:tcW w:w="2371" w:type="dxa"/>
            <w:noWrap/>
            <w:vAlign w:val="center"/>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7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单位：十进制度，</w:t>
            </w:r>
            <w:r>
              <w:rPr>
                <w:rFonts w:ascii="仿宋" w:hAnsi="仿宋" w:eastAsia="仿宋" w:cs="仿宋"/>
                <w:color w:val="auto"/>
                <w:sz w:val="18"/>
                <w:szCs w:val="18"/>
                <w:highlight w:val="none"/>
              </w:rPr>
              <w:t>无角度时为</w:t>
            </w:r>
            <w:r>
              <w:rPr>
                <w:rFonts w:hint="eastAsia" w:ascii="仿宋" w:hAnsi="仿宋" w:eastAsia="仿宋" w:cs="仿宋"/>
                <w:color w:val="auto"/>
                <w:sz w:val="18"/>
                <w:szCs w:val="18"/>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井底深</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WellDeep</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992" w:type="dxa"/>
            <w:noWrap/>
            <w:vAlign w:val="center"/>
          </w:tcPr>
          <w:p>
            <w:pPr>
              <w:jc w:val="center"/>
              <w:rPr>
                <w:rFonts w:ascii="仿宋" w:hAnsi="仿宋" w:eastAsia="仿宋" w:cs="仿宋"/>
                <w:color w:val="auto"/>
                <w:sz w:val="18"/>
                <w:szCs w:val="18"/>
                <w:highlight w:val="none"/>
              </w:rPr>
            </w:pPr>
          </w:p>
        </w:tc>
        <w:tc>
          <w:tcPr>
            <w:tcW w:w="93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w:t>
            </w:r>
          </w:p>
        </w:tc>
        <w:tc>
          <w:tcPr>
            <w:tcW w:w="1337" w:type="dxa"/>
            <w:noWrap/>
            <w:vAlign w:val="center"/>
          </w:tcPr>
          <w:p>
            <w:pPr>
              <w:jc w:val="center"/>
              <w:rPr>
                <w:rFonts w:ascii="仿宋" w:hAnsi="仿宋" w:eastAsia="仿宋" w:cs="仿宋"/>
                <w:color w:val="auto"/>
                <w:sz w:val="18"/>
                <w:szCs w:val="18"/>
                <w:highlight w:val="none"/>
              </w:rPr>
            </w:pPr>
          </w:p>
        </w:tc>
        <w:tc>
          <w:tcPr>
            <w:tcW w:w="237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w:t>
            </w:r>
          </w:p>
        </w:tc>
        <w:tc>
          <w:tcPr>
            <w:tcW w:w="327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井底高程</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WellHigh</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992" w:type="dxa"/>
            <w:noWrap/>
            <w:vAlign w:val="center"/>
          </w:tcPr>
          <w:p>
            <w:pPr>
              <w:jc w:val="center"/>
              <w:rPr>
                <w:rFonts w:ascii="仿宋" w:hAnsi="仿宋" w:eastAsia="仿宋" w:cs="仿宋"/>
                <w:color w:val="auto"/>
                <w:sz w:val="18"/>
                <w:szCs w:val="18"/>
                <w:highlight w:val="none"/>
              </w:rPr>
            </w:pPr>
          </w:p>
        </w:tc>
        <w:tc>
          <w:tcPr>
            <w:tcW w:w="93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337" w:type="dxa"/>
            <w:noWrap/>
            <w:vAlign w:val="center"/>
          </w:tcPr>
          <w:p>
            <w:pPr>
              <w:jc w:val="center"/>
              <w:rPr>
                <w:rFonts w:ascii="仿宋" w:hAnsi="仿宋" w:eastAsia="仿宋" w:cs="仿宋"/>
                <w:color w:val="auto"/>
                <w:sz w:val="18"/>
                <w:szCs w:val="18"/>
                <w:highlight w:val="none"/>
              </w:rPr>
            </w:pPr>
          </w:p>
        </w:tc>
        <w:tc>
          <w:tcPr>
            <w:tcW w:w="2371"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w:t>
            </w:r>
          </w:p>
        </w:tc>
        <w:tc>
          <w:tcPr>
            <w:tcW w:w="327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偏心井位</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Deviate</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25</w:t>
            </w:r>
          </w:p>
        </w:tc>
        <w:tc>
          <w:tcPr>
            <w:tcW w:w="931" w:type="dxa"/>
            <w:noWrap/>
            <w:vAlign w:val="center"/>
          </w:tcPr>
          <w:p>
            <w:pPr>
              <w:jc w:val="center"/>
              <w:rPr>
                <w:rFonts w:ascii="仿宋" w:hAnsi="仿宋" w:eastAsia="仿宋" w:cs="仿宋"/>
                <w:color w:val="auto"/>
                <w:sz w:val="18"/>
                <w:szCs w:val="18"/>
                <w:highlight w:val="none"/>
              </w:rPr>
            </w:pPr>
          </w:p>
        </w:tc>
        <w:tc>
          <w:tcPr>
            <w:tcW w:w="1337" w:type="dxa"/>
            <w:noWrap/>
            <w:vAlign w:val="center"/>
          </w:tcPr>
          <w:p>
            <w:pPr>
              <w:jc w:val="center"/>
              <w:rPr>
                <w:rFonts w:ascii="仿宋" w:hAnsi="仿宋" w:eastAsia="仿宋" w:cs="仿宋"/>
                <w:color w:val="auto"/>
                <w:sz w:val="18"/>
                <w:szCs w:val="18"/>
                <w:highlight w:val="none"/>
              </w:rPr>
            </w:pPr>
          </w:p>
        </w:tc>
        <w:tc>
          <w:tcPr>
            <w:tcW w:w="2371" w:type="dxa"/>
            <w:noWrap/>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w:t>
            </w:r>
          </w:p>
        </w:tc>
        <w:tc>
          <w:tcPr>
            <w:tcW w:w="327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填写井偏定点关联的检修井点号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权属单位</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Belong</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255</w:t>
            </w:r>
          </w:p>
        </w:tc>
        <w:tc>
          <w:tcPr>
            <w:tcW w:w="931" w:type="dxa"/>
            <w:noWrap/>
            <w:vAlign w:val="center"/>
          </w:tcPr>
          <w:p>
            <w:pPr>
              <w:jc w:val="center"/>
              <w:rPr>
                <w:rFonts w:ascii="仿宋" w:hAnsi="仿宋" w:eastAsia="仿宋" w:cs="仿宋"/>
                <w:color w:val="auto"/>
                <w:sz w:val="18"/>
                <w:szCs w:val="18"/>
                <w:highlight w:val="none"/>
              </w:rPr>
            </w:pPr>
          </w:p>
        </w:tc>
        <w:tc>
          <w:tcPr>
            <w:tcW w:w="1337" w:type="dxa"/>
            <w:noWrap/>
            <w:vAlign w:val="center"/>
          </w:tcPr>
          <w:p>
            <w:pPr>
              <w:jc w:val="center"/>
              <w:rPr>
                <w:rFonts w:ascii="仿宋" w:hAnsi="仿宋" w:eastAsia="仿宋" w:cs="仿宋"/>
                <w:color w:val="auto"/>
                <w:sz w:val="18"/>
                <w:szCs w:val="18"/>
                <w:highlight w:val="none"/>
              </w:rPr>
            </w:pPr>
          </w:p>
        </w:tc>
        <w:tc>
          <w:tcPr>
            <w:tcW w:w="237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27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填写全称，多个权属单位时以“；”分隔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建设日期</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MDate</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1" w:type="dxa"/>
            <w:noWrap/>
            <w:vAlign w:val="center"/>
          </w:tcPr>
          <w:p>
            <w:pPr>
              <w:jc w:val="center"/>
              <w:rPr>
                <w:rFonts w:ascii="仿宋" w:hAnsi="仿宋" w:eastAsia="仿宋" w:cs="仿宋"/>
                <w:color w:val="auto"/>
                <w:sz w:val="18"/>
                <w:szCs w:val="18"/>
                <w:highlight w:val="none"/>
              </w:rPr>
            </w:pPr>
          </w:p>
        </w:tc>
        <w:tc>
          <w:tcPr>
            <w:tcW w:w="1337" w:type="dxa"/>
            <w:noWrap/>
            <w:vAlign w:val="center"/>
          </w:tcPr>
          <w:p>
            <w:pPr>
              <w:jc w:val="center"/>
              <w:rPr>
                <w:rFonts w:ascii="仿宋" w:hAnsi="仿宋" w:eastAsia="仿宋" w:cs="仿宋"/>
                <w:color w:val="auto"/>
                <w:sz w:val="18"/>
                <w:szCs w:val="18"/>
                <w:highlight w:val="none"/>
              </w:rPr>
            </w:pPr>
          </w:p>
        </w:tc>
        <w:tc>
          <w:tcPr>
            <w:tcW w:w="237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27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数据来源</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Source</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1" w:type="dxa"/>
            <w:noWrap/>
            <w:vAlign w:val="center"/>
          </w:tcPr>
          <w:p>
            <w:pPr>
              <w:jc w:val="center"/>
              <w:rPr>
                <w:rFonts w:ascii="仿宋" w:hAnsi="仿宋" w:eastAsia="仿宋" w:cs="仿宋"/>
                <w:color w:val="auto"/>
                <w:sz w:val="18"/>
                <w:szCs w:val="18"/>
                <w:highlight w:val="none"/>
              </w:rPr>
            </w:pPr>
          </w:p>
        </w:tc>
        <w:tc>
          <w:tcPr>
            <w:tcW w:w="133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见附表A.</w:t>
            </w:r>
            <w:r>
              <w:rPr>
                <w:rFonts w:ascii="仿宋" w:hAnsi="仿宋" w:eastAsia="仿宋" w:cs="仿宋"/>
                <w:color w:val="auto"/>
                <w:sz w:val="18"/>
                <w:szCs w:val="18"/>
                <w:highlight w:val="none"/>
              </w:rPr>
              <w:t>1</w:t>
            </w:r>
            <w:r>
              <w:rPr>
                <w:rFonts w:hint="eastAsia" w:ascii="仿宋" w:hAnsi="仿宋" w:eastAsia="仿宋" w:cs="仿宋"/>
                <w:color w:val="auto"/>
                <w:sz w:val="18"/>
                <w:szCs w:val="18"/>
                <w:highlight w:val="none"/>
              </w:rPr>
              <w:t>3</w:t>
            </w:r>
            <w:r>
              <w:rPr>
                <w:rFonts w:ascii="仿宋" w:hAnsi="仿宋" w:eastAsia="仿宋" w:cs="仿宋"/>
                <w:color w:val="auto"/>
                <w:sz w:val="18"/>
                <w:szCs w:val="18"/>
                <w:highlight w:val="none"/>
              </w:rPr>
              <w:t>.6</w:t>
            </w:r>
          </w:p>
        </w:tc>
        <w:tc>
          <w:tcPr>
            <w:tcW w:w="237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274"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所属道路</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Road</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50</w:t>
            </w:r>
          </w:p>
        </w:tc>
        <w:tc>
          <w:tcPr>
            <w:tcW w:w="931" w:type="dxa"/>
            <w:noWrap/>
            <w:vAlign w:val="center"/>
          </w:tcPr>
          <w:p>
            <w:pPr>
              <w:jc w:val="center"/>
              <w:rPr>
                <w:rFonts w:ascii="仿宋" w:hAnsi="仿宋" w:eastAsia="仿宋" w:cs="仿宋"/>
                <w:color w:val="auto"/>
                <w:sz w:val="18"/>
                <w:szCs w:val="18"/>
                <w:highlight w:val="none"/>
              </w:rPr>
            </w:pPr>
          </w:p>
        </w:tc>
        <w:tc>
          <w:tcPr>
            <w:tcW w:w="1337" w:type="dxa"/>
            <w:noWrap/>
            <w:vAlign w:val="center"/>
          </w:tcPr>
          <w:p>
            <w:pPr>
              <w:jc w:val="center"/>
              <w:rPr>
                <w:rFonts w:ascii="仿宋" w:hAnsi="仿宋" w:eastAsia="仿宋" w:cs="仿宋"/>
                <w:color w:val="auto"/>
                <w:sz w:val="18"/>
                <w:szCs w:val="18"/>
                <w:highlight w:val="none"/>
              </w:rPr>
            </w:pPr>
          </w:p>
        </w:tc>
        <w:tc>
          <w:tcPr>
            <w:tcW w:w="237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27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根据实地道路进行填写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探测单位</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TC_Code</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100</w:t>
            </w:r>
          </w:p>
        </w:tc>
        <w:tc>
          <w:tcPr>
            <w:tcW w:w="931" w:type="dxa"/>
            <w:noWrap/>
            <w:vAlign w:val="center"/>
          </w:tcPr>
          <w:p>
            <w:pPr>
              <w:jc w:val="center"/>
              <w:rPr>
                <w:rFonts w:ascii="仿宋" w:hAnsi="仿宋" w:eastAsia="仿宋" w:cs="仿宋"/>
                <w:color w:val="auto"/>
                <w:sz w:val="18"/>
                <w:szCs w:val="18"/>
                <w:highlight w:val="none"/>
              </w:rPr>
            </w:pPr>
          </w:p>
        </w:tc>
        <w:tc>
          <w:tcPr>
            <w:tcW w:w="1337" w:type="dxa"/>
            <w:noWrap/>
            <w:vAlign w:val="center"/>
          </w:tcPr>
          <w:p>
            <w:pPr>
              <w:jc w:val="center"/>
              <w:rPr>
                <w:rFonts w:ascii="仿宋" w:hAnsi="仿宋" w:eastAsia="仿宋" w:cs="仿宋"/>
                <w:color w:val="auto"/>
                <w:sz w:val="18"/>
                <w:szCs w:val="18"/>
                <w:highlight w:val="none"/>
              </w:rPr>
            </w:pPr>
          </w:p>
        </w:tc>
        <w:tc>
          <w:tcPr>
            <w:tcW w:w="237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27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埴写作业单位全称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探测日期</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SDate</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1" w:type="dxa"/>
            <w:noWrap/>
            <w:vAlign w:val="center"/>
          </w:tcPr>
          <w:p>
            <w:pPr>
              <w:jc w:val="center"/>
              <w:rPr>
                <w:rFonts w:ascii="仿宋" w:hAnsi="仿宋" w:eastAsia="仿宋" w:cs="仿宋"/>
                <w:color w:val="auto"/>
                <w:sz w:val="18"/>
                <w:szCs w:val="18"/>
                <w:highlight w:val="none"/>
              </w:rPr>
            </w:pPr>
          </w:p>
        </w:tc>
        <w:tc>
          <w:tcPr>
            <w:tcW w:w="1337" w:type="dxa"/>
            <w:noWrap/>
            <w:vAlign w:val="center"/>
          </w:tcPr>
          <w:p>
            <w:pPr>
              <w:jc w:val="center"/>
              <w:rPr>
                <w:rFonts w:ascii="仿宋" w:hAnsi="仿宋" w:eastAsia="仿宋" w:cs="仿宋"/>
                <w:color w:val="auto"/>
                <w:sz w:val="18"/>
                <w:szCs w:val="18"/>
                <w:highlight w:val="none"/>
              </w:rPr>
            </w:pPr>
          </w:p>
        </w:tc>
        <w:tc>
          <w:tcPr>
            <w:tcW w:w="237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27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入库日期</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InputDate</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1" w:type="dxa"/>
            <w:noWrap/>
            <w:vAlign w:val="center"/>
          </w:tcPr>
          <w:p>
            <w:pPr>
              <w:jc w:val="center"/>
              <w:rPr>
                <w:rFonts w:ascii="仿宋" w:hAnsi="仿宋" w:eastAsia="仿宋" w:cs="仿宋"/>
                <w:color w:val="auto"/>
                <w:sz w:val="18"/>
                <w:szCs w:val="18"/>
                <w:highlight w:val="none"/>
              </w:rPr>
            </w:pPr>
          </w:p>
        </w:tc>
        <w:tc>
          <w:tcPr>
            <w:tcW w:w="1337" w:type="dxa"/>
            <w:noWrap/>
            <w:vAlign w:val="center"/>
          </w:tcPr>
          <w:p>
            <w:pPr>
              <w:jc w:val="center"/>
              <w:rPr>
                <w:rFonts w:ascii="仿宋" w:hAnsi="仿宋" w:eastAsia="仿宋" w:cs="仿宋"/>
                <w:color w:val="auto"/>
                <w:sz w:val="18"/>
                <w:szCs w:val="18"/>
                <w:highlight w:val="none"/>
              </w:rPr>
            </w:pPr>
          </w:p>
        </w:tc>
        <w:tc>
          <w:tcPr>
            <w:tcW w:w="2371" w:type="dxa"/>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w:t>
            </w:r>
          </w:p>
        </w:tc>
        <w:tc>
          <w:tcPr>
            <w:tcW w:w="327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井盖形状</w:t>
            </w:r>
          </w:p>
        </w:tc>
        <w:tc>
          <w:tcPr>
            <w:tcW w:w="1559"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WeCoShape</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1" w:type="dxa"/>
            <w:noWrap/>
            <w:vAlign w:val="center"/>
          </w:tcPr>
          <w:p>
            <w:pPr>
              <w:autoSpaceDE w:val="0"/>
              <w:autoSpaceDN w:val="0"/>
              <w:adjustRightInd w:val="0"/>
              <w:jc w:val="center"/>
              <w:rPr>
                <w:rFonts w:ascii="仿宋" w:hAnsi="仿宋" w:eastAsia="仿宋" w:cs="仿宋"/>
                <w:color w:val="auto"/>
                <w:sz w:val="18"/>
                <w:szCs w:val="18"/>
                <w:highlight w:val="none"/>
              </w:rPr>
            </w:pPr>
          </w:p>
        </w:tc>
        <w:tc>
          <w:tcPr>
            <w:tcW w:w="1337"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见附表A.</w:t>
            </w:r>
            <w:r>
              <w:rPr>
                <w:rFonts w:ascii="仿宋" w:hAnsi="仿宋" w:eastAsia="仿宋" w:cs="仿宋"/>
                <w:color w:val="auto"/>
                <w:sz w:val="18"/>
                <w:szCs w:val="18"/>
                <w:highlight w:val="none"/>
              </w:rPr>
              <w:t>1</w:t>
            </w:r>
            <w:r>
              <w:rPr>
                <w:rFonts w:hint="eastAsia" w:ascii="仿宋" w:hAnsi="仿宋" w:eastAsia="仿宋" w:cs="仿宋"/>
                <w:color w:val="auto"/>
                <w:sz w:val="18"/>
                <w:szCs w:val="18"/>
                <w:highlight w:val="none"/>
              </w:rPr>
              <w:t>3</w:t>
            </w:r>
            <w:r>
              <w:rPr>
                <w:rFonts w:ascii="仿宋" w:hAnsi="仿宋" w:eastAsia="仿宋" w:cs="仿宋"/>
                <w:color w:val="auto"/>
                <w:sz w:val="18"/>
                <w:szCs w:val="18"/>
                <w:highlight w:val="none"/>
              </w:rPr>
              <w:t>.9</w:t>
            </w:r>
          </w:p>
        </w:tc>
        <w:tc>
          <w:tcPr>
            <w:tcW w:w="2371" w:type="dxa"/>
            <w:noWrap/>
            <w:vAlign w:val="center"/>
          </w:tcPr>
          <w:p>
            <w:pPr>
              <w:autoSpaceDE w:val="0"/>
              <w:autoSpaceDN w:val="0"/>
              <w:adjustRightInd w:val="0"/>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274" w:type="dxa"/>
            <w:noWrap/>
            <w:vAlign w:val="center"/>
          </w:tcPr>
          <w:p>
            <w:pPr>
              <w:autoSpaceDE w:val="0"/>
              <w:autoSpaceDN w:val="0"/>
              <w:adjustRightInd w:val="0"/>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井盖材质</w:t>
            </w:r>
          </w:p>
        </w:tc>
        <w:tc>
          <w:tcPr>
            <w:tcW w:w="1559"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WeMaterial</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1" w:type="dxa"/>
            <w:noWrap/>
            <w:vAlign w:val="center"/>
          </w:tcPr>
          <w:p>
            <w:pPr>
              <w:autoSpaceDE w:val="0"/>
              <w:autoSpaceDN w:val="0"/>
              <w:adjustRightInd w:val="0"/>
              <w:jc w:val="center"/>
              <w:rPr>
                <w:rFonts w:ascii="仿宋" w:hAnsi="仿宋" w:eastAsia="仿宋" w:cs="仿宋"/>
                <w:color w:val="auto"/>
                <w:sz w:val="18"/>
                <w:szCs w:val="18"/>
                <w:highlight w:val="none"/>
              </w:rPr>
            </w:pPr>
          </w:p>
        </w:tc>
        <w:tc>
          <w:tcPr>
            <w:tcW w:w="1337"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见附表A.</w:t>
            </w:r>
            <w:r>
              <w:rPr>
                <w:rFonts w:ascii="仿宋" w:hAnsi="仿宋" w:eastAsia="仿宋" w:cs="仿宋"/>
                <w:color w:val="auto"/>
                <w:sz w:val="18"/>
                <w:szCs w:val="18"/>
                <w:highlight w:val="none"/>
              </w:rPr>
              <w:t>1</w:t>
            </w:r>
            <w:r>
              <w:rPr>
                <w:rFonts w:hint="eastAsia" w:ascii="仿宋" w:hAnsi="仿宋" w:eastAsia="仿宋" w:cs="仿宋"/>
                <w:color w:val="auto"/>
                <w:sz w:val="18"/>
                <w:szCs w:val="18"/>
                <w:highlight w:val="none"/>
              </w:rPr>
              <w:t>3</w:t>
            </w:r>
            <w:r>
              <w:rPr>
                <w:rFonts w:ascii="仿宋" w:hAnsi="仿宋" w:eastAsia="仿宋" w:cs="仿宋"/>
                <w:color w:val="auto"/>
                <w:sz w:val="18"/>
                <w:szCs w:val="18"/>
                <w:highlight w:val="none"/>
              </w:rPr>
              <w:t>.1</w:t>
            </w:r>
          </w:p>
        </w:tc>
        <w:tc>
          <w:tcPr>
            <w:tcW w:w="2371" w:type="dxa"/>
            <w:noWrap/>
            <w:vAlign w:val="center"/>
          </w:tcPr>
          <w:p>
            <w:pPr>
              <w:autoSpaceDE w:val="0"/>
              <w:autoSpaceDN w:val="0"/>
              <w:adjustRightInd w:val="0"/>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274" w:type="dxa"/>
            <w:noWrap/>
            <w:vAlign w:val="center"/>
          </w:tcPr>
          <w:p>
            <w:pPr>
              <w:autoSpaceDE w:val="0"/>
              <w:autoSpaceDN w:val="0"/>
              <w:adjustRightInd w:val="0"/>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井盖尺寸</w:t>
            </w:r>
          </w:p>
        </w:tc>
        <w:tc>
          <w:tcPr>
            <w:tcW w:w="1559"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WeSize</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931" w:type="dxa"/>
            <w:noWrap/>
            <w:vAlign w:val="center"/>
          </w:tcPr>
          <w:p>
            <w:pPr>
              <w:autoSpaceDE w:val="0"/>
              <w:autoSpaceDN w:val="0"/>
              <w:adjustRightInd w:val="0"/>
              <w:jc w:val="center"/>
              <w:rPr>
                <w:rFonts w:ascii="仿宋" w:hAnsi="仿宋" w:eastAsia="仿宋" w:cs="仿宋"/>
                <w:color w:val="auto"/>
                <w:sz w:val="18"/>
                <w:szCs w:val="18"/>
                <w:highlight w:val="none"/>
              </w:rPr>
            </w:pPr>
          </w:p>
        </w:tc>
        <w:tc>
          <w:tcPr>
            <w:tcW w:w="1337" w:type="dxa"/>
            <w:noWrap/>
            <w:vAlign w:val="center"/>
          </w:tcPr>
          <w:p>
            <w:pPr>
              <w:autoSpaceDE w:val="0"/>
              <w:autoSpaceDN w:val="0"/>
              <w:adjustRightInd w:val="0"/>
              <w:jc w:val="center"/>
              <w:rPr>
                <w:rFonts w:ascii="仿宋" w:hAnsi="仿宋" w:eastAsia="仿宋" w:cs="仿宋"/>
                <w:color w:val="auto"/>
                <w:sz w:val="18"/>
                <w:szCs w:val="18"/>
                <w:highlight w:val="none"/>
              </w:rPr>
            </w:pPr>
          </w:p>
        </w:tc>
        <w:tc>
          <w:tcPr>
            <w:tcW w:w="2371" w:type="dxa"/>
            <w:noWrap/>
            <w:vAlign w:val="center"/>
          </w:tcPr>
          <w:p>
            <w:pPr>
              <w:autoSpaceDE w:val="0"/>
              <w:autoSpaceDN w:val="0"/>
              <w:adjustRightInd w:val="0"/>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274"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填直径、长X宽（单位：毫米）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井脖深</w:t>
            </w:r>
          </w:p>
        </w:tc>
        <w:tc>
          <w:tcPr>
            <w:tcW w:w="1559"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WeNeDeep</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992" w:type="dxa"/>
            <w:noWrap/>
            <w:vAlign w:val="center"/>
          </w:tcPr>
          <w:p>
            <w:pPr>
              <w:autoSpaceDE w:val="0"/>
              <w:autoSpaceDN w:val="0"/>
              <w:adjustRightInd w:val="0"/>
              <w:jc w:val="center"/>
              <w:rPr>
                <w:rFonts w:ascii="仿宋" w:hAnsi="仿宋" w:eastAsia="仿宋" w:cs="仿宋"/>
                <w:color w:val="auto"/>
                <w:sz w:val="18"/>
                <w:szCs w:val="18"/>
                <w:highlight w:val="none"/>
              </w:rPr>
            </w:pPr>
          </w:p>
        </w:tc>
        <w:tc>
          <w:tcPr>
            <w:tcW w:w="931"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w:t>
            </w:r>
          </w:p>
        </w:tc>
        <w:tc>
          <w:tcPr>
            <w:tcW w:w="1337" w:type="dxa"/>
            <w:noWrap/>
            <w:vAlign w:val="center"/>
          </w:tcPr>
          <w:p>
            <w:pPr>
              <w:autoSpaceDE w:val="0"/>
              <w:autoSpaceDN w:val="0"/>
              <w:adjustRightInd w:val="0"/>
              <w:jc w:val="center"/>
              <w:rPr>
                <w:rFonts w:ascii="仿宋" w:hAnsi="仿宋" w:eastAsia="仿宋" w:cs="仿宋"/>
                <w:color w:val="auto"/>
                <w:sz w:val="18"/>
                <w:szCs w:val="18"/>
                <w:highlight w:val="none"/>
              </w:rPr>
            </w:pPr>
          </w:p>
        </w:tc>
        <w:tc>
          <w:tcPr>
            <w:tcW w:w="2371" w:type="dxa"/>
            <w:noWrap/>
            <w:vAlign w:val="center"/>
          </w:tcPr>
          <w:p>
            <w:pPr>
              <w:autoSpaceDE w:val="0"/>
              <w:autoSpaceDN w:val="0"/>
              <w:adjustRightInd w:val="0"/>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274"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井室类型</w:t>
            </w:r>
          </w:p>
        </w:tc>
        <w:tc>
          <w:tcPr>
            <w:tcW w:w="1559"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WeRoType</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1" w:type="dxa"/>
            <w:noWrap/>
            <w:vAlign w:val="center"/>
          </w:tcPr>
          <w:p>
            <w:pPr>
              <w:autoSpaceDE w:val="0"/>
              <w:autoSpaceDN w:val="0"/>
              <w:adjustRightInd w:val="0"/>
              <w:jc w:val="center"/>
              <w:rPr>
                <w:rFonts w:ascii="仿宋" w:hAnsi="仿宋" w:eastAsia="仿宋" w:cs="仿宋"/>
                <w:color w:val="auto"/>
                <w:sz w:val="18"/>
                <w:szCs w:val="18"/>
                <w:highlight w:val="none"/>
              </w:rPr>
            </w:pPr>
          </w:p>
        </w:tc>
        <w:tc>
          <w:tcPr>
            <w:tcW w:w="1337"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见附表A.</w:t>
            </w:r>
            <w:r>
              <w:rPr>
                <w:rFonts w:ascii="仿宋" w:hAnsi="仿宋" w:eastAsia="仿宋" w:cs="仿宋"/>
                <w:color w:val="auto"/>
                <w:sz w:val="18"/>
                <w:szCs w:val="18"/>
                <w:highlight w:val="none"/>
              </w:rPr>
              <w:t>1</w:t>
            </w:r>
            <w:r>
              <w:rPr>
                <w:rFonts w:hint="eastAsia" w:ascii="仿宋" w:hAnsi="仿宋" w:eastAsia="仿宋" w:cs="仿宋"/>
                <w:color w:val="auto"/>
                <w:sz w:val="18"/>
                <w:szCs w:val="18"/>
                <w:highlight w:val="none"/>
              </w:rPr>
              <w:t>3</w:t>
            </w:r>
            <w:r>
              <w:rPr>
                <w:rFonts w:ascii="仿宋" w:hAnsi="仿宋" w:eastAsia="仿宋" w:cs="仿宋"/>
                <w:color w:val="auto"/>
                <w:sz w:val="18"/>
                <w:szCs w:val="18"/>
                <w:highlight w:val="none"/>
              </w:rPr>
              <w:t>.8</w:t>
            </w:r>
          </w:p>
        </w:tc>
        <w:tc>
          <w:tcPr>
            <w:tcW w:w="2371" w:type="dxa"/>
            <w:noWrap/>
            <w:vAlign w:val="center"/>
          </w:tcPr>
          <w:p>
            <w:pPr>
              <w:autoSpaceDE w:val="0"/>
              <w:autoSpaceDN w:val="0"/>
              <w:adjustRightInd w:val="0"/>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274" w:type="dxa"/>
            <w:noWrap/>
            <w:vAlign w:val="center"/>
          </w:tcPr>
          <w:p>
            <w:pPr>
              <w:autoSpaceDE w:val="0"/>
              <w:autoSpaceDN w:val="0"/>
              <w:adjustRightInd w:val="0"/>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井室材质</w:t>
            </w:r>
          </w:p>
        </w:tc>
        <w:tc>
          <w:tcPr>
            <w:tcW w:w="1559" w:type="dxa"/>
            <w:noWrap/>
            <w:vAlign w:val="center"/>
          </w:tcPr>
          <w:p>
            <w:pPr>
              <w:autoSpaceDE w:val="0"/>
              <w:autoSpaceDN w:val="0"/>
              <w:adjustRightInd w:val="0"/>
              <w:ind w:firstLine="90" w:firstLineChars="5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WeRoMaterial</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1" w:type="dxa"/>
            <w:noWrap/>
            <w:vAlign w:val="center"/>
          </w:tcPr>
          <w:p>
            <w:pPr>
              <w:autoSpaceDE w:val="0"/>
              <w:autoSpaceDN w:val="0"/>
              <w:adjustRightInd w:val="0"/>
              <w:jc w:val="center"/>
              <w:rPr>
                <w:rFonts w:ascii="仿宋" w:hAnsi="仿宋" w:eastAsia="仿宋" w:cs="仿宋"/>
                <w:color w:val="auto"/>
                <w:sz w:val="18"/>
                <w:szCs w:val="18"/>
                <w:highlight w:val="none"/>
              </w:rPr>
            </w:pPr>
          </w:p>
        </w:tc>
        <w:tc>
          <w:tcPr>
            <w:tcW w:w="1337"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见附表A.</w:t>
            </w:r>
            <w:r>
              <w:rPr>
                <w:rFonts w:ascii="仿宋" w:hAnsi="仿宋" w:eastAsia="仿宋" w:cs="仿宋"/>
                <w:color w:val="auto"/>
                <w:sz w:val="18"/>
                <w:szCs w:val="18"/>
                <w:highlight w:val="none"/>
              </w:rPr>
              <w:t>1</w:t>
            </w:r>
            <w:r>
              <w:rPr>
                <w:rFonts w:hint="eastAsia" w:ascii="仿宋" w:hAnsi="仿宋" w:eastAsia="仿宋" w:cs="仿宋"/>
                <w:color w:val="auto"/>
                <w:sz w:val="18"/>
                <w:szCs w:val="18"/>
                <w:highlight w:val="none"/>
              </w:rPr>
              <w:t>3</w:t>
            </w:r>
            <w:r>
              <w:rPr>
                <w:rFonts w:ascii="仿宋" w:hAnsi="仿宋" w:eastAsia="仿宋" w:cs="仿宋"/>
                <w:color w:val="auto"/>
                <w:sz w:val="18"/>
                <w:szCs w:val="18"/>
                <w:highlight w:val="none"/>
              </w:rPr>
              <w:t>.1</w:t>
            </w:r>
          </w:p>
        </w:tc>
        <w:tc>
          <w:tcPr>
            <w:tcW w:w="2371" w:type="dxa"/>
            <w:noWrap/>
            <w:vAlign w:val="center"/>
          </w:tcPr>
          <w:p>
            <w:pPr>
              <w:autoSpaceDE w:val="0"/>
              <w:autoSpaceDN w:val="0"/>
              <w:adjustRightInd w:val="0"/>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274" w:type="dxa"/>
            <w:noWrap/>
            <w:vAlign w:val="center"/>
          </w:tcPr>
          <w:p>
            <w:pPr>
              <w:autoSpaceDE w:val="0"/>
              <w:autoSpaceDN w:val="0"/>
              <w:adjustRightInd w:val="0"/>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井室规格</w:t>
            </w:r>
          </w:p>
        </w:tc>
        <w:tc>
          <w:tcPr>
            <w:tcW w:w="1559"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WeRoSize</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931" w:type="dxa"/>
            <w:noWrap/>
            <w:vAlign w:val="center"/>
          </w:tcPr>
          <w:p>
            <w:pPr>
              <w:autoSpaceDE w:val="0"/>
              <w:autoSpaceDN w:val="0"/>
              <w:adjustRightInd w:val="0"/>
              <w:jc w:val="center"/>
              <w:rPr>
                <w:rFonts w:ascii="仿宋" w:hAnsi="仿宋" w:eastAsia="仿宋" w:cs="仿宋"/>
                <w:color w:val="auto"/>
                <w:sz w:val="18"/>
                <w:szCs w:val="18"/>
                <w:highlight w:val="none"/>
              </w:rPr>
            </w:pPr>
          </w:p>
        </w:tc>
        <w:tc>
          <w:tcPr>
            <w:tcW w:w="1337" w:type="dxa"/>
            <w:noWrap/>
            <w:vAlign w:val="center"/>
          </w:tcPr>
          <w:p>
            <w:pPr>
              <w:autoSpaceDE w:val="0"/>
              <w:autoSpaceDN w:val="0"/>
              <w:adjustRightInd w:val="0"/>
              <w:jc w:val="center"/>
              <w:rPr>
                <w:rFonts w:ascii="仿宋" w:hAnsi="仿宋" w:eastAsia="仿宋" w:cs="仿宋"/>
                <w:color w:val="auto"/>
                <w:sz w:val="18"/>
                <w:szCs w:val="18"/>
                <w:highlight w:val="none"/>
              </w:rPr>
            </w:pPr>
          </w:p>
        </w:tc>
        <w:tc>
          <w:tcPr>
            <w:tcW w:w="2371" w:type="dxa"/>
            <w:noWrap/>
            <w:vAlign w:val="center"/>
          </w:tcPr>
          <w:p>
            <w:pPr>
              <w:autoSpaceDE w:val="0"/>
              <w:autoSpaceDN w:val="0"/>
              <w:adjustRightInd w:val="0"/>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274"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填直径X高、长X宽X高（单位：毫米）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是否接边点</w:t>
            </w:r>
          </w:p>
        </w:tc>
        <w:tc>
          <w:tcPr>
            <w:tcW w:w="1559"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Sideid</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autoSpaceDE w:val="0"/>
              <w:autoSpaceDN w:val="0"/>
              <w:adjustRightInd w:val="0"/>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t>2</w:t>
            </w:r>
          </w:p>
        </w:tc>
        <w:tc>
          <w:tcPr>
            <w:tcW w:w="931" w:type="dxa"/>
            <w:noWrap/>
            <w:vAlign w:val="center"/>
          </w:tcPr>
          <w:p>
            <w:pPr>
              <w:autoSpaceDE w:val="0"/>
              <w:autoSpaceDN w:val="0"/>
              <w:adjustRightInd w:val="0"/>
              <w:jc w:val="center"/>
              <w:rPr>
                <w:rFonts w:ascii="仿宋" w:hAnsi="仿宋" w:eastAsia="仿宋" w:cs="仿宋"/>
                <w:color w:val="auto"/>
                <w:kern w:val="0"/>
                <w:sz w:val="18"/>
                <w:szCs w:val="18"/>
                <w:highlight w:val="none"/>
              </w:rPr>
            </w:pPr>
          </w:p>
        </w:tc>
        <w:tc>
          <w:tcPr>
            <w:tcW w:w="1337" w:type="dxa"/>
            <w:noWrap/>
            <w:vAlign w:val="center"/>
          </w:tcPr>
          <w:p>
            <w:pPr>
              <w:autoSpaceDE w:val="0"/>
              <w:autoSpaceDN w:val="0"/>
              <w:adjustRightInd w:val="0"/>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是/否</w:t>
            </w:r>
          </w:p>
        </w:tc>
        <w:tc>
          <w:tcPr>
            <w:tcW w:w="2371" w:type="dxa"/>
            <w:noWrap/>
            <w:vAlign w:val="center"/>
          </w:tcPr>
          <w:p>
            <w:pPr>
              <w:autoSpaceDE w:val="0"/>
              <w:autoSpaceDN w:val="0"/>
              <w:adjustRightInd w:val="0"/>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274"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管线点</w:t>
            </w:r>
            <w:r>
              <w:rPr>
                <w:rFonts w:ascii="仿宋" w:hAnsi="仿宋" w:eastAsia="仿宋" w:cs="仿宋"/>
                <w:color w:val="auto"/>
                <w:sz w:val="18"/>
                <w:szCs w:val="18"/>
                <w:highlight w:val="none"/>
              </w:rPr>
              <w:t>为接边点时填写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地面设施</w:t>
            </w:r>
            <w:r>
              <w:rPr>
                <w:rFonts w:ascii="仿宋" w:hAnsi="仿宋" w:eastAsia="仿宋" w:cs="仿宋"/>
                <w:color w:val="auto"/>
                <w:sz w:val="18"/>
                <w:szCs w:val="18"/>
                <w:highlight w:val="none"/>
              </w:rPr>
              <w:t>规格</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Faci</w:t>
            </w:r>
            <w:r>
              <w:rPr>
                <w:rFonts w:ascii="仿宋" w:hAnsi="仿宋" w:eastAsia="仿宋" w:cs="仿宋"/>
                <w:color w:val="auto"/>
                <w:sz w:val="18"/>
                <w:szCs w:val="18"/>
                <w:highlight w:val="none"/>
              </w:rPr>
              <w:t>Size</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931" w:type="dxa"/>
            <w:noWrap/>
            <w:vAlign w:val="center"/>
          </w:tcPr>
          <w:p>
            <w:pPr>
              <w:jc w:val="center"/>
              <w:rPr>
                <w:rFonts w:ascii="仿宋" w:hAnsi="仿宋" w:eastAsia="仿宋" w:cs="仿宋"/>
                <w:color w:val="auto"/>
                <w:sz w:val="18"/>
                <w:szCs w:val="18"/>
                <w:highlight w:val="none"/>
              </w:rPr>
            </w:pPr>
          </w:p>
        </w:tc>
        <w:tc>
          <w:tcPr>
            <w:tcW w:w="1337" w:type="dxa"/>
            <w:noWrap/>
            <w:vAlign w:val="center"/>
          </w:tcPr>
          <w:p>
            <w:pPr>
              <w:autoSpaceDE w:val="0"/>
              <w:autoSpaceDN w:val="0"/>
              <w:adjustRightInd w:val="0"/>
              <w:jc w:val="center"/>
              <w:rPr>
                <w:rFonts w:ascii="仿宋" w:hAnsi="仿宋" w:eastAsia="仿宋" w:cs="仿宋"/>
                <w:color w:val="auto"/>
                <w:sz w:val="18"/>
                <w:szCs w:val="18"/>
                <w:highlight w:val="none"/>
              </w:rPr>
            </w:pPr>
          </w:p>
        </w:tc>
        <w:tc>
          <w:tcPr>
            <w:tcW w:w="2371" w:type="dxa"/>
            <w:noWrap/>
            <w:vAlign w:val="center"/>
          </w:tcPr>
          <w:p>
            <w:pPr>
              <w:autoSpaceDE w:val="0"/>
              <w:autoSpaceDN w:val="0"/>
              <w:adjustRightInd w:val="0"/>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w:t>
            </w:r>
          </w:p>
        </w:tc>
        <w:tc>
          <w:tcPr>
            <w:tcW w:w="3274" w:type="dxa"/>
            <w:noWrap/>
            <w:vAlign w:val="center"/>
          </w:tcPr>
          <w:p>
            <w:pPr>
              <w:autoSpaceDE w:val="0"/>
              <w:autoSpaceDN w:val="0"/>
              <w:adjustRightInd w:val="0"/>
              <w:ind w:firstLine="90" w:firstLineChars="5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填直径X高、长X宽X高（单位：毫米）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7" w:type="dxa"/>
            <w:noWrap/>
            <w:vAlign w:val="center"/>
          </w:tcPr>
          <w:p>
            <w:pPr>
              <w:pStyle w:val="156"/>
              <w:numPr>
                <w:ilvl w:val="0"/>
                <w:numId w:val="44"/>
              </w:numPr>
              <w:autoSpaceDE w:val="0"/>
              <w:autoSpaceDN w:val="0"/>
              <w:adjustRightInd w:val="0"/>
              <w:ind w:firstLineChars="0"/>
              <w:jc w:val="center"/>
              <w:rPr>
                <w:rFonts w:ascii="仿宋" w:hAnsi="仿宋" w:eastAsia="仿宋" w:cs="仿宋"/>
                <w:color w:val="auto"/>
                <w:highlight w:val="none"/>
              </w:rPr>
            </w:pPr>
          </w:p>
        </w:tc>
        <w:tc>
          <w:tcPr>
            <w:tcW w:w="14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备注</w:t>
            </w:r>
          </w:p>
        </w:tc>
        <w:tc>
          <w:tcPr>
            <w:tcW w:w="155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Remark</w:t>
            </w:r>
          </w:p>
        </w:tc>
        <w:tc>
          <w:tcPr>
            <w:tcW w:w="119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100</w:t>
            </w:r>
          </w:p>
        </w:tc>
        <w:tc>
          <w:tcPr>
            <w:tcW w:w="931" w:type="dxa"/>
            <w:noWrap/>
            <w:vAlign w:val="center"/>
          </w:tcPr>
          <w:p>
            <w:pPr>
              <w:jc w:val="center"/>
              <w:rPr>
                <w:rFonts w:ascii="仿宋" w:hAnsi="仿宋" w:eastAsia="仿宋" w:cs="仿宋"/>
                <w:color w:val="auto"/>
                <w:sz w:val="18"/>
                <w:szCs w:val="18"/>
                <w:highlight w:val="none"/>
              </w:rPr>
            </w:pPr>
          </w:p>
        </w:tc>
        <w:tc>
          <w:tcPr>
            <w:tcW w:w="1337" w:type="dxa"/>
            <w:noWrap/>
            <w:vAlign w:val="center"/>
          </w:tcPr>
          <w:p>
            <w:pPr>
              <w:autoSpaceDE w:val="0"/>
              <w:autoSpaceDN w:val="0"/>
              <w:adjustRightInd w:val="0"/>
              <w:jc w:val="center"/>
              <w:rPr>
                <w:rFonts w:ascii="仿宋" w:hAnsi="仿宋" w:eastAsia="仿宋" w:cs="仿宋"/>
                <w:color w:val="auto"/>
                <w:sz w:val="18"/>
                <w:szCs w:val="18"/>
                <w:highlight w:val="none"/>
              </w:rPr>
            </w:pPr>
          </w:p>
        </w:tc>
        <w:tc>
          <w:tcPr>
            <w:tcW w:w="2371" w:type="dxa"/>
            <w:noWrap/>
            <w:vAlign w:val="center"/>
          </w:tcPr>
          <w:p>
            <w:pPr>
              <w:autoSpaceDE w:val="0"/>
              <w:autoSpaceDN w:val="0"/>
              <w:adjustRightInd w:val="0"/>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w:t>
            </w:r>
          </w:p>
        </w:tc>
        <w:tc>
          <w:tcPr>
            <w:tcW w:w="3274" w:type="dxa"/>
            <w:noWrap/>
            <w:vAlign w:val="center"/>
          </w:tcPr>
          <w:p>
            <w:pPr>
              <w:autoSpaceDE w:val="0"/>
              <w:autoSpaceDN w:val="0"/>
              <w:adjustRightInd w:val="0"/>
              <w:jc w:val="center"/>
              <w:rPr>
                <w:rFonts w:ascii="仿宋" w:hAnsi="仿宋" w:eastAsia="仿宋" w:cs="仿宋"/>
                <w:color w:val="auto"/>
                <w:sz w:val="18"/>
                <w:szCs w:val="18"/>
                <w:highlight w:val="none"/>
              </w:rPr>
            </w:pPr>
          </w:p>
        </w:tc>
      </w:tr>
    </w:tbl>
    <w:p>
      <w:pPr>
        <w:pStyle w:val="6"/>
        <w:jc w:val="center"/>
        <w:rPr>
          <w:rFonts w:ascii="仿宋" w:hAnsi="仿宋" w:eastAsia="仿宋" w:cs="仿宋"/>
          <w:color w:val="auto"/>
          <w:sz w:val="24"/>
          <w:highlight w:val="none"/>
        </w:rPr>
      </w:pPr>
      <w:bookmarkStart w:id="470" w:name="_Toc15152"/>
      <w:bookmarkStart w:id="471" w:name="_Toc9752"/>
      <w:bookmarkStart w:id="472" w:name="_Toc31237"/>
      <w:bookmarkStart w:id="473" w:name="_Toc3814"/>
      <w:bookmarkStart w:id="474" w:name="_Toc24807"/>
      <w:r>
        <w:rPr>
          <w:rFonts w:hint="eastAsia" w:ascii="仿宋" w:hAnsi="仿宋" w:eastAsia="仿宋" w:cs="仿宋"/>
          <w:color w:val="auto"/>
          <w:sz w:val="24"/>
          <w:highlight w:val="none"/>
        </w:rPr>
        <w:br w:type="page"/>
      </w:r>
      <w:bookmarkStart w:id="475" w:name="_Toc8170"/>
      <w:bookmarkStart w:id="476" w:name="_Toc32643"/>
      <w:bookmarkStart w:id="477" w:name="_Toc19063"/>
      <w:r>
        <w:rPr>
          <w:rFonts w:hint="eastAsia" w:ascii="仿宋" w:hAnsi="仿宋" w:eastAsia="仿宋" w:cs="仿宋"/>
          <w:color w:val="auto"/>
          <w:sz w:val="24"/>
          <w:highlight w:val="none"/>
        </w:rPr>
        <w:t>附表A.</w:t>
      </w:r>
      <w:r>
        <w:rPr>
          <w:rFonts w:ascii="仿宋" w:hAnsi="仿宋" w:eastAsia="仿宋" w:cs="仿宋"/>
          <w:color w:val="auto"/>
          <w:sz w:val="24"/>
          <w:highlight w:val="none"/>
        </w:rPr>
        <w:t>2</w:t>
      </w:r>
      <w:r>
        <w:rPr>
          <w:rFonts w:hint="eastAsia" w:ascii="仿宋" w:hAnsi="仿宋" w:eastAsia="仿宋" w:cs="仿宋"/>
          <w:color w:val="auto"/>
          <w:sz w:val="24"/>
          <w:highlight w:val="none"/>
        </w:rPr>
        <w:t xml:space="preserve"> 管线线属性结构表</w:t>
      </w:r>
      <w:bookmarkEnd w:id="475"/>
    </w:p>
    <w:bookmarkEnd w:id="470"/>
    <w:bookmarkEnd w:id="471"/>
    <w:bookmarkEnd w:id="472"/>
    <w:bookmarkEnd w:id="473"/>
    <w:bookmarkEnd w:id="474"/>
    <w:bookmarkEnd w:id="476"/>
    <w:bookmarkEnd w:id="477"/>
    <w:tbl>
      <w:tblPr>
        <w:tblStyle w:val="43"/>
        <w:tblW w:w="13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383"/>
        <w:gridCol w:w="1393"/>
        <w:gridCol w:w="1265"/>
        <w:gridCol w:w="1056"/>
        <w:gridCol w:w="939"/>
        <w:gridCol w:w="1329"/>
        <w:gridCol w:w="2268"/>
        <w:gridCol w:w="3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0"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序号</w:t>
            </w:r>
          </w:p>
        </w:tc>
        <w:tc>
          <w:tcPr>
            <w:tcW w:w="1383"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中文名称</w:t>
            </w:r>
          </w:p>
        </w:tc>
        <w:tc>
          <w:tcPr>
            <w:tcW w:w="1393"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英文名称</w:t>
            </w:r>
          </w:p>
        </w:tc>
        <w:tc>
          <w:tcPr>
            <w:tcW w:w="1265"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字段类型</w:t>
            </w:r>
          </w:p>
        </w:tc>
        <w:tc>
          <w:tcPr>
            <w:tcW w:w="1056"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字段长度</w:t>
            </w:r>
          </w:p>
        </w:tc>
        <w:tc>
          <w:tcPr>
            <w:tcW w:w="939"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小数位数</w:t>
            </w:r>
          </w:p>
        </w:tc>
        <w:tc>
          <w:tcPr>
            <w:tcW w:w="1329"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值域</w:t>
            </w:r>
          </w:p>
        </w:tc>
        <w:tc>
          <w:tcPr>
            <w:tcW w:w="2268"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是否必填（</w:t>
            </w:r>
            <w:r>
              <w:rPr>
                <w:rFonts w:hint="eastAsia" w:ascii="仿宋" w:hAnsi="仿宋" w:eastAsia="仿宋" w:cs="仿宋"/>
                <w:color w:val="auto"/>
                <w:kern w:val="0"/>
                <w:szCs w:val="21"/>
                <w:highlight w:val="none"/>
              </w:rPr>
              <w:t>▲</w:t>
            </w:r>
            <w:r>
              <w:rPr>
                <w:rFonts w:hint="eastAsia" w:ascii="仿宋" w:hAnsi="仿宋" w:eastAsia="仿宋" w:cs="仿宋"/>
                <w:color w:val="auto"/>
                <w:kern w:val="0"/>
                <w:sz w:val="18"/>
                <w:szCs w:val="18"/>
                <w:highlight w:val="none"/>
              </w:rPr>
              <w:t>为必填，△为条件必填，○为选填）</w:t>
            </w:r>
          </w:p>
        </w:tc>
        <w:tc>
          <w:tcPr>
            <w:tcW w:w="3484"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left"/>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项目编号</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Work_No</w:t>
            </w:r>
          </w:p>
        </w:tc>
        <w:tc>
          <w:tcPr>
            <w:tcW w:w="1265"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100</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行政区</w:t>
            </w:r>
            <w:r>
              <w:rPr>
                <w:rFonts w:ascii="仿宋" w:hAnsi="仿宋" w:eastAsia="仿宋" w:cs="仿宋"/>
                <w:color w:val="auto"/>
                <w:sz w:val="18"/>
                <w:szCs w:val="18"/>
                <w:highlight w:val="none"/>
              </w:rPr>
              <w:t>代码</w:t>
            </w:r>
            <w:r>
              <w:rPr>
                <w:rFonts w:hint="eastAsia" w:ascii="仿宋" w:hAnsi="仿宋" w:eastAsia="仿宋" w:cs="仿宋"/>
                <w:color w:val="auto"/>
                <w:sz w:val="18"/>
                <w:szCs w:val="18"/>
                <w:highlight w:val="none"/>
              </w:rPr>
              <w:t>+年份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left"/>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工程编号</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Prj_No</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标段号+测区号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left"/>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起点点号</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S_Exp</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25</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p>
        </w:tc>
        <w:tc>
          <w:tcPr>
            <w:tcW w:w="2268" w:type="dxa"/>
            <w:noWrap/>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管线段的起点编号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left"/>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起点X坐标</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S_X</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329" w:type="dxa"/>
            <w:noWrap/>
            <w:vAlign w:val="center"/>
          </w:tcPr>
          <w:p>
            <w:pPr>
              <w:jc w:val="center"/>
              <w:rPr>
                <w:rFonts w:ascii="仿宋" w:hAnsi="仿宋" w:eastAsia="仿宋" w:cs="仿宋"/>
                <w:color w:val="auto"/>
                <w:sz w:val="18"/>
                <w:szCs w:val="18"/>
                <w:highlight w:val="none"/>
              </w:rPr>
            </w:pPr>
          </w:p>
        </w:tc>
        <w:tc>
          <w:tcPr>
            <w:tcW w:w="2268" w:type="dxa"/>
            <w:noWrap/>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left"/>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起点Y坐标</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S_Y</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left"/>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起点高程</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S_High</w:t>
            </w:r>
          </w:p>
        </w:tc>
        <w:tc>
          <w:tcPr>
            <w:tcW w:w="1265"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双精度</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w:t>
            </w: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left"/>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起点埋深</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S_Deep</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w:t>
            </w: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left"/>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终点点号</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E_Exp</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25</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管线段的终点编号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left"/>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终点X坐标</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E_X</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left"/>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终点Y坐标</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E_Y</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left"/>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终点高程</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E_High</w:t>
            </w:r>
          </w:p>
        </w:tc>
        <w:tc>
          <w:tcPr>
            <w:tcW w:w="1265"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双精度</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w:t>
            </w: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left"/>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终点埋深</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E_Deep</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w:t>
            </w: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left"/>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要素代码</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Code</w:t>
            </w:r>
          </w:p>
        </w:tc>
        <w:tc>
          <w:tcPr>
            <w:tcW w:w="1265"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8</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见附表A.</w:t>
            </w:r>
            <w:r>
              <w:rPr>
                <w:rFonts w:ascii="仿宋" w:hAnsi="仿宋" w:eastAsia="仿宋" w:cs="仿宋"/>
                <w:color w:val="auto"/>
                <w:sz w:val="18"/>
                <w:szCs w:val="18"/>
                <w:highlight w:val="none"/>
              </w:rPr>
              <w:t>1</w:t>
            </w:r>
            <w:r>
              <w:rPr>
                <w:rFonts w:hint="eastAsia" w:ascii="仿宋" w:hAnsi="仿宋" w:eastAsia="仿宋" w:cs="仿宋"/>
                <w:color w:val="auto"/>
                <w:sz w:val="18"/>
                <w:szCs w:val="18"/>
                <w:highlight w:val="none"/>
              </w:rPr>
              <w:t>2</w:t>
            </w:r>
          </w:p>
        </w:tc>
        <w:tc>
          <w:tcPr>
            <w:tcW w:w="2268" w:type="dxa"/>
            <w:noWrap/>
            <w:vAlign w:val="center"/>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left"/>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管线材质</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en-US"/>
              </w:rPr>
              <w:t>Material</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见附表A.</w:t>
            </w:r>
            <w:r>
              <w:rPr>
                <w:rFonts w:ascii="仿宋" w:hAnsi="仿宋" w:eastAsia="仿宋" w:cs="仿宋"/>
                <w:color w:val="auto"/>
                <w:sz w:val="18"/>
                <w:szCs w:val="18"/>
                <w:highlight w:val="none"/>
              </w:rPr>
              <w:t>1</w:t>
            </w:r>
            <w:r>
              <w:rPr>
                <w:rFonts w:hint="eastAsia" w:ascii="仿宋" w:hAnsi="仿宋" w:eastAsia="仿宋" w:cs="仿宋"/>
                <w:color w:val="auto"/>
                <w:sz w:val="18"/>
                <w:szCs w:val="18"/>
                <w:highlight w:val="none"/>
              </w:rPr>
              <w:t>3</w:t>
            </w:r>
            <w:r>
              <w:rPr>
                <w:rFonts w:ascii="仿宋" w:hAnsi="仿宋" w:eastAsia="仿宋" w:cs="仿宋"/>
                <w:color w:val="auto"/>
                <w:sz w:val="18"/>
                <w:szCs w:val="18"/>
                <w:highlight w:val="none"/>
              </w:rPr>
              <w:t>.1</w:t>
            </w:r>
          </w:p>
        </w:tc>
        <w:tc>
          <w:tcPr>
            <w:tcW w:w="2268" w:type="dxa"/>
            <w:noWrap/>
            <w:vAlign w:val="center"/>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left"/>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保护材质</w:t>
            </w:r>
          </w:p>
        </w:tc>
        <w:tc>
          <w:tcPr>
            <w:tcW w:w="1393" w:type="dxa"/>
            <w:noWrap/>
            <w:vAlign w:val="center"/>
          </w:tcPr>
          <w:p>
            <w:pPr>
              <w:jc w:val="center"/>
              <w:rPr>
                <w:rFonts w:ascii="仿宋" w:hAnsi="仿宋" w:eastAsia="仿宋" w:cs="仿宋"/>
                <w:color w:val="auto"/>
                <w:kern w:val="0"/>
                <w:sz w:val="18"/>
                <w:szCs w:val="18"/>
                <w:highlight w:val="none"/>
                <w:lang w:bidi="en-US"/>
              </w:rPr>
            </w:pPr>
            <w:r>
              <w:rPr>
                <w:rFonts w:hint="eastAsia" w:ascii="仿宋" w:hAnsi="仿宋" w:eastAsia="仿宋" w:cs="仿宋"/>
                <w:color w:val="auto"/>
                <w:kern w:val="0"/>
                <w:sz w:val="18"/>
                <w:szCs w:val="18"/>
                <w:highlight w:val="none"/>
                <w:lang w:bidi="en-US"/>
              </w:rPr>
              <w:t>B- Material</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见附表A.</w:t>
            </w:r>
            <w:r>
              <w:rPr>
                <w:rFonts w:ascii="仿宋" w:hAnsi="仿宋" w:eastAsia="仿宋" w:cs="仿宋"/>
                <w:color w:val="auto"/>
                <w:sz w:val="18"/>
                <w:szCs w:val="18"/>
                <w:highlight w:val="none"/>
              </w:rPr>
              <w:t>1</w:t>
            </w:r>
            <w:r>
              <w:rPr>
                <w:rFonts w:hint="eastAsia" w:ascii="仿宋" w:hAnsi="仿宋" w:eastAsia="仿宋" w:cs="仿宋"/>
                <w:color w:val="auto"/>
                <w:sz w:val="18"/>
                <w:szCs w:val="18"/>
                <w:highlight w:val="none"/>
              </w:rPr>
              <w:t>3</w:t>
            </w:r>
            <w:r>
              <w:rPr>
                <w:rFonts w:ascii="仿宋" w:hAnsi="仿宋" w:eastAsia="仿宋" w:cs="仿宋"/>
                <w:color w:val="auto"/>
                <w:sz w:val="18"/>
                <w:szCs w:val="18"/>
                <w:highlight w:val="none"/>
              </w:rPr>
              <w:t>.1</w:t>
            </w:r>
          </w:p>
        </w:tc>
        <w:tc>
          <w:tcPr>
            <w:tcW w:w="2268"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w:t>
            </w:r>
          </w:p>
        </w:tc>
        <w:tc>
          <w:tcPr>
            <w:tcW w:w="3484"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center"/>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埋设方式</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en-US"/>
              </w:rPr>
              <w:t>EmBed</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见附表A.</w:t>
            </w:r>
            <w:r>
              <w:rPr>
                <w:rFonts w:ascii="仿宋" w:hAnsi="仿宋" w:eastAsia="仿宋" w:cs="仿宋"/>
                <w:color w:val="auto"/>
                <w:sz w:val="18"/>
                <w:szCs w:val="18"/>
                <w:highlight w:val="none"/>
              </w:rPr>
              <w:t>1</w:t>
            </w:r>
            <w:r>
              <w:rPr>
                <w:rFonts w:hint="eastAsia" w:ascii="仿宋" w:hAnsi="仿宋" w:eastAsia="仿宋" w:cs="仿宋"/>
                <w:color w:val="auto"/>
                <w:sz w:val="18"/>
                <w:szCs w:val="18"/>
                <w:highlight w:val="none"/>
              </w:rPr>
              <w:t>3</w:t>
            </w:r>
            <w:r>
              <w:rPr>
                <w:rFonts w:ascii="仿宋" w:hAnsi="仿宋" w:eastAsia="仿宋" w:cs="仿宋"/>
                <w:color w:val="auto"/>
                <w:sz w:val="18"/>
                <w:szCs w:val="18"/>
                <w:highlight w:val="none"/>
              </w:rPr>
              <w:t>.2</w:t>
            </w:r>
          </w:p>
        </w:tc>
        <w:tc>
          <w:tcPr>
            <w:tcW w:w="2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center"/>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管径</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PSize</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12</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直径或者宽X高（单位：毫米），电力、通信等线缆敷设方式为直埋时，此项不填。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center"/>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压力</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Pressure</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见附表A.</w:t>
            </w:r>
            <w:r>
              <w:rPr>
                <w:rFonts w:ascii="仿宋" w:hAnsi="仿宋" w:eastAsia="仿宋" w:cs="仿宋"/>
                <w:color w:val="auto"/>
                <w:sz w:val="18"/>
                <w:szCs w:val="18"/>
                <w:highlight w:val="none"/>
              </w:rPr>
              <w:t>1</w:t>
            </w:r>
            <w:r>
              <w:rPr>
                <w:rFonts w:hint="eastAsia" w:ascii="仿宋" w:hAnsi="仿宋" w:eastAsia="仿宋" w:cs="仿宋"/>
                <w:color w:val="auto"/>
                <w:sz w:val="18"/>
                <w:szCs w:val="18"/>
                <w:highlight w:val="none"/>
              </w:rPr>
              <w:t>3</w:t>
            </w:r>
            <w:r>
              <w:rPr>
                <w:rFonts w:ascii="仿宋" w:hAnsi="仿宋" w:eastAsia="仿宋" w:cs="仿宋"/>
                <w:color w:val="auto"/>
                <w:sz w:val="18"/>
                <w:szCs w:val="18"/>
                <w:highlight w:val="none"/>
              </w:rPr>
              <w:t>.5</w:t>
            </w:r>
          </w:p>
        </w:tc>
        <w:tc>
          <w:tcPr>
            <w:tcW w:w="2268"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w:t>
            </w:r>
          </w:p>
        </w:tc>
        <w:tc>
          <w:tcPr>
            <w:tcW w:w="3484"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center"/>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电压</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Voltage</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见附表A.</w:t>
            </w:r>
            <w:r>
              <w:rPr>
                <w:rFonts w:ascii="仿宋" w:hAnsi="仿宋" w:eastAsia="仿宋" w:cs="仿宋"/>
                <w:color w:val="auto"/>
                <w:sz w:val="18"/>
                <w:szCs w:val="18"/>
                <w:highlight w:val="none"/>
              </w:rPr>
              <w:t>1</w:t>
            </w:r>
            <w:r>
              <w:rPr>
                <w:rFonts w:hint="eastAsia" w:ascii="仿宋" w:hAnsi="仿宋" w:eastAsia="仿宋" w:cs="仿宋"/>
                <w:color w:val="auto"/>
                <w:sz w:val="18"/>
                <w:szCs w:val="18"/>
                <w:highlight w:val="none"/>
              </w:rPr>
              <w:t>3</w:t>
            </w:r>
            <w:r>
              <w:rPr>
                <w:rFonts w:ascii="仿宋" w:hAnsi="仿宋" w:eastAsia="仿宋" w:cs="仿宋"/>
                <w:color w:val="auto"/>
                <w:sz w:val="18"/>
                <w:szCs w:val="18"/>
                <w:highlight w:val="none"/>
              </w:rPr>
              <w:t>.3</w:t>
            </w:r>
          </w:p>
        </w:tc>
        <w:tc>
          <w:tcPr>
            <w:tcW w:w="2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w:t>
            </w:r>
          </w:p>
        </w:tc>
        <w:tc>
          <w:tcPr>
            <w:tcW w:w="3484"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center"/>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流向</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FlowDir</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整型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见附表A.</w:t>
            </w:r>
            <w:r>
              <w:rPr>
                <w:rFonts w:ascii="仿宋" w:hAnsi="仿宋" w:eastAsia="仿宋" w:cs="仿宋"/>
                <w:color w:val="auto"/>
                <w:sz w:val="18"/>
                <w:szCs w:val="18"/>
                <w:highlight w:val="none"/>
              </w:rPr>
              <w:t>1</w:t>
            </w:r>
            <w:r>
              <w:rPr>
                <w:rFonts w:hint="eastAsia" w:ascii="仿宋" w:hAnsi="仿宋" w:eastAsia="仿宋" w:cs="仿宋"/>
                <w:color w:val="auto"/>
                <w:sz w:val="18"/>
                <w:szCs w:val="18"/>
                <w:highlight w:val="none"/>
              </w:rPr>
              <w:t>3</w:t>
            </w:r>
            <w:r>
              <w:rPr>
                <w:rFonts w:ascii="仿宋" w:hAnsi="仿宋" w:eastAsia="仿宋" w:cs="仿宋"/>
                <w:color w:val="auto"/>
                <w:sz w:val="18"/>
                <w:szCs w:val="18"/>
                <w:highlight w:val="none"/>
              </w:rPr>
              <w:t>.4</w:t>
            </w:r>
          </w:p>
        </w:tc>
        <w:tc>
          <w:tcPr>
            <w:tcW w:w="2268"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w:t>
            </w:r>
          </w:p>
        </w:tc>
        <w:tc>
          <w:tcPr>
            <w:tcW w:w="3484"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center"/>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总孔数</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TotalHole</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整型</w:t>
            </w:r>
          </w:p>
        </w:tc>
        <w:tc>
          <w:tcPr>
            <w:tcW w:w="1056" w:type="dxa"/>
            <w:noWrap/>
            <w:vAlign w:val="center"/>
          </w:tcPr>
          <w:p>
            <w:pPr>
              <w:jc w:val="center"/>
              <w:rPr>
                <w:rFonts w:ascii="仿宋" w:hAnsi="仿宋" w:eastAsia="仿宋" w:cs="仿宋"/>
                <w:color w:val="auto"/>
                <w:sz w:val="18"/>
                <w:szCs w:val="18"/>
                <w:highlight w:val="none"/>
              </w:rPr>
            </w:pP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w:t>
            </w:r>
          </w:p>
        </w:tc>
        <w:tc>
          <w:tcPr>
            <w:tcW w:w="3484"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center"/>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已用孔数</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UsedHole</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整型</w:t>
            </w:r>
          </w:p>
        </w:tc>
        <w:tc>
          <w:tcPr>
            <w:tcW w:w="1056" w:type="dxa"/>
            <w:noWrap/>
            <w:vAlign w:val="center"/>
          </w:tcPr>
          <w:p>
            <w:pPr>
              <w:jc w:val="center"/>
              <w:rPr>
                <w:rFonts w:ascii="仿宋" w:hAnsi="仿宋" w:eastAsia="仿宋" w:cs="仿宋"/>
                <w:color w:val="auto"/>
                <w:sz w:val="18"/>
                <w:szCs w:val="18"/>
                <w:highlight w:val="none"/>
              </w:rPr>
            </w:pP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w:t>
            </w:r>
          </w:p>
        </w:tc>
        <w:tc>
          <w:tcPr>
            <w:tcW w:w="3484"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center"/>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线缆条数</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CabNum</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w:t>
            </w:r>
          </w:p>
        </w:tc>
        <w:tc>
          <w:tcPr>
            <w:tcW w:w="348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电力管线才需填写。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center"/>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孔径</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HSize</w:t>
            </w:r>
          </w:p>
        </w:tc>
        <w:tc>
          <w:tcPr>
            <w:tcW w:w="1265"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12</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w:t>
            </w:r>
          </w:p>
        </w:tc>
        <w:tc>
          <w:tcPr>
            <w:tcW w:w="348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指管块的小孔的直径，单位：毫米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center"/>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线型名称</w:t>
            </w:r>
          </w:p>
        </w:tc>
        <w:tc>
          <w:tcPr>
            <w:tcW w:w="1393"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LineType</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4</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见附表A.</w:t>
            </w:r>
            <w:r>
              <w:rPr>
                <w:rFonts w:ascii="仿宋" w:hAnsi="仿宋" w:eastAsia="仿宋" w:cs="仿宋"/>
                <w:color w:val="auto"/>
                <w:sz w:val="18"/>
                <w:szCs w:val="18"/>
                <w:highlight w:val="none"/>
              </w:rPr>
              <w:t>1</w:t>
            </w:r>
            <w:r>
              <w:rPr>
                <w:rFonts w:hint="eastAsia" w:ascii="仿宋" w:hAnsi="仿宋" w:eastAsia="仿宋" w:cs="仿宋"/>
                <w:color w:val="auto"/>
                <w:sz w:val="18"/>
                <w:szCs w:val="18"/>
                <w:highlight w:val="none"/>
              </w:rPr>
              <w:t>1</w:t>
            </w:r>
          </w:p>
        </w:tc>
        <w:tc>
          <w:tcPr>
            <w:tcW w:w="2268" w:type="dxa"/>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center"/>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使用状况</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Ginfo</w:t>
            </w:r>
          </w:p>
        </w:tc>
        <w:tc>
          <w:tcPr>
            <w:tcW w:w="1265"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见附表A.</w:t>
            </w:r>
            <w:r>
              <w:rPr>
                <w:rFonts w:ascii="仿宋" w:hAnsi="仿宋" w:eastAsia="仿宋" w:cs="仿宋"/>
                <w:color w:val="auto"/>
                <w:sz w:val="18"/>
                <w:szCs w:val="18"/>
                <w:highlight w:val="none"/>
              </w:rPr>
              <w:t>1</w:t>
            </w:r>
            <w:r>
              <w:rPr>
                <w:rFonts w:hint="eastAsia" w:ascii="仿宋" w:hAnsi="仿宋" w:eastAsia="仿宋" w:cs="仿宋"/>
                <w:color w:val="auto"/>
                <w:sz w:val="18"/>
                <w:szCs w:val="18"/>
                <w:highlight w:val="none"/>
              </w:rPr>
              <w:t>3</w:t>
            </w:r>
            <w:r>
              <w:rPr>
                <w:rFonts w:ascii="仿宋" w:hAnsi="仿宋" w:eastAsia="仿宋" w:cs="仿宋"/>
                <w:color w:val="auto"/>
                <w:sz w:val="18"/>
                <w:szCs w:val="18"/>
                <w:highlight w:val="none"/>
              </w:rPr>
              <w:t>.7</w:t>
            </w:r>
          </w:p>
        </w:tc>
        <w:tc>
          <w:tcPr>
            <w:tcW w:w="2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center"/>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所属道路</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Road</w:t>
            </w:r>
          </w:p>
        </w:tc>
        <w:tc>
          <w:tcPr>
            <w:tcW w:w="1265"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50</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根据实地道路进行填写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center"/>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权属单位</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Belong</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255</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填写全称，多个权属单位时以“；”分隔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center"/>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建设日期</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MDate</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center"/>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探测单位</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TC_Code</w:t>
            </w:r>
          </w:p>
        </w:tc>
        <w:tc>
          <w:tcPr>
            <w:tcW w:w="1265"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100</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埴写作业单位全称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jc w:val="center"/>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探测日期</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SDate</w:t>
            </w:r>
          </w:p>
        </w:tc>
        <w:tc>
          <w:tcPr>
            <w:tcW w:w="1265"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管段长度</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Length</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w:t>
            </w: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入库日期</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InputDate</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数据来源</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Source</w:t>
            </w:r>
          </w:p>
        </w:tc>
        <w:tc>
          <w:tcPr>
            <w:tcW w:w="1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见附表A.</w:t>
            </w:r>
            <w:r>
              <w:rPr>
                <w:rFonts w:ascii="仿宋" w:hAnsi="仿宋" w:eastAsia="仿宋" w:cs="仿宋"/>
                <w:color w:val="auto"/>
                <w:sz w:val="18"/>
                <w:szCs w:val="18"/>
                <w:highlight w:val="none"/>
              </w:rPr>
              <w:t>1</w:t>
            </w:r>
            <w:r>
              <w:rPr>
                <w:rFonts w:hint="eastAsia" w:ascii="仿宋" w:hAnsi="仿宋" w:eastAsia="仿宋" w:cs="仿宋"/>
                <w:color w:val="auto"/>
                <w:sz w:val="18"/>
                <w:szCs w:val="18"/>
                <w:highlight w:val="none"/>
              </w:rPr>
              <w:t>3</w:t>
            </w:r>
            <w:r>
              <w:rPr>
                <w:rFonts w:ascii="仿宋" w:hAnsi="仿宋" w:eastAsia="仿宋" w:cs="仿宋"/>
                <w:color w:val="auto"/>
                <w:sz w:val="18"/>
                <w:szCs w:val="18"/>
                <w:highlight w:val="none"/>
              </w:rPr>
              <w:t>.6</w:t>
            </w:r>
          </w:p>
        </w:tc>
        <w:tc>
          <w:tcPr>
            <w:tcW w:w="2268"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484"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noWrap/>
            <w:vAlign w:val="center"/>
          </w:tcPr>
          <w:p>
            <w:pPr>
              <w:pStyle w:val="156"/>
              <w:numPr>
                <w:ilvl w:val="0"/>
                <w:numId w:val="45"/>
              </w:numPr>
              <w:ind w:firstLineChars="0"/>
              <w:rPr>
                <w:rFonts w:ascii="仿宋" w:hAnsi="仿宋" w:eastAsia="仿宋" w:cs="仿宋"/>
                <w:color w:val="auto"/>
                <w:highlight w:val="none"/>
              </w:rPr>
            </w:pPr>
          </w:p>
        </w:tc>
        <w:tc>
          <w:tcPr>
            <w:tcW w:w="13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备注</w:t>
            </w:r>
          </w:p>
        </w:tc>
        <w:tc>
          <w:tcPr>
            <w:tcW w:w="139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Remark</w:t>
            </w:r>
          </w:p>
        </w:tc>
        <w:tc>
          <w:tcPr>
            <w:tcW w:w="1265"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05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100</w:t>
            </w:r>
          </w:p>
        </w:tc>
        <w:tc>
          <w:tcPr>
            <w:tcW w:w="939" w:type="dxa"/>
            <w:noWrap/>
            <w:vAlign w:val="center"/>
          </w:tcPr>
          <w:p>
            <w:pPr>
              <w:jc w:val="center"/>
              <w:rPr>
                <w:rFonts w:ascii="仿宋" w:hAnsi="仿宋" w:eastAsia="仿宋" w:cs="仿宋"/>
                <w:color w:val="auto"/>
                <w:sz w:val="18"/>
                <w:szCs w:val="18"/>
                <w:highlight w:val="none"/>
              </w:rPr>
            </w:pPr>
          </w:p>
        </w:tc>
        <w:tc>
          <w:tcPr>
            <w:tcW w:w="1329"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w:t>
            </w:r>
          </w:p>
        </w:tc>
        <w:tc>
          <w:tcPr>
            <w:tcW w:w="3484" w:type="dxa"/>
            <w:noWrap/>
            <w:vAlign w:val="center"/>
          </w:tcPr>
          <w:p>
            <w:pPr>
              <w:jc w:val="center"/>
              <w:rPr>
                <w:rFonts w:ascii="仿宋" w:hAnsi="仿宋" w:eastAsia="仿宋" w:cs="仿宋"/>
                <w:color w:val="auto"/>
                <w:sz w:val="18"/>
                <w:szCs w:val="18"/>
                <w:highlight w:val="none"/>
              </w:rPr>
            </w:pPr>
          </w:p>
        </w:tc>
      </w:tr>
    </w:tbl>
    <w:p>
      <w:pPr>
        <w:pStyle w:val="6"/>
        <w:jc w:val="center"/>
        <w:rPr>
          <w:rFonts w:ascii="仿宋" w:hAnsi="仿宋" w:eastAsia="仿宋" w:cs="仿宋"/>
          <w:color w:val="auto"/>
          <w:sz w:val="24"/>
          <w:highlight w:val="none"/>
        </w:rPr>
      </w:pPr>
      <w:bookmarkStart w:id="478" w:name="_Toc241"/>
      <w:bookmarkStart w:id="479" w:name="_Toc12975"/>
      <w:bookmarkStart w:id="480" w:name="_Toc14110"/>
      <w:bookmarkStart w:id="481" w:name="_Toc29720"/>
      <w:bookmarkStart w:id="482" w:name="_Toc8737"/>
      <w:bookmarkStart w:id="483" w:name="_Toc25400"/>
      <w:bookmarkStart w:id="484" w:name="_Toc18991"/>
      <w:bookmarkStart w:id="485" w:name="_Toc22018"/>
      <w:r>
        <w:rPr>
          <w:rFonts w:hint="eastAsia" w:ascii="仿宋" w:hAnsi="仿宋" w:eastAsia="仿宋" w:cs="仿宋"/>
          <w:color w:val="auto"/>
          <w:sz w:val="24"/>
          <w:highlight w:val="none"/>
        </w:rPr>
        <w:t>附表A.3 管线面属性结构表</w:t>
      </w:r>
      <w:bookmarkEnd w:id="478"/>
      <w:bookmarkEnd w:id="479"/>
      <w:bookmarkEnd w:id="480"/>
      <w:bookmarkEnd w:id="481"/>
      <w:bookmarkEnd w:id="482"/>
      <w:bookmarkEnd w:id="483"/>
      <w:bookmarkEnd w:id="484"/>
      <w:bookmarkEnd w:id="485"/>
    </w:p>
    <w:tbl>
      <w:tblPr>
        <w:tblStyle w:val="43"/>
        <w:tblW w:w="13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2"/>
        <w:gridCol w:w="1361"/>
        <w:gridCol w:w="1053"/>
        <w:gridCol w:w="1276"/>
        <w:gridCol w:w="992"/>
        <w:gridCol w:w="1270"/>
        <w:gridCol w:w="2280"/>
        <w:gridCol w:w="3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0"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序号</w:t>
            </w:r>
          </w:p>
        </w:tc>
        <w:tc>
          <w:tcPr>
            <w:tcW w:w="1412"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中文名称</w:t>
            </w:r>
          </w:p>
        </w:tc>
        <w:tc>
          <w:tcPr>
            <w:tcW w:w="1361"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英文名称</w:t>
            </w:r>
          </w:p>
        </w:tc>
        <w:tc>
          <w:tcPr>
            <w:tcW w:w="1053"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字段类型</w:t>
            </w:r>
          </w:p>
        </w:tc>
        <w:tc>
          <w:tcPr>
            <w:tcW w:w="1276"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字段长度</w:t>
            </w:r>
          </w:p>
        </w:tc>
        <w:tc>
          <w:tcPr>
            <w:tcW w:w="992"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小数位数</w:t>
            </w:r>
          </w:p>
        </w:tc>
        <w:tc>
          <w:tcPr>
            <w:tcW w:w="1270"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值域</w:t>
            </w:r>
          </w:p>
        </w:tc>
        <w:tc>
          <w:tcPr>
            <w:tcW w:w="2280"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是否必填（</w:t>
            </w:r>
            <w:r>
              <w:rPr>
                <w:rFonts w:hint="eastAsia" w:ascii="仿宋" w:hAnsi="仿宋" w:eastAsia="仿宋" w:cs="仿宋"/>
                <w:color w:val="auto"/>
                <w:kern w:val="0"/>
                <w:szCs w:val="21"/>
                <w:highlight w:val="none"/>
              </w:rPr>
              <w:t>▲</w:t>
            </w:r>
            <w:r>
              <w:rPr>
                <w:rFonts w:hint="eastAsia" w:ascii="仿宋" w:hAnsi="仿宋" w:eastAsia="仿宋" w:cs="仿宋"/>
                <w:color w:val="auto"/>
                <w:kern w:val="0"/>
                <w:sz w:val="18"/>
                <w:szCs w:val="18"/>
                <w:highlight w:val="none"/>
              </w:rPr>
              <w:t>为必填，△为条件必填，○为选填）</w:t>
            </w:r>
          </w:p>
        </w:tc>
        <w:tc>
          <w:tcPr>
            <w:tcW w:w="3358"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numPr>
                <w:ilvl w:val="0"/>
                <w:numId w:val="46"/>
              </w:numPr>
              <w:autoSpaceDE w:val="0"/>
              <w:autoSpaceDN w:val="0"/>
              <w:adjustRightInd w:val="0"/>
              <w:jc w:val="center"/>
              <w:rPr>
                <w:rFonts w:ascii="仿宋" w:hAnsi="仿宋" w:eastAsia="仿宋" w:cs="仿宋"/>
                <w:color w:val="auto"/>
                <w:sz w:val="18"/>
                <w:szCs w:val="18"/>
                <w:highlight w:val="none"/>
              </w:rPr>
            </w:pPr>
          </w:p>
        </w:tc>
        <w:tc>
          <w:tcPr>
            <w:tcW w:w="141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项目编号</w:t>
            </w:r>
          </w:p>
        </w:tc>
        <w:tc>
          <w:tcPr>
            <w:tcW w:w="136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Work_No</w:t>
            </w:r>
          </w:p>
        </w:tc>
        <w:tc>
          <w:tcPr>
            <w:tcW w:w="1053"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27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100</w:t>
            </w:r>
          </w:p>
        </w:tc>
        <w:tc>
          <w:tcPr>
            <w:tcW w:w="992" w:type="dxa"/>
            <w:noWrap/>
            <w:vAlign w:val="center"/>
          </w:tcPr>
          <w:p>
            <w:pPr>
              <w:jc w:val="center"/>
              <w:rPr>
                <w:rFonts w:ascii="仿宋" w:hAnsi="仿宋" w:eastAsia="仿宋" w:cs="仿宋"/>
                <w:color w:val="auto"/>
                <w:sz w:val="18"/>
                <w:szCs w:val="18"/>
                <w:highlight w:val="none"/>
              </w:rPr>
            </w:pPr>
          </w:p>
        </w:tc>
        <w:tc>
          <w:tcPr>
            <w:tcW w:w="1270" w:type="dxa"/>
            <w:noWrap/>
            <w:vAlign w:val="center"/>
          </w:tcPr>
          <w:p>
            <w:pPr>
              <w:jc w:val="center"/>
              <w:rPr>
                <w:rFonts w:ascii="仿宋" w:hAnsi="仿宋" w:eastAsia="仿宋" w:cs="仿宋"/>
                <w:color w:val="auto"/>
                <w:sz w:val="18"/>
                <w:szCs w:val="18"/>
                <w:highlight w:val="none"/>
              </w:rPr>
            </w:pPr>
          </w:p>
        </w:tc>
        <w:tc>
          <w:tcPr>
            <w:tcW w:w="228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35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行政区代码</w:t>
            </w:r>
            <w:r>
              <w:rPr>
                <w:rFonts w:ascii="仿宋" w:hAnsi="仿宋" w:eastAsia="仿宋" w:cs="仿宋"/>
                <w:color w:val="auto"/>
                <w:sz w:val="18"/>
                <w:szCs w:val="18"/>
                <w:highlight w:val="none"/>
              </w:rPr>
              <w:t>+年份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numPr>
                <w:ilvl w:val="0"/>
                <w:numId w:val="46"/>
              </w:numPr>
              <w:autoSpaceDE w:val="0"/>
              <w:autoSpaceDN w:val="0"/>
              <w:adjustRightInd w:val="0"/>
              <w:jc w:val="center"/>
              <w:rPr>
                <w:rFonts w:ascii="仿宋" w:hAnsi="仿宋" w:eastAsia="仿宋" w:cs="仿宋"/>
                <w:color w:val="auto"/>
                <w:sz w:val="18"/>
                <w:szCs w:val="18"/>
                <w:highlight w:val="none"/>
              </w:rPr>
            </w:pPr>
          </w:p>
        </w:tc>
        <w:tc>
          <w:tcPr>
            <w:tcW w:w="141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工程编号</w:t>
            </w:r>
          </w:p>
        </w:tc>
        <w:tc>
          <w:tcPr>
            <w:tcW w:w="136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Prj_No</w:t>
            </w:r>
          </w:p>
        </w:tc>
        <w:tc>
          <w:tcPr>
            <w:tcW w:w="10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27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92" w:type="dxa"/>
            <w:noWrap/>
            <w:vAlign w:val="center"/>
          </w:tcPr>
          <w:p>
            <w:pPr>
              <w:jc w:val="center"/>
              <w:rPr>
                <w:rFonts w:ascii="仿宋" w:hAnsi="仿宋" w:eastAsia="仿宋" w:cs="仿宋"/>
                <w:color w:val="auto"/>
                <w:sz w:val="18"/>
                <w:szCs w:val="18"/>
                <w:highlight w:val="none"/>
              </w:rPr>
            </w:pPr>
          </w:p>
        </w:tc>
        <w:tc>
          <w:tcPr>
            <w:tcW w:w="1270" w:type="dxa"/>
            <w:noWrap/>
            <w:vAlign w:val="center"/>
          </w:tcPr>
          <w:p>
            <w:pPr>
              <w:jc w:val="center"/>
              <w:rPr>
                <w:rFonts w:ascii="仿宋" w:hAnsi="仿宋" w:eastAsia="仿宋" w:cs="仿宋"/>
                <w:color w:val="auto"/>
                <w:sz w:val="18"/>
                <w:szCs w:val="18"/>
                <w:highlight w:val="none"/>
              </w:rPr>
            </w:pPr>
          </w:p>
        </w:tc>
        <w:tc>
          <w:tcPr>
            <w:tcW w:w="2280"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35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标段号+测区号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numPr>
                <w:ilvl w:val="0"/>
                <w:numId w:val="46"/>
              </w:numPr>
              <w:autoSpaceDE w:val="0"/>
              <w:autoSpaceDN w:val="0"/>
              <w:adjustRightInd w:val="0"/>
              <w:jc w:val="center"/>
              <w:rPr>
                <w:rFonts w:ascii="仿宋" w:hAnsi="仿宋" w:eastAsia="仿宋" w:cs="仿宋"/>
                <w:color w:val="auto"/>
                <w:sz w:val="18"/>
                <w:szCs w:val="18"/>
                <w:highlight w:val="none"/>
              </w:rPr>
            </w:pPr>
          </w:p>
        </w:tc>
        <w:tc>
          <w:tcPr>
            <w:tcW w:w="141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管线面编号</w:t>
            </w:r>
          </w:p>
        </w:tc>
        <w:tc>
          <w:tcPr>
            <w:tcW w:w="136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Name</w:t>
            </w:r>
          </w:p>
        </w:tc>
        <w:tc>
          <w:tcPr>
            <w:tcW w:w="1053"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27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28</w:t>
            </w:r>
          </w:p>
        </w:tc>
        <w:tc>
          <w:tcPr>
            <w:tcW w:w="992" w:type="dxa"/>
            <w:noWrap/>
            <w:vAlign w:val="center"/>
          </w:tcPr>
          <w:p>
            <w:pPr>
              <w:jc w:val="center"/>
              <w:rPr>
                <w:rFonts w:ascii="仿宋" w:hAnsi="仿宋" w:eastAsia="仿宋" w:cs="仿宋"/>
                <w:color w:val="auto"/>
                <w:sz w:val="18"/>
                <w:szCs w:val="18"/>
                <w:highlight w:val="none"/>
              </w:rPr>
            </w:pPr>
          </w:p>
        </w:tc>
        <w:tc>
          <w:tcPr>
            <w:tcW w:w="1270" w:type="dxa"/>
            <w:noWrap/>
            <w:vAlign w:val="center"/>
          </w:tcPr>
          <w:p>
            <w:pPr>
              <w:jc w:val="center"/>
              <w:rPr>
                <w:rFonts w:ascii="仿宋" w:hAnsi="仿宋" w:eastAsia="仿宋" w:cs="仿宋"/>
                <w:color w:val="auto"/>
                <w:sz w:val="18"/>
                <w:szCs w:val="18"/>
                <w:highlight w:val="none"/>
              </w:rPr>
            </w:pPr>
          </w:p>
        </w:tc>
        <w:tc>
          <w:tcPr>
            <w:tcW w:w="228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35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对应的附属设施管线点号+“U”+2位自然顺序码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numPr>
                <w:ilvl w:val="0"/>
                <w:numId w:val="46"/>
              </w:numPr>
              <w:autoSpaceDE w:val="0"/>
              <w:autoSpaceDN w:val="0"/>
              <w:adjustRightInd w:val="0"/>
              <w:jc w:val="center"/>
              <w:rPr>
                <w:rFonts w:ascii="仿宋" w:hAnsi="仿宋" w:eastAsia="仿宋" w:cs="仿宋"/>
                <w:color w:val="auto"/>
                <w:sz w:val="18"/>
                <w:szCs w:val="18"/>
                <w:highlight w:val="none"/>
              </w:rPr>
            </w:pPr>
          </w:p>
        </w:tc>
        <w:tc>
          <w:tcPr>
            <w:tcW w:w="141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设施名称</w:t>
            </w:r>
          </w:p>
        </w:tc>
        <w:tc>
          <w:tcPr>
            <w:tcW w:w="136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FacilityName</w:t>
            </w:r>
          </w:p>
        </w:tc>
        <w:tc>
          <w:tcPr>
            <w:tcW w:w="1053"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27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100</w:t>
            </w:r>
          </w:p>
        </w:tc>
        <w:tc>
          <w:tcPr>
            <w:tcW w:w="992" w:type="dxa"/>
            <w:noWrap/>
            <w:vAlign w:val="center"/>
          </w:tcPr>
          <w:p>
            <w:pPr>
              <w:jc w:val="center"/>
              <w:rPr>
                <w:rFonts w:ascii="仿宋" w:hAnsi="仿宋" w:eastAsia="仿宋" w:cs="仿宋"/>
                <w:color w:val="auto"/>
                <w:sz w:val="18"/>
                <w:szCs w:val="18"/>
                <w:highlight w:val="none"/>
              </w:rPr>
            </w:pPr>
          </w:p>
        </w:tc>
        <w:tc>
          <w:tcPr>
            <w:tcW w:w="1270" w:type="dxa"/>
            <w:noWrap/>
            <w:vAlign w:val="center"/>
          </w:tcPr>
          <w:p>
            <w:pPr>
              <w:jc w:val="center"/>
              <w:rPr>
                <w:rFonts w:ascii="仿宋" w:hAnsi="仿宋" w:eastAsia="仿宋" w:cs="仿宋"/>
                <w:color w:val="auto"/>
                <w:sz w:val="18"/>
                <w:szCs w:val="18"/>
                <w:highlight w:val="none"/>
              </w:rPr>
            </w:pPr>
          </w:p>
        </w:tc>
        <w:tc>
          <w:tcPr>
            <w:tcW w:w="228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35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numPr>
                <w:ilvl w:val="0"/>
                <w:numId w:val="46"/>
              </w:numPr>
              <w:autoSpaceDE w:val="0"/>
              <w:autoSpaceDN w:val="0"/>
              <w:adjustRightInd w:val="0"/>
              <w:jc w:val="center"/>
              <w:rPr>
                <w:rFonts w:ascii="仿宋" w:hAnsi="仿宋" w:eastAsia="仿宋" w:cs="仿宋"/>
                <w:color w:val="auto"/>
                <w:sz w:val="18"/>
                <w:szCs w:val="18"/>
                <w:highlight w:val="none"/>
              </w:rPr>
            </w:pPr>
          </w:p>
        </w:tc>
        <w:tc>
          <w:tcPr>
            <w:tcW w:w="141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要素代码</w:t>
            </w:r>
          </w:p>
        </w:tc>
        <w:tc>
          <w:tcPr>
            <w:tcW w:w="136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Code</w:t>
            </w:r>
          </w:p>
        </w:tc>
        <w:tc>
          <w:tcPr>
            <w:tcW w:w="1053"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27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7</w:t>
            </w:r>
          </w:p>
        </w:tc>
        <w:tc>
          <w:tcPr>
            <w:tcW w:w="992" w:type="dxa"/>
            <w:noWrap/>
            <w:vAlign w:val="center"/>
          </w:tcPr>
          <w:p>
            <w:pPr>
              <w:jc w:val="center"/>
              <w:rPr>
                <w:rFonts w:ascii="仿宋" w:hAnsi="仿宋" w:eastAsia="仿宋" w:cs="仿宋"/>
                <w:color w:val="auto"/>
                <w:sz w:val="18"/>
                <w:szCs w:val="18"/>
                <w:highlight w:val="none"/>
              </w:rPr>
            </w:pPr>
          </w:p>
        </w:tc>
        <w:tc>
          <w:tcPr>
            <w:tcW w:w="127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见附表A.</w:t>
            </w:r>
            <w:r>
              <w:rPr>
                <w:rFonts w:ascii="仿宋" w:hAnsi="仿宋" w:eastAsia="仿宋" w:cs="仿宋"/>
                <w:color w:val="auto"/>
                <w:sz w:val="18"/>
                <w:szCs w:val="18"/>
                <w:highlight w:val="none"/>
              </w:rPr>
              <w:t>1</w:t>
            </w:r>
            <w:r>
              <w:rPr>
                <w:rFonts w:hint="eastAsia" w:ascii="仿宋" w:hAnsi="仿宋" w:eastAsia="仿宋" w:cs="仿宋"/>
                <w:color w:val="auto"/>
                <w:sz w:val="18"/>
                <w:szCs w:val="18"/>
                <w:highlight w:val="none"/>
              </w:rPr>
              <w:t>2</w:t>
            </w:r>
          </w:p>
        </w:tc>
        <w:tc>
          <w:tcPr>
            <w:tcW w:w="228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35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numPr>
                <w:ilvl w:val="0"/>
                <w:numId w:val="46"/>
              </w:numPr>
              <w:autoSpaceDE w:val="0"/>
              <w:autoSpaceDN w:val="0"/>
              <w:adjustRightInd w:val="0"/>
              <w:jc w:val="center"/>
              <w:rPr>
                <w:rFonts w:ascii="仿宋" w:hAnsi="仿宋" w:eastAsia="仿宋" w:cs="仿宋"/>
                <w:color w:val="auto"/>
                <w:sz w:val="18"/>
                <w:szCs w:val="18"/>
                <w:highlight w:val="none"/>
              </w:rPr>
            </w:pPr>
          </w:p>
        </w:tc>
        <w:tc>
          <w:tcPr>
            <w:tcW w:w="141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底面高程</w:t>
            </w:r>
          </w:p>
        </w:tc>
        <w:tc>
          <w:tcPr>
            <w:tcW w:w="136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SubfaceHigh</w:t>
            </w:r>
          </w:p>
        </w:tc>
        <w:tc>
          <w:tcPr>
            <w:tcW w:w="1053"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双精度</w:t>
            </w:r>
          </w:p>
        </w:tc>
        <w:tc>
          <w:tcPr>
            <w:tcW w:w="1276" w:type="dxa"/>
            <w:noWrap/>
            <w:vAlign w:val="center"/>
          </w:tcPr>
          <w:p>
            <w:pPr>
              <w:jc w:val="center"/>
              <w:rPr>
                <w:rFonts w:ascii="仿宋" w:hAnsi="仿宋" w:eastAsia="仿宋" w:cs="仿宋"/>
                <w:color w:val="auto"/>
                <w:sz w:val="18"/>
                <w:szCs w:val="18"/>
                <w:highlight w:val="none"/>
              </w:rPr>
            </w:pP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w:t>
            </w:r>
          </w:p>
        </w:tc>
        <w:tc>
          <w:tcPr>
            <w:tcW w:w="1270" w:type="dxa"/>
            <w:noWrap/>
            <w:vAlign w:val="center"/>
          </w:tcPr>
          <w:p>
            <w:pPr>
              <w:jc w:val="center"/>
              <w:rPr>
                <w:rFonts w:ascii="仿宋" w:hAnsi="仿宋" w:eastAsia="仿宋" w:cs="仿宋"/>
                <w:color w:val="auto"/>
                <w:sz w:val="18"/>
                <w:szCs w:val="18"/>
                <w:highlight w:val="none"/>
              </w:rPr>
            </w:pPr>
          </w:p>
        </w:tc>
        <w:tc>
          <w:tcPr>
            <w:tcW w:w="228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35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numPr>
                <w:ilvl w:val="0"/>
                <w:numId w:val="46"/>
              </w:numPr>
              <w:autoSpaceDE w:val="0"/>
              <w:autoSpaceDN w:val="0"/>
              <w:adjustRightInd w:val="0"/>
              <w:jc w:val="center"/>
              <w:rPr>
                <w:rFonts w:ascii="仿宋" w:hAnsi="仿宋" w:eastAsia="仿宋" w:cs="仿宋"/>
                <w:color w:val="auto"/>
                <w:sz w:val="18"/>
                <w:szCs w:val="18"/>
                <w:highlight w:val="none"/>
              </w:rPr>
            </w:pPr>
          </w:p>
        </w:tc>
        <w:tc>
          <w:tcPr>
            <w:tcW w:w="141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顶面高程</w:t>
            </w:r>
          </w:p>
        </w:tc>
        <w:tc>
          <w:tcPr>
            <w:tcW w:w="136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SurfaceHigh</w:t>
            </w:r>
          </w:p>
        </w:tc>
        <w:tc>
          <w:tcPr>
            <w:tcW w:w="1053"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双精度</w:t>
            </w:r>
          </w:p>
        </w:tc>
        <w:tc>
          <w:tcPr>
            <w:tcW w:w="1276" w:type="dxa"/>
            <w:noWrap/>
            <w:vAlign w:val="center"/>
          </w:tcPr>
          <w:p>
            <w:pPr>
              <w:jc w:val="center"/>
              <w:rPr>
                <w:rFonts w:ascii="仿宋" w:hAnsi="仿宋" w:eastAsia="仿宋" w:cs="仿宋"/>
                <w:color w:val="auto"/>
                <w:sz w:val="18"/>
                <w:szCs w:val="18"/>
                <w:highlight w:val="none"/>
              </w:rPr>
            </w:pP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w:t>
            </w:r>
          </w:p>
        </w:tc>
        <w:tc>
          <w:tcPr>
            <w:tcW w:w="1270" w:type="dxa"/>
            <w:noWrap/>
            <w:vAlign w:val="center"/>
          </w:tcPr>
          <w:p>
            <w:pPr>
              <w:jc w:val="center"/>
              <w:rPr>
                <w:rFonts w:ascii="仿宋" w:hAnsi="仿宋" w:eastAsia="仿宋" w:cs="仿宋"/>
                <w:color w:val="auto"/>
                <w:sz w:val="18"/>
                <w:szCs w:val="18"/>
                <w:highlight w:val="none"/>
              </w:rPr>
            </w:pPr>
          </w:p>
        </w:tc>
        <w:tc>
          <w:tcPr>
            <w:tcW w:w="228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35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numPr>
                <w:ilvl w:val="0"/>
                <w:numId w:val="46"/>
              </w:numPr>
              <w:autoSpaceDE w:val="0"/>
              <w:autoSpaceDN w:val="0"/>
              <w:adjustRightInd w:val="0"/>
              <w:jc w:val="center"/>
              <w:rPr>
                <w:rFonts w:ascii="仿宋" w:hAnsi="仿宋" w:eastAsia="仿宋" w:cs="仿宋"/>
                <w:color w:val="auto"/>
                <w:sz w:val="18"/>
                <w:szCs w:val="18"/>
                <w:highlight w:val="none"/>
              </w:rPr>
            </w:pPr>
          </w:p>
        </w:tc>
        <w:tc>
          <w:tcPr>
            <w:tcW w:w="141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起点编号</w:t>
            </w:r>
          </w:p>
        </w:tc>
        <w:tc>
          <w:tcPr>
            <w:tcW w:w="136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S_Exp</w:t>
            </w:r>
          </w:p>
        </w:tc>
        <w:tc>
          <w:tcPr>
            <w:tcW w:w="10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276" w:type="dxa"/>
            <w:noWrap/>
            <w:vAlign w:val="center"/>
          </w:tcPr>
          <w:p>
            <w:pPr>
              <w:jc w:val="center"/>
              <w:rPr>
                <w:rFonts w:ascii="仿宋" w:hAnsi="仿宋" w:eastAsia="仿宋" w:cs="仿宋"/>
                <w:color w:val="auto"/>
                <w:sz w:val="18"/>
                <w:szCs w:val="18"/>
                <w:highlight w:val="none"/>
              </w:rPr>
            </w:pPr>
          </w:p>
        </w:tc>
        <w:tc>
          <w:tcPr>
            <w:tcW w:w="992" w:type="dxa"/>
            <w:noWrap/>
            <w:vAlign w:val="center"/>
          </w:tcPr>
          <w:p>
            <w:pPr>
              <w:jc w:val="center"/>
              <w:rPr>
                <w:rFonts w:ascii="仿宋" w:hAnsi="仿宋" w:eastAsia="仿宋" w:cs="仿宋"/>
                <w:color w:val="auto"/>
                <w:sz w:val="18"/>
                <w:szCs w:val="18"/>
                <w:highlight w:val="none"/>
              </w:rPr>
            </w:pPr>
          </w:p>
        </w:tc>
        <w:tc>
          <w:tcPr>
            <w:tcW w:w="1270" w:type="dxa"/>
            <w:noWrap/>
            <w:vAlign w:val="center"/>
          </w:tcPr>
          <w:p>
            <w:pPr>
              <w:jc w:val="center"/>
              <w:rPr>
                <w:rFonts w:ascii="仿宋" w:hAnsi="仿宋" w:eastAsia="仿宋" w:cs="仿宋"/>
                <w:color w:val="auto"/>
                <w:sz w:val="18"/>
                <w:szCs w:val="18"/>
                <w:highlight w:val="none"/>
              </w:rPr>
            </w:pPr>
          </w:p>
        </w:tc>
        <w:tc>
          <w:tcPr>
            <w:tcW w:w="2280"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35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由从1开始的自然顺序数组成，在同一个地下井室中保持唯一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numPr>
                <w:ilvl w:val="0"/>
                <w:numId w:val="46"/>
              </w:numPr>
              <w:autoSpaceDE w:val="0"/>
              <w:autoSpaceDN w:val="0"/>
              <w:adjustRightInd w:val="0"/>
              <w:jc w:val="center"/>
              <w:rPr>
                <w:rFonts w:ascii="仿宋" w:hAnsi="仿宋" w:eastAsia="仿宋" w:cs="仿宋"/>
                <w:color w:val="auto"/>
                <w:sz w:val="18"/>
                <w:szCs w:val="18"/>
                <w:highlight w:val="none"/>
              </w:rPr>
            </w:pPr>
          </w:p>
        </w:tc>
        <w:tc>
          <w:tcPr>
            <w:tcW w:w="141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起点X坐标</w:t>
            </w:r>
          </w:p>
        </w:tc>
        <w:tc>
          <w:tcPr>
            <w:tcW w:w="136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S_X</w:t>
            </w:r>
          </w:p>
        </w:tc>
        <w:tc>
          <w:tcPr>
            <w:tcW w:w="10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1276" w:type="dxa"/>
            <w:noWrap/>
            <w:vAlign w:val="center"/>
          </w:tcPr>
          <w:p>
            <w:pPr>
              <w:jc w:val="center"/>
              <w:rPr>
                <w:rFonts w:ascii="仿宋" w:hAnsi="仿宋" w:eastAsia="仿宋" w:cs="仿宋"/>
                <w:color w:val="auto"/>
                <w:sz w:val="18"/>
                <w:szCs w:val="18"/>
                <w:highlight w:val="none"/>
              </w:rPr>
            </w:pP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270" w:type="dxa"/>
            <w:noWrap/>
            <w:vAlign w:val="center"/>
          </w:tcPr>
          <w:p>
            <w:pPr>
              <w:jc w:val="center"/>
              <w:rPr>
                <w:rFonts w:ascii="仿宋" w:hAnsi="仿宋" w:eastAsia="仿宋" w:cs="仿宋"/>
                <w:color w:val="auto"/>
                <w:sz w:val="18"/>
                <w:szCs w:val="18"/>
                <w:highlight w:val="none"/>
              </w:rPr>
            </w:pPr>
          </w:p>
        </w:tc>
        <w:tc>
          <w:tcPr>
            <w:tcW w:w="2280"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35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numPr>
                <w:ilvl w:val="0"/>
                <w:numId w:val="46"/>
              </w:numPr>
              <w:autoSpaceDE w:val="0"/>
              <w:autoSpaceDN w:val="0"/>
              <w:adjustRightInd w:val="0"/>
              <w:jc w:val="center"/>
              <w:rPr>
                <w:rFonts w:ascii="仿宋" w:hAnsi="仿宋" w:eastAsia="仿宋" w:cs="仿宋"/>
                <w:color w:val="auto"/>
                <w:sz w:val="18"/>
                <w:szCs w:val="18"/>
                <w:highlight w:val="none"/>
              </w:rPr>
            </w:pPr>
          </w:p>
        </w:tc>
        <w:tc>
          <w:tcPr>
            <w:tcW w:w="141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起点Y坐标</w:t>
            </w:r>
          </w:p>
        </w:tc>
        <w:tc>
          <w:tcPr>
            <w:tcW w:w="136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S_Y</w:t>
            </w:r>
          </w:p>
        </w:tc>
        <w:tc>
          <w:tcPr>
            <w:tcW w:w="10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1276" w:type="dxa"/>
            <w:noWrap/>
            <w:vAlign w:val="center"/>
          </w:tcPr>
          <w:p>
            <w:pPr>
              <w:jc w:val="center"/>
              <w:rPr>
                <w:rFonts w:ascii="仿宋" w:hAnsi="仿宋" w:eastAsia="仿宋" w:cs="仿宋"/>
                <w:color w:val="auto"/>
                <w:sz w:val="18"/>
                <w:szCs w:val="18"/>
                <w:highlight w:val="none"/>
              </w:rPr>
            </w:pP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270" w:type="dxa"/>
            <w:noWrap/>
            <w:vAlign w:val="center"/>
          </w:tcPr>
          <w:p>
            <w:pPr>
              <w:jc w:val="center"/>
              <w:rPr>
                <w:rFonts w:ascii="仿宋" w:hAnsi="仿宋" w:eastAsia="仿宋" w:cs="仿宋"/>
                <w:color w:val="auto"/>
                <w:sz w:val="18"/>
                <w:szCs w:val="18"/>
                <w:highlight w:val="none"/>
              </w:rPr>
            </w:pPr>
          </w:p>
        </w:tc>
        <w:tc>
          <w:tcPr>
            <w:tcW w:w="2280"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35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numPr>
                <w:ilvl w:val="0"/>
                <w:numId w:val="46"/>
              </w:numPr>
              <w:autoSpaceDE w:val="0"/>
              <w:autoSpaceDN w:val="0"/>
              <w:adjustRightInd w:val="0"/>
              <w:jc w:val="center"/>
              <w:rPr>
                <w:rFonts w:ascii="仿宋" w:hAnsi="仿宋" w:eastAsia="仿宋" w:cs="仿宋"/>
                <w:color w:val="auto"/>
                <w:sz w:val="18"/>
                <w:szCs w:val="18"/>
                <w:highlight w:val="none"/>
              </w:rPr>
            </w:pPr>
          </w:p>
        </w:tc>
        <w:tc>
          <w:tcPr>
            <w:tcW w:w="141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连接点编号</w:t>
            </w:r>
          </w:p>
        </w:tc>
        <w:tc>
          <w:tcPr>
            <w:tcW w:w="1361"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 xml:space="preserve">E_Exp </w:t>
            </w:r>
          </w:p>
        </w:tc>
        <w:tc>
          <w:tcPr>
            <w:tcW w:w="10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276" w:type="dxa"/>
            <w:noWrap/>
            <w:vAlign w:val="center"/>
          </w:tcPr>
          <w:p>
            <w:pPr>
              <w:jc w:val="center"/>
              <w:rPr>
                <w:rFonts w:ascii="仿宋" w:hAnsi="仿宋" w:eastAsia="仿宋" w:cs="仿宋"/>
                <w:color w:val="auto"/>
                <w:sz w:val="18"/>
                <w:szCs w:val="18"/>
                <w:highlight w:val="none"/>
              </w:rPr>
            </w:pPr>
          </w:p>
        </w:tc>
        <w:tc>
          <w:tcPr>
            <w:tcW w:w="992" w:type="dxa"/>
            <w:noWrap/>
            <w:vAlign w:val="center"/>
          </w:tcPr>
          <w:p>
            <w:pPr>
              <w:jc w:val="center"/>
              <w:rPr>
                <w:rFonts w:ascii="仿宋" w:hAnsi="仿宋" w:eastAsia="仿宋" w:cs="仿宋"/>
                <w:color w:val="auto"/>
                <w:sz w:val="18"/>
                <w:szCs w:val="18"/>
                <w:highlight w:val="none"/>
              </w:rPr>
            </w:pPr>
          </w:p>
        </w:tc>
        <w:tc>
          <w:tcPr>
            <w:tcW w:w="1270" w:type="dxa"/>
            <w:noWrap/>
            <w:vAlign w:val="center"/>
          </w:tcPr>
          <w:p>
            <w:pPr>
              <w:jc w:val="center"/>
              <w:rPr>
                <w:rFonts w:ascii="仿宋" w:hAnsi="仿宋" w:eastAsia="仿宋" w:cs="仿宋"/>
                <w:color w:val="auto"/>
                <w:sz w:val="18"/>
                <w:szCs w:val="18"/>
                <w:highlight w:val="none"/>
              </w:rPr>
            </w:pPr>
          </w:p>
        </w:tc>
        <w:tc>
          <w:tcPr>
            <w:tcW w:w="2280" w:type="dxa"/>
            <w:noWrap/>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35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numPr>
                <w:ilvl w:val="0"/>
                <w:numId w:val="46"/>
              </w:numPr>
              <w:autoSpaceDE w:val="0"/>
              <w:autoSpaceDN w:val="0"/>
              <w:adjustRightInd w:val="0"/>
              <w:jc w:val="center"/>
              <w:rPr>
                <w:rFonts w:ascii="仿宋" w:hAnsi="仿宋" w:eastAsia="仿宋" w:cs="仿宋"/>
                <w:color w:val="auto"/>
                <w:sz w:val="18"/>
                <w:szCs w:val="18"/>
                <w:highlight w:val="none"/>
              </w:rPr>
            </w:pPr>
          </w:p>
        </w:tc>
        <w:tc>
          <w:tcPr>
            <w:tcW w:w="1412" w:type="dxa"/>
            <w:noWrap/>
            <w:vAlign w:val="center"/>
          </w:tcPr>
          <w:p>
            <w:pPr>
              <w:widowControl/>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连接点X坐标</w:t>
            </w:r>
          </w:p>
        </w:tc>
        <w:tc>
          <w:tcPr>
            <w:tcW w:w="1361"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E_X</w:t>
            </w:r>
          </w:p>
        </w:tc>
        <w:tc>
          <w:tcPr>
            <w:tcW w:w="10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1276" w:type="dxa"/>
            <w:noWrap/>
            <w:vAlign w:val="center"/>
          </w:tcPr>
          <w:p>
            <w:pPr>
              <w:jc w:val="center"/>
              <w:rPr>
                <w:rFonts w:ascii="仿宋" w:hAnsi="仿宋" w:eastAsia="仿宋" w:cs="仿宋"/>
                <w:color w:val="auto"/>
                <w:sz w:val="18"/>
                <w:szCs w:val="18"/>
                <w:highlight w:val="none"/>
              </w:rPr>
            </w:pP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270" w:type="dxa"/>
            <w:noWrap/>
            <w:vAlign w:val="center"/>
          </w:tcPr>
          <w:p>
            <w:pPr>
              <w:jc w:val="center"/>
              <w:rPr>
                <w:rFonts w:ascii="仿宋" w:hAnsi="仿宋" w:eastAsia="仿宋" w:cs="仿宋"/>
                <w:color w:val="auto"/>
                <w:sz w:val="18"/>
                <w:szCs w:val="18"/>
                <w:highlight w:val="none"/>
              </w:rPr>
            </w:pPr>
          </w:p>
        </w:tc>
        <w:tc>
          <w:tcPr>
            <w:tcW w:w="2280" w:type="dxa"/>
            <w:noWrap/>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35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numPr>
                <w:ilvl w:val="0"/>
                <w:numId w:val="46"/>
              </w:numPr>
              <w:autoSpaceDE w:val="0"/>
              <w:autoSpaceDN w:val="0"/>
              <w:adjustRightInd w:val="0"/>
              <w:jc w:val="center"/>
              <w:rPr>
                <w:rFonts w:ascii="仿宋" w:hAnsi="仿宋" w:eastAsia="仿宋" w:cs="仿宋"/>
                <w:color w:val="auto"/>
                <w:sz w:val="18"/>
                <w:szCs w:val="18"/>
                <w:highlight w:val="none"/>
              </w:rPr>
            </w:pPr>
          </w:p>
        </w:tc>
        <w:tc>
          <w:tcPr>
            <w:tcW w:w="1412" w:type="dxa"/>
            <w:noWrap/>
            <w:vAlign w:val="center"/>
          </w:tcPr>
          <w:p>
            <w:pPr>
              <w:widowControl/>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连接点Y坐标</w:t>
            </w:r>
          </w:p>
        </w:tc>
        <w:tc>
          <w:tcPr>
            <w:tcW w:w="1361"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E_Y</w:t>
            </w:r>
          </w:p>
        </w:tc>
        <w:tc>
          <w:tcPr>
            <w:tcW w:w="105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1276" w:type="dxa"/>
            <w:noWrap/>
            <w:vAlign w:val="center"/>
          </w:tcPr>
          <w:p>
            <w:pPr>
              <w:jc w:val="center"/>
              <w:rPr>
                <w:rFonts w:ascii="仿宋" w:hAnsi="仿宋" w:eastAsia="仿宋" w:cs="仿宋"/>
                <w:color w:val="auto"/>
                <w:sz w:val="18"/>
                <w:szCs w:val="18"/>
                <w:highlight w:val="none"/>
              </w:rPr>
            </w:pP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270" w:type="dxa"/>
            <w:noWrap/>
            <w:vAlign w:val="center"/>
          </w:tcPr>
          <w:p>
            <w:pPr>
              <w:jc w:val="center"/>
              <w:rPr>
                <w:rFonts w:ascii="仿宋" w:hAnsi="仿宋" w:eastAsia="仿宋" w:cs="仿宋"/>
                <w:color w:val="auto"/>
                <w:sz w:val="18"/>
                <w:szCs w:val="18"/>
                <w:highlight w:val="none"/>
              </w:rPr>
            </w:pPr>
          </w:p>
        </w:tc>
        <w:tc>
          <w:tcPr>
            <w:tcW w:w="2280" w:type="dxa"/>
            <w:noWrap/>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35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numPr>
                <w:ilvl w:val="0"/>
                <w:numId w:val="46"/>
              </w:numPr>
              <w:autoSpaceDE w:val="0"/>
              <w:autoSpaceDN w:val="0"/>
              <w:adjustRightInd w:val="0"/>
              <w:jc w:val="center"/>
              <w:rPr>
                <w:rFonts w:ascii="仿宋" w:hAnsi="仿宋" w:eastAsia="仿宋" w:cs="仿宋"/>
                <w:color w:val="auto"/>
                <w:sz w:val="18"/>
                <w:szCs w:val="18"/>
                <w:highlight w:val="none"/>
              </w:rPr>
            </w:pPr>
          </w:p>
        </w:tc>
        <w:tc>
          <w:tcPr>
            <w:tcW w:w="141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权属单位</w:t>
            </w:r>
          </w:p>
        </w:tc>
        <w:tc>
          <w:tcPr>
            <w:tcW w:w="136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Belong</w:t>
            </w:r>
          </w:p>
        </w:tc>
        <w:tc>
          <w:tcPr>
            <w:tcW w:w="1053"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27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255</w:t>
            </w:r>
          </w:p>
        </w:tc>
        <w:tc>
          <w:tcPr>
            <w:tcW w:w="992" w:type="dxa"/>
            <w:noWrap/>
            <w:vAlign w:val="center"/>
          </w:tcPr>
          <w:p>
            <w:pPr>
              <w:jc w:val="center"/>
              <w:rPr>
                <w:rFonts w:ascii="仿宋" w:hAnsi="仿宋" w:eastAsia="仿宋" w:cs="仿宋"/>
                <w:color w:val="auto"/>
                <w:sz w:val="18"/>
                <w:szCs w:val="18"/>
                <w:highlight w:val="none"/>
              </w:rPr>
            </w:pPr>
          </w:p>
        </w:tc>
        <w:tc>
          <w:tcPr>
            <w:tcW w:w="1270" w:type="dxa"/>
            <w:noWrap/>
            <w:vAlign w:val="center"/>
          </w:tcPr>
          <w:p>
            <w:pPr>
              <w:jc w:val="center"/>
              <w:rPr>
                <w:rFonts w:ascii="仿宋" w:hAnsi="仿宋" w:eastAsia="仿宋" w:cs="仿宋"/>
                <w:color w:val="auto"/>
                <w:sz w:val="18"/>
                <w:szCs w:val="18"/>
                <w:highlight w:val="none"/>
              </w:rPr>
            </w:pPr>
          </w:p>
        </w:tc>
        <w:tc>
          <w:tcPr>
            <w:tcW w:w="2280"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35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有多个权属单位时，以“；”分隔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numPr>
                <w:ilvl w:val="0"/>
                <w:numId w:val="46"/>
              </w:numPr>
              <w:autoSpaceDE w:val="0"/>
              <w:autoSpaceDN w:val="0"/>
              <w:adjustRightInd w:val="0"/>
              <w:jc w:val="center"/>
              <w:rPr>
                <w:rFonts w:ascii="仿宋" w:hAnsi="仿宋" w:eastAsia="仿宋" w:cs="仿宋"/>
                <w:color w:val="auto"/>
                <w:sz w:val="18"/>
                <w:szCs w:val="18"/>
                <w:highlight w:val="none"/>
              </w:rPr>
            </w:pPr>
          </w:p>
        </w:tc>
        <w:tc>
          <w:tcPr>
            <w:tcW w:w="141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建设日期</w:t>
            </w:r>
          </w:p>
        </w:tc>
        <w:tc>
          <w:tcPr>
            <w:tcW w:w="136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MDate</w:t>
            </w:r>
          </w:p>
        </w:tc>
        <w:tc>
          <w:tcPr>
            <w:tcW w:w="1053"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27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92" w:type="dxa"/>
            <w:noWrap/>
            <w:vAlign w:val="center"/>
          </w:tcPr>
          <w:p>
            <w:pPr>
              <w:jc w:val="center"/>
              <w:rPr>
                <w:rFonts w:ascii="仿宋" w:hAnsi="仿宋" w:eastAsia="仿宋" w:cs="仿宋"/>
                <w:color w:val="auto"/>
                <w:sz w:val="18"/>
                <w:szCs w:val="18"/>
                <w:highlight w:val="none"/>
              </w:rPr>
            </w:pPr>
          </w:p>
        </w:tc>
        <w:tc>
          <w:tcPr>
            <w:tcW w:w="1270" w:type="dxa"/>
            <w:noWrap/>
            <w:vAlign w:val="center"/>
          </w:tcPr>
          <w:p>
            <w:pPr>
              <w:jc w:val="center"/>
              <w:rPr>
                <w:rFonts w:ascii="仿宋" w:hAnsi="仿宋" w:eastAsia="仿宋" w:cs="仿宋"/>
                <w:color w:val="auto"/>
                <w:sz w:val="18"/>
                <w:szCs w:val="18"/>
                <w:highlight w:val="none"/>
              </w:rPr>
            </w:pPr>
          </w:p>
        </w:tc>
        <w:tc>
          <w:tcPr>
            <w:tcW w:w="2280"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35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numPr>
                <w:ilvl w:val="0"/>
                <w:numId w:val="46"/>
              </w:numPr>
              <w:autoSpaceDE w:val="0"/>
              <w:autoSpaceDN w:val="0"/>
              <w:adjustRightInd w:val="0"/>
              <w:jc w:val="center"/>
              <w:rPr>
                <w:rFonts w:ascii="仿宋" w:hAnsi="仿宋" w:eastAsia="仿宋" w:cs="仿宋"/>
                <w:color w:val="auto"/>
                <w:sz w:val="18"/>
                <w:szCs w:val="18"/>
                <w:highlight w:val="none"/>
              </w:rPr>
            </w:pPr>
          </w:p>
        </w:tc>
        <w:tc>
          <w:tcPr>
            <w:tcW w:w="141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探测单位</w:t>
            </w:r>
          </w:p>
        </w:tc>
        <w:tc>
          <w:tcPr>
            <w:tcW w:w="136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TC_Unit</w:t>
            </w:r>
          </w:p>
        </w:tc>
        <w:tc>
          <w:tcPr>
            <w:tcW w:w="1053"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27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100</w:t>
            </w:r>
          </w:p>
        </w:tc>
        <w:tc>
          <w:tcPr>
            <w:tcW w:w="992" w:type="dxa"/>
            <w:noWrap/>
            <w:vAlign w:val="center"/>
          </w:tcPr>
          <w:p>
            <w:pPr>
              <w:jc w:val="center"/>
              <w:rPr>
                <w:rFonts w:ascii="仿宋" w:hAnsi="仿宋" w:eastAsia="仿宋" w:cs="仿宋"/>
                <w:color w:val="auto"/>
                <w:sz w:val="18"/>
                <w:szCs w:val="18"/>
                <w:highlight w:val="none"/>
              </w:rPr>
            </w:pPr>
          </w:p>
        </w:tc>
        <w:tc>
          <w:tcPr>
            <w:tcW w:w="1270" w:type="dxa"/>
            <w:noWrap/>
            <w:vAlign w:val="center"/>
          </w:tcPr>
          <w:p>
            <w:pPr>
              <w:jc w:val="center"/>
              <w:rPr>
                <w:rFonts w:ascii="仿宋" w:hAnsi="仿宋" w:eastAsia="仿宋" w:cs="仿宋"/>
                <w:color w:val="auto"/>
                <w:sz w:val="18"/>
                <w:szCs w:val="18"/>
                <w:highlight w:val="none"/>
              </w:rPr>
            </w:pPr>
          </w:p>
        </w:tc>
        <w:tc>
          <w:tcPr>
            <w:tcW w:w="2280"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35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埴写作业单位全称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numPr>
                <w:ilvl w:val="0"/>
                <w:numId w:val="46"/>
              </w:numPr>
              <w:autoSpaceDE w:val="0"/>
              <w:autoSpaceDN w:val="0"/>
              <w:adjustRightInd w:val="0"/>
              <w:jc w:val="center"/>
              <w:rPr>
                <w:rFonts w:ascii="仿宋" w:hAnsi="仿宋" w:eastAsia="仿宋" w:cs="仿宋"/>
                <w:color w:val="auto"/>
                <w:sz w:val="18"/>
                <w:szCs w:val="18"/>
                <w:highlight w:val="none"/>
              </w:rPr>
            </w:pPr>
          </w:p>
        </w:tc>
        <w:tc>
          <w:tcPr>
            <w:tcW w:w="141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探测日期</w:t>
            </w:r>
          </w:p>
        </w:tc>
        <w:tc>
          <w:tcPr>
            <w:tcW w:w="136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SDate</w:t>
            </w:r>
          </w:p>
        </w:tc>
        <w:tc>
          <w:tcPr>
            <w:tcW w:w="1053"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27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92" w:type="dxa"/>
            <w:noWrap/>
            <w:vAlign w:val="center"/>
          </w:tcPr>
          <w:p>
            <w:pPr>
              <w:jc w:val="center"/>
              <w:rPr>
                <w:rFonts w:ascii="仿宋" w:hAnsi="仿宋" w:eastAsia="仿宋" w:cs="仿宋"/>
                <w:color w:val="auto"/>
                <w:sz w:val="18"/>
                <w:szCs w:val="18"/>
                <w:highlight w:val="none"/>
              </w:rPr>
            </w:pPr>
          </w:p>
        </w:tc>
        <w:tc>
          <w:tcPr>
            <w:tcW w:w="1270" w:type="dxa"/>
            <w:noWrap/>
            <w:vAlign w:val="center"/>
          </w:tcPr>
          <w:p>
            <w:pPr>
              <w:jc w:val="center"/>
              <w:rPr>
                <w:rFonts w:ascii="仿宋" w:hAnsi="仿宋" w:eastAsia="仿宋" w:cs="仿宋"/>
                <w:color w:val="auto"/>
                <w:sz w:val="18"/>
                <w:szCs w:val="18"/>
                <w:highlight w:val="none"/>
              </w:rPr>
            </w:pPr>
          </w:p>
        </w:tc>
        <w:tc>
          <w:tcPr>
            <w:tcW w:w="2280"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35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numPr>
                <w:ilvl w:val="0"/>
                <w:numId w:val="46"/>
              </w:numPr>
              <w:autoSpaceDE w:val="0"/>
              <w:autoSpaceDN w:val="0"/>
              <w:adjustRightInd w:val="0"/>
              <w:jc w:val="center"/>
              <w:rPr>
                <w:rFonts w:ascii="仿宋" w:hAnsi="仿宋" w:eastAsia="仿宋" w:cs="仿宋"/>
                <w:color w:val="auto"/>
                <w:sz w:val="18"/>
                <w:szCs w:val="18"/>
                <w:highlight w:val="none"/>
              </w:rPr>
            </w:pPr>
          </w:p>
        </w:tc>
        <w:tc>
          <w:tcPr>
            <w:tcW w:w="141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备注</w:t>
            </w:r>
          </w:p>
        </w:tc>
        <w:tc>
          <w:tcPr>
            <w:tcW w:w="136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Remark</w:t>
            </w:r>
          </w:p>
        </w:tc>
        <w:tc>
          <w:tcPr>
            <w:tcW w:w="1053"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27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100</w:t>
            </w:r>
          </w:p>
        </w:tc>
        <w:tc>
          <w:tcPr>
            <w:tcW w:w="992" w:type="dxa"/>
            <w:noWrap/>
            <w:vAlign w:val="center"/>
          </w:tcPr>
          <w:p>
            <w:pPr>
              <w:jc w:val="center"/>
              <w:rPr>
                <w:rFonts w:ascii="仿宋" w:hAnsi="仿宋" w:eastAsia="仿宋" w:cs="仿宋"/>
                <w:color w:val="auto"/>
                <w:sz w:val="18"/>
                <w:szCs w:val="18"/>
                <w:highlight w:val="none"/>
              </w:rPr>
            </w:pPr>
          </w:p>
        </w:tc>
        <w:tc>
          <w:tcPr>
            <w:tcW w:w="1270" w:type="dxa"/>
            <w:noWrap/>
            <w:vAlign w:val="center"/>
          </w:tcPr>
          <w:p>
            <w:pPr>
              <w:jc w:val="center"/>
              <w:rPr>
                <w:rFonts w:ascii="仿宋" w:hAnsi="仿宋" w:eastAsia="仿宋" w:cs="仿宋"/>
                <w:color w:val="auto"/>
                <w:sz w:val="18"/>
                <w:szCs w:val="18"/>
                <w:highlight w:val="none"/>
              </w:rPr>
            </w:pPr>
          </w:p>
        </w:tc>
        <w:tc>
          <w:tcPr>
            <w:tcW w:w="228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w:t>
            </w:r>
          </w:p>
        </w:tc>
        <w:tc>
          <w:tcPr>
            <w:tcW w:w="3358" w:type="dxa"/>
            <w:noWrap/>
            <w:vAlign w:val="center"/>
          </w:tcPr>
          <w:p>
            <w:pPr>
              <w:jc w:val="center"/>
              <w:rPr>
                <w:rFonts w:ascii="仿宋" w:hAnsi="仿宋" w:eastAsia="仿宋" w:cs="仿宋"/>
                <w:color w:val="auto"/>
                <w:sz w:val="18"/>
                <w:szCs w:val="18"/>
                <w:highlight w:val="none"/>
              </w:rPr>
            </w:pPr>
          </w:p>
        </w:tc>
      </w:tr>
    </w:tbl>
    <w:p>
      <w:pPr>
        <w:pStyle w:val="2"/>
        <w:rPr>
          <w:color w:val="auto"/>
          <w:highlight w:val="none"/>
        </w:rPr>
      </w:pPr>
    </w:p>
    <w:p>
      <w:pPr>
        <w:pStyle w:val="6"/>
        <w:jc w:val="center"/>
        <w:rPr>
          <w:rFonts w:ascii="仿宋" w:hAnsi="仿宋" w:eastAsia="仿宋" w:cs="仿宋"/>
          <w:color w:val="auto"/>
          <w:sz w:val="24"/>
          <w:highlight w:val="none"/>
        </w:rPr>
      </w:pPr>
      <w:bookmarkStart w:id="486" w:name="_Toc11464"/>
      <w:bookmarkStart w:id="487" w:name="_Toc31294"/>
      <w:bookmarkStart w:id="488" w:name="_Toc25813"/>
      <w:bookmarkStart w:id="489" w:name="_Toc1641"/>
      <w:bookmarkStart w:id="490" w:name="_Toc17642"/>
      <w:bookmarkStart w:id="491" w:name="_Toc16267"/>
      <w:bookmarkStart w:id="492" w:name="_Toc31163"/>
      <w:bookmarkStart w:id="493" w:name="_Toc5886"/>
      <w:r>
        <w:rPr>
          <w:rFonts w:hint="eastAsia" w:ascii="仿宋" w:hAnsi="仿宋" w:eastAsia="仿宋" w:cs="仿宋"/>
          <w:color w:val="auto"/>
          <w:sz w:val="24"/>
          <w:highlight w:val="none"/>
        </w:rPr>
        <w:t>附表A.4 管线辅助点属性结构表</w:t>
      </w:r>
      <w:bookmarkEnd w:id="486"/>
      <w:bookmarkEnd w:id="487"/>
      <w:bookmarkEnd w:id="488"/>
      <w:bookmarkEnd w:id="489"/>
      <w:bookmarkEnd w:id="490"/>
      <w:bookmarkEnd w:id="491"/>
      <w:bookmarkEnd w:id="492"/>
      <w:bookmarkEnd w:id="493"/>
    </w:p>
    <w:tbl>
      <w:tblPr>
        <w:tblStyle w:val="43"/>
        <w:tblW w:w="13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440"/>
        <w:gridCol w:w="1260"/>
        <w:gridCol w:w="1140"/>
        <w:gridCol w:w="1275"/>
        <w:gridCol w:w="1005"/>
        <w:gridCol w:w="1275"/>
        <w:gridCol w:w="2265"/>
        <w:gridCol w:w="3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97"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序号</w:t>
            </w:r>
          </w:p>
        </w:tc>
        <w:tc>
          <w:tcPr>
            <w:tcW w:w="1440"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中文名称</w:t>
            </w:r>
          </w:p>
        </w:tc>
        <w:tc>
          <w:tcPr>
            <w:tcW w:w="1260"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英文名称</w:t>
            </w:r>
          </w:p>
        </w:tc>
        <w:tc>
          <w:tcPr>
            <w:tcW w:w="1140"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英文类型</w:t>
            </w:r>
          </w:p>
        </w:tc>
        <w:tc>
          <w:tcPr>
            <w:tcW w:w="1275"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字段长度</w:t>
            </w:r>
          </w:p>
        </w:tc>
        <w:tc>
          <w:tcPr>
            <w:tcW w:w="1005"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小数位数</w:t>
            </w:r>
          </w:p>
        </w:tc>
        <w:tc>
          <w:tcPr>
            <w:tcW w:w="1275"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值域</w:t>
            </w:r>
          </w:p>
        </w:tc>
        <w:tc>
          <w:tcPr>
            <w:tcW w:w="2265"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是否必填（</w:t>
            </w:r>
            <w:r>
              <w:rPr>
                <w:rFonts w:hint="eastAsia" w:ascii="仿宋" w:hAnsi="仿宋" w:eastAsia="仿宋" w:cs="仿宋"/>
                <w:color w:val="auto"/>
                <w:kern w:val="0"/>
                <w:szCs w:val="21"/>
                <w:highlight w:val="none"/>
              </w:rPr>
              <w:t>▲</w:t>
            </w:r>
            <w:r>
              <w:rPr>
                <w:rFonts w:hint="eastAsia" w:ascii="仿宋" w:hAnsi="仿宋" w:eastAsia="仿宋" w:cs="仿宋"/>
                <w:color w:val="auto"/>
                <w:kern w:val="0"/>
                <w:sz w:val="18"/>
                <w:szCs w:val="18"/>
                <w:highlight w:val="none"/>
              </w:rPr>
              <w:t>为必填，△为条件必填，○为选填）</w:t>
            </w:r>
          </w:p>
        </w:tc>
        <w:tc>
          <w:tcPr>
            <w:tcW w:w="3283" w:type="dxa"/>
            <w:shd w:val="clear" w:color="auto" w:fill="BFBFBF"/>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ign w:val="center"/>
          </w:tcPr>
          <w:p>
            <w:pPr>
              <w:numPr>
                <w:ilvl w:val="0"/>
                <w:numId w:val="47"/>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项目编号</w:t>
            </w:r>
          </w:p>
        </w:tc>
        <w:tc>
          <w:tcPr>
            <w:tcW w:w="126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Work_No</w:t>
            </w:r>
          </w:p>
        </w:tc>
        <w:tc>
          <w:tcPr>
            <w:tcW w:w="1140"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100</w:t>
            </w:r>
          </w:p>
        </w:tc>
        <w:tc>
          <w:tcPr>
            <w:tcW w:w="1005" w:type="dxa"/>
            <w:noWrap/>
            <w:vAlign w:val="center"/>
          </w:tcPr>
          <w:p>
            <w:pPr>
              <w:jc w:val="center"/>
              <w:rPr>
                <w:rFonts w:ascii="仿宋" w:hAnsi="仿宋" w:eastAsia="仿宋" w:cs="仿宋"/>
                <w:color w:val="auto"/>
                <w:sz w:val="18"/>
                <w:szCs w:val="18"/>
                <w:highlight w:val="none"/>
              </w:rPr>
            </w:pPr>
          </w:p>
        </w:tc>
        <w:tc>
          <w:tcPr>
            <w:tcW w:w="1275" w:type="dxa"/>
            <w:noWrap/>
            <w:vAlign w:val="center"/>
          </w:tcPr>
          <w:p>
            <w:pPr>
              <w:jc w:val="center"/>
              <w:rPr>
                <w:rFonts w:ascii="仿宋" w:hAnsi="仿宋" w:eastAsia="仿宋" w:cs="仿宋"/>
                <w:color w:val="auto"/>
                <w:sz w:val="18"/>
                <w:szCs w:val="18"/>
                <w:highlight w:val="none"/>
              </w:rPr>
            </w:pPr>
          </w:p>
        </w:tc>
        <w:tc>
          <w:tcPr>
            <w:tcW w:w="2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2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行政区代码</w:t>
            </w:r>
            <w:r>
              <w:rPr>
                <w:rFonts w:ascii="仿宋" w:hAnsi="仿宋" w:eastAsia="仿宋" w:cs="仿宋"/>
                <w:color w:val="auto"/>
                <w:sz w:val="18"/>
                <w:szCs w:val="18"/>
                <w:highlight w:val="none"/>
              </w:rPr>
              <w:t>+年份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ign w:val="center"/>
          </w:tcPr>
          <w:p>
            <w:pPr>
              <w:numPr>
                <w:ilvl w:val="0"/>
                <w:numId w:val="47"/>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工程编号</w:t>
            </w:r>
          </w:p>
        </w:tc>
        <w:tc>
          <w:tcPr>
            <w:tcW w:w="126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Prj_No</w:t>
            </w:r>
          </w:p>
        </w:tc>
        <w:tc>
          <w:tcPr>
            <w:tcW w:w="11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005" w:type="dxa"/>
            <w:noWrap/>
            <w:vAlign w:val="center"/>
          </w:tcPr>
          <w:p>
            <w:pPr>
              <w:jc w:val="center"/>
              <w:rPr>
                <w:rFonts w:ascii="仿宋" w:hAnsi="仿宋" w:eastAsia="仿宋" w:cs="仿宋"/>
                <w:color w:val="auto"/>
                <w:sz w:val="18"/>
                <w:szCs w:val="18"/>
                <w:highlight w:val="none"/>
              </w:rPr>
            </w:pPr>
          </w:p>
        </w:tc>
        <w:tc>
          <w:tcPr>
            <w:tcW w:w="1275" w:type="dxa"/>
            <w:noWrap/>
            <w:vAlign w:val="center"/>
          </w:tcPr>
          <w:p>
            <w:pPr>
              <w:jc w:val="center"/>
              <w:rPr>
                <w:rFonts w:ascii="仿宋" w:hAnsi="仿宋" w:eastAsia="仿宋" w:cs="仿宋"/>
                <w:color w:val="auto"/>
                <w:sz w:val="18"/>
                <w:szCs w:val="18"/>
                <w:highlight w:val="none"/>
              </w:rPr>
            </w:pPr>
          </w:p>
        </w:tc>
        <w:tc>
          <w:tcPr>
            <w:tcW w:w="2265"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2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标段号+测区号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ign w:val="center"/>
          </w:tcPr>
          <w:p>
            <w:pPr>
              <w:numPr>
                <w:ilvl w:val="0"/>
                <w:numId w:val="47"/>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辅助点管线点号</w:t>
            </w:r>
          </w:p>
        </w:tc>
        <w:tc>
          <w:tcPr>
            <w:tcW w:w="126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Exp_No</w:t>
            </w:r>
          </w:p>
        </w:tc>
        <w:tc>
          <w:tcPr>
            <w:tcW w:w="1140"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25</w:t>
            </w:r>
          </w:p>
        </w:tc>
        <w:tc>
          <w:tcPr>
            <w:tcW w:w="1005" w:type="dxa"/>
            <w:noWrap/>
            <w:vAlign w:val="center"/>
          </w:tcPr>
          <w:p>
            <w:pPr>
              <w:jc w:val="center"/>
              <w:rPr>
                <w:rFonts w:ascii="仿宋" w:hAnsi="仿宋" w:eastAsia="仿宋" w:cs="仿宋"/>
                <w:color w:val="auto"/>
                <w:sz w:val="18"/>
                <w:szCs w:val="18"/>
                <w:highlight w:val="none"/>
              </w:rPr>
            </w:pPr>
          </w:p>
        </w:tc>
        <w:tc>
          <w:tcPr>
            <w:tcW w:w="1275" w:type="dxa"/>
            <w:noWrap/>
            <w:vAlign w:val="center"/>
          </w:tcPr>
          <w:p>
            <w:pPr>
              <w:jc w:val="center"/>
              <w:rPr>
                <w:rFonts w:ascii="仿宋" w:hAnsi="仿宋" w:eastAsia="仿宋" w:cs="仿宋"/>
                <w:color w:val="auto"/>
                <w:sz w:val="18"/>
                <w:szCs w:val="18"/>
                <w:highlight w:val="none"/>
              </w:rPr>
            </w:pPr>
          </w:p>
        </w:tc>
        <w:tc>
          <w:tcPr>
            <w:tcW w:w="2265"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283"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ign w:val="center"/>
          </w:tcPr>
          <w:p>
            <w:pPr>
              <w:numPr>
                <w:ilvl w:val="0"/>
                <w:numId w:val="47"/>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X坐标</w:t>
            </w:r>
          </w:p>
        </w:tc>
        <w:tc>
          <w:tcPr>
            <w:tcW w:w="126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X</w:t>
            </w:r>
          </w:p>
        </w:tc>
        <w:tc>
          <w:tcPr>
            <w:tcW w:w="1140"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双精度</w:t>
            </w:r>
          </w:p>
        </w:tc>
        <w:tc>
          <w:tcPr>
            <w:tcW w:w="1275" w:type="dxa"/>
            <w:noWrap/>
            <w:vAlign w:val="center"/>
          </w:tcPr>
          <w:p>
            <w:pPr>
              <w:jc w:val="center"/>
              <w:rPr>
                <w:rFonts w:ascii="仿宋" w:hAnsi="仿宋" w:eastAsia="仿宋" w:cs="仿宋"/>
                <w:color w:val="auto"/>
                <w:sz w:val="18"/>
                <w:szCs w:val="18"/>
                <w:highlight w:val="none"/>
              </w:rPr>
            </w:pPr>
          </w:p>
        </w:tc>
        <w:tc>
          <w:tcPr>
            <w:tcW w:w="100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275" w:type="dxa"/>
            <w:noWrap/>
            <w:vAlign w:val="center"/>
          </w:tcPr>
          <w:p>
            <w:pPr>
              <w:jc w:val="center"/>
              <w:rPr>
                <w:rFonts w:ascii="仿宋" w:hAnsi="仿宋" w:eastAsia="仿宋" w:cs="仿宋"/>
                <w:color w:val="auto"/>
                <w:sz w:val="18"/>
                <w:szCs w:val="18"/>
                <w:highlight w:val="none"/>
              </w:rPr>
            </w:pPr>
          </w:p>
        </w:tc>
        <w:tc>
          <w:tcPr>
            <w:tcW w:w="2265" w:type="dxa"/>
            <w:noWrap/>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83"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ign w:val="center"/>
          </w:tcPr>
          <w:p>
            <w:pPr>
              <w:numPr>
                <w:ilvl w:val="0"/>
                <w:numId w:val="47"/>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Y坐标</w:t>
            </w:r>
          </w:p>
        </w:tc>
        <w:tc>
          <w:tcPr>
            <w:tcW w:w="126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Y</w:t>
            </w:r>
          </w:p>
        </w:tc>
        <w:tc>
          <w:tcPr>
            <w:tcW w:w="1140"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双精度</w:t>
            </w:r>
          </w:p>
        </w:tc>
        <w:tc>
          <w:tcPr>
            <w:tcW w:w="1275" w:type="dxa"/>
            <w:noWrap/>
            <w:vAlign w:val="center"/>
          </w:tcPr>
          <w:p>
            <w:pPr>
              <w:jc w:val="center"/>
              <w:rPr>
                <w:rFonts w:ascii="仿宋" w:hAnsi="仿宋" w:eastAsia="仿宋" w:cs="仿宋"/>
                <w:color w:val="auto"/>
                <w:sz w:val="18"/>
                <w:szCs w:val="18"/>
                <w:highlight w:val="none"/>
              </w:rPr>
            </w:pPr>
          </w:p>
        </w:tc>
        <w:tc>
          <w:tcPr>
            <w:tcW w:w="100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275" w:type="dxa"/>
            <w:noWrap/>
            <w:vAlign w:val="center"/>
          </w:tcPr>
          <w:p>
            <w:pPr>
              <w:jc w:val="center"/>
              <w:rPr>
                <w:rFonts w:ascii="仿宋" w:hAnsi="仿宋" w:eastAsia="仿宋" w:cs="仿宋"/>
                <w:color w:val="auto"/>
                <w:sz w:val="18"/>
                <w:szCs w:val="18"/>
                <w:highlight w:val="none"/>
              </w:rPr>
            </w:pPr>
          </w:p>
        </w:tc>
        <w:tc>
          <w:tcPr>
            <w:tcW w:w="2265" w:type="dxa"/>
            <w:noWrap/>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83"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ign w:val="center"/>
          </w:tcPr>
          <w:p>
            <w:pPr>
              <w:numPr>
                <w:ilvl w:val="0"/>
                <w:numId w:val="47"/>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地面高程</w:t>
            </w:r>
          </w:p>
        </w:tc>
        <w:tc>
          <w:tcPr>
            <w:tcW w:w="126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High</w:t>
            </w:r>
          </w:p>
        </w:tc>
        <w:tc>
          <w:tcPr>
            <w:tcW w:w="1140"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双精度</w:t>
            </w:r>
          </w:p>
        </w:tc>
        <w:tc>
          <w:tcPr>
            <w:tcW w:w="1275" w:type="dxa"/>
            <w:noWrap/>
            <w:vAlign w:val="center"/>
          </w:tcPr>
          <w:p>
            <w:pPr>
              <w:jc w:val="center"/>
              <w:rPr>
                <w:rFonts w:ascii="仿宋" w:hAnsi="仿宋" w:eastAsia="仿宋" w:cs="仿宋"/>
                <w:color w:val="auto"/>
                <w:sz w:val="18"/>
                <w:szCs w:val="18"/>
                <w:highlight w:val="none"/>
              </w:rPr>
            </w:pPr>
          </w:p>
        </w:tc>
        <w:tc>
          <w:tcPr>
            <w:tcW w:w="100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275" w:type="dxa"/>
            <w:noWrap/>
            <w:vAlign w:val="center"/>
          </w:tcPr>
          <w:p>
            <w:pPr>
              <w:jc w:val="center"/>
              <w:rPr>
                <w:rFonts w:ascii="仿宋" w:hAnsi="仿宋" w:eastAsia="仿宋" w:cs="仿宋"/>
                <w:color w:val="auto"/>
                <w:sz w:val="18"/>
                <w:szCs w:val="18"/>
                <w:highlight w:val="none"/>
              </w:rPr>
            </w:pPr>
          </w:p>
        </w:tc>
        <w:tc>
          <w:tcPr>
            <w:tcW w:w="2265" w:type="dxa"/>
            <w:noWrap/>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83"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ign w:val="center"/>
          </w:tcPr>
          <w:p>
            <w:pPr>
              <w:numPr>
                <w:ilvl w:val="0"/>
                <w:numId w:val="47"/>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探测单位</w:t>
            </w:r>
          </w:p>
        </w:tc>
        <w:tc>
          <w:tcPr>
            <w:tcW w:w="126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SUnit</w:t>
            </w:r>
          </w:p>
        </w:tc>
        <w:tc>
          <w:tcPr>
            <w:tcW w:w="1140"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100</w:t>
            </w:r>
          </w:p>
        </w:tc>
        <w:tc>
          <w:tcPr>
            <w:tcW w:w="1005" w:type="dxa"/>
            <w:noWrap/>
            <w:vAlign w:val="center"/>
          </w:tcPr>
          <w:p>
            <w:pPr>
              <w:jc w:val="center"/>
              <w:rPr>
                <w:rFonts w:ascii="仿宋" w:hAnsi="仿宋" w:eastAsia="仿宋" w:cs="仿宋"/>
                <w:color w:val="auto"/>
                <w:sz w:val="18"/>
                <w:szCs w:val="18"/>
                <w:highlight w:val="none"/>
              </w:rPr>
            </w:pPr>
          </w:p>
        </w:tc>
        <w:tc>
          <w:tcPr>
            <w:tcW w:w="1275" w:type="dxa"/>
            <w:noWrap/>
            <w:vAlign w:val="center"/>
          </w:tcPr>
          <w:p>
            <w:pPr>
              <w:jc w:val="center"/>
              <w:rPr>
                <w:rFonts w:ascii="仿宋" w:hAnsi="仿宋" w:eastAsia="仿宋" w:cs="仿宋"/>
                <w:color w:val="auto"/>
                <w:sz w:val="18"/>
                <w:szCs w:val="18"/>
                <w:highlight w:val="none"/>
              </w:rPr>
            </w:pPr>
          </w:p>
        </w:tc>
        <w:tc>
          <w:tcPr>
            <w:tcW w:w="2265" w:type="dxa"/>
            <w:noWrap/>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埴写作业单位全称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ign w:val="center"/>
          </w:tcPr>
          <w:p>
            <w:pPr>
              <w:numPr>
                <w:ilvl w:val="0"/>
                <w:numId w:val="47"/>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探测日期</w:t>
            </w:r>
          </w:p>
        </w:tc>
        <w:tc>
          <w:tcPr>
            <w:tcW w:w="126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SDate</w:t>
            </w:r>
          </w:p>
        </w:tc>
        <w:tc>
          <w:tcPr>
            <w:tcW w:w="1140"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005" w:type="dxa"/>
            <w:noWrap/>
            <w:vAlign w:val="center"/>
          </w:tcPr>
          <w:p>
            <w:pPr>
              <w:jc w:val="center"/>
              <w:rPr>
                <w:rFonts w:ascii="仿宋" w:hAnsi="仿宋" w:eastAsia="仿宋" w:cs="仿宋"/>
                <w:color w:val="auto"/>
                <w:sz w:val="18"/>
                <w:szCs w:val="18"/>
                <w:highlight w:val="none"/>
              </w:rPr>
            </w:pPr>
          </w:p>
        </w:tc>
        <w:tc>
          <w:tcPr>
            <w:tcW w:w="1275" w:type="dxa"/>
            <w:noWrap/>
            <w:vAlign w:val="center"/>
          </w:tcPr>
          <w:p>
            <w:pPr>
              <w:jc w:val="center"/>
              <w:rPr>
                <w:rFonts w:ascii="仿宋" w:hAnsi="仿宋" w:eastAsia="仿宋" w:cs="仿宋"/>
                <w:color w:val="auto"/>
                <w:sz w:val="18"/>
                <w:szCs w:val="18"/>
                <w:highlight w:val="none"/>
              </w:rPr>
            </w:pPr>
          </w:p>
        </w:tc>
        <w:tc>
          <w:tcPr>
            <w:tcW w:w="2265" w:type="dxa"/>
            <w:noWrap/>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83"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ign w:val="center"/>
          </w:tcPr>
          <w:p>
            <w:pPr>
              <w:numPr>
                <w:ilvl w:val="0"/>
                <w:numId w:val="47"/>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备注</w:t>
            </w:r>
          </w:p>
        </w:tc>
        <w:tc>
          <w:tcPr>
            <w:tcW w:w="126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Remark</w:t>
            </w:r>
          </w:p>
        </w:tc>
        <w:tc>
          <w:tcPr>
            <w:tcW w:w="1140"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100</w:t>
            </w:r>
          </w:p>
        </w:tc>
        <w:tc>
          <w:tcPr>
            <w:tcW w:w="1005" w:type="dxa"/>
            <w:noWrap/>
            <w:vAlign w:val="center"/>
          </w:tcPr>
          <w:p>
            <w:pPr>
              <w:jc w:val="center"/>
              <w:rPr>
                <w:rFonts w:ascii="仿宋" w:hAnsi="仿宋" w:eastAsia="仿宋" w:cs="仿宋"/>
                <w:color w:val="auto"/>
                <w:sz w:val="18"/>
                <w:szCs w:val="18"/>
                <w:highlight w:val="none"/>
              </w:rPr>
            </w:pPr>
          </w:p>
        </w:tc>
        <w:tc>
          <w:tcPr>
            <w:tcW w:w="1275" w:type="dxa"/>
            <w:noWrap/>
            <w:vAlign w:val="center"/>
          </w:tcPr>
          <w:p>
            <w:pPr>
              <w:jc w:val="center"/>
              <w:rPr>
                <w:rFonts w:ascii="仿宋" w:hAnsi="仿宋" w:eastAsia="仿宋" w:cs="仿宋"/>
                <w:color w:val="auto"/>
                <w:sz w:val="18"/>
                <w:szCs w:val="18"/>
                <w:highlight w:val="none"/>
              </w:rPr>
            </w:pPr>
          </w:p>
        </w:tc>
        <w:tc>
          <w:tcPr>
            <w:tcW w:w="2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w:t>
            </w:r>
          </w:p>
        </w:tc>
        <w:tc>
          <w:tcPr>
            <w:tcW w:w="3283" w:type="dxa"/>
            <w:noWrap/>
            <w:vAlign w:val="center"/>
          </w:tcPr>
          <w:p>
            <w:pPr>
              <w:jc w:val="center"/>
              <w:rPr>
                <w:rFonts w:ascii="仿宋" w:hAnsi="仿宋" w:eastAsia="仿宋" w:cs="仿宋"/>
                <w:color w:val="auto"/>
                <w:sz w:val="18"/>
                <w:szCs w:val="18"/>
                <w:highlight w:val="none"/>
              </w:rPr>
            </w:pPr>
          </w:p>
        </w:tc>
      </w:tr>
    </w:tbl>
    <w:p>
      <w:pPr>
        <w:pStyle w:val="2"/>
        <w:rPr>
          <w:color w:val="auto"/>
          <w:highlight w:val="none"/>
        </w:rPr>
      </w:pPr>
    </w:p>
    <w:p>
      <w:pPr>
        <w:pStyle w:val="6"/>
        <w:jc w:val="center"/>
        <w:rPr>
          <w:rFonts w:ascii="仿宋" w:hAnsi="仿宋" w:eastAsia="仿宋" w:cs="仿宋"/>
          <w:color w:val="auto"/>
          <w:sz w:val="24"/>
          <w:highlight w:val="none"/>
        </w:rPr>
      </w:pPr>
      <w:bookmarkStart w:id="494" w:name="_Toc8486"/>
      <w:bookmarkStart w:id="495" w:name="_Toc23574"/>
      <w:bookmarkStart w:id="496" w:name="_Toc2039"/>
      <w:bookmarkStart w:id="497" w:name="_Toc5128"/>
      <w:bookmarkStart w:id="498" w:name="_Toc16137"/>
      <w:bookmarkStart w:id="499" w:name="_Toc10205"/>
      <w:bookmarkStart w:id="500" w:name="_Toc7008"/>
      <w:bookmarkStart w:id="501" w:name="_Toc2526"/>
      <w:r>
        <w:rPr>
          <w:rFonts w:hint="eastAsia" w:ascii="仿宋" w:hAnsi="仿宋" w:eastAsia="仿宋" w:cs="仿宋"/>
          <w:color w:val="auto"/>
          <w:sz w:val="24"/>
          <w:highlight w:val="none"/>
        </w:rPr>
        <w:t>附表A.5 管线辅助线属性结构表</w:t>
      </w:r>
      <w:bookmarkEnd w:id="494"/>
      <w:bookmarkEnd w:id="495"/>
      <w:bookmarkEnd w:id="496"/>
      <w:bookmarkEnd w:id="497"/>
      <w:bookmarkEnd w:id="498"/>
      <w:bookmarkEnd w:id="499"/>
      <w:bookmarkEnd w:id="500"/>
      <w:bookmarkEnd w:id="501"/>
    </w:p>
    <w:tbl>
      <w:tblPr>
        <w:tblStyle w:val="43"/>
        <w:tblW w:w="13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440"/>
        <w:gridCol w:w="1245"/>
        <w:gridCol w:w="1155"/>
        <w:gridCol w:w="1275"/>
        <w:gridCol w:w="1005"/>
        <w:gridCol w:w="1290"/>
        <w:gridCol w:w="2265"/>
        <w:gridCol w:w="3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9"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序号</w:t>
            </w:r>
          </w:p>
        </w:tc>
        <w:tc>
          <w:tcPr>
            <w:tcW w:w="1440"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中文名称</w:t>
            </w:r>
          </w:p>
        </w:tc>
        <w:tc>
          <w:tcPr>
            <w:tcW w:w="1245"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英文名称</w:t>
            </w:r>
          </w:p>
        </w:tc>
        <w:tc>
          <w:tcPr>
            <w:tcW w:w="1155"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字段类型</w:t>
            </w:r>
          </w:p>
        </w:tc>
        <w:tc>
          <w:tcPr>
            <w:tcW w:w="1275"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字段长度</w:t>
            </w:r>
          </w:p>
        </w:tc>
        <w:tc>
          <w:tcPr>
            <w:tcW w:w="1005"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小数位数</w:t>
            </w:r>
          </w:p>
        </w:tc>
        <w:tc>
          <w:tcPr>
            <w:tcW w:w="1290"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值域</w:t>
            </w:r>
          </w:p>
        </w:tc>
        <w:tc>
          <w:tcPr>
            <w:tcW w:w="2265"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是否必填（</w:t>
            </w:r>
            <w:r>
              <w:rPr>
                <w:rFonts w:hint="eastAsia" w:ascii="仿宋" w:hAnsi="仿宋" w:eastAsia="仿宋" w:cs="仿宋"/>
                <w:color w:val="auto"/>
                <w:kern w:val="0"/>
                <w:szCs w:val="21"/>
                <w:highlight w:val="none"/>
              </w:rPr>
              <w:t>▲</w:t>
            </w:r>
            <w:r>
              <w:rPr>
                <w:rFonts w:hint="eastAsia" w:ascii="仿宋" w:hAnsi="仿宋" w:eastAsia="仿宋" w:cs="仿宋"/>
                <w:color w:val="auto"/>
                <w:kern w:val="0"/>
                <w:sz w:val="18"/>
                <w:szCs w:val="18"/>
                <w:highlight w:val="none"/>
              </w:rPr>
              <w:t>为必填，△为条件必填，○为选填）</w:t>
            </w:r>
          </w:p>
        </w:tc>
        <w:tc>
          <w:tcPr>
            <w:tcW w:w="3268"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noWrap/>
            <w:vAlign w:val="center"/>
          </w:tcPr>
          <w:p>
            <w:pPr>
              <w:numPr>
                <w:ilvl w:val="0"/>
                <w:numId w:val="48"/>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项目编号</w:t>
            </w:r>
          </w:p>
        </w:tc>
        <w:tc>
          <w:tcPr>
            <w:tcW w:w="124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Work_No</w:t>
            </w:r>
          </w:p>
        </w:tc>
        <w:tc>
          <w:tcPr>
            <w:tcW w:w="115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100</w:t>
            </w:r>
          </w:p>
        </w:tc>
        <w:tc>
          <w:tcPr>
            <w:tcW w:w="1005" w:type="dxa"/>
            <w:noWrap/>
            <w:vAlign w:val="center"/>
          </w:tcPr>
          <w:p>
            <w:pPr>
              <w:jc w:val="center"/>
              <w:rPr>
                <w:rFonts w:ascii="仿宋" w:hAnsi="仿宋" w:eastAsia="仿宋" w:cs="仿宋"/>
                <w:color w:val="auto"/>
                <w:sz w:val="18"/>
                <w:szCs w:val="18"/>
                <w:highlight w:val="none"/>
              </w:rPr>
            </w:pPr>
          </w:p>
        </w:tc>
        <w:tc>
          <w:tcPr>
            <w:tcW w:w="1290" w:type="dxa"/>
            <w:noWrap/>
            <w:vAlign w:val="center"/>
          </w:tcPr>
          <w:p>
            <w:pPr>
              <w:jc w:val="center"/>
              <w:rPr>
                <w:rFonts w:ascii="仿宋" w:hAnsi="仿宋" w:eastAsia="仿宋" w:cs="仿宋"/>
                <w:color w:val="auto"/>
                <w:sz w:val="18"/>
                <w:szCs w:val="18"/>
                <w:highlight w:val="none"/>
              </w:rPr>
            </w:pPr>
          </w:p>
        </w:tc>
        <w:tc>
          <w:tcPr>
            <w:tcW w:w="2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行政区代码</w:t>
            </w:r>
            <w:r>
              <w:rPr>
                <w:rFonts w:ascii="仿宋" w:hAnsi="仿宋" w:eastAsia="仿宋" w:cs="仿宋"/>
                <w:color w:val="auto"/>
                <w:sz w:val="18"/>
                <w:szCs w:val="18"/>
                <w:highlight w:val="none"/>
              </w:rPr>
              <w:t>+年份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noWrap/>
            <w:vAlign w:val="center"/>
          </w:tcPr>
          <w:p>
            <w:pPr>
              <w:numPr>
                <w:ilvl w:val="0"/>
                <w:numId w:val="48"/>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工程编号</w:t>
            </w:r>
          </w:p>
        </w:tc>
        <w:tc>
          <w:tcPr>
            <w:tcW w:w="124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Prj_No</w:t>
            </w:r>
          </w:p>
        </w:tc>
        <w:tc>
          <w:tcPr>
            <w:tcW w:w="115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275" w:type="dxa"/>
            <w:noWrap/>
            <w:vAlign w:val="center"/>
          </w:tcPr>
          <w:p>
            <w:pPr>
              <w:jc w:val="center"/>
              <w:rPr>
                <w:rFonts w:ascii="仿宋" w:hAnsi="仿宋" w:eastAsia="仿宋" w:cs="仿宋"/>
                <w:color w:val="auto"/>
                <w:sz w:val="18"/>
                <w:szCs w:val="18"/>
                <w:highlight w:val="none"/>
              </w:rPr>
            </w:pPr>
          </w:p>
        </w:tc>
        <w:tc>
          <w:tcPr>
            <w:tcW w:w="1005" w:type="dxa"/>
            <w:noWrap/>
            <w:vAlign w:val="center"/>
          </w:tcPr>
          <w:p>
            <w:pPr>
              <w:jc w:val="center"/>
              <w:rPr>
                <w:rFonts w:ascii="仿宋" w:hAnsi="仿宋" w:eastAsia="仿宋" w:cs="仿宋"/>
                <w:color w:val="auto"/>
                <w:sz w:val="18"/>
                <w:szCs w:val="18"/>
                <w:highlight w:val="none"/>
              </w:rPr>
            </w:pPr>
          </w:p>
        </w:tc>
        <w:tc>
          <w:tcPr>
            <w:tcW w:w="1290" w:type="dxa"/>
            <w:noWrap/>
            <w:vAlign w:val="center"/>
          </w:tcPr>
          <w:p>
            <w:pPr>
              <w:jc w:val="center"/>
              <w:rPr>
                <w:rFonts w:ascii="仿宋" w:hAnsi="仿宋" w:eastAsia="仿宋" w:cs="仿宋"/>
                <w:color w:val="auto"/>
                <w:sz w:val="18"/>
                <w:szCs w:val="18"/>
                <w:highlight w:val="none"/>
              </w:rPr>
            </w:pPr>
          </w:p>
        </w:tc>
        <w:tc>
          <w:tcPr>
            <w:tcW w:w="2265" w:type="dxa"/>
            <w:noWrap/>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标段号+测区号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noWrap/>
            <w:vAlign w:val="center"/>
          </w:tcPr>
          <w:p>
            <w:pPr>
              <w:numPr>
                <w:ilvl w:val="0"/>
                <w:numId w:val="48"/>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起始管线点号</w:t>
            </w:r>
          </w:p>
        </w:tc>
        <w:tc>
          <w:tcPr>
            <w:tcW w:w="124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S_Exp</w:t>
            </w:r>
          </w:p>
        </w:tc>
        <w:tc>
          <w:tcPr>
            <w:tcW w:w="115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25</w:t>
            </w:r>
          </w:p>
        </w:tc>
        <w:tc>
          <w:tcPr>
            <w:tcW w:w="1005" w:type="dxa"/>
            <w:noWrap/>
            <w:vAlign w:val="center"/>
          </w:tcPr>
          <w:p>
            <w:pPr>
              <w:jc w:val="center"/>
              <w:rPr>
                <w:rFonts w:ascii="仿宋" w:hAnsi="仿宋" w:eastAsia="仿宋" w:cs="仿宋"/>
                <w:color w:val="auto"/>
                <w:sz w:val="18"/>
                <w:szCs w:val="18"/>
                <w:highlight w:val="none"/>
              </w:rPr>
            </w:pPr>
          </w:p>
        </w:tc>
        <w:tc>
          <w:tcPr>
            <w:tcW w:w="1290" w:type="dxa"/>
            <w:noWrap/>
            <w:vAlign w:val="center"/>
          </w:tcPr>
          <w:p>
            <w:pPr>
              <w:jc w:val="center"/>
              <w:rPr>
                <w:rFonts w:ascii="仿宋" w:hAnsi="仿宋" w:eastAsia="仿宋" w:cs="仿宋"/>
                <w:color w:val="auto"/>
                <w:sz w:val="18"/>
                <w:szCs w:val="18"/>
                <w:highlight w:val="none"/>
              </w:rPr>
            </w:pPr>
          </w:p>
        </w:tc>
        <w:tc>
          <w:tcPr>
            <w:tcW w:w="2265" w:type="dxa"/>
            <w:noWrap/>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辅助点点号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noWrap/>
            <w:vAlign w:val="center"/>
          </w:tcPr>
          <w:p>
            <w:pPr>
              <w:numPr>
                <w:ilvl w:val="0"/>
                <w:numId w:val="48"/>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起点X坐标</w:t>
            </w:r>
          </w:p>
        </w:tc>
        <w:tc>
          <w:tcPr>
            <w:tcW w:w="124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S_X</w:t>
            </w:r>
          </w:p>
        </w:tc>
        <w:tc>
          <w:tcPr>
            <w:tcW w:w="115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00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290" w:type="dxa"/>
            <w:noWrap/>
            <w:vAlign w:val="center"/>
          </w:tcPr>
          <w:p>
            <w:pPr>
              <w:jc w:val="center"/>
              <w:rPr>
                <w:rFonts w:ascii="仿宋" w:hAnsi="仿宋" w:eastAsia="仿宋" w:cs="仿宋"/>
                <w:color w:val="auto"/>
                <w:sz w:val="18"/>
                <w:szCs w:val="18"/>
                <w:highlight w:val="none"/>
              </w:rPr>
            </w:pPr>
          </w:p>
        </w:tc>
        <w:tc>
          <w:tcPr>
            <w:tcW w:w="2265" w:type="dxa"/>
            <w:noWrap/>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6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noWrap/>
            <w:vAlign w:val="center"/>
          </w:tcPr>
          <w:p>
            <w:pPr>
              <w:numPr>
                <w:ilvl w:val="0"/>
                <w:numId w:val="48"/>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起点Y坐标</w:t>
            </w:r>
          </w:p>
        </w:tc>
        <w:tc>
          <w:tcPr>
            <w:tcW w:w="124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S_Y</w:t>
            </w:r>
          </w:p>
        </w:tc>
        <w:tc>
          <w:tcPr>
            <w:tcW w:w="115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00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290" w:type="dxa"/>
            <w:noWrap/>
            <w:vAlign w:val="center"/>
          </w:tcPr>
          <w:p>
            <w:pPr>
              <w:jc w:val="center"/>
              <w:rPr>
                <w:rFonts w:ascii="仿宋" w:hAnsi="仿宋" w:eastAsia="仿宋" w:cs="仿宋"/>
                <w:color w:val="auto"/>
                <w:sz w:val="18"/>
                <w:szCs w:val="18"/>
                <w:highlight w:val="none"/>
              </w:rPr>
            </w:pPr>
          </w:p>
        </w:tc>
        <w:tc>
          <w:tcPr>
            <w:tcW w:w="2265" w:type="dxa"/>
            <w:noWrap/>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6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noWrap/>
            <w:vAlign w:val="center"/>
          </w:tcPr>
          <w:p>
            <w:pPr>
              <w:numPr>
                <w:ilvl w:val="0"/>
                <w:numId w:val="48"/>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终止管线点号</w:t>
            </w:r>
          </w:p>
        </w:tc>
        <w:tc>
          <w:tcPr>
            <w:tcW w:w="124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E_Exp</w:t>
            </w:r>
          </w:p>
        </w:tc>
        <w:tc>
          <w:tcPr>
            <w:tcW w:w="115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25</w:t>
            </w:r>
          </w:p>
        </w:tc>
        <w:tc>
          <w:tcPr>
            <w:tcW w:w="1005" w:type="dxa"/>
            <w:noWrap/>
            <w:vAlign w:val="center"/>
          </w:tcPr>
          <w:p>
            <w:pPr>
              <w:jc w:val="center"/>
              <w:rPr>
                <w:rFonts w:ascii="仿宋" w:hAnsi="仿宋" w:eastAsia="仿宋" w:cs="仿宋"/>
                <w:color w:val="auto"/>
                <w:sz w:val="18"/>
                <w:szCs w:val="18"/>
                <w:highlight w:val="none"/>
              </w:rPr>
            </w:pPr>
          </w:p>
        </w:tc>
        <w:tc>
          <w:tcPr>
            <w:tcW w:w="1290" w:type="dxa"/>
            <w:noWrap/>
            <w:vAlign w:val="center"/>
          </w:tcPr>
          <w:p>
            <w:pPr>
              <w:jc w:val="center"/>
              <w:rPr>
                <w:rFonts w:ascii="仿宋" w:hAnsi="仿宋" w:eastAsia="仿宋" w:cs="仿宋"/>
                <w:color w:val="auto"/>
                <w:sz w:val="18"/>
                <w:szCs w:val="18"/>
                <w:highlight w:val="none"/>
              </w:rPr>
            </w:pPr>
          </w:p>
        </w:tc>
        <w:tc>
          <w:tcPr>
            <w:tcW w:w="2265" w:type="dxa"/>
            <w:noWrap/>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辅助点点号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noWrap/>
            <w:vAlign w:val="center"/>
          </w:tcPr>
          <w:p>
            <w:pPr>
              <w:numPr>
                <w:ilvl w:val="0"/>
                <w:numId w:val="48"/>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终点X坐标</w:t>
            </w:r>
          </w:p>
        </w:tc>
        <w:tc>
          <w:tcPr>
            <w:tcW w:w="124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E_X</w:t>
            </w:r>
          </w:p>
        </w:tc>
        <w:tc>
          <w:tcPr>
            <w:tcW w:w="115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00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290" w:type="dxa"/>
            <w:noWrap/>
            <w:vAlign w:val="center"/>
          </w:tcPr>
          <w:p>
            <w:pPr>
              <w:jc w:val="center"/>
              <w:rPr>
                <w:rFonts w:ascii="仿宋" w:hAnsi="仿宋" w:eastAsia="仿宋" w:cs="仿宋"/>
                <w:color w:val="auto"/>
                <w:sz w:val="18"/>
                <w:szCs w:val="18"/>
                <w:highlight w:val="none"/>
              </w:rPr>
            </w:pPr>
          </w:p>
        </w:tc>
        <w:tc>
          <w:tcPr>
            <w:tcW w:w="2265" w:type="dxa"/>
            <w:noWrap/>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6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noWrap/>
            <w:vAlign w:val="center"/>
          </w:tcPr>
          <w:p>
            <w:pPr>
              <w:numPr>
                <w:ilvl w:val="0"/>
                <w:numId w:val="48"/>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终点Y坐标</w:t>
            </w:r>
          </w:p>
        </w:tc>
        <w:tc>
          <w:tcPr>
            <w:tcW w:w="124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E_Y</w:t>
            </w:r>
          </w:p>
        </w:tc>
        <w:tc>
          <w:tcPr>
            <w:tcW w:w="115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00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290" w:type="dxa"/>
            <w:noWrap/>
            <w:vAlign w:val="center"/>
          </w:tcPr>
          <w:p>
            <w:pPr>
              <w:jc w:val="center"/>
              <w:rPr>
                <w:rFonts w:ascii="仿宋" w:hAnsi="仿宋" w:eastAsia="仿宋" w:cs="仿宋"/>
                <w:color w:val="auto"/>
                <w:sz w:val="18"/>
                <w:szCs w:val="18"/>
                <w:highlight w:val="none"/>
              </w:rPr>
            </w:pPr>
          </w:p>
        </w:tc>
        <w:tc>
          <w:tcPr>
            <w:tcW w:w="2265" w:type="dxa"/>
            <w:noWrap/>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6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noWrap/>
            <w:vAlign w:val="center"/>
          </w:tcPr>
          <w:p>
            <w:pPr>
              <w:numPr>
                <w:ilvl w:val="0"/>
                <w:numId w:val="48"/>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探测单位</w:t>
            </w:r>
          </w:p>
        </w:tc>
        <w:tc>
          <w:tcPr>
            <w:tcW w:w="124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SUnit</w:t>
            </w:r>
          </w:p>
        </w:tc>
        <w:tc>
          <w:tcPr>
            <w:tcW w:w="115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100</w:t>
            </w:r>
          </w:p>
        </w:tc>
        <w:tc>
          <w:tcPr>
            <w:tcW w:w="1005" w:type="dxa"/>
            <w:noWrap/>
            <w:vAlign w:val="center"/>
          </w:tcPr>
          <w:p>
            <w:pPr>
              <w:jc w:val="center"/>
              <w:rPr>
                <w:rFonts w:ascii="仿宋" w:hAnsi="仿宋" w:eastAsia="仿宋" w:cs="仿宋"/>
                <w:color w:val="auto"/>
                <w:sz w:val="18"/>
                <w:szCs w:val="18"/>
                <w:highlight w:val="none"/>
              </w:rPr>
            </w:pPr>
          </w:p>
        </w:tc>
        <w:tc>
          <w:tcPr>
            <w:tcW w:w="1290" w:type="dxa"/>
            <w:noWrap/>
            <w:vAlign w:val="center"/>
          </w:tcPr>
          <w:p>
            <w:pPr>
              <w:jc w:val="center"/>
              <w:rPr>
                <w:rFonts w:ascii="仿宋" w:hAnsi="仿宋" w:eastAsia="仿宋" w:cs="仿宋"/>
                <w:color w:val="auto"/>
                <w:sz w:val="18"/>
                <w:szCs w:val="18"/>
                <w:highlight w:val="none"/>
              </w:rPr>
            </w:pPr>
          </w:p>
        </w:tc>
        <w:tc>
          <w:tcPr>
            <w:tcW w:w="2265" w:type="dxa"/>
            <w:noWrap/>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埴写作业单位全称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noWrap/>
            <w:vAlign w:val="center"/>
          </w:tcPr>
          <w:p>
            <w:pPr>
              <w:numPr>
                <w:ilvl w:val="0"/>
                <w:numId w:val="48"/>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探测日期</w:t>
            </w:r>
          </w:p>
        </w:tc>
        <w:tc>
          <w:tcPr>
            <w:tcW w:w="124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SDate</w:t>
            </w:r>
          </w:p>
        </w:tc>
        <w:tc>
          <w:tcPr>
            <w:tcW w:w="115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005" w:type="dxa"/>
            <w:noWrap/>
            <w:vAlign w:val="center"/>
          </w:tcPr>
          <w:p>
            <w:pPr>
              <w:jc w:val="center"/>
              <w:rPr>
                <w:rFonts w:ascii="仿宋" w:hAnsi="仿宋" w:eastAsia="仿宋" w:cs="仿宋"/>
                <w:color w:val="auto"/>
                <w:sz w:val="18"/>
                <w:szCs w:val="18"/>
                <w:highlight w:val="none"/>
              </w:rPr>
            </w:pPr>
          </w:p>
        </w:tc>
        <w:tc>
          <w:tcPr>
            <w:tcW w:w="1290" w:type="dxa"/>
            <w:noWrap/>
            <w:vAlign w:val="center"/>
          </w:tcPr>
          <w:p>
            <w:pPr>
              <w:jc w:val="center"/>
              <w:rPr>
                <w:rFonts w:ascii="仿宋" w:hAnsi="仿宋" w:eastAsia="仿宋" w:cs="仿宋"/>
                <w:color w:val="auto"/>
                <w:sz w:val="18"/>
                <w:szCs w:val="18"/>
                <w:highlight w:val="none"/>
              </w:rPr>
            </w:pPr>
          </w:p>
        </w:tc>
        <w:tc>
          <w:tcPr>
            <w:tcW w:w="2265" w:type="dxa"/>
            <w:noWrap/>
          </w:tcPr>
          <w:p>
            <w:pPr>
              <w:jc w:val="center"/>
              <w:rPr>
                <w:rFonts w:ascii="仿宋" w:hAnsi="仿宋" w:eastAsia="仿宋" w:cs="仿宋"/>
                <w:color w:val="auto"/>
                <w:highlight w:val="none"/>
              </w:rPr>
            </w:pPr>
            <w:r>
              <w:rPr>
                <w:rFonts w:hint="eastAsia" w:ascii="仿宋" w:hAnsi="仿宋" w:eastAsia="仿宋" w:cs="仿宋"/>
                <w:color w:val="auto"/>
                <w:kern w:val="0"/>
                <w:szCs w:val="21"/>
                <w:highlight w:val="none"/>
              </w:rPr>
              <w:t>▲</w:t>
            </w:r>
          </w:p>
        </w:tc>
        <w:tc>
          <w:tcPr>
            <w:tcW w:w="3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noWrap/>
            <w:vAlign w:val="center"/>
          </w:tcPr>
          <w:p>
            <w:pPr>
              <w:numPr>
                <w:ilvl w:val="0"/>
                <w:numId w:val="48"/>
              </w:numPr>
              <w:autoSpaceDE w:val="0"/>
              <w:autoSpaceDN w:val="0"/>
              <w:adjustRightInd w:val="0"/>
              <w:spacing w:line="360" w:lineRule="auto"/>
              <w:jc w:val="center"/>
              <w:rPr>
                <w:rFonts w:ascii="仿宋" w:hAnsi="仿宋" w:eastAsia="仿宋" w:cs="仿宋"/>
                <w:color w:val="auto"/>
                <w:sz w:val="18"/>
                <w:szCs w:val="18"/>
                <w:highlight w:val="none"/>
              </w:rPr>
            </w:pPr>
          </w:p>
        </w:tc>
        <w:tc>
          <w:tcPr>
            <w:tcW w:w="14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备注</w:t>
            </w:r>
          </w:p>
        </w:tc>
        <w:tc>
          <w:tcPr>
            <w:tcW w:w="124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Remark</w:t>
            </w:r>
          </w:p>
        </w:tc>
        <w:tc>
          <w:tcPr>
            <w:tcW w:w="115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100</w:t>
            </w:r>
          </w:p>
        </w:tc>
        <w:tc>
          <w:tcPr>
            <w:tcW w:w="1005" w:type="dxa"/>
            <w:noWrap/>
            <w:vAlign w:val="center"/>
          </w:tcPr>
          <w:p>
            <w:pPr>
              <w:jc w:val="center"/>
              <w:rPr>
                <w:rFonts w:ascii="仿宋" w:hAnsi="仿宋" w:eastAsia="仿宋" w:cs="仿宋"/>
                <w:color w:val="auto"/>
                <w:sz w:val="18"/>
                <w:szCs w:val="18"/>
                <w:highlight w:val="none"/>
              </w:rPr>
            </w:pPr>
          </w:p>
        </w:tc>
        <w:tc>
          <w:tcPr>
            <w:tcW w:w="1290" w:type="dxa"/>
            <w:noWrap/>
            <w:vAlign w:val="center"/>
          </w:tcPr>
          <w:p>
            <w:pPr>
              <w:jc w:val="center"/>
              <w:rPr>
                <w:rFonts w:ascii="仿宋" w:hAnsi="仿宋" w:eastAsia="仿宋" w:cs="仿宋"/>
                <w:color w:val="auto"/>
                <w:sz w:val="18"/>
                <w:szCs w:val="18"/>
                <w:highlight w:val="none"/>
              </w:rPr>
            </w:pPr>
          </w:p>
        </w:tc>
        <w:tc>
          <w:tcPr>
            <w:tcW w:w="226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w:t>
            </w:r>
          </w:p>
        </w:tc>
        <w:tc>
          <w:tcPr>
            <w:tcW w:w="3268" w:type="dxa"/>
            <w:noWrap/>
            <w:vAlign w:val="center"/>
          </w:tcPr>
          <w:p>
            <w:pPr>
              <w:jc w:val="center"/>
              <w:rPr>
                <w:rFonts w:ascii="仿宋" w:hAnsi="仿宋" w:eastAsia="仿宋" w:cs="仿宋"/>
                <w:color w:val="auto"/>
                <w:sz w:val="18"/>
                <w:szCs w:val="18"/>
                <w:highlight w:val="none"/>
              </w:rPr>
            </w:pPr>
          </w:p>
        </w:tc>
      </w:tr>
    </w:tbl>
    <w:p>
      <w:pPr>
        <w:pStyle w:val="2"/>
        <w:rPr>
          <w:color w:val="auto"/>
          <w:highlight w:val="none"/>
        </w:rPr>
      </w:pPr>
    </w:p>
    <w:p>
      <w:pPr>
        <w:pStyle w:val="6"/>
        <w:jc w:val="center"/>
        <w:rPr>
          <w:rFonts w:ascii="仿宋" w:hAnsi="仿宋" w:eastAsia="仿宋" w:cs="仿宋"/>
          <w:color w:val="auto"/>
          <w:sz w:val="24"/>
          <w:highlight w:val="none"/>
        </w:rPr>
      </w:pPr>
      <w:bookmarkStart w:id="502" w:name="_Toc5810"/>
      <w:bookmarkStart w:id="503" w:name="_Toc7541"/>
      <w:bookmarkStart w:id="504" w:name="_Toc2926"/>
      <w:bookmarkStart w:id="505" w:name="_Toc6859"/>
      <w:bookmarkStart w:id="506" w:name="_Toc30368"/>
      <w:bookmarkStart w:id="507" w:name="_Toc10824"/>
      <w:bookmarkStart w:id="508" w:name="_Toc9498"/>
      <w:bookmarkStart w:id="509" w:name="_Toc12020"/>
      <w:r>
        <w:rPr>
          <w:rFonts w:hint="eastAsia" w:ascii="仿宋" w:hAnsi="仿宋" w:eastAsia="仿宋" w:cs="仿宋"/>
          <w:color w:val="auto"/>
          <w:sz w:val="24"/>
          <w:highlight w:val="none"/>
        </w:rPr>
        <w:t>附表A.6 管线注记属性结构表</w:t>
      </w:r>
      <w:bookmarkEnd w:id="502"/>
      <w:bookmarkEnd w:id="503"/>
      <w:bookmarkEnd w:id="504"/>
      <w:bookmarkEnd w:id="505"/>
      <w:bookmarkEnd w:id="506"/>
      <w:bookmarkEnd w:id="507"/>
      <w:bookmarkEnd w:id="508"/>
      <w:bookmarkEnd w:id="509"/>
    </w:p>
    <w:tbl>
      <w:tblPr>
        <w:tblStyle w:val="43"/>
        <w:tblW w:w="13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36"/>
        <w:gridCol w:w="1260"/>
        <w:gridCol w:w="1140"/>
        <w:gridCol w:w="1275"/>
        <w:gridCol w:w="1020"/>
        <w:gridCol w:w="1275"/>
        <w:gridCol w:w="2280"/>
        <w:gridCol w:w="3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blHeader/>
          <w:jc w:val="center"/>
        </w:trPr>
        <w:tc>
          <w:tcPr>
            <w:tcW w:w="720"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序号</w:t>
            </w:r>
          </w:p>
        </w:tc>
        <w:tc>
          <w:tcPr>
            <w:tcW w:w="1436"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中文名称</w:t>
            </w:r>
          </w:p>
        </w:tc>
        <w:tc>
          <w:tcPr>
            <w:tcW w:w="1260"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英文名称</w:t>
            </w:r>
          </w:p>
        </w:tc>
        <w:tc>
          <w:tcPr>
            <w:tcW w:w="1140"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字段类型</w:t>
            </w:r>
          </w:p>
        </w:tc>
        <w:tc>
          <w:tcPr>
            <w:tcW w:w="1275"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字段长度</w:t>
            </w:r>
          </w:p>
        </w:tc>
        <w:tc>
          <w:tcPr>
            <w:tcW w:w="1020"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小数位数</w:t>
            </w:r>
          </w:p>
        </w:tc>
        <w:tc>
          <w:tcPr>
            <w:tcW w:w="1275"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值域</w:t>
            </w:r>
          </w:p>
        </w:tc>
        <w:tc>
          <w:tcPr>
            <w:tcW w:w="2280"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是否必填（</w:t>
            </w:r>
            <w:r>
              <w:rPr>
                <w:rFonts w:hint="eastAsia" w:ascii="仿宋" w:hAnsi="仿宋" w:eastAsia="仿宋" w:cs="仿宋"/>
                <w:color w:val="auto"/>
                <w:kern w:val="0"/>
                <w:szCs w:val="21"/>
                <w:highlight w:val="none"/>
              </w:rPr>
              <w:t>▲</w:t>
            </w:r>
            <w:r>
              <w:rPr>
                <w:rFonts w:hint="eastAsia" w:ascii="仿宋" w:hAnsi="仿宋" w:eastAsia="仿宋" w:cs="仿宋"/>
                <w:color w:val="auto"/>
                <w:kern w:val="0"/>
                <w:sz w:val="18"/>
                <w:szCs w:val="18"/>
                <w:highlight w:val="none"/>
              </w:rPr>
              <w:t>为必填，△为条件必填，○为选填）</w:t>
            </w:r>
          </w:p>
        </w:tc>
        <w:tc>
          <w:tcPr>
            <w:tcW w:w="3298"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noWrap/>
            <w:vAlign w:val="center"/>
          </w:tcPr>
          <w:p>
            <w:pPr>
              <w:pStyle w:val="156"/>
              <w:numPr>
                <w:ilvl w:val="0"/>
                <w:numId w:val="49"/>
              </w:numPr>
              <w:autoSpaceDE w:val="0"/>
              <w:autoSpaceDN w:val="0"/>
              <w:adjustRightInd w:val="0"/>
              <w:spacing w:line="360" w:lineRule="auto"/>
              <w:ind w:firstLineChars="0"/>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项目编号</w:t>
            </w:r>
          </w:p>
        </w:tc>
        <w:tc>
          <w:tcPr>
            <w:tcW w:w="126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Work_No</w:t>
            </w:r>
          </w:p>
        </w:tc>
        <w:tc>
          <w:tcPr>
            <w:tcW w:w="11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100</w:t>
            </w:r>
          </w:p>
        </w:tc>
        <w:tc>
          <w:tcPr>
            <w:tcW w:w="1020" w:type="dxa"/>
            <w:noWrap/>
            <w:vAlign w:val="center"/>
          </w:tcPr>
          <w:p>
            <w:pPr>
              <w:jc w:val="center"/>
              <w:rPr>
                <w:rFonts w:ascii="仿宋" w:hAnsi="仿宋" w:eastAsia="仿宋" w:cs="仿宋"/>
                <w:color w:val="auto"/>
                <w:sz w:val="18"/>
                <w:szCs w:val="18"/>
                <w:highlight w:val="none"/>
              </w:rPr>
            </w:pPr>
          </w:p>
        </w:tc>
        <w:tc>
          <w:tcPr>
            <w:tcW w:w="1275" w:type="dxa"/>
            <w:noWrap/>
            <w:vAlign w:val="center"/>
          </w:tcPr>
          <w:p>
            <w:pPr>
              <w:jc w:val="center"/>
              <w:rPr>
                <w:rFonts w:ascii="仿宋" w:hAnsi="仿宋" w:eastAsia="仿宋" w:cs="仿宋"/>
                <w:color w:val="auto"/>
                <w:sz w:val="18"/>
                <w:szCs w:val="18"/>
                <w:highlight w:val="none"/>
              </w:rPr>
            </w:pPr>
          </w:p>
        </w:tc>
        <w:tc>
          <w:tcPr>
            <w:tcW w:w="228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29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行政区代码</w:t>
            </w:r>
            <w:r>
              <w:rPr>
                <w:rFonts w:ascii="仿宋" w:hAnsi="仿宋" w:eastAsia="仿宋" w:cs="仿宋"/>
                <w:color w:val="auto"/>
                <w:sz w:val="18"/>
                <w:szCs w:val="18"/>
                <w:highlight w:val="none"/>
              </w:rPr>
              <w:t>+年份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noWrap/>
            <w:vAlign w:val="center"/>
          </w:tcPr>
          <w:p>
            <w:pPr>
              <w:pStyle w:val="156"/>
              <w:numPr>
                <w:ilvl w:val="0"/>
                <w:numId w:val="49"/>
              </w:numPr>
              <w:autoSpaceDE w:val="0"/>
              <w:autoSpaceDN w:val="0"/>
              <w:adjustRightInd w:val="0"/>
              <w:spacing w:line="360" w:lineRule="auto"/>
              <w:ind w:firstLineChars="0"/>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工程编号</w:t>
            </w:r>
          </w:p>
        </w:tc>
        <w:tc>
          <w:tcPr>
            <w:tcW w:w="126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Prj_No</w:t>
            </w:r>
          </w:p>
        </w:tc>
        <w:tc>
          <w:tcPr>
            <w:tcW w:w="11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020" w:type="dxa"/>
            <w:noWrap/>
            <w:vAlign w:val="center"/>
          </w:tcPr>
          <w:p>
            <w:pPr>
              <w:jc w:val="center"/>
              <w:rPr>
                <w:rFonts w:ascii="仿宋" w:hAnsi="仿宋" w:eastAsia="仿宋" w:cs="仿宋"/>
                <w:color w:val="auto"/>
                <w:sz w:val="18"/>
                <w:szCs w:val="18"/>
                <w:highlight w:val="none"/>
              </w:rPr>
            </w:pPr>
          </w:p>
        </w:tc>
        <w:tc>
          <w:tcPr>
            <w:tcW w:w="1275" w:type="dxa"/>
            <w:noWrap/>
            <w:vAlign w:val="center"/>
          </w:tcPr>
          <w:p>
            <w:pPr>
              <w:jc w:val="center"/>
              <w:rPr>
                <w:rFonts w:ascii="仿宋" w:hAnsi="仿宋" w:eastAsia="仿宋" w:cs="仿宋"/>
                <w:color w:val="auto"/>
                <w:sz w:val="18"/>
                <w:szCs w:val="18"/>
                <w:highlight w:val="none"/>
              </w:rPr>
            </w:pPr>
          </w:p>
        </w:tc>
        <w:tc>
          <w:tcPr>
            <w:tcW w:w="2280"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29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标段号+测区号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noWrap/>
            <w:vAlign w:val="center"/>
          </w:tcPr>
          <w:p>
            <w:pPr>
              <w:pStyle w:val="156"/>
              <w:numPr>
                <w:ilvl w:val="0"/>
                <w:numId w:val="49"/>
              </w:numPr>
              <w:autoSpaceDE w:val="0"/>
              <w:autoSpaceDN w:val="0"/>
              <w:adjustRightInd w:val="0"/>
              <w:spacing w:line="360" w:lineRule="auto"/>
              <w:ind w:firstLineChars="0"/>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探测单位</w:t>
            </w:r>
          </w:p>
        </w:tc>
        <w:tc>
          <w:tcPr>
            <w:tcW w:w="126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KC</w:t>
            </w:r>
          </w:p>
        </w:tc>
        <w:tc>
          <w:tcPr>
            <w:tcW w:w="11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100</w:t>
            </w:r>
          </w:p>
        </w:tc>
        <w:tc>
          <w:tcPr>
            <w:tcW w:w="1020" w:type="dxa"/>
            <w:noWrap/>
            <w:vAlign w:val="center"/>
          </w:tcPr>
          <w:p>
            <w:pPr>
              <w:jc w:val="center"/>
              <w:rPr>
                <w:rFonts w:ascii="仿宋" w:hAnsi="仿宋" w:eastAsia="仿宋" w:cs="仿宋"/>
                <w:color w:val="auto"/>
                <w:sz w:val="18"/>
                <w:szCs w:val="18"/>
                <w:highlight w:val="none"/>
              </w:rPr>
            </w:pPr>
          </w:p>
        </w:tc>
        <w:tc>
          <w:tcPr>
            <w:tcW w:w="1275" w:type="dxa"/>
            <w:noWrap/>
            <w:vAlign w:val="center"/>
          </w:tcPr>
          <w:p>
            <w:pPr>
              <w:jc w:val="center"/>
              <w:rPr>
                <w:rFonts w:ascii="仿宋" w:hAnsi="仿宋" w:eastAsia="仿宋" w:cs="仿宋"/>
                <w:color w:val="auto"/>
                <w:sz w:val="18"/>
                <w:szCs w:val="18"/>
                <w:highlight w:val="none"/>
              </w:rPr>
            </w:pPr>
          </w:p>
        </w:tc>
        <w:tc>
          <w:tcPr>
            <w:tcW w:w="2280"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29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埴写作业单位全称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noWrap/>
            <w:vAlign w:val="center"/>
          </w:tcPr>
          <w:p>
            <w:pPr>
              <w:pStyle w:val="156"/>
              <w:numPr>
                <w:ilvl w:val="0"/>
                <w:numId w:val="49"/>
              </w:numPr>
              <w:autoSpaceDE w:val="0"/>
              <w:autoSpaceDN w:val="0"/>
              <w:adjustRightInd w:val="0"/>
              <w:spacing w:line="360" w:lineRule="auto"/>
              <w:ind w:firstLineChars="0"/>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探测日期</w:t>
            </w:r>
          </w:p>
        </w:tc>
        <w:tc>
          <w:tcPr>
            <w:tcW w:w="126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TC_Date</w:t>
            </w:r>
          </w:p>
        </w:tc>
        <w:tc>
          <w:tcPr>
            <w:tcW w:w="114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020" w:type="dxa"/>
            <w:noWrap/>
            <w:vAlign w:val="center"/>
          </w:tcPr>
          <w:p>
            <w:pPr>
              <w:jc w:val="center"/>
              <w:rPr>
                <w:rFonts w:ascii="仿宋" w:hAnsi="仿宋" w:eastAsia="仿宋" w:cs="仿宋"/>
                <w:color w:val="auto"/>
                <w:sz w:val="18"/>
                <w:szCs w:val="18"/>
                <w:highlight w:val="none"/>
              </w:rPr>
            </w:pPr>
          </w:p>
        </w:tc>
        <w:tc>
          <w:tcPr>
            <w:tcW w:w="1275" w:type="dxa"/>
            <w:noWrap/>
            <w:vAlign w:val="center"/>
          </w:tcPr>
          <w:p>
            <w:pPr>
              <w:jc w:val="center"/>
              <w:rPr>
                <w:rFonts w:ascii="仿宋" w:hAnsi="仿宋" w:eastAsia="仿宋" w:cs="仿宋"/>
                <w:color w:val="auto"/>
                <w:sz w:val="18"/>
                <w:szCs w:val="18"/>
                <w:highlight w:val="none"/>
              </w:rPr>
            </w:pPr>
          </w:p>
        </w:tc>
        <w:tc>
          <w:tcPr>
            <w:tcW w:w="2280"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29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noWrap/>
            <w:vAlign w:val="center"/>
          </w:tcPr>
          <w:p>
            <w:pPr>
              <w:pStyle w:val="156"/>
              <w:numPr>
                <w:ilvl w:val="0"/>
                <w:numId w:val="49"/>
              </w:numPr>
              <w:autoSpaceDE w:val="0"/>
              <w:autoSpaceDN w:val="0"/>
              <w:adjustRightInd w:val="0"/>
              <w:spacing w:line="360" w:lineRule="auto"/>
              <w:ind w:firstLineChars="0"/>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备注</w:t>
            </w:r>
          </w:p>
        </w:tc>
        <w:tc>
          <w:tcPr>
            <w:tcW w:w="126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Remark</w:t>
            </w:r>
          </w:p>
        </w:tc>
        <w:tc>
          <w:tcPr>
            <w:tcW w:w="1140"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27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100</w:t>
            </w:r>
          </w:p>
        </w:tc>
        <w:tc>
          <w:tcPr>
            <w:tcW w:w="1020" w:type="dxa"/>
            <w:noWrap/>
            <w:vAlign w:val="center"/>
          </w:tcPr>
          <w:p>
            <w:pPr>
              <w:jc w:val="center"/>
              <w:rPr>
                <w:rFonts w:ascii="仿宋" w:hAnsi="仿宋" w:eastAsia="仿宋" w:cs="仿宋"/>
                <w:color w:val="auto"/>
                <w:sz w:val="18"/>
                <w:szCs w:val="18"/>
                <w:highlight w:val="none"/>
              </w:rPr>
            </w:pPr>
          </w:p>
        </w:tc>
        <w:tc>
          <w:tcPr>
            <w:tcW w:w="1275" w:type="dxa"/>
            <w:noWrap/>
            <w:vAlign w:val="center"/>
          </w:tcPr>
          <w:p>
            <w:pPr>
              <w:jc w:val="center"/>
              <w:rPr>
                <w:rFonts w:ascii="仿宋" w:hAnsi="仿宋" w:eastAsia="仿宋" w:cs="仿宋"/>
                <w:color w:val="auto"/>
                <w:sz w:val="18"/>
                <w:szCs w:val="18"/>
                <w:highlight w:val="none"/>
              </w:rPr>
            </w:pPr>
          </w:p>
        </w:tc>
        <w:tc>
          <w:tcPr>
            <w:tcW w:w="228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w:t>
            </w:r>
          </w:p>
        </w:tc>
        <w:tc>
          <w:tcPr>
            <w:tcW w:w="3298" w:type="dxa"/>
            <w:noWrap/>
            <w:vAlign w:val="center"/>
          </w:tcPr>
          <w:p>
            <w:pPr>
              <w:jc w:val="center"/>
              <w:rPr>
                <w:rFonts w:ascii="仿宋" w:hAnsi="仿宋" w:eastAsia="仿宋" w:cs="仿宋"/>
                <w:color w:val="auto"/>
                <w:sz w:val="18"/>
                <w:szCs w:val="18"/>
                <w:highlight w:val="none"/>
              </w:rPr>
            </w:pPr>
          </w:p>
        </w:tc>
      </w:tr>
    </w:tbl>
    <w:p>
      <w:pPr>
        <w:pStyle w:val="6"/>
        <w:jc w:val="center"/>
        <w:rPr>
          <w:rFonts w:ascii="仿宋" w:hAnsi="仿宋" w:eastAsia="仿宋" w:cs="仿宋"/>
          <w:color w:val="auto"/>
          <w:sz w:val="24"/>
          <w:highlight w:val="none"/>
        </w:rPr>
      </w:pPr>
      <w:bookmarkStart w:id="510" w:name="_Toc20771"/>
      <w:bookmarkStart w:id="511" w:name="_Toc3788"/>
      <w:bookmarkStart w:id="512" w:name="_Toc24255"/>
      <w:bookmarkStart w:id="513" w:name="_Toc11460"/>
      <w:r>
        <w:rPr>
          <w:rFonts w:hint="eastAsia" w:ascii="仿宋" w:hAnsi="仿宋" w:eastAsia="仿宋" w:cs="仿宋"/>
          <w:color w:val="auto"/>
          <w:sz w:val="24"/>
          <w:highlight w:val="none"/>
        </w:rPr>
        <w:t>附表A.7 管线隐患信息属性结构表</w:t>
      </w:r>
      <w:bookmarkEnd w:id="510"/>
      <w:bookmarkEnd w:id="511"/>
      <w:bookmarkEnd w:id="512"/>
      <w:bookmarkEnd w:id="513"/>
    </w:p>
    <w:tbl>
      <w:tblPr>
        <w:tblStyle w:val="43"/>
        <w:tblW w:w="13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436"/>
        <w:gridCol w:w="1541"/>
        <w:gridCol w:w="1134"/>
        <w:gridCol w:w="992"/>
        <w:gridCol w:w="1276"/>
        <w:gridCol w:w="2268"/>
        <w:gridCol w:w="3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blHeader/>
          <w:jc w:val="center"/>
        </w:trPr>
        <w:tc>
          <w:tcPr>
            <w:tcW w:w="874"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序号</w:t>
            </w:r>
          </w:p>
        </w:tc>
        <w:tc>
          <w:tcPr>
            <w:tcW w:w="1436"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中文名称</w:t>
            </w:r>
          </w:p>
        </w:tc>
        <w:tc>
          <w:tcPr>
            <w:tcW w:w="1541"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字段类型</w:t>
            </w:r>
          </w:p>
        </w:tc>
        <w:tc>
          <w:tcPr>
            <w:tcW w:w="1134"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字段长度</w:t>
            </w:r>
          </w:p>
        </w:tc>
        <w:tc>
          <w:tcPr>
            <w:tcW w:w="992"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小数位数</w:t>
            </w:r>
          </w:p>
        </w:tc>
        <w:tc>
          <w:tcPr>
            <w:tcW w:w="1276"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值域</w:t>
            </w:r>
          </w:p>
        </w:tc>
        <w:tc>
          <w:tcPr>
            <w:tcW w:w="2268"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是否必填（</w:t>
            </w:r>
            <w:r>
              <w:rPr>
                <w:rFonts w:hint="eastAsia" w:ascii="仿宋" w:hAnsi="仿宋" w:eastAsia="仿宋" w:cs="仿宋"/>
                <w:color w:val="auto"/>
                <w:kern w:val="0"/>
                <w:szCs w:val="21"/>
                <w:highlight w:val="none"/>
              </w:rPr>
              <w:t>▲</w:t>
            </w:r>
            <w:r>
              <w:rPr>
                <w:rFonts w:hint="eastAsia" w:ascii="仿宋" w:hAnsi="仿宋" w:eastAsia="仿宋" w:cs="仿宋"/>
                <w:color w:val="auto"/>
                <w:kern w:val="0"/>
                <w:sz w:val="18"/>
                <w:szCs w:val="18"/>
                <w:highlight w:val="none"/>
              </w:rPr>
              <w:t>为必填，△为条件必填，○为选填）</w:t>
            </w:r>
          </w:p>
        </w:tc>
        <w:tc>
          <w:tcPr>
            <w:tcW w:w="3581" w:type="dxa"/>
            <w:shd w:val="clear" w:color="auto" w:fill="BFBFBF"/>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tcPr>
          <w:p>
            <w:pPr>
              <w:pStyle w:val="156"/>
              <w:numPr>
                <w:ilvl w:val="0"/>
                <w:numId w:val="50"/>
              </w:numPr>
              <w:spacing w:line="360" w:lineRule="auto"/>
              <w:ind w:firstLineChars="0"/>
              <w:jc w:val="center"/>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标识码</w:t>
            </w:r>
          </w:p>
        </w:tc>
        <w:tc>
          <w:tcPr>
            <w:tcW w:w="154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25</w:t>
            </w:r>
          </w:p>
        </w:tc>
        <w:tc>
          <w:tcPr>
            <w:tcW w:w="992" w:type="dxa"/>
            <w:noWrap/>
            <w:vAlign w:val="center"/>
          </w:tcPr>
          <w:p>
            <w:pPr>
              <w:jc w:val="center"/>
              <w:rPr>
                <w:rFonts w:ascii="仿宋" w:hAnsi="仿宋" w:eastAsia="仿宋" w:cs="仿宋"/>
                <w:color w:val="auto"/>
                <w:sz w:val="18"/>
                <w:szCs w:val="18"/>
                <w:highlight w:val="none"/>
              </w:rPr>
            </w:pPr>
          </w:p>
        </w:tc>
        <w:tc>
          <w:tcPr>
            <w:tcW w:w="1276"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58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见管线点号编号方法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tcPr>
          <w:p>
            <w:pPr>
              <w:pStyle w:val="156"/>
              <w:numPr>
                <w:ilvl w:val="0"/>
                <w:numId w:val="50"/>
              </w:numPr>
              <w:spacing w:line="360" w:lineRule="auto"/>
              <w:ind w:firstLineChars="0"/>
              <w:jc w:val="center"/>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X坐标</w:t>
            </w:r>
          </w:p>
        </w:tc>
        <w:tc>
          <w:tcPr>
            <w:tcW w:w="154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1134" w:type="dxa"/>
            <w:noWrap/>
            <w:vAlign w:val="center"/>
          </w:tcPr>
          <w:p>
            <w:pPr>
              <w:jc w:val="center"/>
              <w:rPr>
                <w:rFonts w:ascii="仿宋" w:hAnsi="仿宋" w:eastAsia="仿宋" w:cs="仿宋"/>
                <w:color w:val="auto"/>
                <w:sz w:val="18"/>
                <w:szCs w:val="18"/>
                <w:highlight w:val="none"/>
              </w:rPr>
            </w:pP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276" w:type="dxa"/>
            <w:noWrap/>
            <w:vAlign w:val="center"/>
          </w:tcPr>
          <w:p>
            <w:pPr>
              <w:jc w:val="center"/>
              <w:rPr>
                <w:rFonts w:ascii="仿宋" w:hAnsi="仿宋" w:eastAsia="仿宋" w:cs="仿宋"/>
                <w:color w:val="auto"/>
                <w:sz w:val="18"/>
                <w:szCs w:val="18"/>
                <w:highlight w:val="none"/>
              </w:rPr>
            </w:pPr>
          </w:p>
        </w:tc>
        <w:tc>
          <w:tcPr>
            <w:tcW w:w="2268"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581"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tcPr>
          <w:p>
            <w:pPr>
              <w:pStyle w:val="156"/>
              <w:numPr>
                <w:ilvl w:val="0"/>
                <w:numId w:val="50"/>
              </w:numPr>
              <w:spacing w:line="360" w:lineRule="auto"/>
              <w:ind w:firstLineChars="0"/>
              <w:jc w:val="center"/>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Y坐标</w:t>
            </w:r>
          </w:p>
        </w:tc>
        <w:tc>
          <w:tcPr>
            <w:tcW w:w="154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w:t>
            </w: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w:t>
            </w:r>
          </w:p>
        </w:tc>
        <w:tc>
          <w:tcPr>
            <w:tcW w:w="1276" w:type="dxa"/>
            <w:noWrap/>
            <w:vAlign w:val="center"/>
          </w:tcPr>
          <w:p>
            <w:pPr>
              <w:jc w:val="center"/>
              <w:rPr>
                <w:rFonts w:ascii="仿宋" w:hAnsi="仿宋" w:eastAsia="仿宋" w:cs="仿宋"/>
                <w:color w:val="auto"/>
                <w:sz w:val="18"/>
                <w:szCs w:val="18"/>
                <w:highlight w:val="none"/>
              </w:rPr>
            </w:pPr>
          </w:p>
        </w:tc>
        <w:tc>
          <w:tcPr>
            <w:tcW w:w="2268"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581"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tcPr>
          <w:p>
            <w:pPr>
              <w:pStyle w:val="156"/>
              <w:numPr>
                <w:ilvl w:val="0"/>
                <w:numId w:val="50"/>
              </w:numPr>
              <w:spacing w:line="360" w:lineRule="auto"/>
              <w:ind w:firstLineChars="0"/>
              <w:jc w:val="center"/>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地面高程</w:t>
            </w:r>
          </w:p>
        </w:tc>
        <w:tc>
          <w:tcPr>
            <w:tcW w:w="154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双精度</w:t>
            </w:r>
          </w:p>
        </w:tc>
        <w:tc>
          <w:tcPr>
            <w:tcW w:w="1134" w:type="dxa"/>
            <w:noWrap/>
            <w:vAlign w:val="center"/>
          </w:tcPr>
          <w:p>
            <w:pPr>
              <w:jc w:val="center"/>
              <w:rPr>
                <w:rFonts w:ascii="仿宋" w:hAnsi="仿宋" w:eastAsia="仿宋" w:cs="仿宋"/>
                <w:color w:val="auto"/>
                <w:sz w:val="18"/>
                <w:szCs w:val="18"/>
                <w:highlight w:val="none"/>
              </w:rPr>
            </w:pPr>
          </w:p>
        </w:tc>
        <w:tc>
          <w:tcPr>
            <w:tcW w:w="99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w:t>
            </w:r>
          </w:p>
        </w:tc>
        <w:tc>
          <w:tcPr>
            <w:tcW w:w="1276" w:type="dxa"/>
            <w:noWrap/>
            <w:vAlign w:val="center"/>
          </w:tcPr>
          <w:p>
            <w:pPr>
              <w:jc w:val="center"/>
              <w:rPr>
                <w:rFonts w:ascii="仿宋" w:hAnsi="仿宋" w:eastAsia="仿宋" w:cs="仿宋"/>
                <w:color w:val="auto"/>
                <w:sz w:val="18"/>
                <w:szCs w:val="18"/>
                <w:highlight w:val="none"/>
              </w:rPr>
            </w:pPr>
          </w:p>
        </w:tc>
        <w:tc>
          <w:tcPr>
            <w:tcW w:w="2268"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581"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tcPr>
          <w:p>
            <w:pPr>
              <w:pStyle w:val="156"/>
              <w:numPr>
                <w:ilvl w:val="0"/>
                <w:numId w:val="50"/>
              </w:numPr>
              <w:spacing w:line="360" w:lineRule="auto"/>
              <w:ind w:firstLineChars="0"/>
              <w:jc w:val="center"/>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隐患地点</w:t>
            </w:r>
          </w:p>
        </w:tc>
        <w:tc>
          <w:tcPr>
            <w:tcW w:w="1541" w:type="dxa"/>
            <w:noWrap/>
            <w:vAlign w:val="center"/>
          </w:tcPr>
          <w:p>
            <w:pPr>
              <w:jc w:val="center"/>
              <w:rPr>
                <w:rFonts w:ascii="仿宋" w:hAnsi="仿宋" w:eastAsia="仿宋" w:cs="仿宋"/>
                <w:color w:val="auto"/>
                <w:highlight w:val="none"/>
              </w:rPr>
            </w:pPr>
            <w:r>
              <w:rPr>
                <w:rFonts w:hint="eastAsia" w:ascii="仿宋" w:hAnsi="仿宋" w:eastAsia="仿宋" w:cs="仿宋"/>
                <w:color w:val="auto"/>
                <w:sz w:val="18"/>
                <w:szCs w:val="18"/>
                <w:highlight w:val="none"/>
              </w:rPr>
              <w:t>字符型</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300</w:t>
            </w:r>
          </w:p>
        </w:tc>
        <w:tc>
          <w:tcPr>
            <w:tcW w:w="992" w:type="dxa"/>
            <w:noWrap/>
            <w:vAlign w:val="center"/>
          </w:tcPr>
          <w:p>
            <w:pPr>
              <w:jc w:val="center"/>
              <w:rPr>
                <w:rFonts w:ascii="仿宋" w:hAnsi="仿宋" w:eastAsia="仿宋" w:cs="仿宋"/>
                <w:color w:val="auto"/>
                <w:sz w:val="18"/>
                <w:szCs w:val="18"/>
                <w:highlight w:val="none"/>
              </w:rPr>
            </w:pPr>
          </w:p>
        </w:tc>
        <w:tc>
          <w:tcPr>
            <w:tcW w:w="1276"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Cs w:val="21"/>
                <w:highlight w:val="none"/>
              </w:rPr>
              <w:t>▲</w:t>
            </w:r>
          </w:p>
        </w:tc>
        <w:tc>
          <w:tcPr>
            <w:tcW w:w="3581"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tcPr>
          <w:p>
            <w:pPr>
              <w:pStyle w:val="156"/>
              <w:numPr>
                <w:ilvl w:val="0"/>
                <w:numId w:val="50"/>
              </w:numPr>
              <w:spacing w:line="360" w:lineRule="auto"/>
              <w:ind w:firstLineChars="0"/>
              <w:jc w:val="center"/>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隐患类别</w:t>
            </w:r>
          </w:p>
        </w:tc>
        <w:tc>
          <w:tcPr>
            <w:tcW w:w="154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134"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15</w:t>
            </w:r>
          </w:p>
        </w:tc>
        <w:tc>
          <w:tcPr>
            <w:tcW w:w="992" w:type="dxa"/>
            <w:noWrap/>
            <w:vAlign w:val="center"/>
          </w:tcPr>
          <w:p>
            <w:pPr>
              <w:jc w:val="center"/>
              <w:rPr>
                <w:rFonts w:ascii="仿宋" w:hAnsi="仿宋" w:eastAsia="仿宋" w:cs="仿宋"/>
                <w:color w:val="auto"/>
                <w:sz w:val="18"/>
                <w:szCs w:val="18"/>
                <w:highlight w:val="none"/>
              </w:rPr>
            </w:pPr>
          </w:p>
        </w:tc>
        <w:tc>
          <w:tcPr>
            <w:tcW w:w="127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见附录M</w:t>
            </w:r>
          </w:p>
        </w:tc>
        <w:tc>
          <w:tcPr>
            <w:tcW w:w="2268"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581" w:type="dxa"/>
            <w:noWrap/>
            <w:vAlign w:val="center"/>
          </w:tcPr>
          <w:p>
            <w:pP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 xml:space="preserve"> 多种</w:t>
            </w:r>
            <w:r>
              <w:rPr>
                <w:rFonts w:ascii="仿宋" w:hAnsi="仿宋" w:eastAsia="仿宋" w:cs="仿宋"/>
                <w:color w:val="auto"/>
                <w:sz w:val="18"/>
                <w:szCs w:val="18"/>
                <w:highlight w:val="none"/>
              </w:rPr>
              <w:t>类别以</w:t>
            </w:r>
            <w:r>
              <w:rPr>
                <w:rFonts w:hint="eastAsia" w:ascii="仿宋" w:hAnsi="仿宋" w:eastAsia="仿宋" w:cs="仿宋"/>
                <w:color w:val="auto"/>
                <w:sz w:val="18"/>
                <w:szCs w:val="18"/>
                <w:highlight w:val="none"/>
              </w:rPr>
              <w:t>逗号分隔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tcPr>
          <w:p>
            <w:pPr>
              <w:pStyle w:val="156"/>
              <w:numPr>
                <w:ilvl w:val="0"/>
                <w:numId w:val="50"/>
              </w:numPr>
              <w:spacing w:line="360" w:lineRule="auto"/>
              <w:ind w:firstLineChars="0"/>
              <w:jc w:val="center"/>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隐患部位</w:t>
            </w:r>
          </w:p>
        </w:tc>
        <w:tc>
          <w:tcPr>
            <w:tcW w:w="154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300</w:t>
            </w:r>
          </w:p>
        </w:tc>
        <w:tc>
          <w:tcPr>
            <w:tcW w:w="992" w:type="dxa"/>
            <w:noWrap/>
            <w:vAlign w:val="center"/>
          </w:tcPr>
          <w:p>
            <w:pPr>
              <w:jc w:val="center"/>
              <w:rPr>
                <w:rFonts w:ascii="仿宋" w:hAnsi="仿宋" w:eastAsia="仿宋" w:cs="仿宋"/>
                <w:color w:val="auto"/>
                <w:sz w:val="18"/>
                <w:szCs w:val="18"/>
                <w:highlight w:val="none"/>
              </w:rPr>
            </w:pPr>
          </w:p>
        </w:tc>
        <w:tc>
          <w:tcPr>
            <w:tcW w:w="1276"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581"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tcPr>
          <w:p>
            <w:pPr>
              <w:pStyle w:val="156"/>
              <w:numPr>
                <w:ilvl w:val="0"/>
                <w:numId w:val="50"/>
              </w:numPr>
              <w:spacing w:line="360" w:lineRule="auto"/>
              <w:ind w:firstLineChars="0"/>
              <w:jc w:val="center"/>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隐患描述</w:t>
            </w:r>
          </w:p>
        </w:tc>
        <w:tc>
          <w:tcPr>
            <w:tcW w:w="154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2000</w:t>
            </w:r>
          </w:p>
        </w:tc>
        <w:tc>
          <w:tcPr>
            <w:tcW w:w="992" w:type="dxa"/>
            <w:noWrap/>
            <w:vAlign w:val="center"/>
          </w:tcPr>
          <w:p>
            <w:pPr>
              <w:jc w:val="center"/>
              <w:rPr>
                <w:rFonts w:ascii="仿宋" w:hAnsi="仿宋" w:eastAsia="仿宋" w:cs="仿宋"/>
                <w:color w:val="auto"/>
                <w:sz w:val="18"/>
                <w:szCs w:val="18"/>
                <w:highlight w:val="none"/>
              </w:rPr>
            </w:pPr>
          </w:p>
        </w:tc>
        <w:tc>
          <w:tcPr>
            <w:tcW w:w="1276"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581"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tcPr>
          <w:p>
            <w:pPr>
              <w:pStyle w:val="156"/>
              <w:numPr>
                <w:ilvl w:val="0"/>
                <w:numId w:val="50"/>
              </w:numPr>
              <w:spacing w:line="360" w:lineRule="auto"/>
              <w:ind w:firstLineChars="0"/>
              <w:jc w:val="center"/>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是否</w:t>
            </w:r>
            <w:r>
              <w:rPr>
                <w:rFonts w:ascii="仿宋" w:hAnsi="仿宋" w:eastAsia="仿宋" w:cs="仿宋"/>
                <w:color w:val="auto"/>
                <w:sz w:val="18"/>
                <w:szCs w:val="18"/>
                <w:highlight w:val="none"/>
              </w:rPr>
              <w:t>有隐患照片</w:t>
            </w:r>
          </w:p>
        </w:tc>
        <w:tc>
          <w:tcPr>
            <w:tcW w:w="154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w:t>
            </w:r>
          </w:p>
        </w:tc>
        <w:tc>
          <w:tcPr>
            <w:tcW w:w="992" w:type="dxa"/>
            <w:noWrap/>
            <w:vAlign w:val="center"/>
          </w:tcPr>
          <w:p>
            <w:pPr>
              <w:jc w:val="center"/>
              <w:rPr>
                <w:rFonts w:ascii="仿宋" w:hAnsi="仿宋" w:eastAsia="仿宋" w:cs="仿宋"/>
                <w:color w:val="auto"/>
                <w:sz w:val="18"/>
                <w:szCs w:val="18"/>
                <w:highlight w:val="none"/>
              </w:rPr>
            </w:pPr>
          </w:p>
        </w:tc>
        <w:tc>
          <w:tcPr>
            <w:tcW w:w="127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是/否</w:t>
            </w:r>
          </w:p>
        </w:tc>
        <w:tc>
          <w:tcPr>
            <w:tcW w:w="2268" w:type="dxa"/>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w:t>
            </w:r>
          </w:p>
        </w:tc>
        <w:tc>
          <w:tcPr>
            <w:tcW w:w="358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现场</w:t>
            </w:r>
            <w:r>
              <w:rPr>
                <w:rFonts w:ascii="仿宋" w:hAnsi="仿宋" w:eastAsia="仿宋" w:cs="仿宋"/>
                <w:color w:val="auto"/>
                <w:sz w:val="18"/>
                <w:szCs w:val="18"/>
                <w:highlight w:val="none"/>
              </w:rPr>
              <w:t>可</w:t>
            </w:r>
            <w:r>
              <w:rPr>
                <w:rFonts w:hint="eastAsia" w:ascii="仿宋" w:hAnsi="仿宋" w:eastAsia="仿宋" w:cs="仿宋"/>
                <w:color w:val="auto"/>
                <w:sz w:val="18"/>
                <w:szCs w:val="18"/>
                <w:highlight w:val="none"/>
              </w:rPr>
              <w:t>拍摄</w:t>
            </w:r>
            <w:r>
              <w:rPr>
                <w:rFonts w:ascii="仿宋" w:hAnsi="仿宋" w:eastAsia="仿宋" w:cs="仿宋"/>
                <w:color w:val="auto"/>
                <w:sz w:val="18"/>
                <w:szCs w:val="18"/>
                <w:highlight w:val="none"/>
              </w:rPr>
              <w:t>隐患部位照片的填写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tcPr>
          <w:p>
            <w:pPr>
              <w:pStyle w:val="156"/>
              <w:numPr>
                <w:ilvl w:val="0"/>
                <w:numId w:val="50"/>
              </w:numPr>
              <w:spacing w:line="360" w:lineRule="auto"/>
              <w:ind w:firstLineChars="0"/>
              <w:jc w:val="center"/>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隐患照片</w:t>
            </w:r>
            <w:r>
              <w:rPr>
                <w:rFonts w:hint="eastAsia" w:ascii="仿宋" w:hAnsi="仿宋" w:eastAsia="仿宋" w:cs="仿宋"/>
                <w:color w:val="auto"/>
                <w:sz w:val="18"/>
                <w:szCs w:val="18"/>
                <w:highlight w:val="none"/>
              </w:rPr>
              <w:t>编号</w:t>
            </w:r>
          </w:p>
        </w:tc>
        <w:tc>
          <w:tcPr>
            <w:tcW w:w="154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25</w:t>
            </w:r>
          </w:p>
        </w:tc>
        <w:tc>
          <w:tcPr>
            <w:tcW w:w="992" w:type="dxa"/>
            <w:noWrap/>
            <w:vAlign w:val="center"/>
          </w:tcPr>
          <w:p>
            <w:pPr>
              <w:jc w:val="center"/>
              <w:rPr>
                <w:rFonts w:ascii="仿宋" w:hAnsi="仿宋" w:eastAsia="仿宋" w:cs="仿宋"/>
                <w:color w:val="auto"/>
                <w:sz w:val="18"/>
                <w:szCs w:val="18"/>
                <w:highlight w:val="none"/>
              </w:rPr>
            </w:pPr>
          </w:p>
        </w:tc>
        <w:tc>
          <w:tcPr>
            <w:tcW w:w="1276"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 w:val="18"/>
                <w:szCs w:val="18"/>
                <w:highlight w:val="none"/>
              </w:rPr>
              <w:t>△</w:t>
            </w:r>
          </w:p>
        </w:tc>
        <w:tc>
          <w:tcPr>
            <w:tcW w:w="358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同</w:t>
            </w:r>
            <w:r>
              <w:rPr>
                <w:rFonts w:ascii="仿宋" w:hAnsi="仿宋" w:eastAsia="仿宋" w:cs="仿宋"/>
                <w:color w:val="auto"/>
                <w:sz w:val="18"/>
                <w:szCs w:val="18"/>
                <w:highlight w:val="none"/>
              </w:rPr>
              <w:t>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tcPr>
          <w:p>
            <w:pPr>
              <w:pStyle w:val="156"/>
              <w:numPr>
                <w:ilvl w:val="0"/>
                <w:numId w:val="50"/>
              </w:numPr>
              <w:spacing w:line="360" w:lineRule="auto"/>
              <w:ind w:firstLineChars="0"/>
              <w:jc w:val="center"/>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责任单位</w:t>
            </w:r>
          </w:p>
        </w:tc>
        <w:tc>
          <w:tcPr>
            <w:tcW w:w="154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200</w:t>
            </w:r>
          </w:p>
        </w:tc>
        <w:tc>
          <w:tcPr>
            <w:tcW w:w="992" w:type="dxa"/>
            <w:noWrap/>
            <w:vAlign w:val="center"/>
          </w:tcPr>
          <w:p>
            <w:pPr>
              <w:jc w:val="center"/>
              <w:rPr>
                <w:rFonts w:ascii="仿宋" w:hAnsi="仿宋" w:eastAsia="仿宋" w:cs="仿宋"/>
                <w:color w:val="auto"/>
                <w:sz w:val="18"/>
                <w:szCs w:val="18"/>
                <w:highlight w:val="none"/>
              </w:rPr>
            </w:pPr>
          </w:p>
        </w:tc>
        <w:tc>
          <w:tcPr>
            <w:tcW w:w="1276"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581"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tcPr>
          <w:p>
            <w:pPr>
              <w:pStyle w:val="156"/>
              <w:numPr>
                <w:ilvl w:val="0"/>
                <w:numId w:val="50"/>
              </w:numPr>
              <w:spacing w:line="360" w:lineRule="auto"/>
              <w:ind w:firstLineChars="0"/>
              <w:jc w:val="center"/>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责任人</w:t>
            </w:r>
          </w:p>
        </w:tc>
        <w:tc>
          <w:tcPr>
            <w:tcW w:w="154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30</w:t>
            </w:r>
          </w:p>
        </w:tc>
        <w:tc>
          <w:tcPr>
            <w:tcW w:w="992" w:type="dxa"/>
            <w:noWrap/>
            <w:vAlign w:val="center"/>
          </w:tcPr>
          <w:p>
            <w:pPr>
              <w:jc w:val="center"/>
              <w:rPr>
                <w:rFonts w:ascii="仿宋" w:hAnsi="仿宋" w:eastAsia="仿宋" w:cs="仿宋"/>
                <w:color w:val="auto"/>
                <w:sz w:val="18"/>
                <w:szCs w:val="18"/>
                <w:highlight w:val="none"/>
              </w:rPr>
            </w:pPr>
          </w:p>
        </w:tc>
        <w:tc>
          <w:tcPr>
            <w:tcW w:w="1276"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581"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tcPr>
          <w:p>
            <w:pPr>
              <w:pStyle w:val="156"/>
              <w:numPr>
                <w:ilvl w:val="0"/>
                <w:numId w:val="50"/>
              </w:numPr>
              <w:spacing w:line="360" w:lineRule="auto"/>
              <w:ind w:firstLineChars="0"/>
              <w:jc w:val="center"/>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安全标识</w:t>
            </w:r>
          </w:p>
        </w:tc>
        <w:tc>
          <w:tcPr>
            <w:tcW w:w="154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w:t>
            </w:r>
          </w:p>
        </w:tc>
        <w:tc>
          <w:tcPr>
            <w:tcW w:w="992" w:type="dxa"/>
            <w:noWrap/>
            <w:vAlign w:val="center"/>
          </w:tcPr>
          <w:p>
            <w:pPr>
              <w:jc w:val="center"/>
              <w:rPr>
                <w:rFonts w:ascii="仿宋" w:hAnsi="仿宋" w:eastAsia="仿宋" w:cs="仿宋"/>
                <w:color w:val="auto"/>
                <w:sz w:val="18"/>
                <w:szCs w:val="18"/>
                <w:highlight w:val="none"/>
              </w:rPr>
            </w:pPr>
          </w:p>
        </w:tc>
        <w:tc>
          <w:tcPr>
            <w:tcW w:w="127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是/否</w:t>
            </w:r>
          </w:p>
        </w:tc>
        <w:tc>
          <w:tcPr>
            <w:tcW w:w="2268"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581"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tcPr>
          <w:p>
            <w:pPr>
              <w:pStyle w:val="156"/>
              <w:numPr>
                <w:ilvl w:val="0"/>
                <w:numId w:val="50"/>
              </w:numPr>
              <w:spacing w:line="360" w:lineRule="auto"/>
              <w:ind w:firstLineChars="0"/>
              <w:jc w:val="center"/>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是否排查</w:t>
            </w:r>
          </w:p>
        </w:tc>
        <w:tc>
          <w:tcPr>
            <w:tcW w:w="154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w:t>
            </w:r>
          </w:p>
        </w:tc>
        <w:tc>
          <w:tcPr>
            <w:tcW w:w="992" w:type="dxa"/>
            <w:noWrap/>
            <w:vAlign w:val="center"/>
          </w:tcPr>
          <w:p>
            <w:pPr>
              <w:jc w:val="center"/>
              <w:rPr>
                <w:rFonts w:ascii="仿宋" w:hAnsi="仿宋" w:eastAsia="仿宋" w:cs="仿宋"/>
                <w:color w:val="auto"/>
                <w:sz w:val="18"/>
                <w:szCs w:val="18"/>
                <w:highlight w:val="none"/>
              </w:rPr>
            </w:pPr>
          </w:p>
        </w:tc>
        <w:tc>
          <w:tcPr>
            <w:tcW w:w="127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是/否</w:t>
            </w:r>
          </w:p>
        </w:tc>
        <w:tc>
          <w:tcPr>
            <w:tcW w:w="2268"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581"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tcPr>
          <w:p>
            <w:pPr>
              <w:pStyle w:val="156"/>
              <w:numPr>
                <w:ilvl w:val="0"/>
                <w:numId w:val="50"/>
              </w:numPr>
              <w:spacing w:line="360" w:lineRule="auto"/>
              <w:ind w:firstLineChars="0"/>
              <w:jc w:val="center"/>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整改措施</w:t>
            </w:r>
          </w:p>
        </w:tc>
        <w:tc>
          <w:tcPr>
            <w:tcW w:w="154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w:t>
            </w:r>
          </w:p>
        </w:tc>
        <w:tc>
          <w:tcPr>
            <w:tcW w:w="992" w:type="dxa"/>
            <w:noWrap/>
            <w:vAlign w:val="center"/>
          </w:tcPr>
          <w:p>
            <w:pPr>
              <w:jc w:val="center"/>
              <w:rPr>
                <w:rFonts w:ascii="仿宋" w:hAnsi="仿宋" w:eastAsia="仿宋" w:cs="仿宋"/>
                <w:color w:val="auto"/>
                <w:sz w:val="18"/>
                <w:szCs w:val="18"/>
                <w:highlight w:val="none"/>
              </w:rPr>
            </w:pPr>
          </w:p>
        </w:tc>
        <w:tc>
          <w:tcPr>
            <w:tcW w:w="127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是/否</w:t>
            </w:r>
          </w:p>
        </w:tc>
        <w:tc>
          <w:tcPr>
            <w:tcW w:w="2268"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581"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tcPr>
          <w:p>
            <w:pPr>
              <w:pStyle w:val="156"/>
              <w:numPr>
                <w:ilvl w:val="0"/>
                <w:numId w:val="50"/>
              </w:numPr>
              <w:spacing w:line="360" w:lineRule="auto"/>
              <w:ind w:firstLineChars="0"/>
              <w:jc w:val="center"/>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采集日期</w:t>
            </w:r>
          </w:p>
        </w:tc>
        <w:tc>
          <w:tcPr>
            <w:tcW w:w="154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992" w:type="dxa"/>
            <w:noWrap/>
            <w:vAlign w:val="center"/>
          </w:tcPr>
          <w:p>
            <w:pPr>
              <w:jc w:val="center"/>
              <w:rPr>
                <w:rFonts w:ascii="仿宋" w:hAnsi="仿宋" w:eastAsia="仿宋" w:cs="仿宋"/>
                <w:color w:val="auto"/>
                <w:sz w:val="18"/>
                <w:szCs w:val="18"/>
                <w:highlight w:val="none"/>
              </w:rPr>
            </w:pPr>
          </w:p>
        </w:tc>
        <w:tc>
          <w:tcPr>
            <w:tcW w:w="1276"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w:t>
            </w:r>
          </w:p>
        </w:tc>
        <w:tc>
          <w:tcPr>
            <w:tcW w:w="358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采用“YYYY-MM-DD”格式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tcPr>
          <w:p>
            <w:pPr>
              <w:pStyle w:val="156"/>
              <w:numPr>
                <w:ilvl w:val="0"/>
                <w:numId w:val="50"/>
              </w:numPr>
              <w:spacing w:line="360" w:lineRule="auto"/>
              <w:ind w:firstLineChars="0"/>
              <w:jc w:val="center"/>
              <w:rPr>
                <w:rFonts w:ascii="仿宋" w:hAnsi="仿宋" w:eastAsia="仿宋" w:cs="仿宋"/>
                <w:color w:val="auto"/>
                <w:highlight w:val="none"/>
              </w:rPr>
            </w:pPr>
          </w:p>
        </w:tc>
        <w:tc>
          <w:tcPr>
            <w:tcW w:w="1436"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备注</w:t>
            </w:r>
          </w:p>
        </w:tc>
        <w:tc>
          <w:tcPr>
            <w:tcW w:w="154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字符型</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100</w:t>
            </w:r>
          </w:p>
        </w:tc>
        <w:tc>
          <w:tcPr>
            <w:tcW w:w="992" w:type="dxa"/>
            <w:noWrap/>
            <w:vAlign w:val="center"/>
          </w:tcPr>
          <w:p>
            <w:pPr>
              <w:jc w:val="center"/>
              <w:rPr>
                <w:rFonts w:ascii="仿宋" w:hAnsi="仿宋" w:eastAsia="仿宋" w:cs="仿宋"/>
                <w:color w:val="auto"/>
                <w:sz w:val="18"/>
                <w:szCs w:val="18"/>
                <w:highlight w:val="none"/>
              </w:rPr>
            </w:pPr>
          </w:p>
        </w:tc>
        <w:tc>
          <w:tcPr>
            <w:tcW w:w="1276" w:type="dxa"/>
            <w:noWrap/>
            <w:vAlign w:val="center"/>
          </w:tcPr>
          <w:p>
            <w:pPr>
              <w:jc w:val="center"/>
              <w:rPr>
                <w:rFonts w:ascii="仿宋" w:hAnsi="仿宋" w:eastAsia="仿宋" w:cs="仿宋"/>
                <w:color w:val="auto"/>
                <w:sz w:val="18"/>
                <w:szCs w:val="18"/>
                <w:highlight w:val="none"/>
              </w:rPr>
            </w:pPr>
          </w:p>
        </w:tc>
        <w:tc>
          <w:tcPr>
            <w:tcW w:w="2268"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w:t>
            </w:r>
          </w:p>
        </w:tc>
        <w:tc>
          <w:tcPr>
            <w:tcW w:w="3581" w:type="dxa"/>
            <w:noWrap/>
            <w:vAlign w:val="center"/>
          </w:tcPr>
          <w:p>
            <w:pPr>
              <w:jc w:val="center"/>
              <w:rPr>
                <w:rFonts w:ascii="仿宋" w:hAnsi="仿宋" w:eastAsia="仿宋" w:cs="仿宋"/>
                <w:color w:val="auto"/>
                <w:sz w:val="18"/>
                <w:szCs w:val="18"/>
                <w:highlight w:val="none"/>
              </w:rPr>
            </w:pPr>
          </w:p>
        </w:tc>
      </w:tr>
    </w:tbl>
    <w:p>
      <w:pPr>
        <w:pStyle w:val="6"/>
        <w:jc w:val="left"/>
        <w:rPr>
          <w:rFonts w:ascii="仿宋" w:hAnsi="仿宋" w:eastAsia="仿宋" w:cs="仿宋"/>
          <w:color w:val="auto"/>
          <w:sz w:val="24"/>
          <w:highlight w:val="none"/>
        </w:rPr>
        <w:sectPr>
          <w:footerReference r:id="rId5" w:type="default"/>
          <w:pgSz w:w="16838" w:h="11906" w:orient="landscape"/>
          <w:pgMar w:top="1587" w:right="1701" w:bottom="1474" w:left="1417" w:header="851" w:footer="992" w:gutter="0"/>
          <w:cols w:space="720" w:num="1"/>
          <w:docGrid w:type="lines" w:linePitch="312" w:charSpace="0"/>
        </w:sectPr>
      </w:pPr>
    </w:p>
    <w:p>
      <w:pPr>
        <w:pStyle w:val="6"/>
        <w:jc w:val="center"/>
        <w:rPr>
          <w:rFonts w:ascii="仿宋" w:hAnsi="仿宋" w:eastAsia="仿宋" w:cs="仿宋"/>
          <w:color w:val="auto"/>
          <w:sz w:val="24"/>
          <w:highlight w:val="none"/>
        </w:rPr>
      </w:pPr>
      <w:bookmarkStart w:id="514" w:name="_Toc510987408"/>
      <w:bookmarkStart w:id="515" w:name="_Toc267"/>
      <w:bookmarkStart w:id="516" w:name="_Toc15179"/>
      <w:bookmarkStart w:id="517" w:name="_Toc14797"/>
      <w:bookmarkStart w:id="518" w:name="_Toc48835703"/>
      <w:bookmarkStart w:id="519" w:name="_Toc27405"/>
      <w:bookmarkStart w:id="520" w:name="_Toc10870"/>
      <w:bookmarkStart w:id="521" w:name="_Toc1401"/>
      <w:bookmarkStart w:id="522" w:name="_Toc10148"/>
      <w:bookmarkStart w:id="523" w:name="_Toc1148"/>
      <w:r>
        <w:rPr>
          <w:rFonts w:hint="eastAsia" w:ascii="仿宋" w:hAnsi="仿宋" w:eastAsia="仿宋" w:cs="仿宋"/>
          <w:color w:val="auto"/>
          <w:sz w:val="24"/>
          <w:highlight w:val="none"/>
        </w:rPr>
        <w:t>附表A.8 管线分类、代号、代码与</w:t>
      </w:r>
      <w:bookmarkEnd w:id="514"/>
      <w:r>
        <w:rPr>
          <w:rFonts w:hint="eastAsia" w:ascii="仿宋" w:hAnsi="仿宋" w:eastAsia="仿宋" w:cs="仿宋"/>
          <w:color w:val="auto"/>
          <w:sz w:val="24"/>
          <w:highlight w:val="none"/>
        </w:rPr>
        <w:t>颜色表</w:t>
      </w:r>
      <w:bookmarkEnd w:id="515"/>
      <w:bookmarkEnd w:id="516"/>
      <w:bookmarkEnd w:id="517"/>
      <w:bookmarkEnd w:id="518"/>
      <w:bookmarkEnd w:id="519"/>
      <w:bookmarkEnd w:id="520"/>
      <w:bookmarkEnd w:id="521"/>
      <w:bookmarkEnd w:id="522"/>
      <w:bookmarkEnd w:id="523"/>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8"/>
        <w:gridCol w:w="988"/>
        <w:gridCol w:w="992"/>
        <w:gridCol w:w="1701"/>
        <w:gridCol w:w="992"/>
        <w:gridCol w:w="113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115" w:type="dxa"/>
            <w:gridSpan w:val="4"/>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类别（大类）</w:t>
            </w:r>
          </w:p>
        </w:tc>
        <w:tc>
          <w:tcPr>
            <w:tcW w:w="3827" w:type="dxa"/>
            <w:gridSpan w:val="3"/>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小类</w:t>
            </w:r>
          </w:p>
        </w:tc>
        <w:tc>
          <w:tcPr>
            <w:tcW w:w="1984" w:type="dxa"/>
            <w:vMerge w:val="restart"/>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颜色</w:t>
            </w:r>
          </w:p>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（RGB值）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27"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名称</w:t>
            </w:r>
          </w:p>
        </w:tc>
        <w:tc>
          <w:tcPr>
            <w:tcW w:w="996" w:type="dxa"/>
            <w:gridSpan w:val="2"/>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代号</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代码</w:t>
            </w:r>
          </w:p>
        </w:tc>
        <w:tc>
          <w:tcPr>
            <w:tcW w:w="1701"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名称</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代号</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代码</w:t>
            </w:r>
          </w:p>
        </w:tc>
        <w:tc>
          <w:tcPr>
            <w:tcW w:w="1984" w:type="dxa"/>
            <w:vMerge w:val="continue"/>
            <w:noWrap/>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restart"/>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给水</w:t>
            </w:r>
          </w:p>
        </w:tc>
        <w:tc>
          <w:tcPr>
            <w:tcW w:w="996" w:type="dxa"/>
            <w:gridSpan w:val="2"/>
            <w:vMerge w:val="restart"/>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JS</w:t>
            </w:r>
          </w:p>
        </w:tc>
        <w:tc>
          <w:tcPr>
            <w:tcW w:w="992" w:type="dxa"/>
            <w:vMerge w:val="restart"/>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原水</w:t>
            </w:r>
          </w:p>
        </w:tc>
        <w:tc>
          <w:tcPr>
            <w:tcW w:w="992"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JY</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01</w:t>
            </w:r>
          </w:p>
        </w:tc>
        <w:tc>
          <w:tcPr>
            <w:tcW w:w="1984" w:type="dxa"/>
            <w:vMerge w:val="restart"/>
            <w:noWrap/>
            <w:vAlign w:val="center"/>
          </w:tcPr>
          <w:p>
            <w:pPr>
              <w:widowControl/>
              <w:jc w:val="center"/>
              <w:rPr>
                <w:rFonts w:ascii="仿宋" w:hAnsi="仿宋" w:eastAsia="仿宋" w:cs="仿宋"/>
                <w:color w:val="auto"/>
                <w:szCs w:val="21"/>
                <w:highlight w:val="none"/>
              </w:rPr>
            </w:pPr>
            <w:r>
              <w:rPr>
                <w:rFonts w:hint="eastAsia" w:ascii="仿宋" w:hAnsi="仿宋" w:eastAsia="仿宋" w:cs="仿宋"/>
                <w:color w:val="auto"/>
                <w:szCs w:val="21"/>
                <w:highlight w:val="none"/>
              </w:rPr>
              <w:t>天蓝</w:t>
            </w:r>
          </w:p>
          <w:p>
            <w:pPr>
              <w:widowControl/>
              <w:jc w:val="center"/>
              <w:rPr>
                <w:rFonts w:ascii="仿宋" w:hAnsi="仿宋" w:eastAsia="仿宋" w:cs="仿宋"/>
                <w:bCs/>
                <w:color w:val="auto"/>
                <w:kern w:val="0"/>
                <w:szCs w:val="21"/>
                <w:highlight w:val="none"/>
              </w:rPr>
            </w:pPr>
            <w:r>
              <w:rPr>
                <w:rFonts w:hint="eastAsia" w:ascii="仿宋" w:hAnsi="仿宋" w:eastAsia="仿宋" w:cs="仿宋"/>
                <w:color w:val="auto"/>
                <w:szCs w:val="21"/>
                <w:highlight w:val="none"/>
              </w:rPr>
              <w:t>（0，255，255）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right="21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输水</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SS</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02</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right="21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中水</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ZS</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03</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right="21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配水</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JP</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04</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right="21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直饮水</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JZ</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05</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right="21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消防水</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XS</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06</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right="21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绿化水</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LS</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07</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right="21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循环水</w:t>
            </w:r>
          </w:p>
        </w:tc>
        <w:tc>
          <w:tcPr>
            <w:tcW w:w="992"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JH</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08</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right="21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长途输水</w:t>
            </w:r>
          </w:p>
        </w:tc>
        <w:tc>
          <w:tcPr>
            <w:tcW w:w="992"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CS</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09</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restart"/>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排水</w:t>
            </w:r>
          </w:p>
        </w:tc>
        <w:tc>
          <w:tcPr>
            <w:tcW w:w="996" w:type="dxa"/>
            <w:gridSpan w:val="2"/>
            <w:vMerge w:val="restart"/>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PS</w:t>
            </w:r>
          </w:p>
        </w:tc>
        <w:tc>
          <w:tcPr>
            <w:tcW w:w="992" w:type="dxa"/>
            <w:vMerge w:val="restart"/>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雨水</w:t>
            </w:r>
          </w:p>
        </w:tc>
        <w:tc>
          <w:tcPr>
            <w:tcW w:w="992"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YS</w:t>
            </w:r>
          </w:p>
        </w:tc>
        <w:tc>
          <w:tcPr>
            <w:tcW w:w="1134"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01</w:t>
            </w:r>
          </w:p>
        </w:tc>
        <w:tc>
          <w:tcPr>
            <w:tcW w:w="1984"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浅蓝</w:t>
            </w:r>
          </w:p>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（31，202，255）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jc w:val="center"/>
              <w:rPr>
                <w:rFonts w:ascii="仿宋" w:hAnsi="仿宋" w:eastAsia="仿宋" w:cs="仿宋"/>
                <w:color w:val="auto"/>
                <w:kern w:val="0"/>
                <w:szCs w:val="21"/>
                <w:highlight w:val="none"/>
              </w:rPr>
            </w:pPr>
          </w:p>
        </w:tc>
        <w:tc>
          <w:tcPr>
            <w:tcW w:w="996" w:type="dxa"/>
            <w:gridSpan w:val="2"/>
            <w:vMerge w:val="continue"/>
            <w:noWrap/>
            <w:vAlign w:val="center"/>
          </w:tcPr>
          <w:p>
            <w:pPr>
              <w:jc w:val="center"/>
              <w:rPr>
                <w:rFonts w:ascii="仿宋" w:hAnsi="仿宋" w:eastAsia="仿宋" w:cs="仿宋"/>
                <w:color w:val="auto"/>
                <w:kern w:val="0"/>
                <w:szCs w:val="21"/>
                <w:highlight w:val="none"/>
              </w:rPr>
            </w:pPr>
          </w:p>
        </w:tc>
        <w:tc>
          <w:tcPr>
            <w:tcW w:w="992" w:type="dxa"/>
            <w:vMerge w:val="continue"/>
            <w:noWrap/>
            <w:vAlign w:val="center"/>
          </w:tcPr>
          <w:p>
            <w:pPr>
              <w:jc w:val="center"/>
              <w:rPr>
                <w:rFonts w:ascii="仿宋" w:hAnsi="仿宋" w:eastAsia="仿宋" w:cs="仿宋"/>
                <w:color w:val="auto"/>
                <w:kern w:val="0"/>
                <w:szCs w:val="21"/>
                <w:highlight w:val="none"/>
              </w:rPr>
            </w:pPr>
          </w:p>
        </w:tc>
        <w:tc>
          <w:tcPr>
            <w:tcW w:w="1701" w:type="dxa"/>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污水</w:t>
            </w:r>
          </w:p>
        </w:tc>
        <w:tc>
          <w:tcPr>
            <w:tcW w:w="992" w:type="dxa"/>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WS</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02</w:t>
            </w:r>
          </w:p>
        </w:tc>
        <w:tc>
          <w:tcPr>
            <w:tcW w:w="1984" w:type="dxa"/>
            <w:vMerge w:val="restart"/>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褐色</w:t>
            </w:r>
          </w:p>
          <w:p>
            <w:pPr>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（76，57，38）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jc w:val="center"/>
              <w:rPr>
                <w:rFonts w:ascii="仿宋" w:hAnsi="仿宋" w:eastAsia="仿宋" w:cs="仿宋"/>
                <w:color w:val="auto"/>
                <w:kern w:val="0"/>
                <w:szCs w:val="21"/>
                <w:highlight w:val="none"/>
              </w:rPr>
            </w:pPr>
          </w:p>
        </w:tc>
        <w:tc>
          <w:tcPr>
            <w:tcW w:w="996" w:type="dxa"/>
            <w:gridSpan w:val="2"/>
            <w:vMerge w:val="continue"/>
            <w:noWrap/>
            <w:vAlign w:val="center"/>
          </w:tcPr>
          <w:p>
            <w:pPr>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雨污合流</w:t>
            </w:r>
          </w:p>
        </w:tc>
        <w:tc>
          <w:tcPr>
            <w:tcW w:w="992" w:type="dxa"/>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HS</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03</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restart"/>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燃气</w:t>
            </w:r>
          </w:p>
        </w:tc>
        <w:tc>
          <w:tcPr>
            <w:tcW w:w="996" w:type="dxa"/>
            <w:gridSpan w:val="2"/>
            <w:vMerge w:val="restart"/>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RQ</w:t>
            </w:r>
          </w:p>
        </w:tc>
        <w:tc>
          <w:tcPr>
            <w:tcW w:w="992" w:type="dxa"/>
            <w:vMerge w:val="restart"/>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煤气</w:t>
            </w:r>
          </w:p>
        </w:tc>
        <w:tc>
          <w:tcPr>
            <w:tcW w:w="992"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MQ</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01</w:t>
            </w:r>
          </w:p>
        </w:tc>
        <w:tc>
          <w:tcPr>
            <w:tcW w:w="1984" w:type="dxa"/>
            <w:vMerge w:val="restart"/>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粉红</w:t>
            </w:r>
          </w:p>
          <w:p>
            <w:pPr>
              <w:widowControl/>
              <w:jc w:val="center"/>
              <w:rPr>
                <w:rFonts w:ascii="仿宋" w:hAnsi="仿宋" w:eastAsia="仿宋" w:cs="仿宋"/>
                <w:bCs/>
                <w:color w:val="auto"/>
                <w:kern w:val="0"/>
                <w:szCs w:val="21"/>
                <w:highlight w:val="none"/>
              </w:rPr>
            </w:pPr>
            <w:r>
              <w:rPr>
                <w:rFonts w:hint="eastAsia" w:ascii="仿宋" w:hAnsi="仿宋" w:eastAsia="仿宋" w:cs="仿宋"/>
                <w:color w:val="auto"/>
                <w:szCs w:val="21"/>
                <w:highlight w:val="none"/>
              </w:rPr>
              <w:t>（255，0，255）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right="21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液化气</w:t>
            </w:r>
          </w:p>
        </w:tc>
        <w:tc>
          <w:tcPr>
            <w:tcW w:w="992"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YH</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02</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天然气</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TR</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03</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长途输气</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SQ</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04</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restart"/>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热力</w:t>
            </w:r>
          </w:p>
        </w:tc>
        <w:tc>
          <w:tcPr>
            <w:tcW w:w="996" w:type="dxa"/>
            <w:gridSpan w:val="2"/>
            <w:vMerge w:val="restart"/>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RL</w:t>
            </w:r>
          </w:p>
        </w:tc>
        <w:tc>
          <w:tcPr>
            <w:tcW w:w="992" w:type="dxa"/>
            <w:vMerge w:val="restart"/>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热水</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RS</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01</w:t>
            </w:r>
          </w:p>
        </w:tc>
        <w:tc>
          <w:tcPr>
            <w:tcW w:w="1984" w:type="dxa"/>
            <w:vMerge w:val="restart"/>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橘黄</w:t>
            </w:r>
          </w:p>
          <w:p>
            <w:pPr>
              <w:widowControl/>
              <w:jc w:val="center"/>
              <w:rPr>
                <w:rFonts w:ascii="仿宋" w:hAnsi="仿宋" w:eastAsia="仿宋" w:cs="仿宋"/>
                <w:bCs/>
                <w:color w:val="auto"/>
                <w:kern w:val="0"/>
                <w:szCs w:val="21"/>
                <w:highlight w:val="none"/>
              </w:rPr>
            </w:pPr>
            <w:r>
              <w:rPr>
                <w:rFonts w:hint="eastAsia" w:ascii="仿宋" w:hAnsi="仿宋" w:eastAsia="仿宋" w:cs="仿宋"/>
                <w:color w:val="auto"/>
                <w:szCs w:val="21"/>
                <w:highlight w:val="none"/>
              </w:rPr>
              <w:t>（255，128，0）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蒸汽</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ZQ</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02</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restart"/>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电力</w:t>
            </w:r>
          </w:p>
        </w:tc>
        <w:tc>
          <w:tcPr>
            <w:tcW w:w="996" w:type="dxa"/>
            <w:gridSpan w:val="2"/>
            <w:vMerge w:val="restart"/>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DL</w:t>
            </w:r>
          </w:p>
        </w:tc>
        <w:tc>
          <w:tcPr>
            <w:tcW w:w="992" w:type="dxa"/>
            <w:vMerge w:val="restart"/>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供电</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GD</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01</w:t>
            </w:r>
          </w:p>
        </w:tc>
        <w:tc>
          <w:tcPr>
            <w:tcW w:w="1984" w:type="dxa"/>
            <w:vMerge w:val="restart"/>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大红</w:t>
            </w:r>
          </w:p>
          <w:p>
            <w:pPr>
              <w:widowControl/>
              <w:jc w:val="center"/>
              <w:rPr>
                <w:rFonts w:ascii="仿宋" w:hAnsi="仿宋" w:eastAsia="仿宋" w:cs="仿宋"/>
                <w:bCs/>
                <w:color w:val="auto"/>
                <w:kern w:val="0"/>
                <w:szCs w:val="21"/>
                <w:highlight w:val="none"/>
              </w:rPr>
            </w:pPr>
            <w:r>
              <w:rPr>
                <w:rFonts w:hint="eastAsia" w:ascii="仿宋" w:hAnsi="仿宋" w:eastAsia="仿宋" w:cs="仿宋"/>
                <w:color w:val="auto"/>
                <w:szCs w:val="21"/>
                <w:highlight w:val="none"/>
              </w:rPr>
              <w:t>（255，0，0）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路灯</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LD</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02</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交通信号</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XH</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03</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电车</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DC</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04</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广告</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GG</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05</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高压输电</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CD</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06</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restart"/>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通信</w:t>
            </w:r>
          </w:p>
        </w:tc>
        <w:tc>
          <w:tcPr>
            <w:tcW w:w="996" w:type="dxa"/>
            <w:gridSpan w:val="2"/>
            <w:vMerge w:val="restart"/>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TX</w:t>
            </w:r>
          </w:p>
        </w:tc>
        <w:tc>
          <w:tcPr>
            <w:tcW w:w="992" w:type="dxa"/>
            <w:vMerge w:val="restart"/>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6</w:t>
            </w: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电话</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DH</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01</w:t>
            </w:r>
          </w:p>
        </w:tc>
        <w:tc>
          <w:tcPr>
            <w:tcW w:w="1984" w:type="dxa"/>
            <w:vMerge w:val="restart"/>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绿</w:t>
            </w:r>
          </w:p>
          <w:p>
            <w:pPr>
              <w:widowControl/>
              <w:jc w:val="center"/>
              <w:rPr>
                <w:rFonts w:ascii="仿宋" w:hAnsi="仿宋" w:eastAsia="仿宋" w:cs="仿宋"/>
                <w:bCs/>
                <w:color w:val="auto"/>
                <w:kern w:val="0"/>
                <w:szCs w:val="21"/>
                <w:highlight w:val="none"/>
              </w:rPr>
            </w:pPr>
            <w:r>
              <w:rPr>
                <w:rFonts w:hint="eastAsia" w:ascii="仿宋" w:hAnsi="仿宋" w:eastAsia="仿宋" w:cs="仿宋"/>
                <w:color w:val="auto"/>
                <w:szCs w:val="21"/>
                <w:highlight w:val="none"/>
              </w:rPr>
              <w:t>（0，255，0）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有线电视</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DS</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02</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信息网络</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XX</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03</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广播</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GB</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04</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陆地通信</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CT</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05</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水下光缆</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SG</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06</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restart"/>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工业</w:t>
            </w:r>
          </w:p>
        </w:tc>
        <w:tc>
          <w:tcPr>
            <w:tcW w:w="996" w:type="dxa"/>
            <w:gridSpan w:val="2"/>
            <w:vMerge w:val="restart"/>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GY</w:t>
            </w:r>
          </w:p>
        </w:tc>
        <w:tc>
          <w:tcPr>
            <w:tcW w:w="992" w:type="dxa"/>
            <w:vMerge w:val="restart"/>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7</w:t>
            </w: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氢气</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QQ</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01</w:t>
            </w:r>
          </w:p>
        </w:tc>
        <w:tc>
          <w:tcPr>
            <w:tcW w:w="1984" w:type="dxa"/>
            <w:vMerge w:val="restart"/>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黑</w:t>
            </w:r>
          </w:p>
          <w:p>
            <w:pPr>
              <w:widowControl/>
              <w:jc w:val="center"/>
              <w:rPr>
                <w:rFonts w:ascii="仿宋" w:hAnsi="仿宋" w:eastAsia="仿宋" w:cs="仿宋"/>
                <w:bCs/>
                <w:color w:val="auto"/>
                <w:kern w:val="0"/>
                <w:szCs w:val="21"/>
                <w:highlight w:val="none"/>
              </w:rPr>
            </w:pPr>
            <w:r>
              <w:rPr>
                <w:rFonts w:hint="eastAsia" w:ascii="仿宋" w:hAnsi="仿宋" w:eastAsia="仿宋" w:cs="仿宋"/>
                <w:color w:val="auto"/>
                <w:szCs w:val="21"/>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氧气</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YQ</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02</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乙炔</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GQ</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03</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乙烯</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YX</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04</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苯</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BQ</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05</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氯气</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LQ</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06</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氮气</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DQ</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07</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二氧化碳</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EY</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08</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氨气</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AQ</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09</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甲苯</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JB</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10</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27" w:type="dxa"/>
            <w:vMerge w:val="continue"/>
            <w:noWrap/>
            <w:vAlign w:val="center"/>
          </w:tcPr>
          <w:p>
            <w:pPr>
              <w:widowControl/>
              <w:ind w:firstLine="420" w:firstLineChars="200"/>
              <w:jc w:val="center"/>
              <w:rPr>
                <w:rFonts w:ascii="仿宋" w:hAnsi="仿宋" w:eastAsia="仿宋" w:cs="仿宋"/>
                <w:color w:val="auto"/>
                <w:kern w:val="0"/>
                <w:szCs w:val="21"/>
                <w:highlight w:val="none"/>
              </w:rPr>
            </w:pPr>
          </w:p>
        </w:tc>
        <w:tc>
          <w:tcPr>
            <w:tcW w:w="996" w:type="dxa"/>
            <w:gridSpan w:val="2"/>
            <w:vMerge w:val="continue"/>
            <w:noWrap/>
            <w:vAlign w:val="center"/>
          </w:tcPr>
          <w:p>
            <w:pPr>
              <w:widowControl/>
              <w:jc w:val="center"/>
              <w:rPr>
                <w:rFonts w:ascii="仿宋" w:hAnsi="仿宋" w:eastAsia="仿宋" w:cs="仿宋"/>
                <w:color w:val="auto"/>
                <w:kern w:val="0"/>
                <w:szCs w:val="21"/>
                <w:highlight w:val="none"/>
              </w:rPr>
            </w:pPr>
          </w:p>
        </w:tc>
        <w:tc>
          <w:tcPr>
            <w:tcW w:w="992" w:type="dxa"/>
            <w:vMerge w:val="continue"/>
            <w:noWrap/>
            <w:vAlign w:val="center"/>
          </w:tcPr>
          <w:p>
            <w:pPr>
              <w:widowControl/>
              <w:jc w:val="center"/>
              <w:rPr>
                <w:rFonts w:ascii="仿宋" w:hAnsi="仿宋" w:eastAsia="仿宋" w:cs="仿宋"/>
                <w:color w:val="auto"/>
                <w:kern w:val="0"/>
                <w:szCs w:val="21"/>
                <w:highlight w:val="none"/>
              </w:rPr>
            </w:pP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长途输油</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SY</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11</w:t>
            </w:r>
          </w:p>
        </w:tc>
        <w:tc>
          <w:tcPr>
            <w:tcW w:w="1984" w:type="dxa"/>
            <w:vMerge w:val="continue"/>
            <w:noWrap/>
            <w:vAlign w:val="center"/>
          </w:tcPr>
          <w:p>
            <w:pPr>
              <w:widowControl/>
              <w:jc w:val="center"/>
              <w:rPr>
                <w:rFonts w:ascii="仿宋" w:hAnsi="仿宋" w:eastAsia="仿宋" w:cs="仿宋"/>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5" w:type="dxa"/>
            <w:gridSpan w:val="2"/>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综合管廊</w:t>
            </w:r>
          </w:p>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（沟）</w:t>
            </w:r>
          </w:p>
        </w:tc>
        <w:tc>
          <w:tcPr>
            <w:tcW w:w="988"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ZH</w:t>
            </w:r>
          </w:p>
        </w:tc>
        <w:tc>
          <w:tcPr>
            <w:tcW w:w="992"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8</w:t>
            </w: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综合管廊</w:t>
            </w:r>
          </w:p>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（沟）</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ZH</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01</w:t>
            </w:r>
          </w:p>
        </w:tc>
        <w:tc>
          <w:tcPr>
            <w:tcW w:w="198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黑</w:t>
            </w:r>
          </w:p>
          <w:p>
            <w:pPr>
              <w:widowControl/>
              <w:jc w:val="center"/>
              <w:rPr>
                <w:rFonts w:ascii="仿宋" w:hAnsi="仿宋" w:eastAsia="仿宋" w:cs="仿宋"/>
                <w:bCs/>
                <w:color w:val="auto"/>
                <w:kern w:val="0"/>
                <w:szCs w:val="21"/>
                <w:highlight w:val="none"/>
              </w:rPr>
            </w:pPr>
            <w:r>
              <w:rPr>
                <w:rFonts w:hint="eastAsia" w:ascii="仿宋" w:hAnsi="仿宋" w:eastAsia="仿宋" w:cs="仿宋"/>
                <w:color w:val="auto"/>
                <w:szCs w:val="21"/>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5" w:type="dxa"/>
            <w:gridSpan w:val="2"/>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其他</w:t>
            </w:r>
          </w:p>
        </w:tc>
        <w:tc>
          <w:tcPr>
            <w:tcW w:w="988"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QT</w:t>
            </w:r>
          </w:p>
        </w:tc>
        <w:tc>
          <w:tcPr>
            <w:tcW w:w="992"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9</w:t>
            </w:r>
          </w:p>
        </w:tc>
        <w:tc>
          <w:tcPr>
            <w:tcW w:w="1701"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不明管线</w:t>
            </w:r>
          </w:p>
        </w:tc>
        <w:tc>
          <w:tcPr>
            <w:tcW w:w="992"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BM</w:t>
            </w:r>
          </w:p>
        </w:tc>
        <w:tc>
          <w:tcPr>
            <w:tcW w:w="113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02</w:t>
            </w:r>
          </w:p>
        </w:tc>
        <w:tc>
          <w:tcPr>
            <w:tcW w:w="1984" w:type="dxa"/>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紫</w:t>
            </w:r>
          </w:p>
          <w:p>
            <w:pPr>
              <w:widowControl/>
              <w:jc w:val="center"/>
              <w:rPr>
                <w:rFonts w:ascii="仿宋" w:hAnsi="仿宋" w:eastAsia="仿宋" w:cs="仿宋"/>
                <w:bCs/>
                <w:color w:val="auto"/>
                <w:kern w:val="0"/>
                <w:szCs w:val="21"/>
                <w:highlight w:val="none"/>
              </w:rPr>
            </w:pPr>
            <w:r>
              <w:rPr>
                <w:rFonts w:hint="eastAsia" w:ascii="仿宋" w:hAnsi="仿宋" w:eastAsia="仿宋" w:cs="仿宋"/>
                <w:color w:val="auto"/>
                <w:szCs w:val="21"/>
                <w:highlight w:val="none"/>
              </w:rPr>
              <w:t>（102，0，204）</w:t>
            </w:r>
          </w:p>
        </w:tc>
      </w:tr>
    </w:tbl>
    <w:p>
      <w:pPr>
        <w:pStyle w:val="2"/>
        <w:spacing w:line="480" w:lineRule="exact"/>
        <w:jc w:val="left"/>
        <w:rPr>
          <w:rFonts w:ascii="仿宋" w:hAnsi="仿宋" w:eastAsia="仿宋" w:cs="仿宋"/>
          <w:color w:val="auto"/>
          <w:sz w:val="24"/>
          <w:highlight w:val="none"/>
        </w:rPr>
      </w:pPr>
      <w:r>
        <w:rPr>
          <w:rFonts w:hint="eastAsia" w:ascii="仿宋" w:hAnsi="仿宋" w:eastAsia="仿宋" w:cs="仿宋"/>
          <w:color w:val="auto"/>
          <w:highlight w:val="none"/>
        </w:rPr>
        <w:t>注：地下管线图上各种管线符号，包括点号和管段注记均应采用与上表相应的颜色。</w:t>
      </w:r>
    </w:p>
    <w:p>
      <w:pPr>
        <w:pStyle w:val="2"/>
        <w:spacing w:line="480" w:lineRule="exact"/>
        <w:jc w:val="left"/>
        <w:rPr>
          <w:rFonts w:ascii="仿宋" w:hAnsi="仿宋" w:eastAsia="仿宋" w:cs="仿宋"/>
          <w:color w:val="auto"/>
          <w:sz w:val="24"/>
          <w:highlight w:val="none"/>
        </w:rPr>
      </w:pPr>
    </w:p>
    <w:p>
      <w:pPr>
        <w:pStyle w:val="2"/>
        <w:spacing w:line="480" w:lineRule="exact"/>
        <w:jc w:val="left"/>
        <w:rPr>
          <w:rFonts w:ascii="仿宋" w:hAnsi="仿宋" w:eastAsia="仿宋" w:cs="仿宋"/>
          <w:color w:val="auto"/>
          <w:sz w:val="24"/>
          <w:highlight w:val="none"/>
        </w:rPr>
      </w:pPr>
    </w:p>
    <w:p>
      <w:pPr>
        <w:pStyle w:val="2"/>
        <w:spacing w:line="480" w:lineRule="exact"/>
        <w:jc w:val="left"/>
        <w:rPr>
          <w:rFonts w:ascii="仿宋" w:hAnsi="仿宋" w:eastAsia="仿宋" w:cs="仿宋"/>
          <w:color w:val="auto"/>
          <w:sz w:val="24"/>
          <w:highlight w:val="none"/>
        </w:rPr>
      </w:pPr>
    </w:p>
    <w:p>
      <w:pPr>
        <w:pStyle w:val="2"/>
        <w:spacing w:line="480" w:lineRule="exact"/>
        <w:jc w:val="left"/>
        <w:rPr>
          <w:rFonts w:ascii="仿宋" w:hAnsi="仿宋" w:eastAsia="仿宋" w:cs="仿宋"/>
          <w:color w:val="auto"/>
          <w:sz w:val="24"/>
          <w:highlight w:val="none"/>
        </w:rPr>
      </w:pPr>
    </w:p>
    <w:p>
      <w:pPr>
        <w:pStyle w:val="2"/>
        <w:spacing w:line="480" w:lineRule="exact"/>
        <w:jc w:val="left"/>
        <w:rPr>
          <w:rFonts w:ascii="仿宋" w:hAnsi="仿宋" w:eastAsia="仿宋" w:cs="仿宋"/>
          <w:color w:val="auto"/>
          <w:sz w:val="24"/>
          <w:highlight w:val="none"/>
        </w:rPr>
      </w:pPr>
    </w:p>
    <w:p>
      <w:pPr>
        <w:pStyle w:val="2"/>
        <w:spacing w:line="480" w:lineRule="exact"/>
        <w:jc w:val="left"/>
        <w:rPr>
          <w:rFonts w:ascii="仿宋" w:hAnsi="仿宋" w:eastAsia="仿宋" w:cs="仿宋"/>
          <w:color w:val="auto"/>
          <w:sz w:val="24"/>
          <w:highlight w:val="none"/>
        </w:rPr>
      </w:pPr>
    </w:p>
    <w:p>
      <w:pPr>
        <w:pStyle w:val="2"/>
        <w:spacing w:line="480" w:lineRule="exact"/>
        <w:jc w:val="left"/>
        <w:rPr>
          <w:rFonts w:ascii="仿宋" w:hAnsi="仿宋" w:eastAsia="仿宋" w:cs="仿宋"/>
          <w:color w:val="auto"/>
          <w:sz w:val="24"/>
          <w:highlight w:val="none"/>
        </w:rPr>
      </w:pPr>
    </w:p>
    <w:p>
      <w:pPr>
        <w:pStyle w:val="2"/>
        <w:spacing w:line="480" w:lineRule="exact"/>
        <w:jc w:val="left"/>
        <w:rPr>
          <w:rFonts w:ascii="仿宋" w:hAnsi="仿宋" w:eastAsia="仿宋" w:cs="仿宋"/>
          <w:color w:val="auto"/>
          <w:sz w:val="24"/>
          <w:highlight w:val="none"/>
        </w:rPr>
      </w:pPr>
    </w:p>
    <w:p>
      <w:pPr>
        <w:pStyle w:val="2"/>
        <w:spacing w:line="480" w:lineRule="exact"/>
        <w:jc w:val="left"/>
        <w:rPr>
          <w:rFonts w:ascii="仿宋" w:hAnsi="仿宋" w:eastAsia="仿宋" w:cs="仿宋"/>
          <w:color w:val="auto"/>
          <w:sz w:val="24"/>
          <w:highlight w:val="none"/>
        </w:rPr>
      </w:pPr>
    </w:p>
    <w:p>
      <w:pPr>
        <w:pStyle w:val="2"/>
        <w:spacing w:line="480" w:lineRule="exact"/>
        <w:jc w:val="left"/>
        <w:rPr>
          <w:rFonts w:ascii="仿宋" w:hAnsi="仿宋" w:eastAsia="仿宋" w:cs="仿宋"/>
          <w:color w:val="auto"/>
          <w:sz w:val="24"/>
          <w:highlight w:val="none"/>
        </w:rPr>
      </w:pPr>
    </w:p>
    <w:p>
      <w:pPr>
        <w:pStyle w:val="2"/>
        <w:spacing w:line="480" w:lineRule="exact"/>
        <w:jc w:val="left"/>
        <w:rPr>
          <w:rFonts w:ascii="仿宋" w:hAnsi="仿宋" w:eastAsia="仿宋" w:cs="仿宋"/>
          <w:color w:val="auto"/>
          <w:sz w:val="24"/>
          <w:highlight w:val="none"/>
        </w:rPr>
      </w:pPr>
    </w:p>
    <w:p>
      <w:pPr>
        <w:pStyle w:val="6"/>
        <w:jc w:val="center"/>
        <w:rPr>
          <w:rFonts w:ascii="仿宋" w:hAnsi="仿宋" w:eastAsia="仿宋" w:cs="仿宋"/>
          <w:color w:val="auto"/>
          <w:sz w:val="24"/>
          <w:highlight w:val="none"/>
        </w:rPr>
      </w:pPr>
      <w:bookmarkStart w:id="524" w:name="_Toc4863"/>
      <w:bookmarkStart w:id="525" w:name="_Toc14177"/>
      <w:bookmarkStart w:id="526" w:name="_Toc15793"/>
      <w:bookmarkStart w:id="527" w:name="_Toc13221"/>
      <w:bookmarkStart w:id="528" w:name="_Toc24184"/>
      <w:bookmarkStart w:id="529" w:name="_Toc29108"/>
      <w:bookmarkStart w:id="530" w:name="_Toc3530"/>
      <w:bookmarkStart w:id="531" w:name="_Toc31893"/>
      <w:r>
        <w:rPr>
          <w:rFonts w:hint="eastAsia" w:ascii="仿宋" w:hAnsi="仿宋" w:eastAsia="仿宋" w:cs="仿宋"/>
          <w:color w:val="auto"/>
          <w:sz w:val="24"/>
          <w:highlight w:val="none"/>
        </w:rPr>
        <w:t>附表A.9 管线要素编码规则</w:t>
      </w:r>
      <w:bookmarkEnd w:id="524"/>
      <w:bookmarkEnd w:id="525"/>
      <w:bookmarkEnd w:id="526"/>
      <w:bookmarkEnd w:id="527"/>
      <w:bookmarkEnd w:id="528"/>
      <w:bookmarkEnd w:id="529"/>
      <w:bookmarkEnd w:id="530"/>
      <w:bookmarkEnd w:id="531"/>
    </w:p>
    <w:tbl>
      <w:tblPr>
        <w:tblStyle w:val="43"/>
        <w:tblW w:w="92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5"/>
        <w:gridCol w:w="21"/>
        <w:gridCol w:w="1180"/>
        <w:gridCol w:w="17"/>
        <w:gridCol w:w="976"/>
        <w:gridCol w:w="1275"/>
        <w:gridCol w:w="567"/>
        <w:gridCol w:w="1134"/>
        <w:gridCol w:w="1718"/>
        <w:gridCol w:w="10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blHeader/>
          <w:jc w:val="center"/>
        </w:trPr>
        <w:tc>
          <w:tcPr>
            <w:tcW w:w="1255" w:type="dxa"/>
            <w:tcBorders>
              <w:bottom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要素位</w:t>
            </w:r>
          </w:p>
        </w:tc>
        <w:tc>
          <w:tcPr>
            <w:tcW w:w="1218" w:type="dxa"/>
            <w:gridSpan w:val="3"/>
            <w:tcBorders>
              <w:left w:val="single" w:color="auto" w:sz="4" w:space="0"/>
              <w:bottom w:val="single" w:color="000000" w:sz="4" w:space="0"/>
              <w:right w:val="single" w:color="auto" w:sz="4" w:space="0"/>
            </w:tcBorders>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976" w:type="dxa"/>
            <w:tcBorders>
              <w:left w:val="single" w:color="auto" w:sz="4" w:space="0"/>
              <w:bottom w:val="single" w:color="000000" w:sz="4" w:space="0"/>
              <w:right w:val="single" w:color="auto" w:sz="4" w:space="0"/>
            </w:tcBorders>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1842" w:type="dxa"/>
            <w:gridSpan w:val="2"/>
            <w:tcBorders>
              <w:left w:val="single" w:color="auto" w:sz="4" w:space="0"/>
              <w:bottom w:val="single" w:color="000000" w:sz="4" w:space="0"/>
            </w:tcBorders>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3-4</w:t>
            </w:r>
          </w:p>
        </w:tc>
        <w:tc>
          <w:tcPr>
            <w:tcW w:w="1134" w:type="dxa"/>
            <w:tcBorders>
              <w:bottom w:val="single" w:color="000000"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1718" w:type="dxa"/>
            <w:tcBorders>
              <w:bottom w:val="single" w:color="000000"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6</w:t>
            </w:r>
          </w:p>
        </w:tc>
        <w:tc>
          <w:tcPr>
            <w:tcW w:w="1077" w:type="dxa"/>
            <w:tcBorders>
              <w:bottom w:val="single" w:color="000000"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3" w:hRule="atLeast"/>
          <w:tblHeader/>
          <w:jc w:val="center"/>
        </w:trPr>
        <w:tc>
          <w:tcPr>
            <w:tcW w:w="1255" w:type="dxa"/>
            <w:tcBorders>
              <w:bottom w:val="single" w:color="auto" w:sz="4" w:space="0"/>
              <w:right w:val="single" w:color="auto" w:sz="4" w:space="0"/>
              <w:tl2br w:val="single" w:color="auto" w:sz="4" w:space="0"/>
            </w:tcBorders>
            <w:noWrap/>
            <w:vAlign w:val="center"/>
          </w:tcPr>
          <w:p>
            <w:pPr>
              <w:widowControl/>
              <w:ind w:firstLine="525" w:firstLineChars="250"/>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含义</w:t>
            </w:r>
          </w:p>
          <w:p>
            <w:pPr>
              <w:widowControl/>
              <w:jc w:val="center"/>
              <w:rPr>
                <w:rFonts w:ascii="仿宋" w:hAnsi="仿宋" w:eastAsia="仿宋" w:cs="仿宋"/>
                <w:color w:val="auto"/>
                <w:kern w:val="0"/>
                <w:szCs w:val="21"/>
                <w:highlight w:val="none"/>
              </w:rPr>
            </w:pPr>
          </w:p>
          <w:p>
            <w:pPr>
              <w:widowControl/>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类别</w:t>
            </w:r>
          </w:p>
        </w:tc>
        <w:tc>
          <w:tcPr>
            <w:tcW w:w="1218" w:type="dxa"/>
            <w:gridSpan w:val="3"/>
            <w:tcBorders>
              <w:left w:val="single" w:color="auto" w:sz="4" w:space="0"/>
              <w:bottom w:val="single" w:color="000000" w:sz="4" w:space="0"/>
              <w:right w:val="single" w:color="auto" w:sz="4" w:space="0"/>
            </w:tcBorders>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国家基础地理信息要素分类中的代码</w:t>
            </w:r>
          </w:p>
        </w:tc>
        <w:tc>
          <w:tcPr>
            <w:tcW w:w="976" w:type="dxa"/>
            <w:tcBorders>
              <w:left w:val="single" w:color="auto" w:sz="4" w:space="0"/>
              <w:bottom w:val="single" w:color="000000"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类别码</w:t>
            </w:r>
          </w:p>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（大类码）</w:t>
            </w:r>
          </w:p>
        </w:tc>
        <w:tc>
          <w:tcPr>
            <w:tcW w:w="1842" w:type="dxa"/>
            <w:gridSpan w:val="2"/>
            <w:tcBorders>
              <w:left w:val="single" w:color="auto" w:sz="4" w:space="0"/>
              <w:bottom w:val="single" w:color="000000" w:sz="4" w:space="0"/>
            </w:tcBorders>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小类代码</w:t>
            </w:r>
          </w:p>
        </w:tc>
        <w:tc>
          <w:tcPr>
            <w:tcW w:w="1134" w:type="dxa"/>
            <w:tcBorders>
              <w:bottom w:val="single" w:color="000000"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要素</w:t>
            </w:r>
          </w:p>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类型码</w:t>
            </w:r>
          </w:p>
        </w:tc>
        <w:tc>
          <w:tcPr>
            <w:tcW w:w="1718" w:type="dxa"/>
            <w:tcBorders>
              <w:bottom w:val="single" w:color="000000"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管线点</w:t>
            </w:r>
          </w:p>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类型码</w:t>
            </w:r>
          </w:p>
        </w:tc>
        <w:tc>
          <w:tcPr>
            <w:tcW w:w="1077" w:type="dxa"/>
            <w:tcBorders>
              <w:bottom w:val="single" w:color="000000"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要素序号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restart"/>
            <w:tcBorders>
              <w:right w:val="single" w:color="auto" w:sz="4" w:space="0"/>
            </w:tcBorders>
            <w:shd w:val="clear" w:color="auto" w:fill="FFFFFF"/>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给水</w:t>
            </w:r>
          </w:p>
        </w:tc>
        <w:tc>
          <w:tcPr>
            <w:tcW w:w="1218" w:type="dxa"/>
            <w:gridSpan w:val="3"/>
            <w:vMerge w:val="restart"/>
            <w:tcBorders>
              <w:left w:val="single" w:color="auto" w:sz="4" w:space="0"/>
              <w:right w:val="single" w:color="auto" w:sz="4" w:space="0"/>
            </w:tcBorders>
            <w:shd w:val="clear" w:color="auto" w:fill="FFFFFF"/>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976" w:type="dxa"/>
            <w:vMerge w:val="restart"/>
            <w:tcBorders>
              <w:left w:val="single" w:color="auto" w:sz="4" w:space="0"/>
              <w:right w:val="single" w:color="auto" w:sz="4" w:space="0"/>
            </w:tcBorders>
            <w:shd w:val="clear" w:color="auto" w:fill="FFFFFF"/>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275" w:type="dxa"/>
            <w:tcBorders>
              <w:left w:val="single" w:color="auto" w:sz="4" w:space="0"/>
              <w:right w:val="single" w:color="auto" w:sz="4" w:space="0"/>
            </w:tcBorders>
            <w:shd w:val="clear" w:color="auto" w:fill="FFFFFF"/>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原水</w:t>
            </w:r>
          </w:p>
        </w:tc>
        <w:tc>
          <w:tcPr>
            <w:tcW w:w="567" w:type="dxa"/>
            <w:tcBorders>
              <w:left w:val="single" w:color="auto" w:sz="4" w:space="0"/>
            </w:tcBorders>
            <w:shd w:val="clear" w:color="auto" w:fill="FFFFFF"/>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01</w:t>
            </w:r>
          </w:p>
        </w:tc>
        <w:tc>
          <w:tcPr>
            <w:tcW w:w="1134" w:type="dxa"/>
            <w:vMerge w:val="restart"/>
            <w:shd w:val="clear" w:color="auto" w:fill="FFFFFF"/>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1—线</w:t>
            </w:r>
          </w:p>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2—点</w:t>
            </w:r>
          </w:p>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3—面</w:t>
            </w:r>
          </w:p>
          <w:p>
            <w:pPr>
              <w:widowControl/>
              <w:jc w:val="center"/>
              <w:rPr>
                <w:rFonts w:ascii="仿宋" w:hAnsi="仿宋" w:eastAsia="仿宋" w:cs="仿宋"/>
                <w:color w:val="auto"/>
                <w:kern w:val="0"/>
                <w:szCs w:val="21"/>
                <w:highlight w:val="none"/>
              </w:rPr>
            </w:pPr>
          </w:p>
        </w:tc>
        <w:tc>
          <w:tcPr>
            <w:tcW w:w="1718" w:type="dxa"/>
            <w:vMerge w:val="restart"/>
            <w:shd w:val="clear" w:color="auto" w:fill="FFFFFF"/>
            <w:noWrap/>
            <w:vAlign w:val="center"/>
          </w:tcPr>
          <w:p>
            <w:pPr>
              <w:widowControl/>
              <w:numPr>
                <w:ilvl w:val="0"/>
                <w:numId w:val="51"/>
              </w:numPr>
              <w:ind w:left="360" w:hanging="360"/>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特征</w:t>
            </w:r>
          </w:p>
          <w:p>
            <w:pPr>
              <w:widowControl/>
              <w:numPr>
                <w:ilvl w:val="0"/>
                <w:numId w:val="51"/>
              </w:numPr>
              <w:ind w:left="360" w:hanging="360"/>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附属设施</w:t>
            </w:r>
          </w:p>
          <w:p>
            <w:pPr>
              <w:widowControl/>
              <w:numPr>
                <w:ilvl w:val="0"/>
                <w:numId w:val="51"/>
              </w:numPr>
              <w:ind w:left="360" w:hanging="360"/>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其他特征</w:t>
            </w:r>
          </w:p>
          <w:p>
            <w:pPr>
              <w:widowControl/>
              <w:jc w:val="center"/>
              <w:rPr>
                <w:rFonts w:ascii="仿宋" w:hAnsi="仿宋" w:eastAsia="仿宋" w:cs="仿宋"/>
                <w:color w:val="auto"/>
                <w:kern w:val="0"/>
                <w:szCs w:val="21"/>
                <w:highlight w:val="none"/>
              </w:rPr>
            </w:pPr>
          </w:p>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（要素类型码为“1”时，管点类型码为“0”）</w:t>
            </w:r>
          </w:p>
        </w:tc>
        <w:tc>
          <w:tcPr>
            <w:tcW w:w="1077" w:type="dxa"/>
            <w:vMerge w:val="restart"/>
            <w:shd w:val="clear" w:color="auto" w:fill="FFFFFF"/>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01—99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shd w:val="clear" w:color="auto" w:fill="FFFFFF"/>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shd w:val="clear" w:color="auto" w:fill="FFFFFF"/>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shd w:val="clear" w:color="auto" w:fill="FFFFFF"/>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shd w:val="clear" w:color="auto" w:fill="FFFFFF"/>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输水</w:t>
            </w:r>
          </w:p>
        </w:tc>
        <w:tc>
          <w:tcPr>
            <w:tcW w:w="567" w:type="dxa"/>
            <w:tcBorders>
              <w:left w:val="single" w:color="auto" w:sz="4" w:space="0"/>
            </w:tcBorders>
            <w:shd w:val="clear" w:color="auto" w:fill="FFFFFF"/>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02</w:t>
            </w:r>
          </w:p>
        </w:tc>
        <w:tc>
          <w:tcPr>
            <w:tcW w:w="1134" w:type="dxa"/>
            <w:vMerge w:val="continue"/>
            <w:shd w:val="clear" w:color="auto" w:fill="FFFFFF"/>
            <w:noWrap/>
            <w:vAlign w:val="center"/>
          </w:tcPr>
          <w:p>
            <w:pPr>
              <w:widowControl/>
              <w:jc w:val="center"/>
              <w:rPr>
                <w:rFonts w:ascii="仿宋" w:hAnsi="仿宋" w:eastAsia="仿宋" w:cs="仿宋"/>
                <w:color w:val="auto"/>
                <w:kern w:val="0"/>
                <w:szCs w:val="21"/>
                <w:highlight w:val="none"/>
              </w:rPr>
            </w:pPr>
          </w:p>
        </w:tc>
        <w:tc>
          <w:tcPr>
            <w:tcW w:w="1718" w:type="dxa"/>
            <w:vMerge w:val="continue"/>
            <w:shd w:val="clear" w:color="auto" w:fill="FFFFFF"/>
            <w:noWrap/>
            <w:vAlign w:val="center"/>
          </w:tcPr>
          <w:p>
            <w:pPr>
              <w:widowControl/>
              <w:jc w:val="center"/>
              <w:rPr>
                <w:rFonts w:ascii="仿宋" w:hAnsi="仿宋" w:eastAsia="仿宋" w:cs="仿宋"/>
                <w:color w:val="auto"/>
                <w:kern w:val="0"/>
                <w:szCs w:val="21"/>
                <w:highlight w:val="none"/>
              </w:rPr>
            </w:pPr>
          </w:p>
        </w:tc>
        <w:tc>
          <w:tcPr>
            <w:tcW w:w="1077" w:type="dxa"/>
            <w:vMerge w:val="continue"/>
            <w:shd w:val="clear" w:color="auto" w:fill="FFFFFF"/>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shd w:val="clear" w:color="auto" w:fill="FFFFFF"/>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shd w:val="clear" w:color="auto" w:fill="FFFFFF"/>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shd w:val="clear" w:color="auto" w:fill="FFFFFF"/>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shd w:val="clear" w:color="auto" w:fill="FFFFFF"/>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中水</w:t>
            </w:r>
          </w:p>
        </w:tc>
        <w:tc>
          <w:tcPr>
            <w:tcW w:w="567" w:type="dxa"/>
            <w:tcBorders>
              <w:left w:val="single" w:color="auto" w:sz="4" w:space="0"/>
            </w:tcBorders>
            <w:shd w:val="clear" w:color="auto" w:fill="FFFFFF"/>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03</w:t>
            </w:r>
          </w:p>
        </w:tc>
        <w:tc>
          <w:tcPr>
            <w:tcW w:w="1134" w:type="dxa"/>
            <w:vMerge w:val="continue"/>
            <w:shd w:val="clear" w:color="auto" w:fill="FFFFFF"/>
            <w:noWrap/>
            <w:vAlign w:val="center"/>
          </w:tcPr>
          <w:p>
            <w:pPr>
              <w:widowControl/>
              <w:jc w:val="center"/>
              <w:rPr>
                <w:rFonts w:ascii="仿宋" w:hAnsi="仿宋" w:eastAsia="仿宋" w:cs="仿宋"/>
                <w:color w:val="auto"/>
                <w:kern w:val="0"/>
                <w:szCs w:val="21"/>
                <w:highlight w:val="none"/>
              </w:rPr>
            </w:pPr>
          </w:p>
        </w:tc>
        <w:tc>
          <w:tcPr>
            <w:tcW w:w="1718" w:type="dxa"/>
            <w:vMerge w:val="continue"/>
            <w:shd w:val="clear" w:color="auto" w:fill="FFFFFF"/>
            <w:noWrap/>
            <w:vAlign w:val="center"/>
          </w:tcPr>
          <w:p>
            <w:pPr>
              <w:widowControl/>
              <w:jc w:val="center"/>
              <w:rPr>
                <w:rFonts w:ascii="仿宋" w:hAnsi="仿宋" w:eastAsia="仿宋" w:cs="仿宋"/>
                <w:color w:val="auto"/>
                <w:kern w:val="0"/>
                <w:szCs w:val="21"/>
                <w:highlight w:val="none"/>
              </w:rPr>
            </w:pPr>
          </w:p>
        </w:tc>
        <w:tc>
          <w:tcPr>
            <w:tcW w:w="1077" w:type="dxa"/>
            <w:vMerge w:val="continue"/>
            <w:shd w:val="clear" w:color="auto" w:fill="FFFFFF"/>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配水</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04</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直饮水</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bCs/>
                <w:color w:val="auto"/>
                <w:kern w:val="0"/>
                <w:szCs w:val="21"/>
                <w:highlight w:val="none"/>
              </w:rPr>
              <w:t>05</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消防水</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bCs/>
                <w:color w:val="auto"/>
                <w:kern w:val="0"/>
                <w:szCs w:val="21"/>
                <w:highlight w:val="none"/>
              </w:rPr>
              <w:t>06</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绿化水</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bCs/>
                <w:color w:val="auto"/>
                <w:kern w:val="0"/>
                <w:szCs w:val="21"/>
                <w:highlight w:val="none"/>
              </w:rPr>
              <w:t>07</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循环水</w:t>
            </w:r>
          </w:p>
        </w:tc>
        <w:tc>
          <w:tcPr>
            <w:tcW w:w="567" w:type="dxa"/>
            <w:tcBorders>
              <w:left w:val="single" w:color="auto" w:sz="4" w:space="0"/>
            </w:tcBorders>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08</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长途输水</w:t>
            </w:r>
          </w:p>
        </w:tc>
        <w:tc>
          <w:tcPr>
            <w:tcW w:w="567" w:type="dxa"/>
            <w:tcBorders>
              <w:left w:val="single" w:color="auto" w:sz="4" w:space="0"/>
            </w:tcBorders>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09</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restart"/>
            <w:tcBorders>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排水</w:t>
            </w:r>
          </w:p>
        </w:tc>
        <w:tc>
          <w:tcPr>
            <w:tcW w:w="1218" w:type="dxa"/>
            <w:gridSpan w:val="3"/>
            <w:vMerge w:val="restart"/>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976" w:type="dxa"/>
            <w:vMerge w:val="restart"/>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雨水</w:t>
            </w:r>
          </w:p>
        </w:tc>
        <w:tc>
          <w:tcPr>
            <w:tcW w:w="567" w:type="dxa"/>
            <w:tcBorders>
              <w:left w:val="single" w:color="auto" w:sz="4" w:space="0"/>
            </w:tcBorders>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color w:val="auto"/>
                <w:kern w:val="0"/>
                <w:szCs w:val="21"/>
                <w:highlight w:val="none"/>
              </w:rPr>
              <w:t>01</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污水</w:t>
            </w:r>
          </w:p>
        </w:tc>
        <w:tc>
          <w:tcPr>
            <w:tcW w:w="567" w:type="dxa"/>
            <w:tcBorders>
              <w:left w:val="single" w:color="auto" w:sz="4" w:space="0"/>
            </w:tcBorders>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color w:val="auto"/>
                <w:kern w:val="0"/>
                <w:szCs w:val="21"/>
                <w:highlight w:val="none"/>
              </w:rPr>
              <w:t>02</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雨污合流</w:t>
            </w:r>
          </w:p>
        </w:tc>
        <w:tc>
          <w:tcPr>
            <w:tcW w:w="567" w:type="dxa"/>
            <w:tcBorders>
              <w:left w:val="single" w:color="auto" w:sz="4" w:space="0"/>
            </w:tcBorders>
            <w:noWrap/>
            <w:vAlign w:val="center"/>
          </w:tcPr>
          <w:p>
            <w:pPr>
              <w:widowControl/>
              <w:jc w:val="center"/>
              <w:rPr>
                <w:rFonts w:ascii="仿宋" w:hAnsi="仿宋" w:eastAsia="仿宋" w:cs="仿宋"/>
                <w:bCs/>
                <w:color w:val="auto"/>
                <w:kern w:val="0"/>
                <w:szCs w:val="21"/>
                <w:highlight w:val="none"/>
              </w:rPr>
            </w:pPr>
            <w:r>
              <w:rPr>
                <w:rFonts w:hint="eastAsia" w:ascii="仿宋" w:hAnsi="仿宋" w:eastAsia="仿宋" w:cs="仿宋"/>
                <w:color w:val="auto"/>
                <w:kern w:val="0"/>
                <w:szCs w:val="21"/>
                <w:highlight w:val="none"/>
              </w:rPr>
              <w:t>03</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restart"/>
            <w:tcBorders>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燃气</w:t>
            </w:r>
          </w:p>
        </w:tc>
        <w:tc>
          <w:tcPr>
            <w:tcW w:w="1218" w:type="dxa"/>
            <w:gridSpan w:val="3"/>
            <w:vMerge w:val="restart"/>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976" w:type="dxa"/>
            <w:vMerge w:val="restart"/>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煤气</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01</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液化气</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02</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天然气</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03</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长途输气</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04</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restart"/>
            <w:tcBorders>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热力</w:t>
            </w:r>
          </w:p>
        </w:tc>
        <w:tc>
          <w:tcPr>
            <w:tcW w:w="1218" w:type="dxa"/>
            <w:gridSpan w:val="3"/>
            <w:vMerge w:val="restart"/>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976" w:type="dxa"/>
            <w:vMerge w:val="restart"/>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热水</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01</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蒸汽</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02</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restart"/>
            <w:tcBorders>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电力</w:t>
            </w:r>
          </w:p>
        </w:tc>
        <w:tc>
          <w:tcPr>
            <w:tcW w:w="1218" w:type="dxa"/>
            <w:gridSpan w:val="3"/>
            <w:vMerge w:val="restart"/>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976" w:type="dxa"/>
            <w:vMerge w:val="restart"/>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供电</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01</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路灯</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02</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交通信号</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03</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电车</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04</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广告</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05</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高压输电</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06</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restart"/>
            <w:tcBorders>
              <w:top w:val="single" w:color="auto" w:sz="4" w:space="0"/>
              <w:right w:val="single" w:color="auto" w:sz="4" w:space="0"/>
            </w:tcBorders>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通信</w:t>
            </w:r>
          </w:p>
        </w:tc>
        <w:tc>
          <w:tcPr>
            <w:tcW w:w="1218" w:type="dxa"/>
            <w:gridSpan w:val="3"/>
            <w:vMerge w:val="restart"/>
            <w:tcBorders>
              <w:top w:val="single" w:color="auto" w:sz="4" w:space="0"/>
              <w:left w:val="single" w:color="auto" w:sz="4" w:space="0"/>
              <w:right w:val="single" w:color="auto" w:sz="4" w:space="0"/>
            </w:tcBorders>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976" w:type="dxa"/>
            <w:vMerge w:val="restart"/>
            <w:tcBorders>
              <w:top w:val="single" w:color="auto" w:sz="4" w:space="0"/>
              <w:left w:val="single" w:color="auto" w:sz="4" w:space="0"/>
              <w:right w:val="single" w:color="auto" w:sz="4" w:space="0"/>
            </w:tcBorders>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6</w:t>
            </w: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电话</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01</w:t>
            </w:r>
          </w:p>
        </w:tc>
        <w:tc>
          <w:tcPr>
            <w:tcW w:w="1134" w:type="dxa"/>
            <w:vMerge w:val="restart"/>
            <w:tcBorders>
              <w:top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1—线</w:t>
            </w:r>
          </w:p>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2—点</w:t>
            </w:r>
          </w:p>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3—面</w:t>
            </w:r>
          </w:p>
          <w:p>
            <w:pPr>
              <w:widowControl/>
              <w:jc w:val="center"/>
              <w:rPr>
                <w:rFonts w:ascii="仿宋" w:hAnsi="仿宋" w:eastAsia="仿宋" w:cs="仿宋"/>
                <w:color w:val="auto"/>
                <w:kern w:val="0"/>
                <w:szCs w:val="21"/>
                <w:highlight w:val="none"/>
              </w:rPr>
            </w:pPr>
          </w:p>
        </w:tc>
        <w:tc>
          <w:tcPr>
            <w:tcW w:w="1718" w:type="dxa"/>
            <w:vMerge w:val="restart"/>
            <w:tcBorders>
              <w:top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1—特征</w:t>
            </w:r>
          </w:p>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2—附属设施</w:t>
            </w:r>
          </w:p>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3—其他特征</w:t>
            </w:r>
          </w:p>
          <w:p>
            <w:pPr>
              <w:widowControl/>
              <w:jc w:val="center"/>
              <w:rPr>
                <w:rFonts w:ascii="仿宋" w:hAnsi="仿宋" w:eastAsia="仿宋" w:cs="仿宋"/>
                <w:color w:val="auto"/>
                <w:kern w:val="0"/>
                <w:szCs w:val="21"/>
                <w:highlight w:val="none"/>
              </w:rPr>
            </w:pPr>
          </w:p>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（要素类型码为“1”时，管点类型码为“0”）</w:t>
            </w:r>
          </w:p>
        </w:tc>
        <w:tc>
          <w:tcPr>
            <w:tcW w:w="1077" w:type="dxa"/>
            <w:vMerge w:val="restart"/>
            <w:tcBorders>
              <w:top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01—99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有线电视</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02</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信息网络</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03</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广播</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04</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陆地通信</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05</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水下光缆</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06</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restart"/>
            <w:tcBorders>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工业</w:t>
            </w:r>
          </w:p>
        </w:tc>
        <w:tc>
          <w:tcPr>
            <w:tcW w:w="1218" w:type="dxa"/>
            <w:gridSpan w:val="3"/>
            <w:vMerge w:val="restart"/>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976" w:type="dxa"/>
            <w:vMerge w:val="restart"/>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7</w:t>
            </w: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氢气</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01</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氧气</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02</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乙炔</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03</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乙烯</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04</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苯</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05</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氯气</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06</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氮气</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07</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二氧化碳</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08</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氨气</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09</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5" w:type="dxa"/>
            <w:vMerge w:val="continue"/>
            <w:tcBorders>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976" w:type="dxa"/>
            <w:vMerge w:val="continue"/>
            <w:tcBorders>
              <w:left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甲苯</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10</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255" w:type="dxa"/>
            <w:vMerge w:val="continue"/>
            <w:tcBorders>
              <w:bottom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18" w:type="dxa"/>
            <w:gridSpan w:val="3"/>
            <w:vMerge w:val="continue"/>
            <w:tcBorders>
              <w:left w:val="single" w:color="auto" w:sz="4" w:space="0"/>
              <w:bottom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976" w:type="dxa"/>
            <w:vMerge w:val="continue"/>
            <w:tcBorders>
              <w:left w:val="single" w:color="auto" w:sz="4" w:space="0"/>
              <w:bottom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长途输油</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11</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6" w:type="dxa"/>
            <w:gridSpan w:val="2"/>
            <w:tcBorders>
              <w:top w:val="single" w:color="auto" w:sz="4" w:space="0"/>
              <w:right w:val="single" w:color="auto" w:sz="4" w:space="0"/>
            </w:tcBorders>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综合管廊（沟）</w:t>
            </w:r>
          </w:p>
        </w:tc>
        <w:tc>
          <w:tcPr>
            <w:tcW w:w="1180" w:type="dxa"/>
            <w:tcBorders>
              <w:top w:val="single" w:color="auto" w:sz="4" w:space="0"/>
              <w:right w:val="single" w:color="auto" w:sz="4" w:space="0"/>
            </w:tcBorders>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993" w:type="dxa"/>
            <w:gridSpan w:val="2"/>
            <w:tcBorders>
              <w:top w:val="single" w:color="auto" w:sz="4" w:space="0"/>
              <w:right w:val="single" w:color="auto" w:sz="4" w:space="0"/>
            </w:tcBorders>
            <w:noWrap/>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8</w:t>
            </w: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综合管廊（沟）</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01</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6" w:type="dxa"/>
            <w:gridSpan w:val="2"/>
            <w:tcBorders>
              <w:bottom w:val="single" w:color="auto" w:sz="4" w:space="0"/>
              <w:right w:val="single" w:color="auto" w:sz="4" w:space="0"/>
            </w:tcBorders>
            <w:noWrap/>
            <w:vAlign w:val="center"/>
          </w:tcPr>
          <w:p>
            <w:pPr>
              <w:widowControl/>
              <w:ind w:firstLine="210" w:firstLineChars="100"/>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其他</w:t>
            </w:r>
          </w:p>
        </w:tc>
        <w:tc>
          <w:tcPr>
            <w:tcW w:w="1180" w:type="dxa"/>
            <w:tcBorders>
              <w:bottom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993" w:type="dxa"/>
            <w:gridSpan w:val="2"/>
            <w:tcBorders>
              <w:bottom w:val="single" w:color="auto" w:sz="4" w:space="0"/>
              <w:right w:val="single" w:color="auto" w:sz="4" w:space="0"/>
            </w:tcBorders>
            <w:noWrap/>
            <w:vAlign w:val="center"/>
          </w:tcPr>
          <w:p>
            <w:pPr>
              <w:widowControl/>
              <w:ind w:firstLine="420" w:firstLineChars="200"/>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9</w:t>
            </w:r>
          </w:p>
        </w:tc>
        <w:tc>
          <w:tcPr>
            <w:tcW w:w="1275" w:type="dxa"/>
            <w:tcBorders>
              <w:left w:val="single" w:color="auto" w:sz="4" w:space="0"/>
              <w:righ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不明管线</w:t>
            </w:r>
          </w:p>
        </w:tc>
        <w:tc>
          <w:tcPr>
            <w:tcW w:w="567" w:type="dxa"/>
            <w:tcBorders>
              <w:left w:val="single" w:color="auto" w:sz="4" w:space="0"/>
            </w:tcBorders>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01</w:t>
            </w:r>
          </w:p>
        </w:tc>
        <w:tc>
          <w:tcPr>
            <w:tcW w:w="1134" w:type="dxa"/>
            <w:vMerge w:val="continue"/>
            <w:noWrap/>
            <w:vAlign w:val="center"/>
          </w:tcPr>
          <w:p>
            <w:pPr>
              <w:widowControl/>
              <w:jc w:val="center"/>
              <w:rPr>
                <w:rFonts w:ascii="仿宋" w:hAnsi="仿宋" w:eastAsia="仿宋" w:cs="仿宋"/>
                <w:color w:val="auto"/>
                <w:kern w:val="0"/>
                <w:szCs w:val="21"/>
                <w:highlight w:val="none"/>
              </w:rPr>
            </w:pPr>
          </w:p>
        </w:tc>
        <w:tc>
          <w:tcPr>
            <w:tcW w:w="1718" w:type="dxa"/>
            <w:vMerge w:val="continue"/>
            <w:tcBorders>
              <w:bottom w:val="single" w:color="auto" w:sz="4" w:space="0"/>
            </w:tcBorders>
            <w:noWrap/>
            <w:vAlign w:val="center"/>
          </w:tcPr>
          <w:p>
            <w:pPr>
              <w:widowControl/>
              <w:jc w:val="center"/>
              <w:rPr>
                <w:rFonts w:ascii="仿宋" w:hAnsi="仿宋" w:eastAsia="仿宋" w:cs="仿宋"/>
                <w:color w:val="auto"/>
                <w:kern w:val="0"/>
                <w:szCs w:val="21"/>
                <w:highlight w:val="none"/>
              </w:rPr>
            </w:pPr>
          </w:p>
        </w:tc>
        <w:tc>
          <w:tcPr>
            <w:tcW w:w="1077" w:type="dxa"/>
            <w:vMerge w:val="continue"/>
            <w:noWrap/>
            <w:vAlign w:val="center"/>
          </w:tcPr>
          <w:p>
            <w:pPr>
              <w:widowControl/>
              <w:jc w:val="center"/>
              <w:rPr>
                <w:rFonts w:ascii="仿宋" w:hAnsi="仿宋" w:eastAsia="仿宋" w:cs="仿宋"/>
                <w:color w:val="auto"/>
                <w:kern w:val="0"/>
                <w:szCs w:val="21"/>
                <w:highlight w:val="none"/>
              </w:rPr>
            </w:pPr>
          </w:p>
        </w:tc>
      </w:tr>
    </w:tbl>
    <w:p>
      <w:pPr>
        <w:pStyle w:val="2"/>
        <w:spacing w:line="480" w:lineRule="exact"/>
        <w:jc w:val="center"/>
        <w:rPr>
          <w:rFonts w:ascii="仿宋" w:hAnsi="仿宋" w:eastAsia="仿宋" w:cs="仿宋"/>
          <w:color w:val="auto"/>
          <w:sz w:val="24"/>
          <w:highlight w:val="none"/>
        </w:rPr>
      </w:pPr>
    </w:p>
    <w:p>
      <w:pPr>
        <w:pStyle w:val="2"/>
        <w:spacing w:line="480" w:lineRule="exact"/>
        <w:jc w:val="left"/>
        <w:rPr>
          <w:rFonts w:ascii="仿宋" w:hAnsi="仿宋" w:eastAsia="仿宋" w:cs="仿宋"/>
          <w:color w:val="auto"/>
          <w:sz w:val="24"/>
          <w:highlight w:val="none"/>
        </w:rPr>
      </w:pPr>
    </w:p>
    <w:p>
      <w:pPr>
        <w:pStyle w:val="2"/>
        <w:spacing w:line="480" w:lineRule="exact"/>
        <w:jc w:val="left"/>
        <w:rPr>
          <w:rFonts w:ascii="仿宋" w:hAnsi="仿宋" w:eastAsia="仿宋" w:cs="仿宋"/>
          <w:color w:val="auto"/>
          <w:sz w:val="24"/>
          <w:highlight w:val="none"/>
        </w:rPr>
      </w:pPr>
    </w:p>
    <w:p>
      <w:pPr>
        <w:pStyle w:val="2"/>
        <w:spacing w:line="480" w:lineRule="exact"/>
        <w:jc w:val="left"/>
        <w:rPr>
          <w:rFonts w:ascii="仿宋" w:hAnsi="仿宋" w:eastAsia="仿宋" w:cs="仿宋"/>
          <w:color w:val="auto"/>
          <w:sz w:val="24"/>
          <w:highlight w:val="none"/>
        </w:rPr>
      </w:pPr>
    </w:p>
    <w:p>
      <w:pPr>
        <w:pStyle w:val="6"/>
        <w:jc w:val="center"/>
        <w:rPr>
          <w:rFonts w:ascii="仿宋" w:hAnsi="仿宋" w:eastAsia="仿宋" w:cs="仿宋"/>
          <w:color w:val="auto"/>
          <w:sz w:val="24"/>
          <w:highlight w:val="none"/>
        </w:rPr>
      </w:pPr>
      <w:bookmarkStart w:id="532" w:name="_Toc26946"/>
      <w:bookmarkStart w:id="533" w:name="_Toc3493"/>
      <w:bookmarkStart w:id="534" w:name="_Toc7315"/>
      <w:bookmarkStart w:id="535" w:name="_Toc32202"/>
      <w:bookmarkStart w:id="536" w:name="_Toc11580"/>
      <w:bookmarkStart w:id="537" w:name="_Toc9810"/>
      <w:bookmarkStart w:id="538" w:name="_Toc25240"/>
      <w:bookmarkStart w:id="539" w:name="_Toc5544"/>
      <w:r>
        <w:rPr>
          <w:rFonts w:hint="eastAsia" w:ascii="仿宋" w:hAnsi="仿宋" w:eastAsia="仿宋" w:cs="仿宋"/>
          <w:color w:val="auto"/>
          <w:sz w:val="24"/>
          <w:highlight w:val="none"/>
        </w:rPr>
        <w:t>附表A.10 管线点图例</w:t>
      </w:r>
      <w:bookmarkEnd w:id="532"/>
      <w:bookmarkEnd w:id="533"/>
      <w:bookmarkEnd w:id="534"/>
      <w:bookmarkEnd w:id="535"/>
      <w:bookmarkEnd w:id="536"/>
      <w:bookmarkEnd w:id="537"/>
      <w:bookmarkEnd w:id="538"/>
      <w:bookmarkEnd w:id="539"/>
    </w:p>
    <w:tbl>
      <w:tblPr>
        <w:tblStyle w:val="43"/>
        <w:tblW w:w="874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57"/>
        <w:gridCol w:w="2127"/>
        <w:gridCol w:w="1559"/>
        <w:gridCol w:w="1995"/>
        <w:gridCol w:w="1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1357" w:type="dxa"/>
            <w:noWrap/>
            <w:vAlign w:val="center"/>
          </w:tcPr>
          <w:p>
            <w:pPr>
              <w:pStyle w:val="150"/>
              <w:ind w:firstLine="0" w:firstLineChars="0"/>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管线类别</w:t>
            </w:r>
          </w:p>
        </w:tc>
        <w:tc>
          <w:tcPr>
            <w:tcW w:w="2127" w:type="dxa"/>
            <w:noWrap/>
            <w:vAlign w:val="center"/>
          </w:tcPr>
          <w:p>
            <w:pPr>
              <w:pStyle w:val="150"/>
              <w:ind w:firstLine="0" w:firstLineChars="0"/>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点符号名称</w:t>
            </w:r>
          </w:p>
        </w:tc>
        <w:tc>
          <w:tcPr>
            <w:tcW w:w="1559" w:type="dxa"/>
            <w:noWrap/>
            <w:vAlign w:val="center"/>
          </w:tcPr>
          <w:p>
            <w:pPr>
              <w:tabs>
                <w:tab w:val="left" w:pos="794"/>
              </w:tabs>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图例</w:t>
            </w:r>
          </w:p>
        </w:tc>
        <w:tc>
          <w:tcPr>
            <w:tcW w:w="1995" w:type="dxa"/>
            <w:noWrap/>
            <w:vAlign w:val="center"/>
          </w:tcPr>
          <w:p>
            <w:pPr>
              <w:tabs>
                <w:tab w:val="left" w:pos="794"/>
              </w:tabs>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图上大小(</w:t>
            </w:r>
            <w:r>
              <w:rPr>
                <w:rFonts w:ascii="仿宋" w:hAnsi="仿宋" w:eastAsia="仿宋" w:cs="仿宋"/>
                <w:b/>
                <w:color w:val="auto"/>
                <w:szCs w:val="21"/>
                <w:highlight w:val="none"/>
              </w:rPr>
              <w:t>mm</w:t>
            </w:r>
            <w:r>
              <w:rPr>
                <w:rFonts w:hint="eastAsia" w:ascii="仿宋" w:hAnsi="仿宋" w:eastAsia="仿宋" w:cs="仿宋"/>
                <w:b/>
                <w:color w:val="auto"/>
                <w:szCs w:val="21"/>
                <w:highlight w:val="none"/>
              </w:rPr>
              <w:t>)</w:t>
            </w:r>
          </w:p>
        </w:tc>
        <w:tc>
          <w:tcPr>
            <w:tcW w:w="1707" w:type="dxa"/>
            <w:noWrap/>
            <w:vAlign w:val="center"/>
          </w:tcPr>
          <w:p>
            <w:pPr>
              <w:tabs>
                <w:tab w:val="left" w:pos="794"/>
              </w:tabs>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定位基准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restart"/>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给水</w:t>
            </w:r>
          </w:p>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(JS)</w:t>
            </w: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检修井</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142875" cy="142875"/>
                  <wp:effectExtent l="0" t="0" r="9525" b="9525"/>
                  <wp:docPr id="7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1"/>
                          <pic:cNvPicPr>
                            <a:picLocks noChangeAspect="1"/>
                          </pic:cNvPicPr>
                        </pic:nvPicPr>
                        <pic:blipFill>
                          <a:blip r:embed="rId36"/>
                          <a:stretch>
                            <a:fillRect/>
                          </a:stretch>
                        </pic:blipFill>
                        <pic:spPr>
                          <a:xfrm>
                            <a:off x="0" y="0"/>
                            <a:ext cx="142875" cy="142875"/>
                          </a:xfrm>
                          <a:prstGeom prst="rect">
                            <a:avLst/>
                          </a:prstGeom>
                          <a:noFill/>
                          <a:ln>
                            <a:noFill/>
                          </a:ln>
                        </pic:spPr>
                      </pic:pic>
                    </a:graphicData>
                  </a:graphic>
                </wp:inline>
              </w:drawing>
            </w:r>
          </w:p>
        </w:tc>
        <w:tc>
          <w:tcPr>
            <w:tcW w:w="1995"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阀门井</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142875" cy="142875"/>
                  <wp:effectExtent l="0" t="0" r="9525" b="9525"/>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36"/>
                          <a:stretch>
                            <a:fillRect/>
                          </a:stretch>
                        </pic:blipFill>
                        <pic:spPr>
                          <a:xfrm>
                            <a:off x="0" y="0"/>
                            <a:ext cx="142875" cy="142875"/>
                          </a:xfrm>
                          <a:prstGeom prst="rect">
                            <a:avLst/>
                          </a:prstGeom>
                          <a:noFill/>
                          <a:ln>
                            <a:noFill/>
                          </a:ln>
                        </pic:spPr>
                      </pic:pic>
                    </a:graphicData>
                  </a:graphic>
                </wp:inline>
              </w:drawing>
            </w:r>
          </w:p>
        </w:tc>
        <w:tc>
          <w:tcPr>
            <w:tcW w:w="1995"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消防井</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142875" cy="142875"/>
                  <wp:effectExtent l="0" t="0" r="9525" b="9525"/>
                  <wp:docPr id="4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3"/>
                          <pic:cNvPicPr>
                            <a:picLocks noChangeAspect="1"/>
                          </pic:cNvPicPr>
                        </pic:nvPicPr>
                        <pic:blipFill>
                          <a:blip r:embed="rId36"/>
                          <a:stretch>
                            <a:fillRect/>
                          </a:stretch>
                        </pic:blipFill>
                        <pic:spPr>
                          <a:xfrm>
                            <a:off x="0" y="0"/>
                            <a:ext cx="142875" cy="142875"/>
                          </a:xfrm>
                          <a:prstGeom prst="rect">
                            <a:avLst/>
                          </a:prstGeom>
                          <a:noFill/>
                          <a:ln>
                            <a:noFill/>
                          </a:ln>
                        </pic:spPr>
                      </pic:pic>
                    </a:graphicData>
                  </a:graphic>
                </wp:inline>
              </w:drawing>
            </w:r>
          </w:p>
        </w:tc>
        <w:tc>
          <w:tcPr>
            <w:tcW w:w="1995"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水表井</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142875" cy="142875"/>
                  <wp:effectExtent l="0" t="0" r="9525" b="9525"/>
                  <wp:docPr id="5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4"/>
                          <pic:cNvPicPr>
                            <a:picLocks noChangeAspect="1"/>
                          </pic:cNvPicPr>
                        </pic:nvPicPr>
                        <pic:blipFill>
                          <a:blip r:embed="rId36"/>
                          <a:stretch>
                            <a:fillRect/>
                          </a:stretch>
                        </pic:blipFill>
                        <pic:spPr>
                          <a:xfrm>
                            <a:off x="0" y="0"/>
                            <a:ext cx="142875" cy="142875"/>
                          </a:xfrm>
                          <a:prstGeom prst="rect">
                            <a:avLst/>
                          </a:prstGeom>
                          <a:noFill/>
                          <a:ln>
                            <a:noFill/>
                          </a:ln>
                        </pic:spPr>
                      </pic:pic>
                    </a:graphicData>
                  </a:graphic>
                </wp:inline>
              </w:drawing>
            </w:r>
          </w:p>
        </w:tc>
        <w:tc>
          <w:tcPr>
            <w:tcW w:w="1995"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水源井</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171450" cy="171450"/>
                  <wp:effectExtent l="0" t="0" r="0" b="0"/>
                  <wp:docPr id="6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5"/>
                          <pic:cNvPicPr>
                            <a:picLocks noChangeAspect="1"/>
                          </pic:cNvPicPr>
                        </pic:nvPicPr>
                        <pic:blipFill>
                          <a:blip r:embed="rId37"/>
                          <a:stretch>
                            <a:fillRect/>
                          </a:stretch>
                        </pic:blipFill>
                        <pic:spPr>
                          <a:xfrm>
                            <a:off x="0" y="0"/>
                            <a:ext cx="171450" cy="171450"/>
                          </a:xfrm>
                          <a:prstGeom prst="rect">
                            <a:avLst/>
                          </a:prstGeom>
                          <a:noFill/>
                          <a:ln>
                            <a:noFill/>
                          </a:ln>
                        </pic:spPr>
                      </pic:pic>
                    </a:graphicData>
                  </a:graphic>
                </wp:inline>
              </w:drawing>
            </w:r>
          </w:p>
        </w:tc>
        <w:tc>
          <w:tcPr>
            <w:tcW w:w="1995"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排气阀（井）</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142875" cy="142875"/>
                  <wp:effectExtent l="0" t="0" r="9525" b="9525"/>
                  <wp:docPr id="4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6"/>
                          <pic:cNvPicPr>
                            <a:picLocks noChangeAspect="1"/>
                          </pic:cNvPicPr>
                        </pic:nvPicPr>
                        <pic:blipFill>
                          <a:blip r:embed="rId38"/>
                          <a:stretch>
                            <a:fillRect/>
                          </a:stretch>
                        </pic:blipFill>
                        <pic:spPr>
                          <a:xfrm>
                            <a:off x="0" y="0"/>
                            <a:ext cx="142875" cy="142875"/>
                          </a:xfrm>
                          <a:prstGeom prst="rect">
                            <a:avLst/>
                          </a:prstGeom>
                          <a:noFill/>
                          <a:ln>
                            <a:noFill/>
                          </a:ln>
                        </pic:spPr>
                      </pic:pic>
                    </a:graphicData>
                  </a:graphic>
                </wp:inline>
              </w:drawing>
            </w:r>
          </w:p>
        </w:tc>
        <w:tc>
          <w:tcPr>
            <w:tcW w:w="1995"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排污阀（井）</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142875" cy="1524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pic:cNvPicPr>
                        </pic:nvPicPr>
                        <pic:blipFill>
                          <a:blip r:embed="rId39"/>
                          <a:stretch>
                            <a:fillRect/>
                          </a:stretch>
                        </pic:blipFill>
                        <pic:spPr>
                          <a:xfrm>
                            <a:off x="0" y="0"/>
                            <a:ext cx="142875" cy="152400"/>
                          </a:xfrm>
                          <a:prstGeom prst="rect">
                            <a:avLst/>
                          </a:prstGeom>
                          <a:noFill/>
                          <a:ln>
                            <a:noFill/>
                          </a:ln>
                        </pic:spPr>
                      </pic:pic>
                    </a:graphicData>
                  </a:graphic>
                </wp:inline>
              </w:drawing>
            </w:r>
          </w:p>
        </w:tc>
        <w:tc>
          <w:tcPr>
            <w:tcW w:w="1995"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水塔</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152400" cy="152400"/>
                  <wp:effectExtent l="0" t="0" r="0" b="0"/>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40"/>
                          <a:stretch>
                            <a:fillRect/>
                          </a:stretch>
                        </pic:blipFill>
                        <pic:spPr>
                          <a:xfrm>
                            <a:off x="0" y="0"/>
                            <a:ext cx="152400" cy="152400"/>
                          </a:xfrm>
                          <a:prstGeom prst="rect">
                            <a:avLst/>
                          </a:prstGeom>
                          <a:noFill/>
                          <a:ln>
                            <a:noFill/>
                          </a:ln>
                        </pic:spPr>
                      </pic:pic>
                    </a:graphicData>
                  </a:graphic>
                </wp:inline>
              </w:drawing>
            </w:r>
          </w:p>
        </w:tc>
        <w:tc>
          <w:tcPr>
            <w:tcW w:w="1995"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水表</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171450" cy="171450"/>
                  <wp:effectExtent l="0" t="0" r="0" b="0"/>
                  <wp:docPr id="6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
                          <pic:cNvPicPr>
                            <a:picLocks noChangeAspect="1"/>
                          </pic:cNvPicPr>
                        </pic:nvPicPr>
                        <pic:blipFill>
                          <a:blip r:embed="rId41"/>
                          <a:stretch>
                            <a:fillRect/>
                          </a:stretch>
                        </pic:blipFill>
                        <pic:spPr>
                          <a:xfrm>
                            <a:off x="0" y="0"/>
                            <a:ext cx="171450" cy="171450"/>
                          </a:xfrm>
                          <a:prstGeom prst="rect">
                            <a:avLst/>
                          </a:prstGeom>
                          <a:noFill/>
                          <a:ln>
                            <a:noFill/>
                          </a:ln>
                        </pic:spPr>
                      </pic:pic>
                    </a:graphicData>
                  </a:graphic>
                </wp:inline>
              </w:drawing>
            </w:r>
          </w:p>
        </w:tc>
        <w:tc>
          <w:tcPr>
            <w:tcW w:w="1995"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水池</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200025" cy="200025"/>
                  <wp:effectExtent l="0" t="0" r="9525" b="9525"/>
                  <wp:docPr id="6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0"/>
                          <pic:cNvPicPr>
                            <a:picLocks noChangeAspect="1"/>
                          </pic:cNvPicPr>
                        </pic:nvPicPr>
                        <pic:blipFill>
                          <a:blip r:embed="rId42"/>
                          <a:stretch>
                            <a:fillRect/>
                          </a:stretch>
                        </pic:blipFill>
                        <pic:spPr>
                          <a:xfrm>
                            <a:off x="0" y="0"/>
                            <a:ext cx="200025" cy="200025"/>
                          </a:xfrm>
                          <a:prstGeom prst="rect">
                            <a:avLst/>
                          </a:prstGeom>
                          <a:noFill/>
                          <a:ln>
                            <a:noFill/>
                          </a:ln>
                        </pic:spPr>
                      </pic:pic>
                    </a:graphicData>
                  </a:graphic>
                </wp:inline>
              </w:drawing>
            </w:r>
          </w:p>
        </w:tc>
        <w:tc>
          <w:tcPr>
            <w:tcW w:w="1995"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阀门孔</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257175" cy="200025"/>
                  <wp:effectExtent l="0" t="0" r="9525" b="9525"/>
                  <wp:docPr id="6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1"/>
                          <pic:cNvPicPr>
                            <a:picLocks noChangeAspect="1"/>
                          </pic:cNvPicPr>
                        </pic:nvPicPr>
                        <pic:blipFill>
                          <a:blip r:embed="rId43"/>
                          <a:stretch>
                            <a:fillRect/>
                          </a:stretch>
                        </pic:blipFill>
                        <pic:spPr>
                          <a:xfrm>
                            <a:off x="0" y="0"/>
                            <a:ext cx="257175" cy="200025"/>
                          </a:xfrm>
                          <a:prstGeom prst="rect">
                            <a:avLst/>
                          </a:prstGeom>
                          <a:noFill/>
                          <a:ln>
                            <a:noFill/>
                          </a:ln>
                        </pic:spPr>
                      </pic:pic>
                    </a:graphicData>
                  </a:graphic>
                </wp:inline>
              </w:drawing>
            </w:r>
          </w:p>
        </w:tc>
        <w:tc>
          <w:tcPr>
            <w:tcW w:w="1995"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泵站</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228600" cy="200025"/>
                  <wp:effectExtent l="0" t="0" r="0" b="9525"/>
                  <wp:docPr id="6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2"/>
                          <pic:cNvPicPr>
                            <a:picLocks noChangeAspect="1"/>
                          </pic:cNvPicPr>
                        </pic:nvPicPr>
                        <pic:blipFill>
                          <a:blip r:embed="rId44"/>
                          <a:stretch>
                            <a:fillRect/>
                          </a:stretch>
                        </pic:blipFill>
                        <pic:spPr>
                          <a:xfrm>
                            <a:off x="0" y="0"/>
                            <a:ext cx="228600" cy="200025"/>
                          </a:xfrm>
                          <a:prstGeom prst="rect">
                            <a:avLst/>
                          </a:prstGeom>
                          <a:noFill/>
                          <a:ln>
                            <a:noFill/>
                          </a:ln>
                        </pic:spPr>
                      </pic:pic>
                    </a:graphicData>
                  </a:graphic>
                </wp:inline>
              </w:drawing>
            </w:r>
          </w:p>
        </w:tc>
        <w:tc>
          <w:tcPr>
            <w:tcW w:w="1995"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消防栓</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142875" cy="24765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5"/>
                          <a:stretch>
                            <a:fillRect/>
                          </a:stretch>
                        </pic:blipFill>
                        <pic:spPr>
                          <a:xfrm>
                            <a:off x="0" y="0"/>
                            <a:ext cx="142875" cy="247650"/>
                          </a:xfrm>
                          <a:prstGeom prst="rect">
                            <a:avLst/>
                          </a:prstGeom>
                          <a:noFill/>
                          <a:ln>
                            <a:noFill/>
                          </a:ln>
                        </pic:spPr>
                      </pic:pic>
                    </a:graphicData>
                  </a:graphic>
                </wp:inline>
              </w:drawing>
            </w:r>
          </w:p>
        </w:tc>
        <w:tc>
          <w:tcPr>
            <w:tcW w:w="1995"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2.0+1.6</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阀门</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142875" cy="209550"/>
                  <wp:effectExtent l="0" t="0" r="9525" b="0"/>
                  <wp:docPr id="5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4"/>
                          <pic:cNvPicPr>
                            <a:picLocks noChangeAspect="1"/>
                          </pic:cNvPicPr>
                        </pic:nvPicPr>
                        <pic:blipFill>
                          <a:blip r:embed="rId46"/>
                          <a:stretch>
                            <a:fillRect/>
                          </a:stretch>
                        </pic:blipFill>
                        <pic:spPr>
                          <a:xfrm>
                            <a:off x="0" y="0"/>
                            <a:ext cx="142875" cy="209550"/>
                          </a:xfrm>
                          <a:prstGeom prst="rect">
                            <a:avLst/>
                          </a:prstGeom>
                          <a:noFill/>
                          <a:ln>
                            <a:noFill/>
                          </a:ln>
                        </pic:spPr>
                      </pic:pic>
                    </a:graphicData>
                  </a:graphic>
                </wp:inline>
              </w:drawing>
            </w:r>
          </w:p>
        </w:tc>
        <w:tc>
          <w:tcPr>
            <w:tcW w:w="1995"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1.6+1.0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进水口</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171450" cy="200025"/>
                  <wp:effectExtent l="0" t="0" r="0" b="9525"/>
                  <wp:docPr id="5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5"/>
                          <pic:cNvPicPr>
                            <a:picLocks noChangeAspect="1"/>
                          </pic:cNvPicPr>
                        </pic:nvPicPr>
                        <pic:blipFill>
                          <a:blip r:embed="rId47"/>
                          <a:stretch>
                            <a:fillRect/>
                          </a:stretch>
                        </pic:blipFill>
                        <pic:spPr>
                          <a:xfrm>
                            <a:off x="0" y="0"/>
                            <a:ext cx="171450" cy="200025"/>
                          </a:xfrm>
                          <a:prstGeom prst="rect">
                            <a:avLst/>
                          </a:prstGeom>
                          <a:noFill/>
                          <a:ln>
                            <a:noFill/>
                          </a:ln>
                        </pic:spPr>
                      </pic:pic>
                    </a:graphicData>
                  </a:graphic>
                </wp:inline>
              </w:drawing>
            </w:r>
          </w:p>
        </w:tc>
        <w:tc>
          <w:tcPr>
            <w:tcW w:w="1995"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2.0∠60°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角顶中心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出水口</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171450" cy="200025"/>
                  <wp:effectExtent l="0" t="0" r="0" b="9525"/>
                  <wp:docPr id="5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6"/>
                          <pic:cNvPicPr>
                            <a:picLocks noChangeAspect="1"/>
                          </pic:cNvPicPr>
                        </pic:nvPicPr>
                        <pic:blipFill>
                          <a:blip r:embed="rId48"/>
                          <a:stretch>
                            <a:fillRect/>
                          </a:stretch>
                        </pic:blipFill>
                        <pic:spPr>
                          <a:xfrm>
                            <a:off x="0" y="0"/>
                            <a:ext cx="171450" cy="200025"/>
                          </a:xfrm>
                          <a:prstGeom prst="rect">
                            <a:avLst/>
                          </a:prstGeom>
                          <a:noFill/>
                          <a:ln>
                            <a:noFill/>
                          </a:ln>
                        </pic:spPr>
                      </pic:pic>
                    </a:graphicData>
                  </a:graphic>
                </wp:inline>
              </w:drawing>
            </w:r>
          </w:p>
        </w:tc>
        <w:tc>
          <w:tcPr>
            <w:tcW w:w="1995"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2.0∠60°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角顶中心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沉淀池</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161925" cy="171450"/>
                  <wp:effectExtent l="0" t="0" r="9525" b="0"/>
                  <wp:docPr id="5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7"/>
                          <pic:cNvPicPr>
                            <a:picLocks noChangeAspect="1"/>
                          </pic:cNvPicPr>
                        </pic:nvPicPr>
                        <pic:blipFill>
                          <a:blip r:embed="rId49"/>
                          <a:stretch>
                            <a:fillRect/>
                          </a:stretch>
                        </pic:blipFill>
                        <pic:spPr>
                          <a:xfrm>
                            <a:off x="0" y="0"/>
                            <a:ext cx="161925" cy="171450"/>
                          </a:xfrm>
                          <a:prstGeom prst="rect">
                            <a:avLst/>
                          </a:prstGeom>
                          <a:noFill/>
                          <a:ln>
                            <a:noFill/>
                          </a:ln>
                        </pic:spPr>
                      </pic:pic>
                    </a:graphicData>
                  </a:graphic>
                </wp:inline>
              </w:drawing>
            </w:r>
          </w:p>
        </w:tc>
        <w:tc>
          <w:tcPr>
            <w:tcW w:w="1995"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弯头</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85725" cy="85725"/>
                  <wp:effectExtent l="0" t="0" r="9525" b="9525"/>
                  <wp:docPr id="5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8"/>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入户</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85725" cy="85725"/>
                  <wp:effectExtent l="0" t="0" r="9525" b="9525"/>
                  <wp:docPr id="6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9"/>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预留口</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666750" cy="142875"/>
                  <wp:effectExtent l="0" t="0" r="0" b="9525"/>
                  <wp:docPr id="5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0"/>
                          <pic:cNvPicPr>
                            <a:picLocks noChangeAspect="1"/>
                          </pic:cNvPicPr>
                        </pic:nvPicPr>
                        <pic:blipFill>
                          <a:blip r:embed="rId51"/>
                          <a:stretch>
                            <a:fillRect/>
                          </a:stretch>
                        </pic:blipFill>
                        <pic:spPr>
                          <a:xfrm>
                            <a:off x="0" y="0"/>
                            <a:ext cx="666750" cy="142875"/>
                          </a:xfrm>
                          <a:prstGeom prst="rect">
                            <a:avLst/>
                          </a:prstGeom>
                          <a:noFill/>
                          <a:ln>
                            <a:noFill/>
                          </a:ln>
                        </pic:spPr>
                      </pic:pic>
                    </a:graphicData>
                  </a:graphic>
                </wp:inline>
              </w:drawing>
            </w:r>
          </w:p>
        </w:tc>
        <w:tc>
          <w:tcPr>
            <w:tcW w:w="1995"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2.0+6.0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非普查</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695325" cy="85725"/>
                  <wp:effectExtent l="0" t="0" r="9525" b="9525"/>
                  <wp:docPr id="5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1"/>
                          <pic:cNvPicPr>
                            <a:picLocks noChangeAspect="1"/>
                          </pic:cNvPicPr>
                        </pic:nvPicPr>
                        <pic:blipFill>
                          <a:blip r:embed="rId52"/>
                          <a:stretch>
                            <a:fillRect/>
                          </a:stretch>
                        </pic:blipFill>
                        <pic:spPr>
                          <a:xfrm>
                            <a:off x="0" y="0"/>
                            <a:ext cx="695325" cy="85725"/>
                          </a:xfrm>
                          <a:prstGeom prst="rect">
                            <a:avLst/>
                          </a:prstGeom>
                          <a:noFill/>
                          <a:ln>
                            <a:noFill/>
                          </a:ln>
                        </pic:spPr>
                      </pic:pic>
                    </a:graphicData>
                  </a:graphic>
                </wp:inline>
              </w:drawing>
            </w:r>
          </w:p>
        </w:tc>
        <w:tc>
          <w:tcPr>
            <w:tcW w:w="1995"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1.0+6.0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井边点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85725" cy="85725"/>
                  <wp:effectExtent l="0" t="0" r="9525" b="9525"/>
                  <wp:docPr id="5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2"/>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偏心点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85725" cy="85725"/>
                  <wp:effectExtent l="0" t="0" r="9525" b="9525"/>
                  <wp:docPr id="5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3"/>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地下井室</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85725" cy="85725"/>
                  <wp:effectExtent l="0" t="0" r="9525" b="9525"/>
                  <wp:docPr id="4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4"/>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出地</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drawing>
                <wp:inline distT="0" distB="0" distL="114300" distR="114300">
                  <wp:extent cx="95250" cy="257175"/>
                  <wp:effectExtent l="0" t="0" r="0" b="9525"/>
                  <wp:docPr id="3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5"/>
                          <pic:cNvPicPr>
                            <a:picLocks noChangeAspect="1"/>
                          </pic:cNvPicPr>
                        </pic:nvPicPr>
                        <pic:blipFill>
                          <a:blip r:embed="rId53"/>
                          <a:stretch>
                            <a:fillRect/>
                          </a:stretch>
                        </pic:blipFill>
                        <pic:spPr>
                          <a:xfrm>
                            <a:off x="0" y="0"/>
                            <a:ext cx="95250" cy="257175"/>
                          </a:xfrm>
                          <a:prstGeom prst="rect">
                            <a:avLst/>
                          </a:prstGeom>
                          <a:noFill/>
                          <a:ln>
                            <a:noFill/>
                          </a:ln>
                        </pic:spPr>
                      </pic:pic>
                    </a:graphicData>
                  </a:graphic>
                </wp:inline>
              </w:drawing>
            </w:r>
          </w:p>
        </w:tc>
        <w:tc>
          <w:tcPr>
            <w:tcW w:w="1995"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测压点</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200025"/>
                  <wp:effectExtent l="0" t="0" r="9525" b="9525"/>
                  <wp:docPr id="2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6"/>
                          <pic:cNvPicPr>
                            <a:picLocks noChangeAspect="1"/>
                          </pic:cNvPicPr>
                        </pic:nvPicPr>
                        <pic:blipFill>
                          <a:blip r:embed="rId54"/>
                          <a:stretch>
                            <a:fillRect/>
                          </a:stretch>
                        </pic:blipFill>
                        <pic:spPr>
                          <a:xfrm>
                            <a:off x="0" y="0"/>
                            <a:ext cx="200025" cy="20002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ind w:firstLine="1080" w:firstLineChars="600"/>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测流点</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200025"/>
                  <wp:effectExtent l="0" t="0" r="9525" b="9525"/>
                  <wp:docPr id="3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7"/>
                          <pic:cNvPicPr>
                            <a:picLocks noChangeAspect="1"/>
                          </pic:cNvPicPr>
                        </pic:nvPicPr>
                        <pic:blipFill>
                          <a:blip r:embed="rId55"/>
                          <a:stretch>
                            <a:fillRect/>
                          </a:stretch>
                        </pic:blipFill>
                        <pic:spPr>
                          <a:xfrm>
                            <a:off x="0" y="0"/>
                            <a:ext cx="200025" cy="20002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ind w:firstLine="1080" w:firstLineChars="600"/>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水质监测点</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71450" cy="142875"/>
                  <wp:effectExtent l="0" t="0" r="0" b="9525"/>
                  <wp:docPr id="3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8"/>
                          <pic:cNvPicPr>
                            <a:picLocks noChangeAspect="1"/>
                          </pic:cNvPicPr>
                        </pic:nvPicPr>
                        <pic:blipFill>
                          <a:blip r:embed="rId56"/>
                          <a:stretch>
                            <a:fillRect/>
                          </a:stretch>
                        </pic:blipFill>
                        <pic:spPr>
                          <a:xfrm>
                            <a:off x="0" y="0"/>
                            <a:ext cx="171450" cy="14287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ind w:firstLine="1080" w:firstLineChars="600"/>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变径</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9550" cy="171450"/>
                  <wp:effectExtent l="0" t="0" r="0" b="0"/>
                  <wp:docPr id="3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9"/>
                          <pic:cNvPicPr>
                            <a:picLocks noChangeAspect="1"/>
                          </pic:cNvPicPr>
                        </pic:nvPicPr>
                        <pic:blipFill>
                          <a:blip r:embed="rId57"/>
                          <a:stretch>
                            <a:fillRect/>
                          </a:stretch>
                        </pic:blipFill>
                        <pic:spPr>
                          <a:xfrm>
                            <a:off x="0" y="0"/>
                            <a:ext cx="209550" cy="1714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1.0+2.0</w:t>
            </w:r>
          </w:p>
        </w:tc>
        <w:tc>
          <w:tcPr>
            <w:tcW w:w="170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ind w:firstLine="1080" w:firstLineChars="600"/>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盖堵</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95250" cy="200025"/>
                  <wp:effectExtent l="0" t="0" r="0" b="9525"/>
                  <wp:docPr id="3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0"/>
                          <pic:cNvPicPr>
                            <a:picLocks noChangeAspect="1"/>
                          </pic:cNvPicPr>
                        </pic:nvPicPr>
                        <pic:blipFill>
                          <a:blip r:embed="rId58"/>
                          <a:stretch>
                            <a:fillRect/>
                          </a:stretch>
                        </pic:blipFill>
                        <pic:spPr>
                          <a:xfrm>
                            <a:off x="0" y="0"/>
                            <a:ext cx="95250"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ind w:firstLine="1080" w:firstLineChars="600"/>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三通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2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1"/>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ind w:firstLine="1080" w:firstLineChars="600"/>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四通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6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2"/>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57" w:type="dxa"/>
            <w:vMerge w:val="continue"/>
            <w:noWrap/>
            <w:vAlign w:val="center"/>
          </w:tcPr>
          <w:p>
            <w:pPr>
              <w:widowControl/>
              <w:ind w:firstLine="1080" w:firstLineChars="600"/>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多通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28"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3"/>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restart"/>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排水</w:t>
            </w:r>
          </w:p>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(PS)</w:t>
            </w: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雨水井</w:t>
            </w:r>
          </w:p>
        </w:tc>
        <w:tc>
          <w:tcPr>
            <w:tcW w:w="1559"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Cs w:val="21"/>
                <w:highlight w:val="none"/>
              </w:rPr>
              <w:object>
                <v:shape id="_x0000_i1036" o:spt="75" type="#_x0000_t75" style="height:7.8pt;width:21pt;" o:ole="t" filled="f" o:preferrelative="t" stroked="f" coordsize="21600,21600">
                  <v:path/>
                  <v:fill on="f" focussize="0,0"/>
                  <v:stroke on="f" joinstyle="miter"/>
                  <v:imagedata r:id="rId61" o:title=""/>
                  <o:lock v:ext="edit" aspectratio="t"/>
                  <w10:wrap type="none"/>
                  <w10:anchorlock/>
                </v:shape>
                <o:OLEObject Type="Embed" ProgID="AutoCAD.Drawing.16" ShapeID="_x0000_i1036" DrawAspect="Content" ObjectID="_1468075736" r:id="rId60">
                  <o:LockedField>false</o:LockedField>
                </o:OLEObject>
              </w:object>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污水井</w:t>
            </w:r>
          </w:p>
        </w:tc>
        <w:tc>
          <w:tcPr>
            <w:tcW w:w="1559" w:type="dxa"/>
            <w:noWrap/>
            <w:vAlign w:val="center"/>
          </w:tcPr>
          <w:p>
            <w:pPr>
              <w:widowControl/>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52400" cy="152400"/>
                  <wp:effectExtent l="0" t="0" r="0" b="0"/>
                  <wp:docPr id="3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5"/>
                          <pic:cNvPicPr>
                            <a:picLocks noChangeAspect="1"/>
                          </pic:cNvPicPr>
                        </pic:nvPicPr>
                        <pic:blipFill>
                          <a:blip r:embed="rId62"/>
                          <a:stretch>
                            <a:fillRect/>
                          </a:stretch>
                        </pic:blipFill>
                        <pic:spPr>
                          <a:xfrm>
                            <a:off x="0" y="0"/>
                            <a:ext cx="152400" cy="15240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雨篦</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95250" cy="171450"/>
                  <wp:effectExtent l="0" t="0" r="0" b="0"/>
                  <wp:docPr id="3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6"/>
                          <pic:cNvPicPr>
                            <a:picLocks noChangeAspect="1"/>
                          </pic:cNvPicPr>
                        </pic:nvPicPr>
                        <pic:blipFill>
                          <a:blip r:embed="rId63"/>
                          <a:stretch>
                            <a:fillRect/>
                          </a:stretch>
                        </pic:blipFill>
                        <pic:spPr>
                          <a:xfrm>
                            <a:off x="0" y="0"/>
                            <a:ext cx="95250" cy="1714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污篦</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95250" cy="1714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3"/>
                          <a:stretch>
                            <a:fillRect/>
                          </a:stretch>
                        </pic:blipFill>
                        <pic:spPr>
                          <a:xfrm>
                            <a:off x="0" y="0"/>
                            <a:ext cx="95250" cy="1714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溢流井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142875"/>
                  <wp:effectExtent l="0" t="0" r="9525" b="9525"/>
                  <wp:docPr id="2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8"/>
                          <pic:cNvPicPr>
                            <a:picLocks noChangeAspect="1"/>
                          </pic:cNvPicPr>
                        </pic:nvPicPr>
                        <pic:blipFill>
                          <a:blip r:embed="rId64"/>
                          <a:stretch>
                            <a:fillRect/>
                          </a:stretch>
                        </pic:blipFill>
                        <pic:spPr>
                          <a:xfrm>
                            <a:off x="0" y="0"/>
                            <a:ext cx="200025" cy="14287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闸门井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71450" cy="123825"/>
                  <wp:effectExtent l="0" t="0" r="0" b="9525"/>
                  <wp:docPr id="6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9"/>
                          <pic:cNvPicPr>
                            <a:picLocks noChangeAspect="1"/>
                          </pic:cNvPicPr>
                        </pic:nvPicPr>
                        <pic:blipFill>
                          <a:blip r:embed="rId65"/>
                          <a:stretch>
                            <a:fillRect/>
                          </a:stretch>
                        </pic:blipFill>
                        <pic:spPr>
                          <a:xfrm>
                            <a:off x="0" y="0"/>
                            <a:ext cx="171450" cy="1238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矩形的几何中心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跌水井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200025"/>
                  <wp:effectExtent l="0" t="0" r="9525" b="9525"/>
                  <wp:docPr id="2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0"/>
                          <pic:cNvPicPr>
                            <a:picLocks noChangeAspect="1"/>
                          </pic:cNvPicPr>
                        </pic:nvPicPr>
                        <pic:blipFill>
                          <a:blip r:embed="rId66"/>
                          <a:stretch>
                            <a:fillRect/>
                          </a:stretch>
                        </pic:blipFill>
                        <pic:spPr>
                          <a:xfrm>
                            <a:off x="0" y="0"/>
                            <a:ext cx="20002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通风井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71450" cy="200025"/>
                  <wp:effectExtent l="0" t="0" r="0" b="9525"/>
                  <wp:docPr id="7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1"/>
                          <pic:cNvPicPr>
                            <a:picLocks noChangeAspect="1"/>
                          </pic:cNvPicPr>
                        </pic:nvPicPr>
                        <pic:blipFill>
                          <a:blip r:embed="rId67"/>
                          <a:stretch>
                            <a:fillRect/>
                          </a:stretch>
                        </pic:blipFill>
                        <pic:spPr>
                          <a:xfrm>
                            <a:off x="0" y="0"/>
                            <a:ext cx="171450"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冲洗井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200025"/>
                  <wp:effectExtent l="0" t="0" r="9525" b="9525"/>
                  <wp:docPr id="6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2"/>
                          <pic:cNvPicPr>
                            <a:picLocks noChangeAspect="1"/>
                          </pic:cNvPicPr>
                        </pic:nvPicPr>
                        <pic:blipFill>
                          <a:blip r:embed="rId68"/>
                          <a:stretch>
                            <a:fillRect/>
                          </a:stretch>
                        </pic:blipFill>
                        <pic:spPr>
                          <a:xfrm>
                            <a:off x="0" y="0"/>
                            <a:ext cx="20002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沉泥井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90500" cy="171450"/>
                  <wp:effectExtent l="0" t="0" r="0" b="0"/>
                  <wp:docPr id="3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3"/>
                          <pic:cNvPicPr>
                            <a:picLocks noChangeAspect="1"/>
                          </pic:cNvPicPr>
                        </pic:nvPicPr>
                        <pic:blipFill>
                          <a:blip r:embed="rId69"/>
                          <a:srcRect r="71962" b="-1636"/>
                          <a:stretch>
                            <a:fillRect/>
                          </a:stretch>
                        </pic:blipFill>
                        <pic:spPr>
                          <a:xfrm>
                            <a:off x="0" y="0"/>
                            <a:ext cx="190500" cy="1714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渗水井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200025"/>
                  <wp:effectExtent l="0" t="0" r="9525" b="9525"/>
                  <wp:docPr id="3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4"/>
                          <pic:cNvPicPr>
                            <a:picLocks noChangeAspect="1"/>
                          </pic:cNvPicPr>
                        </pic:nvPicPr>
                        <pic:blipFill>
                          <a:blip r:embed="rId70"/>
                          <a:stretch>
                            <a:fillRect/>
                          </a:stretch>
                        </pic:blipFill>
                        <pic:spPr>
                          <a:xfrm>
                            <a:off x="0" y="0"/>
                            <a:ext cx="20002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出气井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61925" cy="200025"/>
                  <wp:effectExtent l="0" t="0" r="9525" b="9525"/>
                  <wp:docPr id="4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5"/>
                          <pic:cNvPicPr>
                            <a:picLocks noChangeAspect="1"/>
                          </pic:cNvPicPr>
                        </pic:nvPicPr>
                        <pic:blipFill>
                          <a:blip r:embed="rId71"/>
                          <a:srcRect r="68889"/>
                          <a:stretch>
                            <a:fillRect/>
                          </a:stretch>
                        </pic:blipFill>
                        <pic:spPr>
                          <a:xfrm>
                            <a:off x="0" y="0"/>
                            <a:ext cx="16192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水封井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200025"/>
                  <wp:effectExtent l="0" t="0" r="9525" b="9525"/>
                  <wp:docPr id="4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6"/>
                          <pic:cNvPicPr>
                            <a:picLocks noChangeAspect="1"/>
                          </pic:cNvPicPr>
                        </pic:nvPicPr>
                        <pic:blipFill>
                          <a:blip r:embed="rId72"/>
                          <a:stretch>
                            <a:fillRect/>
                          </a:stretch>
                        </pic:blipFill>
                        <pic:spPr>
                          <a:xfrm>
                            <a:off x="0" y="0"/>
                            <a:ext cx="20002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排水泵站</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342900" cy="152400"/>
                  <wp:effectExtent l="0" t="0" r="0" b="0"/>
                  <wp:docPr id="4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7"/>
                          <pic:cNvPicPr>
                            <a:picLocks noChangeAspect="1"/>
                          </pic:cNvPicPr>
                        </pic:nvPicPr>
                        <pic:blipFill>
                          <a:blip r:embed="rId73"/>
                          <a:stretch>
                            <a:fillRect/>
                          </a:stretch>
                        </pic:blipFill>
                        <pic:spPr>
                          <a:xfrm>
                            <a:off x="0" y="0"/>
                            <a:ext cx="342900" cy="15240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3.0×2.0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化粪池</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71450" cy="171450"/>
                  <wp:effectExtent l="0" t="0" r="0" b="0"/>
                  <wp:docPr id="7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8"/>
                          <pic:cNvPicPr>
                            <a:picLocks noChangeAspect="1"/>
                          </pic:cNvPicPr>
                        </pic:nvPicPr>
                        <pic:blipFill>
                          <a:blip r:embed="rId74"/>
                          <a:stretch>
                            <a:fillRect/>
                          </a:stretch>
                        </pic:blipFill>
                        <pic:spPr>
                          <a:xfrm>
                            <a:off x="0" y="0"/>
                            <a:ext cx="171450" cy="1714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净化池</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152400"/>
                  <wp:effectExtent l="0" t="0" r="9525" b="0"/>
                  <wp:docPr id="7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9"/>
                          <pic:cNvPicPr>
                            <a:picLocks noChangeAspect="1"/>
                          </pic:cNvPicPr>
                        </pic:nvPicPr>
                        <pic:blipFill>
                          <a:blip r:embed="rId75"/>
                          <a:srcRect t="-2" r="68333" b="4559"/>
                          <a:stretch>
                            <a:fillRect/>
                          </a:stretch>
                        </pic:blipFill>
                        <pic:spPr>
                          <a:xfrm>
                            <a:off x="0" y="0"/>
                            <a:ext cx="200025" cy="15240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进水口</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42875" cy="152400"/>
                  <wp:effectExtent l="0" t="0" r="9525" b="0"/>
                  <wp:docPr id="7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0"/>
                          <pic:cNvPicPr>
                            <a:picLocks noChangeAspect="1"/>
                          </pic:cNvPicPr>
                        </pic:nvPicPr>
                        <pic:blipFill>
                          <a:blip r:embed="rId76"/>
                          <a:stretch>
                            <a:fillRect/>
                          </a:stretch>
                        </pic:blipFill>
                        <pic:spPr>
                          <a:xfrm rot="10800000">
                            <a:off x="0" y="0"/>
                            <a:ext cx="142875" cy="15240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2.0∠60°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角顶中心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出水口</w:t>
            </w:r>
          </w:p>
        </w:tc>
        <w:tc>
          <w:tcPr>
            <w:tcW w:w="1559" w:type="dxa"/>
            <w:noWrap/>
            <w:vAlign w:val="center"/>
          </w:tcPr>
          <w:p>
            <w:pPr>
              <w:jc w:val="center"/>
              <w:rPr>
                <w:rFonts w:ascii="仿宋" w:hAnsi="仿宋" w:eastAsia="仿宋" w:cs="仿宋"/>
                <w:color w:val="auto"/>
                <w:sz w:val="18"/>
                <w:szCs w:val="18"/>
                <w:highlight w:val="none"/>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140335</wp:posOffset>
                      </wp:positionV>
                      <wp:extent cx="635" cy="635"/>
                      <wp:effectExtent l="0" t="0" r="0" b="0"/>
                      <wp:wrapNone/>
                      <wp:docPr id="78" name="直接连接符 78"/>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6pt;margin-top:11.05pt;height:0.05pt;width:0.05pt;z-index:251660288;mso-width-relative:page;mso-height-relative:page;" filled="f" stroked="t" coordsize="21600,21600" o:gfxdata="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a3vgq1AAAAAcBAAAPAAAAAAAAAAEAIAAAACIAAABkcnMvZG93&#10;bnJldi54bWxQSwECFAAUAAAACACHTuJAK1UOjMsBAABqAwAADgAAAAAAAAABACAAAAAjAQAAZHJz&#10;L2Uyb0RvYy54bWxQSwUGAAAAAAYABgBZAQAAYAUAAAAA&#10;">
                      <v:fill on="f" focussize="0,0"/>
                      <v:stroke color="#000000" joinstyle="round"/>
                      <v:imagedata o:title=""/>
                      <o:lock v:ext="edit" aspectratio="f"/>
                    </v:line>
                  </w:pict>
                </mc:Fallback>
              </mc:AlternateContent>
            </w:r>
            <w:r>
              <w:rPr>
                <w:rFonts w:ascii="仿宋" w:hAnsi="仿宋" w:eastAsia="仿宋" w:cs="仿宋"/>
                <w:color w:val="auto"/>
                <w:sz w:val="18"/>
                <w:szCs w:val="18"/>
                <w:highlight w:val="none"/>
              </w:rPr>
              <w:drawing>
                <wp:inline distT="0" distB="0" distL="114300" distR="114300">
                  <wp:extent cx="142875" cy="142875"/>
                  <wp:effectExtent l="0" t="0" r="9525" b="9525"/>
                  <wp:docPr id="7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1"/>
                          <pic:cNvPicPr>
                            <a:picLocks noChangeAspect="1"/>
                          </pic:cNvPicPr>
                        </pic:nvPicPr>
                        <pic:blipFill>
                          <a:blip r:embed="rId77"/>
                          <a:stretch>
                            <a:fillRect/>
                          </a:stretch>
                        </pic:blipFill>
                        <pic:spPr>
                          <a:xfrm>
                            <a:off x="0" y="0"/>
                            <a:ext cx="142875" cy="14287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2.0∠60°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角顶中心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阀门</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42875" cy="209550"/>
                  <wp:effectExtent l="0" t="0" r="9525" b="0"/>
                  <wp:docPr id="8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2"/>
                          <pic:cNvPicPr>
                            <a:picLocks noChangeAspect="1"/>
                          </pic:cNvPicPr>
                        </pic:nvPicPr>
                        <pic:blipFill>
                          <a:blip r:embed="rId46"/>
                          <a:stretch>
                            <a:fillRect/>
                          </a:stretch>
                        </pic:blipFill>
                        <pic:spPr>
                          <a:xfrm>
                            <a:off x="0" y="0"/>
                            <a:ext cx="142875" cy="209550"/>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1.6+1.0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阀门井</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152400" cy="152400"/>
                  <wp:effectExtent l="0" t="0" r="0" b="0"/>
                  <wp:docPr id="8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3"/>
                          <pic:cNvPicPr>
                            <a:picLocks noChangeAspect="1"/>
                          </pic:cNvPicPr>
                        </pic:nvPicPr>
                        <pic:blipFill>
                          <a:blip r:embed="rId62"/>
                          <a:stretch>
                            <a:fillRect/>
                          </a:stretch>
                        </pic:blipFill>
                        <pic:spPr>
                          <a:xfrm>
                            <a:off x="0" y="0"/>
                            <a:ext cx="152400" cy="15240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拐点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82"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4"/>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直线点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8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5"/>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预留口</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666750" cy="142875"/>
                  <wp:effectExtent l="0" t="0" r="0" b="9525"/>
                  <wp:docPr id="8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6"/>
                          <pic:cNvPicPr>
                            <a:picLocks noChangeAspect="1"/>
                          </pic:cNvPicPr>
                        </pic:nvPicPr>
                        <pic:blipFill>
                          <a:blip r:embed="rId51"/>
                          <a:stretch>
                            <a:fillRect/>
                          </a:stretch>
                        </pic:blipFill>
                        <pic:spPr>
                          <a:xfrm>
                            <a:off x="0" y="0"/>
                            <a:ext cx="666750" cy="14287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2.0+6.0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非普查</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695325" cy="85725"/>
                  <wp:effectExtent l="0" t="0" r="9525" b="9525"/>
                  <wp:docPr id="8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7"/>
                          <pic:cNvPicPr>
                            <a:picLocks noChangeAspect="1"/>
                          </pic:cNvPicPr>
                        </pic:nvPicPr>
                        <pic:blipFill>
                          <a:blip r:embed="rId52"/>
                          <a:stretch>
                            <a:fillRect/>
                          </a:stretch>
                        </pic:blipFill>
                        <pic:spPr>
                          <a:xfrm>
                            <a:off x="0" y="0"/>
                            <a:ext cx="695325" cy="8572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1.0+6.0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井边点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8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8"/>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偏心点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87"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9"/>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出地点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95250" cy="257175"/>
                  <wp:effectExtent l="0" t="0" r="0" b="9525"/>
                  <wp:docPr id="8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0"/>
                          <pic:cNvPicPr>
                            <a:picLocks noChangeAspect="1"/>
                          </pic:cNvPicPr>
                        </pic:nvPicPr>
                        <pic:blipFill>
                          <a:blip r:embed="rId53"/>
                          <a:stretch>
                            <a:fillRect/>
                          </a:stretch>
                        </pic:blipFill>
                        <pic:spPr>
                          <a:xfrm>
                            <a:off x="0" y="0"/>
                            <a:ext cx="95250" cy="25717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变径</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9550" cy="171450"/>
                  <wp:effectExtent l="0" t="0" r="0" b="0"/>
                  <wp:docPr id="8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1"/>
                          <pic:cNvPicPr>
                            <a:picLocks noChangeAspect="1"/>
                          </pic:cNvPicPr>
                        </pic:nvPicPr>
                        <pic:blipFill>
                          <a:blip r:embed="rId57"/>
                          <a:stretch>
                            <a:fillRect/>
                          </a:stretch>
                        </pic:blipFill>
                        <pic:spPr>
                          <a:xfrm>
                            <a:off x="0" y="0"/>
                            <a:ext cx="209550" cy="1714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三通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9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2"/>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四通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91"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3"/>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多通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9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4"/>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restart"/>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燃气</w:t>
            </w:r>
          </w:p>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(RQ)</w:t>
            </w: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检修井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42875" cy="142875"/>
                  <wp:effectExtent l="0" t="0" r="9525" b="9525"/>
                  <wp:docPr id="9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5"/>
                          <pic:cNvPicPr>
                            <a:picLocks noChangeAspect="1"/>
                          </pic:cNvPicPr>
                        </pic:nvPicPr>
                        <pic:blipFill>
                          <a:blip r:embed="rId78"/>
                          <a:stretch>
                            <a:fillRect/>
                          </a:stretch>
                        </pic:blipFill>
                        <pic:spPr>
                          <a:xfrm>
                            <a:off x="0" y="0"/>
                            <a:ext cx="142875" cy="14287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阀门井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42875" cy="142875"/>
                  <wp:effectExtent l="0" t="0" r="9525" b="9525"/>
                  <wp:docPr id="9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6"/>
                          <pic:cNvPicPr>
                            <a:picLocks noChangeAspect="1"/>
                          </pic:cNvPicPr>
                        </pic:nvPicPr>
                        <pic:blipFill>
                          <a:blip r:embed="rId78"/>
                          <a:stretch>
                            <a:fillRect/>
                          </a:stretch>
                        </pic:blipFill>
                        <pic:spPr>
                          <a:xfrm>
                            <a:off x="0" y="0"/>
                            <a:ext cx="142875" cy="14287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阀门</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42875" cy="209550"/>
                  <wp:effectExtent l="0" t="0" r="9525" b="0"/>
                  <wp:docPr id="9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7"/>
                          <pic:cNvPicPr>
                            <a:picLocks noChangeAspect="1"/>
                          </pic:cNvPicPr>
                        </pic:nvPicPr>
                        <pic:blipFill>
                          <a:blip r:embed="rId46"/>
                          <a:stretch>
                            <a:fillRect/>
                          </a:stretch>
                        </pic:blipFill>
                        <pic:spPr>
                          <a:xfrm>
                            <a:off x="0" y="0"/>
                            <a:ext cx="142875" cy="209550"/>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1.6+1.0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压力表</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71450" cy="171450"/>
                  <wp:effectExtent l="0" t="0" r="0" b="0"/>
                  <wp:docPr id="96"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8"/>
                          <pic:cNvPicPr>
                            <a:picLocks noChangeAspect="1"/>
                          </pic:cNvPicPr>
                        </pic:nvPicPr>
                        <pic:blipFill>
                          <a:blip r:embed="rId79"/>
                          <a:stretch>
                            <a:fillRect/>
                          </a:stretch>
                        </pic:blipFill>
                        <pic:spPr>
                          <a:xfrm>
                            <a:off x="0" y="0"/>
                            <a:ext cx="171450" cy="1714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阴极测试桩</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23825" cy="171450"/>
                  <wp:effectExtent l="0" t="0" r="9525" b="0"/>
                  <wp:docPr id="97"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9"/>
                          <pic:cNvPicPr>
                            <a:picLocks noChangeAspect="1"/>
                          </pic:cNvPicPr>
                        </pic:nvPicPr>
                        <pic:blipFill>
                          <a:blip r:embed="rId80"/>
                          <a:stretch>
                            <a:fillRect/>
                          </a:stretch>
                        </pic:blipFill>
                        <pic:spPr>
                          <a:xfrm>
                            <a:off x="0" y="0"/>
                            <a:ext cx="123825" cy="1714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2.0×1.6</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波形管</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42875" cy="142875"/>
                  <wp:effectExtent l="0" t="0" r="9525" b="9525"/>
                  <wp:docPr id="9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0"/>
                          <pic:cNvPicPr>
                            <a:picLocks noChangeAspect="1"/>
                          </pic:cNvPicPr>
                        </pic:nvPicPr>
                        <pic:blipFill>
                          <a:blip r:embed="rId81"/>
                          <a:stretch>
                            <a:fillRect/>
                          </a:stretch>
                        </pic:blipFill>
                        <pic:spPr>
                          <a:xfrm>
                            <a:off x="0" y="0"/>
                            <a:ext cx="142875" cy="14287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凝水缸</w:t>
            </w:r>
          </w:p>
        </w:tc>
        <w:tc>
          <w:tcPr>
            <w:tcW w:w="1559" w:type="dxa"/>
            <w:noWrap/>
            <w:vAlign w:val="center"/>
          </w:tcPr>
          <w:p>
            <w:pPr>
              <w:tabs>
                <w:tab w:val="left" w:pos="794"/>
              </w:tabs>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9550" cy="171450"/>
                  <wp:effectExtent l="0" t="0" r="0" b="0"/>
                  <wp:docPr id="99"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1"/>
                          <pic:cNvPicPr>
                            <a:picLocks noChangeAspect="1"/>
                          </pic:cNvPicPr>
                        </pic:nvPicPr>
                        <pic:blipFill>
                          <a:blip r:embed="rId82"/>
                          <a:stretch>
                            <a:fillRect/>
                          </a:stretch>
                        </pic:blipFill>
                        <pic:spPr>
                          <a:xfrm>
                            <a:off x="0" y="0"/>
                            <a:ext cx="209550" cy="171450"/>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2.0+1.0+2.0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调压箱</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71450" cy="142875"/>
                  <wp:effectExtent l="0" t="0" r="0" b="9525"/>
                  <wp:docPr id="100"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2"/>
                          <pic:cNvPicPr>
                            <a:picLocks noChangeAspect="1"/>
                          </pic:cNvPicPr>
                        </pic:nvPicPr>
                        <pic:blipFill>
                          <a:blip r:embed="rId83"/>
                          <a:stretch>
                            <a:fillRect/>
                          </a:stretch>
                        </pic:blipFill>
                        <pic:spPr>
                          <a:xfrm>
                            <a:off x="0" y="0"/>
                            <a:ext cx="171450" cy="14287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调压站</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95250" cy="95250"/>
                  <wp:effectExtent l="0" t="0" r="0" b="0"/>
                  <wp:docPr id="101"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3"/>
                          <pic:cNvPicPr>
                            <a:picLocks noChangeAspect="1"/>
                          </pic:cNvPicPr>
                        </pic:nvPicPr>
                        <pic:blipFill>
                          <a:blip r:embed="rId84"/>
                          <a:stretch>
                            <a:fillRect/>
                          </a:stretch>
                        </pic:blipFill>
                        <pic:spPr>
                          <a:xfrm>
                            <a:off x="0" y="0"/>
                            <a:ext cx="95250" cy="952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燃气柜</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33350" cy="114300"/>
                  <wp:effectExtent l="0" t="0" r="0" b="0"/>
                  <wp:docPr id="102"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4"/>
                          <pic:cNvPicPr>
                            <a:picLocks noChangeAspect="1"/>
                          </pic:cNvPicPr>
                        </pic:nvPicPr>
                        <pic:blipFill>
                          <a:blip r:embed="rId85"/>
                          <a:srcRect r="68539" b="-2248"/>
                          <a:stretch>
                            <a:fillRect/>
                          </a:stretch>
                        </pic:blipFill>
                        <pic:spPr>
                          <a:xfrm>
                            <a:off x="0" y="0"/>
                            <a:ext cx="133350" cy="11430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widowControl/>
              <w:tabs>
                <w:tab w:val="left" w:pos="794"/>
              </w:tabs>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燃气桩</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42875" cy="142875"/>
                  <wp:effectExtent l="0" t="0" r="9525" b="9525"/>
                  <wp:docPr id="103"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5"/>
                          <pic:cNvPicPr>
                            <a:picLocks noChangeAspect="1"/>
                          </pic:cNvPicPr>
                        </pic:nvPicPr>
                        <pic:blipFill>
                          <a:blip r:embed="rId86"/>
                          <a:stretch>
                            <a:fillRect/>
                          </a:stretch>
                        </pic:blipFill>
                        <pic:spPr>
                          <a:xfrm>
                            <a:off x="0" y="0"/>
                            <a:ext cx="142875" cy="14287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涨缩站</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152400"/>
                  <wp:effectExtent l="0" t="0" r="9525" b="0"/>
                  <wp:docPr id="10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6"/>
                          <pic:cNvPicPr>
                            <a:picLocks noChangeAspect="1"/>
                          </pic:cNvPicPr>
                        </pic:nvPicPr>
                        <pic:blipFill>
                          <a:blip r:embed="rId87"/>
                          <a:srcRect r="63914"/>
                          <a:stretch>
                            <a:fillRect/>
                          </a:stretch>
                        </pic:blipFill>
                        <pic:spPr>
                          <a:xfrm>
                            <a:off x="0" y="0"/>
                            <a:ext cx="200025" cy="15240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弯头</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05"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7"/>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直线点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0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8"/>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预留口</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666750" cy="142875"/>
                  <wp:effectExtent l="0" t="0" r="0" b="9525"/>
                  <wp:docPr id="108"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9"/>
                          <pic:cNvPicPr>
                            <a:picLocks noChangeAspect="1"/>
                          </pic:cNvPicPr>
                        </pic:nvPicPr>
                        <pic:blipFill>
                          <a:blip r:embed="rId51"/>
                          <a:stretch>
                            <a:fillRect/>
                          </a:stretch>
                        </pic:blipFill>
                        <pic:spPr>
                          <a:xfrm>
                            <a:off x="0" y="0"/>
                            <a:ext cx="666750" cy="14287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2.0+6.0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非普查</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695325" cy="85725"/>
                  <wp:effectExtent l="0" t="0" r="9525" b="9525"/>
                  <wp:docPr id="109"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0"/>
                          <pic:cNvPicPr>
                            <a:picLocks noChangeAspect="1"/>
                          </pic:cNvPicPr>
                        </pic:nvPicPr>
                        <pic:blipFill>
                          <a:blip r:embed="rId52"/>
                          <a:stretch>
                            <a:fillRect/>
                          </a:stretch>
                        </pic:blipFill>
                        <pic:spPr>
                          <a:xfrm>
                            <a:off x="0" y="0"/>
                            <a:ext cx="695325" cy="8572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1.0+6.0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井边点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10"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1"/>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偏心点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11"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2"/>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出地点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95250" cy="257175"/>
                  <wp:effectExtent l="0" t="0" r="0" b="9525"/>
                  <wp:docPr id="112"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3"/>
                          <pic:cNvPicPr>
                            <a:picLocks noChangeAspect="1"/>
                          </pic:cNvPicPr>
                        </pic:nvPicPr>
                        <pic:blipFill>
                          <a:blip r:embed="rId53"/>
                          <a:stretch>
                            <a:fillRect/>
                          </a:stretch>
                        </pic:blipFill>
                        <pic:spPr>
                          <a:xfrm>
                            <a:off x="0" y="0"/>
                            <a:ext cx="95250" cy="25717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1.0+2.0</w:t>
            </w:r>
          </w:p>
        </w:tc>
        <w:tc>
          <w:tcPr>
            <w:tcW w:w="170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变径</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9550" cy="171450"/>
                  <wp:effectExtent l="0" t="0" r="0" b="0"/>
                  <wp:docPr id="113"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4"/>
                          <pic:cNvPicPr>
                            <a:picLocks noChangeAspect="1"/>
                          </pic:cNvPicPr>
                        </pic:nvPicPr>
                        <pic:blipFill>
                          <a:blip r:embed="rId57"/>
                          <a:stretch>
                            <a:fillRect/>
                          </a:stretch>
                        </pic:blipFill>
                        <pic:spPr>
                          <a:xfrm>
                            <a:off x="0" y="0"/>
                            <a:ext cx="209550" cy="1714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1.0+2.0</w:t>
            </w:r>
          </w:p>
        </w:tc>
        <w:tc>
          <w:tcPr>
            <w:tcW w:w="170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盖堵</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95250" cy="200025"/>
                  <wp:effectExtent l="0" t="0" r="0" b="9525"/>
                  <wp:docPr id="114"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5"/>
                          <pic:cNvPicPr>
                            <a:picLocks noChangeAspect="1"/>
                          </pic:cNvPicPr>
                        </pic:nvPicPr>
                        <pic:blipFill>
                          <a:blip r:embed="rId58"/>
                          <a:stretch>
                            <a:fillRect/>
                          </a:stretch>
                        </pic:blipFill>
                        <pic:spPr>
                          <a:xfrm>
                            <a:off x="0" y="0"/>
                            <a:ext cx="95250"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2.0+1.0</w:t>
            </w:r>
          </w:p>
        </w:tc>
        <w:tc>
          <w:tcPr>
            <w:tcW w:w="170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三通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15"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6"/>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四通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16"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7"/>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多通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17"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8"/>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变材</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18"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9"/>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restart"/>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热力</w:t>
            </w:r>
          </w:p>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（RL）</w:t>
            </w: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检修井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71450" cy="171450"/>
                  <wp:effectExtent l="0" t="0" r="0" b="0"/>
                  <wp:docPr id="119"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0"/>
                          <pic:cNvPicPr>
                            <a:picLocks noChangeAspect="1"/>
                          </pic:cNvPicPr>
                        </pic:nvPicPr>
                        <pic:blipFill>
                          <a:blip r:embed="rId88"/>
                          <a:stretch>
                            <a:fillRect/>
                          </a:stretch>
                        </pic:blipFill>
                        <pic:spPr>
                          <a:xfrm>
                            <a:off x="0" y="0"/>
                            <a:ext cx="171450" cy="1714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阀门井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71450" cy="171450"/>
                  <wp:effectExtent l="0" t="0" r="0" b="0"/>
                  <wp:docPr id="120"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1"/>
                          <pic:cNvPicPr>
                            <a:picLocks noChangeAspect="1"/>
                          </pic:cNvPicPr>
                        </pic:nvPicPr>
                        <pic:blipFill>
                          <a:blip r:embed="rId88"/>
                          <a:stretch>
                            <a:fillRect/>
                          </a:stretch>
                        </pic:blipFill>
                        <pic:spPr>
                          <a:xfrm>
                            <a:off x="0" y="0"/>
                            <a:ext cx="171450" cy="1714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吹扫井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71450" cy="171450"/>
                  <wp:effectExtent l="0" t="0" r="0" b="0"/>
                  <wp:docPr id="121"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2"/>
                          <pic:cNvPicPr>
                            <a:picLocks noChangeAspect="1"/>
                          </pic:cNvPicPr>
                        </pic:nvPicPr>
                        <pic:blipFill>
                          <a:blip r:embed="rId89"/>
                          <a:stretch>
                            <a:fillRect/>
                          </a:stretch>
                        </pic:blipFill>
                        <pic:spPr>
                          <a:xfrm>
                            <a:off x="0" y="0"/>
                            <a:ext cx="171450" cy="1714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阀门</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42875" cy="209550"/>
                  <wp:effectExtent l="0" t="0" r="9525" b="0"/>
                  <wp:docPr id="122"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3"/>
                          <pic:cNvPicPr>
                            <a:picLocks noChangeAspect="1"/>
                          </pic:cNvPicPr>
                        </pic:nvPicPr>
                        <pic:blipFill>
                          <a:blip r:embed="rId46"/>
                          <a:stretch>
                            <a:fillRect/>
                          </a:stretch>
                        </pic:blipFill>
                        <pic:spPr>
                          <a:xfrm>
                            <a:off x="0" y="0"/>
                            <a:ext cx="142875" cy="209550"/>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1.6+1.0</w:t>
            </w:r>
          </w:p>
        </w:tc>
        <w:tc>
          <w:tcPr>
            <w:tcW w:w="170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调压装置</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42875" cy="142875"/>
                  <wp:effectExtent l="0" t="0" r="9525" b="9525"/>
                  <wp:docPr id="123"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4"/>
                          <pic:cNvPicPr>
                            <a:picLocks noChangeAspect="1"/>
                          </pic:cNvPicPr>
                        </pic:nvPicPr>
                        <pic:blipFill>
                          <a:blip r:embed="rId84"/>
                          <a:stretch>
                            <a:fillRect/>
                          </a:stretch>
                        </pic:blipFill>
                        <pic:spPr>
                          <a:xfrm>
                            <a:off x="0" y="0"/>
                            <a:ext cx="142875" cy="14287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2.0×2.0</w:t>
            </w:r>
          </w:p>
        </w:tc>
        <w:tc>
          <w:tcPr>
            <w:tcW w:w="170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疏水</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42875" cy="200025"/>
                  <wp:effectExtent l="0" t="0" r="9525" b="9525"/>
                  <wp:docPr id="124"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5"/>
                          <pic:cNvPicPr>
                            <a:picLocks noChangeAspect="1"/>
                          </pic:cNvPicPr>
                        </pic:nvPicPr>
                        <pic:blipFill>
                          <a:blip r:embed="rId90"/>
                          <a:stretch>
                            <a:fillRect/>
                          </a:stretch>
                        </pic:blipFill>
                        <pic:spPr>
                          <a:xfrm>
                            <a:off x="0" y="0"/>
                            <a:ext cx="14287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1.6×3.0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真空表</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23825" cy="200025"/>
                  <wp:effectExtent l="0" t="0" r="9525" b="9525"/>
                  <wp:docPr id="125"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6"/>
                          <pic:cNvPicPr>
                            <a:picLocks noChangeAspect="1"/>
                          </pic:cNvPicPr>
                        </pic:nvPicPr>
                        <pic:blipFill>
                          <a:blip r:embed="rId91"/>
                          <a:stretch>
                            <a:fillRect/>
                          </a:stretch>
                        </pic:blipFill>
                        <pic:spPr>
                          <a:xfrm>
                            <a:off x="0" y="0"/>
                            <a:ext cx="12382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1.6×3.0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固定节</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23825" cy="200025"/>
                  <wp:effectExtent l="0" t="0" r="9525" b="9525"/>
                  <wp:docPr id="126"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7"/>
                          <pic:cNvPicPr>
                            <a:picLocks noChangeAspect="1"/>
                          </pic:cNvPicPr>
                        </pic:nvPicPr>
                        <pic:blipFill>
                          <a:blip r:embed="rId92"/>
                          <a:stretch>
                            <a:fillRect/>
                          </a:stretch>
                        </pic:blipFill>
                        <pic:spPr>
                          <a:xfrm>
                            <a:off x="0" y="0"/>
                            <a:ext cx="12382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1.6×3.0</w:t>
            </w:r>
          </w:p>
        </w:tc>
        <w:tc>
          <w:tcPr>
            <w:tcW w:w="170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安全阀</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200025"/>
                  <wp:effectExtent l="0" t="0" r="9525" b="9525"/>
                  <wp:docPr id="127"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8"/>
                          <pic:cNvPicPr>
                            <a:picLocks noChangeAspect="1"/>
                          </pic:cNvPicPr>
                        </pic:nvPicPr>
                        <pic:blipFill>
                          <a:blip r:embed="rId93"/>
                          <a:stretch>
                            <a:fillRect/>
                          </a:stretch>
                        </pic:blipFill>
                        <pic:spPr>
                          <a:xfrm>
                            <a:off x="0" y="0"/>
                            <a:ext cx="8572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1.6×3.0</w:t>
            </w:r>
          </w:p>
        </w:tc>
        <w:tc>
          <w:tcPr>
            <w:tcW w:w="170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排潮孔</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95250" cy="171450"/>
                  <wp:effectExtent l="0" t="0" r="0" b="0"/>
                  <wp:docPr id="128"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9"/>
                          <pic:cNvPicPr>
                            <a:picLocks noChangeAspect="1"/>
                          </pic:cNvPicPr>
                        </pic:nvPicPr>
                        <pic:blipFill>
                          <a:blip r:embed="rId94"/>
                          <a:stretch>
                            <a:fillRect/>
                          </a:stretch>
                        </pic:blipFill>
                        <pic:spPr>
                          <a:xfrm>
                            <a:off x="0" y="0"/>
                            <a:ext cx="95250" cy="1714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1.6×2.0</w:t>
            </w:r>
          </w:p>
        </w:tc>
        <w:tc>
          <w:tcPr>
            <w:tcW w:w="170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换热站</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76225" cy="114300"/>
                  <wp:effectExtent l="0" t="0" r="9525" b="0"/>
                  <wp:docPr id="129"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0"/>
                          <pic:cNvPicPr>
                            <a:picLocks noChangeAspect="1"/>
                          </pic:cNvPicPr>
                        </pic:nvPicPr>
                        <pic:blipFill>
                          <a:blip r:embed="rId95"/>
                          <a:srcRect l="20779" t="12502" r="30798" b="34557"/>
                          <a:stretch>
                            <a:fillRect/>
                          </a:stretch>
                        </pic:blipFill>
                        <pic:spPr>
                          <a:xfrm>
                            <a:off x="0" y="0"/>
                            <a:ext cx="276225" cy="114300"/>
                          </a:xfrm>
                          <a:prstGeom prst="rect">
                            <a:avLst/>
                          </a:prstGeom>
                          <a:noFill/>
                          <a:ln>
                            <a:noFill/>
                          </a:ln>
                        </pic:spPr>
                      </pic:pic>
                    </a:graphicData>
                  </a:graphic>
                </wp:inline>
              </w:drawing>
            </w:r>
          </w:p>
        </w:tc>
        <w:tc>
          <w:tcPr>
            <w:tcW w:w="1995"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3.0×2.0</w:t>
            </w:r>
          </w:p>
        </w:tc>
        <w:tc>
          <w:tcPr>
            <w:tcW w:w="170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弯头</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30"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1"/>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直线点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31"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2"/>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预留口</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666750" cy="142875"/>
                  <wp:effectExtent l="0" t="0" r="0" b="9525"/>
                  <wp:docPr id="13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3"/>
                          <pic:cNvPicPr>
                            <a:picLocks noChangeAspect="1"/>
                          </pic:cNvPicPr>
                        </pic:nvPicPr>
                        <pic:blipFill>
                          <a:blip r:embed="rId51"/>
                          <a:stretch>
                            <a:fillRect/>
                          </a:stretch>
                        </pic:blipFill>
                        <pic:spPr>
                          <a:xfrm>
                            <a:off x="0" y="0"/>
                            <a:ext cx="666750" cy="14287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2.0+6.0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非普查</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695325" cy="85725"/>
                  <wp:effectExtent l="0" t="0" r="9525" b="9525"/>
                  <wp:docPr id="133"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4"/>
                          <pic:cNvPicPr>
                            <a:picLocks noChangeAspect="1"/>
                          </pic:cNvPicPr>
                        </pic:nvPicPr>
                        <pic:blipFill>
                          <a:blip r:embed="rId52"/>
                          <a:stretch>
                            <a:fillRect/>
                          </a:stretch>
                        </pic:blipFill>
                        <pic:spPr>
                          <a:xfrm>
                            <a:off x="0" y="0"/>
                            <a:ext cx="695325" cy="8572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1.0+6.0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井边点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34"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5"/>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偏心点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35"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6"/>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出地</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95250" cy="257175"/>
                  <wp:effectExtent l="0" t="0" r="0" b="9525"/>
                  <wp:docPr id="136"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7"/>
                          <pic:cNvPicPr>
                            <a:picLocks noChangeAspect="1"/>
                          </pic:cNvPicPr>
                        </pic:nvPicPr>
                        <pic:blipFill>
                          <a:blip r:embed="rId53"/>
                          <a:stretch>
                            <a:fillRect/>
                          </a:stretch>
                        </pic:blipFill>
                        <pic:spPr>
                          <a:xfrm>
                            <a:off x="0" y="0"/>
                            <a:ext cx="95250" cy="25717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1.0+2.0</w:t>
            </w:r>
          </w:p>
        </w:tc>
        <w:tc>
          <w:tcPr>
            <w:tcW w:w="170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变径</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9550" cy="171450"/>
                  <wp:effectExtent l="0" t="0" r="0" b="0"/>
                  <wp:docPr id="137"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8"/>
                          <pic:cNvPicPr>
                            <a:picLocks noChangeAspect="1"/>
                          </pic:cNvPicPr>
                        </pic:nvPicPr>
                        <pic:blipFill>
                          <a:blip r:embed="rId57"/>
                          <a:stretch>
                            <a:fillRect/>
                          </a:stretch>
                        </pic:blipFill>
                        <pic:spPr>
                          <a:xfrm>
                            <a:off x="0" y="0"/>
                            <a:ext cx="209550" cy="1714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1.0+2.0</w:t>
            </w:r>
          </w:p>
        </w:tc>
        <w:tc>
          <w:tcPr>
            <w:tcW w:w="170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盖堵</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95250" cy="200025"/>
                  <wp:effectExtent l="0" t="0" r="0" b="9525"/>
                  <wp:docPr id="138"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9"/>
                          <pic:cNvPicPr>
                            <a:picLocks noChangeAspect="1"/>
                          </pic:cNvPicPr>
                        </pic:nvPicPr>
                        <pic:blipFill>
                          <a:blip r:embed="rId58"/>
                          <a:stretch>
                            <a:fillRect/>
                          </a:stretch>
                        </pic:blipFill>
                        <pic:spPr>
                          <a:xfrm>
                            <a:off x="0" y="0"/>
                            <a:ext cx="95250"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2.0+1.0</w:t>
            </w:r>
          </w:p>
        </w:tc>
        <w:tc>
          <w:tcPr>
            <w:tcW w:w="170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三通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39"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40"/>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四通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40"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1"/>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多通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41"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2"/>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restart"/>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电力</w:t>
            </w:r>
          </w:p>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（DL）</w:t>
            </w: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人孔井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71450" cy="171450"/>
                  <wp:effectExtent l="0" t="0" r="0" b="0"/>
                  <wp:docPr id="142"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3"/>
                          <pic:cNvPicPr>
                            <a:picLocks noChangeAspect="1"/>
                          </pic:cNvPicPr>
                        </pic:nvPicPr>
                        <pic:blipFill>
                          <a:blip r:embed="rId96"/>
                          <a:stretch>
                            <a:fillRect/>
                          </a:stretch>
                        </pic:blipFill>
                        <pic:spPr>
                          <a:xfrm>
                            <a:off x="0" y="0"/>
                            <a:ext cx="171450" cy="1714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手孔</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200025"/>
                  <wp:effectExtent l="0" t="0" r="9525" b="9525"/>
                  <wp:docPr id="143"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4"/>
                          <pic:cNvPicPr>
                            <a:picLocks noChangeAspect="1"/>
                          </pic:cNvPicPr>
                        </pic:nvPicPr>
                        <pic:blipFill>
                          <a:blip r:embed="rId97"/>
                          <a:stretch>
                            <a:fillRect/>
                          </a:stretch>
                        </pic:blipFill>
                        <pic:spPr>
                          <a:xfrm>
                            <a:off x="0" y="0"/>
                            <a:ext cx="20002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通风井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71450" cy="200025"/>
                  <wp:effectExtent l="0" t="0" r="0" b="9525"/>
                  <wp:docPr id="144"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5"/>
                          <pic:cNvPicPr>
                            <a:picLocks noChangeAspect="1"/>
                          </pic:cNvPicPr>
                        </pic:nvPicPr>
                        <pic:blipFill>
                          <a:blip r:embed="rId67"/>
                          <a:stretch>
                            <a:fillRect/>
                          </a:stretch>
                        </pic:blipFill>
                        <pic:spPr>
                          <a:xfrm>
                            <a:off x="0" y="0"/>
                            <a:ext cx="171450"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变电站</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200025"/>
                  <wp:effectExtent l="0" t="0" r="9525" b="9525"/>
                  <wp:docPr id="145"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6"/>
                          <pic:cNvPicPr>
                            <a:picLocks noChangeAspect="1"/>
                          </pic:cNvPicPr>
                        </pic:nvPicPr>
                        <pic:blipFill>
                          <a:blip r:embed="rId98"/>
                          <a:stretch>
                            <a:fillRect/>
                          </a:stretch>
                        </pic:blipFill>
                        <pic:spPr>
                          <a:xfrm>
                            <a:off x="0" y="0"/>
                            <a:ext cx="20002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配电室</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19075" cy="200025"/>
                  <wp:effectExtent l="0" t="0" r="9525" b="9525"/>
                  <wp:docPr id="146"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7"/>
                          <pic:cNvPicPr>
                            <a:picLocks noChangeAspect="1"/>
                          </pic:cNvPicPr>
                        </pic:nvPicPr>
                        <pic:blipFill>
                          <a:blip r:embed="rId99"/>
                          <a:stretch>
                            <a:fillRect/>
                          </a:stretch>
                        </pic:blipFill>
                        <pic:spPr>
                          <a:xfrm>
                            <a:off x="0" y="0"/>
                            <a:ext cx="21907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变压器</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23825" cy="200025"/>
                  <wp:effectExtent l="0" t="0" r="9525" b="9525"/>
                  <wp:docPr id="147"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8"/>
                          <pic:cNvPicPr>
                            <a:picLocks noChangeAspect="1"/>
                          </pic:cNvPicPr>
                        </pic:nvPicPr>
                        <pic:blipFill>
                          <a:blip r:embed="rId100"/>
                          <a:stretch>
                            <a:fillRect/>
                          </a:stretch>
                        </pic:blipFill>
                        <pic:spPr>
                          <a:xfrm>
                            <a:off x="0" y="0"/>
                            <a:ext cx="12382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1.2×2.0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接线箱</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200025"/>
                  <wp:effectExtent l="0" t="0" r="9525" b="9525"/>
                  <wp:docPr id="148"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9"/>
                          <pic:cNvPicPr>
                            <a:picLocks noChangeAspect="1"/>
                          </pic:cNvPicPr>
                        </pic:nvPicPr>
                        <pic:blipFill>
                          <a:blip r:embed="rId101"/>
                          <a:stretch>
                            <a:fillRect/>
                          </a:stretch>
                        </pic:blipFill>
                        <pic:spPr>
                          <a:xfrm>
                            <a:off x="0" y="0"/>
                            <a:ext cx="20002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路灯控制箱</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rPr>
              <w:drawing>
                <wp:inline distT="0" distB="0" distL="114300" distR="114300">
                  <wp:extent cx="285750" cy="257175"/>
                  <wp:effectExtent l="0" t="0" r="0" b="9525"/>
                  <wp:docPr id="149"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50"/>
                          <pic:cNvPicPr>
                            <a:picLocks noChangeAspect="1"/>
                          </pic:cNvPicPr>
                        </pic:nvPicPr>
                        <pic:blipFill>
                          <a:blip r:embed="rId102"/>
                          <a:stretch>
                            <a:fillRect/>
                          </a:stretch>
                        </pic:blipFill>
                        <pic:spPr>
                          <a:xfrm>
                            <a:off x="0" y="0"/>
                            <a:ext cx="285750" cy="25717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路灯</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71450" cy="209550"/>
                  <wp:effectExtent l="0" t="0" r="0" b="0"/>
                  <wp:docPr id="150"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1"/>
                          <pic:cNvPicPr>
                            <a:picLocks noChangeAspect="1"/>
                          </pic:cNvPicPr>
                        </pic:nvPicPr>
                        <pic:blipFill>
                          <a:blip r:embed="rId103"/>
                          <a:stretch>
                            <a:fillRect/>
                          </a:stretch>
                        </pic:blipFill>
                        <pic:spPr>
                          <a:xfrm>
                            <a:off x="0" y="0"/>
                            <a:ext cx="171450" cy="2095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2.2×2.8</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底部圆的几何中心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交通信号灯</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rPr>
              <w:drawing>
                <wp:inline distT="0" distB="0" distL="114300" distR="114300">
                  <wp:extent cx="257175" cy="304800"/>
                  <wp:effectExtent l="0" t="0" r="9525" b="0"/>
                  <wp:docPr id="151"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2"/>
                          <pic:cNvPicPr>
                            <a:picLocks noChangeAspect="1"/>
                          </pic:cNvPicPr>
                        </pic:nvPicPr>
                        <pic:blipFill>
                          <a:blip r:embed="rId104"/>
                          <a:stretch>
                            <a:fillRect/>
                          </a:stretch>
                        </pic:blipFill>
                        <pic:spPr>
                          <a:xfrm>
                            <a:off x="0" y="0"/>
                            <a:ext cx="257175" cy="30480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1.6×3.6</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地灯</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200025"/>
                  <wp:effectExtent l="0" t="0" r="9525" b="9525"/>
                  <wp:docPr id="152"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3"/>
                          <pic:cNvPicPr>
                            <a:picLocks noChangeAspect="1"/>
                          </pic:cNvPicPr>
                        </pic:nvPicPr>
                        <pic:blipFill>
                          <a:blip r:embed="rId105"/>
                          <a:stretch>
                            <a:fillRect/>
                          </a:stretch>
                        </pic:blipFill>
                        <pic:spPr>
                          <a:xfrm>
                            <a:off x="0" y="0"/>
                            <a:ext cx="20002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线杆</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66675" cy="200025"/>
                  <wp:effectExtent l="0" t="0" r="9525" b="9525"/>
                  <wp:docPr id="153"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4"/>
                          <pic:cNvPicPr>
                            <a:picLocks noChangeAspect="1"/>
                          </pic:cNvPicPr>
                        </pic:nvPicPr>
                        <pic:blipFill>
                          <a:blip r:embed="rId106"/>
                          <a:stretch>
                            <a:fillRect/>
                          </a:stretch>
                        </pic:blipFill>
                        <pic:spPr>
                          <a:xfrm>
                            <a:off x="0" y="0"/>
                            <a:ext cx="6667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2.0×3.6</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广告牌</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200025"/>
                  <wp:effectExtent l="0" t="0" r="9525" b="9525"/>
                  <wp:docPr id="154"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5"/>
                          <pic:cNvPicPr>
                            <a:picLocks noChangeAspect="1"/>
                          </pic:cNvPicPr>
                        </pic:nvPicPr>
                        <pic:blipFill>
                          <a:blip r:embed="rId107"/>
                          <a:stretch>
                            <a:fillRect/>
                          </a:stretch>
                        </pic:blipFill>
                        <pic:spPr>
                          <a:xfrm>
                            <a:off x="0" y="0"/>
                            <a:ext cx="20002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底部圆的几何中心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bCs/>
                <w:color w:val="auto"/>
                <w:kern w:val="0"/>
                <w:szCs w:val="21"/>
                <w:highlight w:val="none"/>
              </w:rPr>
              <w:t>砼杆</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55"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6"/>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bCs/>
                <w:color w:val="auto"/>
                <w:kern w:val="0"/>
                <w:szCs w:val="21"/>
                <w:highlight w:val="none"/>
              </w:rPr>
              <w:t>π杆</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5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7"/>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bCs/>
                <w:color w:val="auto"/>
                <w:kern w:val="0"/>
                <w:szCs w:val="21"/>
                <w:highlight w:val="none"/>
              </w:rPr>
              <w:t>铁杆</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57"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8"/>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bCs/>
                <w:color w:val="auto"/>
                <w:kern w:val="0"/>
                <w:szCs w:val="21"/>
                <w:highlight w:val="none"/>
              </w:rPr>
              <w:t>铁塔</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58"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9"/>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转折点</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5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60"/>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直线点</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60"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1"/>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预留口</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666750" cy="142875"/>
                  <wp:effectExtent l="0" t="0" r="0" b="9525"/>
                  <wp:docPr id="161"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2"/>
                          <pic:cNvPicPr>
                            <a:picLocks noChangeAspect="1"/>
                          </pic:cNvPicPr>
                        </pic:nvPicPr>
                        <pic:blipFill>
                          <a:blip r:embed="rId51"/>
                          <a:stretch>
                            <a:fillRect/>
                          </a:stretch>
                        </pic:blipFill>
                        <pic:spPr>
                          <a:xfrm>
                            <a:off x="0" y="0"/>
                            <a:ext cx="666750" cy="14287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2.0+6.0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非普查</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695325" cy="85725"/>
                  <wp:effectExtent l="0" t="0" r="9525" b="9525"/>
                  <wp:docPr id="162"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3"/>
                          <pic:cNvPicPr>
                            <a:picLocks noChangeAspect="1"/>
                          </pic:cNvPicPr>
                        </pic:nvPicPr>
                        <pic:blipFill>
                          <a:blip r:embed="rId52"/>
                          <a:stretch>
                            <a:fillRect/>
                          </a:stretch>
                        </pic:blipFill>
                        <pic:spPr>
                          <a:xfrm>
                            <a:off x="0" y="0"/>
                            <a:ext cx="6953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1.0+6.0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井边点</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63"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4"/>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偏心点</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64"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5"/>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上杆</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95250" cy="257175"/>
                  <wp:effectExtent l="0" t="0" r="0" b="9525"/>
                  <wp:docPr id="16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6"/>
                          <pic:cNvPicPr>
                            <a:picLocks noChangeAspect="1"/>
                          </pic:cNvPicPr>
                        </pic:nvPicPr>
                        <pic:blipFill>
                          <a:blip r:embed="rId53"/>
                          <a:stretch>
                            <a:fillRect/>
                          </a:stretch>
                        </pic:blipFill>
                        <pic:spPr>
                          <a:xfrm>
                            <a:off x="0" y="0"/>
                            <a:ext cx="95250" cy="25717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分支点</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66"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7"/>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restart"/>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通信</w:t>
            </w:r>
          </w:p>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（TX）</w:t>
            </w: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人孔井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52400" cy="133350"/>
                  <wp:effectExtent l="0" t="0" r="0" b="0"/>
                  <wp:docPr id="167"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8"/>
                          <pic:cNvPicPr>
                            <a:picLocks noChangeAspect="1"/>
                          </pic:cNvPicPr>
                        </pic:nvPicPr>
                        <pic:blipFill>
                          <a:blip r:embed="rId108"/>
                          <a:stretch>
                            <a:fillRect/>
                          </a:stretch>
                        </pic:blipFill>
                        <pic:spPr>
                          <a:xfrm>
                            <a:off x="0" y="0"/>
                            <a:ext cx="152400" cy="1333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手孔井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42875" cy="142875"/>
                  <wp:effectExtent l="0" t="0" r="9525" b="9525"/>
                  <wp:docPr id="168"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9"/>
                          <pic:cNvPicPr>
                            <a:picLocks noChangeAspect="1"/>
                          </pic:cNvPicPr>
                        </pic:nvPicPr>
                        <pic:blipFill>
                          <a:blip r:embed="rId109"/>
                          <a:stretch>
                            <a:fillRect/>
                          </a:stretch>
                        </pic:blipFill>
                        <pic:spPr>
                          <a:xfrm>
                            <a:off x="0" y="0"/>
                            <a:ext cx="142875" cy="14287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交接箱</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71450" cy="200025"/>
                  <wp:effectExtent l="0" t="0" r="0" b="9525"/>
                  <wp:docPr id="169"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70"/>
                          <pic:cNvPicPr>
                            <a:picLocks noChangeAspect="1"/>
                          </pic:cNvPicPr>
                        </pic:nvPicPr>
                        <pic:blipFill>
                          <a:blip r:embed="rId110"/>
                          <a:stretch>
                            <a:fillRect/>
                          </a:stretch>
                        </pic:blipFill>
                        <pic:spPr>
                          <a:xfrm>
                            <a:off x="0" y="0"/>
                            <a:ext cx="171450"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2.0×3.0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电话亭</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9550" cy="247650"/>
                  <wp:effectExtent l="0" t="0" r="0" b="0"/>
                  <wp:docPr id="170"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1"/>
                          <pic:cNvPicPr>
                            <a:picLocks noChangeAspect="1"/>
                          </pic:cNvPicPr>
                        </pic:nvPicPr>
                        <pic:blipFill>
                          <a:blip r:embed="rId111"/>
                          <a:stretch>
                            <a:fillRect/>
                          </a:stretch>
                        </pic:blipFill>
                        <pic:spPr>
                          <a:xfrm>
                            <a:off x="0" y="0"/>
                            <a:ext cx="209550" cy="2476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3.0×0.5</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底部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监控器</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95250" cy="314325"/>
                  <wp:effectExtent l="0" t="0" r="0" b="9525"/>
                  <wp:docPr id="171"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2"/>
                          <pic:cNvPicPr>
                            <a:picLocks noChangeAspect="1"/>
                          </pic:cNvPicPr>
                        </pic:nvPicPr>
                        <pic:blipFill>
                          <a:blip r:embed="rId112"/>
                          <a:stretch>
                            <a:fillRect/>
                          </a:stretch>
                        </pic:blipFill>
                        <pic:spPr>
                          <a:xfrm>
                            <a:off x="0" y="0"/>
                            <a:ext cx="95250" cy="3143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1.4×3.0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底部圆的几何中心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无线电杆</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23825" cy="257175"/>
                  <wp:effectExtent l="0" t="0" r="9525" b="9525"/>
                  <wp:docPr id="172"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3"/>
                          <pic:cNvPicPr>
                            <a:picLocks noChangeAspect="1"/>
                          </pic:cNvPicPr>
                        </pic:nvPicPr>
                        <pic:blipFill>
                          <a:blip r:embed="rId113"/>
                          <a:stretch>
                            <a:fillRect/>
                          </a:stretch>
                        </pic:blipFill>
                        <pic:spPr>
                          <a:xfrm>
                            <a:off x="0" y="0"/>
                            <a:ext cx="123825" cy="25717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1.0×3.0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底部圆的几何中心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差转台</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200025"/>
                  <wp:effectExtent l="0" t="0" r="9525" b="9525"/>
                  <wp:docPr id="173"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4"/>
                          <pic:cNvPicPr>
                            <a:picLocks noChangeAspect="1"/>
                          </pic:cNvPicPr>
                        </pic:nvPicPr>
                        <pic:blipFill>
                          <a:blip r:embed="rId114"/>
                          <a:stretch>
                            <a:fillRect/>
                          </a:stretch>
                        </pic:blipFill>
                        <pic:spPr>
                          <a:xfrm>
                            <a:off x="0" y="0"/>
                            <a:ext cx="20002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发射塔</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95250" cy="200025"/>
                  <wp:effectExtent l="0" t="0" r="0" b="9525"/>
                  <wp:docPr id="174"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5"/>
                          <pic:cNvPicPr>
                            <a:picLocks noChangeAspect="1"/>
                          </pic:cNvPicPr>
                        </pic:nvPicPr>
                        <pic:blipFill>
                          <a:blip r:embed="rId115"/>
                          <a:stretch>
                            <a:fillRect/>
                          </a:stretch>
                        </pic:blipFill>
                        <pic:spPr>
                          <a:xfrm>
                            <a:off x="0" y="0"/>
                            <a:ext cx="95250"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1.6×2.0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底部中心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交换站</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42875" cy="142875"/>
                  <wp:effectExtent l="0" t="0" r="9525" b="9525"/>
                  <wp:docPr id="175"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6"/>
                          <pic:cNvPicPr>
                            <a:picLocks noChangeAspect="1"/>
                          </pic:cNvPicPr>
                        </pic:nvPicPr>
                        <pic:blipFill>
                          <a:blip r:embed="rId116"/>
                          <a:stretch>
                            <a:fillRect/>
                          </a:stretch>
                        </pic:blipFill>
                        <pic:spPr>
                          <a:xfrm>
                            <a:off x="0" y="0"/>
                            <a:ext cx="142875" cy="14287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转折点</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76"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7"/>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直线点</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77"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8"/>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预留口</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666750" cy="142875"/>
                  <wp:effectExtent l="0" t="0" r="0" b="9525"/>
                  <wp:docPr id="178"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9"/>
                          <pic:cNvPicPr>
                            <a:picLocks noChangeAspect="1"/>
                          </pic:cNvPicPr>
                        </pic:nvPicPr>
                        <pic:blipFill>
                          <a:blip r:embed="rId51"/>
                          <a:stretch>
                            <a:fillRect/>
                          </a:stretch>
                        </pic:blipFill>
                        <pic:spPr>
                          <a:xfrm>
                            <a:off x="0" y="0"/>
                            <a:ext cx="666750" cy="14287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2.0+6.0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非普查</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695325" cy="85725"/>
                  <wp:effectExtent l="0" t="0" r="9525" b="9525"/>
                  <wp:docPr id="179"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80"/>
                          <pic:cNvPicPr>
                            <a:picLocks noChangeAspect="1"/>
                          </pic:cNvPicPr>
                        </pic:nvPicPr>
                        <pic:blipFill>
                          <a:blip r:embed="rId52"/>
                          <a:stretch>
                            <a:fillRect/>
                          </a:stretch>
                        </pic:blipFill>
                        <pic:spPr>
                          <a:xfrm>
                            <a:off x="0" y="0"/>
                            <a:ext cx="6953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1.0+6.0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井边点</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80"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1"/>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偏心点</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81"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2"/>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上杆</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95250" cy="257175"/>
                  <wp:effectExtent l="0" t="0" r="0" b="9525"/>
                  <wp:docPr id="182"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3"/>
                          <pic:cNvPicPr>
                            <a:picLocks noChangeAspect="1"/>
                          </pic:cNvPicPr>
                        </pic:nvPicPr>
                        <pic:blipFill>
                          <a:blip r:embed="rId53"/>
                          <a:stretch>
                            <a:fillRect/>
                          </a:stretch>
                        </pic:blipFill>
                        <pic:spPr>
                          <a:xfrm>
                            <a:off x="0" y="0"/>
                            <a:ext cx="95250" cy="25717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沟边点</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83"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4"/>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分支点</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84"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5"/>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restart"/>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工业</w:t>
            </w:r>
          </w:p>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（GY）</w:t>
            </w: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检修井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200025"/>
                  <wp:effectExtent l="0" t="0" r="9525" b="9525"/>
                  <wp:docPr id="185"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6"/>
                          <pic:cNvPicPr>
                            <a:picLocks noChangeAspect="1"/>
                          </pic:cNvPicPr>
                        </pic:nvPicPr>
                        <pic:blipFill>
                          <a:blip r:embed="rId117"/>
                          <a:stretch>
                            <a:fillRect/>
                          </a:stretch>
                        </pic:blipFill>
                        <pic:spPr>
                          <a:xfrm>
                            <a:off x="0" y="0"/>
                            <a:ext cx="20002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阀门井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200025"/>
                  <wp:effectExtent l="0" t="0" r="9525" b="9525"/>
                  <wp:docPr id="186"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7"/>
                          <pic:cNvPicPr>
                            <a:picLocks noChangeAspect="1"/>
                          </pic:cNvPicPr>
                        </pic:nvPicPr>
                        <pic:blipFill>
                          <a:blip r:embed="rId117"/>
                          <a:stretch>
                            <a:fillRect/>
                          </a:stretch>
                        </pic:blipFill>
                        <pic:spPr>
                          <a:xfrm>
                            <a:off x="0" y="0"/>
                            <a:ext cx="20002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阀门</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42875" cy="209550"/>
                  <wp:effectExtent l="0" t="0" r="9525" b="0"/>
                  <wp:docPr id="187"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8"/>
                          <pic:cNvPicPr>
                            <a:picLocks noChangeAspect="1"/>
                          </pic:cNvPicPr>
                        </pic:nvPicPr>
                        <pic:blipFill>
                          <a:blip r:embed="rId46"/>
                          <a:stretch>
                            <a:fillRect/>
                          </a:stretch>
                        </pic:blipFill>
                        <pic:spPr>
                          <a:xfrm>
                            <a:off x="0" y="0"/>
                            <a:ext cx="142875" cy="209550"/>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1.6+1.0</w:t>
            </w:r>
          </w:p>
        </w:tc>
        <w:tc>
          <w:tcPr>
            <w:tcW w:w="170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排污装置</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200025"/>
                  <wp:effectExtent l="0" t="0" r="9525" b="9525"/>
                  <wp:docPr id="188"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9"/>
                          <pic:cNvPicPr>
                            <a:picLocks noChangeAspect="1"/>
                          </pic:cNvPicPr>
                        </pic:nvPicPr>
                        <pic:blipFill>
                          <a:blip r:embed="rId118"/>
                          <a:stretch>
                            <a:fillRect/>
                          </a:stretch>
                        </pic:blipFill>
                        <pic:spPr>
                          <a:xfrm>
                            <a:off x="0" y="0"/>
                            <a:ext cx="200025" cy="200025"/>
                          </a:xfrm>
                          <a:prstGeom prst="rect">
                            <a:avLst/>
                          </a:prstGeom>
                          <a:noFill/>
                          <a:ln>
                            <a:noFill/>
                          </a:ln>
                        </pic:spPr>
                      </pic:pic>
                    </a:graphicData>
                  </a:graphic>
                </wp:inline>
              </w:drawing>
            </w:r>
          </w:p>
        </w:tc>
        <w:tc>
          <w:tcPr>
            <w:tcW w:w="1995"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动力站</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85750" cy="171450"/>
                  <wp:effectExtent l="0" t="0" r="0" b="0"/>
                  <wp:docPr id="189"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90"/>
                          <pic:cNvPicPr>
                            <a:picLocks noChangeAspect="1"/>
                          </pic:cNvPicPr>
                        </pic:nvPicPr>
                        <pic:blipFill>
                          <a:blip r:embed="rId119"/>
                          <a:stretch>
                            <a:fillRect/>
                          </a:stretch>
                        </pic:blipFill>
                        <pic:spPr>
                          <a:xfrm>
                            <a:off x="0" y="0"/>
                            <a:ext cx="285750" cy="171450"/>
                          </a:xfrm>
                          <a:prstGeom prst="rect">
                            <a:avLst/>
                          </a:prstGeom>
                          <a:noFill/>
                          <a:ln>
                            <a:noFill/>
                          </a:ln>
                        </pic:spPr>
                      </pic:pic>
                    </a:graphicData>
                  </a:graphic>
                </wp:inline>
              </w:drawing>
            </w:r>
          </w:p>
        </w:tc>
        <w:tc>
          <w:tcPr>
            <w:tcW w:w="1995"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3.0×2.0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弯头</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90"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1"/>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直线点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91"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2"/>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预留口</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666750" cy="142875"/>
                  <wp:effectExtent l="0" t="0" r="0" b="9525"/>
                  <wp:docPr id="192"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3"/>
                          <pic:cNvPicPr>
                            <a:picLocks noChangeAspect="1"/>
                          </pic:cNvPicPr>
                        </pic:nvPicPr>
                        <pic:blipFill>
                          <a:blip r:embed="rId51"/>
                          <a:stretch>
                            <a:fillRect/>
                          </a:stretch>
                        </pic:blipFill>
                        <pic:spPr>
                          <a:xfrm>
                            <a:off x="0" y="0"/>
                            <a:ext cx="666750" cy="14287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2.0+6.0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非普查</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695325" cy="85725"/>
                  <wp:effectExtent l="0" t="0" r="9525" b="9525"/>
                  <wp:docPr id="193"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4"/>
                          <pic:cNvPicPr>
                            <a:picLocks noChangeAspect="1"/>
                          </pic:cNvPicPr>
                        </pic:nvPicPr>
                        <pic:blipFill>
                          <a:blip r:embed="rId52"/>
                          <a:stretch>
                            <a:fillRect/>
                          </a:stretch>
                        </pic:blipFill>
                        <pic:spPr>
                          <a:xfrm>
                            <a:off x="0" y="0"/>
                            <a:ext cx="695325" cy="8572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1.0+6.0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井边点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94"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5"/>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偏心点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95"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6"/>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出地</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95250" cy="257175"/>
                  <wp:effectExtent l="0" t="0" r="0" b="9525"/>
                  <wp:docPr id="196"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7"/>
                          <pic:cNvPicPr>
                            <a:picLocks noChangeAspect="1"/>
                          </pic:cNvPicPr>
                        </pic:nvPicPr>
                        <pic:blipFill>
                          <a:blip r:embed="rId53"/>
                          <a:stretch>
                            <a:fillRect/>
                          </a:stretch>
                        </pic:blipFill>
                        <pic:spPr>
                          <a:xfrm>
                            <a:off x="0" y="0"/>
                            <a:ext cx="95250" cy="25717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变径</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9550" cy="171450"/>
                  <wp:effectExtent l="0" t="0" r="0" b="0"/>
                  <wp:docPr id="197"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8"/>
                          <pic:cNvPicPr>
                            <a:picLocks noChangeAspect="1"/>
                          </pic:cNvPicPr>
                        </pic:nvPicPr>
                        <pic:blipFill>
                          <a:blip r:embed="rId57"/>
                          <a:stretch>
                            <a:fillRect/>
                          </a:stretch>
                        </pic:blipFill>
                        <pic:spPr>
                          <a:xfrm>
                            <a:off x="0" y="0"/>
                            <a:ext cx="209550" cy="1714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盖堵</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95250" cy="200025"/>
                  <wp:effectExtent l="0" t="0" r="0" b="9525"/>
                  <wp:docPr id="198"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9"/>
                          <pic:cNvPicPr>
                            <a:picLocks noChangeAspect="1"/>
                          </pic:cNvPicPr>
                        </pic:nvPicPr>
                        <pic:blipFill>
                          <a:blip r:embed="rId58"/>
                          <a:stretch>
                            <a:fillRect/>
                          </a:stretch>
                        </pic:blipFill>
                        <pic:spPr>
                          <a:xfrm>
                            <a:off x="0" y="0"/>
                            <a:ext cx="95250"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2.0+1.0</w:t>
            </w:r>
          </w:p>
        </w:tc>
        <w:tc>
          <w:tcPr>
            <w:tcW w:w="170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三通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199"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00"/>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四通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200"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1"/>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多通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201"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2"/>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restart"/>
            <w:noWrap/>
            <w:vAlign w:val="center"/>
          </w:tcPr>
          <w:p>
            <w:pPr>
              <w:jc w:val="center"/>
              <w:rPr>
                <w:rFonts w:ascii="仿宋" w:hAnsi="仿宋" w:eastAsia="仿宋" w:cs="仿宋"/>
                <w:color w:val="auto"/>
                <w:kern w:val="0"/>
                <w:sz w:val="18"/>
                <w:szCs w:val="18"/>
                <w:highlight w:val="none"/>
              </w:rPr>
            </w:pPr>
          </w:p>
          <w:p>
            <w:pPr>
              <w:jc w:val="center"/>
              <w:rPr>
                <w:rFonts w:ascii="仿宋" w:hAnsi="仿宋" w:eastAsia="仿宋" w:cs="仿宋"/>
                <w:color w:val="auto"/>
                <w:kern w:val="0"/>
                <w:sz w:val="18"/>
                <w:szCs w:val="18"/>
                <w:highlight w:val="none"/>
              </w:rPr>
            </w:pPr>
          </w:p>
          <w:p>
            <w:pPr>
              <w:jc w:val="center"/>
              <w:rPr>
                <w:rFonts w:ascii="仿宋" w:hAnsi="仿宋" w:eastAsia="仿宋" w:cs="仿宋"/>
                <w:color w:val="auto"/>
                <w:kern w:val="0"/>
                <w:sz w:val="18"/>
                <w:szCs w:val="18"/>
                <w:highlight w:val="none"/>
              </w:rPr>
            </w:pPr>
          </w:p>
          <w:p>
            <w:pPr>
              <w:jc w:val="center"/>
              <w:rPr>
                <w:rFonts w:ascii="仿宋" w:hAnsi="仿宋" w:eastAsia="仿宋" w:cs="仿宋"/>
                <w:color w:val="auto"/>
                <w:kern w:val="0"/>
                <w:sz w:val="18"/>
                <w:szCs w:val="18"/>
                <w:highlight w:val="none"/>
              </w:rPr>
            </w:pPr>
          </w:p>
          <w:p>
            <w:pPr>
              <w:jc w:val="center"/>
              <w:rPr>
                <w:rFonts w:ascii="仿宋" w:hAnsi="仿宋" w:eastAsia="仿宋" w:cs="仿宋"/>
                <w:color w:val="auto"/>
                <w:kern w:val="0"/>
                <w:sz w:val="18"/>
                <w:szCs w:val="18"/>
                <w:highlight w:val="none"/>
              </w:rPr>
            </w:pPr>
          </w:p>
          <w:p>
            <w:pPr>
              <w:pStyle w:val="2"/>
              <w:jc w:val="center"/>
              <w:rPr>
                <w:color w:val="auto"/>
                <w:highlight w:val="none"/>
              </w:rPr>
            </w:pPr>
          </w:p>
          <w:p>
            <w:pPr>
              <w:pStyle w:val="2"/>
              <w:jc w:val="center"/>
              <w:rPr>
                <w:color w:val="auto"/>
                <w:highlight w:val="none"/>
              </w:rPr>
            </w:pPr>
          </w:p>
          <w:p>
            <w:pPr>
              <w:pStyle w:val="2"/>
              <w:jc w:val="center"/>
              <w:rPr>
                <w:color w:val="auto"/>
                <w:highlight w:val="none"/>
              </w:rPr>
            </w:pPr>
          </w:p>
          <w:p>
            <w:pPr>
              <w:pStyle w:val="2"/>
              <w:jc w:val="center"/>
              <w:rPr>
                <w:color w:val="auto"/>
                <w:highlight w:val="none"/>
              </w:rPr>
            </w:pPr>
          </w:p>
          <w:p>
            <w:pPr>
              <w:pStyle w:val="2"/>
              <w:jc w:val="center"/>
              <w:rPr>
                <w:rFonts w:ascii="仿宋" w:hAnsi="仿宋" w:eastAsia="仿宋" w:cs="仿宋"/>
                <w:color w:val="auto"/>
                <w:sz w:val="18"/>
                <w:szCs w:val="18"/>
                <w:highlight w:val="none"/>
              </w:rPr>
            </w:pPr>
          </w:p>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综合管廊（沟）</w:t>
            </w:r>
          </w:p>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（ZH）</w:t>
            </w: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检修井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42875" cy="142875"/>
                  <wp:effectExtent l="0" t="0" r="9525" b="9525"/>
                  <wp:docPr id="202"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3"/>
                          <pic:cNvPicPr>
                            <a:picLocks noChangeAspect="1"/>
                          </pic:cNvPicPr>
                        </pic:nvPicPr>
                        <pic:blipFill>
                          <a:blip r:embed="rId120"/>
                          <a:stretch>
                            <a:fillRect/>
                          </a:stretch>
                        </pic:blipFill>
                        <pic:spPr>
                          <a:xfrm>
                            <a:off x="0" y="0"/>
                            <a:ext cx="142875" cy="14287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出入口</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23825" cy="152400"/>
                  <wp:effectExtent l="0" t="0" r="9525" b="0"/>
                  <wp:docPr id="203"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4"/>
                          <pic:cNvPicPr>
                            <a:picLocks noChangeAspect="1"/>
                          </pic:cNvPicPr>
                        </pic:nvPicPr>
                        <pic:blipFill>
                          <a:blip r:embed="rId121"/>
                          <a:stretch>
                            <a:fillRect/>
                          </a:stretch>
                        </pic:blipFill>
                        <pic:spPr>
                          <a:xfrm>
                            <a:off x="0" y="0"/>
                            <a:ext cx="123825" cy="15240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1.8×2.5</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投料口</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71450" cy="171450"/>
                  <wp:effectExtent l="0" t="0" r="0" b="0"/>
                  <wp:docPr id="204"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5"/>
                          <pic:cNvPicPr>
                            <a:picLocks noChangeAspect="1"/>
                          </pic:cNvPicPr>
                        </pic:nvPicPr>
                        <pic:blipFill>
                          <a:blip r:embed="rId122"/>
                          <a:stretch>
                            <a:fillRect/>
                          </a:stretch>
                        </pic:blipFill>
                        <pic:spPr>
                          <a:xfrm>
                            <a:off x="0" y="0"/>
                            <a:ext cx="171450" cy="1714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通风口</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200025"/>
                  <wp:effectExtent l="0" t="0" r="9525" b="9525"/>
                  <wp:docPr id="205"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6"/>
                          <pic:cNvPicPr>
                            <a:picLocks noChangeAspect="1"/>
                          </pic:cNvPicPr>
                        </pic:nvPicPr>
                        <pic:blipFill>
                          <a:blip r:embed="rId123"/>
                          <a:stretch>
                            <a:fillRect/>
                          </a:stretch>
                        </pic:blipFill>
                        <pic:spPr>
                          <a:xfrm>
                            <a:off x="0" y="0"/>
                            <a:ext cx="20002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排气装置</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0025" cy="200025"/>
                  <wp:effectExtent l="0" t="0" r="9525" b="9525"/>
                  <wp:docPr id="206"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7"/>
                          <pic:cNvPicPr>
                            <a:picLocks noChangeAspect="1"/>
                          </pic:cNvPicPr>
                        </pic:nvPicPr>
                        <pic:blipFill>
                          <a:blip r:embed="rId124"/>
                          <a:stretch>
                            <a:fillRect/>
                          </a:stretch>
                        </pic:blipFill>
                        <pic:spPr>
                          <a:xfrm>
                            <a:off x="0" y="0"/>
                            <a:ext cx="200025" cy="2000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弯头</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207"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8"/>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直线点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208"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9"/>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预留口</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666750" cy="142875"/>
                  <wp:effectExtent l="0" t="0" r="0" b="9525"/>
                  <wp:docPr id="209"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10"/>
                          <pic:cNvPicPr>
                            <a:picLocks noChangeAspect="1"/>
                          </pic:cNvPicPr>
                        </pic:nvPicPr>
                        <pic:blipFill>
                          <a:blip r:embed="rId51"/>
                          <a:stretch>
                            <a:fillRect/>
                          </a:stretch>
                        </pic:blipFill>
                        <pic:spPr>
                          <a:xfrm>
                            <a:off x="0" y="0"/>
                            <a:ext cx="666750" cy="14287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2.0+6.0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非普查</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695325" cy="85725"/>
                  <wp:effectExtent l="0" t="0" r="9525" b="9525"/>
                  <wp:docPr id="210"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1"/>
                          <pic:cNvPicPr>
                            <a:picLocks noChangeAspect="1"/>
                          </pic:cNvPicPr>
                        </pic:nvPicPr>
                        <pic:blipFill>
                          <a:blip r:embed="rId52"/>
                          <a:stretch>
                            <a:fillRect/>
                          </a:stretch>
                        </pic:blipFill>
                        <pic:spPr>
                          <a:xfrm>
                            <a:off x="0" y="0"/>
                            <a:ext cx="695325" cy="8572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1.0+6.0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井边点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211"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2"/>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偏心点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212"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3"/>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出地</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95250" cy="285750"/>
                  <wp:effectExtent l="0" t="0" r="0" b="0"/>
                  <wp:docPr id="213"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4"/>
                          <pic:cNvPicPr>
                            <a:picLocks noChangeAspect="1"/>
                          </pic:cNvPicPr>
                        </pic:nvPicPr>
                        <pic:blipFill>
                          <a:blip r:embed="rId53"/>
                          <a:stretch>
                            <a:fillRect/>
                          </a:stretch>
                        </pic:blipFill>
                        <pic:spPr>
                          <a:xfrm>
                            <a:off x="0" y="0"/>
                            <a:ext cx="95250" cy="285750"/>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1.0+2.0</w:t>
            </w:r>
          </w:p>
        </w:tc>
        <w:tc>
          <w:tcPr>
            <w:tcW w:w="170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变径</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9550" cy="171450"/>
                  <wp:effectExtent l="0" t="0" r="0" b="0"/>
                  <wp:docPr id="214"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5"/>
                          <pic:cNvPicPr>
                            <a:picLocks noChangeAspect="1"/>
                          </pic:cNvPicPr>
                        </pic:nvPicPr>
                        <pic:blipFill>
                          <a:blip r:embed="rId57"/>
                          <a:stretch>
                            <a:fillRect/>
                          </a:stretch>
                        </pic:blipFill>
                        <pic:spPr>
                          <a:xfrm>
                            <a:off x="0" y="0"/>
                            <a:ext cx="209550" cy="1714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1.0+2.0</w:t>
            </w:r>
          </w:p>
        </w:tc>
        <w:tc>
          <w:tcPr>
            <w:tcW w:w="170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三通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215"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6"/>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四通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216"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7"/>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多通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217"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8"/>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restart"/>
            <w:noWrap/>
            <w:vAlign w:val="center"/>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其他管线（QT ）</w:t>
            </w:r>
          </w:p>
        </w:tc>
        <w:tc>
          <w:tcPr>
            <w:tcW w:w="2127" w:type="dxa"/>
            <w:noWrap/>
            <w:vAlign w:val="center"/>
          </w:tcPr>
          <w:p>
            <w:pPr>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检修井</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42875" cy="142875"/>
                  <wp:effectExtent l="0" t="0" r="9525" b="9525"/>
                  <wp:docPr id="218"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9"/>
                          <pic:cNvPicPr>
                            <a:picLocks noChangeAspect="1"/>
                          </pic:cNvPicPr>
                        </pic:nvPicPr>
                        <pic:blipFill>
                          <a:blip r:embed="rId120"/>
                          <a:stretch>
                            <a:fillRect/>
                          </a:stretch>
                        </pic:blipFill>
                        <pic:spPr>
                          <a:xfrm>
                            <a:off x="0" y="0"/>
                            <a:ext cx="142875" cy="14287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弯头</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219"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20"/>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直线点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220"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1"/>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预留口</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666750" cy="142875"/>
                  <wp:effectExtent l="0" t="0" r="0" b="9525"/>
                  <wp:docPr id="221"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2"/>
                          <pic:cNvPicPr>
                            <a:picLocks noChangeAspect="1"/>
                          </pic:cNvPicPr>
                        </pic:nvPicPr>
                        <pic:blipFill>
                          <a:blip r:embed="rId51"/>
                          <a:stretch>
                            <a:fillRect/>
                          </a:stretch>
                        </pic:blipFill>
                        <pic:spPr>
                          <a:xfrm>
                            <a:off x="0" y="0"/>
                            <a:ext cx="666750" cy="14287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2.0+6.0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非普查</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695325" cy="85725"/>
                  <wp:effectExtent l="0" t="0" r="9525" b="9525"/>
                  <wp:docPr id="222"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3"/>
                          <pic:cNvPicPr>
                            <a:picLocks noChangeAspect="1"/>
                          </pic:cNvPicPr>
                        </pic:nvPicPr>
                        <pic:blipFill>
                          <a:blip r:embed="rId52"/>
                          <a:stretch>
                            <a:fillRect/>
                          </a:stretch>
                        </pic:blipFill>
                        <pic:spPr>
                          <a:xfrm>
                            <a:off x="0" y="0"/>
                            <a:ext cx="695325" cy="85725"/>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1.0+6.0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井边点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223"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4"/>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偏心点</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224"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5"/>
                          <pic:cNvPicPr>
                            <a:picLocks noChangeAspect="1"/>
                          </pic:cNvPicPr>
                        </pic:nvPicPr>
                        <pic:blipFill>
                          <a:blip r:embed="rId50"/>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出地</w:t>
            </w:r>
          </w:p>
        </w:tc>
        <w:tc>
          <w:tcPr>
            <w:tcW w:w="1559" w:type="dxa"/>
            <w:noWrap/>
            <w:vAlign w:val="center"/>
          </w:tcPr>
          <w:p>
            <w:pPr>
              <w:widowControl/>
              <w:jc w:val="center"/>
              <w:rPr>
                <w:rFonts w:ascii="仿宋" w:hAnsi="仿宋" w:eastAsia="仿宋" w:cs="仿宋"/>
                <w:color w:val="auto"/>
                <w:kern w:val="0"/>
                <w:sz w:val="18"/>
                <w:szCs w:val="18"/>
                <w:highlight w:val="none"/>
              </w:rPr>
            </w:pPr>
            <w:r>
              <w:rPr>
                <w:rFonts w:ascii="仿宋" w:hAnsi="仿宋" w:eastAsia="仿宋" w:cs="仿宋"/>
                <w:color w:val="auto"/>
                <w:sz w:val="18"/>
                <w:szCs w:val="18"/>
                <w:highlight w:val="none"/>
              </w:rPr>
              <w:drawing>
                <wp:inline distT="0" distB="0" distL="114300" distR="114300">
                  <wp:extent cx="95250" cy="285750"/>
                  <wp:effectExtent l="0" t="0" r="0" b="0"/>
                  <wp:docPr id="225"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6"/>
                          <pic:cNvPicPr>
                            <a:picLocks noChangeAspect="1"/>
                          </pic:cNvPicPr>
                        </pic:nvPicPr>
                        <pic:blipFill>
                          <a:blip r:embed="rId53"/>
                          <a:stretch>
                            <a:fillRect/>
                          </a:stretch>
                        </pic:blipFill>
                        <pic:spPr>
                          <a:xfrm>
                            <a:off x="0" y="0"/>
                            <a:ext cx="95250" cy="285750"/>
                          </a:xfrm>
                          <a:prstGeom prst="rect">
                            <a:avLst/>
                          </a:prstGeom>
                          <a:noFill/>
                          <a:ln>
                            <a:noFill/>
                          </a:ln>
                        </pic:spPr>
                      </pic:pic>
                    </a:graphicData>
                  </a:graphic>
                </wp:inline>
              </w:drawing>
            </w:r>
          </w:p>
        </w:tc>
        <w:tc>
          <w:tcPr>
            <w:tcW w:w="1995" w:type="dxa"/>
            <w:noWrap/>
            <w:vAlign w:val="center"/>
          </w:tcPr>
          <w:p>
            <w:pPr>
              <w:tabs>
                <w:tab w:val="left" w:pos="794"/>
              </w:tabs>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变径</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209550" cy="171450"/>
                  <wp:effectExtent l="0" t="0" r="0" b="0"/>
                  <wp:docPr id="226"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7"/>
                          <pic:cNvPicPr>
                            <a:picLocks noChangeAspect="1"/>
                          </pic:cNvPicPr>
                        </pic:nvPicPr>
                        <pic:blipFill>
                          <a:blip r:embed="rId57"/>
                          <a:stretch>
                            <a:fillRect/>
                          </a:stretch>
                        </pic:blipFill>
                        <pic:spPr>
                          <a:xfrm>
                            <a:off x="0" y="0"/>
                            <a:ext cx="209550" cy="171450"/>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1.0+2.0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圆的几何中心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三通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227"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8"/>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四通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228"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9"/>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57" w:type="dxa"/>
            <w:vMerge w:val="continue"/>
            <w:noWrap/>
            <w:vAlign w:val="center"/>
          </w:tcPr>
          <w:p>
            <w:pPr>
              <w:jc w:val="center"/>
              <w:rPr>
                <w:rFonts w:ascii="仿宋" w:hAnsi="仿宋" w:eastAsia="仿宋" w:cs="仿宋"/>
                <w:color w:val="auto"/>
                <w:kern w:val="0"/>
                <w:sz w:val="18"/>
                <w:szCs w:val="18"/>
                <w:highlight w:val="none"/>
              </w:rPr>
            </w:pPr>
          </w:p>
        </w:tc>
        <w:tc>
          <w:tcPr>
            <w:tcW w:w="212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多通</w:t>
            </w:r>
          </w:p>
        </w:tc>
        <w:tc>
          <w:tcPr>
            <w:tcW w:w="1559"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85725" cy="85725"/>
                  <wp:effectExtent l="0" t="0" r="9525" b="9525"/>
                  <wp:docPr id="229"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30"/>
                          <pic:cNvPicPr>
                            <a:picLocks noChangeAspect="1"/>
                          </pic:cNvPicPr>
                        </pic:nvPicPr>
                        <pic:blipFill>
                          <a:blip r:embed="rId59"/>
                          <a:stretch>
                            <a:fillRect/>
                          </a:stretch>
                        </pic:blipFill>
                        <pic:spPr>
                          <a:xfrm>
                            <a:off x="0" y="0"/>
                            <a:ext cx="85725" cy="85725"/>
                          </a:xfrm>
                          <a:prstGeom prst="rect">
                            <a:avLst/>
                          </a:prstGeom>
                          <a:noFill/>
                          <a:ln>
                            <a:noFill/>
                          </a:ln>
                        </pic:spPr>
                      </pic:pic>
                    </a:graphicData>
                  </a:graphic>
                </wp:inline>
              </w:drawing>
            </w:r>
          </w:p>
        </w:tc>
        <w:tc>
          <w:tcPr>
            <w:tcW w:w="199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1.0</w:t>
            </w:r>
          </w:p>
        </w:tc>
        <w:tc>
          <w:tcPr>
            <w:tcW w:w="1707"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几何中心</w:t>
            </w:r>
          </w:p>
        </w:tc>
      </w:tr>
    </w:tbl>
    <w:p>
      <w:pPr>
        <w:pStyle w:val="2"/>
        <w:spacing w:line="480" w:lineRule="exact"/>
        <w:jc w:val="center"/>
        <w:rPr>
          <w:rFonts w:ascii="仿宋" w:hAnsi="仿宋" w:eastAsia="仿宋" w:cs="仿宋"/>
          <w:color w:val="auto"/>
          <w:sz w:val="24"/>
          <w:highlight w:val="none"/>
        </w:rPr>
        <w:sectPr>
          <w:pgSz w:w="11906" w:h="16838"/>
          <w:pgMar w:top="1701" w:right="1474" w:bottom="1417" w:left="1587" w:header="851" w:footer="992" w:gutter="0"/>
          <w:cols w:space="720" w:num="1"/>
          <w:docGrid w:type="lines" w:linePitch="312" w:charSpace="0"/>
        </w:sectPr>
      </w:pPr>
    </w:p>
    <w:p>
      <w:pPr>
        <w:pStyle w:val="6"/>
        <w:jc w:val="center"/>
        <w:rPr>
          <w:rFonts w:ascii="仿宋" w:hAnsi="仿宋" w:eastAsia="仿宋" w:cs="仿宋"/>
          <w:color w:val="auto"/>
          <w:sz w:val="24"/>
          <w:highlight w:val="none"/>
        </w:rPr>
      </w:pPr>
      <w:bookmarkStart w:id="540" w:name="_Toc19650"/>
      <w:bookmarkStart w:id="541" w:name="_Toc22433"/>
      <w:bookmarkStart w:id="542" w:name="_Toc21264"/>
      <w:bookmarkStart w:id="543" w:name="_Toc21065"/>
      <w:bookmarkStart w:id="544" w:name="_Toc30590"/>
      <w:bookmarkStart w:id="545" w:name="_Toc6887"/>
      <w:r>
        <w:rPr>
          <w:rFonts w:hint="eastAsia" w:ascii="仿宋" w:hAnsi="仿宋" w:eastAsia="仿宋" w:cs="仿宋"/>
          <w:color w:val="auto"/>
          <w:sz w:val="24"/>
          <w:highlight w:val="none"/>
        </w:rPr>
        <w:t>附表A.11 管线线型图例及颜色表</w:t>
      </w:r>
      <w:bookmarkEnd w:id="540"/>
      <w:bookmarkEnd w:id="541"/>
      <w:bookmarkEnd w:id="542"/>
      <w:bookmarkEnd w:id="543"/>
      <w:bookmarkEnd w:id="544"/>
      <w:bookmarkEnd w:id="545"/>
    </w:p>
    <w:tbl>
      <w:tblPr>
        <w:tblStyle w:val="43"/>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215"/>
        <w:gridCol w:w="1134"/>
        <w:gridCol w:w="2410"/>
        <w:gridCol w:w="1134"/>
        <w:gridCol w:w="1701"/>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728" w:type="dxa"/>
            <w:noWrap/>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管线类型</w:t>
            </w:r>
          </w:p>
        </w:tc>
        <w:tc>
          <w:tcPr>
            <w:tcW w:w="1215" w:type="dxa"/>
            <w:noWrap/>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线类型</w:t>
            </w:r>
          </w:p>
        </w:tc>
        <w:tc>
          <w:tcPr>
            <w:tcW w:w="1134" w:type="dxa"/>
            <w:noWrap/>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线型名称</w:t>
            </w:r>
          </w:p>
        </w:tc>
        <w:tc>
          <w:tcPr>
            <w:tcW w:w="2410" w:type="dxa"/>
            <w:noWrap/>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符号</w:t>
            </w:r>
          </w:p>
        </w:tc>
        <w:tc>
          <w:tcPr>
            <w:tcW w:w="1134" w:type="dxa"/>
            <w:noWrap/>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线宽</w:t>
            </w:r>
          </w:p>
        </w:tc>
        <w:tc>
          <w:tcPr>
            <w:tcW w:w="1701" w:type="dxa"/>
            <w:noWrap/>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线型颜色要求</w:t>
            </w:r>
          </w:p>
        </w:tc>
        <w:tc>
          <w:tcPr>
            <w:tcW w:w="4852" w:type="dxa"/>
            <w:noWrap/>
            <w:vAlign w:val="center"/>
          </w:tcPr>
          <w:p>
            <w:pPr>
              <w:jc w:val="center"/>
              <w:rPr>
                <w:rFonts w:ascii="仿宋" w:hAnsi="仿宋" w:eastAsia="仿宋" w:cs="仿宋"/>
                <w:color w:val="auto"/>
                <w:szCs w:val="21"/>
                <w:highlight w:val="none"/>
              </w:rPr>
            </w:pPr>
            <w:r>
              <w:rPr>
                <w:rFonts w:hint="eastAsia" w:ascii="仿宋" w:hAnsi="仿宋" w:eastAsia="仿宋" w:cs="仿宋"/>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72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非空管、线缆</w:t>
            </w:r>
          </w:p>
        </w:tc>
        <w:tc>
          <w:tcPr>
            <w:tcW w:w="121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实线</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PL1</w:t>
            </w:r>
          </w:p>
        </w:tc>
        <w:tc>
          <w:tcPr>
            <w:tcW w:w="2410"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123950" cy="171450"/>
                  <wp:effectExtent l="0" t="0" r="0" b="0"/>
                  <wp:docPr id="230"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1"/>
                          <pic:cNvPicPr>
                            <a:picLocks noChangeAspect="1"/>
                          </pic:cNvPicPr>
                        </pic:nvPicPr>
                        <pic:blipFill>
                          <a:blip r:embed="rId125"/>
                          <a:stretch>
                            <a:fillRect/>
                          </a:stretch>
                        </pic:blipFill>
                        <pic:spPr>
                          <a:xfrm>
                            <a:off x="0" y="0"/>
                            <a:ext cx="1123950" cy="171450"/>
                          </a:xfrm>
                          <a:prstGeom prst="rect">
                            <a:avLst/>
                          </a:prstGeom>
                          <a:noFill/>
                          <a:ln>
                            <a:noFill/>
                          </a:ln>
                        </pic:spPr>
                      </pic:pic>
                    </a:graphicData>
                  </a:graphic>
                </wp:inline>
              </w:drawing>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0.3mm</w:t>
            </w:r>
          </w:p>
        </w:tc>
        <w:tc>
          <w:tcPr>
            <w:tcW w:w="1701"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管类颜色</w:t>
            </w:r>
          </w:p>
        </w:tc>
        <w:tc>
          <w:tcPr>
            <w:tcW w:w="485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连续实线，用于一般地下管线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空管</w:t>
            </w:r>
          </w:p>
        </w:tc>
        <w:tc>
          <w:tcPr>
            <w:tcW w:w="121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虚线</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PL2</w:t>
            </w:r>
          </w:p>
        </w:tc>
        <w:tc>
          <w:tcPr>
            <w:tcW w:w="2410"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104900" cy="171450"/>
                  <wp:effectExtent l="0" t="0" r="0" b="0"/>
                  <wp:docPr id="231"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2"/>
                          <pic:cNvPicPr>
                            <a:picLocks noChangeAspect="1"/>
                          </pic:cNvPicPr>
                        </pic:nvPicPr>
                        <pic:blipFill>
                          <a:blip r:embed="rId126"/>
                          <a:srcRect t="2" r="8594" b="-2"/>
                          <a:stretch>
                            <a:fillRect/>
                          </a:stretch>
                        </pic:blipFill>
                        <pic:spPr>
                          <a:xfrm>
                            <a:off x="0" y="0"/>
                            <a:ext cx="1104900" cy="171450"/>
                          </a:xfrm>
                          <a:prstGeom prst="rect">
                            <a:avLst/>
                          </a:prstGeom>
                          <a:noFill/>
                          <a:ln>
                            <a:noFill/>
                          </a:ln>
                        </pic:spPr>
                      </pic:pic>
                    </a:graphicData>
                  </a:graphic>
                </wp:inline>
              </w:drawing>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0.3mm</w:t>
            </w:r>
          </w:p>
        </w:tc>
        <w:tc>
          <w:tcPr>
            <w:tcW w:w="1701"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管类颜色</w:t>
            </w:r>
          </w:p>
        </w:tc>
        <w:tc>
          <w:tcPr>
            <w:tcW w:w="485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实线部分和虚线部分比例为3:1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管沟（廊）</w:t>
            </w:r>
          </w:p>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边线</w:t>
            </w:r>
          </w:p>
        </w:tc>
        <w:tc>
          <w:tcPr>
            <w:tcW w:w="121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虚线</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PL3</w:t>
            </w:r>
          </w:p>
        </w:tc>
        <w:tc>
          <w:tcPr>
            <w:tcW w:w="2410"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076325" cy="171450"/>
                  <wp:effectExtent l="0" t="0" r="9525" b="0"/>
                  <wp:docPr id="232"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3"/>
                          <pic:cNvPicPr>
                            <a:picLocks noChangeAspect="1"/>
                          </pic:cNvPicPr>
                        </pic:nvPicPr>
                        <pic:blipFill>
                          <a:blip r:embed="rId127"/>
                          <a:srcRect r="6612"/>
                          <a:stretch>
                            <a:fillRect/>
                          </a:stretch>
                        </pic:blipFill>
                        <pic:spPr>
                          <a:xfrm>
                            <a:off x="0" y="0"/>
                            <a:ext cx="1076325" cy="171450"/>
                          </a:xfrm>
                          <a:prstGeom prst="rect">
                            <a:avLst/>
                          </a:prstGeom>
                          <a:noFill/>
                          <a:ln>
                            <a:noFill/>
                          </a:ln>
                        </pic:spPr>
                      </pic:pic>
                    </a:graphicData>
                  </a:graphic>
                </wp:inline>
              </w:drawing>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0.2mm</w:t>
            </w:r>
          </w:p>
        </w:tc>
        <w:tc>
          <w:tcPr>
            <w:tcW w:w="1701"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管类颜色</w:t>
            </w:r>
          </w:p>
        </w:tc>
        <w:tc>
          <w:tcPr>
            <w:tcW w:w="485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实线部分和虚线部分比例为2:1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非开挖管线</w:t>
            </w:r>
          </w:p>
        </w:tc>
        <w:tc>
          <w:tcPr>
            <w:tcW w:w="121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点划线</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PL5</w:t>
            </w:r>
          </w:p>
        </w:tc>
        <w:tc>
          <w:tcPr>
            <w:tcW w:w="2410"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123950" cy="171450"/>
                  <wp:effectExtent l="0" t="0" r="0" b="0"/>
                  <wp:docPr id="233"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4"/>
                          <pic:cNvPicPr>
                            <a:picLocks noChangeAspect="1"/>
                          </pic:cNvPicPr>
                        </pic:nvPicPr>
                        <pic:blipFill>
                          <a:blip r:embed="rId128"/>
                          <a:srcRect l="-2" t="2" r="4065" b="-2"/>
                          <a:stretch>
                            <a:fillRect/>
                          </a:stretch>
                        </pic:blipFill>
                        <pic:spPr>
                          <a:xfrm>
                            <a:off x="0" y="0"/>
                            <a:ext cx="1123950" cy="171450"/>
                          </a:xfrm>
                          <a:prstGeom prst="rect">
                            <a:avLst/>
                          </a:prstGeom>
                          <a:noFill/>
                          <a:ln>
                            <a:noFill/>
                          </a:ln>
                        </pic:spPr>
                      </pic:pic>
                    </a:graphicData>
                  </a:graphic>
                </wp:inline>
              </w:drawing>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0.3mm</w:t>
            </w:r>
          </w:p>
        </w:tc>
        <w:tc>
          <w:tcPr>
            <w:tcW w:w="1701"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管类颜色</w:t>
            </w:r>
          </w:p>
        </w:tc>
        <w:tc>
          <w:tcPr>
            <w:tcW w:w="485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实线部分和虚线部分比例为2:1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废弃管线</w:t>
            </w:r>
          </w:p>
        </w:tc>
        <w:tc>
          <w:tcPr>
            <w:tcW w:w="121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组合线型</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PL8</w:t>
            </w:r>
          </w:p>
        </w:tc>
        <w:tc>
          <w:tcPr>
            <w:tcW w:w="2410"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000125" cy="190500"/>
                  <wp:effectExtent l="0" t="0" r="9525" b="0"/>
                  <wp:docPr id="234"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5"/>
                          <pic:cNvPicPr>
                            <a:picLocks noChangeAspect="1"/>
                          </pic:cNvPicPr>
                        </pic:nvPicPr>
                        <pic:blipFill>
                          <a:blip r:embed="rId129"/>
                          <a:stretch>
                            <a:fillRect/>
                          </a:stretch>
                        </pic:blipFill>
                        <pic:spPr>
                          <a:xfrm>
                            <a:off x="0" y="0"/>
                            <a:ext cx="1000125" cy="190500"/>
                          </a:xfrm>
                          <a:prstGeom prst="rect">
                            <a:avLst/>
                          </a:prstGeom>
                          <a:noFill/>
                          <a:ln>
                            <a:noFill/>
                          </a:ln>
                        </pic:spPr>
                      </pic:pic>
                    </a:graphicData>
                  </a:graphic>
                </wp:inline>
              </w:drawing>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0.3mm</w:t>
            </w:r>
          </w:p>
        </w:tc>
        <w:tc>
          <w:tcPr>
            <w:tcW w:w="1701"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管类颜色</w:t>
            </w:r>
          </w:p>
        </w:tc>
        <w:tc>
          <w:tcPr>
            <w:tcW w:w="485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标记位置为7：1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地上管线</w:t>
            </w:r>
          </w:p>
        </w:tc>
        <w:tc>
          <w:tcPr>
            <w:tcW w:w="121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点划线</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PL9</w:t>
            </w:r>
          </w:p>
        </w:tc>
        <w:tc>
          <w:tcPr>
            <w:tcW w:w="2410"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0.3mm</w:t>
            </w:r>
          </w:p>
        </w:tc>
        <w:tc>
          <w:tcPr>
            <w:tcW w:w="1701"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管类颜色</w:t>
            </w:r>
          </w:p>
        </w:tc>
        <w:tc>
          <w:tcPr>
            <w:tcW w:w="485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线长3mm，间隔1mm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辅助线</w:t>
            </w:r>
          </w:p>
        </w:tc>
        <w:tc>
          <w:tcPr>
            <w:tcW w:w="121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虚线</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PL10</w:t>
            </w:r>
          </w:p>
        </w:tc>
        <w:tc>
          <w:tcPr>
            <w:tcW w:w="2410"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076325" cy="171450"/>
                  <wp:effectExtent l="0" t="0" r="9525" b="0"/>
                  <wp:docPr id="235"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6"/>
                          <pic:cNvPicPr>
                            <a:picLocks noChangeAspect="1"/>
                          </pic:cNvPicPr>
                        </pic:nvPicPr>
                        <pic:blipFill>
                          <a:blip r:embed="rId127"/>
                          <a:srcRect r="6612"/>
                          <a:stretch>
                            <a:fillRect/>
                          </a:stretch>
                        </pic:blipFill>
                        <pic:spPr>
                          <a:xfrm>
                            <a:off x="0" y="0"/>
                            <a:ext cx="1076325" cy="171450"/>
                          </a:xfrm>
                          <a:prstGeom prst="rect">
                            <a:avLst/>
                          </a:prstGeom>
                          <a:noFill/>
                          <a:ln>
                            <a:noFill/>
                          </a:ln>
                        </pic:spPr>
                      </pic:pic>
                    </a:graphicData>
                  </a:graphic>
                </wp:inline>
              </w:drawing>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0.2mm</w:t>
            </w:r>
          </w:p>
        </w:tc>
        <w:tc>
          <w:tcPr>
            <w:tcW w:w="1701"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管类颜色</w:t>
            </w:r>
          </w:p>
        </w:tc>
        <w:tc>
          <w:tcPr>
            <w:tcW w:w="485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实线部分和虚线部分比例为2:1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缺失属性管线</w:t>
            </w:r>
          </w:p>
        </w:tc>
        <w:tc>
          <w:tcPr>
            <w:tcW w:w="121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虚线</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PL11</w:t>
            </w:r>
          </w:p>
        </w:tc>
        <w:tc>
          <w:tcPr>
            <w:tcW w:w="2410"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076325" cy="171450"/>
                  <wp:effectExtent l="0" t="0" r="9525" b="0"/>
                  <wp:docPr id="236"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7"/>
                          <pic:cNvPicPr>
                            <a:picLocks noChangeAspect="1"/>
                          </pic:cNvPicPr>
                        </pic:nvPicPr>
                        <pic:blipFill>
                          <a:blip r:embed="rId127"/>
                          <a:srcRect r="6612"/>
                          <a:stretch>
                            <a:fillRect/>
                          </a:stretch>
                        </pic:blipFill>
                        <pic:spPr>
                          <a:xfrm>
                            <a:off x="0" y="0"/>
                            <a:ext cx="1076325" cy="171450"/>
                          </a:xfrm>
                          <a:prstGeom prst="rect">
                            <a:avLst/>
                          </a:prstGeom>
                          <a:noFill/>
                          <a:ln>
                            <a:noFill/>
                          </a:ln>
                        </pic:spPr>
                      </pic:pic>
                    </a:graphicData>
                  </a:graphic>
                </wp:inline>
              </w:drawing>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0.6mm</w:t>
            </w:r>
          </w:p>
        </w:tc>
        <w:tc>
          <w:tcPr>
            <w:tcW w:w="1701"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管类颜色</w:t>
            </w:r>
          </w:p>
        </w:tc>
        <w:tc>
          <w:tcPr>
            <w:tcW w:w="485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实线部分和虚线部分比例为2:1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示意管线</w:t>
            </w:r>
          </w:p>
        </w:tc>
        <w:tc>
          <w:tcPr>
            <w:tcW w:w="121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组合线型</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PL12</w:t>
            </w:r>
          </w:p>
        </w:tc>
        <w:tc>
          <w:tcPr>
            <w:tcW w:w="2410"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362075" cy="152400"/>
                  <wp:effectExtent l="0" t="0" r="9525" b="0"/>
                  <wp:docPr id="237"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8"/>
                          <pic:cNvPicPr>
                            <a:picLocks noChangeAspect="1"/>
                          </pic:cNvPicPr>
                        </pic:nvPicPr>
                        <pic:blipFill>
                          <a:blip r:embed="rId130"/>
                          <a:stretch>
                            <a:fillRect/>
                          </a:stretch>
                        </pic:blipFill>
                        <pic:spPr>
                          <a:xfrm>
                            <a:off x="0" y="0"/>
                            <a:ext cx="1362075" cy="152400"/>
                          </a:xfrm>
                          <a:prstGeom prst="rect">
                            <a:avLst/>
                          </a:prstGeom>
                          <a:noFill/>
                          <a:ln>
                            <a:noFill/>
                          </a:ln>
                        </pic:spPr>
                      </pic:pic>
                    </a:graphicData>
                  </a:graphic>
                </wp:inline>
              </w:drawing>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shd w:val="clear" w:color="FFFFFF" w:fill="D9D9D9"/>
              </w:rPr>
              <w:t>0.3mm</w:t>
            </w:r>
          </w:p>
        </w:tc>
        <w:tc>
          <w:tcPr>
            <w:tcW w:w="1701"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管类颜色</w:t>
            </w:r>
          </w:p>
        </w:tc>
        <w:tc>
          <w:tcPr>
            <w:tcW w:w="485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示意管线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地下井室填充</w:t>
            </w:r>
          </w:p>
        </w:tc>
        <w:tc>
          <w:tcPr>
            <w:tcW w:w="121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虚线</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PL13</w:t>
            </w:r>
          </w:p>
        </w:tc>
        <w:tc>
          <w:tcPr>
            <w:tcW w:w="2410"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highlight w:val="none"/>
              </w:rPr>
              <w:drawing>
                <wp:inline distT="0" distB="0" distL="114300" distR="114300">
                  <wp:extent cx="1076325" cy="171450"/>
                  <wp:effectExtent l="0" t="0" r="9525" b="0"/>
                  <wp:docPr id="238"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9"/>
                          <pic:cNvPicPr>
                            <a:picLocks noChangeAspect="1"/>
                          </pic:cNvPicPr>
                        </pic:nvPicPr>
                        <pic:blipFill>
                          <a:blip r:embed="rId127"/>
                          <a:srcRect r="6612"/>
                          <a:stretch>
                            <a:fillRect/>
                          </a:stretch>
                        </pic:blipFill>
                        <pic:spPr>
                          <a:xfrm>
                            <a:off x="0" y="0"/>
                            <a:ext cx="1076325" cy="171450"/>
                          </a:xfrm>
                          <a:prstGeom prst="rect">
                            <a:avLst/>
                          </a:prstGeom>
                          <a:noFill/>
                          <a:ln>
                            <a:noFill/>
                          </a:ln>
                        </pic:spPr>
                      </pic:pic>
                    </a:graphicData>
                  </a:graphic>
                </wp:inline>
              </w:drawing>
            </w:r>
          </w:p>
        </w:tc>
        <w:tc>
          <w:tcPr>
            <w:tcW w:w="1134" w:type="dxa"/>
            <w:noWrap/>
            <w:vAlign w:val="center"/>
          </w:tcPr>
          <w:p>
            <w:pPr>
              <w:jc w:val="center"/>
              <w:rPr>
                <w:rFonts w:ascii="仿宋" w:hAnsi="仿宋" w:eastAsia="仿宋" w:cs="仿宋"/>
                <w:color w:val="auto"/>
                <w:sz w:val="18"/>
                <w:szCs w:val="18"/>
                <w:highlight w:val="none"/>
                <w:shd w:val="clear" w:color="FFFFFF" w:fill="D9D9D9"/>
              </w:rPr>
            </w:pPr>
            <w:r>
              <w:rPr>
                <w:rFonts w:hint="eastAsia" w:ascii="仿宋" w:hAnsi="仿宋" w:eastAsia="仿宋" w:cs="仿宋"/>
                <w:color w:val="auto"/>
                <w:sz w:val="18"/>
                <w:szCs w:val="18"/>
                <w:highlight w:val="none"/>
              </w:rPr>
              <w:t>0.2mm</w:t>
            </w:r>
          </w:p>
        </w:tc>
        <w:tc>
          <w:tcPr>
            <w:tcW w:w="1701" w:type="dxa"/>
            <w:noWrap/>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管类颜色</w:t>
            </w:r>
          </w:p>
        </w:tc>
        <w:tc>
          <w:tcPr>
            <w:tcW w:w="485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地下井室填充图案为ANSI31，填充比例0.1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施工范围线</w:t>
            </w:r>
          </w:p>
        </w:tc>
        <w:tc>
          <w:tcPr>
            <w:tcW w:w="1215"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虚线</w:t>
            </w:r>
          </w:p>
        </w:tc>
        <w:tc>
          <w:tcPr>
            <w:tcW w:w="1134"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PL14</w:t>
            </w:r>
          </w:p>
        </w:tc>
        <w:tc>
          <w:tcPr>
            <w:tcW w:w="2410" w:type="dxa"/>
            <w:noWrap/>
            <w:vAlign w:val="center"/>
          </w:tcPr>
          <w:p>
            <w:pPr>
              <w:jc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drawing>
                <wp:inline distT="0" distB="0" distL="114300" distR="114300">
                  <wp:extent cx="1076325" cy="171450"/>
                  <wp:effectExtent l="0" t="0" r="9525" b="0"/>
                  <wp:docPr id="239"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40"/>
                          <pic:cNvPicPr>
                            <a:picLocks noChangeAspect="1"/>
                          </pic:cNvPicPr>
                        </pic:nvPicPr>
                        <pic:blipFill>
                          <a:blip r:embed="rId127"/>
                          <a:srcRect r="6612"/>
                          <a:stretch>
                            <a:fillRect/>
                          </a:stretch>
                        </pic:blipFill>
                        <pic:spPr>
                          <a:xfrm>
                            <a:off x="0" y="0"/>
                            <a:ext cx="1076325" cy="171450"/>
                          </a:xfrm>
                          <a:prstGeom prst="rect">
                            <a:avLst/>
                          </a:prstGeom>
                          <a:noFill/>
                          <a:ln>
                            <a:noFill/>
                          </a:ln>
                        </pic:spPr>
                      </pic:pic>
                    </a:graphicData>
                  </a:graphic>
                </wp:inline>
              </w:drawing>
            </w:r>
          </w:p>
        </w:tc>
        <w:tc>
          <w:tcPr>
            <w:tcW w:w="1134" w:type="dxa"/>
            <w:noWrap/>
            <w:vAlign w:val="center"/>
          </w:tcPr>
          <w:p>
            <w:pPr>
              <w:jc w:val="center"/>
              <w:rPr>
                <w:rFonts w:ascii="仿宋" w:hAnsi="仿宋" w:eastAsia="仿宋" w:cs="仿宋"/>
                <w:color w:val="auto"/>
                <w:sz w:val="18"/>
                <w:szCs w:val="18"/>
                <w:highlight w:val="none"/>
                <w:shd w:val="clear" w:color="FFFFFF" w:fill="D9D9D9"/>
              </w:rPr>
            </w:pPr>
            <w:r>
              <w:rPr>
                <w:rFonts w:hint="eastAsia" w:ascii="仿宋" w:hAnsi="仿宋" w:eastAsia="仿宋" w:cs="仿宋"/>
                <w:color w:val="auto"/>
                <w:sz w:val="18"/>
                <w:szCs w:val="18"/>
                <w:highlight w:val="none"/>
              </w:rPr>
              <w:t>0.3mm</w:t>
            </w:r>
          </w:p>
        </w:tc>
        <w:tc>
          <w:tcPr>
            <w:tcW w:w="1701"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黑色</w:t>
            </w:r>
          </w:p>
        </w:tc>
        <w:tc>
          <w:tcPr>
            <w:tcW w:w="4852" w:type="dxa"/>
            <w:noWrap/>
            <w:vAlign w:val="center"/>
          </w:tcPr>
          <w:p>
            <w:pPr>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实线部分和虚线部分比例为2:1</w:t>
            </w:r>
          </w:p>
        </w:tc>
      </w:tr>
    </w:tbl>
    <w:p>
      <w:pPr>
        <w:pStyle w:val="2"/>
        <w:spacing w:line="480" w:lineRule="exact"/>
        <w:jc w:val="left"/>
        <w:rPr>
          <w:rFonts w:ascii="仿宋" w:hAnsi="仿宋" w:eastAsia="仿宋" w:cs="仿宋"/>
          <w:color w:val="auto"/>
          <w:sz w:val="24"/>
          <w:highlight w:val="none"/>
        </w:rPr>
      </w:pPr>
    </w:p>
    <w:p>
      <w:pPr>
        <w:tabs>
          <w:tab w:val="left" w:pos="5080"/>
        </w:tabs>
        <w:jc w:val="left"/>
        <w:rPr>
          <w:rFonts w:ascii="仿宋" w:hAnsi="仿宋" w:eastAsia="仿宋" w:cs="仿宋"/>
          <w:color w:val="auto"/>
          <w:sz w:val="24"/>
          <w:highlight w:val="none"/>
        </w:rPr>
      </w:pPr>
      <w:r>
        <w:rPr>
          <w:rFonts w:ascii="仿宋" w:hAnsi="仿宋" w:eastAsia="仿宋" w:cs="仿宋"/>
          <w:color w:val="auto"/>
          <w:sz w:val="24"/>
          <w:highlight w:val="none"/>
        </w:rPr>
        <w:tab/>
      </w:r>
    </w:p>
    <w:p>
      <w:pPr>
        <w:pStyle w:val="2"/>
        <w:jc w:val="left"/>
        <w:rPr>
          <w:color w:val="auto"/>
          <w:highlight w:val="none"/>
        </w:rPr>
      </w:pPr>
    </w:p>
    <w:p>
      <w:pPr>
        <w:pStyle w:val="2"/>
        <w:jc w:val="left"/>
        <w:rPr>
          <w:color w:val="auto"/>
          <w:highlight w:val="none"/>
        </w:rPr>
      </w:pPr>
    </w:p>
    <w:p>
      <w:pPr>
        <w:pStyle w:val="2"/>
        <w:jc w:val="left"/>
        <w:rPr>
          <w:color w:val="auto"/>
          <w:highlight w:val="none"/>
        </w:rPr>
      </w:pPr>
    </w:p>
    <w:p>
      <w:pPr>
        <w:tabs>
          <w:tab w:val="left" w:pos="5080"/>
        </w:tabs>
        <w:jc w:val="left"/>
        <w:rPr>
          <w:color w:val="auto"/>
          <w:highlight w:val="none"/>
        </w:rPr>
        <w:sectPr>
          <w:pgSz w:w="16838" w:h="11906" w:orient="landscape"/>
          <w:pgMar w:top="1474" w:right="1417" w:bottom="1587" w:left="1701" w:header="851" w:footer="992" w:gutter="0"/>
          <w:cols w:space="720" w:num="1"/>
          <w:docGrid w:type="lines" w:linePitch="312" w:charSpace="0"/>
        </w:sectPr>
      </w:pPr>
    </w:p>
    <w:p>
      <w:pPr>
        <w:pStyle w:val="6"/>
        <w:jc w:val="center"/>
        <w:rPr>
          <w:rFonts w:ascii="仿宋" w:hAnsi="仿宋" w:eastAsia="仿宋" w:cs="仿宋"/>
          <w:color w:val="auto"/>
          <w:sz w:val="24"/>
          <w:highlight w:val="none"/>
        </w:rPr>
      </w:pPr>
      <w:bookmarkStart w:id="546" w:name="_Toc22788"/>
      <w:bookmarkStart w:id="547" w:name="_Toc10540"/>
      <w:bookmarkStart w:id="548" w:name="_Toc29605"/>
      <w:bookmarkStart w:id="549" w:name="_Toc48835706"/>
      <w:bookmarkStart w:id="550" w:name="_Toc18309"/>
      <w:bookmarkStart w:id="551" w:name="_Toc27842"/>
      <w:bookmarkStart w:id="552" w:name="_Toc14030"/>
      <w:bookmarkStart w:id="553" w:name="_Toc17167"/>
      <w:bookmarkStart w:id="554" w:name="_Toc21452"/>
      <w:bookmarkStart w:id="555" w:name="_Toc510987406"/>
      <w:r>
        <w:rPr>
          <w:rFonts w:hint="eastAsia" w:ascii="仿宋" w:hAnsi="仿宋" w:eastAsia="仿宋" w:cs="仿宋"/>
          <w:color w:val="auto"/>
          <w:sz w:val="24"/>
          <w:highlight w:val="none"/>
        </w:rPr>
        <w:t>附表A.12 管线要素代码表</w:t>
      </w:r>
      <w:bookmarkEnd w:id="546"/>
      <w:bookmarkEnd w:id="547"/>
      <w:bookmarkEnd w:id="548"/>
      <w:bookmarkEnd w:id="549"/>
      <w:bookmarkEnd w:id="550"/>
      <w:bookmarkEnd w:id="551"/>
      <w:bookmarkEnd w:id="552"/>
      <w:bookmarkEnd w:id="553"/>
      <w:bookmarkEnd w:id="554"/>
    </w:p>
    <w:p>
      <w:pPr>
        <w:spacing w:line="560" w:lineRule="exact"/>
        <w:ind w:firstLine="241" w:firstLineChars="100"/>
        <w:jc w:val="center"/>
        <w:rPr>
          <w:rFonts w:ascii="仿宋" w:hAnsi="仿宋" w:eastAsia="仿宋" w:cs="仿宋"/>
          <w:b/>
          <w:color w:val="auto"/>
          <w:highlight w:val="none"/>
        </w:rPr>
      </w:pPr>
      <w:r>
        <w:rPr>
          <w:rFonts w:hint="eastAsia" w:ascii="仿宋" w:hAnsi="仿宋" w:eastAsia="仿宋" w:cs="仿宋"/>
          <w:b/>
          <w:color w:val="auto"/>
          <w:sz w:val="24"/>
          <w:highlight w:val="none"/>
        </w:rPr>
        <w:t>附</w:t>
      </w:r>
      <w:r>
        <w:rPr>
          <w:rFonts w:hint="eastAsia" w:ascii="仿宋" w:hAnsi="仿宋" w:eastAsia="仿宋" w:cs="仿宋"/>
          <w:b/>
          <w:color w:val="auto"/>
          <w:highlight w:val="none"/>
        </w:rPr>
        <w:t>表A.</w:t>
      </w:r>
      <w:r>
        <w:rPr>
          <w:rFonts w:ascii="仿宋" w:hAnsi="仿宋" w:eastAsia="仿宋" w:cs="仿宋"/>
          <w:b/>
          <w:color w:val="auto"/>
          <w:highlight w:val="none"/>
        </w:rPr>
        <w:t>1</w:t>
      </w:r>
      <w:r>
        <w:rPr>
          <w:rFonts w:hint="eastAsia" w:ascii="仿宋" w:hAnsi="仿宋" w:eastAsia="仿宋" w:cs="仿宋"/>
          <w:b/>
          <w:color w:val="auto"/>
          <w:highlight w:val="none"/>
        </w:rPr>
        <w:t>2.1给水管线要素代码表</w:t>
      </w:r>
    </w:p>
    <w:tbl>
      <w:tblPr>
        <w:tblStyle w:val="43"/>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381"/>
        <w:gridCol w:w="1381"/>
        <w:gridCol w:w="1381"/>
        <w:gridCol w:w="1381"/>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81" w:type="dxa"/>
            <w:noWrap/>
            <w:vAlign w:val="center"/>
          </w:tcPr>
          <w:p>
            <w:pPr>
              <w:pStyle w:val="150"/>
              <w:spacing w:line="360" w:lineRule="exact"/>
              <w:ind w:firstLine="0" w:firstLineChars="0"/>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管线小类</w:t>
            </w:r>
          </w:p>
        </w:tc>
        <w:tc>
          <w:tcPr>
            <w:tcW w:w="1381" w:type="dxa"/>
            <w:noWrap/>
            <w:vAlign w:val="center"/>
          </w:tcPr>
          <w:p>
            <w:pPr>
              <w:pStyle w:val="150"/>
              <w:spacing w:line="360" w:lineRule="exact"/>
              <w:ind w:firstLine="0" w:firstLineChars="0"/>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要素名称</w:t>
            </w:r>
          </w:p>
        </w:tc>
        <w:tc>
          <w:tcPr>
            <w:tcW w:w="1381" w:type="dxa"/>
            <w:noWrap/>
            <w:vAlign w:val="center"/>
          </w:tcPr>
          <w:p>
            <w:pPr>
              <w:tabs>
                <w:tab w:val="left" w:pos="794"/>
              </w:tabs>
              <w:spacing w:line="360" w:lineRule="exact"/>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代码</w:t>
            </w:r>
          </w:p>
        </w:tc>
        <w:tc>
          <w:tcPr>
            <w:tcW w:w="1381" w:type="dxa"/>
            <w:noWrap/>
            <w:vAlign w:val="center"/>
          </w:tcPr>
          <w:p>
            <w:pPr>
              <w:widowControl/>
              <w:spacing w:line="360" w:lineRule="exact"/>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管线小类</w:t>
            </w:r>
          </w:p>
        </w:tc>
        <w:tc>
          <w:tcPr>
            <w:tcW w:w="1381" w:type="dxa"/>
            <w:noWrap/>
            <w:vAlign w:val="center"/>
          </w:tcPr>
          <w:p>
            <w:pPr>
              <w:widowControl/>
              <w:spacing w:line="360" w:lineRule="exact"/>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要素名称</w:t>
            </w:r>
          </w:p>
        </w:tc>
        <w:tc>
          <w:tcPr>
            <w:tcW w:w="1383" w:type="dxa"/>
            <w:noWrap/>
            <w:vAlign w:val="center"/>
          </w:tcPr>
          <w:p>
            <w:pPr>
              <w:widowControl/>
              <w:spacing w:line="360" w:lineRule="exact"/>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restart"/>
            <w:shd w:val="clear" w:color="auto" w:fill="auto"/>
            <w:noWrap/>
            <w:vAlign w:val="center"/>
          </w:tcPr>
          <w:p>
            <w:pPr>
              <w:widowControl/>
              <w:spacing w:line="360" w:lineRule="exact"/>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原水</w:t>
            </w:r>
          </w:p>
          <w:p>
            <w:pPr>
              <w:spacing w:line="360" w:lineRule="exact"/>
              <w:ind w:firstLine="361" w:firstLineChars="200"/>
              <w:jc w:val="center"/>
              <w:rPr>
                <w:rFonts w:ascii="仿宋" w:hAnsi="仿宋" w:eastAsia="仿宋" w:cs="仿宋"/>
                <w:b/>
                <w:color w:val="auto"/>
                <w:kern w:val="0"/>
                <w:sz w:val="18"/>
                <w:szCs w:val="18"/>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原水管段</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51011000</w:t>
            </w:r>
          </w:p>
        </w:tc>
        <w:tc>
          <w:tcPr>
            <w:tcW w:w="1381" w:type="dxa"/>
            <w:vMerge w:val="restart"/>
            <w:shd w:val="clear" w:color="auto" w:fill="auto"/>
            <w:noWrap/>
            <w:vAlign w:val="center"/>
          </w:tcPr>
          <w:p>
            <w:pPr>
              <w:widowControl/>
              <w:spacing w:line="360" w:lineRule="exact"/>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输水</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进水口</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弯头</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51012101</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出水口</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三通</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51012102</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测流点</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四通</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51012103</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测压点</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变径</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51012104</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水质监测点</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预留口</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51012105</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伸缩器</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进水口</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51012106</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停止塞</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出水口</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51012107</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变材</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测流点</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51012108</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bottom"/>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转折点</w:t>
            </w:r>
          </w:p>
        </w:tc>
        <w:tc>
          <w:tcPr>
            <w:tcW w:w="1383" w:type="dxa"/>
            <w:shd w:val="clear" w:color="auto" w:fill="FFFFFF"/>
            <w:noWrap/>
            <w:vAlign w:val="bottom"/>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测压点</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51012109</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bottom"/>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出地</w:t>
            </w:r>
          </w:p>
        </w:tc>
        <w:tc>
          <w:tcPr>
            <w:tcW w:w="1383" w:type="dxa"/>
            <w:shd w:val="clear" w:color="auto" w:fill="FFFFFF"/>
            <w:noWrap/>
            <w:vAlign w:val="bottom"/>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水质监测点</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51012110</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盖堵</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伸缩器</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51012111</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非普查</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51022117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出地</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51012112</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bottom"/>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窨井</w:t>
            </w:r>
          </w:p>
        </w:tc>
        <w:tc>
          <w:tcPr>
            <w:tcW w:w="1383" w:type="dxa"/>
            <w:shd w:val="clear" w:color="auto" w:fill="FFFFFF"/>
            <w:noWrap/>
            <w:vAlign w:val="bottom"/>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盖堵</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51012113</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消防栓</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非普查</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51012114</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阀门</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窨井</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51012201</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阀门井</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51022204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阀门</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51012202</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阀门孔</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阀门井</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51012203</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水表</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阀门孔</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51012204</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水表井</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水表</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51012205</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bottom"/>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地下消防栓</w:t>
            </w:r>
          </w:p>
        </w:tc>
        <w:tc>
          <w:tcPr>
            <w:tcW w:w="1383" w:type="dxa"/>
            <w:shd w:val="clear" w:color="auto" w:fill="FFFFFF"/>
            <w:noWrap/>
            <w:vAlign w:val="bottom"/>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水表井</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51012206</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消防井</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排气阀</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51012207</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消防栓</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排污阀</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51012208</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带阀泄气</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Style w:val="247"/>
                <w:rFonts w:hint="default" w:ascii="仿宋" w:hAnsi="仿宋" w:eastAsia="仿宋" w:cs="仿宋"/>
                <w:color w:val="auto"/>
                <w:sz w:val="18"/>
                <w:szCs w:val="18"/>
                <w:highlight w:val="none"/>
                <w:lang w:val="zh-CN"/>
              </w:rPr>
              <w:t>沉淀池</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Style w:val="247"/>
                <w:rFonts w:hint="default" w:ascii="仿宋" w:hAnsi="仿宋" w:eastAsia="仿宋" w:cs="仿宋"/>
                <w:color w:val="auto"/>
                <w:sz w:val="18"/>
                <w:szCs w:val="18"/>
                <w:highlight w:val="none"/>
                <w:lang w:val="zh-CN"/>
              </w:rPr>
              <w:t>51012209</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止回阀</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Style w:val="247"/>
                <w:rFonts w:hint="default" w:ascii="仿宋" w:hAnsi="仿宋" w:eastAsia="仿宋" w:cs="仿宋"/>
                <w:color w:val="auto"/>
                <w:sz w:val="18"/>
                <w:szCs w:val="18"/>
                <w:highlight w:val="none"/>
                <w:lang w:val="zh-CN"/>
              </w:rPr>
              <w:t>水塔</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Style w:val="247"/>
                <w:rFonts w:hint="default" w:ascii="仿宋" w:hAnsi="仿宋" w:eastAsia="仿宋" w:cs="仿宋"/>
                <w:color w:val="auto"/>
                <w:sz w:val="18"/>
                <w:szCs w:val="18"/>
                <w:highlight w:val="none"/>
                <w:lang w:val="zh-CN"/>
              </w:rPr>
              <w:t>51012210</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排气阀</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51022213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Style w:val="247"/>
                <w:rFonts w:hint="default" w:ascii="仿宋" w:hAnsi="仿宋" w:eastAsia="仿宋" w:cs="仿宋"/>
                <w:color w:val="auto"/>
                <w:sz w:val="18"/>
                <w:szCs w:val="18"/>
                <w:highlight w:val="none"/>
                <w:lang w:val="zh-CN"/>
              </w:rPr>
              <w:t>水池</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Style w:val="247"/>
                <w:rFonts w:hint="default" w:ascii="仿宋" w:hAnsi="仿宋" w:eastAsia="仿宋" w:cs="仿宋"/>
                <w:color w:val="auto"/>
                <w:sz w:val="18"/>
                <w:szCs w:val="18"/>
                <w:highlight w:val="none"/>
                <w:lang w:val="zh-CN"/>
              </w:rPr>
              <w:t>51012211</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排污阀</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51022214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Style w:val="247"/>
                <w:rFonts w:hint="default" w:ascii="仿宋" w:hAnsi="仿宋" w:eastAsia="仿宋" w:cs="仿宋"/>
                <w:color w:val="auto"/>
                <w:sz w:val="18"/>
                <w:szCs w:val="18"/>
                <w:highlight w:val="none"/>
                <w:lang w:val="zh-CN"/>
              </w:rPr>
              <w:t>净化池</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Style w:val="247"/>
                <w:rFonts w:hint="default" w:ascii="仿宋" w:hAnsi="仿宋" w:eastAsia="仿宋" w:cs="仿宋"/>
                <w:color w:val="auto"/>
                <w:sz w:val="18"/>
                <w:szCs w:val="18"/>
                <w:highlight w:val="none"/>
                <w:lang w:val="zh-CN"/>
              </w:rPr>
              <w:t>51012212</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沉淀池</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51022215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Style w:val="247"/>
                <w:rFonts w:hint="default" w:ascii="仿宋" w:hAnsi="仿宋" w:eastAsia="仿宋" w:cs="仿宋"/>
                <w:color w:val="auto"/>
                <w:sz w:val="18"/>
                <w:szCs w:val="18"/>
                <w:highlight w:val="none"/>
                <w:lang w:val="zh-CN"/>
              </w:rPr>
              <w:t>栗站</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Style w:val="247"/>
                <w:rFonts w:hint="default" w:ascii="仿宋" w:hAnsi="仿宋" w:eastAsia="仿宋" w:cs="仿宋"/>
                <w:color w:val="auto"/>
                <w:sz w:val="18"/>
                <w:szCs w:val="18"/>
                <w:highlight w:val="none"/>
                <w:lang w:val="zh-CN"/>
              </w:rPr>
              <w:t>51012213</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水塔</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51022216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1381" w:type="dxa"/>
            <w:vMerge w:val="continue"/>
            <w:shd w:val="clear" w:color="auto" w:fill="auto"/>
            <w:noWrap/>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Style w:val="247"/>
                <w:rFonts w:hint="default" w:ascii="仿宋" w:hAnsi="仿宋" w:eastAsia="仿宋" w:cs="仿宋"/>
                <w:color w:val="auto"/>
                <w:sz w:val="18"/>
                <w:szCs w:val="18"/>
                <w:highlight w:val="none"/>
                <w:lang w:val="zh-CN"/>
              </w:rPr>
              <w:t>水源井</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Style w:val="247"/>
                <w:rFonts w:hint="default" w:ascii="仿宋" w:hAnsi="仿宋" w:eastAsia="仿宋" w:cs="仿宋"/>
                <w:color w:val="auto"/>
                <w:sz w:val="18"/>
                <w:szCs w:val="18"/>
                <w:highlight w:val="none"/>
                <w:lang w:val="zh-CN"/>
              </w:rPr>
              <w:t>51012214</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水池</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51022217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1381" w:type="dxa"/>
            <w:vMerge w:val="continue"/>
            <w:shd w:val="clear" w:color="auto" w:fill="auto"/>
            <w:noWrap/>
            <w:vAlign w:val="center"/>
          </w:tcPr>
          <w:p>
            <w:pPr>
              <w:spacing w:line="360" w:lineRule="exact"/>
              <w:ind w:firstLine="420" w:firstLineChars="200"/>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Style w:val="247"/>
                <w:rFonts w:hint="default" w:ascii="仿宋" w:hAnsi="仿宋" w:eastAsia="仿宋" w:cs="仿宋"/>
                <w:color w:val="auto"/>
                <w:sz w:val="18"/>
                <w:szCs w:val="18"/>
                <w:highlight w:val="none"/>
                <w:lang w:val="zh-CN"/>
              </w:rPr>
              <w:t>原水面状要素</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Style w:val="247"/>
                <w:rFonts w:hint="default" w:ascii="仿宋" w:hAnsi="仿宋" w:eastAsia="仿宋" w:cs="仿宋"/>
                <w:color w:val="auto"/>
                <w:sz w:val="18"/>
                <w:szCs w:val="18"/>
                <w:highlight w:val="none"/>
                <w:lang w:val="zh-CN"/>
              </w:rPr>
              <w:t>51013000</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净化池</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51022218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restart"/>
            <w:shd w:val="clear" w:color="auto" w:fill="auto"/>
            <w:noWrap/>
            <w:vAlign w:val="center"/>
          </w:tcPr>
          <w:p>
            <w:pPr>
              <w:spacing w:line="360" w:lineRule="exact"/>
              <w:ind w:firstLine="361" w:firstLineChars="200"/>
              <w:rPr>
                <w:rFonts w:ascii="仿宋" w:hAnsi="仿宋" w:eastAsia="仿宋" w:cs="仿宋"/>
                <w:color w:val="auto"/>
                <w:highlight w:val="none"/>
              </w:rPr>
            </w:pPr>
            <w:r>
              <w:rPr>
                <w:rFonts w:hint="eastAsia" w:ascii="仿宋" w:hAnsi="仿宋" w:eastAsia="仿宋" w:cs="仿宋"/>
                <w:b/>
                <w:color w:val="auto"/>
                <w:kern w:val="0"/>
                <w:sz w:val="18"/>
                <w:szCs w:val="18"/>
                <w:highlight w:val="none"/>
              </w:rPr>
              <w:t>输水</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rPr>
              <w:t>输水管段</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rPr>
              <w:t>51021000</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泄气</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51022219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弯头</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51022101</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水表集</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51022220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三通</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51022102</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泵站</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51022221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四通</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51022103</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水厂出水</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51022222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变径</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51022104</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增压站出水</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51022223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预留口</w:t>
            </w: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24"/>
                <w:highlight w:val="none"/>
              </w:rPr>
            </w:pPr>
            <w:r>
              <w:rPr>
                <w:rFonts w:hint="eastAsia" w:ascii="仿宋" w:hAnsi="仿宋" w:eastAsia="仿宋" w:cs="仿宋"/>
                <w:color w:val="auto"/>
                <w:sz w:val="18"/>
                <w:szCs w:val="18"/>
                <w:highlight w:val="none"/>
                <w:shd w:val="clear" w:color="auto" w:fill="auto"/>
                <w:lang w:val="zh-CN"/>
              </w:rPr>
              <w:t>51022105</w:t>
            </w:r>
          </w:p>
        </w:tc>
        <w:tc>
          <w:tcPr>
            <w:tcW w:w="1381" w:type="dxa"/>
            <w:vMerge w:val="continue"/>
            <w:shd w:val="clear" w:color="auto" w:fill="auto"/>
            <w:noWrap/>
          </w:tcPr>
          <w:p>
            <w:pPr>
              <w:spacing w:line="360" w:lineRule="exact"/>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水源井</w:t>
            </w:r>
          </w:p>
        </w:tc>
        <w:tc>
          <w:tcPr>
            <w:tcW w:w="1383" w:type="dxa"/>
            <w:shd w:val="clear" w:color="auto" w:fill="FFFFFF"/>
            <w:noWrap/>
            <w:vAlign w:val="center"/>
          </w:tcPr>
          <w:p>
            <w:pPr>
              <w:pStyle w:val="242"/>
              <w:spacing w:before="0" w:line="360" w:lineRule="exact"/>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51022224</w:t>
            </w:r>
          </w:p>
        </w:tc>
      </w:tr>
    </w:tbl>
    <w:p>
      <w:pPr>
        <w:spacing w:after="162" w:afterLines="50"/>
        <w:ind w:firstLine="211" w:firstLineChars="100"/>
        <w:jc w:val="center"/>
        <w:rPr>
          <w:b/>
          <w:color w:val="auto"/>
          <w:highlight w:val="none"/>
        </w:rPr>
      </w:pPr>
    </w:p>
    <w:tbl>
      <w:tblPr>
        <w:tblStyle w:val="43"/>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380"/>
        <w:gridCol w:w="1381"/>
        <w:gridCol w:w="1381"/>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80"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管线小类</w:t>
            </w:r>
          </w:p>
        </w:tc>
        <w:tc>
          <w:tcPr>
            <w:tcW w:w="1380"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要素名称</w:t>
            </w:r>
          </w:p>
        </w:tc>
        <w:tc>
          <w:tcPr>
            <w:tcW w:w="1381" w:type="dxa"/>
            <w:noWrap/>
            <w:vAlign w:val="center"/>
          </w:tcPr>
          <w:p>
            <w:pPr>
              <w:tabs>
                <w:tab w:val="left" w:pos="794"/>
              </w:tabs>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c>
          <w:tcPr>
            <w:tcW w:w="1381"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管线小类</w:t>
            </w:r>
          </w:p>
        </w:tc>
        <w:tc>
          <w:tcPr>
            <w:tcW w:w="1383"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要素名称</w:t>
            </w:r>
          </w:p>
        </w:tc>
        <w:tc>
          <w:tcPr>
            <w:tcW w:w="1383"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80" w:type="dxa"/>
            <w:shd w:val="clear" w:color="auto" w:fill="auto"/>
            <w:noWrap/>
            <w:vAlign w:val="center"/>
          </w:tcPr>
          <w:p>
            <w:pPr>
              <w:ind w:firstLine="361" w:firstLineChars="200"/>
              <w:rPr>
                <w:rFonts w:ascii="仿宋" w:hAnsi="仿宋" w:eastAsia="仿宋" w:cs="仿宋"/>
                <w:color w:val="auto"/>
                <w:sz w:val="10"/>
                <w:szCs w:val="10"/>
                <w:highlight w:val="none"/>
              </w:rPr>
            </w:pPr>
            <w:r>
              <w:rPr>
                <w:rFonts w:hint="eastAsia" w:ascii="仿宋" w:hAnsi="仿宋" w:eastAsia="仿宋" w:cs="仿宋"/>
                <w:b/>
                <w:color w:val="auto"/>
                <w:kern w:val="0"/>
                <w:sz w:val="18"/>
                <w:szCs w:val="18"/>
                <w:highlight w:val="none"/>
              </w:rPr>
              <w:t>输水</w:t>
            </w: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输水面状要素</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51023000</w:t>
            </w:r>
          </w:p>
        </w:tc>
        <w:tc>
          <w:tcPr>
            <w:tcW w:w="1381" w:type="dxa"/>
            <w:vMerge w:val="restart"/>
            <w:shd w:val="clear" w:color="auto" w:fill="auto"/>
            <w:noWrap/>
          </w:tcPr>
          <w:p>
            <w:pPr>
              <w:jc w:val="center"/>
              <w:rPr>
                <w:rFonts w:ascii="仿宋" w:hAnsi="仿宋" w:eastAsia="仿宋" w:cs="仿宋"/>
                <w:color w:val="auto"/>
                <w:highlight w:val="none"/>
              </w:rPr>
            </w:pPr>
            <w:r>
              <w:rPr>
                <w:rFonts w:hint="eastAsia" w:ascii="仿宋" w:hAnsi="仿宋" w:eastAsia="仿宋" w:cs="仿宋"/>
                <w:b/>
                <w:color w:val="auto"/>
                <w:kern w:val="0"/>
                <w:sz w:val="18"/>
                <w:szCs w:val="18"/>
                <w:highlight w:val="none"/>
              </w:rPr>
              <w:t>中水</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化粪池</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restart"/>
            <w:shd w:val="clear" w:color="auto" w:fill="auto"/>
            <w:noWrap/>
            <w:vAlign w:val="center"/>
          </w:tcPr>
          <w:p>
            <w:pPr>
              <w:ind w:firstLine="452" w:firstLineChars="250"/>
              <w:rPr>
                <w:rFonts w:ascii="仿宋" w:hAnsi="仿宋" w:eastAsia="仿宋" w:cs="仿宋"/>
                <w:color w:val="auto"/>
                <w:highlight w:val="none"/>
              </w:rPr>
            </w:pPr>
            <w:r>
              <w:rPr>
                <w:rFonts w:hint="eastAsia" w:ascii="仿宋" w:hAnsi="仿宋" w:eastAsia="仿宋" w:cs="仿宋"/>
                <w:b/>
                <w:color w:val="auto"/>
                <w:kern w:val="0"/>
                <w:sz w:val="18"/>
                <w:szCs w:val="18"/>
                <w:highlight w:val="none"/>
              </w:rPr>
              <w:t>中水</w:t>
            </w: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中水管段</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51031000</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中水面状要素</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弯头</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51032101</w:t>
            </w:r>
          </w:p>
        </w:tc>
        <w:tc>
          <w:tcPr>
            <w:tcW w:w="1381" w:type="dxa"/>
            <w:vMerge w:val="restart"/>
            <w:shd w:val="clear" w:color="auto" w:fill="auto"/>
            <w:noWrap/>
            <w:vAlign w:val="center"/>
          </w:tcPr>
          <w:p>
            <w:pPr>
              <w:jc w:val="center"/>
              <w:rPr>
                <w:rFonts w:ascii="仿宋" w:hAnsi="仿宋" w:eastAsia="仿宋" w:cs="仿宋"/>
                <w:color w:val="auto"/>
                <w:highlight w:val="none"/>
              </w:rPr>
            </w:pPr>
            <w:r>
              <w:rPr>
                <w:rFonts w:hint="eastAsia" w:ascii="仿宋" w:hAnsi="仿宋" w:eastAsia="仿宋" w:cs="仿宋"/>
                <w:b/>
                <w:color w:val="auto"/>
                <w:kern w:val="0"/>
                <w:sz w:val="18"/>
                <w:szCs w:val="18"/>
                <w:highlight w:val="none"/>
              </w:rPr>
              <w:t>配水</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配水管段</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三通</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51032102</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弯头</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四通</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51032103</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三通</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变径</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51032104</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四通</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预留口</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51032105</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变径</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进水口</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51032106</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预留口</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出水口</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51032107</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进水口</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测流点</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51032108</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出水口</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测压点</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51032109</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测流点</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水质监测点</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51032110</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测压点</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bottom"/>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伸缩器</w:t>
            </w:r>
          </w:p>
        </w:tc>
        <w:tc>
          <w:tcPr>
            <w:tcW w:w="1381" w:type="dxa"/>
            <w:shd w:val="clear" w:color="auto" w:fill="FFFFFF"/>
            <w:noWrap/>
            <w:vAlign w:val="bottom"/>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51032111</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水质监测点</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出地</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51032112</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伸缩器</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盖堵</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rPr>
              <w:t>51032113</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出地</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非普查</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51032114</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盖堵</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窨井</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51032201</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非普查</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消防栓</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51032202</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窨井</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阀门</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51032203</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消防栓</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水表</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51032204</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消防井</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污水井</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51032205</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阀门</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雨水井</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51032206</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阀门井</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污箅</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51032207</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阀门孔</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雨箅</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51032208</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水表</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溢流井</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51032209</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水表井</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闸门井</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51032210</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排气阀</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跌水井</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51032211</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排污阀</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通风井</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51032212</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沉淀池</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冲洗井</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51032213</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水塔</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沉泥井</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51032214</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水池</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渗水井</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51032215</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净化池</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vAlign w:val="center"/>
          </w:tcPr>
          <w:p>
            <w:pPr>
              <w:jc w:val="center"/>
              <w:rPr>
                <w:rFonts w:ascii="仿宋" w:hAnsi="仿宋" w:eastAsia="仿宋" w:cs="仿宋"/>
                <w:color w:val="auto"/>
                <w:highlight w:val="none"/>
              </w:rPr>
            </w:pPr>
          </w:p>
        </w:tc>
        <w:tc>
          <w:tcPr>
            <w:tcW w:w="1380" w:type="dxa"/>
            <w:shd w:val="clear" w:color="auto" w:fill="auto"/>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出气井</w:t>
            </w:r>
          </w:p>
        </w:tc>
        <w:tc>
          <w:tcPr>
            <w:tcW w:w="1381" w:type="dxa"/>
            <w:shd w:val="clear" w:color="auto" w:fill="auto"/>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51032216</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泵站</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水封井</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51032217</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水源井</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沉淀池</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51032218</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配水面状要素</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51043000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水塔</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51032219</w:t>
            </w:r>
          </w:p>
        </w:tc>
        <w:tc>
          <w:tcPr>
            <w:tcW w:w="1381" w:type="dxa"/>
            <w:vMerge w:val="restart"/>
            <w:shd w:val="clear" w:color="auto" w:fill="auto"/>
            <w:noWrap/>
            <w:vAlign w:val="center"/>
          </w:tcPr>
          <w:p>
            <w:pPr>
              <w:ind w:firstLine="271" w:firstLineChars="150"/>
              <w:jc w:val="center"/>
              <w:rPr>
                <w:rFonts w:ascii="仿宋" w:hAnsi="仿宋" w:eastAsia="仿宋" w:cs="仿宋"/>
                <w:color w:val="auto"/>
                <w:highlight w:val="none"/>
              </w:rPr>
            </w:pPr>
            <w:r>
              <w:rPr>
                <w:rFonts w:hint="eastAsia" w:ascii="仿宋" w:hAnsi="仿宋" w:eastAsia="仿宋" w:cs="仿宋"/>
                <w:b/>
                <w:color w:val="auto"/>
                <w:kern w:val="0"/>
                <w:sz w:val="18"/>
                <w:szCs w:val="18"/>
                <w:highlight w:val="none"/>
              </w:rPr>
              <w:t>直饮水</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直饮水管段</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51051000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水池</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51032220</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弯头</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51052101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净化池</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51032221</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三通</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51052102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0" w:type="dxa"/>
            <w:shd w:val="clear" w:color="auto" w:fill="FFFFFF"/>
            <w:noWrap/>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排水泵站</w:t>
            </w:r>
          </w:p>
        </w:tc>
        <w:tc>
          <w:tcPr>
            <w:tcW w:w="1381" w:type="dxa"/>
            <w:shd w:val="clear" w:color="auto" w:fill="FFFFFF"/>
            <w:noWrap/>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51032222</w:t>
            </w:r>
          </w:p>
        </w:tc>
        <w:tc>
          <w:tcPr>
            <w:tcW w:w="1381" w:type="dxa"/>
            <w:vMerge w:val="continue"/>
            <w:shd w:val="clear" w:color="auto" w:fill="auto"/>
            <w:noWrap/>
          </w:tcPr>
          <w:p>
            <w:pPr>
              <w:jc w:val="center"/>
              <w:rPr>
                <w:rFonts w:ascii="仿宋" w:hAnsi="仿宋" w:eastAsia="仿宋" w:cs="仿宋"/>
                <w:color w:val="auto"/>
                <w:highlight w:val="none"/>
              </w:rPr>
            </w:pP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四通</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rPr>
            </w:pPr>
            <w:r>
              <w:rPr>
                <w:rFonts w:hint="eastAsia" w:ascii="仿宋" w:hAnsi="仿宋" w:eastAsia="仿宋" w:cs="仿宋"/>
                <w:color w:val="auto"/>
                <w:sz w:val="18"/>
                <w:szCs w:val="18"/>
                <w:highlight w:val="none"/>
                <w:shd w:val="clear" w:color="auto" w:fill="auto"/>
              </w:rPr>
              <w:t>51052103</w:t>
            </w:r>
          </w:p>
        </w:tc>
      </w:tr>
    </w:tbl>
    <w:p>
      <w:pPr>
        <w:pStyle w:val="2"/>
        <w:rPr>
          <w:color w:val="auto"/>
          <w:highlight w:val="none"/>
        </w:rPr>
      </w:pPr>
    </w:p>
    <w:tbl>
      <w:tblPr>
        <w:tblStyle w:val="43"/>
        <w:tblW w:w="8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487"/>
        <w:gridCol w:w="1381"/>
        <w:gridCol w:w="1238"/>
        <w:gridCol w:w="1606"/>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75"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管线小类</w:t>
            </w:r>
          </w:p>
        </w:tc>
        <w:tc>
          <w:tcPr>
            <w:tcW w:w="1487"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要素名称</w:t>
            </w:r>
          </w:p>
        </w:tc>
        <w:tc>
          <w:tcPr>
            <w:tcW w:w="1381" w:type="dxa"/>
            <w:noWrap/>
            <w:vAlign w:val="center"/>
          </w:tcPr>
          <w:p>
            <w:pPr>
              <w:tabs>
                <w:tab w:val="left" w:pos="794"/>
              </w:tabs>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c>
          <w:tcPr>
            <w:tcW w:w="1238"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管线小类</w:t>
            </w:r>
          </w:p>
        </w:tc>
        <w:tc>
          <w:tcPr>
            <w:tcW w:w="1606"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要素名称</w:t>
            </w:r>
          </w:p>
        </w:tc>
        <w:tc>
          <w:tcPr>
            <w:tcW w:w="1188"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restart"/>
            <w:shd w:val="clear" w:color="auto" w:fill="auto"/>
            <w:noWrap/>
            <w:vAlign w:val="center"/>
          </w:tcPr>
          <w:p>
            <w:pPr>
              <w:widowControl/>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直饮水</w:t>
            </w:r>
          </w:p>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变径</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51052104</w:t>
            </w:r>
          </w:p>
        </w:tc>
        <w:tc>
          <w:tcPr>
            <w:tcW w:w="1238" w:type="dxa"/>
            <w:vMerge w:val="restart"/>
            <w:shd w:val="clear" w:color="auto" w:fill="auto"/>
            <w:noWrap/>
            <w:vAlign w:val="center"/>
          </w:tcPr>
          <w:p>
            <w:pPr>
              <w:widowControl/>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消防水</w:t>
            </w:r>
          </w:p>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测压点</w:t>
            </w:r>
          </w:p>
        </w:tc>
        <w:tc>
          <w:tcPr>
            <w:tcW w:w="1188"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51062109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预留口</w:t>
            </w:r>
          </w:p>
        </w:tc>
        <w:tc>
          <w:tcPr>
            <w:tcW w:w="1381" w:type="dxa"/>
            <w:shd w:val="clear" w:color="auto" w:fill="FFFFFF"/>
            <w:noWrap/>
          </w:tcPr>
          <w:p>
            <w:pPr>
              <w:pStyle w:val="242"/>
              <w:spacing w:before="0" w:line="240" w:lineRule="auto"/>
              <w:ind w:firstLine="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51052105</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水质监测点</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进水口</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51052106</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伸缩器</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出水口</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51052107</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出地</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测流点</w:t>
            </w:r>
          </w:p>
        </w:tc>
        <w:tc>
          <w:tcPr>
            <w:tcW w:w="1381" w:type="dxa"/>
            <w:shd w:val="clear" w:color="auto" w:fill="FFFFFF"/>
            <w:noWrap/>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51052108</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盖堵</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测压点</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51052109</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水质监测点</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51052110</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窨井</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bottom"/>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伸缩器</w:t>
            </w:r>
          </w:p>
        </w:tc>
        <w:tc>
          <w:tcPr>
            <w:tcW w:w="1381" w:type="dxa"/>
            <w:shd w:val="clear" w:color="auto" w:fill="FFFFFF"/>
            <w:noWrap/>
            <w:vAlign w:val="bottom"/>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51052111</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消防栓</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出地</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51052112</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消防井</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盖堵</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51052113</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51052114</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阀门井</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窨井</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51052201</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阀门孔</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消防栓</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51052202</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水表</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消防井</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51052203</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水表井</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bottom"/>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阀门</w:t>
            </w:r>
          </w:p>
        </w:tc>
        <w:tc>
          <w:tcPr>
            <w:tcW w:w="1381" w:type="dxa"/>
            <w:shd w:val="clear" w:color="auto" w:fill="FFFFFF"/>
            <w:noWrap/>
            <w:vAlign w:val="bottom"/>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51052204</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排气阀</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阀门井</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51052205</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排污阀</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阀门孔</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51052206</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沉淀池</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bottom"/>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水表</w:t>
            </w:r>
          </w:p>
        </w:tc>
        <w:tc>
          <w:tcPr>
            <w:tcW w:w="1381" w:type="dxa"/>
            <w:shd w:val="clear" w:color="auto" w:fill="FFFFFF"/>
            <w:noWrap/>
            <w:vAlign w:val="bottom"/>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51052207</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水塔</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水表井</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51052208</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水池</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排水阀</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51052209</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净化池</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排污阀</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51052210</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泵站</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沉淀池</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51052211</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水源井</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水塔</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51052212</w:t>
            </w:r>
          </w:p>
        </w:tc>
        <w:tc>
          <w:tcPr>
            <w:tcW w:w="1238" w:type="dxa"/>
            <w:vMerge w:val="continue"/>
            <w:shd w:val="clear" w:color="auto" w:fill="auto"/>
            <w:noWrap/>
            <w:vAlign w:val="center"/>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消防水面状要素</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51063000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水池</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51052213</w:t>
            </w:r>
          </w:p>
        </w:tc>
        <w:tc>
          <w:tcPr>
            <w:tcW w:w="1238" w:type="dxa"/>
            <w:vMerge w:val="restart"/>
            <w:shd w:val="clear" w:color="auto" w:fill="auto"/>
            <w:noWrap/>
            <w:vAlign w:val="center"/>
          </w:tcPr>
          <w:p>
            <w:pPr>
              <w:widowControl/>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绿化水</w:t>
            </w:r>
          </w:p>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绿化水管段</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净化池</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51052214</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泵站</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51052215</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水源井</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51052216</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沉淀池</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51052217</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直饮水面状要素</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51053000</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restart"/>
            <w:shd w:val="clear" w:color="auto" w:fill="auto"/>
            <w:noWrap/>
            <w:vAlign w:val="center"/>
          </w:tcPr>
          <w:p>
            <w:pPr>
              <w:widowControl/>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消防水</w:t>
            </w:r>
          </w:p>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消防水管段</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51061000</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进水口</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弯头</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51062101</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出水口</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三通</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51062102</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测流点</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四通</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51062103</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测压点</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vAlign w:val="center"/>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变径</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51062104</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水质监测点</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预留口</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51062105</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伸缩器</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进水口</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51062106</w:t>
            </w:r>
          </w:p>
        </w:tc>
        <w:tc>
          <w:tcPr>
            <w:tcW w:w="1238" w:type="dxa"/>
            <w:vMerge w:val="continue"/>
            <w:shd w:val="clear" w:color="auto" w:fill="auto"/>
            <w:noWrap/>
            <w:vAlign w:val="center"/>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出地</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出水口</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51062107</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盖堵</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75" w:type="dxa"/>
            <w:vMerge w:val="continue"/>
            <w:shd w:val="clear" w:color="auto" w:fill="auto"/>
            <w:noWrap/>
          </w:tcPr>
          <w:p>
            <w:pPr>
              <w:jc w:val="center"/>
              <w:rPr>
                <w:rFonts w:ascii="仿宋" w:hAnsi="仿宋" w:eastAsia="仿宋" w:cs="仿宋"/>
                <w:color w:val="auto"/>
                <w:highlight w:val="none"/>
              </w:rPr>
            </w:pPr>
          </w:p>
        </w:tc>
        <w:tc>
          <w:tcPr>
            <w:tcW w:w="1487"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测流点</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51062108</w:t>
            </w:r>
          </w:p>
        </w:tc>
        <w:tc>
          <w:tcPr>
            <w:tcW w:w="1238" w:type="dxa"/>
            <w:vMerge w:val="continue"/>
            <w:shd w:val="clear" w:color="auto" w:fill="auto"/>
            <w:noWrap/>
          </w:tcPr>
          <w:p>
            <w:pPr>
              <w:jc w:val="center"/>
              <w:rPr>
                <w:rFonts w:ascii="仿宋" w:hAnsi="仿宋" w:eastAsia="仿宋" w:cs="仿宋"/>
                <w:color w:val="auto"/>
                <w:highlight w:val="none"/>
              </w:rPr>
            </w:pPr>
          </w:p>
        </w:tc>
        <w:tc>
          <w:tcPr>
            <w:tcW w:w="160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18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51072114</w:t>
            </w:r>
          </w:p>
        </w:tc>
      </w:tr>
    </w:tbl>
    <w:p>
      <w:pPr>
        <w:spacing w:after="162" w:afterLines="50"/>
        <w:ind w:firstLine="211" w:firstLineChars="100"/>
        <w:jc w:val="center"/>
        <w:rPr>
          <w:b/>
          <w:color w:val="auto"/>
          <w:highlight w:val="none"/>
        </w:rPr>
      </w:pPr>
    </w:p>
    <w:p>
      <w:pPr>
        <w:pStyle w:val="2"/>
        <w:jc w:val="center"/>
        <w:rPr>
          <w:color w:val="auto"/>
          <w:highlight w:val="none"/>
        </w:rPr>
      </w:pPr>
    </w:p>
    <w:tbl>
      <w:tblPr>
        <w:tblStyle w:val="43"/>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512"/>
        <w:gridCol w:w="1381"/>
        <w:gridCol w:w="1244"/>
        <w:gridCol w:w="1518"/>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50"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管线小类</w:t>
            </w:r>
          </w:p>
        </w:tc>
        <w:tc>
          <w:tcPr>
            <w:tcW w:w="1512"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要素名称</w:t>
            </w:r>
          </w:p>
        </w:tc>
        <w:tc>
          <w:tcPr>
            <w:tcW w:w="1381" w:type="dxa"/>
            <w:noWrap/>
            <w:vAlign w:val="center"/>
          </w:tcPr>
          <w:p>
            <w:pPr>
              <w:tabs>
                <w:tab w:val="left" w:pos="794"/>
              </w:tabs>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c>
          <w:tcPr>
            <w:tcW w:w="1244"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管线小类</w:t>
            </w:r>
          </w:p>
        </w:tc>
        <w:tc>
          <w:tcPr>
            <w:tcW w:w="1518"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要素名称</w:t>
            </w:r>
          </w:p>
        </w:tc>
        <w:tc>
          <w:tcPr>
            <w:tcW w:w="1383"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restart"/>
            <w:shd w:val="clear" w:color="auto" w:fill="auto"/>
            <w:noWrap/>
            <w:vAlign w:val="center"/>
          </w:tcPr>
          <w:p>
            <w:pPr>
              <w:widowControl/>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绿化水</w:t>
            </w:r>
          </w:p>
          <w:p>
            <w:pPr>
              <w:jc w:val="center"/>
              <w:rPr>
                <w:rFonts w:ascii="仿宋" w:hAnsi="仿宋" w:eastAsia="仿宋" w:cs="仿宋"/>
                <w:color w:val="auto"/>
                <w:highlight w:val="none"/>
              </w:rPr>
            </w:pPr>
          </w:p>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窨井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51072201</w:t>
            </w:r>
          </w:p>
        </w:tc>
        <w:tc>
          <w:tcPr>
            <w:tcW w:w="1244" w:type="dxa"/>
            <w:vMerge w:val="restart"/>
            <w:shd w:val="clear" w:color="auto" w:fill="auto"/>
            <w:noWrap/>
            <w:vAlign w:val="center"/>
          </w:tcPr>
          <w:p>
            <w:pPr>
              <w:jc w:val="center"/>
              <w:rPr>
                <w:rFonts w:ascii="仿宋" w:hAnsi="仿宋" w:eastAsia="仿宋" w:cs="仿宋"/>
                <w:b/>
                <w:color w:val="auto"/>
                <w:kern w:val="0"/>
                <w:sz w:val="18"/>
                <w:szCs w:val="18"/>
                <w:highlight w:val="none"/>
                <w:lang w:val="zh-CN"/>
              </w:rPr>
            </w:pPr>
            <w:r>
              <w:rPr>
                <w:rFonts w:hint="eastAsia" w:ascii="仿宋" w:hAnsi="仿宋" w:eastAsia="仿宋" w:cs="仿宋"/>
                <w:b/>
                <w:color w:val="auto"/>
                <w:kern w:val="0"/>
                <w:sz w:val="18"/>
                <w:szCs w:val="18"/>
                <w:highlight w:val="none"/>
                <w:lang w:val="zh-CN"/>
              </w:rPr>
              <w:t>循环水</w:t>
            </w:r>
          </w:p>
          <w:p>
            <w:pPr>
              <w:jc w:val="center"/>
              <w:rPr>
                <w:rFonts w:ascii="仿宋" w:hAnsi="仿宋" w:eastAsia="仿宋" w:cs="仿宋"/>
                <w:color w:val="auto"/>
                <w:highlight w:val="none"/>
              </w:rPr>
            </w:pPr>
          </w:p>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消防栓</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消防栓</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51072202</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51072203</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51072204</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污水井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污水井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51072205</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雨水井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雨水井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51072206</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污箅</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污箅</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51072207</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雨箅</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雨箅</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51072208</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溢流井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溢流井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51072209</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闸门井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闸门井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51072210</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跌水井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跌水井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51072211</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通风井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通风井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51072212</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冲洗井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冲洗井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51072213</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沉泥井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沉泥井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51072214</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渗水井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渗水井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51072215</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出气井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出气井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51072216</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水封井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水封井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51072217</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沉淀池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沉淀池</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51072218</w:t>
            </w:r>
          </w:p>
        </w:tc>
        <w:tc>
          <w:tcPr>
            <w:tcW w:w="1244" w:type="dxa"/>
            <w:vMerge w:val="continue"/>
            <w:shd w:val="clear" w:color="auto" w:fill="auto"/>
            <w:noWrap/>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水塔</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vAlign w:val="center"/>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水塔</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51072219</w:t>
            </w:r>
          </w:p>
        </w:tc>
        <w:tc>
          <w:tcPr>
            <w:tcW w:w="1244" w:type="dxa"/>
            <w:vMerge w:val="continue"/>
            <w:shd w:val="clear" w:color="auto" w:fill="auto"/>
            <w:noWrap/>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水池</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51072220</w:t>
            </w:r>
          </w:p>
        </w:tc>
        <w:tc>
          <w:tcPr>
            <w:tcW w:w="1244" w:type="dxa"/>
            <w:vMerge w:val="continue"/>
            <w:shd w:val="clear" w:color="auto" w:fill="auto"/>
            <w:noWrap/>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净化池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净化池</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51072221</w:t>
            </w:r>
          </w:p>
        </w:tc>
        <w:tc>
          <w:tcPr>
            <w:tcW w:w="1244" w:type="dxa"/>
            <w:vMerge w:val="continue"/>
            <w:shd w:val="clear" w:color="auto" w:fill="auto"/>
            <w:noWrap/>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排水泵站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排水泵站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51072222</w:t>
            </w:r>
          </w:p>
        </w:tc>
        <w:tc>
          <w:tcPr>
            <w:tcW w:w="1244" w:type="dxa"/>
            <w:vMerge w:val="continue"/>
            <w:shd w:val="clear" w:color="auto" w:fill="auto"/>
            <w:noWrap/>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化粪池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vAlign w:val="center"/>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化粪池</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51072223</w:t>
            </w:r>
          </w:p>
        </w:tc>
        <w:tc>
          <w:tcPr>
            <w:tcW w:w="1244" w:type="dxa"/>
            <w:vMerge w:val="continue"/>
            <w:shd w:val="clear" w:color="auto" w:fill="auto"/>
            <w:noWrap/>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循环水面状要素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绿化水面状要素</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51073000</w:t>
            </w:r>
          </w:p>
        </w:tc>
        <w:tc>
          <w:tcPr>
            <w:tcW w:w="1244" w:type="dxa"/>
            <w:vMerge w:val="restart"/>
            <w:shd w:val="clear" w:color="auto" w:fill="auto"/>
            <w:noWrap/>
            <w:vAlign w:val="center"/>
          </w:tcPr>
          <w:p>
            <w:pPr>
              <w:widowControl/>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长途</w:t>
            </w:r>
          </w:p>
          <w:p>
            <w:pPr>
              <w:widowControl/>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输水管线</w:t>
            </w:r>
          </w:p>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shd w:val="clear" w:color="auto" w:fill="auto"/>
                <w:lang w:val="zh-CN"/>
              </w:rPr>
              <w:t>长途输水管段</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shd w:val="clear" w:color="auto" w:fill="auto"/>
                <w:lang w:val="zh-CN"/>
              </w:rPr>
              <w:t>51091000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restart"/>
            <w:shd w:val="clear" w:color="auto" w:fill="auto"/>
            <w:noWrap/>
            <w:vAlign w:val="center"/>
          </w:tcPr>
          <w:p>
            <w:pPr>
              <w:jc w:val="center"/>
              <w:rPr>
                <w:rFonts w:ascii="仿宋" w:hAnsi="仿宋" w:eastAsia="仿宋" w:cs="仿宋"/>
                <w:b/>
                <w:color w:val="auto"/>
                <w:kern w:val="0"/>
                <w:sz w:val="18"/>
                <w:szCs w:val="18"/>
                <w:highlight w:val="none"/>
                <w:lang w:val="zh-CN"/>
              </w:rPr>
            </w:pPr>
            <w:r>
              <w:rPr>
                <w:rFonts w:hint="eastAsia" w:ascii="仿宋" w:hAnsi="仿宋" w:eastAsia="仿宋" w:cs="仿宋"/>
                <w:b/>
                <w:color w:val="auto"/>
                <w:kern w:val="0"/>
                <w:sz w:val="18"/>
                <w:szCs w:val="18"/>
                <w:highlight w:val="none"/>
                <w:lang w:val="zh-CN"/>
              </w:rPr>
              <w:t>循环水</w:t>
            </w:r>
          </w:p>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循环水管段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51081000</w:t>
            </w:r>
          </w:p>
        </w:tc>
        <w:tc>
          <w:tcPr>
            <w:tcW w:w="1244" w:type="dxa"/>
            <w:vMerge w:val="continue"/>
            <w:shd w:val="clear" w:color="auto" w:fill="auto"/>
            <w:noWrap/>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shd w:val="clear" w:color="auto" w:fill="auto"/>
                <w:lang w:val="zh-CN"/>
              </w:rPr>
              <w:t>弯头</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shd w:val="clear" w:color="auto" w:fill="auto"/>
                <w:lang w:val="zh-CN"/>
              </w:rPr>
              <w:t>51092101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51082101</w:t>
            </w:r>
          </w:p>
        </w:tc>
        <w:tc>
          <w:tcPr>
            <w:tcW w:w="1244" w:type="dxa"/>
            <w:vMerge w:val="continue"/>
            <w:shd w:val="clear" w:color="auto" w:fill="auto"/>
            <w:noWrap/>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shd w:val="clear" w:color="auto" w:fill="auto"/>
                <w:lang w:val="zh-CN"/>
              </w:rPr>
              <w:t>三通</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shd w:val="clear" w:color="auto" w:fill="auto"/>
                <w:lang w:val="zh-CN"/>
              </w:rPr>
              <w:t>51092102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51082102</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shd w:val="clear" w:color="auto" w:fill="auto"/>
                <w:lang w:val="zh-CN"/>
              </w:rPr>
              <w:t>四通</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shd w:val="clear" w:color="auto" w:fill="auto"/>
                <w:lang w:val="zh-CN"/>
              </w:rPr>
              <w:t>51092103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51082103</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shd w:val="clear" w:color="auto" w:fill="auto"/>
                <w:lang w:val="zh-CN"/>
              </w:rPr>
              <w:t>变径</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shd w:val="clear" w:color="auto" w:fill="auto"/>
                <w:lang w:val="zh-CN"/>
              </w:rPr>
              <w:t>51092104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51082104</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shd w:val="clear" w:color="auto" w:fill="auto"/>
                <w:lang w:val="zh-CN"/>
              </w:rPr>
              <w:t>预留口</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shd w:val="clear" w:color="auto" w:fill="auto"/>
                <w:lang w:val="zh-CN"/>
              </w:rPr>
              <w:t>51092105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51082105</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进水口</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51092106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进水口</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51082106</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出水口</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51092107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出水口</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51082107</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测流点</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51092108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测流点</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51082108</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测压点</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水质监测点</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51082110</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水质监测点</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伸缩器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51082111</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伸缩器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出地</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51082112</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停止塞</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51082113</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变材</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51092113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窨井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51082201</w:t>
            </w:r>
          </w:p>
        </w:tc>
        <w:tc>
          <w:tcPr>
            <w:tcW w:w="1244" w:type="dxa"/>
            <w:vMerge w:val="continue"/>
            <w:shd w:val="clear" w:color="auto" w:fill="auto"/>
            <w:noWrap/>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转折点</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51092114</w:t>
            </w:r>
          </w:p>
        </w:tc>
      </w:tr>
    </w:tbl>
    <w:p>
      <w:pPr>
        <w:pStyle w:val="2"/>
        <w:ind w:right="420"/>
        <w:jc w:val="center"/>
        <w:rPr>
          <w:color w:val="auto"/>
          <w:highlight w:val="none"/>
        </w:rPr>
      </w:pPr>
    </w:p>
    <w:tbl>
      <w:tblPr>
        <w:tblStyle w:val="43"/>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512"/>
        <w:gridCol w:w="1381"/>
        <w:gridCol w:w="1244"/>
        <w:gridCol w:w="1518"/>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50"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管线小类</w:t>
            </w:r>
          </w:p>
        </w:tc>
        <w:tc>
          <w:tcPr>
            <w:tcW w:w="1512"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要素名称</w:t>
            </w:r>
          </w:p>
        </w:tc>
        <w:tc>
          <w:tcPr>
            <w:tcW w:w="1381" w:type="dxa"/>
            <w:noWrap/>
            <w:vAlign w:val="center"/>
          </w:tcPr>
          <w:p>
            <w:pPr>
              <w:tabs>
                <w:tab w:val="left" w:pos="794"/>
              </w:tabs>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c>
          <w:tcPr>
            <w:tcW w:w="1244"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管线小类</w:t>
            </w:r>
          </w:p>
        </w:tc>
        <w:tc>
          <w:tcPr>
            <w:tcW w:w="1518"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要素名称</w:t>
            </w:r>
          </w:p>
        </w:tc>
        <w:tc>
          <w:tcPr>
            <w:tcW w:w="1383"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restart"/>
            <w:shd w:val="clear" w:color="auto" w:fill="auto"/>
            <w:noWrap/>
            <w:vAlign w:val="center"/>
          </w:tcPr>
          <w:p>
            <w:pPr>
              <w:widowControl/>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长途</w:t>
            </w:r>
          </w:p>
          <w:p>
            <w:pPr>
              <w:widowControl/>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输水管线</w:t>
            </w:r>
          </w:p>
          <w:p>
            <w:pPr>
              <w:jc w:val="center"/>
              <w:rPr>
                <w:rFonts w:ascii="仿宋" w:hAnsi="仿宋" w:eastAsia="仿宋" w:cs="仿宋"/>
                <w:color w:val="auto"/>
                <w:highlight w:val="none"/>
              </w:rPr>
            </w:pPr>
          </w:p>
        </w:tc>
        <w:tc>
          <w:tcPr>
            <w:tcW w:w="1512" w:type="dxa"/>
            <w:shd w:val="clear" w:color="auto" w:fill="FFFFFF"/>
            <w:noWrap/>
            <w:vAlign w:val="bottom"/>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出地</w:t>
            </w:r>
          </w:p>
        </w:tc>
        <w:tc>
          <w:tcPr>
            <w:tcW w:w="1381" w:type="dxa"/>
            <w:shd w:val="clear" w:color="auto" w:fill="FFFFFF"/>
            <w:noWrap/>
            <w:vAlign w:val="bottom"/>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51092115</w:t>
            </w:r>
          </w:p>
        </w:tc>
        <w:tc>
          <w:tcPr>
            <w:tcW w:w="1244" w:type="dxa"/>
            <w:vMerge w:val="restart"/>
            <w:shd w:val="clear" w:color="auto" w:fill="auto"/>
            <w:noWrap/>
            <w:vAlign w:val="center"/>
          </w:tcPr>
          <w:p>
            <w:pPr>
              <w:widowControl/>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长途</w:t>
            </w:r>
          </w:p>
          <w:p>
            <w:pPr>
              <w:widowControl/>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输水管线</w:t>
            </w:r>
          </w:p>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排气阀</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51092213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盖堵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51092116</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排污阀</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51092117</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沉淀池</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51092215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窨井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51092201</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水塔</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bottom"/>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消防栓</w:t>
            </w:r>
          </w:p>
        </w:tc>
        <w:tc>
          <w:tcPr>
            <w:tcW w:w="1381" w:type="dxa"/>
            <w:shd w:val="clear" w:color="auto" w:fill="FFFFFF"/>
            <w:noWrap/>
            <w:vAlign w:val="bottom"/>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51092202</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水池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阀门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51092203</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净化池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阀门井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51092204</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泄气</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阀门孔</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51092205</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水表集</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水表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51092206</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泵站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水表井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51092207</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水厂出水</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51092222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bottom"/>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地下消防栓</w:t>
            </w:r>
          </w:p>
        </w:tc>
        <w:tc>
          <w:tcPr>
            <w:tcW w:w="1381" w:type="dxa"/>
            <w:shd w:val="clear" w:color="auto" w:fill="FFFFFF"/>
            <w:noWrap/>
            <w:vAlign w:val="bottom"/>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51092208</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增压站出水</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51092223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消防井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51092209</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水源井</w:t>
            </w:r>
          </w:p>
        </w:tc>
        <w:tc>
          <w:tcPr>
            <w:tcW w:w="1383"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51092224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消防栓</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51092210</w:t>
            </w:r>
          </w:p>
        </w:tc>
        <w:tc>
          <w:tcPr>
            <w:tcW w:w="1244" w:type="dxa"/>
            <w:vMerge w:val="continue"/>
            <w:shd w:val="clear" w:color="auto" w:fill="auto"/>
            <w:noWrap/>
            <w:vAlign w:val="center"/>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输水面状要素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shd w:val="clear" w:color="auto" w:fill="auto"/>
                <w:lang w:val="zh-CN"/>
              </w:rPr>
              <w:t>51093000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带阀泄气</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51092211</w:t>
            </w:r>
          </w:p>
        </w:tc>
        <w:tc>
          <w:tcPr>
            <w:tcW w:w="1244" w:type="dxa"/>
            <w:vMerge w:val="continue"/>
            <w:shd w:val="clear" w:color="auto" w:fill="auto"/>
            <w:noWrap/>
          </w:tcPr>
          <w:p>
            <w:pPr>
              <w:jc w:val="center"/>
              <w:rPr>
                <w:rFonts w:ascii="仿宋" w:hAnsi="仿宋" w:eastAsia="仿宋" w:cs="仿宋"/>
                <w:color w:val="auto"/>
                <w:highlight w:val="none"/>
              </w:rPr>
            </w:pP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止回阀</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shd w:val="clear" w:color="auto" w:fill="auto"/>
                <w:lang w:val="zh-CN"/>
              </w:rPr>
            </w:pPr>
            <w:r>
              <w:rPr>
                <w:rFonts w:hint="eastAsia" w:ascii="仿宋" w:hAnsi="仿宋" w:eastAsia="仿宋" w:cs="仿宋"/>
                <w:color w:val="auto"/>
                <w:sz w:val="18"/>
                <w:szCs w:val="18"/>
                <w:highlight w:val="none"/>
                <w:shd w:val="clear" w:color="auto" w:fill="auto"/>
                <w:lang w:val="zh-CN"/>
              </w:rPr>
              <w:t>51092212</w:t>
            </w:r>
          </w:p>
        </w:tc>
        <w:tc>
          <w:tcPr>
            <w:tcW w:w="1244" w:type="dxa"/>
            <w:shd w:val="clear" w:color="auto" w:fill="auto"/>
            <w:noWrap/>
          </w:tcPr>
          <w:p>
            <w:pPr>
              <w:jc w:val="center"/>
              <w:rPr>
                <w:rFonts w:ascii="仿宋" w:hAnsi="仿宋" w:eastAsia="仿宋" w:cs="仿宋"/>
                <w:b/>
                <w:color w:val="auto"/>
                <w:kern w:val="0"/>
                <w:sz w:val="18"/>
                <w:szCs w:val="18"/>
                <w:highlight w:val="none"/>
                <w:lang w:val="zh-CN"/>
              </w:rPr>
            </w:pPr>
            <w:r>
              <w:rPr>
                <w:rFonts w:hint="eastAsia" w:ascii="仿宋" w:hAnsi="仿宋" w:eastAsia="仿宋" w:cs="仿宋"/>
                <w:b/>
                <w:color w:val="auto"/>
                <w:kern w:val="0"/>
                <w:sz w:val="18"/>
                <w:szCs w:val="18"/>
                <w:highlight w:val="none"/>
                <w:lang w:val="zh-CN"/>
              </w:rPr>
              <w:t>其他</w:t>
            </w:r>
          </w:p>
        </w:tc>
        <w:tc>
          <w:tcPr>
            <w:tcW w:w="151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其他</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51990000</w:t>
            </w:r>
          </w:p>
        </w:tc>
      </w:tr>
    </w:tbl>
    <w:p>
      <w:pPr>
        <w:jc w:val="center"/>
        <w:rPr>
          <w:rFonts w:ascii="仿宋" w:hAnsi="仿宋" w:eastAsia="仿宋" w:cs="仿宋"/>
          <w:b/>
          <w:color w:val="auto"/>
          <w:highlight w:val="none"/>
        </w:rPr>
      </w:pPr>
      <w:r>
        <w:rPr>
          <w:rFonts w:hint="eastAsia" w:ascii="仿宋" w:hAnsi="仿宋" w:eastAsia="仿宋" w:cs="仿宋"/>
          <w:b/>
          <w:color w:val="auto"/>
          <w:highlight w:val="none"/>
        </w:rPr>
        <w:br w:type="page"/>
      </w:r>
      <w:r>
        <w:rPr>
          <w:rFonts w:hint="eastAsia" w:ascii="仿宋" w:hAnsi="仿宋" w:eastAsia="仿宋" w:cs="仿宋"/>
          <w:b/>
          <w:color w:val="auto"/>
          <w:highlight w:val="none"/>
        </w:rPr>
        <w:t>附表A.</w:t>
      </w:r>
      <w:r>
        <w:rPr>
          <w:rFonts w:ascii="仿宋" w:hAnsi="仿宋" w:eastAsia="仿宋" w:cs="仿宋"/>
          <w:b/>
          <w:color w:val="auto"/>
          <w:highlight w:val="none"/>
        </w:rPr>
        <w:t>1</w:t>
      </w:r>
      <w:r>
        <w:rPr>
          <w:rFonts w:hint="eastAsia" w:ascii="仿宋" w:hAnsi="仿宋" w:eastAsia="仿宋" w:cs="仿宋"/>
          <w:b/>
          <w:color w:val="auto"/>
          <w:highlight w:val="none"/>
        </w:rPr>
        <w:t>2.2排水管线要素代码表</w:t>
      </w:r>
    </w:p>
    <w:tbl>
      <w:tblPr>
        <w:tblStyle w:val="43"/>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382"/>
        <w:gridCol w:w="1381"/>
        <w:gridCol w:w="1381"/>
        <w:gridCol w:w="1381"/>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80"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管线小类</w:t>
            </w:r>
          </w:p>
        </w:tc>
        <w:tc>
          <w:tcPr>
            <w:tcW w:w="1382"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要素名称</w:t>
            </w:r>
          </w:p>
        </w:tc>
        <w:tc>
          <w:tcPr>
            <w:tcW w:w="1381" w:type="dxa"/>
            <w:noWrap/>
            <w:vAlign w:val="center"/>
          </w:tcPr>
          <w:p>
            <w:pPr>
              <w:tabs>
                <w:tab w:val="left" w:pos="794"/>
              </w:tabs>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c>
          <w:tcPr>
            <w:tcW w:w="1381"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管线小类</w:t>
            </w:r>
          </w:p>
        </w:tc>
        <w:tc>
          <w:tcPr>
            <w:tcW w:w="1381"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要素名称</w:t>
            </w:r>
          </w:p>
        </w:tc>
        <w:tc>
          <w:tcPr>
            <w:tcW w:w="1383"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雨水</w:t>
            </w:r>
          </w:p>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雨水管段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52011000</w:t>
            </w:r>
          </w:p>
        </w:tc>
        <w:tc>
          <w:tcPr>
            <w:tcW w:w="1381"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污水</w:t>
            </w:r>
          </w:p>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出地</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52012101</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52012102</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52012103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进水口</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52012104</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窨井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出水口</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52012105</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出水闸</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52012106</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出气井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出地</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52012107</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污水箅</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52012108</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污水井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52012109</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溢流井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52012110</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闸门井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窨井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52012201</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跌水井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52012202</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通风井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出气井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52012203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冲洗井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雨水箅</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52012204</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沉泥井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雨水井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52012205</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渗水井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溢流井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52012206</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水封井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闸门井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52012207</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沉淀池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跌水井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52012208</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化粪池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通风井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52012209</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净化池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冲洗井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52012210</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压力调节塔</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沉泥井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52012211</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污水处理厂</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渗水井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52012212</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隔油池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水封井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52012213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地下井室</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沉淀池</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52012214</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泵站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化粪池</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52012215</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污水面状要素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净化池</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52012216</w:t>
            </w:r>
          </w:p>
        </w:tc>
        <w:tc>
          <w:tcPr>
            <w:tcW w:w="1381"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雨污合流</w:t>
            </w:r>
          </w:p>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合流管段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压力调节塔</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52012217</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地下井室</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52012218</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泵站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52012219</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雨水面状要素</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52013000</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进水口</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污水</w:t>
            </w:r>
          </w:p>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污水管段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52021000</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出水口</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52022101</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出水闸</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52022102</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出地</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52022103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进水口</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52022104</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出水口</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52022105</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出水闸</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52022106</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窨井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52032201</w:t>
            </w:r>
          </w:p>
        </w:tc>
      </w:tr>
    </w:tbl>
    <w:p>
      <w:pPr>
        <w:jc w:val="center"/>
        <w:rPr>
          <w:color w:val="auto"/>
          <w:highlight w:val="none"/>
        </w:rPr>
      </w:pPr>
      <w:r>
        <w:rPr>
          <w:color w:val="auto"/>
          <w:highlight w:val="none"/>
        </w:rPr>
        <w:br w:type="page"/>
      </w:r>
    </w:p>
    <w:tbl>
      <w:tblPr>
        <w:tblStyle w:val="43"/>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381"/>
        <w:gridCol w:w="1381"/>
        <w:gridCol w:w="1381"/>
        <w:gridCol w:w="1381"/>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81"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管线小类</w:t>
            </w:r>
          </w:p>
        </w:tc>
        <w:tc>
          <w:tcPr>
            <w:tcW w:w="1381"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要素名称</w:t>
            </w:r>
          </w:p>
        </w:tc>
        <w:tc>
          <w:tcPr>
            <w:tcW w:w="1381" w:type="dxa"/>
            <w:noWrap/>
            <w:vAlign w:val="center"/>
          </w:tcPr>
          <w:p>
            <w:pPr>
              <w:tabs>
                <w:tab w:val="left" w:pos="794"/>
              </w:tabs>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c>
          <w:tcPr>
            <w:tcW w:w="1381"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管线小类</w:t>
            </w:r>
          </w:p>
        </w:tc>
        <w:tc>
          <w:tcPr>
            <w:tcW w:w="1381"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要素名称</w:t>
            </w:r>
          </w:p>
        </w:tc>
        <w:tc>
          <w:tcPr>
            <w:tcW w:w="1383"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雨污合流</w:t>
            </w:r>
          </w:p>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52032202</w:t>
            </w:r>
          </w:p>
        </w:tc>
        <w:tc>
          <w:tcPr>
            <w:tcW w:w="1381"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雨污合流</w:t>
            </w:r>
          </w:p>
          <w:p>
            <w:pPr>
              <w:jc w:val="center"/>
              <w:rPr>
                <w:rFonts w:ascii="仿宋" w:hAnsi="仿宋" w:eastAsia="仿宋" w:cs="仿宋"/>
                <w:color w:val="auto"/>
                <w:highlight w:val="none"/>
              </w:rPr>
            </w:pPr>
          </w:p>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渗水井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出气井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52032203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水封井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雨水井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52032204</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沉淀池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污水井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52032205</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化粪池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雨箅</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52032206</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净化池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污箅</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52032207</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压力调节塔</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溢流井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52032208</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隔油池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闸门井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52032209</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地下井室</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跌水井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52032210</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泵站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通风井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52032211</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合流面状要素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冲洗井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52032212</w:t>
            </w:r>
          </w:p>
        </w:tc>
        <w:tc>
          <w:tcPr>
            <w:tcW w:w="1381" w:type="dxa"/>
            <w:vMerge w:val="restart"/>
            <w:shd w:val="clear" w:color="auto" w:fill="auto"/>
            <w:noWrap/>
            <w:vAlign w:val="center"/>
          </w:tcPr>
          <w:p>
            <w:pPr>
              <w:jc w:val="center"/>
              <w:rPr>
                <w:rFonts w:ascii="仿宋" w:hAnsi="仿宋" w:eastAsia="仿宋" w:cs="仿宋"/>
                <w:color w:val="auto"/>
                <w:highlight w:val="none"/>
              </w:rPr>
            </w:pPr>
            <w:r>
              <w:rPr>
                <w:rFonts w:hint="eastAsia" w:ascii="仿宋" w:hAnsi="仿宋" w:eastAsia="仿宋" w:cs="仿宋"/>
                <w:b/>
                <w:color w:val="auto"/>
                <w:kern w:val="0"/>
                <w:sz w:val="18"/>
                <w:szCs w:val="18"/>
                <w:highlight w:val="none"/>
                <w:lang w:val="zh-CN"/>
              </w:rPr>
              <w:t>其他</w:t>
            </w:r>
          </w:p>
        </w:tc>
        <w:tc>
          <w:tcPr>
            <w:tcW w:w="1381" w:type="dxa"/>
            <w:vMerge w:val="restart"/>
            <w:shd w:val="clear" w:color="auto" w:fill="FFFFFF"/>
            <w:noWrap/>
            <w:vAlign w:val="center"/>
          </w:tcPr>
          <w:p>
            <w:pPr>
              <w:pStyle w:val="242"/>
              <w:spacing w:before="0" w:line="240" w:lineRule="auto"/>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其他其他             其他</w:t>
            </w:r>
          </w:p>
        </w:tc>
        <w:tc>
          <w:tcPr>
            <w:tcW w:w="1383" w:type="dxa"/>
            <w:vMerge w:val="restart"/>
            <w:shd w:val="clear" w:color="auto" w:fill="FFFFFF"/>
            <w:noWrap/>
            <w:vAlign w:val="center"/>
          </w:tcPr>
          <w:p>
            <w:pPr>
              <w:pStyle w:val="242"/>
              <w:spacing w:before="0" w:line="240" w:lineRule="auto"/>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52990000              52990000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沉泥井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52032213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vMerge w:val="continue"/>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p>
        </w:tc>
        <w:tc>
          <w:tcPr>
            <w:tcW w:w="1383" w:type="dxa"/>
            <w:vMerge w:val="continue"/>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p>
        </w:tc>
      </w:tr>
    </w:tbl>
    <w:p>
      <w:pPr>
        <w:spacing w:line="560" w:lineRule="exact"/>
        <w:ind w:firstLine="210" w:firstLineChars="100"/>
        <w:jc w:val="center"/>
        <w:rPr>
          <w:rFonts w:ascii="仿宋" w:hAnsi="仿宋" w:eastAsia="仿宋" w:cs="仿宋"/>
          <w:b/>
          <w:color w:val="auto"/>
          <w:highlight w:val="none"/>
        </w:rPr>
      </w:pPr>
      <w:r>
        <w:rPr>
          <w:rFonts w:hint="eastAsia"/>
          <w:color w:val="auto"/>
          <w:highlight w:val="none"/>
        </w:rPr>
        <w:br w:type="page"/>
      </w:r>
      <w:r>
        <w:rPr>
          <w:rFonts w:hint="eastAsia" w:ascii="仿宋" w:hAnsi="仿宋" w:eastAsia="仿宋" w:cs="仿宋"/>
          <w:b/>
          <w:color w:val="auto"/>
          <w:highlight w:val="none"/>
        </w:rPr>
        <w:t>附表A.</w:t>
      </w:r>
      <w:r>
        <w:rPr>
          <w:rFonts w:ascii="仿宋" w:hAnsi="仿宋" w:eastAsia="仿宋" w:cs="仿宋"/>
          <w:b/>
          <w:color w:val="auto"/>
          <w:highlight w:val="none"/>
        </w:rPr>
        <w:t>1</w:t>
      </w:r>
      <w:r>
        <w:rPr>
          <w:rFonts w:hint="eastAsia" w:ascii="仿宋" w:hAnsi="仿宋" w:eastAsia="仿宋" w:cs="仿宋"/>
          <w:b/>
          <w:color w:val="auto"/>
          <w:highlight w:val="none"/>
        </w:rPr>
        <w:t>2.3燃气管线要素代码表</w:t>
      </w:r>
    </w:p>
    <w:tbl>
      <w:tblPr>
        <w:tblStyle w:val="43"/>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512"/>
        <w:gridCol w:w="1381"/>
        <w:gridCol w:w="1381"/>
        <w:gridCol w:w="1381"/>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50"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管线小类</w:t>
            </w:r>
          </w:p>
        </w:tc>
        <w:tc>
          <w:tcPr>
            <w:tcW w:w="1512"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要素名称</w:t>
            </w:r>
          </w:p>
        </w:tc>
        <w:tc>
          <w:tcPr>
            <w:tcW w:w="1381" w:type="dxa"/>
            <w:noWrap/>
            <w:vAlign w:val="center"/>
          </w:tcPr>
          <w:p>
            <w:pPr>
              <w:tabs>
                <w:tab w:val="left" w:pos="794"/>
              </w:tabs>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c>
          <w:tcPr>
            <w:tcW w:w="1381"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管线小类</w:t>
            </w:r>
          </w:p>
        </w:tc>
        <w:tc>
          <w:tcPr>
            <w:tcW w:w="1381"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要素名称</w:t>
            </w:r>
          </w:p>
        </w:tc>
        <w:tc>
          <w:tcPr>
            <w:tcW w:w="1383"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煤气</w:t>
            </w:r>
          </w:p>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高压管段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53011001</w:t>
            </w:r>
          </w:p>
        </w:tc>
        <w:tc>
          <w:tcPr>
            <w:tcW w:w="1381" w:type="dxa"/>
            <w:vMerge w:val="restart"/>
            <w:shd w:val="clear" w:color="auto" w:fill="auto"/>
            <w:noWrap/>
            <w:vAlign w:val="center"/>
          </w:tcPr>
          <w:p>
            <w:pPr>
              <w:jc w:val="center"/>
              <w:rPr>
                <w:rFonts w:ascii="仿宋" w:hAnsi="仿宋" w:eastAsia="仿宋" w:cs="仿宋"/>
                <w:b/>
                <w:color w:val="auto"/>
                <w:kern w:val="0"/>
                <w:sz w:val="18"/>
                <w:szCs w:val="18"/>
                <w:highlight w:val="none"/>
              </w:rPr>
            </w:pPr>
          </w:p>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煤气</w:t>
            </w:r>
          </w:p>
          <w:p>
            <w:pPr>
              <w:jc w:val="center"/>
              <w:rPr>
                <w:rFonts w:ascii="仿宋" w:hAnsi="仿宋" w:eastAsia="仿宋" w:cs="仿宋"/>
                <w:color w:val="auto"/>
                <w:highlight w:val="none"/>
              </w:rPr>
            </w:pPr>
          </w:p>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门站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中压管段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53011002</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地下井室</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低压管段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53011003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燃气柜</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53012101</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燃气站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变材</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53012102</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燃气桩</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53012103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涨缩站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53012104</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煤气面状要素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盲板</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53012105</w:t>
            </w:r>
          </w:p>
        </w:tc>
        <w:tc>
          <w:tcPr>
            <w:tcW w:w="1381"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液化气</w:t>
            </w:r>
          </w:p>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高压管段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管帽</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53012106</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中压管段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立管</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53012107</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低压管段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登高</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53012108</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沉降箱</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53012109</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变材</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计量箱</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53012110</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信息球</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53012111</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阴极保护</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53012112</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盲板</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牺牲阳极</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53012113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管帽</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53012114</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立管</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53012115</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登高</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盖堵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53012116</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沉降箱</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53012117</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计量箱</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检测井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53012201</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信息球</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53012202</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阴极保护</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53012203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牺牲阳极</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凝水缸</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53012204</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调压箱</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53012205</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调压器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53012206</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盖堵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压力表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53012207</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阴极测试桩</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53012208</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检测井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波形管</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53012209</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调压柜</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53012210</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计量站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53012211</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凝水缸</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vAlign w:val="center"/>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加气站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53012212</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补偿器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LNG应急气源站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53012213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调压箱</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CNG加气站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53012214</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调压器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补偿器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53012215</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压力表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调压站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53012216</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阴极测试桩</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气源</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53012217</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波形管</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储备站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53012218</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调压柜</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53022211</w:t>
            </w:r>
          </w:p>
        </w:tc>
      </w:tr>
    </w:tbl>
    <w:p>
      <w:pPr>
        <w:jc w:val="center"/>
        <w:rPr>
          <w:color w:val="auto"/>
          <w:highlight w:val="none"/>
        </w:rPr>
      </w:pPr>
    </w:p>
    <w:p>
      <w:pPr>
        <w:pStyle w:val="2"/>
        <w:jc w:val="center"/>
        <w:rPr>
          <w:color w:val="auto"/>
          <w:highlight w:val="none"/>
        </w:rPr>
      </w:pPr>
    </w:p>
    <w:tbl>
      <w:tblPr>
        <w:tblStyle w:val="43"/>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525"/>
        <w:gridCol w:w="1298"/>
        <w:gridCol w:w="1276"/>
        <w:gridCol w:w="1569"/>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37"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管线小类</w:t>
            </w:r>
          </w:p>
        </w:tc>
        <w:tc>
          <w:tcPr>
            <w:tcW w:w="1525"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要素名称</w:t>
            </w:r>
          </w:p>
        </w:tc>
        <w:tc>
          <w:tcPr>
            <w:tcW w:w="1298" w:type="dxa"/>
            <w:noWrap/>
            <w:vAlign w:val="center"/>
          </w:tcPr>
          <w:p>
            <w:pPr>
              <w:tabs>
                <w:tab w:val="left" w:pos="794"/>
              </w:tabs>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c>
          <w:tcPr>
            <w:tcW w:w="1276"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管线小类</w:t>
            </w:r>
          </w:p>
        </w:tc>
        <w:tc>
          <w:tcPr>
            <w:tcW w:w="1569"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要素名称</w:t>
            </w:r>
          </w:p>
        </w:tc>
        <w:tc>
          <w:tcPr>
            <w:tcW w:w="1383"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液化气</w:t>
            </w:r>
          </w:p>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计量站</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53022212</w:t>
            </w:r>
          </w:p>
        </w:tc>
        <w:tc>
          <w:tcPr>
            <w:tcW w:w="1276"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天然气</w:t>
            </w:r>
          </w:p>
          <w:p>
            <w:pPr>
              <w:jc w:val="center"/>
              <w:rPr>
                <w:rFonts w:ascii="仿宋" w:hAnsi="仿宋" w:eastAsia="仿宋" w:cs="仿宋"/>
                <w:color w:val="auto"/>
                <w:highlight w:val="none"/>
              </w:rPr>
            </w:pPr>
          </w:p>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绝缘接头</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加气站</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53022213</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接头</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LNG应急气源站</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53022214</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盖堵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CNG加气站</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53022215</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调压站</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53022216</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检测井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气源</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53022217</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储备站</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53022218</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门站</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53022219</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凝水缸</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地下井室</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53022220</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调压箱</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燃气柜</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53022221</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调压器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燃气站</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53022222</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高压调压器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燃气粧</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53022223</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中压调压器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涨缩站</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53022224</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压力表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液化气面状要素</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53023000</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阴极测试桩</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天然气</w:t>
            </w:r>
          </w:p>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高压管段</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53031001</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波形管</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中压管段</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53031002</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调压柜</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低压管段</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53031003</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计量站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管线</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53031004</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加气站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53032101</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LNG应急气源站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变材</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53032102</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CNG加气站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53032103</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调压站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53032104</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气源</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盲板</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53032105</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储备站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管帽</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53032106</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门站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立管</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53032107</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地下井室</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登局</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53032108</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水井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沉降箱</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53032109</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燃气柜</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计量箱</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53032110</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燃气站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信息球</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53032111</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燃气粧</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阴极保护</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53032112</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涨缩站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牺牲阳极</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53032113</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补偿器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vAlign w:val="center"/>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DYT三通</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53032114</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天然气面状要素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53032115</w:t>
            </w:r>
          </w:p>
        </w:tc>
        <w:tc>
          <w:tcPr>
            <w:tcW w:w="1276"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长途输气</w:t>
            </w:r>
          </w:p>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高压管段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53032116</w:t>
            </w:r>
          </w:p>
        </w:tc>
        <w:tc>
          <w:tcPr>
            <w:tcW w:w="1276" w:type="dxa"/>
            <w:vMerge w:val="continue"/>
            <w:shd w:val="clear" w:color="auto" w:fill="auto"/>
            <w:noWrap/>
            <w:vAlign w:val="center"/>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套筒</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53032117</w:t>
            </w:r>
          </w:p>
        </w:tc>
        <w:tc>
          <w:tcPr>
            <w:tcW w:w="1276" w:type="dxa"/>
            <w:vMerge w:val="continue"/>
            <w:shd w:val="clear" w:color="auto" w:fill="auto"/>
            <w:noWrap/>
          </w:tcPr>
          <w:p>
            <w:pPr>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变材</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放散管</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53032118</w:t>
            </w:r>
          </w:p>
        </w:tc>
        <w:tc>
          <w:tcPr>
            <w:tcW w:w="1276" w:type="dxa"/>
            <w:vMerge w:val="continue"/>
            <w:shd w:val="clear" w:color="auto" w:fill="auto"/>
            <w:noWrap/>
          </w:tcPr>
          <w:p>
            <w:pPr>
              <w:widowControl/>
              <w:jc w:val="center"/>
              <w:rPr>
                <w:rFonts w:ascii="仿宋" w:hAnsi="仿宋" w:eastAsia="仿宋" w:cs="仿宋"/>
                <w:color w:val="auto"/>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极性保护</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53032119</w:t>
            </w:r>
          </w:p>
        </w:tc>
        <w:tc>
          <w:tcPr>
            <w:tcW w:w="1276" w:type="dxa"/>
            <w:vMerge w:val="continue"/>
            <w:shd w:val="clear" w:color="auto" w:fill="auto"/>
            <w:noWrap/>
          </w:tcPr>
          <w:p>
            <w:pPr>
              <w:widowControl/>
              <w:jc w:val="center"/>
              <w:rPr>
                <w:rFonts w:ascii="仿宋" w:hAnsi="仿宋" w:eastAsia="仿宋" w:cs="仿宋"/>
                <w:b/>
                <w:color w:val="auto"/>
                <w:kern w:val="0"/>
                <w:sz w:val="18"/>
                <w:szCs w:val="18"/>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37" w:type="dxa"/>
            <w:vMerge w:val="continue"/>
            <w:shd w:val="clear" w:color="auto" w:fill="auto"/>
            <w:noWrap/>
          </w:tcPr>
          <w:p>
            <w:pPr>
              <w:jc w:val="center"/>
              <w:rPr>
                <w:rFonts w:ascii="仿宋" w:hAnsi="仿宋" w:eastAsia="仿宋" w:cs="仿宋"/>
                <w:color w:val="auto"/>
                <w:highlight w:val="none"/>
              </w:rPr>
            </w:pPr>
          </w:p>
        </w:tc>
        <w:tc>
          <w:tcPr>
            <w:tcW w:w="152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管末</w:t>
            </w:r>
          </w:p>
        </w:tc>
        <w:tc>
          <w:tcPr>
            <w:tcW w:w="1298"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53032120</w:t>
            </w:r>
          </w:p>
        </w:tc>
        <w:tc>
          <w:tcPr>
            <w:tcW w:w="1276" w:type="dxa"/>
            <w:vMerge w:val="continue"/>
            <w:shd w:val="clear" w:color="auto" w:fill="auto"/>
            <w:noWrap/>
          </w:tcPr>
          <w:p>
            <w:pPr>
              <w:widowControl/>
              <w:jc w:val="center"/>
              <w:rPr>
                <w:rFonts w:ascii="仿宋" w:hAnsi="仿宋" w:eastAsia="仿宋" w:cs="仿宋"/>
                <w:b/>
                <w:color w:val="auto"/>
                <w:kern w:val="0"/>
                <w:sz w:val="18"/>
                <w:szCs w:val="18"/>
                <w:highlight w:val="none"/>
              </w:rPr>
            </w:pPr>
          </w:p>
        </w:tc>
        <w:tc>
          <w:tcPr>
            <w:tcW w:w="1569"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盲板</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53042105</w:t>
            </w:r>
          </w:p>
        </w:tc>
      </w:tr>
    </w:tbl>
    <w:p>
      <w:pPr>
        <w:jc w:val="center"/>
        <w:rPr>
          <w:color w:val="auto"/>
          <w:highlight w:val="none"/>
        </w:rPr>
      </w:pPr>
    </w:p>
    <w:p>
      <w:pPr>
        <w:pStyle w:val="2"/>
        <w:jc w:val="center"/>
        <w:rPr>
          <w:color w:val="auto"/>
          <w:highlight w:val="none"/>
        </w:rPr>
      </w:pPr>
    </w:p>
    <w:p>
      <w:pPr>
        <w:pStyle w:val="2"/>
        <w:jc w:val="center"/>
        <w:rPr>
          <w:color w:val="auto"/>
          <w:highlight w:val="none"/>
        </w:rPr>
      </w:pPr>
    </w:p>
    <w:p>
      <w:pPr>
        <w:pStyle w:val="2"/>
        <w:jc w:val="center"/>
        <w:rPr>
          <w:color w:val="auto"/>
          <w:highlight w:val="none"/>
        </w:rPr>
      </w:pPr>
    </w:p>
    <w:tbl>
      <w:tblPr>
        <w:tblStyle w:val="43"/>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512"/>
        <w:gridCol w:w="1381"/>
        <w:gridCol w:w="1249"/>
        <w:gridCol w:w="1884"/>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50"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管线小类</w:t>
            </w:r>
          </w:p>
        </w:tc>
        <w:tc>
          <w:tcPr>
            <w:tcW w:w="1512"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要素名称</w:t>
            </w:r>
          </w:p>
        </w:tc>
        <w:tc>
          <w:tcPr>
            <w:tcW w:w="1381" w:type="dxa"/>
            <w:noWrap/>
            <w:vAlign w:val="center"/>
          </w:tcPr>
          <w:p>
            <w:pPr>
              <w:tabs>
                <w:tab w:val="left" w:pos="794"/>
              </w:tabs>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c>
          <w:tcPr>
            <w:tcW w:w="1249"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管线小类</w:t>
            </w:r>
          </w:p>
        </w:tc>
        <w:tc>
          <w:tcPr>
            <w:tcW w:w="1884"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要素名称</w:t>
            </w:r>
          </w:p>
        </w:tc>
        <w:tc>
          <w:tcPr>
            <w:tcW w:w="1377"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长途输气</w:t>
            </w:r>
          </w:p>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立管</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53042106</w:t>
            </w:r>
          </w:p>
        </w:tc>
        <w:tc>
          <w:tcPr>
            <w:tcW w:w="1249"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长途输气</w:t>
            </w:r>
          </w:p>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压力表</w:t>
            </w:r>
          </w:p>
        </w:tc>
        <w:tc>
          <w:tcPr>
            <w:tcW w:w="137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登高</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53042107</w:t>
            </w:r>
          </w:p>
        </w:tc>
        <w:tc>
          <w:tcPr>
            <w:tcW w:w="1249"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阴极测试桩</w:t>
            </w:r>
          </w:p>
        </w:tc>
        <w:tc>
          <w:tcPr>
            <w:tcW w:w="137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沉降箱</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53042108</w:t>
            </w:r>
          </w:p>
        </w:tc>
        <w:tc>
          <w:tcPr>
            <w:tcW w:w="1249"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波形管</w:t>
            </w:r>
          </w:p>
        </w:tc>
        <w:tc>
          <w:tcPr>
            <w:tcW w:w="137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计量箱</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53042109</w:t>
            </w:r>
          </w:p>
        </w:tc>
        <w:tc>
          <w:tcPr>
            <w:tcW w:w="1249"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调压柜</w:t>
            </w:r>
          </w:p>
        </w:tc>
        <w:tc>
          <w:tcPr>
            <w:tcW w:w="137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信息球</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53042110</w:t>
            </w:r>
          </w:p>
        </w:tc>
        <w:tc>
          <w:tcPr>
            <w:tcW w:w="1249"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计量站</w:t>
            </w:r>
          </w:p>
        </w:tc>
        <w:tc>
          <w:tcPr>
            <w:tcW w:w="137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阴极保护</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53042111</w:t>
            </w:r>
          </w:p>
        </w:tc>
        <w:tc>
          <w:tcPr>
            <w:tcW w:w="1249"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加气站</w:t>
            </w:r>
          </w:p>
        </w:tc>
        <w:tc>
          <w:tcPr>
            <w:tcW w:w="137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牺牲阳极</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53042112</w:t>
            </w:r>
          </w:p>
        </w:tc>
        <w:tc>
          <w:tcPr>
            <w:tcW w:w="1249" w:type="dxa"/>
            <w:vMerge w:val="continue"/>
            <w:shd w:val="clear" w:color="auto" w:fill="auto"/>
            <w:noWrap/>
            <w:vAlign w:val="center"/>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LNG应急气源站</w:t>
            </w:r>
          </w:p>
        </w:tc>
        <w:tc>
          <w:tcPr>
            <w:tcW w:w="137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53042113</w:t>
            </w:r>
          </w:p>
        </w:tc>
        <w:tc>
          <w:tcPr>
            <w:tcW w:w="1249"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CNG加气站</w:t>
            </w:r>
          </w:p>
        </w:tc>
        <w:tc>
          <w:tcPr>
            <w:tcW w:w="137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53042114</w:t>
            </w:r>
          </w:p>
        </w:tc>
        <w:tc>
          <w:tcPr>
            <w:tcW w:w="1249"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补偿器</w:t>
            </w:r>
          </w:p>
        </w:tc>
        <w:tc>
          <w:tcPr>
            <w:tcW w:w="137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盖堵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53042115</w:t>
            </w:r>
          </w:p>
        </w:tc>
        <w:tc>
          <w:tcPr>
            <w:tcW w:w="1249"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调压站</w:t>
            </w:r>
          </w:p>
        </w:tc>
        <w:tc>
          <w:tcPr>
            <w:tcW w:w="137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53042116</w:t>
            </w:r>
          </w:p>
        </w:tc>
        <w:tc>
          <w:tcPr>
            <w:tcW w:w="1249"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气源</w:t>
            </w:r>
          </w:p>
        </w:tc>
        <w:tc>
          <w:tcPr>
            <w:tcW w:w="137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检测井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53042201</w:t>
            </w:r>
          </w:p>
        </w:tc>
        <w:tc>
          <w:tcPr>
            <w:tcW w:w="1249"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储备站</w:t>
            </w:r>
          </w:p>
        </w:tc>
        <w:tc>
          <w:tcPr>
            <w:tcW w:w="137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53042202</w:t>
            </w:r>
          </w:p>
        </w:tc>
        <w:tc>
          <w:tcPr>
            <w:tcW w:w="1249"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门站</w:t>
            </w:r>
          </w:p>
        </w:tc>
        <w:tc>
          <w:tcPr>
            <w:tcW w:w="137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53042203</w:t>
            </w:r>
          </w:p>
        </w:tc>
        <w:tc>
          <w:tcPr>
            <w:tcW w:w="1249"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地下井室</w:t>
            </w:r>
          </w:p>
        </w:tc>
        <w:tc>
          <w:tcPr>
            <w:tcW w:w="137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凝水缸</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53042204</w:t>
            </w:r>
          </w:p>
        </w:tc>
        <w:tc>
          <w:tcPr>
            <w:tcW w:w="1249"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燃气桩</w:t>
            </w:r>
          </w:p>
        </w:tc>
        <w:tc>
          <w:tcPr>
            <w:tcW w:w="137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调压箱</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53042205</w:t>
            </w:r>
          </w:p>
        </w:tc>
        <w:tc>
          <w:tcPr>
            <w:tcW w:w="1249"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长途输气面状要素</w:t>
            </w:r>
          </w:p>
        </w:tc>
        <w:tc>
          <w:tcPr>
            <w:tcW w:w="137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50" w:type="dxa"/>
            <w:vMerge w:val="continue"/>
            <w:shd w:val="clear" w:color="auto" w:fill="auto"/>
            <w:noWrap/>
          </w:tcPr>
          <w:p>
            <w:pPr>
              <w:jc w:val="center"/>
              <w:rPr>
                <w:rFonts w:ascii="仿宋" w:hAnsi="仿宋" w:eastAsia="仿宋" w:cs="仿宋"/>
                <w:color w:val="auto"/>
                <w:highlight w:val="none"/>
              </w:rPr>
            </w:pPr>
          </w:p>
        </w:tc>
        <w:tc>
          <w:tcPr>
            <w:tcW w:w="151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调压器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53042206</w:t>
            </w:r>
          </w:p>
        </w:tc>
        <w:tc>
          <w:tcPr>
            <w:tcW w:w="1249" w:type="dxa"/>
            <w:shd w:val="clear" w:color="auto" w:fill="auto"/>
            <w:noWrap/>
          </w:tcPr>
          <w:p>
            <w:pPr>
              <w:jc w:val="center"/>
              <w:rPr>
                <w:rFonts w:ascii="仿宋" w:hAnsi="仿宋" w:eastAsia="仿宋" w:cs="仿宋"/>
                <w:color w:val="auto"/>
                <w:highlight w:val="none"/>
              </w:rPr>
            </w:pPr>
            <w:r>
              <w:rPr>
                <w:rFonts w:hint="eastAsia" w:ascii="仿宋" w:hAnsi="仿宋" w:eastAsia="仿宋" w:cs="仿宋"/>
                <w:b/>
                <w:color w:val="auto"/>
                <w:kern w:val="0"/>
                <w:sz w:val="18"/>
                <w:szCs w:val="18"/>
                <w:highlight w:val="none"/>
              </w:rPr>
              <w:t>其他</w:t>
            </w: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其他</w:t>
            </w:r>
          </w:p>
        </w:tc>
        <w:tc>
          <w:tcPr>
            <w:tcW w:w="137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53990000</w:t>
            </w:r>
          </w:p>
        </w:tc>
      </w:tr>
    </w:tbl>
    <w:p>
      <w:pPr>
        <w:spacing w:line="560" w:lineRule="exact"/>
        <w:ind w:firstLine="210" w:firstLineChars="100"/>
        <w:jc w:val="center"/>
        <w:rPr>
          <w:rFonts w:ascii="仿宋" w:hAnsi="仿宋" w:eastAsia="仿宋" w:cs="仿宋"/>
          <w:b/>
          <w:color w:val="auto"/>
          <w:highlight w:val="none"/>
        </w:rPr>
      </w:pPr>
      <w:r>
        <w:rPr>
          <w:rFonts w:hint="eastAsia"/>
          <w:color w:val="auto"/>
          <w:highlight w:val="none"/>
        </w:rPr>
        <w:br w:type="page"/>
      </w:r>
      <w:r>
        <w:rPr>
          <w:rFonts w:hint="eastAsia" w:ascii="仿宋" w:hAnsi="仿宋" w:eastAsia="仿宋" w:cs="仿宋"/>
          <w:b/>
          <w:color w:val="auto"/>
          <w:highlight w:val="none"/>
        </w:rPr>
        <w:t>附表A.</w:t>
      </w:r>
      <w:r>
        <w:rPr>
          <w:rFonts w:ascii="仿宋" w:hAnsi="仿宋" w:eastAsia="仿宋" w:cs="仿宋"/>
          <w:b/>
          <w:color w:val="auto"/>
          <w:highlight w:val="none"/>
        </w:rPr>
        <w:t>1</w:t>
      </w:r>
      <w:r>
        <w:rPr>
          <w:rFonts w:hint="eastAsia" w:ascii="仿宋" w:hAnsi="仿宋" w:eastAsia="仿宋" w:cs="仿宋"/>
          <w:b/>
          <w:color w:val="auto"/>
          <w:highlight w:val="none"/>
        </w:rPr>
        <w:t>2.4 热力管线要素代码表</w:t>
      </w:r>
    </w:p>
    <w:tbl>
      <w:tblPr>
        <w:tblStyle w:val="43"/>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381"/>
        <w:gridCol w:w="1381"/>
        <w:gridCol w:w="1381"/>
        <w:gridCol w:w="1381"/>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81"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管线小类</w:t>
            </w:r>
          </w:p>
        </w:tc>
        <w:tc>
          <w:tcPr>
            <w:tcW w:w="1381"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要素名称</w:t>
            </w:r>
          </w:p>
        </w:tc>
        <w:tc>
          <w:tcPr>
            <w:tcW w:w="1381" w:type="dxa"/>
            <w:noWrap/>
            <w:vAlign w:val="center"/>
          </w:tcPr>
          <w:p>
            <w:pPr>
              <w:tabs>
                <w:tab w:val="left" w:pos="794"/>
              </w:tabs>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c>
          <w:tcPr>
            <w:tcW w:w="1381"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管线小类</w:t>
            </w:r>
          </w:p>
        </w:tc>
        <w:tc>
          <w:tcPr>
            <w:tcW w:w="1381"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要素名称</w:t>
            </w:r>
          </w:p>
        </w:tc>
        <w:tc>
          <w:tcPr>
            <w:tcW w:w="1383"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restart"/>
            <w:shd w:val="clear" w:color="auto" w:fill="auto"/>
            <w:noWrap/>
            <w:vAlign w:val="center"/>
          </w:tcPr>
          <w:p>
            <w:pPr>
              <w:widowControl/>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热水</w:t>
            </w:r>
          </w:p>
          <w:p>
            <w:pPr>
              <w:jc w:val="center"/>
              <w:rPr>
                <w:rFonts w:ascii="仿宋" w:hAnsi="仿宋" w:eastAsia="仿宋" w:cs="仿宋"/>
                <w:color w:val="auto"/>
                <w:highlight w:val="none"/>
              </w:rPr>
            </w:pPr>
          </w:p>
          <w:p>
            <w:pPr>
              <w:jc w:val="center"/>
              <w:rPr>
                <w:rFonts w:ascii="仿宋" w:hAnsi="仿宋" w:eastAsia="仿宋" w:cs="仿宋"/>
                <w:b/>
                <w:color w:val="auto"/>
                <w:kern w:val="0"/>
                <w:sz w:val="18"/>
                <w:szCs w:val="18"/>
                <w:highlight w:val="none"/>
              </w:rPr>
            </w:pPr>
          </w:p>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热水管段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54011000</w:t>
            </w:r>
          </w:p>
        </w:tc>
        <w:tc>
          <w:tcPr>
            <w:tcW w:w="1381" w:type="dxa"/>
            <w:vMerge w:val="restart"/>
            <w:shd w:val="clear" w:color="auto" w:fill="auto"/>
            <w:noWrap/>
            <w:vAlign w:val="center"/>
          </w:tcPr>
          <w:p>
            <w:pPr>
              <w:pStyle w:val="242"/>
              <w:spacing w:before="0" w:line="240" w:lineRule="auto"/>
              <w:ind w:firstLine="0"/>
              <w:jc w:val="center"/>
              <w:rPr>
                <w:rStyle w:val="247"/>
                <w:rFonts w:hint="default" w:ascii="仿宋" w:hAnsi="仿宋" w:eastAsia="仿宋" w:cs="仿宋"/>
                <w:b/>
                <w:color w:val="auto"/>
                <w:sz w:val="18"/>
                <w:szCs w:val="18"/>
                <w:highlight w:val="none"/>
                <w:lang w:val="zh-CN"/>
              </w:rPr>
            </w:pPr>
            <w:r>
              <w:rPr>
                <w:rStyle w:val="247"/>
                <w:rFonts w:hint="default" w:ascii="仿宋" w:hAnsi="仿宋" w:eastAsia="仿宋" w:cs="仿宋"/>
                <w:b/>
                <w:color w:val="auto"/>
                <w:sz w:val="18"/>
                <w:szCs w:val="18"/>
                <w:highlight w:val="none"/>
                <w:lang w:val="zh-CN"/>
              </w:rPr>
              <w:t>蒸汽</w:t>
            </w:r>
          </w:p>
          <w:p>
            <w:pPr>
              <w:pStyle w:val="242"/>
              <w:spacing w:before="0" w:line="240" w:lineRule="auto"/>
              <w:ind w:firstLine="0"/>
              <w:jc w:val="center"/>
              <w:rPr>
                <w:rStyle w:val="247"/>
                <w:rFonts w:hint="default" w:ascii="仿宋" w:hAnsi="仿宋" w:eastAsia="仿宋" w:cs="仿宋"/>
                <w:color w:val="auto"/>
                <w:sz w:val="18"/>
                <w:szCs w:val="18"/>
                <w:highlight w:val="none"/>
                <w:lang w:val="zh-CN"/>
              </w:rPr>
            </w:pPr>
          </w:p>
          <w:p>
            <w:pPr>
              <w:pStyle w:val="242"/>
              <w:spacing w:before="0" w:line="240" w:lineRule="auto"/>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其他</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54012101</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54012102</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54012103</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54012104</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54012105</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出地点</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出地点</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54012106</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盖堵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盖堵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54012107</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冷却塔</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冷却塔</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54012108</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54012109</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窨井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窨井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54012201</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54012202</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54012203</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54012204</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凝水缸</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凝水缸</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54012205</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吹扫井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吹扫井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54012206</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疏水</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疏水</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54012207</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真空表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真空表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54012208</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固定节</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固定节</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54012209</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安全阀</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安全阀</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54012210</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排潮孔</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排潮孔</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54012211</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供热泵站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供热泵站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54012212</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供热调压站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供热调压站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54012213</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供热交换站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供热交换站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54012214</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锅炉房</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锅炉房</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54012215</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热电厂</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热电厂</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54012216</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热电站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热电站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54012217</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冷暖站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冷暖站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54012218</w:t>
            </w:r>
          </w:p>
        </w:tc>
        <w:tc>
          <w:tcPr>
            <w:tcW w:w="1381" w:type="dxa"/>
            <w:vMerge w:val="continue"/>
            <w:shd w:val="clear" w:color="auto" w:fill="auto"/>
            <w:noWrap/>
          </w:tcPr>
          <w:p>
            <w:pPr>
              <w:pStyle w:val="242"/>
              <w:spacing w:before="0" w:line="240" w:lineRule="auto"/>
              <w:jc w:val="center"/>
              <w:rPr>
                <w:rStyle w:val="247"/>
                <w:rFonts w:hint="default" w:ascii="仿宋" w:hAnsi="仿宋" w:eastAsia="仿宋" w:cs="仿宋"/>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蒸汽面状要素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热水面状要素</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54013000</w:t>
            </w:r>
          </w:p>
        </w:tc>
        <w:tc>
          <w:tcPr>
            <w:tcW w:w="1381" w:type="dxa"/>
            <w:shd w:val="clear" w:color="auto" w:fill="auto"/>
            <w:noWrap/>
          </w:tcPr>
          <w:p>
            <w:pPr>
              <w:pStyle w:val="242"/>
              <w:spacing w:before="0" w:line="240" w:lineRule="auto"/>
              <w:ind w:right="360"/>
              <w:jc w:val="right"/>
              <w:rPr>
                <w:rStyle w:val="247"/>
                <w:rFonts w:hint="default" w:ascii="仿宋" w:hAnsi="仿宋" w:eastAsia="仿宋" w:cs="仿宋"/>
                <w:color w:val="auto"/>
                <w:sz w:val="18"/>
                <w:szCs w:val="18"/>
                <w:highlight w:val="none"/>
                <w:lang w:val="zh-CN"/>
              </w:rPr>
            </w:pPr>
            <w:r>
              <w:rPr>
                <w:rStyle w:val="247"/>
                <w:rFonts w:hint="default" w:ascii="仿宋" w:hAnsi="仿宋" w:eastAsia="仿宋" w:cs="仿宋"/>
                <w:b/>
                <w:color w:val="auto"/>
                <w:sz w:val="18"/>
                <w:szCs w:val="18"/>
                <w:highlight w:val="none"/>
                <w:lang w:val="zh-CN"/>
              </w:rPr>
              <w:t>其他</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其他</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54990000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381" w:type="dxa"/>
            <w:shd w:val="clear" w:color="auto" w:fill="auto"/>
            <w:noWrap/>
          </w:tcPr>
          <w:p>
            <w:pPr>
              <w:ind w:firstLine="361" w:firstLineChars="200"/>
              <w:jc w:val="center"/>
              <w:rPr>
                <w:rFonts w:ascii="仿宋" w:hAnsi="仿宋" w:eastAsia="仿宋" w:cs="仿宋"/>
                <w:color w:val="auto"/>
                <w:highlight w:val="none"/>
              </w:rPr>
            </w:pPr>
            <w:r>
              <w:rPr>
                <w:rFonts w:hint="eastAsia" w:ascii="仿宋" w:hAnsi="仿宋" w:eastAsia="仿宋" w:cs="仿宋"/>
                <w:b/>
                <w:color w:val="auto"/>
                <w:kern w:val="0"/>
                <w:sz w:val="18"/>
                <w:szCs w:val="18"/>
                <w:highlight w:val="none"/>
                <w:lang w:val="zh-CN"/>
              </w:rPr>
              <w:t>蒸汽</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蒸汽管段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54021000</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b/>
                <w:color w:val="auto"/>
                <w:sz w:val="18"/>
                <w:szCs w:val="18"/>
                <w:highlight w:val="none"/>
                <w:lang w:val="zh-CN"/>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p>
        </w:tc>
      </w:tr>
    </w:tbl>
    <w:p>
      <w:pPr>
        <w:spacing w:line="560" w:lineRule="exact"/>
        <w:ind w:firstLine="315" w:firstLineChars="150"/>
        <w:jc w:val="center"/>
        <w:rPr>
          <w:rFonts w:ascii="仿宋" w:hAnsi="仿宋" w:eastAsia="仿宋" w:cs="仿宋"/>
          <w:b/>
          <w:color w:val="auto"/>
          <w:highlight w:val="none"/>
        </w:rPr>
      </w:pPr>
      <w:r>
        <w:rPr>
          <w:rFonts w:hint="eastAsia"/>
          <w:color w:val="auto"/>
          <w:highlight w:val="none"/>
        </w:rPr>
        <w:br w:type="page"/>
      </w:r>
      <w:r>
        <w:rPr>
          <w:rFonts w:hint="eastAsia" w:ascii="仿宋" w:hAnsi="仿宋" w:eastAsia="仿宋" w:cs="仿宋"/>
          <w:b/>
          <w:color w:val="auto"/>
          <w:highlight w:val="none"/>
        </w:rPr>
        <w:t>附表A.</w:t>
      </w:r>
      <w:r>
        <w:rPr>
          <w:rFonts w:ascii="仿宋" w:hAnsi="仿宋" w:eastAsia="仿宋" w:cs="仿宋"/>
          <w:b/>
          <w:color w:val="auto"/>
          <w:highlight w:val="none"/>
        </w:rPr>
        <w:t>1</w:t>
      </w:r>
      <w:r>
        <w:rPr>
          <w:rFonts w:hint="eastAsia" w:ascii="仿宋" w:hAnsi="仿宋" w:eastAsia="仿宋" w:cs="仿宋"/>
          <w:b/>
          <w:color w:val="auto"/>
          <w:highlight w:val="none"/>
        </w:rPr>
        <w:t>2.5 电力管线要素代码表</w:t>
      </w:r>
    </w:p>
    <w:tbl>
      <w:tblPr>
        <w:tblStyle w:val="43"/>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382"/>
        <w:gridCol w:w="1381"/>
        <w:gridCol w:w="1381"/>
        <w:gridCol w:w="1381"/>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80"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管线小类</w:t>
            </w:r>
          </w:p>
        </w:tc>
        <w:tc>
          <w:tcPr>
            <w:tcW w:w="1382"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要素名称</w:t>
            </w:r>
          </w:p>
        </w:tc>
        <w:tc>
          <w:tcPr>
            <w:tcW w:w="1381" w:type="dxa"/>
            <w:noWrap/>
            <w:vAlign w:val="center"/>
          </w:tcPr>
          <w:p>
            <w:pPr>
              <w:tabs>
                <w:tab w:val="left" w:pos="794"/>
              </w:tabs>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c>
          <w:tcPr>
            <w:tcW w:w="1381"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管线小类</w:t>
            </w:r>
          </w:p>
        </w:tc>
        <w:tc>
          <w:tcPr>
            <w:tcW w:w="1381"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要素名称</w:t>
            </w:r>
          </w:p>
        </w:tc>
        <w:tc>
          <w:tcPr>
            <w:tcW w:w="1383"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供电</w:t>
            </w:r>
          </w:p>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高压管段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55011001</w:t>
            </w:r>
          </w:p>
        </w:tc>
        <w:tc>
          <w:tcPr>
            <w:tcW w:w="1381"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路灯</w:t>
            </w:r>
          </w:p>
          <w:p>
            <w:pPr>
              <w:jc w:val="center"/>
              <w:rPr>
                <w:rFonts w:ascii="仿宋" w:hAnsi="仿宋" w:eastAsia="仿宋" w:cs="仿宋"/>
                <w:color w:val="auto"/>
                <w:highlight w:val="none"/>
              </w:rPr>
            </w:pPr>
          </w:p>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中压管段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55011002</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分支</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低压管段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55011003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电力沟</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其他管段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55011004</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55012101</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分支</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55012102</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变压器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电力沟</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55012103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55012104</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接线箱</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55012105</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通风井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变压器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55012201</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控制柜</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55012202</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环网柜</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接线箱</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55012203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开关器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通风井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55012204</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人孔井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控制柜</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55012205</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手孔</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环网柜</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55012206</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变电所</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开关器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55012207</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配电房</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人孔井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55012208</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变电站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手孔</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55012209</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箱式开关站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变电所</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55012210</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电线杆</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配电房</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55012211</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灯杆</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变电站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55012212</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铁塔</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箱式开关站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55012213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钢管杆</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电线杆</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55012214</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电缆终端塔</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灯杆</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55012215</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沟槽</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铁塔</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55012216</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地下井室</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钢管杆</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55012217</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上杆</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电缆终端塔</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55012218</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路灯控制箱</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沟槽</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55012219</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地灯</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地下井室</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55012220</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路灯</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55022224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上杆</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55012221</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路灯面状要素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砼杆</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55012222</w:t>
            </w:r>
          </w:p>
        </w:tc>
        <w:tc>
          <w:tcPr>
            <w:tcW w:w="1381"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交通信号</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高压管段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π杆</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55012223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中压管段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铁杆</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55012224</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低压管段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vAlign w:val="center"/>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电力面状要素</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55013000</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其他管段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路灯</w:t>
            </w:r>
          </w:p>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高压管段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55021001</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中压管段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55021002</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分支</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低压管段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55021003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电力沟</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其他管段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55021004</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55032104</w:t>
            </w:r>
          </w:p>
        </w:tc>
      </w:tr>
    </w:tbl>
    <w:p>
      <w:pPr>
        <w:jc w:val="center"/>
        <w:rPr>
          <w:color w:val="auto"/>
          <w:highlight w:val="none"/>
        </w:rPr>
      </w:pPr>
    </w:p>
    <w:p>
      <w:pPr>
        <w:pStyle w:val="2"/>
        <w:jc w:val="center"/>
        <w:rPr>
          <w:color w:val="auto"/>
          <w:highlight w:val="none"/>
        </w:rPr>
      </w:pPr>
    </w:p>
    <w:tbl>
      <w:tblPr>
        <w:tblStyle w:val="43"/>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687"/>
        <w:gridCol w:w="1231"/>
        <w:gridCol w:w="1381"/>
        <w:gridCol w:w="1381"/>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25"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管线小类</w:t>
            </w:r>
          </w:p>
        </w:tc>
        <w:tc>
          <w:tcPr>
            <w:tcW w:w="1687"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要素名称</w:t>
            </w:r>
          </w:p>
        </w:tc>
        <w:tc>
          <w:tcPr>
            <w:tcW w:w="1231" w:type="dxa"/>
            <w:noWrap/>
            <w:vAlign w:val="center"/>
          </w:tcPr>
          <w:p>
            <w:pPr>
              <w:tabs>
                <w:tab w:val="left" w:pos="794"/>
              </w:tabs>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c>
          <w:tcPr>
            <w:tcW w:w="1381"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管线小类</w:t>
            </w:r>
          </w:p>
        </w:tc>
        <w:tc>
          <w:tcPr>
            <w:tcW w:w="1381"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要素名称</w:t>
            </w:r>
          </w:p>
        </w:tc>
        <w:tc>
          <w:tcPr>
            <w:tcW w:w="1383"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交通信号</w:t>
            </w:r>
          </w:p>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55032105</w:t>
            </w:r>
          </w:p>
        </w:tc>
        <w:tc>
          <w:tcPr>
            <w:tcW w:w="1381"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电车</w:t>
            </w:r>
          </w:p>
          <w:p>
            <w:pPr>
              <w:jc w:val="center"/>
              <w:rPr>
                <w:rFonts w:ascii="仿宋" w:hAnsi="仿宋" w:eastAsia="仿宋" w:cs="仿宋"/>
                <w:color w:val="auto"/>
                <w:highlight w:val="none"/>
              </w:rPr>
            </w:pPr>
          </w:p>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手孔</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变压器</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55032201</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变电所</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55032202</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配电房</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接线箱</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55032203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变电站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通风井</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55032204</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箱式开关站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控制柜</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55032205</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电线杆</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环网柜</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55032206</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灯杆</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开关器</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55032207</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铁塔</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人孔井</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55032208</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钢管杆</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手孔</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55032209</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电缆终端塔</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变电所</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55032210</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沟槽</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配电房</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55032211</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地下井室</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变电站</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55032212</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上杆</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eastAsia="en-US"/>
              </w:rPr>
              <w:t>55042221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箱式开关站</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55032213</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电车面状要素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电线杆</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55032214</w:t>
            </w:r>
          </w:p>
        </w:tc>
        <w:tc>
          <w:tcPr>
            <w:tcW w:w="1381"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广告</w:t>
            </w:r>
          </w:p>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高压管段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灯杆</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55032215</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中压管段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铁塔</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55032216</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低压管段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钢管杆</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55032217</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其他管段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电缆终端塔</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55032218</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沟槽</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55032219</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分支</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地下井室</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55032220</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电力沟</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vAlign w:val="center"/>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上杆</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55032221</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交通信号灯</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55032222</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交通信号面状要素</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55033000</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变压器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电车</w:t>
            </w:r>
          </w:p>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电车管段</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55041000</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55042101</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接线箱</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分支</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55042102</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通风井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电力沟</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55042103</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控制柜</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55042104</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环网柜</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55042105</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开关器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变压器</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55042201</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人孔井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55042202</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手孔</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vAlign w:val="center"/>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接线箱</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55042203</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变电所</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通风井</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55042204</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配电房</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控制柜</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55042205</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变电站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环网柜</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55042206</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箱式开关站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开关器</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55042207</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电线杆</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25" w:type="dxa"/>
            <w:vMerge w:val="continue"/>
            <w:shd w:val="clear" w:color="auto" w:fill="auto"/>
            <w:noWrap/>
          </w:tcPr>
          <w:p>
            <w:pPr>
              <w:jc w:val="center"/>
              <w:rPr>
                <w:rFonts w:ascii="仿宋" w:hAnsi="仿宋" w:eastAsia="仿宋" w:cs="仿宋"/>
                <w:color w:val="auto"/>
                <w:highlight w:val="none"/>
              </w:rPr>
            </w:pPr>
          </w:p>
        </w:tc>
        <w:tc>
          <w:tcPr>
            <w:tcW w:w="168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人孔井</w:t>
            </w:r>
          </w:p>
        </w:tc>
        <w:tc>
          <w:tcPr>
            <w:tcW w:w="123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55042208</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灯杆</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55052215</w:t>
            </w:r>
          </w:p>
        </w:tc>
      </w:tr>
    </w:tbl>
    <w:p>
      <w:pPr>
        <w:jc w:val="center"/>
        <w:rPr>
          <w:color w:val="auto"/>
          <w:highlight w:val="none"/>
        </w:rPr>
      </w:pPr>
    </w:p>
    <w:p>
      <w:pPr>
        <w:jc w:val="center"/>
        <w:rPr>
          <w:color w:val="auto"/>
          <w:highlight w:val="none"/>
        </w:rPr>
      </w:pPr>
    </w:p>
    <w:p>
      <w:pPr>
        <w:pStyle w:val="2"/>
        <w:jc w:val="center"/>
        <w:rPr>
          <w:color w:val="auto"/>
          <w:highlight w:val="none"/>
        </w:rPr>
      </w:pPr>
    </w:p>
    <w:p>
      <w:pPr>
        <w:pStyle w:val="2"/>
        <w:jc w:val="center"/>
        <w:rPr>
          <w:color w:val="auto"/>
          <w:highlight w:val="none"/>
        </w:rPr>
      </w:pPr>
    </w:p>
    <w:tbl>
      <w:tblPr>
        <w:tblStyle w:val="43"/>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381"/>
        <w:gridCol w:w="1381"/>
        <w:gridCol w:w="1381"/>
        <w:gridCol w:w="1894"/>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81"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管线小类</w:t>
            </w:r>
          </w:p>
        </w:tc>
        <w:tc>
          <w:tcPr>
            <w:tcW w:w="1381"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要素名称</w:t>
            </w:r>
          </w:p>
        </w:tc>
        <w:tc>
          <w:tcPr>
            <w:tcW w:w="1381" w:type="dxa"/>
            <w:noWrap/>
            <w:vAlign w:val="center"/>
          </w:tcPr>
          <w:p>
            <w:pPr>
              <w:tabs>
                <w:tab w:val="left" w:pos="794"/>
              </w:tabs>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c>
          <w:tcPr>
            <w:tcW w:w="1381"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管线小类</w:t>
            </w:r>
          </w:p>
        </w:tc>
        <w:tc>
          <w:tcPr>
            <w:tcW w:w="1894"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要素名称</w:t>
            </w:r>
          </w:p>
        </w:tc>
        <w:tc>
          <w:tcPr>
            <w:tcW w:w="1235"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广告</w:t>
            </w:r>
          </w:p>
          <w:p>
            <w:pPr>
              <w:jc w:val="center"/>
              <w:rPr>
                <w:rFonts w:ascii="仿宋" w:hAnsi="仿宋" w:eastAsia="仿宋" w:cs="仿宋"/>
                <w:color w:val="auto"/>
                <w:highlight w:val="none"/>
              </w:rPr>
            </w:pPr>
          </w:p>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铁塔</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55052216</w:t>
            </w:r>
          </w:p>
        </w:tc>
        <w:tc>
          <w:tcPr>
            <w:tcW w:w="1381"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高压输电</w:t>
            </w:r>
          </w:p>
          <w:p>
            <w:pPr>
              <w:jc w:val="center"/>
              <w:rPr>
                <w:rFonts w:ascii="仿宋" w:hAnsi="仿宋" w:eastAsia="仿宋" w:cs="仿宋"/>
                <w:color w:val="auto"/>
                <w:highlight w:val="none"/>
              </w:rPr>
            </w:pP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通风井</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钢管杆</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55052217</w:t>
            </w:r>
          </w:p>
        </w:tc>
        <w:tc>
          <w:tcPr>
            <w:tcW w:w="1381" w:type="dxa"/>
            <w:vMerge w:val="continue"/>
            <w:shd w:val="clear" w:color="auto" w:fill="auto"/>
            <w:noWrap/>
          </w:tcPr>
          <w:p>
            <w:pPr>
              <w:jc w:val="center"/>
              <w:rPr>
                <w:rFonts w:ascii="仿宋" w:hAnsi="仿宋" w:eastAsia="仿宋" w:cs="仿宋"/>
                <w:color w:val="auto"/>
                <w:highlight w:val="none"/>
              </w:rPr>
            </w:pP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控制柜</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电缆终端塔</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55052218</w:t>
            </w:r>
          </w:p>
        </w:tc>
        <w:tc>
          <w:tcPr>
            <w:tcW w:w="1381" w:type="dxa"/>
            <w:vMerge w:val="continue"/>
            <w:shd w:val="clear" w:color="auto" w:fill="auto"/>
            <w:noWrap/>
          </w:tcPr>
          <w:p>
            <w:pPr>
              <w:jc w:val="center"/>
              <w:rPr>
                <w:rFonts w:ascii="仿宋" w:hAnsi="仿宋" w:eastAsia="仿宋" w:cs="仿宋"/>
                <w:color w:val="auto"/>
                <w:highlight w:val="none"/>
              </w:rPr>
            </w:pP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环网柜</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沟槽</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55052219</w:t>
            </w:r>
          </w:p>
        </w:tc>
        <w:tc>
          <w:tcPr>
            <w:tcW w:w="1381" w:type="dxa"/>
            <w:vMerge w:val="continue"/>
            <w:shd w:val="clear" w:color="auto" w:fill="auto"/>
            <w:noWrap/>
          </w:tcPr>
          <w:p>
            <w:pPr>
              <w:jc w:val="center"/>
              <w:rPr>
                <w:rFonts w:ascii="仿宋" w:hAnsi="仿宋" w:eastAsia="仿宋" w:cs="仿宋"/>
                <w:color w:val="auto"/>
                <w:highlight w:val="none"/>
              </w:rPr>
            </w:pP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开关器</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地下井室</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55052220</w:t>
            </w:r>
          </w:p>
        </w:tc>
        <w:tc>
          <w:tcPr>
            <w:tcW w:w="1381" w:type="dxa"/>
            <w:vMerge w:val="continue"/>
            <w:shd w:val="clear" w:color="auto" w:fill="auto"/>
            <w:noWrap/>
          </w:tcPr>
          <w:p>
            <w:pPr>
              <w:jc w:val="center"/>
              <w:rPr>
                <w:rFonts w:ascii="仿宋" w:hAnsi="仿宋" w:eastAsia="仿宋" w:cs="仿宋"/>
                <w:color w:val="auto"/>
                <w:highlight w:val="none"/>
              </w:rPr>
            </w:pP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人孔井</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上杆</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55052221</w:t>
            </w:r>
          </w:p>
        </w:tc>
        <w:tc>
          <w:tcPr>
            <w:tcW w:w="1381" w:type="dxa"/>
            <w:vMerge w:val="continue"/>
            <w:shd w:val="clear" w:color="auto" w:fill="auto"/>
            <w:noWrap/>
          </w:tcPr>
          <w:p>
            <w:pPr>
              <w:jc w:val="center"/>
              <w:rPr>
                <w:rFonts w:ascii="仿宋" w:hAnsi="仿宋" w:eastAsia="仿宋" w:cs="仿宋"/>
                <w:color w:val="auto"/>
                <w:highlight w:val="none"/>
              </w:rPr>
            </w:pP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手孔</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广告牌</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55052222</w:t>
            </w:r>
          </w:p>
        </w:tc>
        <w:tc>
          <w:tcPr>
            <w:tcW w:w="1381" w:type="dxa"/>
            <w:vMerge w:val="continue"/>
            <w:shd w:val="clear" w:color="auto" w:fill="auto"/>
            <w:noWrap/>
          </w:tcPr>
          <w:p>
            <w:pPr>
              <w:jc w:val="center"/>
              <w:rPr>
                <w:rFonts w:ascii="仿宋" w:hAnsi="仿宋" w:eastAsia="仿宋" w:cs="仿宋"/>
                <w:color w:val="auto"/>
                <w:highlight w:val="none"/>
              </w:rPr>
            </w:pP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变电所</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广告面状要素</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55053000</w:t>
            </w:r>
          </w:p>
        </w:tc>
        <w:tc>
          <w:tcPr>
            <w:tcW w:w="1381" w:type="dxa"/>
            <w:vMerge w:val="continue"/>
            <w:shd w:val="clear" w:color="auto" w:fill="auto"/>
            <w:noWrap/>
          </w:tcPr>
          <w:p>
            <w:pPr>
              <w:jc w:val="center"/>
              <w:rPr>
                <w:rFonts w:ascii="仿宋" w:hAnsi="仿宋" w:eastAsia="仿宋" w:cs="仿宋"/>
                <w:color w:val="auto"/>
                <w:highlight w:val="none"/>
              </w:rPr>
            </w:pP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配电房</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高压输电</w:t>
            </w:r>
          </w:p>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高压管段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55061001</w:t>
            </w:r>
          </w:p>
        </w:tc>
        <w:tc>
          <w:tcPr>
            <w:tcW w:w="1381" w:type="dxa"/>
            <w:vMerge w:val="continue"/>
            <w:shd w:val="clear" w:color="auto" w:fill="auto"/>
            <w:noWrap/>
          </w:tcPr>
          <w:p>
            <w:pPr>
              <w:jc w:val="center"/>
              <w:rPr>
                <w:rFonts w:ascii="仿宋" w:hAnsi="仿宋" w:eastAsia="仿宋" w:cs="仿宋"/>
                <w:color w:val="auto"/>
                <w:highlight w:val="none"/>
              </w:rPr>
            </w:pP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变电站</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中压管段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55061002</w:t>
            </w:r>
          </w:p>
        </w:tc>
        <w:tc>
          <w:tcPr>
            <w:tcW w:w="1381" w:type="dxa"/>
            <w:vMerge w:val="continue"/>
            <w:shd w:val="clear" w:color="auto" w:fill="auto"/>
            <w:noWrap/>
          </w:tcPr>
          <w:p>
            <w:pPr>
              <w:jc w:val="center"/>
              <w:rPr>
                <w:rFonts w:ascii="仿宋" w:hAnsi="仿宋" w:eastAsia="仿宋" w:cs="仿宋"/>
                <w:color w:val="auto"/>
                <w:highlight w:val="none"/>
              </w:rPr>
            </w:pP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箱式开关站</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低压管段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55061003</w:t>
            </w:r>
          </w:p>
        </w:tc>
        <w:tc>
          <w:tcPr>
            <w:tcW w:w="1381" w:type="dxa"/>
            <w:vMerge w:val="continue"/>
            <w:shd w:val="clear" w:color="auto" w:fill="auto"/>
            <w:noWrap/>
          </w:tcPr>
          <w:p>
            <w:pPr>
              <w:jc w:val="center"/>
              <w:rPr>
                <w:rFonts w:ascii="仿宋" w:hAnsi="仿宋" w:eastAsia="仿宋" w:cs="仿宋"/>
                <w:color w:val="auto"/>
                <w:highlight w:val="none"/>
              </w:rPr>
            </w:pP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电线杆</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其他管段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55061004</w:t>
            </w:r>
          </w:p>
        </w:tc>
        <w:tc>
          <w:tcPr>
            <w:tcW w:w="1381" w:type="dxa"/>
            <w:vMerge w:val="continue"/>
            <w:shd w:val="clear" w:color="auto" w:fill="auto"/>
            <w:noWrap/>
          </w:tcPr>
          <w:p>
            <w:pPr>
              <w:jc w:val="center"/>
              <w:rPr>
                <w:rFonts w:ascii="仿宋" w:hAnsi="仿宋" w:eastAsia="仿宋" w:cs="仿宋"/>
                <w:color w:val="auto"/>
                <w:highlight w:val="none"/>
              </w:rPr>
            </w:pP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灯杆</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55062101</w:t>
            </w:r>
          </w:p>
        </w:tc>
        <w:tc>
          <w:tcPr>
            <w:tcW w:w="1381" w:type="dxa"/>
            <w:vMerge w:val="continue"/>
            <w:shd w:val="clear" w:color="auto" w:fill="auto"/>
            <w:noWrap/>
          </w:tcPr>
          <w:p>
            <w:pPr>
              <w:jc w:val="center"/>
              <w:rPr>
                <w:rFonts w:ascii="仿宋" w:hAnsi="仿宋" w:eastAsia="仿宋" w:cs="仿宋"/>
                <w:color w:val="auto"/>
                <w:highlight w:val="none"/>
              </w:rPr>
            </w:pP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铁塔</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分支</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55062102</w:t>
            </w:r>
          </w:p>
        </w:tc>
        <w:tc>
          <w:tcPr>
            <w:tcW w:w="1381" w:type="dxa"/>
            <w:vMerge w:val="continue"/>
            <w:shd w:val="clear" w:color="auto" w:fill="auto"/>
            <w:noWrap/>
          </w:tcPr>
          <w:p>
            <w:pPr>
              <w:jc w:val="center"/>
              <w:rPr>
                <w:rFonts w:ascii="仿宋" w:hAnsi="仿宋" w:eastAsia="仿宋" w:cs="仿宋"/>
                <w:color w:val="auto"/>
                <w:highlight w:val="none"/>
              </w:rPr>
            </w:pP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钢管杆</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电力沟</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55062103</w:t>
            </w:r>
          </w:p>
        </w:tc>
        <w:tc>
          <w:tcPr>
            <w:tcW w:w="1381" w:type="dxa"/>
            <w:vMerge w:val="continue"/>
            <w:shd w:val="clear" w:color="auto" w:fill="auto"/>
            <w:noWrap/>
          </w:tcPr>
          <w:p>
            <w:pPr>
              <w:jc w:val="center"/>
              <w:rPr>
                <w:rFonts w:ascii="仿宋" w:hAnsi="仿宋" w:eastAsia="仿宋" w:cs="仿宋"/>
                <w:color w:val="auto"/>
                <w:highlight w:val="none"/>
              </w:rPr>
            </w:pP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电缆终端塔</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55062104</w:t>
            </w:r>
          </w:p>
        </w:tc>
        <w:tc>
          <w:tcPr>
            <w:tcW w:w="1381" w:type="dxa"/>
            <w:vMerge w:val="continue"/>
            <w:shd w:val="clear" w:color="auto" w:fill="auto"/>
            <w:noWrap/>
          </w:tcPr>
          <w:p>
            <w:pPr>
              <w:jc w:val="center"/>
              <w:rPr>
                <w:rFonts w:ascii="仿宋" w:hAnsi="仿宋" w:eastAsia="仿宋" w:cs="仿宋"/>
                <w:color w:val="auto"/>
                <w:highlight w:val="none"/>
              </w:rPr>
            </w:pP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沟槽</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55062105</w:t>
            </w:r>
          </w:p>
        </w:tc>
        <w:tc>
          <w:tcPr>
            <w:tcW w:w="1381" w:type="dxa"/>
            <w:vMerge w:val="continue"/>
            <w:shd w:val="clear" w:color="auto" w:fill="auto"/>
            <w:noWrap/>
          </w:tcPr>
          <w:p>
            <w:pPr>
              <w:jc w:val="center"/>
              <w:rPr>
                <w:rFonts w:ascii="仿宋" w:hAnsi="仿宋" w:eastAsia="仿宋" w:cs="仿宋"/>
                <w:color w:val="auto"/>
                <w:highlight w:val="none"/>
              </w:rPr>
            </w:pP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地下井室</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变压器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55062201</w:t>
            </w:r>
          </w:p>
        </w:tc>
        <w:tc>
          <w:tcPr>
            <w:tcW w:w="1381" w:type="dxa"/>
            <w:vMerge w:val="continue"/>
            <w:shd w:val="clear" w:color="auto" w:fill="auto"/>
            <w:noWrap/>
          </w:tcPr>
          <w:p>
            <w:pPr>
              <w:jc w:val="center"/>
              <w:rPr>
                <w:rFonts w:ascii="仿宋" w:hAnsi="仿宋" w:eastAsia="仿宋" w:cs="仿宋"/>
                <w:color w:val="auto"/>
                <w:highlight w:val="none"/>
              </w:rPr>
            </w:pP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上杆</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55062202</w:t>
            </w:r>
          </w:p>
        </w:tc>
        <w:tc>
          <w:tcPr>
            <w:tcW w:w="1381" w:type="dxa"/>
            <w:vMerge w:val="continue"/>
            <w:shd w:val="clear" w:color="auto" w:fill="auto"/>
            <w:noWrap/>
          </w:tcPr>
          <w:p>
            <w:pPr>
              <w:jc w:val="center"/>
              <w:rPr>
                <w:rFonts w:ascii="仿宋" w:hAnsi="仿宋" w:eastAsia="仿宋" w:cs="仿宋"/>
                <w:color w:val="auto"/>
                <w:highlight w:val="none"/>
              </w:rPr>
            </w:pP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高压输电面状要素</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接线箱</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55062203</w:t>
            </w:r>
          </w:p>
        </w:tc>
        <w:tc>
          <w:tcPr>
            <w:tcW w:w="1381" w:type="dxa"/>
            <w:shd w:val="clear" w:color="auto" w:fill="auto"/>
            <w:noWrap/>
          </w:tcPr>
          <w:p>
            <w:pPr>
              <w:jc w:val="center"/>
              <w:rPr>
                <w:rFonts w:ascii="仿宋" w:hAnsi="仿宋" w:eastAsia="仿宋" w:cs="仿宋"/>
                <w:color w:val="auto"/>
                <w:highlight w:val="none"/>
              </w:rPr>
            </w:pPr>
            <w:r>
              <w:rPr>
                <w:rFonts w:hint="eastAsia" w:ascii="仿宋" w:hAnsi="仿宋" w:eastAsia="仿宋" w:cs="仿宋"/>
                <w:b/>
                <w:color w:val="auto"/>
                <w:kern w:val="0"/>
                <w:sz w:val="18"/>
                <w:szCs w:val="18"/>
                <w:highlight w:val="none"/>
              </w:rPr>
              <w:t>其他</w:t>
            </w:r>
          </w:p>
        </w:tc>
        <w:tc>
          <w:tcPr>
            <w:tcW w:w="189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rPr>
              <w:t>其他</w:t>
            </w:r>
          </w:p>
        </w:tc>
        <w:tc>
          <w:tcPr>
            <w:tcW w:w="1235"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55990000</w:t>
            </w:r>
          </w:p>
        </w:tc>
      </w:tr>
    </w:tbl>
    <w:p>
      <w:pPr>
        <w:jc w:val="center"/>
        <w:rPr>
          <w:color w:val="auto"/>
          <w:highlight w:val="none"/>
        </w:rPr>
      </w:pPr>
    </w:p>
    <w:p>
      <w:pPr>
        <w:spacing w:line="560" w:lineRule="exact"/>
        <w:ind w:firstLine="315" w:firstLineChars="150"/>
        <w:jc w:val="center"/>
        <w:rPr>
          <w:rFonts w:ascii="仿宋" w:hAnsi="仿宋" w:eastAsia="仿宋" w:cs="仿宋"/>
          <w:b/>
          <w:color w:val="auto"/>
          <w:highlight w:val="none"/>
        </w:rPr>
      </w:pPr>
      <w:r>
        <w:rPr>
          <w:color w:val="auto"/>
          <w:highlight w:val="none"/>
        </w:rPr>
        <w:br w:type="page"/>
      </w:r>
      <w:r>
        <w:rPr>
          <w:rFonts w:hint="eastAsia" w:ascii="仿宋" w:hAnsi="仿宋" w:eastAsia="仿宋" w:cs="仿宋"/>
          <w:b/>
          <w:color w:val="auto"/>
          <w:highlight w:val="none"/>
        </w:rPr>
        <w:t>附表A.</w:t>
      </w:r>
      <w:r>
        <w:rPr>
          <w:rFonts w:ascii="仿宋" w:hAnsi="仿宋" w:eastAsia="仿宋" w:cs="仿宋"/>
          <w:b/>
          <w:color w:val="auto"/>
          <w:highlight w:val="none"/>
        </w:rPr>
        <w:t>1</w:t>
      </w:r>
      <w:r>
        <w:rPr>
          <w:rFonts w:hint="eastAsia" w:ascii="仿宋" w:hAnsi="仿宋" w:eastAsia="仿宋" w:cs="仿宋"/>
          <w:b/>
          <w:color w:val="auto"/>
          <w:highlight w:val="none"/>
        </w:rPr>
        <w:t>2.6 通信管线要素代码表</w:t>
      </w:r>
    </w:p>
    <w:tbl>
      <w:tblPr>
        <w:tblStyle w:val="43"/>
        <w:tblW w:w="8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413"/>
        <w:gridCol w:w="1350"/>
        <w:gridCol w:w="1194"/>
        <w:gridCol w:w="1750"/>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93"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管线小类</w:t>
            </w:r>
          </w:p>
        </w:tc>
        <w:tc>
          <w:tcPr>
            <w:tcW w:w="1413"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要素名称</w:t>
            </w:r>
          </w:p>
        </w:tc>
        <w:tc>
          <w:tcPr>
            <w:tcW w:w="1350" w:type="dxa"/>
            <w:noWrap/>
            <w:vAlign w:val="center"/>
          </w:tcPr>
          <w:p>
            <w:pPr>
              <w:tabs>
                <w:tab w:val="left" w:pos="794"/>
              </w:tabs>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c>
          <w:tcPr>
            <w:tcW w:w="1194"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管线小类</w:t>
            </w:r>
          </w:p>
        </w:tc>
        <w:tc>
          <w:tcPr>
            <w:tcW w:w="1750"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要素名称</w:t>
            </w:r>
          </w:p>
        </w:tc>
        <w:tc>
          <w:tcPr>
            <w:tcW w:w="1250"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电话</w:t>
            </w:r>
          </w:p>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电话管段</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56011000</w:t>
            </w:r>
          </w:p>
        </w:tc>
        <w:tc>
          <w:tcPr>
            <w:tcW w:w="1194"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有电线视</w:t>
            </w:r>
          </w:p>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放大器</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直通</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56012101</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交换站</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分支</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56012102</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基站</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56012103</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地下井室</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56012104</w:t>
            </w:r>
          </w:p>
        </w:tc>
        <w:tc>
          <w:tcPr>
            <w:tcW w:w="1194" w:type="dxa"/>
            <w:vMerge w:val="continue"/>
            <w:shd w:val="clear" w:color="auto" w:fill="auto"/>
            <w:noWrap/>
            <w:vAlign w:val="center"/>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上杆</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人孔</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56012201</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有线电视面状要素</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手孔</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56012202</w:t>
            </w:r>
          </w:p>
        </w:tc>
        <w:tc>
          <w:tcPr>
            <w:tcW w:w="1194"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lang w:val="zh-CN"/>
              </w:rPr>
              <w:t>信息网络</w:t>
            </w:r>
          </w:p>
          <w:p>
            <w:pPr>
              <w:jc w:val="center"/>
              <w:rPr>
                <w:rFonts w:ascii="仿宋" w:hAnsi="仿宋" w:eastAsia="仿宋" w:cs="仿宋"/>
                <w:color w:val="auto"/>
                <w:highlight w:val="none"/>
              </w:rPr>
            </w:pPr>
          </w:p>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信息网络管段</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分线箱</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56012203</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直通</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接线箱</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56012204</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分支</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交接箱</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56012205</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机楼</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56012206</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线杆</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56012207</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人孔</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控制室</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56012208</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手孔</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差转台</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56012209</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分线箱</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发射塔</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56012210</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接线箱</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放大器</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56012211</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交接箱</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交换站</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56012212</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机楼</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基站</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56012213</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线杆</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地下井室</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56012214</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控制室</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上杆</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56012215</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差转台</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电话亭</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56012216</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发射塔</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电话面状要素</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56013000</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放大器</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有线电视</w:t>
            </w:r>
          </w:p>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有线电视管段</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56021000</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交换站</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直通</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56022101</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基站</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分支</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56022102</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地下井室</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56022103</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上杆</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56022104</w:t>
            </w:r>
          </w:p>
        </w:tc>
        <w:tc>
          <w:tcPr>
            <w:tcW w:w="1194" w:type="dxa"/>
            <w:vMerge w:val="continue"/>
            <w:shd w:val="clear" w:color="auto" w:fill="auto"/>
            <w:noWrap/>
            <w:vAlign w:val="center"/>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电话亭</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人孔</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56022201</w:t>
            </w:r>
          </w:p>
        </w:tc>
        <w:tc>
          <w:tcPr>
            <w:tcW w:w="1194" w:type="dxa"/>
            <w:vMerge w:val="continue"/>
            <w:shd w:val="clear" w:color="auto" w:fill="auto"/>
            <w:noWrap/>
            <w:vAlign w:val="center"/>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信息网络面状要素</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56033000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手孔</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56022202</w:t>
            </w:r>
          </w:p>
        </w:tc>
        <w:tc>
          <w:tcPr>
            <w:tcW w:w="1194" w:type="dxa"/>
            <w:vMerge w:val="restart"/>
            <w:shd w:val="clear" w:color="auto" w:fill="auto"/>
            <w:noWrap/>
            <w:vAlign w:val="center"/>
          </w:tcPr>
          <w:p>
            <w:pPr>
              <w:jc w:val="center"/>
              <w:rPr>
                <w:rFonts w:ascii="仿宋" w:hAnsi="仿宋" w:eastAsia="仿宋" w:cs="仿宋"/>
                <w:color w:val="auto"/>
                <w:highlight w:val="none"/>
              </w:rPr>
            </w:pPr>
            <w:r>
              <w:rPr>
                <w:rFonts w:hint="eastAsia" w:ascii="仿宋" w:hAnsi="仿宋" w:eastAsia="仿宋" w:cs="仿宋"/>
                <w:b/>
                <w:color w:val="auto"/>
                <w:kern w:val="0"/>
                <w:sz w:val="18"/>
                <w:szCs w:val="18"/>
                <w:highlight w:val="none"/>
                <w:lang w:val="zh-CN"/>
              </w:rPr>
              <w:t>广播</w:t>
            </w: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广播管段</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分线箱</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56022203</w:t>
            </w:r>
          </w:p>
        </w:tc>
        <w:tc>
          <w:tcPr>
            <w:tcW w:w="1194" w:type="dxa"/>
            <w:vMerge w:val="continue"/>
            <w:shd w:val="clear" w:color="auto" w:fill="auto"/>
            <w:noWrap/>
            <w:vAlign w:val="center"/>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直通</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接线箱</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56022204</w:t>
            </w:r>
          </w:p>
        </w:tc>
        <w:tc>
          <w:tcPr>
            <w:tcW w:w="1194" w:type="dxa"/>
            <w:vMerge w:val="continue"/>
            <w:shd w:val="clear" w:color="auto" w:fill="auto"/>
            <w:noWrap/>
            <w:vAlign w:val="center"/>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分支</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vAlign w:val="center"/>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交接箱</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56022205</w:t>
            </w:r>
          </w:p>
        </w:tc>
        <w:tc>
          <w:tcPr>
            <w:tcW w:w="1194" w:type="dxa"/>
            <w:vMerge w:val="continue"/>
            <w:shd w:val="clear" w:color="auto" w:fill="auto"/>
            <w:noWrap/>
            <w:vAlign w:val="center"/>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井</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56022206</w:t>
            </w:r>
          </w:p>
        </w:tc>
        <w:tc>
          <w:tcPr>
            <w:tcW w:w="1194" w:type="dxa"/>
            <w:vMerge w:val="continue"/>
            <w:shd w:val="clear" w:color="auto" w:fill="auto"/>
            <w:noWrap/>
            <w:vAlign w:val="center"/>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机楼</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56022207</w:t>
            </w:r>
          </w:p>
        </w:tc>
        <w:tc>
          <w:tcPr>
            <w:tcW w:w="1194" w:type="dxa"/>
            <w:vMerge w:val="continue"/>
            <w:shd w:val="clear" w:color="auto" w:fill="auto"/>
            <w:noWrap/>
            <w:vAlign w:val="center"/>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人孔</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线杆</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56022208</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分线箱</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控制室</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56022209</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接线箱</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差转台</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56022210</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交接箱</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3" w:type="dxa"/>
            <w:vMerge w:val="continue"/>
            <w:shd w:val="clear" w:color="auto" w:fill="auto"/>
            <w:noWrap/>
          </w:tcPr>
          <w:p>
            <w:pPr>
              <w:jc w:val="center"/>
              <w:rPr>
                <w:rFonts w:ascii="仿宋" w:hAnsi="仿宋" w:eastAsia="仿宋" w:cs="仿宋"/>
                <w:color w:val="auto"/>
                <w:highlight w:val="none"/>
              </w:rPr>
            </w:pPr>
          </w:p>
        </w:tc>
        <w:tc>
          <w:tcPr>
            <w:tcW w:w="14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发射塔</w:t>
            </w:r>
          </w:p>
        </w:tc>
        <w:tc>
          <w:tcPr>
            <w:tcW w:w="13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56022211</w:t>
            </w:r>
          </w:p>
        </w:tc>
        <w:tc>
          <w:tcPr>
            <w:tcW w:w="1194" w:type="dxa"/>
            <w:vMerge w:val="continue"/>
            <w:shd w:val="clear" w:color="auto" w:fill="auto"/>
            <w:noWrap/>
          </w:tcPr>
          <w:p>
            <w:pPr>
              <w:jc w:val="center"/>
              <w:rPr>
                <w:rFonts w:ascii="仿宋" w:hAnsi="仿宋" w:eastAsia="仿宋" w:cs="仿宋"/>
                <w:color w:val="auto"/>
                <w:highlight w:val="none"/>
              </w:rPr>
            </w:pPr>
          </w:p>
        </w:tc>
        <w:tc>
          <w:tcPr>
            <w:tcW w:w="17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井</w:t>
            </w:r>
          </w:p>
        </w:tc>
        <w:tc>
          <w:tcPr>
            <w:tcW w:w="1250"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56042206</w:t>
            </w:r>
          </w:p>
        </w:tc>
      </w:tr>
    </w:tbl>
    <w:p>
      <w:pPr>
        <w:jc w:val="center"/>
        <w:rPr>
          <w:color w:val="auto"/>
          <w:highlight w:val="none"/>
        </w:rPr>
      </w:pPr>
    </w:p>
    <w:p>
      <w:pPr>
        <w:pStyle w:val="2"/>
        <w:ind w:right="420"/>
        <w:jc w:val="center"/>
        <w:rPr>
          <w:color w:val="auto"/>
          <w:highlight w:val="none"/>
        </w:rPr>
      </w:pPr>
    </w:p>
    <w:p>
      <w:pPr>
        <w:pStyle w:val="2"/>
        <w:ind w:right="420"/>
        <w:jc w:val="center"/>
        <w:rPr>
          <w:color w:val="auto"/>
          <w:highlight w:val="none"/>
        </w:rPr>
      </w:pPr>
    </w:p>
    <w:tbl>
      <w:tblPr>
        <w:tblStyle w:val="43"/>
        <w:tblW w:w="8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381"/>
        <w:gridCol w:w="1381"/>
        <w:gridCol w:w="1381"/>
        <w:gridCol w:w="188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69"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管线小类</w:t>
            </w:r>
          </w:p>
        </w:tc>
        <w:tc>
          <w:tcPr>
            <w:tcW w:w="1381"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要素名称</w:t>
            </w:r>
          </w:p>
        </w:tc>
        <w:tc>
          <w:tcPr>
            <w:tcW w:w="1381" w:type="dxa"/>
            <w:noWrap/>
            <w:vAlign w:val="center"/>
          </w:tcPr>
          <w:p>
            <w:pPr>
              <w:tabs>
                <w:tab w:val="left" w:pos="794"/>
              </w:tabs>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c>
          <w:tcPr>
            <w:tcW w:w="1381"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管线小类</w:t>
            </w:r>
          </w:p>
        </w:tc>
        <w:tc>
          <w:tcPr>
            <w:tcW w:w="1884"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要素名称</w:t>
            </w:r>
          </w:p>
        </w:tc>
        <w:tc>
          <w:tcPr>
            <w:tcW w:w="1276"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lang w:val="zh-CN"/>
              </w:rPr>
              <w:t>广播</w:t>
            </w:r>
          </w:p>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机楼</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56042207</w:t>
            </w:r>
          </w:p>
        </w:tc>
        <w:tc>
          <w:tcPr>
            <w:tcW w:w="1381" w:type="dxa"/>
            <w:vMerge w:val="restart"/>
            <w:shd w:val="clear" w:color="auto" w:fill="auto"/>
            <w:noWrap/>
            <w:vAlign w:val="center"/>
          </w:tcPr>
          <w:p>
            <w:pPr>
              <w:jc w:val="center"/>
              <w:rPr>
                <w:rFonts w:ascii="仿宋" w:hAnsi="仿宋" w:eastAsia="仿宋" w:cs="仿宋"/>
                <w:b/>
                <w:color w:val="auto"/>
                <w:kern w:val="0"/>
                <w:sz w:val="18"/>
                <w:szCs w:val="18"/>
                <w:highlight w:val="none"/>
                <w:lang w:val="zh-CN"/>
              </w:rPr>
            </w:pPr>
            <w:r>
              <w:rPr>
                <w:rFonts w:hint="eastAsia" w:ascii="仿宋" w:hAnsi="仿宋" w:eastAsia="仿宋" w:cs="仿宋"/>
                <w:b/>
                <w:color w:val="auto"/>
                <w:kern w:val="0"/>
                <w:sz w:val="18"/>
                <w:szCs w:val="18"/>
                <w:highlight w:val="none"/>
                <w:lang w:val="zh-CN"/>
              </w:rPr>
              <w:t>陆地通信</w:t>
            </w:r>
          </w:p>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交换站</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线杆</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56042208</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基站</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控制室</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56042209</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地下井室</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差转台</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56042210</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上杆</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发射塔</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56042211</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highlight w:val="none"/>
              </w:rPr>
            </w:pPr>
            <w:r>
              <w:rPr>
                <w:rStyle w:val="247"/>
                <w:rFonts w:hint="default" w:ascii="仿宋" w:hAnsi="仿宋" w:eastAsia="仿宋" w:cs="仿宋"/>
                <w:color w:val="auto"/>
                <w:sz w:val="18"/>
                <w:highlight w:val="none"/>
              </w:rPr>
              <w:t>陆地通信</w:t>
            </w:r>
            <w:r>
              <w:rPr>
                <w:rStyle w:val="247"/>
                <w:rFonts w:hint="default" w:ascii="仿宋" w:hAnsi="仿宋" w:eastAsia="仿宋" w:cs="仿宋"/>
                <w:color w:val="auto"/>
                <w:sz w:val="18"/>
                <w:szCs w:val="18"/>
                <w:highlight w:val="none"/>
                <w:lang w:val="zh-CN"/>
              </w:rPr>
              <w:t>面状要素</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放大器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56042212</w:t>
            </w:r>
          </w:p>
        </w:tc>
        <w:tc>
          <w:tcPr>
            <w:tcW w:w="1381" w:type="dxa"/>
            <w:vMerge w:val="restart"/>
            <w:shd w:val="clear" w:color="auto" w:fill="auto"/>
            <w:noWrap/>
            <w:vAlign w:val="center"/>
          </w:tcPr>
          <w:p>
            <w:pPr>
              <w:jc w:val="center"/>
              <w:rPr>
                <w:rFonts w:ascii="仿宋" w:hAnsi="仿宋" w:eastAsia="仿宋" w:cs="仿宋"/>
                <w:b/>
                <w:color w:val="auto"/>
                <w:kern w:val="0"/>
                <w:sz w:val="18"/>
                <w:szCs w:val="18"/>
                <w:highlight w:val="none"/>
                <w:lang w:val="zh-CN"/>
              </w:rPr>
            </w:pPr>
            <w:r>
              <w:rPr>
                <w:rFonts w:hint="eastAsia" w:ascii="仿宋" w:hAnsi="仿宋" w:eastAsia="仿宋" w:cs="仿宋"/>
                <w:b/>
                <w:color w:val="auto"/>
                <w:kern w:val="0"/>
                <w:sz w:val="18"/>
                <w:szCs w:val="18"/>
                <w:highlight w:val="none"/>
                <w:lang w:val="zh-CN"/>
              </w:rPr>
              <w:t>水下光缆</w:t>
            </w:r>
          </w:p>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highlight w:val="none"/>
              </w:rPr>
            </w:pPr>
            <w:r>
              <w:rPr>
                <w:rStyle w:val="247"/>
                <w:rFonts w:hint="default" w:ascii="仿宋" w:hAnsi="仿宋" w:eastAsia="仿宋" w:cs="仿宋"/>
                <w:color w:val="auto"/>
                <w:sz w:val="18"/>
                <w:highlight w:val="none"/>
              </w:rPr>
              <w:t>水下光缆</w:t>
            </w:r>
            <w:r>
              <w:rPr>
                <w:rStyle w:val="247"/>
                <w:rFonts w:hint="default" w:ascii="仿宋" w:hAnsi="仿宋" w:eastAsia="仿宋" w:cs="仿宋"/>
                <w:color w:val="auto"/>
                <w:sz w:val="18"/>
                <w:szCs w:val="18"/>
                <w:highlight w:val="none"/>
                <w:lang w:val="zh-CN"/>
              </w:rPr>
              <w:t>管段</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56061000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交换站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56042213</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直通</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56062101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基站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56042214</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分支</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56062102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地下井室</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56042215</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预留口</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56062103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上杆</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56042216</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非普查</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56062104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广播面状要素</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56043000</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人孔</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56062201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restart"/>
            <w:shd w:val="clear" w:color="auto" w:fill="auto"/>
            <w:noWrap/>
            <w:vAlign w:val="center"/>
          </w:tcPr>
          <w:p>
            <w:pPr>
              <w:jc w:val="center"/>
              <w:rPr>
                <w:rFonts w:ascii="仿宋" w:hAnsi="仿宋" w:eastAsia="仿宋" w:cs="仿宋"/>
                <w:b/>
                <w:color w:val="auto"/>
                <w:kern w:val="0"/>
                <w:sz w:val="18"/>
                <w:szCs w:val="18"/>
                <w:highlight w:val="none"/>
                <w:lang w:val="zh-CN"/>
              </w:rPr>
            </w:pPr>
            <w:r>
              <w:rPr>
                <w:rFonts w:hint="eastAsia" w:ascii="仿宋" w:hAnsi="仿宋" w:eastAsia="仿宋" w:cs="仿宋"/>
                <w:b/>
                <w:color w:val="auto"/>
                <w:kern w:val="0"/>
                <w:sz w:val="18"/>
                <w:szCs w:val="18"/>
                <w:highlight w:val="none"/>
                <w:lang w:val="zh-CN"/>
              </w:rPr>
              <w:t>陆地通信</w:t>
            </w:r>
          </w:p>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highlight w:val="none"/>
              </w:rPr>
              <w:t>陆地通信</w:t>
            </w:r>
            <w:r>
              <w:rPr>
                <w:rStyle w:val="247"/>
                <w:rFonts w:hint="default" w:ascii="仿宋" w:hAnsi="仿宋" w:eastAsia="仿宋" w:cs="仿宋"/>
                <w:color w:val="auto"/>
                <w:sz w:val="18"/>
                <w:szCs w:val="18"/>
                <w:highlight w:val="none"/>
                <w:lang w:val="zh-CN"/>
              </w:rPr>
              <w:t>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56051000</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手孔</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56062202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直通</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56052101</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分线箱</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56062203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分支</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56052102</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接线箱</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56062204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56052103</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交接箱</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56062205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56052104</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机楼</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56062206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人孔</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56052201</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线杆</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56062207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手孔</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56052202</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控制室</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56062208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分线箱</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56052203</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差转台</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56062209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接线箱</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56052204</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发射塔</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56062210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交接箱</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56052205</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放大器</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56062211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机楼</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56052206</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交换站</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56062212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线杆</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56052207</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基站</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56062213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控制室</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56052208</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地下井室</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56062214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差转台</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56052209</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上杆</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56062215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发射塔</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56052210</w:t>
            </w:r>
          </w:p>
        </w:tc>
        <w:tc>
          <w:tcPr>
            <w:tcW w:w="1381" w:type="dxa"/>
            <w:vMerge w:val="continue"/>
            <w:shd w:val="clear" w:color="auto" w:fill="auto"/>
            <w:noWrap/>
          </w:tcPr>
          <w:p>
            <w:pPr>
              <w:jc w:val="center"/>
              <w:rPr>
                <w:rFonts w:ascii="仿宋" w:hAnsi="仿宋" w:eastAsia="仿宋" w:cs="仿宋"/>
                <w:color w:val="auto"/>
                <w:highlight w:val="none"/>
              </w:rPr>
            </w:pPr>
          </w:p>
        </w:tc>
        <w:tc>
          <w:tcPr>
            <w:tcW w:w="1884"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highlight w:val="none"/>
              </w:rPr>
              <w:t>水下光缆</w:t>
            </w:r>
            <w:r>
              <w:rPr>
                <w:rStyle w:val="247"/>
                <w:rFonts w:hint="default" w:ascii="仿宋" w:hAnsi="仿宋" w:eastAsia="仿宋" w:cs="仿宋"/>
                <w:color w:val="auto"/>
                <w:sz w:val="18"/>
                <w:szCs w:val="18"/>
                <w:highlight w:val="none"/>
                <w:lang w:val="zh-CN"/>
              </w:rPr>
              <w:t>面状要素</w:t>
            </w:r>
          </w:p>
        </w:tc>
        <w:tc>
          <w:tcPr>
            <w:tcW w:w="127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56063000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9"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放大器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56052211</w:t>
            </w:r>
          </w:p>
        </w:tc>
        <w:tc>
          <w:tcPr>
            <w:tcW w:w="1381" w:type="dxa"/>
            <w:shd w:val="clear" w:color="auto" w:fill="auto"/>
            <w:noWrap/>
          </w:tcPr>
          <w:p>
            <w:pPr>
              <w:jc w:val="center"/>
              <w:rPr>
                <w:rFonts w:ascii="仿宋" w:hAnsi="仿宋" w:eastAsia="仿宋" w:cs="仿宋"/>
                <w:color w:val="auto"/>
                <w:highlight w:val="none"/>
              </w:rPr>
            </w:pPr>
            <w:r>
              <w:rPr>
                <w:rFonts w:hint="eastAsia" w:ascii="仿宋" w:hAnsi="仿宋" w:eastAsia="仿宋" w:cs="仿宋"/>
                <w:b/>
                <w:color w:val="auto"/>
                <w:kern w:val="0"/>
                <w:sz w:val="18"/>
                <w:szCs w:val="18"/>
                <w:highlight w:val="none"/>
              </w:rPr>
              <w:t>其他</w:t>
            </w:r>
          </w:p>
        </w:tc>
        <w:tc>
          <w:tcPr>
            <w:tcW w:w="1884"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rPr>
              <w:t>其他</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5699000</w:t>
            </w:r>
          </w:p>
        </w:tc>
      </w:tr>
    </w:tbl>
    <w:p>
      <w:pPr>
        <w:jc w:val="center"/>
        <w:rPr>
          <w:rFonts w:ascii="仿宋" w:hAnsi="仿宋" w:eastAsia="仿宋" w:cs="仿宋"/>
          <w:b/>
          <w:color w:val="auto"/>
          <w:highlight w:val="none"/>
        </w:rPr>
      </w:pPr>
      <w:r>
        <w:rPr>
          <w:rFonts w:hint="eastAsia" w:ascii="仿宋" w:hAnsi="仿宋" w:eastAsia="仿宋" w:cs="仿宋"/>
          <w:b/>
          <w:color w:val="auto"/>
          <w:highlight w:val="none"/>
        </w:rPr>
        <w:br w:type="page"/>
      </w:r>
    </w:p>
    <w:p>
      <w:pPr>
        <w:pStyle w:val="2"/>
        <w:spacing w:line="560" w:lineRule="exact"/>
        <w:jc w:val="center"/>
        <w:rPr>
          <w:rFonts w:ascii="仿宋" w:hAnsi="仿宋" w:eastAsia="仿宋" w:cs="仿宋"/>
          <w:b/>
          <w:color w:val="auto"/>
          <w:highlight w:val="none"/>
        </w:rPr>
      </w:pPr>
      <w:r>
        <w:rPr>
          <w:rFonts w:hint="eastAsia" w:ascii="仿宋" w:hAnsi="仿宋" w:eastAsia="仿宋" w:cs="仿宋"/>
          <w:b/>
          <w:color w:val="auto"/>
          <w:highlight w:val="none"/>
        </w:rPr>
        <w:t>附表A.</w:t>
      </w:r>
      <w:r>
        <w:rPr>
          <w:rFonts w:ascii="仿宋" w:hAnsi="仿宋" w:eastAsia="仿宋" w:cs="仿宋"/>
          <w:b/>
          <w:color w:val="auto"/>
          <w:highlight w:val="none"/>
        </w:rPr>
        <w:t>1</w:t>
      </w:r>
      <w:r>
        <w:rPr>
          <w:rFonts w:hint="eastAsia" w:ascii="仿宋" w:hAnsi="仿宋" w:eastAsia="仿宋" w:cs="仿宋"/>
          <w:b/>
          <w:color w:val="auto"/>
          <w:highlight w:val="none"/>
        </w:rPr>
        <w:t>2.7工业管线要素代码表</w:t>
      </w:r>
    </w:p>
    <w:tbl>
      <w:tblPr>
        <w:tblStyle w:val="43"/>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382"/>
        <w:gridCol w:w="1381"/>
        <w:gridCol w:w="1381"/>
        <w:gridCol w:w="1381"/>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80"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管线小类</w:t>
            </w:r>
          </w:p>
        </w:tc>
        <w:tc>
          <w:tcPr>
            <w:tcW w:w="1382"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要素名称</w:t>
            </w:r>
          </w:p>
        </w:tc>
        <w:tc>
          <w:tcPr>
            <w:tcW w:w="1381" w:type="dxa"/>
            <w:noWrap/>
            <w:vAlign w:val="center"/>
          </w:tcPr>
          <w:p>
            <w:pPr>
              <w:tabs>
                <w:tab w:val="left" w:pos="794"/>
              </w:tabs>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c>
          <w:tcPr>
            <w:tcW w:w="1381"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管线小类</w:t>
            </w:r>
          </w:p>
        </w:tc>
        <w:tc>
          <w:tcPr>
            <w:tcW w:w="1381"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要素名称</w:t>
            </w:r>
          </w:p>
        </w:tc>
        <w:tc>
          <w:tcPr>
            <w:tcW w:w="1383"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restart"/>
            <w:shd w:val="clear" w:color="auto" w:fill="auto"/>
            <w:noWrap/>
            <w:vAlign w:val="center"/>
          </w:tcPr>
          <w:p>
            <w:pPr>
              <w:widowControl/>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rPr>
              <w:t>氢气</w:t>
            </w:r>
          </w:p>
          <w:p>
            <w:pPr>
              <w:jc w:val="center"/>
              <w:rPr>
                <w:rFonts w:ascii="仿宋" w:hAnsi="仿宋" w:eastAsia="仿宋" w:cs="仿宋"/>
                <w:b/>
                <w:color w:val="auto"/>
                <w:kern w:val="0"/>
                <w:sz w:val="18"/>
                <w:szCs w:val="18"/>
                <w:highlight w:val="none"/>
              </w:rPr>
            </w:pPr>
          </w:p>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氢气管段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57011000</w:t>
            </w:r>
          </w:p>
        </w:tc>
        <w:tc>
          <w:tcPr>
            <w:tcW w:w="1381" w:type="dxa"/>
            <w:vMerge w:val="restart"/>
            <w:shd w:val="clear" w:color="auto" w:fill="auto"/>
            <w:noWrap/>
            <w:vAlign w:val="center"/>
          </w:tcPr>
          <w:p>
            <w:pPr>
              <w:jc w:val="center"/>
              <w:rPr>
                <w:rFonts w:ascii="仿宋" w:hAnsi="仿宋" w:eastAsia="仿宋" w:cs="仿宋"/>
                <w:b/>
                <w:color w:val="auto"/>
                <w:kern w:val="0"/>
                <w:sz w:val="18"/>
                <w:szCs w:val="18"/>
                <w:highlight w:val="none"/>
                <w:lang w:val="zh-CN"/>
              </w:rPr>
            </w:pPr>
            <w:r>
              <w:rPr>
                <w:rFonts w:hint="eastAsia" w:ascii="仿宋" w:hAnsi="仿宋" w:eastAsia="仿宋" w:cs="仿宋"/>
                <w:b/>
                <w:color w:val="auto"/>
                <w:kern w:val="0"/>
                <w:sz w:val="18"/>
                <w:szCs w:val="18"/>
                <w:highlight w:val="none"/>
                <w:lang w:val="zh-CN"/>
              </w:rPr>
              <w:t>乙炔</w:t>
            </w:r>
          </w:p>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乙炔管段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57031000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冷却塔</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57012101</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冷却塔</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57032101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动力站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57012102</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动力站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57032102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57012103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57032103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57012104</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57032104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57012105</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57032106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57012106</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57032107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57012107</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出地点</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57032108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出地点</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57012108</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管堵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57032109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管堵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57012109</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57032110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57012110</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57032201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57012201</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57032202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57012202</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57032203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57012203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流量计</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57032204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流量计</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57012204</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补偿器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57032205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补偿器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57012205</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锅炉房</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57032206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锅炉房</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57012206</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泵站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57032207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泵站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57012207</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乙炔面状要素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57033000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氢气面状要素</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57013000</w:t>
            </w:r>
          </w:p>
        </w:tc>
        <w:tc>
          <w:tcPr>
            <w:tcW w:w="1381" w:type="dxa"/>
            <w:vMerge w:val="restart"/>
            <w:shd w:val="clear" w:color="auto" w:fill="auto"/>
            <w:noWrap/>
            <w:vAlign w:val="center"/>
          </w:tcPr>
          <w:p>
            <w:pPr>
              <w:jc w:val="center"/>
              <w:rPr>
                <w:rFonts w:ascii="仿宋" w:hAnsi="仿宋" w:eastAsia="仿宋" w:cs="仿宋"/>
                <w:b/>
                <w:color w:val="auto"/>
                <w:kern w:val="0"/>
                <w:sz w:val="18"/>
                <w:szCs w:val="18"/>
                <w:highlight w:val="none"/>
                <w:lang w:val="zh-CN"/>
              </w:rPr>
            </w:pPr>
            <w:r>
              <w:rPr>
                <w:rFonts w:hint="eastAsia" w:ascii="仿宋" w:hAnsi="仿宋" w:eastAsia="仿宋" w:cs="仿宋"/>
                <w:b/>
                <w:color w:val="auto"/>
                <w:kern w:val="0"/>
                <w:sz w:val="18"/>
                <w:szCs w:val="18"/>
                <w:highlight w:val="none"/>
                <w:lang w:val="zh-CN"/>
              </w:rPr>
              <w:t>乙烯</w:t>
            </w:r>
          </w:p>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乙烯管段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57041000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restart"/>
            <w:shd w:val="clear" w:color="auto" w:fill="auto"/>
            <w:noWrap/>
            <w:vAlign w:val="center"/>
          </w:tcPr>
          <w:p>
            <w:pPr>
              <w:widowControl/>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lang w:val="zh-CN"/>
              </w:rPr>
              <w:t>氧气</w:t>
            </w:r>
          </w:p>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氧气管段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57021000</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冷却塔</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57042101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冷却塔</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57022101</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动力站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57042102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动力站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57022102</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57042103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57022103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57042104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57022104</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57042105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57022105</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57042106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57022106</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57042107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57022107</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出地点</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57042108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出地点</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57022108</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管堵</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57042109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管堵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57022109</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57042110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57022110</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57022201</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阀门井</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57042202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vAlign w:val="center"/>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57022202</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57042203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57022203</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流量计</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57042204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流量计</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57022204</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补偿器</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57042205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补偿器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57022205</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锅炉房</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57042206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锅炉房</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57022206</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泵站</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57042207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泵站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57022207</w:t>
            </w:r>
          </w:p>
        </w:tc>
        <w:tc>
          <w:tcPr>
            <w:tcW w:w="1381" w:type="dxa"/>
            <w:vMerge w:val="continue"/>
            <w:shd w:val="clear" w:color="auto" w:fill="auto"/>
            <w:noWrap/>
            <w:vAlign w:val="center"/>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乙烯面状要素</w:t>
            </w: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57043000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80" w:type="dxa"/>
            <w:vMerge w:val="continue"/>
            <w:shd w:val="clear" w:color="auto" w:fill="auto"/>
            <w:noWrap/>
          </w:tcPr>
          <w:p>
            <w:pPr>
              <w:jc w:val="center"/>
              <w:rPr>
                <w:rFonts w:ascii="仿宋" w:hAnsi="仿宋" w:eastAsia="仿宋" w:cs="仿宋"/>
                <w:color w:val="auto"/>
                <w:highlight w:val="none"/>
              </w:rPr>
            </w:pPr>
          </w:p>
        </w:tc>
        <w:tc>
          <w:tcPr>
            <w:tcW w:w="1382"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氧气面状要素</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57023000</w:t>
            </w:r>
          </w:p>
        </w:tc>
        <w:tc>
          <w:tcPr>
            <w:tcW w:w="1381" w:type="dxa"/>
            <w:vMerge w:val="continue"/>
            <w:shd w:val="clear" w:color="auto" w:fill="auto"/>
            <w:noWrap/>
          </w:tcPr>
          <w:p>
            <w:pPr>
              <w:jc w:val="center"/>
              <w:rPr>
                <w:rFonts w:ascii="仿宋" w:hAnsi="仿宋" w:eastAsia="仿宋" w:cs="仿宋"/>
                <w:color w:val="auto"/>
                <w:highlight w:val="none"/>
              </w:rPr>
            </w:pP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p>
        </w:tc>
        <w:tc>
          <w:tcPr>
            <w:tcW w:w="138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p>
        </w:tc>
      </w:tr>
    </w:tbl>
    <w:p>
      <w:pPr>
        <w:jc w:val="center"/>
        <w:rPr>
          <w:color w:val="auto"/>
          <w:highlight w:val="none"/>
        </w:rPr>
      </w:pPr>
    </w:p>
    <w:tbl>
      <w:tblPr>
        <w:tblStyle w:val="43"/>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417"/>
        <w:gridCol w:w="1113"/>
        <w:gridCol w:w="1439"/>
        <w:gridCol w:w="170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413" w:type="dxa"/>
            <w:noWrap/>
            <w:vAlign w:val="center"/>
          </w:tcPr>
          <w:p>
            <w:pPr>
              <w:pStyle w:val="150"/>
              <w:ind w:firstLine="0" w:firstLineChars="0"/>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管线小类</w:t>
            </w:r>
          </w:p>
        </w:tc>
        <w:tc>
          <w:tcPr>
            <w:tcW w:w="1417" w:type="dxa"/>
            <w:noWrap/>
            <w:vAlign w:val="center"/>
          </w:tcPr>
          <w:p>
            <w:pPr>
              <w:pStyle w:val="150"/>
              <w:ind w:firstLine="0" w:firstLineChars="0"/>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要素名称</w:t>
            </w:r>
          </w:p>
        </w:tc>
        <w:tc>
          <w:tcPr>
            <w:tcW w:w="1113" w:type="dxa"/>
            <w:noWrap/>
            <w:vAlign w:val="center"/>
          </w:tcPr>
          <w:p>
            <w:pPr>
              <w:tabs>
                <w:tab w:val="left" w:pos="794"/>
              </w:tabs>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代码</w:t>
            </w:r>
          </w:p>
        </w:tc>
        <w:tc>
          <w:tcPr>
            <w:tcW w:w="1439" w:type="dxa"/>
            <w:noWrap/>
            <w:vAlign w:val="center"/>
          </w:tcPr>
          <w:p>
            <w:pPr>
              <w:widowControl/>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管线小类</w:t>
            </w:r>
          </w:p>
        </w:tc>
        <w:tc>
          <w:tcPr>
            <w:tcW w:w="1701" w:type="dxa"/>
            <w:noWrap/>
            <w:vAlign w:val="center"/>
          </w:tcPr>
          <w:p>
            <w:pPr>
              <w:widowControl/>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要素名称</w:t>
            </w:r>
          </w:p>
        </w:tc>
        <w:tc>
          <w:tcPr>
            <w:tcW w:w="1276" w:type="dxa"/>
            <w:noWrap/>
            <w:vAlign w:val="center"/>
          </w:tcPr>
          <w:p>
            <w:pPr>
              <w:widowControl/>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restart"/>
            <w:shd w:val="clear" w:color="auto" w:fill="auto"/>
            <w:noWrap/>
            <w:vAlign w:val="center"/>
          </w:tcPr>
          <w:p>
            <w:pPr>
              <w:jc w:val="center"/>
              <w:rPr>
                <w:rFonts w:ascii="仿宋" w:hAnsi="仿宋" w:eastAsia="仿宋" w:cs="仿宋"/>
                <w:b/>
                <w:color w:val="auto"/>
                <w:kern w:val="0"/>
                <w:sz w:val="18"/>
                <w:szCs w:val="18"/>
                <w:highlight w:val="none"/>
                <w:lang w:val="zh-CN"/>
              </w:rPr>
            </w:pPr>
            <w:r>
              <w:rPr>
                <w:rFonts w:hint="eastAsia" w:ascii="仿宋" w:hAnsi="仿宋" w:eastAsia="仿宋" w:cs="仿宋"/>
                <w:b/>
                <w:color w:val="auto"/>
                <w:kern w:val="0"/>
                <w:sz w:val="18"/>
                <w:szCs w:val="18"/>
                <w:highlight w:val="none"/>
                <w:lang w:val="zh-CN"/>
              </w:rPr>
              <w:t>苯</w:t>
            </w:r>
          </w:p>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苯管段</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57051000</w:t>
            </w:r>
          </w:p>
        </w:tc>
        <w:tc>
          <w:tcPr>
            <w:tcW w:w="1439" w:type="dxa"/>
            <w:vMerge w:val="restart"/>
            <w:shd w:val="clear" w:color="auto" w:fill="auto"/>
            <w:noWrap/>
            <w:vAlign w:val="center"/>
          </w:tcPr>
          <w:p>
            <w:pPr>
              <w:jc w:val="center"/>
              <w:rPr>
                <w:rFonts w:ascii="仿宋" w:hAnsi="仿宋" w:eastAsia="仿宋" w:cs="仿宋"/>
                <w:b/>
                <w:color w:val="auto"/>
                <w:kern w:val="0"/>
                <w:sz w:val="18"/>
                <w:szCs w:val="18"/>
                <w:highlight w:val="none"/>
                <w:lang w:val="zh-CN"/>
              </w:rPr>
            </w:pPr>
            <w:r>
              <w:rPr>
                <w:rFonts w:hint="eastAsia" w:ascii="仿宋" w:hAnsi="仿宋" w:eastAsia="仿宋" w:cs="仿宋"/>
                <w:b/>
                <w:color w:val="auto"/>
                <w:kern w:val="0"/>
                <w:sz w:val="18"/>
                <w:szCs w:val="18"/>
                <w:highlight w:val="none"/>
                <w:lang w:val="zh-CN"/>
              </w:rPr>
              <w:t>氮气</w:t>
            </w:r>
          </w:p>
          <w:p>
            <w:pPr>
              <w:jc w:val="center"/>
              <w:rPr>
                <w:rFonts w:ascii="仿宋" w:hAnsi="仿宋" w:eastAsia="仿宋" w:cs="仿宋"/>
                <w:color w:val="auto"/>
                <w:highlight w:val="none"/>
              </w:rPr>
            </w:pPr>
          </w:p>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氮气管段</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57071000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冷却塔</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570552101</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冷却塔</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57072101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动力站</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570552102</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动力站</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57072102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570552103</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57072103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57052104</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57072104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57052105</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57072105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57052106</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57072106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57052107</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57072107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出地点</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57052108</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出地点</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57072108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管堵</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57052109</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管堵</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57072109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570552110</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57072110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57052201</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57072201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阀门井</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57052202</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阀门井</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57072202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57052203</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57072203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流量计</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57052204</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流量计</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57072204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补偿器</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57052205</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补偿器</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57072205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锅炉房</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57052206</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锅炉房</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57072206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泵站</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57052207</w:t>
            </w:r>
          </w:p>
        </w:tc>
        <w:tc>
          <w:tcPr>
            <w:tcW w:w="1439" w:type="dxa"/>
            <w:vMerge w:val="continue"/>
            <w:shd w:val="clear" w:color="auto" w:fill="auto"/>
            <w:noWrap/>
            <w:vAlign w:val="center"/>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泵站</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57072207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苯面状要素</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57053000</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氮气面状要素</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57073000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restart"/>
            <w:shd w:val="clear" w:color="auto" w:fill="auto"/>
            <w:noWrap/>
            <w:vAlign w:val="center"/>
          </w:tcPr>
          <w:p>
            <w:pPr>
              <w:jc w:val="center"/>
              <w:rPr>
                <w:rFonts w:ascii="仿宋" w:hAnsi="仿宋" w:eastAsia="仿宋" w:cs="仿宋"/>
                <w:b/>
                <w:color w:val="auto"/>
                <w:kern w:val="0"/>
                <w:sz w:val="18"/>
                <w:szCs w:val="18"/>
                <w:highlight w:val="none"/>
                <w:lang w:val="zh-CN"/>
              </w:rPr>
            </w:pPr>
            <w:r>
              <w:rPr>
                <w:rFonts w:hint="eastAsia" w:ascii="仿宋" w:hAnsi="仿宋" w:eastAsia="仿宋" w:cs="仿宋"/>
                <w:b/>
                <w:color w:val="auto"/>
                <w:kern w:val="0"/>
                <w:sz w:val="18"/>
                <w:szCs w:val="18"/>
                <w:highlight w:val="none"/>
                <w:lang w:val="zh-CN"/>
              </w:rPr>
              <w:t>氯气</w:t>
            </w:r>
          </w:p>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氯气管段</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57061000</w:t>
            </w:r>
          </w:p>
        </w:tc>
        <w:tc>
          <w:tcPr>
            <w:tcW w:w="1439" w:type="dxa"/>
            <w:vMerge w:val="restart"/>
            <w:shd w:val="clear" w:color="auto" w:fill="auto"/>
            <w:noWrap/>
            <w:vAlign w:val="center"/>
          </w:tcPr>
          <w:p>
            <w:pPr>
              <w:jc w:val="center"/>
              <w:rPr>
                <w:rFonts w:ascii="仿宋" w:hAnsi="仿宋" w:eastAsia="仿宋" w:cs="仿宋"/>
                <w:b/>
                <w:color w:val="auto"/>
                <w:kern w:val="0"/>
                <w:sz w:val="18"/>
                <w:szCs w:val="18"/>
                <w:highlight w:val="none"/>
              </w:rPr>
            </w:pPr>
            <w:r>
              <w:rPr>
                <w:rFonts w:hint="eastAsia" w:ascii="仿宋" w:hAnsi="仿宋" w:eastAsia="仿宋" w:cs="仿宋"/>
                <w:b/>
                <w:color w:val="auto"/>
                <w:kern w:val="0"/>
                <w:sz w:val="18"/>
                <w:szCs w:val="18"/>
                <w:highlight w:val="none"/>
                <w:lang w:val="zh-CN"/>
              </w:rPr>
              <w:t>二氧化碳</w:t>
            </w:r>
          </w:p>
          <w:p>
            <w:pPr>
              <w:jc w:val="center"/>
              <w:rPr>
                <w:rFonts w:ascii="仿宋" w:hAnsi="仿宋" w:eastAsia="仿宋" w:cs="仿宋"/>
                <w:color w:val="auto"/>
                <w:highlight w:val="none"/>
              </w:rPr>
            </w:pPr>
          </w:p>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二氧化碳管段</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57081000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冷却塔</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57062101</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冷却塔</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57082101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动力站</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57062102</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动力站</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57082102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57062103</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57082103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57062104</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57082104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57062105</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57082105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57062106</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57082106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57062107</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57082107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出地点</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57062108</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出地点</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57082108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管堵</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57062109</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管堵</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57082109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57062110</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57082110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57062201</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57082201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阀门井</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57062202</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阀门井</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57082202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57062203</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57082203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流量计</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57062204</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流量计</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57082204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补偿器</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57062205</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补偿器</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57082205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vAlign w:val="center"/>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锅炉房</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57062206</w:t>
            </w:r>
          </w:p>
        </w:tc>
        <w:tc>
          <w:tcPr>
            <w:tcW w:w="1439" w:type="dxa"/>
            <w:vMerge w:val="continue"/>
            <w:shd w:val="clear" w:color="auto" w:fill="auto"/>
            <w:noWrap/>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锅炉房</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57082206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泵站</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57062207</w:t>
            </w:r>
          </w:p>
        </w:tc>
        <w:tc>
          <w:tcPr>
            <w:tcW w:w="1439" w:type="dxa"/>
            <w:vMerge w:val="continue"/>
            <w:shd w:val="clear" w:color="auto" w:fill="auto"/>
            <w:noWrap/>
            <w:vAlign w:val="center"/>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泵站</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57082207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氯气面状要素</w:t>
            </w:r>
          </w:p>
        </w:tc>
        <w:tc>
          <w:tcPr>
            <w:tcW w:w="1113"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57063000</w:t>
            </w:r>
          </w:p>
        </w:tc>
        <w:tc>
          <w:tcPr>
            <w:tcW w:w="1439" w:type="dxa"/>
            <w:vMerge w:val="continue"/>
            <w:shd w:val="clear" w:color="auto" w:fill="auto"/>
            <w:noWrap/>
            <w:vAlign w:val="center"/>
          </w:tcPr>
          <w:p>
            <w:pPr>
              <w:jc w:val="center"/>
              <w:rPr>
                <w:rFonts w:ascii="仿宋" w:hAnsi="仿宋" w:eastAsia="仿宋" w:cs="仿宋"/>
                <w:color w:val="auto"/>
                <w:highlight w:val="none"/>
              </w:rPr>
            </w:pPr>
          </w:p>
        </w:tc>
        <w:tc>
          <w:tcPr>
            <w:tcW w:w="170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二氧化碳面状要素</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57083000</w:t>
            </w:r>
          </w:p>
        </w:tc>
      </w:tr>
    </w:tbl>
    <w:p>
      <w:pPr>
        <w:jc w:val="center"/>
        <w:rPr>
          <w:color w:val="auto"/>
          <w:highlight w:val="none"/>
        </w:rPr>
      </w:pPr>
    </w:p>
    <w:p>
      <w:pPr>
        <w:pStyle w:val="2"/>
        <w:jc w:val="center"/>
        <w:rPr>
          <w:color w:val="auto"/>
          <w:highlight w:val="none"/>
        </w:rPr>
      </w:pPr>
    </w:p>
    <w:p>
      <w:pPr>
        <w:pStyle w:val="2"/>
        <w:jc w:val="center"/>
        <w:rPr>
          <w:color w:val="auto"/>
          <w:highlight w:val="none"/>
        </w:rPr>
      </w:pPr>
    </w:p>
    <w:tbl>
      <w:tblPr>
        <w:tblStyle w:val="43"/>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417"/>
        <w:gridCol w:w="1276"/>
        <w:gridCol w:w="1417"/>
        <w:gridCol w:w="1596"/>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55"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管线小类</w:t>
            </w:r>
          </w:p>
        </w:tc>
        <w:tc>
          <w:tcPr>
            <w:tcW w:w="1417"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要素名称</w:t>
            </w:r>
          </w:p>
        </w:tc>
        <w:tc>
          <w:tcPr>
            <w:tcW w:w="1276" w:type="dxa"/>
            <w:noWrap/>
            <w:vAlign w:val="center"/>
          </w:tcPr>
          <w:p>
            <w:pPr>
              <w:tabs>
                <w:tab w:val="left" w:pos="794"/>
              </w:tabs>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c>
          <w:tcPr>
            <w:tcW w:w="1417"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管线小类</w:t>
            </w:r>
          </w:p>
        </w:tc>
        <w:tc>
          <w:tcPr>
            <w:tcW w:w="1596"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要素名称</w:t>
            </w:r>
          </w:p>
        </w:tc>
        <w:tc>
          <w:tcPr>
            <w:tcW w:w="1381"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restart"/>
            <w:shd w:val="clear" w:color="auto" w:fill="auto"/>
            <w:noWrap/>
            <w:vAlign w:val="center"/>
          </w:tcPr>
          <w:p>
            <w:pPr>
              <w:jc w:val="center"/>
              <w:rPr>
                <w:rFonts w:ascii="仿宋" w:hAnsi="仿宋" w:eastAsia="仿宋" w:cs="仿宋"/>
                <w:b/>
                <w:color w:val="auto"/>
                <w:kern w:val="0"/>
                <w:sz w:val="18"/>
                <w:szCs w:val="18"/>
                <w:highlight w:val="none"/>
                <w:lang w:val="zh-CN"/>
              </w:rPr>
            </w:pPr>
            <w:r>
              <w:rPr>
                <w:rFonts w:hint="eastAsia" w:ascii="仿宋" w:hAnsi="仿宋" w:eastAsia="仿宋" w:cs="仿宋"/>
                <w:b/>
                <w:color w:val="auto"/>
                <w:kern w:val="0"/>
                <w:sz w:val="18"/>
                <w:szCs w:val="18"/>
                <w:highlight w:val="none"/>
                <w:lang w:val="zh-CN"/>
              </w:rPr>
              <w:t>氨气</w:t>
            </w:r>
          </w:p>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氨气管段</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57091000</w:t>
            </w:r>
          </w:p>
        </w:tc>
        <w:tc>
          <w:tcPr>
            <w:tcW w:w="1417" w:type="dxa"/>
            <w:vMerge w:val="restart"/>
            <w:shd w:val="clear" w:color="auto" w:fill="auto"/>
            <w:noWrap/>
            <w:vAlign w:val="center"/>
          </w:tcPr>
          <w:p>
            <w:pPr>
              <w:jc w:val="center"/>
              <w:rPr>
                <w:rFonts w:ascii="仿宋" w:hAnsi="仿宋" w:eastAsia="仿宋" w:cs="仿宋"/>
                <w:b/>
                <w:color w:val="auto"/>
                <w:kern w:val="0"/>
                <w:sz w:val="18"/>
                <w:szCs w:val="18"/>
                <w:highlight w:val="none"/>
                <w:lang w:val="zh-CN"/>
              </w:rPr>
            </w:pPr>
            <w:r>
              <w:rPr>
                <w:rFonts w:hint="eastAsia" w:ascii="仿宋" w:hAnsi="仿宋" w:eastAsia="仿宋" w:cs="仿宋"/>
                <w:b/>
                <w:color w:val="auto"/>
                <w:kern w:val="0"/>
                <w:sz w:val="18"/>
                <w:szCs w:val="18"/>
                <w:highlight w:val="none"/>
                <w:lang w:val="zh-CN"/>
              </w:rPr>
              <w:t>长途输油</w:t>
            </w:r>
          </w:p>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高压管段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冷却塔</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57092101</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动力站</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57092102</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变材</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57092103</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57092104</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57092105</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盲板</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57092106</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立管</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57092107</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登高</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出地点</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57092108</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沉降箱</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管堵</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57092109</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计量箱</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57092110</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信息球</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57092201</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阴极保护</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阀门井</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57092202</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牺牲阳极</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57092203</w:t>
            </w:r>
          </w:p>
        </w:tc>
        <w:tc>
          <w:tcPr>
            <w:tcW w:w="1417" w:type="dxa"/>
            <w:vMerge w:val="continue"/>
            <w:shd w:val="clear" w:color="auto" w:fill="auto"/>
            <w:noWrap/>
            <w:vAlign w:val="center"/>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流量计</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57092204</w:t>
            </w:r>
          </w:p>
        </w:tc>
        <w:tc>
          <w:tcPr>
            <w:tcW w:w="1417" w:type="dxa"/>
            <w:vMerge w:val="continue"/>
            <w:shd w:val="clear" w:color="auto" w:fill="auto"/>
            <w:noWrap/>
            <w:vAlign w:val="center"/>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补偿器</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57092205</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盖堵</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锅炉房</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57092206</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540" w:firstLineChars="30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泵站</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57092207</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检测井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氨气面状要素</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57093000</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restart"/>
            <w:shd w:val="clear" w:color="auto" w:fill="auto"/>
            <w:noWrap/>
            <w:vAlign w:val="center"/>
          </w:tcPr>
          <w:p>
            <w:pPr>
              <w:jc w:val="center"/>
              <w:rPr>
                <w:rFonts w:ascii="仿宋" w:hAnsi="仿宋" w:eastAsia="仿宋" w:cs="仿宋"/>
                <w:b/>
                <w:color w:val="auto"/>
                <w:kern w:val="0"/>
                <w:sz w:val="18"/>
                <w:szCs w:val="18"/>
                <w:highlight w:val="none"/>
                <w:lang w:val="zh-CN"/>
              </w:rPr>
            </w:pPr>
            <w:r>
              <w:rPr>
                <w:rFonts w:hint="eastAsia" w:ascii="仿宋" w:hAnsi="仿宋" w:eastAsia="仿宋" w:cs="仿宋"/>
                <w:b/>
                <w:color w:val="auto"/>
                <w:kern w:val="0"/>
                <w:sz w:val="18"/>
                <w:szCs w:val="18"/>
                <w:highlight w:val="none"/>
                <w:lang w:val="zh-CN"/>
              </w:rPr>
              <w:t>甲苯</w:t>
            </w:r>
          </w:p>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甲苯管段</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57101000</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阀门</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57112203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冷却塔</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57102101</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凝水缸</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57112204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动力站</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57102102</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调压箱</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57112205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57102103</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调压器</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57112206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57102104</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压力表</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57112207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57102105</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阴极测试桩</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57112208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57102106</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波形管</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57112209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57102107</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调压柜</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57112210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出地点</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57102108</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计量站</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57112211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管堵</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57102109</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加气站</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57112212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非普查</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57102110</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LNG应急油源站</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57112213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57102201</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CNG加油站</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57112214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阀门井</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57102202</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补偿器</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57112215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57102203</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调压站</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57112216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流量计</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57102204</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气源</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补偿器</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57102205</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储备站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锅炉房</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57102206</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门站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泵站</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57102207</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地下井室</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甲苯面状要素</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57103000</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燃气桩</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57112223</w:t>
            </w:r>
          </w:p>
        </w:tc>
      </w:tr>
    </w:tbl>
    <w:p>
      <w:pPr>
        <w:spacing w:after="162" w:afterLines="50"/>
        <w:jc w:val="center"/>
        <w:rPr>
          <w:color w:val="auto"/>
          <w:highlight w:val="none"/>
        </w:rPr>
      </w:pPr>
    </w:p>
    <w:p>
      <w:pPr>
        <w:pStyle w:val="2"/>
        <w:jc w:val="center"/>
        <w:rPr>
          <w:color w:val="auto"/>
          <w:highlight w:val="none"/>
        </w:rPr>
      </w:pPr>
    </w:p>
    <w:p>
      <w:pPr>
        <w:pStyle w:val="2"/>
        <w:jc w:val="center"/>
        <w:rPr>
          <w:color w:val="auto"/>
          <w:highlight w:val="none"/>
        </w:rPr>
      </w:pPr>
    </w:p>
    <w:tbl>
      <w:tblPr>
        <w:tblStyle w:val="43"/>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417"/>
        <w:gridCol w:w="1276"/>
        <w:gridCol w:w="1417"/>
        <w:gridCol w:w="1596"/>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55"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管线小类</w:t>
            </w:r>
          </w:p>
        </w:tc>
        <w:tc>
          <w:tcPr>
            <w:tcW w:w="1417" w:type="dxa"/>
            <w:noWrap/>
            <w:vAlign w:val="center"/>
          </w:tcPr>
          <w:p>
            <w:pPr>
              <w:pStyle w:val="150"/>
              <w:ind w:firstLine="0" w:firstLineChars="0"/>
              <w:jc w:val="center"/>
              <w:rPr>
                <w:rFonts w:ascii="仿宋" w:hAnsi="仿宋" w:eastAsia="仿宋" w:cs="仿宋"/>
                <w:color w:val="auto"/>
                <w:sz w:val="24"/>
                <w:szCs w:val="24"/>
                <w:highlight w:val="none"/>
              </w:rPr>
            </w:pPr>
            <w:r>
              <w:rPr>
                <w:rFonts w:hint="eastAsia" w:ascii="仿宋" w:hAnsi="仿宋" w:eastAsia="仿宋" w:cs="仿宋"/>
                <w:b/>
                <w:color w:val="auto"/>
                <w:szCs w:val="21"/>
                <w:highlight w:val="none"/>
              </w:rPr>
              <w:t>要素名称</w:t>
            </w:r>
          </w:p>
        </w:tc>
        <w:tc>
          <w:tcPr>
            <w:tcW w:w="1276" w:type="dxa"/>
            <w:noWrap/>
            <w:vAlign w:val="center"/>
          </w:tcPr>
          <w:p>
            <w:pPr>
              <w:tabs>
                <w:tab w:val="left" w:pos="794"/>
              </w:tabs>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c>
          <w:tcPr>
            <w:tcW w:w="1417"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管线小类</w:t>
            </w:r>
          </w:p>
        </w:tc>
        <w:tc>
          <w:tcPr>
            <w:tcW w:w="1596"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要素名称</w:t>
            </w:r>
          </w:p>
        </w:tc>
        <w:tc>
          <w:tcPr>
            <w:tcW w:w="1381" w:type="dxa"/>
            <w:noWrap/>
            <w:vAlign w:val="center"/>
          </w:tcPr>
          <w:p>
            <w:pPr>
              <w:widowControl/>
              <w:jc w:val="center"/>
              <w:rPr>
                <w:rFonts w:ascii="仿宋" w:hAnsi="仿宋" w:eastAsia="仿宋" w:cs="仿宋"/>
                <w:color w:val="auto"/>
                <w:highlight w:val="none"/>
              </w:rPr>
            </w:pPr>
            <w:r>
              <w:rPr>
                <w:rFonts w:hint="eastAsia" w:ascii="仿宋" w:hAnsi="仿宋" w:eastAsia="仿宋" w:cs="仿宋"/>
                <w:b/>
                <w:color w:val="auto"/>
                <w:szCs w:val="21"/>
                <w:highlight w:val="none"/>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shd w:val="clear" w:color="auto" w:fill="auto"/>
            <w:noWrap/>
            <w:vAlign w:val="center"/>
          </w:tcPr>
          <w:p>
            <w:pPr>
              <w:jc w:val="center"/>
              <w:rPr>
                <w:rFonts w:ascii="仿宋" w:hAnsi="仿宋" w:eastAsia="仿宋" w:cs="仿宋"/>
                <w:b/>
                <w:color w:val="auto"/>
                <w:kern w:val="0"/>
                <w:sz w:val="18"/>
                <w:szCs w:val="18"/>
                <w:highlight w:val="none"/>
                <w:lang w:val="zh-CN"/>
              </w:rPr>
            </w:pPr>
            <w:r>
              <w:rPr>
                <w:rFonts w:hint="eastAsia" w:ascii="仿宋" w:hAnsi="仿宋" w:eastAsia="仿宋" w:cs="仿宋"/>
                <w:b/>
                <w:color w:val="auto"/>
                <w:kern w:val="0"/>
                <w:sz w:val="18"/>
                <w:szCs w:val="18"/>
                <w:highlight w:val="none"/>
                <w:lang w:val="zh-CN"/>
              </w:rPr>
              <w:t>长途输油</w:t>
            </w: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highlight w:val="none"/>
              </w:rPr>
              <w:t>长途输油</w:t>
            </w:r>
            <w:r>
              <w:rPr>
                <w:rStyle w:val="247"/>
                <w:rFonts w:hint="default" w:ascii="仿宋" w:hAnsi="仿宋" w:eastAsia="仿宋" w:cs="仿宋"/>
                <w:color w:val="auto"/>
                <w:sz w:val="18"/>
                <w:szCs w:val="18"/>
                <w:highlight w:val="none"/>
                <w:lang w:val="zh-CN"/>
              </w:rPr>
              <w:t>面状要素</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57113000</w:t>
            </w:r>
          </w:p>
        </w:tc>
        <w:tc>
          <w:tcPr>
            <w:tcW w:w="1417" w:type="dxa"/>
            <w:vMerge w:val="restart"/>
            <w:shd w:val="clear" w:color="auto" w:fill="auto"/>
            <w:noWrap/>
            <w:vAlign w:val="center"/>
          </w:tcPr>
          <w:p>
            <w:pPr>
              <w:jc w:val="center"/>
              <w:rPr>
                <w:rFonts w:ascii="仿宋" w:hAnsi="仿宋" w:eastAsia="仿宋" w:cs="仿宋"/>
                <w:color w:val="auto"/>
                <w:highlight w:val="none"/>
              </w:rPr>
            </w:pPr>
            <w:r>
              <w:rPr>
                <w:rFonts w:hint="eastAsia" w:ascii="仿宋" w:hAnsi="仿宋" w:eastAsia="仿宋" w:cs="仿宋"/>
                <w:b/>
                <w:color w:val="auto"/>
                <w:kern w:val="0"/>
                <w:sz w:val="18"/>
                <w:szCs w:val="18"/>
                <w:highlight w:val="none"/>
                <w:lang w:val="zh-CN"/>
              </w:rPr>
              <w:t>其他</w:t>
            </w:r>
          </w:p>
        </w:tc>
        <w:tc>
          <w:tcPr>
            <w:tcW w:w="159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管堵</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57992109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restart"/>
            <w:shd w:val="clear" w:color="auto" w:fill="auto"/>
            <w:noWrap/>
            <w:vAlign w:val="center"/>
          </w:tcPr>
          <w:p>
            <w:pPr>
              <w:ind w:firstLine="542" w:firstLineChars="300"/>
              <w:jc w:val="center"/>
              <w:rPr>
                <w:rFonts w:ascii="仿宋" w:hAnsi="仿宋" w:eastAsia="仿宋" w:cs="仿宋"/>
                <w:color w:val="auto"/>
                <w:highlight w:val="none"/>
              </w:rPr>
            </w:pPr>
            <w:r>
              <w:rPr>
                <w:rFonts w:hint="eastAsia" w:ascii="仿宋" w:hAnsi="仿宋" w:eastAsia="仿宋" w:cs="仿宋"/>
                <w:b/>
                <w:color w:val="auto"/>
                <w:kern w:val="0"/>
                <w:sz w:val="18"/>
                <w:szCs w:val="18"/>
                <w:highlight w:val="none"/>
                <w:lang w:val="zh-CN"/>
              </w:rPr>
              <w:t>其他</w:t>
            </w: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其他管段</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57991000</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Style w:val="247"/>
                <w:rFonts w:hint="default" w:ascii="仿宋" w:hAnsi="仿宋" w:eastAsia="仿宋" w:cs="仿宋"/>
                <w:color w:val="auto"/>
                <w:sz w:val="18"/>
                <w:szCs w:val="18"/>
                <w:highlight w:val="none"/>
                <w:lang w:val="zh-CN"/>
              </w:rPr>
              <w:t>非普查</w:t>
            </w:r>
          </w:p>
        </w:tc>
        <w:tc>
          <w:tcPr>
            <w:tcW w:w="1381" w:type="dxa"/>
            <w:shd w:val="clear" w:color="auto" w:fill="FFFFFF"/>
            <w:noWrap/>
            <w:vAlign w:val="center"/>
          </w:tcPr>
          <w:p>
            <w:pPr>
              <w:pStyle w:val="242"/>
              <w:spacing w:before="0" w:line="240" w:lineRule="auto"/>
              <w:ind w:firstLine="0"/>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57992110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冷却塔</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57992101</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检修井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57992201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动力站</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57992102</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阀门井</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57992202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弯头</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57992103</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阀门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57992203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三通</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57992104</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流量计</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57992204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四通</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57992105</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补偿器</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57992205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变径</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57992106</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锅炉房</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57992206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预留口</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57992107</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泵站</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57992207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5" w:type="dxa"/>
            <w:vMerge w:val="continue"/>
            <w:shd w:val="clear" w:color="auto" w:fill="auto"/>
            <w:noWrap/>
          </w:tcPr>
          <w:p>
            <w:pPr>
              <w:jc w:val="center"/>
              <w:rPr>
                <w:rFonts w:ascii="仿宋" w:hAnsi="仿宋" w:eastAsia="仿宋" w:cs="仿宋"/>
                <w:color w:val="auto"/>
                <w:highlight w:val="none"/>
              </w:rPr>
            </w:pPr>
          </w:p>
        </w:tc>
        <w:tc>
          <w:tcPr>
            <w:tcW w:w="1417"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出地点</w:t>
            </w:r>
          </w:p>
        </w:tc>
        <w:tc>
          <w:tcPr>
            <w:tcW w:w="127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57992108</w:t>
            </w:r>
          </w:p>
        </w:tc>
        <w:tc>
          <w:tcPr>
            <w:tcW w:w="1417" w:type="dxa"/>
            <w:vMerge w:val="continue"/>
            <w:shd w:val="clear" w:color="auto" w:fill="auto"/>
            <w:noWrap/>
          </w:tcPr>
          <w:p>
            <w:pPr>
              <w:jc w:val="center"/>
              <w:rPr>
                <w:rFonts w:ascii="仿宋" w:hAnsi="仿宋" w:eastAsia="仿宋" w:cs="仿宋"/>
                <w:color w:val="auto"/>
                <w:highlight w:val="none"/>
              </w:rPr>
            </w:pPr>
          </w:p>
        </w:tc>
        <w:tc>
          <w:tcPr>
            <w:tcW w:w="1596"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其他面状要素</w:t>
            </w:r>
          </w:p>
        </w:tc>
        <w:tc>
          <w:tcPr>
            <w:tcW w:w="1381" w:type="dxa"/>
            <w:shd w:val="clear" w:color="auto" w:fill="FFFFFF"/>
            <w:noWrap/>
            <w:vAlign w:val="center"/>
          </w:tcPr>
          <w:p>
            <w:pPr>
              <w:pStyle w:val="242"/>
              <w:spacing w:before="0" w:line="240" w:lineRule="auto"/>
              <w:ind w:firstLine="0"/>
              <w:jc w:val="center"/>
              <w:rPr>
                <w:rStyle w:val="247"/>
                <w:rFonts w:hint="default" w:ascii="仿宋" w:hAnsi="仿宋" w:eastAsia="仿宋" w:cs="仿宋"/>
                <w:color w:val="auto"/>
                <w:sz w:val="18"/>
                <w:szCs w:val="18"/>
                <w:highlight w:val="none"/>
                <w:lang w:val="zh-CN"/>
              </w:rPr>
            </w:pPr>
            <w:r>
              <w:rPr>
                <w:rStyle w:val="247"/>
                <w:rFonts w:hint="default" w:ascii="仿宋" w:hAnsi="仿宋" w:eastAsia="仿宋" w:cs="仿宋"/>
                <w:color w:val="auto"/>
                <w:sz w:val="18"/>
                <w:szCs w:val="18"/>
                <w:highlight w:val="none"/>
                <w:lang w:val="zh-CN"/>
              </w:rPr>
              <w:t>57993000</w:t>
            </w:r>
          </w:p>
        </w:tc>
      </w:tr>
    </w:tbl>
    <w:p>
      <w:pPr>
        <w:spacing w:after="162" w:afterLines="50"/>
        <w:jc w:val="center"/>
        <w:rPr>
          <w:color w:val="auto"/>
          <w:highlight w:val="none"/>
        </w:rPr>
      </w:pPr>
    </w:p>
    <w:p>
      <w:pPr>
        <w:spacing w:after="162" w:afterLines="50"/>
        <w:ind w:firstLine="315" w:firstLineChars="150"/>
        <w:jc w:val="center"/>
        <w:rPr>
          <w:color w:val="auto"/>
          <w:highlight w:val="none"/>
        </w:rPr>
      </w:pPr>
    </w:p>
    <w:p>
      <w:pPr>
        <w:spacing w:after="162" w:afterLines="50"/>
        <w:ind w:firstLine="315" w:firstLineChars="150"/>
        <w:jc w:val="center"/>
        <w:rPr>
          <w:color w:val="auto"/>
          <w:highlight w:val="none"/>
        </w:rPr>
      </w:pPr>
    </w:p>
    <w:p>
      <w:pPr>
        <w:spacing w:after="162" w:afterLines="50"/>
        <w:ind w:firstLine="315" w:firstLineChars="150"/>
        <w:jc w:val="center"/>
        <w:rPr>
          <w:color w:val="auto"/>
          <w:highlight w:val="none"/>
        </w:rPr>
      </w:pPr>
    </w:p>
    <w:p>
      <w:pPr>
        <w:spacing w:after="162" w:afterLines="50"/>
        <w:ind w:firstLine="315" w:firstLineChars="150"/>
        <w:jc w:val="center"/>
        <w:rPr>
          <w:color w:val="auto"/>
          <w:highlight w:val="none"/>
        </w:rPr>
      </w:pPr>
    </w:p>
    <w:p>
      <w:pPr>
        <w:spacing w:after="162" w:afterLines="50"/>
        <w:ind w:firstLine="315" w:firstLineChars="150"/>
        <w:jc w:val="center"/>
        <w:rPr>
          <w:color w:val="auto"/>
          <w:highlight w:val="none"/>
        </w:rPr>
      </w:pPr>
    </w:p>
    <w:p>
      <w:pPr>
        <w:pStyle w:val="2"/>
        <w:jc w:val="center"/>
        <w:rPr>
          <w:color w:val="auto"/>
          <w:highlight w:val="none"/>
        </w:rPr>
      </w:pPr>
    </w:p>
    <w:p>
      <w:pPr>
        <w:pStyle w:val="2"/>
        <w:jc w:val="center"/>
        <w:rPr>
          <w:color w:val="auto"/>
          <w:highlight w:val="none"/>
        </w:rPr>
      </w:pPr>
    </w:p>
    <w:p>
      <w:pPr>
        <w:pStyle w:val="2"/>
        <w:jc w:val="center"/>
        <w:rPr>
          <w:color w:val="auto"/>
          <w:highlight w:val="none"/>
        </w:rPr>
      </w:pPr>
    </w:p>
    <w:p>
      <w:pPr>
        <w:pStyle w:val="2"/>
        <w:jc w:val="center"/>
        <w:rPr>
          <w:color w:val="auto"/>
          <w:highlight w:val="none"/>
        </w:rPr>
      </w:pPr>
    </w:p>
    <w:p>
      <w:pPr>
        <w:pStyle w:val="2"/>
        <w:jc w:val="center"/>
        <w:rPr>
          <w:color w:val="auto"/>
          <w:highlight w:val="none"/>
        </w:rPr>
      </w:pPr>
    </w:p>
    <w:p>
      <w:pPr>
        <w:pStyle w:val="2"/>
        <w:jc w:val="center"/>
        <w:rPr>
          <w:color w:val="auto"/>
          <w:highlight w:val="none"/>
        </w:rPr>
      </w:pPr>
    </w:p>
    <w:p>
      <w:pPr>
        <w:pStyle w:val="2"/>
        <w:jc w:val="center"/>
        <w:rPr>
          <w:color w:val="auto"/>
          <w:highlight w:val="none"/>
        </w:rPr>
      </w:pPr>
    </w:p>
    <w:p>
      <w:pPr>
        <w:pStyle w:val="2"/>
        <w:jc w:val="center"/>
        <w:rPr>
          <w:color w:val="auto"/>
          <w:highlight w:val="none"/>
        </w:rPr>
      </w:pPr>
    </w:p>
    <w:p>
      <w:pPr>
        <w:pStyle w:val="2"/>
        <w:jc w:val="center"/>
        <w:rPr>
          <w:color w:val="auto"/>
          <w:highlight w:val="none"/>
        </w:rPr>
      </w:pPr>
    </w:p>
    <w:p>
      <w:pPr>
        <w:pStyle w:val="2"/>
        <w:jc w:val="center"/>
        <w:rPr>
          <w:color w:val="auto"/>
          <w:highlight w:val="none"/>
        </w:rPr>
      </w:pPr>
    </w:p>
    <w:p>
      <w:pPr>
        <w:pStyle w:val="2"/>
        <w:jc w:val="center"/>
        <w:rPr>
          <w:color w:val="auto"/>
          <w:highlight w:val="none"/>
        </w:rPr>
      </w:pPr>
    </w:p>
    <w:p>
      <w:pPr>
        <w:pStyle w:val="2"/>
        <w:jc w:val="center"/>
        <w:rPr>
          <w:color w:val="auto"/>
          <w:highlight w:val="none"/>
        </w:rPr>
      </w:pPr>
    </w:p>
    <w:p>
      <w:pPr>
        <w:pStyle w:val="2"/>
        <w:jc w:val="center"/>
        <w:rPr>
          <w:color w:val="auto"/>
          <w:highlight w:val="none"/>
        </w:rPr>
      </w:pPr>
    </w:p>
    <w:p>
      <w:pPr>
        <w:pStyle w:val="2"/>
        <w:jc w:val="center"/>
        <w:rPr>
          <w:color w:val="auto"/>
          <w:highlight w:val="none"/>
        </w:rPr>
      </w:pPr>
    </w:p>
    <w:p>
      <w:pPr>
        <w:pStyle w:val="2"/>
        <w:jc w:val="center"/>
        <w:rPr>
          <w:color w:val="auto"/>
          <w:highlight w:val="none"/>
        </w:rPr>
      </w:pPr>
    </w:p>
    <w:p>
      <w:pPr>
        <w:pStyle w:val="2"/>
        <w:jc w:val="center"/>
        <w:rPr>
          <w:color w:val="auto"/>
          <w:highlight w:val="none"/>
        </w:rPr>
      </w:pPr>
    </w:p>
    <w:p>
      <w:pPr>
        <w:pStyle w:val="2"/>
        <w:jc w:val="center"/>
        <w:rPr>
          <w:color w:val="auto"/>
          <w:highlight w:val="none"/>
        </w:rPr>
      </w:pPr>
    </w:p>
    <w:p>
      <w:pPr>
        <w:pStyle w:val="6"/>
        <w:jc w:val="center"/>
        <w:rPr>
          <w:rFonts w:ascii="仿宋" w:hAnsi="仿宋" w:eastAsia="仿宋" w:cs="仿宋"/>
          <w:color w:val="auto"/>
          <w:sz w:val="24"/>
          <w:highlight w:val="none"/>
        </w:rPr>
      </w:pPr>
      <w:bookmarkStart w:id="556" w:name="_Toc510971795"/>
      <w:bookmarkStart w:id="557" w:name="_Toc48835707"/>
      <w:bookmarkStart w:id="558" w:name="_Toc418092303"/>
      <w:bookmarkStart w:id="559" w:name="_Toc26957"/>
      <w:bookmarkStart w:id="560" w:name="_Toc19814"/>
      <w:bookmarkStart w:id="561" w:name="_Toc3584"/>
      <w:bookmarkStart w:id="562" w:name="_Toc17112"/>
      <w:bookmarkStart w:id="563" w:name="_Toc6783"/>
      <w:bookmarkStart w:id="564" w:name="_Toc12654"/>
      <w:bookmarkStart w:id="565" w:name="_Toc13167"/>
      <w:bookmarkStart w:id="566" w:name="_Toc29256"/>
      <w:r>
        <w:rPr>
          <w:rFonts w:hint="eastAsia" w:ascii="仿宋" w:hAnsi="仿宋" w:eastAsia="仿宋" w:cs="仿宋"/>
          <w:color w:val="auto"/>
          <w:sz w:val="24"/>
          <w:highlight w:val="none"/>
        </w:rPr>
        <w:t>附表A.13 管线属性</w:t>
      </w:r>
      <w:bookmarkEnd w:id="556"/>
      <w:bookmarkEnd w:id="557"/>
      <w:bookmarkEnd w:id="558"/>
      <w:r>
        <w:rPr>
          <w:rFonts w:hint="eastAsia" w:ascii="仿宋" w:hAnsi="仿宋" w:eastAsia="仿宋" w:cs="仿宋"/>
          <w:color w:val="auto"/>
          <w:sz w:val="24"/>
          <w:highlight w:val="none"/>
        </w:rPr>
        <w:t>值域表</w:t>
      </w:r>
      <w:bookmarkEnd w:id="559"/>
      <w:bookmarkEnd w:id="560"/>
      <w:bookmarkEnd w:id="561"/>
      <w:bookmarkEnd w:id="562"/>
      <w:bookmarkEnd w:id="563"/>
      <w:bookmarkEnd w:id="564"/>
      <w:bookmarkEnd w:id="565"/>
      <w:bookmarkEnd w:id="566"/>
    </w:p>
    <w:p>
      <w:pPr>
        <w:jc w:val="center"/>
        <w:rPr>
          <w:rFonts w:ascii="仿宋" w:hAnsi="仿宋" w:eastAsia="仿宋" w:cs="仿宋"/>
          <w:b/>
          <w:color w:val="auto"/>
          <w:highlight w:val="none"/>
        </w:rPr>
      </w:pPr>
      <w:r>
        <w:rPr>
          <w:rFonts w:hint="eastAsia" w:ascii="仿宋" w:hAnsi="仿宋" w:eastAsia="仿宋" w:cs="仿宋"/>
          <w:b/>
          <w:color w:val="auto"/>
          <w:highlight w:val="none"/>
        </w:rPr>
        <w:t>附表A.13.1  材质值域表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4"/>
        <w:gridCol w:w="6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noWrap/>
            <w:vAlign w:val="center"/>
          </w:tcPr>
          <w:p>
            <w:pPr>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材质</w:t>
            </w:r>
          </w:p>
        </w:tc>
        <w:tc>
          <w:tcPr>
            <w:tcW w:w="6327" w:type="dxa"/>
            <w:noWrap/>
            <w:vAlign w:val="center"/>
          </w:tcPr>
          <w:p>
            <w:pPr>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适用管线类型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铸铁</w:t>
            </w:r>
          </w:p>
        </w:tc>
        <w:tc>
          <w:tcPr>
            <w:tcW w:w="6327"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noWrap/>
            <w:vAlign w:val="center"/>
          </w:tcPr>
          <w:p>
            <w:pPr>
              <w:ind w:firstLine="1050" w:firstLineChars="500"/>
              <w:rPr>
                <w:rFonts w:ascii="仿宋" w:hAnsi="仿宋" w:eastAsia="仿宋" w:cs="仿宋"/>
                <w:color w:val="auto"/>
                <w:szCs w:val="21"/>
                <w:highlight w:val="none"/>
              </w:rPr>
            </w:pPr>
            <w:r>
              <w:rPr>
                <w:rFonts w:hint="eastAsia" w:ascii="仿宋" w:hAnsi="仿宋" w:eastAsia="仿宋" w:cs="仿宋"/>
                <w:color w:val="auto"/>
                <w:szCs w:val="21"/>
                <w:highlight w:val="none"/>
              </w:rPr>
              <w:t>钢</w:t>
            </w:r>
          </w:p>
        </w:tc>
        <w:tc>
          <w:tcPr>
            <w:tcW w:w="6327"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给水、燃气、热力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混凝土</w:t>
            </w:r>
          </w:p>
        </w:tc>
        <w:tc>
          <w:tcPr>
            <w:tcW w:w="6327"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排水、给水、电力、通信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聚乙烯塑料（PE）</w:t>
            </w:r>
          </w:p>
        </w:tc>
        <w:tc>
          <w:tcPr>
            <w:tcW w:w="6327" w:type="dxa"/>
            <w:vMerge w:val="restart"/>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除热力、工业外的各类管线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聚氯乙烯塑料（PVC）</w:t>
            </w:r>
          </w:p>
        </w:tc>
        <w:tc>
          <w:tcPr>
            <w:tcW w:w="6327" w:type="dxa"/>
            <w:vMerge w:val="continue"/>
            <w:noWrap/>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玻璃钢</w:t>
            </w:r>
          </w:p>
        </w:tc>
        <w:tc>
          <w:tcPr>
            <w:tcW w:w="6327"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电力、给水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球墨铸铁</w:t>
            </w:r>
          </w:p>
        </w:tc>
        <w:tc>
          <w:tcPr>
            <w:tcW w:w="6327"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砖石</w:t>
            </w:r>
          </w:p>
        </w:tc>
        <w:tc>
          <w:tcPr>
            <w:tcW w:w="6327" w:type="dxa"/>
            <w:vMerge w:val="restart"/>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排水、电力、通信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砖</w:t>
            </w:r>
          </w:p>
        </w:tc>
        <w:tc>
          <w:tcPr>
            <w:tcW w:w="6327" w:type="dxa"/>
            <w:vMerge w:val="continue"/>
            <w:noWrap/>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石</w:t>
            </w:r>
          </w:p>
        </w:tc>
        <w:tc>
          <w:tcPr>
            <w:tcW w:w="6327" w:type="dxa"/>
            <w:vMerge w:val="restart"/>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石棉</w:t>
            </w:r>
          </w:p>
        </w:tc>
        <w:tc>
          <w:tcPr>
            <w:tcW w:w="6327" w:type="dxa"/>
            <w:vMerge w:val="continue"/>
            <w:noWrap/>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陶瓷</w:t>
            </w:r>
          </w:p>
        </w:tc>
        <w:tc>
          <w:tcPr>
            <w:tcW w:w="6327" w:type="dxa"/>
            <w:vMerge w:val="continue"/>
            <w:noWrap/>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铜</w:t>
            </w:r>
          </w:p>
        </w:tc>
        <w:tc>
          <w:tcPr>
            <w:tcW w:w="6327"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电力、通信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钢芯铝绞线</w:t>
            </w:r>
          </w:p>
        </w:tc>
        <w:tc>
          <w:tcPr>
            <w:tcW w:w="6327"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橡胶</w:t>
            </w:r>
          </w:p>
        </w:tc>
        <w:tc>
          <w:tcPr>
            <w:tcW w:w="6327"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电力、通信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4"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光纤</w:t>
            </w:r>
          </w:p>
        </w:tc>
        <w:tc>
          <w:tcPr>
            <w:tcW w:w="6327"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通信</w:t>
            </w:r>
          </w:p>
        </w:tc>
      </w:tr>
    </w:tbl>
    <w:p>
      <w:pPr>
        <w:spacing w:line="560" w:lineRule="exact"/>
        <w:jc w:val="center"/>
        <w:rPr>
          <w:rFonts w:ascii="仿宋" w:hAnsi="仿宋" w:eastAsia="仿宋" w:cs="仿宋"/>
          <w:b/>
          <w:color w:val="auto"/>
          <w:highlight w:val="none"/>
        </w:rPr>
      </w:pPr>
      <w:r>
        <w:rPr>
          <w:rFonts w:hint="eastAsia" w:ascii="仿宋" w:hAnsi="仿宋" w:eastAsia="仿宋" w:cs="仿宋"/>
          <w:b/>
          <w:color w:val="auto"/>
          <w:highlight w:val="none"/>
        </w:rPr>
        <w:t>附表A.13.2 埋设方式值域表</w:t>
      </w:r>
    </w:p>
    <w:tbl>
      <w:tblPr>
        <w:tblStyle w:val="43"/>
        <w:tblW w:w="8933"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559"/>
        <w:gridCol w:w="737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4" w:hRule="atLeast"/>
          <w:jc w:val="center"/>
        </w:trPr>
        <w:tc>
          <w:tcPr>
            <w:tcW w:w="1559" w:type="dxa"/>
            <w:noWrap/>
            <w:vAlign w:val="center"/>
          </w:tcPr>
          <w:p>
            <w:pPr>
              <w:widowControl/>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埋设方式</w:t>
            </w:r>
          </w:p>
        </w:tc>
        <w:tc>
          <w:tcPr>
            <w:tcW w:w="7374" w:type="dxa"/>
            <w:noWrap/>
            <w:vAlign w:val="center"/>
          </w:tcPr>
          <w:p>
            <w:pPr>
              <w:widowControl/>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直埋</w:t>
            </w:r>
          </w:p>
        </w:tc>
        <w:tc>
          <w:tcPr>
            <w:tcW w:w="7374"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管线直接埋设于地下的埋设方式，常用于给水、燃气、排水等管道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管埋</w:t>
            </w:r>
          </w:p>
        </w:tc>
        <w:tc>
          <w:tcPr>
            <w:tcW w:w="7374"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管线通过保护套管埋设于地下的埋设方式，套管以单管或管组的形式预先埋设于地下，常用于电力、通信电缆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管块</w:t>
            </w:r>
          </w:p>
        </w:tc>
        <w:tc>
          <w:tcPr>
            <w:tcW w:w="7374"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管线通过预制水泥标准管块的形式埋设于地下，常用于电力、通信电缆。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管沟</w:t>
            </w:r>
          </w:p>
        </w:tc>
        <w:tc>
          <w:tcPr>
            <w:tcW w:w="7374"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管线形态为方沟或管线埋设于沟道中，常用于排水方沟及热力管道、电力、通信电缆等的埋设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地面</w:t>
            </w:r>
          </w:p>
        </w:tc>
        <w:tc>
          <w:tcPr>
            <w:tcW w:w="7374"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管线铺设于地表，管线点标志只能设置于管线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上架</w:t>
            </w:r>
          </w:p>
        </w:tc>
        <w:tc>
          <w:tcPr>
            <w:tcW w:w="7374"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地下电缆上杆、管道出地垂直管线段部分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小通道</w:t>
            </w:r>
          </w:p>
        </w:tc>
        <w:tc>
          <w:tcPr>
            <w:tcW w:w="7374"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其它管线借用排水管（沟）埋设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9" w:hRule="atLeast"/>
          <w:jc w:val="center"/>
        </w:trPr>
        <w:tc>
          <w:tcPr>
            <w:tcW w:w="1559"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借用</w:t>
            </w:r>
          </w:p>
        </w:tc>
        <w:tc>
          <w:tcPr>
            <w:tcW w:w="7374"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不同电压值电力线共沟情况，主电力线按正常埋设方式填写，其他电力线为借用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9" w:hRule="atLeast"/>
          <w:jc w:val="center"/>
        </w:trPr>
        <w:tc>
          <w:tcPr>
            <w:tcW w:w="1559"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综合管廊（沟）</w:t>
            </w:r>
          </w:p>
        </w:tc>
        <w:tc>
          <w:tcPr>
            <w:tcW w:w="7374"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不同种类管线集中敷设的通道或地下隧道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顶管</w:t>
            </w:r>
          </w:p>
        </w:tc>
        <w:tc>
          <w:tcPr>
            <w:tcW w:w="7374"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按预先设定的地下铺管轨迹靠钻头挤压形成一个小口径先导孔，随后在先导孔出口端的钻杆头部安装扩孔器回拉扩孔，当扩孔至尺寸要求后，在扩孔器的后端连接旋转接头、拉管头和管线，回拉铺设地下管线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井内连线</w:t>
            </w:r>
          </w:p>
        </w:tc>
        <w:tc>
          <w:tcPr>
            <w:tcW w:w="7374"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检查井内的连接管线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559"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水下</w:t>
            </w:r>
          </w:p>
        </w:tc>
        <w:tc>
          <w:tcPr>
            <w:tcW w:w="7374" w:type="dxa"/>
            <w:noWrap/>
            <w:vAlign w:val="center"/>
          </w:tcPr>
          <w:p>
            <w:pPr>
              <w:widowControl/>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敷设于水面以下的管线</w:t>
            </w:r>
          </w:p>
        </w:tc>
      </w:tr>
    </w:tbl>
    <w:p>
      <w:pPr>
        <w:spacing w:line="560" w:lineRule="exact"/>
        <w:jc w:val="center"/>
        <w:rPr>
          <w:rFonts w:ascii="仿宋" w:hAnsi="仿宋" w:eastAsia="仿宋" w:cs="仿宋"/>
          <w:color w:val="auto"/>
          <w:szCs w:val="21"/>
          <w:highlight w:val="none"/>
        </w:rPr>
      </w:pPr>
      <w:r>
        <w:rPr>
          <w:rFonts w:hint="eastAsia" w:ascii="仿宋" w:hAnsi="仿宋" w:eastAsia="仿宋" w:cs="仿宋"/>
          <w:b/>
          <w:color w:val="auto"/>
          <w:highlight w:val="none"/>
        </w:rPr>
        <w:t>附表</w:t>
      </w:r>
      <w:r>
        <w:rPr>
          <w:rFonts w:hint="eastAsia" w:ascii="仿宋" w:hAnsi="仿宋" w:eastAsia="仿宋" w:cs="仿宋"/>
          <w:b/>
          <w:color w:val="auto"/>
          <w:kern w:val="0"/>
          <w:highlight w:val="none"/>
        </w:rPr>
        <w:t xml:space="preserve">A.13.3 </w:t>
      </w:r>
      <w:r>
        <w:rPr>
          <w:rFonts w:hint="eastAsia" w:ascii="仿宋" w:hAnsi="仿宋" w:eastAsia="仿宋" w:cs="仿宋"/>
          <w:b/>
          <w:color w:val="auto"/>
          <w:highlight w:val="none"/>
        </w:rPr>
        <w:t>电压值域表</w:t>
      </w:r>
    </w:p>
    <w:tbl>
      <w:tblPr>
        <w:tblStyle w:val="43"/>
        <w:tblW w:w="4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noWrap/>
            <w:vAlign w:val="center"/>
          </w:tcPr>
          <w:p>
            <w:pPr>
              <w:widowControl/>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电压</w:t>
            </w:r>
          </w:p>
        </w:tc>
        <w:tc>
          <w:tcPr>
            <w:tcW w:w="2167" w:type="dxa"/>
            <w:noWrap/>
            <w:vAlign w:val="center"/>
          </w:tcPr>
          <w:p>
            <w:pPr>
              <w:widowControl/>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220V</w:t>
            </w:r>
          </w:p>
        </w:tc>
        <w:tc>
          <w:tcPr>
            <w:tcW w:w="2167" w:type="dxa"/>
            <w:noWrap/>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380V</w:t>
            </w:r>
          </w:p>
        </w:tc>
        <w:tc>
          <w:tcPr>
            <w:tcW w:w="2167" w:type="dxa"/>
            <w:noWrap/>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10kV</w:t>
            </w:r>
          </w:p>
        </w:tc>
        <w:tc>
          <w:tcPr>
            <w:tcW w:w="2167" w:type="dxa"/>
            <w:noWrap/>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35kV</w:t>
            </w:r>
          </w:p>
        </w:tc>
        <w:tc>
          <w:tcPr>
            <w:tcW w:w="2167" w:type="dxa"/>
            <w:noWrap/>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110kV</w:t>
            </w:r>
          </w:p>
        </w:tc>
        <w:tc>
          <w:tcPr>
            <w:tcW w:w="2167" w:type="dxa"/>
            <w:noWrap/>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220kV</w:t>
            </w:r>
          </w:p>
        </w:tc>
        <w:tc>
          <w:tcPr>
            <w:tcW w:w="2167" w:type="dxa"/>
            <w:noWrap/>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500kV</w:t>
            </w:r>
          </w:p>
        </w:tc>
        <w:tc>
          <w:tcPr>
            <w:tcW w:w="2167" w:type="dxa"/>
            <w:noWrap/>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750kV</w:t>
            </w:r>
          </w:p>
        </w:tc>
        <w:tc>
          <w:tcPr>
            <w:tcW w:w="2167" w:type="dxa"/>
            <w:noWrap/>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2"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1000kV</w:t>
            </w:r>
          </w:p>
        </w:tc>
        <w:tc>
          <w:tcPr>
            <w:tcW w:w="2167" w:type="dxa"/>
            <w:noWrap/>
            <w:vAlign w:val="center"/>
          </w:tcPr>
          <w:p>
            <w:pPr>
              <w:jc w:val="center"/>
              <w:rPr>
                <w:rFonts w:ascii="仿宋" w:hAnsi="仿宋" w:eastAsia="仿宋" w:cs="仿宋"/>
                <w:color w:val="auto"/>
                <w:szCs w:val="21"/>
                <w:highlight w:val="none"/>
              </w:rPr>
            </w:pPr>
          </w:p>
        </w:tc>
      </w:tr>
    </w:tbl>
    <w:p>
      <w:pPr>
        <w:spacing w:line="560" w:lineRule="exact"/>
        <w:jc w:val="center"/>
        <w:rPr>
          <w:rFonts w:ascii="仿宋" w:hAnsi="仿宋" w:eastAsia="仿宋" w:cs="仿宋"/>
          <w:b/>
          <w:color w:val="auto"/>
          <w:highlight w:val="none"/>
        </w:rPr>
      </w:pPr>
      <w:r>
        <w:rPr>
          <w:rFonts w:hint="eastAsia" w:ascii="仿宋" w:hAnsi="仿宋" w:eastAsia="仿宋" w:cs="仿宋"/>
          <w:b/>
          <w:color w:val="auto"/>
          <w:highlight w:val="none"/>
        </w:rPr>
        <w:t>附表A.13.4流向值域表</w:t>
      </w:r>
    </w:p>
    <w:tbl>
      <w:tblPr>
        <w:tblStyle w:val="43"/>
        <w:tblW w:w="46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696" w:type="dxa"/>
            <w:noWrap/>
            <w:vAlign w:val="center"/>
          </w:tcPr>
          <w:p>
            <w:pPr>
              <w:widowControl/>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流向</w:t>
            </w:r>
          </w:p>
        </w:tc>
        <w:tc>
          <w:tcPr>
            <w:tcW w:w="2945" w:type="dxa"/>
            <w:noWrap/>
            <w:vAlign w:val="center"/>
          </w:tcPr>
          <w:p>
            <w:pPr>
              <w:widowControl/>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696"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w:t>
            </w:r>
          </w:p>
        </w:tc>
        <w:tc>
          <w:tcPr>
            <w:tcW w:w="2945"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正向（流向从起点到终点）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696"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945"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逆向（流向从终点到起点）</w:t>
            </w:r>
          </w:p>
        </w:tc>
      </w:tr>
    </w:tbl>
    <w:p>
      <w:pPr>
        <w:spacing w:line="560" w:lineRule="exact"/>
        <w:jc w:val="center"/>
        <w:rPr>
          <w:rFonts w:ascii="仿宋" w:hAnsi="仿宋" w:eastAsia="仿宋" w:cs="仿宋"/>
          <w:b/>
          <w:color w:val="auto"/>
          <w:highlight w:val="none"/>
        </w:rPr>
      </w:pPr>
      <w:r>
        <w:rPr>
          <w:rFonts w:hint="eastAsia" w:ascii="仿宋" w:hAnsi="仿宋" w:eastAsia="仿宋" w:cs="仿宋"/>
          <w:b/>
          <w:color w:val="auto"/>
          <w:highlight w:val="none"/>
        </w:rPr>
        <w:t>附表A.13.5压力值值域表</w:t>
      </w:r>
    </w:p>
    <w:tbl>
      <w:tblPr>
        <w:tblStyle w:val="43"/>
        <w:tblW w:w="4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27" w:type="dxa"/>
            <w:noWrap/>
            <w:vAlign w:val="center"/>
          </w:tcPr>
          <w:p>
            <w:pPr>
              <w:widowControl/>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压力</w:t>
            </w:r>
          </w:p>
        </w:tc>
        <w:tc>
          <w:tcPr>
            <w:tcW w:w="1995" w:type="dxa"/>
            <w:noWrap/>
            <w:vAlign w:val="center"/>
          </w:tcPr>
          <w:p>
            <w:pPr>
              <w:widowControl/>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7"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高压</w:t>
            </w:r>
          </w:p>
        </w:tc>
        <w:tc>
          <w:tcPr>
            <w:tcW w:w="1995" w:type="dxa"/>
            <w:noWrap/>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7"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次高压</w:t>
            </w:r>
          </w:p>
        </w:tc>
        <w:tc>
          <w:tcPr>
            <w:tcW w:w="1995" w:type="dxa"/>
            <w:noWrap/>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7"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中压</w:t>
            </w:r>
          </w:p>
        </w:tc>
        <w:tc>
          <w:tcPr>
            <w:tcW w:w="1995" w:type="dxa"/>
            <w:noWrap/>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7"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低压</w:t>
            </w:r>
          </w:p>
        </w:tc>
        <w:tc>
          <w:tcPr>
            <w:tcW w:w="1995" w:type="dxa"/>
            <w:noWrap/>
            <w:vAlign w:val="center"/>
          </w:tcPr>
          <w:p>
            <w:pPr>
              <w:jc w:val="center"/>
              <w:rPr>
                <w:rFonts w:ascii="仿宋" w:hAnsi="仿宋" w:eastAsia="仿宋" w:cs="仿宋"/>
                <w:color w:val="auto"/>
                <w:szCs w:val="21"/>
                <w:highlight w:val="none"/>
              </w:rPr>
            </w:pPr>
          </w:p>
        </w:tc>
      </w:tr>
    </w:tbl>
    <w:p>
      <w:pPr>
        <w:spacing w:line="560" w:lineRule="exact"/>
        <w:jc w:val="center"/>
        <w:rPr>
          <w:rFonts w:ascii="仿宋" w:hAnsi="仿宋" w:eastAsia="仿宋" w:cs="仿宋"/>
          <w:b/>
          <w:color w:val="auto"/>
          <w:highlight w:val="none"/>
        </w:rPr>
      </w:pPr>
      <w:r>
        <w:rPr>
          <w:rFonts w:hint="eastAsia" w:ascii="仿宋" w:hAnsi="仿宋" w:eastAsia="仿宋" w:cs="仿宋"/>
          <w:b/>
          <w:color w:val="auto"/>
          <w:highlight w:val="none"/>
        </w:rPr>
        <w:t>附表A.13.6 数据来源值域表</w:t>
      </w:r>
    </w:p>
    <w:tbl>
      <w:tblPr>
        <w:tblStyle w:val="43"/>
        <w:tblW w:w="6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4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noWrap/>
            <w:vAlign w:val="center"/>
          </w:tcPr>
          <w:p>
            <w:pPr>
              <w:jc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数据来源</w:t>
            </w:r>
          </w:p>
        </w:tc>
        <w:tc>
          <w:tcPr>
            <w:tcW w:w="4160" w:type="dxa"/>
            <w:noWrap/>
            <w:vAlign w:val="center"/>
          </w:tcPr>
          <w:p>
            <w:pPr>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全野外探测</w:t>
            </w:r>
          </w:p>
        </w:tc>
        <w:tc>
          <w:tcPr>
            <w:tcW w:w="4160" w:type="dxa"/>
            <w:vMerge w:val="restart"/>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普查成果更新集中实施阶段数据来源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内业外结合核实探测</w:t>
            </w:r>
          </w:p>
        </w:tc>
        <w:tc>
          <w:tcPr>
            <w:tcW w:w="4160" w:type="dxa"/>
            <w:vMerge w:val="continue"/>
            <w:noWrap/>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可直接利用</w:t>
            </w:r>
          </w:p>
        </w:tc>
        <w:tc>
          <w:tcPr>
            <w:tcW w:w="4160" w:type="dxa"/>
            <w:vMerge w:val="continue"/>
            <w:noWrap/>
            <w:vAlign w:val="center"/>
          </w:tcPr>
          <w:p>
            <w:pPr>
              <w:jc w:val="center"/>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见管实测</w:t>
            </w:r>
          </w:p>
        </w:tc>
        <w:tc>
          <w:tcPr>
            <w:tcW w:w="4160"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普查后日常竣工测量采集的管线数据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收集</w:t>
            </w:r>
          </w:p>
        </w:tc>
        <w:tc>
          <w:tcPr>
            <w:tcW w:w="4160"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其他更新数据</w:t>
            </w:r>
          </w:p>
        </w:tc>
      </w:tr>
    </w:tbl>
    <w:p>
      <w:pPr>
        <w:spacing w:line="560" w:lineRule="exact"/>
        <w:jc w:val="center"/>
        <w:rPr>
          <w:rFonts w:ascii="仿宋" w:hAnsi="仿宋" w:eastAsia="仿宋" w:cs="仿宋"/>
          <w:b/>
          <w:color w:val="auto"/>
          <w:highlight w:val="none"/>
        </w:rPr>
      </w:pPr>
      <w:r>
        <w:rPr>
          <w:rFonts w:hint="eastAsia" w:ascii="仿宋" w:hAnsi="仿宋" w:eastAsia="仿宋" w:cs="仿宋"/>
          <w:b/>
          <w:color w:val="auto"/>
          <w:highlight w:val="none"/>
        </w:rPr>
        <w:br w:type="page"/>
      </w:r>
      <w:r>
        <w:rPr>
          <w:rFonts w:hint="eastAsia" w:ascii="仿宋" w:hAnsi="仿宋" w:eastAsia="仿宋" w:cs="仿宋"/>
          <w:b/>
          <w:color w:val="auto"/>
          <w:highlight w:val="none"/>
        </w:rPr>
        <w:t>附表A.13.7使用状况值域表</w:t>
      </w:r>
    </w:p>
    <w:tbl>
      <w:tblPr>
        <w:tblStyle w:val="43"/>
        <w:tblW w:w="4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noWrap/>
            <w:vAlign w:val="center"/>
          </w:tcPr>
          <w:p>
            <w:pPr>
              <w:widowControl/>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使用状况</w:t>
            </w:r>
          </w:p>
        </w:tc>
        <w:tc>
          <w:tcPr>
            <w:tcW w:w="1948" w:type="dxa"/>
            <w:noWrap/>
            <w:vAlign w:val="center"/>
          </w:tcPr>
          <w:p>
            <w:pPr>
              <w:widowControl/>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使用</w:t>
            </w:r>
          </w:p>
        </w:tc>
        <w:tc>
          <w:tcPr>
            <w:tcW w:w="194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废弃</w:t>
            </w:r>
          </w:p>
        </w:tc>
        <w:tc>
          <w:tcPr>
            <w:tcW w:w="194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空管</w:t>
            </w:r>
          </w:p>
        </w:tc>
        <w:tc>
          <w:tcPr>
            <w:tcW w:w="194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其它</w:t>
            </w:r>
          </w:p>
        </w:tc>
        <w:tc>
          <w:tcPr>
            <w:tcW w:w="1948" w:type="dxa"/>
            <w:noWrap/>
            <w:vAlign w:val="center"/>
          </w:tcPr>
          <w:p>
            <w:pPr>
              <w:jc w:val="center"/>
              <w:rPr>
                <w:rFonts w:ascii="仿宋" w:hAnsi="仿宋" w:eastAsia="仿宋" w:cs="仿宋"/>
                <w:color w:val="auto"/>
                <w:sz w:val="18"/>
                <w:szCs w:val="18"/>
                <w:highlight w:val="none"/>
              </w:rPr>
            </w:pPr>
          </w:p>
        </w:tc>
      </w:tr>
    </w:tbl>
    <w:p>
      <w:pPr>
        <w:spacing w:line="560" w:lineRule="exact"/>
        <w:jc w:val="center"/>
        <w:rPr>
          <w:rFonts w:ascii="仿宋" w:hAnsi="仿宋" w:eastAsia="仿宋" w:cs="仿宋"/>
          <w:b/>
          <w:color w:val="auto"/>
          <w:highlight w:val="none"/>
        </w:rPr>
      </w:pPr>
      <w:r>
        <w:rPr>
          <w:rFonts w:hint="eastAsia" w:ascii="仿宋" w:hAnsi="仿宋" w:eastAsia="仿宋" w:cs="仿宋"/>
          <w:b/>
          <w:color w:val="auto"/>
          <w:highlight w:val="none"/>
        </w:rPr>
        <w:t>附表A.13.8 井室类型值域表</w:t>
      </w:r>
    </w:p>
    <w:tbl>
      <w:tblPr>
        <w:tblStyle w:val="43"/>
        <w:tblW w:w="4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5" w:type="dxa"/>
            <w:noWrap/>
            <w:vAlign w:val="center"/>
          </w:tcPr>
          <w:p>
            <w:pPr>
              <w:widowControl/>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井室类型</w:t>
            </w:r>
          </w:p>
        </w:tc>
        <w:tc>
          <w:tcPr>
            <w:tcW w:w="2268" w:type="dxa"/>
            <w:noWrap/>
            <w:vAlign w:val="center"/>
          </w:tcPr>
          <w:p>
            <w:pPr>
              <w:widowControl/>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5"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圆形</w:t>
            </w:r>
          </w:p>
        </w:tc>
        <w:tc>
          <w:tcPr>
            <w:tcW w:w="226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5"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方形</w:t>
            </w:r>
          </w:p>
        </w:tc>
        <w:tc>
          <w:tcPr>
            <w:tcW w:w="226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5"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特殊井室</w:t>
            </w:r>
          </w:p>
        </w:tc>
        <w:tc>
          <w:tcPr>
            <w:tcW w:w="2268" w:type="dxa"/>
            <w:noWrap/>
            <w:vAlign w:val="center"/>
          </w:tcPr>
          <w:p>
            <w:pPr>
              <w:jc w:val="center"/>
              <w:rPr>
                <w:rFonts w:ascii="仿宋" w:hAnsi="仿宋" w:eastAsia="仿宋" w:cs="仿宋"/>
                <w:color w:val="auto"/>
                <w:sz w:val="18"/>
                <w:szCs w:val="18"/>
                <w:highlight w:val="none"/>
              </w:rPr>
            </w:pPr>
          </w:p>
        </w:tc>
      </w:tr>
    </w:tbl>
    <w:p>
      <w:pPr>
        <w:spacing w:line="560" w:lineRule="exact"/>
        <w:jc w:val="center"/>
        <w:rPr>
          <w:rFonts w:ascii="仿宋" w:hAnsi="仿宋" w:eastAsia="仿宋" w:cs="仿宋"/>
          <w:b/>
          <w:color w:val="auto"/>
          <w:highlight w:val="none"/>
        </w:rPr>
      </w:pPr>
      <w:r>
        <w:rPr>
          <w:rFonts w:hint="eastAsia" w:ascii="仿宋" w:hAnsi="仿宋" w:eastAsia="仿宋" w:cs="仿宋"/>
          <w:b/>
          <w:color w:val="auto"/>
          <w:highlight w:val="none"/>
        </w:rPr>
        <w:t>附表A.13.9井盖形状值域表</w:t>
      </w:r>
    </w:p>
    <w:tbl>
      <w:tblPr>
        <w:tblStyle w:val="43"/>
        <w:tblW w:w="4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5" w:type="dxa"/>
            <w:noWrap/>
            <w:vAlign w:val="center"/>
          </w:tcPr>
          <w:p>
            <w:pPr>
              <w:widowControl/>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井盖类型</w:t>
            </w:r>
          </w:p>
        </w:tc>
        <w:tc>
          <w:tcPr>
            <w:tcW w:w="2268" w:type="dxa"/>
            <w:noWrap/>
            <w:vAlign w:val="center"/>
          </w:tcPr>
          <w:p>
            <w:pPr>
              <w:widowControl/>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5"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圆形</w:t>
            </w:r>
          </w:p>
        </w:tc>
        <w:tc>
          <w:tcPr>
            <w:tcW w:w="226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5"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方形</w:t>
            </w:r>
          </w:p>
        </w:tc>
        <w:tc>
          <w:tcPr>
            <w:tcW w:w="2268" w:type="dxa"/>
            <w:noWrap/>
            <w:vAlign w:val="center"/>
          </w:tcPr>
          <w:p>
            <w:pPr>
              <w:jc w:val="center"/>
              <w:rPr>
                <w:rFonts w:ascii="仿宋" w:hAnsi="仿宋" w:eastAsia="仿宋" w:cs="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5"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其他类型</w:t>
            </w:r>
          </w:p>
        </w:tc>
        <w:tc>
          <w:tcPr>
            <w:tcW w:w="2268" w:type="dxa"/>
            <w:noWrap/>
            <w:vAlign w:val="center"/>
          </w:tcPr>
          <w:p>
            <w:pPr>
              <w:jc w:val="center"/>
              <w:rPr>
                <w:rFonts w:ascii="仿宋" w:hAnsi="仿宋" w:eastAsia="仿宋" w:cs="仿宋"/>
                <w:color w:val="auto"/>
                <w:sz w:val="18"/>
                <w:szCs w:val="18"/>
                <w:highlight w:val="none"/>
              </w:rPr>
            </w:pPr>
          </w:p>
        </w:tc>
      </w:tr>
    </w:tbl>
    <w:p>
      <w:pPr>
        <w:pStyle w:val="2"/>
        <w:jc w:val="center"/>
        <w:rPr>
          <w:rFonts w:ascii="仿宋" w:hAnsi="仿宋" w:eastAsia="仿宋" w:cs="仿宋"/>
          <w:color w:val="auto"/>
          <w:highlight w:val="none"/>
        </w:rPr>
      </w:pPr>
    </w:p>
    <w:p>
      <w:pPr>
        <w:pStyle w:val="2"/>
        <w:jc w:val="center"/>
        <w:rPr>
          <w:color w:val="auto"/>
          <w:highlight w:val="none"/>
        </w:rPr>
        <w:sectPr>
          <w:footerReference r:id="rId6" w:type="default"/>
          <w:pgSz w:w="11906" w:h="16838"/>
          <w:pgMar w:top="851" w:right="1021" w:bottom="851" w:left="1021" w:header="851" w:footer="992" w:gutter="0"/>
          <w:cols w:space="720" w:num="1"/>
          <w:docGrid w:type="lines" w:linePitch="325" w:charSpace="0"/>
        </w:sectPr>
      </w:pPr>
    </w:p>
    <w:bookmarkEnd w:id="555"/>
    <w:p>
      <w:pPr>
        <w:jc w:val="center"/>
        <w:outlineLvl w:val="1"/>
        <w:rPr>
          <w:rFonts w:eastAsia="仿宋"/>
          <w:b/>
          <w:bCs/>
          <w:color w:val="auto"/>
          <w:sz w:val="28"/>
          <w:szCs w:val="28"/>
          <w:highlight w:val="none"/>
        </w:rPr>
      </w:pPr>
      <w:bookmarkStart w:id="567" w:name="_Toc48835697"/>
      <w:bookmarkStart w:id="568" w:name="_Toc9586"/>
      <w:bookmarkStart w:id="569" w:name="_Toc26110"/>
      <w:bookmarkStart w:id="570" w:name="_Toc20697"/>
      <w:bookmarkStart w:id="571" w:name="_Toc11098"/>
      <w:bookmarkStart w:id="572" w:name="_Toc30874"/>
      <w:bookmarkStart w:id="573" w:name="_Toc7150"/>
      <w:bookmarkStart w:id="574" w:name="_Toc79654128"/>
      <w:bookmarkStart w:id="575" w:name="_Toc20198"/>
      <w:bookmarkStart w:id="576" w:name="_Toc12488"/>
      <w:r>
        <w:rPr>
          <w:rFonts w:hint="eastAsia" w:eastAsia="仿宋"/>
          <w:b/>
          <w:bCs/>
          <w:color w:val="auto"/>
          <w:sz w:val="28"/>
          <w:szCs w:val="28"/>
          <w:highlight w:val="none"/>
        </w:rPr>
        <w:t>附录B 地下管线探查记录表</w:t>
      </w:r>
      <w:bookmarkEnd w:id="567"/>
      <w:bookmarkEnd w:id="568"/>
      <w:bookmarkEnd w:id="569"/>
      <w:bookmarkEnd w:id="570"/>
      <w:bookmarkEnd w:id="571"/>
      <w:bookmarkEnd w:id="572"/>
      <w:bookmarkEnd w:id="573"/>
      <w:bookmarkEnd w:id="574"/>
      <w:bookmarkEnd w:id="575"/>
      <w:bookmarkEnd w:id="576"/>
    </w:p>
    <w:p>
      <w:pPr>
        <w:jc w:val="center"/>
        <w:rPr>
          <w:color w:val="auto"/>
          <w:sz w:val="18"/>
          <w:szCs w:val="18"/>
          <w:highlight w:val="none"/>
        </w:rPr>
      </w:pPr>
      <w:r>
        <w:rPr>
          <w:rFonts w:hint="eastAsia"/>
          <w:color w:val="auto"/>
          <w:sz w:val="18"/>
          <w:szCs w:val="18"/>
          <w:highlight w:val="none"/>
        </w:rPr>
        <w:t>管类：测区：图幅编号：</w:t>
      </w:r>
      <w:r>
        <w:rPr>
          <w:rFonts w:hint="eastAsia"/>
          <w:color w:val="auto"/>
          <w:kern w:val="0"/>
          <w:sz w:val="18"/>
          <w:szCs w:val="18"/>
          <w:highlight w:val="none"/>
        </w:rPr>
        <w:t>探测仪器型号：</w:t>
      </w:r>
    </w:p>
    <w:tbl>
      <w:tblPr>
        <w:tblStyle w:val="43"/>
        <w:tblW w:w="15641" w:type="dxa"/>
        <w:jc w:val="center"/>
        <w:tblLayout w:type="fixed"/>
        <w:tblCellMar>
          <w:top w:w="15" w:type="dxa"/>
          <w:left w:w="15" w:type="dxa"/>
          <w:bottom w:w="15" w:type="dxa"/>
          <w:right w:w="15" w:type="dxa"/>
        </w:tblCellMar>
      </w:tblPr>
      <w:tblGrid>
        <w:gridCol w:w="992"/>
        <w:gridCol w:w="851"/>
        <w:gridCol w:w="708"/>
        <w:gridCol w:w="709"/>
        <w:gridCol w:w="709"/>
        <w:gridCol w:w="850"/>
        <w:gridCol w:w="709"/>
        <w:gridCol w:w="576"/>
        <w:gridCol w:w="567"/>
        <w:gridCol w:w="709"/>
        <w:gridCol w:w="567"/>
        <w:gridCol w:w="567"/>
        <w:gridCol w:w="567"/>
        <w:gridCol w:w="572"/>
        <w:gridCol w:w="851"/>
        <w:gridCol w:w="552"/>
        <w:gridCol w:w="865"/>
        <w:gridCol w:w="425"/>
        <w:gridCol w:w="709"/>
        <w:gridCol w:w="567"/>
        <w:gridCol w:w="709"/>
        <w:gridCol w:w="709"/>
        <w:gridCol w:w="601"/>
      </w:tblGrid>
      <w:tr>
        <w:tblPrEx>
          <w:tblCellMar>
            <w:top w:w="15" w:type="dxa"/>
            <w:left w:w="15" w:type="dxa"/>
            <w:bottom w:w="15" w:type="dxa"/>
            <w:right w:w="15" w:type="dxa"/>
          </w:tblCellMar>
        </w:tblPrEx>
        <w:trPr>
          <w:trHeight w:val="431" w:hRule="atLeast"/>
          <w:jc w:val="center"/>
        </w:trPr>
        <w:tc>
          <w:tcPr>
            <w:tcW w:w="992"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18"/>
                <w:szCs w:val="18"/>
                <w:highlight w:val="none"/>
              </w:rPr>
            </w:pPr>
            <w:r>
              <w:rPr>
                <w:color w:val="auto"/>
                <w:kern w:val="0"/>
                <w:sz w:val="18"/>
                <w:szCs w:val="18"/>
                <w:highlight w:val="none"/>
              </w:rPr>
              <w:t>管线点号</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18"/>
                <w:szCs w:val="18"/>
                <w:highlight w:val="none"/>
              </w:rPr>
            </w:pPr>
            <w:r>
              <w:rPr>
                <w:color w:val="auto"/>
                <w:kern w:val="0"/>
                <w:sz w:val="18"/>
                <w:szCs w:val="18"/>
                <w:highlight w:val="none"/>
              </w:rPr>
              <w:t>连接点号</w:t>
            </w:r>
          </w:p>
        </w:tc>
        <w:tc>
          <w:tcPr>
            <w:tcW w:w="1417" w:type="dxa"/>
            <w:gridSpan w:val="2"/>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color w:val="auto"/>
                <w:kern w:val="0"/>
                <w:sz w:val="18"/>
                <w:szCs w:val="18"/>
                <w:highlight w:val="none"/>
              </w:rPr>
            </w:pPr>
            <w:r>
              <w:rPr>
                <w:rFonts w:hint="eastAsia"/>
                <w:color w:val="auto"/>
                <w:kern w:val="0"/>
                <w:sz w:val="18"/>
                <w:szCs w:val="18"/>
                <w:highlight w:val="none"/>
              </w:rPr>
              <w:t>管线点</w:t>
            </w:r>
            <w:r>
              <w:rPr>
                <w:color w:val="auto"/>
                <w:kern w:val="0"/>
                <w:sz w:val="18"/>
                <w:szCs w:val="18"/>
                <w:highlight w:val="none"/>
              </w:rPr>
              <w:t>类型</w:t>
            </w:r>
          </w:p>
        </w:tc>
        <w:tc>
          <w:tcPr>
            <w:tcW w:w="709"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rFonts w:hint="eastAsia"/>
                <w:color w:val="auto"/>
                <w:kern w:val="0"/>
                <w:sz w:val="18"/>
                <w:szCs w:val="18"/>
                <w:highlight w:val="none"/>
              </w:rPr>
              <w:t>井底深</w:t>
            </w:r>
            <w:r>
              <w:rPr>
                <w:color w:val="auto"/>
                <w:kern w:val="0"/>
                <w:sz w:val="18"/>
                <w:szCs w:val="18"/>
                <w:highlight w:val="none"/>
              </w:rPr>
              <w:t>（</w:t>
            </w:r>
            <w:r>
              <w:rPr>
                <w:rFonts w:hint="eastAsia"/>
                <w:color w:val="auto"/>
                <w:kern w:val="0"/>
                <w:sz w:val="18"/>
                <w:szCs w:val="18"/>
                <w:highlight w:val="none"/>
              </w:rPr>
              <w:t>m</w:t>
            </w:r>
            <w:r>
              <w:rPr>
                <w:color w:val="auto"/>
                <w:kern w:val="0"/>
                <w:sz w:val="18"/>
                <w:szCs w:val="18"/>
                <w:highlight w:val="none"/>
              </w:rPr>
              <w:t>）</w:t>
            </w:r>
          </w:p>
        </w:tc>
        <w:tc>
          <w:tcPr>
            <w:tcW w:w="850"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rFonts w:hint="eastAsia"/>
                <w:color w:val="auto"/>
                <w:kern w:val="0"/>
                <w:sz w:val="18"/>
                <w:szCs w:val="18"/>
                <w:highlight w:val="none"/>
              </w:rPr>
              <w:t>井盖</w:t>
            </w:r>
            <w:r>
              <w:rPr>
                <w:color w:val="auto"/>
                <w:kern w:val="0"/>
                <w:sz w:val="18"/>
                <w:szCs w:val="18"/>
                <w:highlight w:val="none"/>
              </w:rPr>
              <w:t>尺</w:t>
            </w:r>
            <w:r>
              <w:rPr>
                <w:rFonts w:hint="eastAsia"/>
                <w:color w:val="auto"/>
                <w:kern w:val="0"/>
                <w:sz w:val="18"/>
                <w:szCs w:val="18"/>
                <w:highlight w:val="none"/>
              </w:rPr>
              <w:t>寸/井室</w:t>
            </w:r>
            <w:r>
              <w:rPr>
                <w:color w:val="auto"/>
                <w:kern w:val="0"/>
                <w:sz w:val="18"/>
                <w:szCs w:val="18"/>
                <w:highlight w:val="none"/>
              </w:rPr>
              <w:t>规格</w:t>
            </w:r>
          </w:p>
        </w:tc>
        <w:tc>
          <w:tcPr>
            <w:tcW w:w="709"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rFonts w:hint="eastAsia"/>
                <w:color w:val="auto"/>
                <w:kern w:val="0"/>
                <w:sz w:val="18"/>
                <w:szCs w:val="18"/>
                <w:highlight w:val="none"/>
              </w:rPr>
              <w:t>井</w:t>
            </w:r>
            <w:r>
              <w:rPr>
                <w:color w:val="auto"/>
                <w:kern w:val="0"/>
                <w:sz w:val="18"/>
                <w:szCs w:val="18"/>
                <w:highlight w:val="none"/>
              </w:rPr>
              <w:t>脖</w:t>
            </w:r>
            <w:r>
              <w:rPr>
                <w:rFonts w:hint="eastAsia"/>
                <w:color w:val="auto"/>
                <w:kern w:val="0"/>
                <w:sz w:val="18"/>
                <w:szCs w:val="18"/>
                <w:highlight w:val="none"/>
              </w:rPr>
              <w:t>深</w:t>
            </w:r>
          </w:p>
          <w:p>
            <w:pPr>
              <w:widowControl/>
              <w:jc w:val="center"/>
              <w:textAlignment w:val="center"/>
              <w:rPr>
                <w:color w:val="auto"/>
                <w:kern w:val="0"/>
                <w:sz w:val="18"/>
                <w:szCs w:val="18"/>
                <w:highlight w:val="none"/>
              </w:rPr>
            </w:pPr>
            <w:r>
              <w:rPr>
                <w:rFonts w:hint="eastAsia"/>
                <w:color w:val="auto"/>
                <w:kern w:val="0"/>
                <w:sz w:val="18"/>
                <w:szCs w:val="18"/>
                <w:highlight w:val="none"/>
              </w:rPr>
              <w:t>（m）</w:t>
            </w:r>
          </w:p>
        </w:tc>
        <w:tc>
          <w:tcPr>
            <w:tcW w:w="576"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color w:val="auto"/>
                <w:kern w:val="0"/>
                <w:sz w:val="18"/>
                <w:szCs w:val="18"/>
                <w:highlight w:val="none"/>
              </w:rPr>
              <w:t>材质</w:t>
            </w:r>
          </w:p>
        </w:tc>
        <w:tc>
          <w:tcPr>
            <w:tcW w:w="567"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color w:val="auto"/>
                <w:kern w:val="0"/>
                <w:sz w:val="18"/>
                <w:szCs w:val="18"/>
                <w:highlight w:val="none"/>
              </w:rPr>
              <w:t>保护</w:t>
            </w:r>
          </w:p>
          <w:p>
            <w:pPr>
              <w:widowControl/>
              <w:jc w:val="center"/>
              <w:textAlignment w:val="center"/>
              <w:rPr>
                <w:color w:val="auto"/>
                <w:kern w:val="0"/>
                <w:sz w:val="18"/>
                <w:szCs w:val="18"/>
                <w:highlight w:val="none"/>
              </w:rPr>
            </w:pPr>
            <w:r>
              <w:rPr>
                <w:color w:val="auto"/>
                <w:kern w:val="0"/>
                <w:sz w:val="18"/>
                <w:szCs w:val="18"/>
                <w:highlight w:val="none"/>
              </w:rPr>
              <w:t>材质</w:t>
            </w:r>
          </w:p>
        </w:tc>
        <w:tc>
          <w:tcPr>
            <w:tcW w:w="709"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color w:val="auto"/>
                <w:kern w:val="0"/>
                <w:sz w:val="18"/>
                <w:szCs w:val="18"/>
                <w:highlight w:val="none"/>
              </w:rPr>
              <w:t>管径/断面尺寸（mm）</w:t>
            </w:r>
          </w:p>
        </w:tc>
        <w:tc>
          <w:tcPr>
            <w:tcW w:w="113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rFonts w:hint="eastAsia"/>
                <w:color w:val="auto"/>
                <w:kern w:val="0"/>
                <w:sz w:val="18"/>
                <w:szCs w:val="18"/>
                <w:highlight w:val="none"/>
              </w:rPr>
              <w:t>探查方法</w:t>
            </w:r>
          </w:p>
        </w:tc>
        <w:tc>
          <w:tcPr>
            <w:tcW w:w="1139"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rFonts w:hint="eastAsia"/>
                <w:color w:val="auto"/>
                <w:kern w:val="0"/>
                <w:sz w:val="18"/>
                <w:szCs w:val="18"/>
                <w:highlight w:val="none"/>
              </w:rPr>
              <w:t>埋深</w:t>
            </w:r>
          </w:p>
        </w:tc>
        <w:tc>
          <w:tcPr>
            <w:tcW w:w="851"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bCs/>
                <w:color w:val="auto"/>
                <w:kern w:val="0"/>
                <w:sz w:val="18"/>
                <w:szCs w:val="18"/>
                <w:highlight w:val="none"/>
              </w:rPr>
            </w:pPr>
            <w:r>
              <w:rPr>
                <w:rFonts w:hint="eastAsia"/>
                <w:bCs/>
                <w:color w:val="auto"/>
                <w:kern w:val="0"/>
                <w:sz w:val="18"/>
                <w:szCs w:val="18"/>
                <w:highlight w:val="none"/>
              </w:rPr>
              <w:t>已用孔数/总孔数</w:t>
            </w:r>
          </w:p>
        </w:tc>
        <w:tc>
          <w:tcPr>
            <w:tcW w:w="552"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bCs/>
                <w:color w:val="auto"/>
                <w:kern w:val="0"/>
                <w:sz w:val="18"/>
                <w:szCs w:val="18"/>
                <w:highlight w:val="none"/>
              </w:rPr>
            </w:pPr>
            <w:r>
              <w:rPr>
                <w:bCs/>
                <w:color w:val="auto"/>
                <w:kern w:val="0"/>
                <w:sz w:val="18"/>
                <w:szCs w:val="18"/>
                <w:highlight w:val="none"/>
              </w:rPr>
              <w:t>电缆</w:t>
            </w:r>
          </w:p>
          <w:p>
            <w:pPr>
              <w:widowControl/>
              <w:jc w:val="center"/>
              <w:textAlignment w:val="center"/>
              <w:rPr>
                <w:bCs/>
                <w:color w:val="auto"/>
                <w:sz w:val="18"/>
                <w:szCs w:val="18"/>
                <w:highlight w:val="none"/>
              </w:rPr>
            </w:pPr>
            <w:r>
              <w:rPr>
                <w:bCs/>
                <w:color w:val="auto"/>
                <w:kern w:val="0"/>
                <w:sz w:val="18"/>
                <w:szCs w:val="18"/>
                <w:highlight w:val="none"/>
              </w:rPr>
              <w:t>条数</w:t>
            </w:r>
          </w:p>
        </w:tc>
        <w:tc>
          <w:tcPr>
            <w:tcW w:w="865"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bCs/>
                <w:color w:val="auto"/>
                <w:kern w:val="0"/>
                <w:sz w:val="18"/>
                <w:szCs w:val="18"/>
                <w:highlight w:val="none"/>
              </w:rPr>
            </w:pPr>
            <w:r>
              <w:rPr>
                <w:bCs/>
                <w:color w:val="auto"/>
                <w:kern w:val="0"/>
                <w:sz w:val="18"/>
                <w:szCs w:val="18"/>
                <w:highlight w:val="none"/>
              </w:rPr>
              <w:t>压力</w:t>
            </w:r>
          </w:p>
          <w:p>
            <w:pPr>
              <w:widowControl/>
              <w:jc w:val="center"/>
              <w:textAlignment w:val="center"/>
              <w:rPr>
                <w:bCs/>
                <w:color w:val="auto"/>
                <w:sz w:val="18"/>
                <w:szCs w:val="18"/>
                <w:highlight w:val="none"/>
              </w:rPr>
            </w:pPr>
            <w:r>
              <w:rPr>
                <w:rFonts w:hint="eastAsia"/>
                <w:bCs/>
                <w:color w:val="auto"/>
                <w:kern w:val="0"/>
                <w:sz w:val="18"/>
                <w:szCs w:val="18"/>
                <w:highlight w:val="none"/>
              </w:rPr>
              <w:t>（</w:t>
            </w:r>
            <w:r>
              <w:rPr>
                <w:bCs/>
                <w:color w:val="auto"/>
                <w:kern w:val="0"/>
                <w:sz w:val="18"/>
                <w:szCs w:val="18"/>
                <w:highlight w:val="none"/>
              </w:rPr>
              <w:t>电压</w:t>
            </w:r>
            <w:r>
              <w:rPr>
                <w:rFonts w:hint="eastAsia"/>
                <w:bCs/>
                <w:color w:val="auto"/>
                <w:kern w:val="0"/>
                <w:sz w:val="18"/>
                <w:szCs w:val="18"/>
                <w:highlight w:val="none"/>
              </w:rPr>
              <w:t>）</w:t>
            </w:r>
          </w:p>
        </w:tc>
        <w:tc>
          <w:tcPr>
            <w:tcW w:w="425"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color w:val="auto"/>
                <w:kern w:val="0"/>
                <w:sz w:val="18"/>
                <w:szCs w:val="18"/>
                <w:highlight w:val="none"/>
              </w:rPr>
              <w:t>流向</w:t>
            </w:r>
          </w:p>
        </w:tc>
        <w:tc>
          <w:tcPr>
            <w:tcW w:w="709"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color w:val="auto"/>
                <w:kern w:val="0"/>
                <w:sz w:val="18"/>
                <w:szCs w:val="18"/>
                <w:highlight w:val="none"/>
              </w:rPr>
              <w:t>埋设</w:t>
            </w:r>
          </w:p>
          <w:p>
            <w:pPr>
              <w:widowControl/>
              <w:jc w:val="center"/>
              <w:textAlignment w:val="center"/>
              <w:rPr>
                <w:color w:val="auto"/>
                <w:sz w:val="18"/>
                <w:szCs w:val="18"/>
                <w:highlight w:val="none"/>
              </w:rPr>
            </w:pPr>
            <w:r>
              <w:rPr>
                <w:color w:val="auto"/>
                <w:kern w:val="0"/>
                <w:sz w:val="18"/>
                <w:szCs w:val="18"/>
                <w:highlight w:val="none"/>
              </w:rPr>
              <w:t>方式</w:t>
            </w:r>
          </w:p>
        </w:tc>
        <w:tc>
          <w:tcPr>
            <w:tcW w:w="567"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color w:val="auto"/>
                <w:kern w:val="0"/>
                <w:sz w:val="18"/>
                <w:szCs w:val="18"/>
                <w:highlight w:val="none"/>
              </w:rPr>
              <w:t>埋设</w:t>
            </w:r>
          </w:p>
          <w:p>
            <w:pPr>
              <w:widowControl/>
              <w:jc w:val="center"/>
              <w:textAlignment w:val="center"/>
              <w:rPr>
                <w:color w:val="auto"/>
                <w:kern w:val="0"/>
                <w:sz w:val="18"/>
                <w:szCs w:val="18"/>
                <w:highlight w:val="none"/>
              </w:rPr>
            </w:pPr>
            <w:r>
              <w:rPr>
                <w:rFonts w:hint="eastAsia"/>
                <w:color w:val="auto"/>
                <w:kern w:val="0"/>
                <w:sz w:val="18"/>
                <w:szCs w:val="18"/>
                <w:highlight w:val="none"/>
              </w:rPr>
              <w:t>年代</w:t>
            </w:r>
          </w:p>
        </w:tc>
        <w:tc>
          <w:tcPr>
            <w:tcW w:w="709"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color w:val="auto"/>
                <w:kern w:val="0"/>
                <w:sz w:val="18"/>
                <w:szCs w:val="18"/>
                <w:highlight w:val="none"/>
              </w:rPr>
              <w:t>权属</w:t>
            </w:r>
          </w:p>
          <w:p>
            <w:pPr>
              <w:widowControl/>
              <w:jc w:val="center"/>
              <w:textAlignment w:val="center"/>
              <w:rPr>
                <w:color w:val="auto"/>
                <w:kern w:val="0"/>
                <w:sz w:val="18"/>
                <w:szCs w:val="18"/>
                <w:highlight w:val="none"/>
              </w:rPr>
            </w:pPr>
            <w:r>
              <w:rPr>
                <w:color w:val="auto"/>
                <w:kern w:val="0"/>
                <w:sz w:val="18"/>
                <w:szCs w:val="18"/>
                <w:highlight w:val="none"/>
              </w:rPr>
              <w:t>单位</w:t>
            </w:r>
          </w:p>
        </w:tc>
        <w:tc>
          <w:tcPr>
            <w:tcW w:w="709"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color w:val="auto"/>
                <w:kern w:val="0"/>
                <w:sz w:val="18"/>
                <w:szCs w:val="18"/>
                <w:highlight w:val="none"/>
              </w:rPr>
              <w:t>道路</w:t>
            </w:r>
          </w:p>
          <w:p>
            <w:pPr>
              <w:widowControl/>
              <w:jc w:val="center"/>
              <w:textAlignment w:val="center"/>
              <w:rPr>
                <w:color w:val="auto"/>
                <w:sz w:val="18"/>
                <w:szCs w:val="18"/>
                <w:highlight w:val="none"/>
              </w:rPr>
            </w:pPr>
            <w:r>
              <w:rPr>
                <w:color w:val="auto"/>
                <w:kern w:val="0"/>
                <w:sz w:val="18"/>
                <w:szCs w:val="18"/>
                <w:highlight w:val="none"/>
              </w:rPr>
              <w:t>名称</w:t>
            </w:r>
          </w:p>
        </w:tc>
        <w:tc>
          <w:tcPr>
            <w:tcW w:w="601"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sz w:val="18"/>
                <w:szCs w:val="18"/>
                <w:highlight w:val="none"/>
              </w:rPr>
            </w:pPr>
            <w:r>
              <w:rPr>
                <w:color w:val="auto"/>
                <w:kern w:val="0"/>
                <w:sz w:val="18"/>
                <w:szCs w:val="18"/>
                <w:highlight w:val="none"/>
              </w:rPr>
              <w:t>备注</w:t>
            </w:r>
          </w:p>
        </w:tc>
      </w:tr>
      <w:tr>
        <w:tblPrEx>
          <w:tblCellMar>
            <w:top w:w="15" w:type="dxa"/>
            <w:left w:w="15" w:type="dxa"/>
            <w:bottom w:w="15" w:type="dxa"/>
            <w:right w:w="15" w:type="dxa"/>
          </w:tblCellMar>
        </w:tblPrEx>
        <w:trPr>
          <w:trHeight w:val="678" w:hRule="atLeast"/>
          <w:jc w:val="center"/>
        </w:trPr>
        <w:tc>
          <w:tcPr>
            <w:tcW w:w="99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auto"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r>
              <w:rPr>
                <w:color w:val="auto"/>
                <w:kern w:val="0"/>
                <w:sz w:val="18"/>
                <w:szCs w:val="18"/>
                <w:highlight w:val="none"/>
              </w:rPr>
              <w:t>特征点</w:t>
            </w:r>
          </w:p>
        </w:tc>
        <w:tc>
          <w:tcPr>
            <w:tcW w:w="709" w:type="dxa"/>
            <w:tcBorders>
              <w:top w:val="single" w:color="auto"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r>
              <w:rPr>
                <w:rFonts w:hint="eastAsia"/>
                <w:color w:val="auto"/>
                <w:sz w:val="18"/>
                <w:szCs w:val="18"/>
                <w:highlight w:val="none"/>
              </w:rPr>
              <w:t>附属设施</w:t>
            </w:r>
          </w:p>
        </w:tc>
        <w:tc>
          <w:tcPr>
            <w:tcW w:w="709"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vMerge w:val="continue"/>
            <w:tcBorders>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vMerge w:val="continue"/>
            <w:tcBorders>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76" w:type="dxa"/>
            <w:vMerge w:val="continue"/>
            <w:tcBorders>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r>
              <w:rPr>
                <w:rFonts w:hint="eastAsia"/>
                <w:color w:val="auto"/>
                <w:kern w:val="0"/>
                <w:sz w:val="18"/>
                <w:szCs w:val="18"/>
                <w:highlight w:val="none"/>
              </w:rPr>
              <w:t>定位</w:t>
            </w: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rFonts w:hint="eastAsia"/>
                <w:color w:val="auto"/>
                <w:sz w:val="18"/>
                <w:szCs w:val="18"/>
                <w:highlight w:val="none"/>
              </w:rPr>
              <w:t>定深</w:t>
            </w:r>
            <w:r>
              <w:rPr>
                <w:color w:val="auto"/>
                <w:kern w:val="0"/>
                <w:sz w:val="18"/>
                <w:szCs w:val="18"/>
                <w:highlight w:val="none"/>
              </w:rPr>
              <w:t>（m）</w:t>
            </w: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18"/>
                <w:szCs w:val="18"/>
                <w:highlight w:val="none"/>
              </w:rPr>
            </w:pPr>
            <w:r>
              <w:rPr>
                <w:rFonts w:hint="eastAsia"/>
                <w:color w:val="auto"/>
                <w:sz w:val="18"/>
                <w:szCs w:val="18"/>
                <w:highlight w:val="none"/>
              </w:rPr>
              <w:t>外顶(内底)</w:t>
            </w:r>
          </w:p>
        </w:tc>
        <w:tc>
          <w:tcPr>
            <w:tcW w:w="5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shd w:val="clear" w:color="FFFFFF" w:fill="D9D9D9"/>
              </w:rPr>
            </w:pPr>
            <w:r>
              <w:rPr>
                <w:rFonts w:hint="eastAsia"/>
                <w:color w:val="auto"/>
                <w:sz w:val="18"/>
                <w:szCs w:val="18"/>
                <w:highlight w:val="none"/>
              </w:rPr>
              <w:t>中心</w:t>
            </w:r>
          </w:p>
        </w:tc>
        <w:tc>
          <w:tcPr>
            <w:tcW w:w="851"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52"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65"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425"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vMerge w:val="continue"/>
            <w:tcBorders>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601"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76"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76"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493"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76"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76"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76"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76"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76"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76"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76"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76"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76"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76"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76"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76"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76"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bl>
    <w:p>
      <w:pPr>
        <w:tabs>
          <w:tab w:val="left" w:pos="1365"/>
        </w:tabs>
        <w:jc w:val="center"/>
        <w:rPr>
          <w:color w:val="auto"/>
          <w:sz w:val="18"/>
          <w:szCs w:val="18"/>
          <w:highlight w:val="none"/>
        </w:rPr>
      </w:pPr>
      <w:r>
        <w:rPr>
          <w:rFonts w:hint="eastAsia"/>
          <w:color w:val="auto"/>
          <w:sz w:val="18"/>
          <w:szCs w:val="18"/>
          <w:highlight w:val="none"/>
        </w:rPr>
        <w:t>普作业查单位：调查者：调查日期：第页共页</w:t>
      </w:r>
    </w:p>
    <w:p>
      <w:pPr>
        <w:pStyle w:val="2"/>
        <w:ind w:right="1260"/>
        <w:jc w:val="center"/>
        <w:rPr>
          <w:color w:val="auto"/>
          <w:sz w:val="18"/>
          <w:szCs w:val="18"/>
          <w:highlight w:val="none"/>
        </w:rPr>
        <w:sectPr>
          <w:pgSz w:w="16838" w:h="11906" w:orient="landscape"/>
          <w:pgMar w:top="1417" w:right="851" w:bottom="1134" w:left="851" w:header="851" w:footer="992" w:gutter="0"/>
          <w:cols w:space="720" w:num="1"/>
          <w:docGrid w:type="lines" w:linePitch="325" w:charSpace="0"/>
        </w:sectPr>
      </w:pPr>
    </w:p>
    <w:p>
      <w:pPr>
        <w:jc w:val="center"/>
        <w:outlineLvl w:val="1"/>
        <w:rPr>
          <w:rFonts w:eastAsia="仿宋"/>
          <w:b/>
          <w:bCs/>
          <w:color w:val="auto"/>
          <w:sz w:val="28"/>
          <w:szCs w:val="28"/>
          <w:highlight w:val="none"/>
        </w:rPr>
      </w:pPr>
      <w:bookmarkStart w:id="577" w:name="_Toc48835698"/>
      <w:bookmarkStart w:id="578" w:name="_Toc31054"/>
      <w:bookmarkStart w:id="579" w:name="_Toc79654129"/>
      <w:bookmarkStart w:id="580" w:name="_Toc48732577"/>
      <w:bookmarkStart w:id="581" w:name="_Toc18603"/>
      <w:bookmarkStart w:id="582" w:name="_Toc4339"/>
      <w:bookmarkStart w:id="583" w:name="_Toc16953"/>
      <w:bookmarkStart w:id="584" w:name="_Toc20152"/>
      <w:bookmarkStart w:id="585" w:name="_Toc19659"/>
      <w:bookmarkStart w:id="586" w:name="_Toc28072"/>
      <w:bookmarkStart w:id="587" w:name="_Toc28680"/>
      <w:r>
        <w:rPr>
          <w:rFonts w:hint="eastAsia" w:eastAsia="仿宋"/>
          <w:b/>
          <w:bCs/>
          <w:color w:val="auto"/>
          <w:sz w:val="28"/>
          <w:szCs w:val="28"/>
          <w:highlight w:val="none"/>
        </w:rPr>
        <w:t>附录C 地下管线探查检查记录表</w:t>
      </w:r>
      <w:bookmarkEnd w:id="577"/>
      <w:bookmarkEnd w:id="578"/>
      <w:bookmarkEnd w:id="579"/>
      <w:bookmarkEnd w:id="580"/>
      <w:bookmarkEnd w:id="581"/>
      <w:bookmarkEnd w:id="582"/>
      <w:bookmarkEnd w:id="583"/>
      <w:bookmarkEnd w:id="584"/>
      <w:bookmarkEnd w:id="585"/>
      <w:bookmarkEnd w:id="586"/>
      <w:bookmarkEnd w:id="587"/>
    </w:p>
    <w:p>
      <w:pPr>
        <w:ind w:firstLine="720" w:firstLineChars="400"/>
        <w:jc w:val="center"/>
        <w:rPr>
          <w:color w:val="auto"/>
          <w:szCs w:val="21"/>
          <w:highlight w:val="none"/>
        </w:rPr>
      </w:pPr>
      <w:r>
        <w:rPr>
          <w:rFonts w:hint="eastAsia"/>
          <w:color w:val="auto"/>
          <w:kern w:val="0"/>
          <w:sz w:val="18"/>
          <w:szCs w:val="18"/>
          <w:highlight w:val="none"/>
        </w:rPr>
        <w:t>测区：</w:t>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color w:val="auto"/>
          <w:kern w:val="0"/>
          <w:sz w:val="18"/>
          <w:szCs w:val="18"/>
          <w:highlight w:val="none"/>
        </w:rPr>
        <w:tab/>
      </w:r>
      <w:r>
        <w:rPr>
          <w:rFonts w:hint="eastAsia"/>
          <w:color w:val="auto"/>
          <w:kern w:val="0"/>
          <w:sz w:val="18"/>
          <w:szCs w:val="18"/>
          <w:highlight w:val="none"/>
        </w:rPr>
        <w:t>普查</w:t>
      </w:r>
      <w:r>
        <w:rPr>
          <w:color w:val="auto"/>
          <w:kern w:val="0"/>
          <w:sz w:val="18"/>
          <w:szCs w:val="18"/>
          <w:highlight w:val="none"/>
        </w:rPr>
        <w:t>作业</w:t>
      </w:r>
      <w:r>
        <w:rPr>
          <w:rFonts w:hint="eastAsia"/>
          <w:color w:val="auto"/>
          <w:kern w:val="0"/>
          <w:sz w:val="18"/>
          <w:szCs w:val="18"/>
          <w:highlight w:val="none"/>
        </w:rPr>
        <w:t>单位：</w:t>
      </w:r>
    </w:p>
    <w:tbl>
      <w:tblPr>
        <w:tblStyle w:val="43"/>
        <w:tblW w:w="14707" w:type="dxa"/>
        <w:jc w:val="center"/>
        <w:tblLayout w:type="fixed"/>
        <w:tblCellMar>
          <w:top w:w="15" w:type="dxa"/>
          <w:left w:w="15" w:type="dxa"/>
          <w:bottom w:w="15" w:type="dxa"/>
          <w:right w:w="15" w:type="dxa"/>
        </w:tblCellMar>
      </w:tblPr>
      <w:tblGrid>
        <w:gridCol w:w="1513"/>
        <w:gridCol w:w="1358"/>
        <w:gridCol w:w="1712"/>
        <w:gridCol w:w="982"/>
        <w:gridCol w:w="982"/>
        <w:gridCol w:w="850"/>
        <w:gridCol w:w="1283"/>
        <w:gridCol w:w="1134"/>
        <w:gridCol w:w="1134"/>
        <w:gridCol w:w="992"/>
        <w:gridCol w:w="1408"/>
        <w:gridCol w:w="1359"/>
      </w:tblGrid>
      <w:tr>
        <w:tblPrEx>
          <w:tblCellMar>
            <w:top w:w="15" w:type="dxa"/>
            <w:left w:w="15" w:type="dxa"/>
            <w:bottom w:w="15" w:type="dxa"/>
            <w:right w:w="15" w:type="dxa"/>
          </w:tblCellMar>
        </w:tblPrEx>
        <w:trPr>
          <w:trHeight w:val="407" w:hRule="atLeast"/>
          <w:jc w:val="center"/>
        </w:trPr>
        <w:tc>
          <w:tcPr>
            <w:tcW w:w="1513"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18"/>
                <w:szCs w:val="18"/>
                <w:highlight w:val="none"/>
              </w:rPr>
            </w:pPr>
            <w:r>
              <w:rPr>
                <w:rFonts w:hint="eastAsia"/>
                <w:color w:val="auto"/>
                <w:sz w:val="18"/>
                <w:szCs w:val="18"/>
                <w:highlight w:val="none"/>
              </w:rPr>
              <w:t>检查点序号</w:t>
            </w:r>
          </w:p>
        </w:tc>
        <w:tc>
          <w:tcPr>
            <w:tcW w:w="1358"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18"/>
                <w:szCs w:val="18"/>
                <w:highlight w:val="none"/>
              </w:rPr>
            </w:pPr>
            <w:r>
              <w:rPr>
                <w:rFonts w:hint="eastAsia"/>
                <w:color w:val="auto"/>
                <w:kern w:val="0"/>
                <w:sz w:val="18"/>
                <w:szCs w:val="18"/>
                <w:highlight w:val="none"/>
              </w:rPr>
              <w:t>图幅号</w:t>
            </w:r>
          </w:p>
        </w:tc>
        <w:tc>
          <w:tcPr>
            <w:tcW w:w="1712" w:type="dxa"/>
            <w:vMerge w:val="restart"/>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color w:val="auto"/>
                <w:sz w:val="18"/>
                <w:szCs w:val="18"/>
                <w:highlight w:val="none"/>
              </w:rPr>
            </w:pPr>
            <w:r>
              <w:rPr>
                <w:rFonts w:hint="eastAsia"/>
                <w:color w:val="auto"/>
                <w:kern w:val="0"/>
                <w:sz w:val="18"/>
                <w:szCs w:val="18"/>
                <w:highlight w:val="none"/>
              </w:rPr>
              <w:t>管线点号</w:t>
            </w:r>
          </w:p>
        </w:tc>
        <w:tc>
          <w:tcPr>
            <w:tcW w:w="1964" w:type="dxa"/>
            <w:gridSpan w:val="2"/>
            <w:tcBorders>
              <w:top w:val="single" w:color="auto" w:sz="4" w:space="0"/>
              <w:left w:val="single" w:color="auto" w:sz="4" w:space="0"/>
              <w:bottom w:val="single" w:color="auto" w:sz="4" w:space="0"/>
              <w:right w:val="single" w:color="auto" w:sz="4" w:space="0"/>
            </w:tcBorders>
            <w:noWrap/>
          </w:tcPr>
          <w:p>
            <w:pPr>
              <w:jc w:val="center"/>
              <w:rPr>
                <w:color w:val="auto"/>
                <w:kern w:val="0"/>
                <w:sz w:val="18"/>
                <w:szCs w:val="18"/>
                <w:highlight w:val="none"/>
              </w:rPr>
            </w:pPr>
            <w:r>
              <w:rPr>
                <w:rFonts w:hint="eastAsia"/>
                <w:color w:val="auto"/>
                <w:kern w:val="0"/>
                <w:sz w:val="18"/>
                <w:szCs w:val="18"/>
                <w:highlight w:val="none"/>
              </w:rPr>
              <w:t>管线点</w:t>
            </w:r>
            <w:r>
              <w:rPr>
                <w:color w:val="auto"/>
                <w:kern w:val="0"/>
                <w:sz w:val="18"/>
                <w:szCs w:val="18"/>
                <w:highlight w:val="none"/>
              </w:rPr>
              <w:t>类型</w:t>
            </w:r>
          </w:p>
        </w:tc>
        <w:tc>
          <w:tcPr>
            <w:tcW w:w="850" w:type="dxa"/>
            <w:vMerge w:val="restart"/>
            <w:tcBorders>
              <w:top w:val="single" w:color="auto" w:sz="4" w:space="0"/>
              <w:left w:val="single" w:color="auto" w:sz="4" w:space="0"/>
              <w:right w:val="single" w:color="auto" w:sz="4" w:space="0"/>
            </w:tcBorders>
            <w:noWrap/>
            <w:vAlign w:val="center"/>
          </w:tcPr>
          <w:p>
            <w:pPr>
              <w:widowControl/>
              <w:jc w:val="center"/>
              <w:textAlignment w:val="center"/>
              <w:rPr>
                <w:color w:val="auto"/>
                <w:sz w:val="18"/>
                <w:szCs w:val="18"/>
                <w:highlight w:val="none"/>
              </w:rPr>
            </w:pPr>
            <w:r>
              <w:rPr>
                <w:rFonts w:hint="eastAsia"/>
                <w:color w:val="auto"/>
                <w:kern w:val="0"/>
                <w:sz w:val="18"/>
                <w:szCs w:val="18"/>
                <w:highlight w:val="none"/>
              </w:rPr>
              <w:t>材质</w:t>
            </w:r>
          </w:p>
        </w:tc>
        <w:tc>
          <w:tcPr>
            <w:tcW w:w="1283" w:type="dxa"/>
            <w:vMerge w:val="restart"/>
            <w:tcBorders>
              <w:top w:val="single" w:color="auto" w:sz="4" w:space="0"/>
              <w:left w:val="single" w:color="auto" w:sz="4" w:space="0"/>
              <w:right w:val="single" w:color="auto" w:sz="4" w:space="0"/>
            </w:tcBorders>
            <w:noWrap/>
            <w:vAlign w:val="center"/>
          </w:tcPr>
          <w:p>
            <w:pPr>
              <w:jc w:val="center"/>
              <w:rPr>
                <w:color w:val="auto"/>
                <w:sz w:val="18"/>
                <w:szCs w:val="18"/>
                <w:highlight w:val="none"/>
              </w:rPr>
            </w:pPr>
            <w:r>
              <w:rPr>
                <w:rFonts w:hint="eastAsia"/>
                <w:color w:val="auto"/>
                <w:sz w:val="18"/>
                <w:szCs w:val="18"/>
                <w:highlight w:val="none"/>
              </w:rPr>
              <w:t>平面定位偏距</w:t>
            </w:r>
          </w:p>
          <w:p>
            <w:pPr>
              <w:jc w:val="center"/>
              <w:rPr>
                <w:color w:val="auto"/>
                <w:kern w:val="0"/>
                <w:sz w:val="18"/>
                <w:szCs w:val="18"/>
                <w:highlight w:val="none"/>
              </w:rPr>
            </w:pPr>
            <w:r>
              <w:rPr>
                <w:rFonts w:hint="eastAsia"/>
                <w:color w:val="auto"/>
                <w:sz w:val="18"/>
                <w:szCs w:val="18"/>
                <w:highlight w:val="none"/>
              </w:rPr>
              <w:t>（cm）</w:t>
            </w:r>
          </w:p>
        </w:tc>
        <w:tc>
          <w:tcPr>
            <w:tcW w:w="3260" w:type="dxa"/>
            <w:gridSpan w:val="3"/>
            <w:tcBorders>
              <w:top w:val="single" w:color="000000" w:sz="4" w:space="0"/>
              <w:left w:val="single" w:color="auto" w:sz="4" w:space="0"/>
              <w:right w:val="single" w:color="000000" w:sz="4" w:space="0"/>
            </w:tcBorders>
            <w:noWrap/>
            <w:vAlign w:val="center"/>
          </w:tcPr>
          <w:p>
            <w:pPr>
              <w:widowControl/>
              <w:jc w:val="center"/>
              <w:textAlignment w:val="center"/>
              <w:rPr>
                <w:bCs/>
                <w:color w:val="auto"/>
                <w:sz w:val="18"/>
                <w:szCs w:val="18"/>
                <w:highlight w:val="none"/>
              </w:rPr>
            </w:pPr>
            <w:r>
              <w:rPr>
                <w:rFonts w:hint="eastAsia"/>
                <w:bCs/>
                <w:color w:val="auto"/>
                <w:sz w:val="18"/>
                <w:szCs w:val="18"/>
                <w:highlight w:val="none"/>
              </w:rPr>
              <w:t>深度（m）</w:t>
            </w:r>
          </w:p>
        </w:tc>
        <w:tc>
          <w:tcPr>
            <w:tcW w:w="1408"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sz w:val="18"/>
                <w:szCs w:val="18"/>
                <w:highlight w:val="none"/>
              </w:rPr>
            </w:pPr>
            <w:r>
              <w:rPr>
                <w:rFonts w:hint="eastAsia"/>
                <w:color w:val="auto"/>
                <w:sz w:val="18"/>
                <w:szCs w:val="18"/>
                <w:highlight w:val="none"/>
              </w:rPr>
              <w:t>评定</w:t>
            </w:r>
          </w:p>
        </w:tc>
        <w:tc>
          <w:tcPr>
            <w:tcW w:w="1359"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color w:val="auto"/>
                <w:kern w:val="0"/>
                <w:sz w:val="18"/>
                <w:szCs w:val="18"/>
                <w:highlight w:val="none"/>
              </w:rPr>
              <w:t>备注</w:t>
            </w:r>
          </w:p>
        </w:tc>
      </w:tr>
      <w:tr>
        <w:tblPrEx>
          <w:tblCellMar>
            <w:top w:w="15" w:type="dxa"/>
            <w:left w:w="15" w:type="dxa"/>
            <w:bottom w:w="15" w:type="dxa"/>
            <w:right w:w="15" w:type="dxa"/>
          </w:tblCellMar>
        </w:tblPrEx>
        <w:trPr>
          <w:trHeight w:val="203" w:hRule="atLeast"/>
          <w:jc w:val="center"/>
        </w:trPr>
        <w:tc>
          <w:tcPr>
            <w:tcW w:w="15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712" w:type="dxa"/>
            <w:vMerge w:val="continue"/>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shd w:val="clear" w:color="FFFFFF" w:fill="D9D9D9"/>
              </w:rPr>
            </w:pPr>
            <w:r>
              <w:rPr>
                <w:rFonts w:hint="eastAsia"/>
                <w:color w:val="auto"/>
                <w:sz w:val="18"/>
                <w:szCs w:val="18"/>
                <w:highlight w:val="none"/>
              </w:rPr>
              <w:t>特征点</w:t>
            </w:r>
          </w:p>
        </w:tc>
        <w:tc>
          <w:tcPr>
            <w:tcW w:w="982"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shd w:val="clear" w:color="FFFFFF" w:fill="D9D9D9"/>
              </w:rPr>
            </w:pPr>
            <w:r>
              <w:rPr>
                <w:rFonts w:hint="eastAsia"/>
                <w:color w:val="auto"/>
                <w:sz w:val="18"/>
                <w:szCs w:val="18"/>
                <w:highlight w:val="none"/>
              </w:rPr>
              <w:t>附属设施</w:t>
            </w:r>
          </w:p>
        </w:tc>
        <w:tc>
          <w:tcPr>
            <w:tcW w:w="850" w:type="dxa"/>
            <w:vMerge w:val="continue"/>
            <w:tcBorders>
              <w:left w:val="single" w:color="auto" w:sz="4" w:space="0"/>
              <w:bottom w:val="single" w:color="auto" w:sz="4" w:space="0"/>
              <w:right w:val="single" w:color="auto" w:sz="4" w:space="0"/>
            </w:tcBorders>
            <w:noWrap/>
            <w:vAlign w:val="center"/>
          </w:tcPr>
          <w:p>
            <w:pPr>
              <w:jc w:val="center"/>
              <w:rPr>
                <w:color w:val="auto"/>
                <w:sz w:val="18"/>
                <w:szCs w:val="18"/>
                <w:highlight w:val="none"/>
                <w:shd w:val="clear" w:color="FFFFFF" w:fill="D9D9D9"/>
              </w:rPr>
            </w:pPr>
          </w:p>
        </w:tc>
        <w:tc>
          <w:tcPr>
            <w:tcW w:w="1283" w:type="dxa"/>
            <w:vMerge w:val="continue"/>
            <w:tcBorders>
              <w:left w:val="single" w:color="auto" w:sz="4" w:space="0"/>
              <w:bottom w:val="single" w:color="auto" w:sz="4" w:space="0"/>
              <w:right w:val="single" w:color="auto" w:sz="4" w:space="0"/>
            </w:tcBorders>
            <w:noWrap/>
            <w:vAlign w:val="center"/>
          </w:tcPr>
          <w:p>
            <w:pPr>
              <w:jc w:val="center"/>
              <w:rPr>
                <w:color w:val="auto"/>
                <w:sz w:val="18"/>
                <w:szCs w:val="18"/>
                <w:highlight w:val="none"/>
                <w:shd w:val="clear" w:color="FFFFFF" w:fill="D9D9D9"/>
              </w:rPr>
            </w:pPr>
          </w:p>
        </w:tc>
        <w:tc>
          <w:tcPr>
            <w:tcW w:w="1134" w:type="dxa"/>
            <w:tcBorders>
              <w:top w:val="single" w:color="000000" w:sz="4" w:space="0"/>
              <w:left w:val="single" w:color="auto" w:sz="4" w:space="0"/>
              <w:bottom w:val="single" w:color="000000" w:sz="4" w:space="0"/>
              <w:right w:val="single" w:color="000000" w:sz="4" w:space="0"/>
            </w:tcBorders>
            <w:noWrap/>
            <w:vAlign w:val="center"/>
          </w:tcPr>
          <w:p>
            <w:pPr>
              <w:jc w:val="center"/>
              <w:rPr>
                <w:color w:val="auto"/>
                <w:sz w:val="18"/>
                <w:szCs w:val="18"/>
                <w:highlight w:val="none"/>
              </w:rPr>
            </w:pPr>
            <w:r>
              <w:rPr>
                <w:rFonts w:hint="eastAsia"/>
                <w:color w:val="auto"/>
                <w:sz w:val="18"/>
                <w:szCs w:val="18"/>
                <w:highlight w:val="none"/>
              </w:rPr>
              <w:t>探查</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r>
              <w:rPr>
                <w:rFonts w:hint="eastAsia"/>
                <w:color w:val="auto"/>
                <w:sz w:val="18"/>
                <w:szCs w:val="18"/>
                <w:highlight w:val="none"/>
              </w:rPr>
              <w:t>检查</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r>
              <w:rPr>
                <w:rFonts w:hint="eastAsia"/>
                <w:color w:val="auto"/>
                <w:sz w:val="18"/>
                <w:szCs w:val="18"/>
                <w:highlight w:val="none"/>
              </w:rPr>
              <w:t>差值</w:t>
            </w:r>
          </w:p>
        </w:tc>
        <w:tc>
          <w:tcPr>
            <w:tcW w:w="1408"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9" w:type="dxa"/>
            <w:vMerge w:val="continue"/>
            <w:tcBorders>
              <w:left w:val="single" w:color="000000" w:sz="4" w:space="0"/>
              <w:bottom w:val="single" w:color="000000" w:sz="4" w:space="0"/>
              <w:right w:val="single" w:color="000000" w:sz="4" w:space="0"/>
            </w:tcBorders>
            <w:noWrap/>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712"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283"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712"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283"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712"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283"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712"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283"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712"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283"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712"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283"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712"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283"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712"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283"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712"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283"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712"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283"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712"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283"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712"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283"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712"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283"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712"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982" w:type="dxa"/>
            <w:tcBorders>
              <w:top w:val="single" w:color="auto" w:sz="4" w:space="0"/>
              <w:left w:val="single" w:color="auto" w:sz="4" w:space="0"/>
              <w:bottom w:val="single" w:color="auto" w:sz="4" w:space="0"/>
              <w:right w:val="single" w:color="auto" w:sz="4" w:space="0"/>
            </w:tcBorders>
            <w:noWrap/>
          </w:tcPr>
          <w:p>
            <w:pPr>
              <w:jc w:val="center"/>
              <w:rPr>
                <w:color w:val="auto"/>
                <w:sz w:val="18"/>
                <w:szCs w:val="18"/>
                <w:highlight w:val="none"/>
              </w:rPr>
            </w:pP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283"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134"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135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r>
    </w:tbl>
    <w:p>
      <w:pPr>
        <w:tabs>
          <w:tab w:val="left" w:pos="1365"/>
        </w:tabs>
        <w:ind w:firstLine="180" w:firstLineChars="100"/>
        <w:jc w:val="center"/>
        <w:rPr>
          <w:color w:val="auto"/>
          <w:sz w:val="18"/>
          <w:szCs w:val="18"/>
          <w:highlight w:val="none"/>
        </w:rPr>
      </w:pPr>
      <w:r>
        <w:rPr>
          <w:rFonts w:hint="eastAsia"/>
          <w:color w:val="auto"/>
          <w:sz w:val="18"/>
          <w:szCs w:val="18"/>
          <w:highlight w:val="none"/>
        </w:rPr>
        <w:t>检查者：</w:t>
      </w:r>
      <w:r>
        <w:rPr>
          <w:rFonts w:hint="eastAsia"/>
          <w:color w:val="auto"/>
          <w:sz w:val="18"/>
          <w:szCs w:val="18"/>
          <w:highlight w:val="none"/>
        </w:rPr>
        <w:tab/>
      </w:r>
      <w:r>
        <w:rPr>
          <w:rFonts w:hint="eastAsia"/>
          <w:color w:val="auto"/>
          <w:sz w:val="18"/>
          <w:szCs w:val="18"/>
          <w:highlight w:val="none"/>
        </w:rPr>
        <w:tab/>
      </w:r>
      <w:r>
        <w:rPr>
          <w:rFonts w:hint="eastAsia"/>
          <w:color w:val="auto"/>
          <w:sz w:val="18"/>
          <w:szCs w:val="18"/>
          <w:highlight w:val="none"/>
        </w:rPr>
        <w:tab/>
      </w:r>
      <w:r>
        <w:rPr>
          <w:rFonts w:hint="eastAsia"/>
          <w:color w:val="auto"/>
          <w:sz w:val="18"/>
          <w:szCs w:val="18"/>
          <w:highlight w:val="none"/>
        </w:rPr>
        <w:tab/>
      </w:r>
      <w:r>
        <w:rPr>
          <w:rFonts w:hint="eastAsia"/>
          <w:color w:val="auto"/>
          <w:sz w:val="18"/>
          <w:szCs w:val="18"/>
          <w:highlight w:val="none"/>
        </w:rPr>
        <w:tab/>
      </w:r>
      <w:r>
        <w:rPr>
          <w:rFonts w:hint="eastAsia"/>
          <w:color w:val="auto"/>
          <w:sz w:val="18"/>
          <w:szCs w:val="18"/>
          <w:highlight w:val="none"/>
        </w:rPr>
        <w:t>校核者：</w:t>
      </w:r>
      <w:r>
        <w:rPr>
          <w:rFonts w:hint="eastAsia"/>
          <w:color w:val="auto"/>
          <w:sz w:val="18"/>
          <w:szCs w:val="18"/>
          <w:highlight w:val="none"/>
        </w:rPr>
        <w:tab/>
      </w:r>
      <w:r>
        <w:rPr>
          <w:rFonts w:hint="eastAsia"/>
          <w:color w:val="auto"/>
          <w:sz w:val="18"/>
          <w:szCs w:val="18"/>
          <w:highlight w:val="none"/>
        </w:rPr>
        <w:tab/>
      </w:r>
      <w:r>
        <w:rPr>
          <w:rFonts w:hint="eastAsia"/>
          <w:color w:val="auto"/>
          <w:sz w:val="18"/>
          <w:szCs w:val="18"/>
          <w:highlight w:val="none"/>
        </w:rPr>
        <w:tab/>
      </w:r>
      <w:r>
        <w:rPr>
          <w:rFonts w:hint="eastAsia"/>
          <w:color w:val="auto"/>
          <w:sz w:val="18"/>
          <w:szCs w:val="18"/>
          <w:highlight w:val="none"/>
        </w:rPr>
        <w:tab/>
      </w:r>
      <w:r>
        <w:rPr>
          <w:rFonts w:hint="eastAsia"/>
          <w:color w:val="auto"/>
          <w:sz w:val="18"/>
          <w:szCs w:val="18"/>
          <w:highlight w:val="none"/>
        </w:rPr>
        <w:t>日期：</w:t>
      </w:r>
      <w:r>
        <w:rPr>
          <w:rFonts w:hint="eastAsia"/>
          <w:color w:val="auto"/>
          <w:sz w:val="18"/>
          <w:szCs w:val="18"/>
          <w:highlight w:val="none"/>
        </w:rPr>
        <w:tab/>
      </w:r>
      <w:r>
        <w:rPr>
          <w:rFonts w:hint="eastAsia"/>
          <w:color w:val="auto"/>
          <w:sz w:val="18"/>
          <w:szCs w:val="18"/>
          <w:highlight w:val="none"/>
        </w:rPr>
        <w:tab/>
      </w:r>
      <w:r>
        <w:rPr>
          <w:rFonts w:hint="eastAsia"/>
          <w:color w:val="auto"/>
          <w:sz w:val="18"/>
          <w:szCs w:val="18"/>
          <w:highlight w:val="none"/>
        </w:rPr>
        <w:tab/>
      </w:r>
      <w:r>
        <w:rPr>
          <w:rFonts w:hint="eastAsia"/>
          <w:color w:val="auto"/>
          <w:sz w:val="18"/>
          <w:szCs w:val="18"/>
          <w:highlight w:val="none"/>
        </w:rPr>
        <w:t>第页共页</w:t>
      </w:r>
    </w:p>
    <w:p>
      <w:pPr>
        <w:pStyle w:val="2"/>
        <w:ind w:right="1260"/>
        <w:jc w:val="center"/>
        <w:rPr>
          <w:color w:val="auto"/>
          <w:highlight w:val="none"/>
        </w:rPr>
        <w:sectPr>
          <w:pgSz w:w="16838" w:h="11906" w:orient="landscape"/>
          <w:pgMar w:top="1417" w:right="851" w:bottom="1134" w:left="851" w:header="851" w:footer="992" w:gutter="0"/>
          <w:cols w:space="720" w:num="1"/>
          <w:docGrid w:type="lines" w:linePitch="325" w:charSpace="0"/>
        </w:sectPr>
      </w:pPr>
    </w:p>
    <w:p>
      <w:pPr>
        <w:jc w:val="center"/>
        <w:outlineLvl w:val="1"/>
        <w:rPr>
          <w:rFonts w:eastAsia="仿宋"/>
          <w:b/>
          <w:bCs/>
          <w:color w:val="auto"/>
          <w:sz w:val="28"/>
          <w:szCs w:val="28"/>
          <w:highlight w:val="none"/>
        </w:rPr>
      </w:pPr>
      <w:bookmarkStart w:id="588" w:name="_Toc26139"/>
      <w:bookmarkStart w:id="589" w:name="_Toc5839"/>
      <w:bookmarkStart w:id="590" w:name="_Toc28159"/>
      <w:bookmarkStart w:id="591" w:name="_Toc17364"/>
      <w:bookmarkStart w:id="592" w:name="_Toc13468"/>
      <w:bookmarkStart w:id="593" w:name="_Toc48835699"/>
      <w:bookmarkStart w:id="594" w:name="_Toc21843"/>
      <w:bookmarkStart w:id="595" w:name="_Toc4412"/>
      <w:bookmarkStart w:id="596" w:name="_Toc28597"/>
      <w:bookmarkStart w:id="597" w:name="_Toc79654130"/>
      <w:r>
        <w:rPr>
          <w:rFonts w:hint="eastAsia" w:eastAsia="仿宋"/>
          <w:b/>
          <w:bCs/>
          <w:color w:val="auto"/>
          <w:sz w:val="28"/>
          <w:szCs w:val="28"/>
          <w:highlight w:val="none"/>
        </w:rPr>
        <w:t>附录D 管线成果表</w:t>
      </w:r>
      <w:bookmarkEnd w:id="588"/>
      <w:bookmarkEnd w:id="589"/>
      <w:bookmarkEnd w:id="590"/>
      <w:bookmarkEnd w:id="591"/>
      <w:bookmarkEnd w:id="592"/>
      <w:bookmarkEnd w:id="593"/>
      <w:bookmarkEnd w:id="594"/>
      <w:bookmarkEnd w:id="595"/>
      <w:bookmarkEnd w:id="596"/>
      <w:bookmarkEnd w:id="597"/>
    </w:p>
    <w:p>
      <w:pPr>
        <w:ind w:left="420" w:firstLine="420" w:firstLineChars="200"/>
        <w:jc w:val="center"/>
        <w:rPr>
          <w:color w:val="auto"/>
          <w:szCs w:val="21"/>
          <w:highlight w:val="none"/>
        </w:rPr>
      </w:pPr>
      <w:r>
        <w:rPr>
          <w:rFonts w:hint="eastAsia"/>
          <w:color w:val="auto"/>
          <w:szCs w:val="21"/>
          <w:highlight w:val="none"/>
        </w:rPr>
        <w:t>测区编号：</w:t>
      </w:r>
    </w:p>
    <w:tbl>
      <w:tblPr>
        <w:tblStyle w:val="43"/>
        <w:tblW w:w="15596" w:type="dxa"/>
        <w:jc w:val="center"/>
        <w:tblLayout w:type="fixed"/>
        <w:tblCellMar>
          <w:top w:w="15" w:type="dxa"/>
          <w:left w:w="15" w:type="dxa"/>
          <w:bottom w:w="15" w:type="dxa"/>
          <w:right w:w="15" w:type="dxa"/>
        </w:tblCellMar>
      </w:tblPr>
      <w:tblGrid>
        <w:gridCol w:w="992"/>
        <w:gridCol w:w="851"/>
        <w:gridCol w:w="709"/>
        <w:gridCol w:w="708"/>
        <w:gridCol w:w="709"/>
        <w:gridCol w:w="851"/>
        <w:gridCol w:w="713"/>
        <w:gridCol w:w="850"/>
        <w:gridCol w:w="850"/>
        <w:gridCol w:w="709"/>
        <w:gridCol w:w="709"/>
        <w:gridCol w:w="567"/>
        <w:gridCol w:w="567"/>
        <w:gridCol w:w="708"/>
        <w:gridCol w:w="567"/>
        <w:gridCol w:w="851"/>
        <w:gridCol w:w="567"/>
        <w:gridCol w:w="709"/>
        <w:gridCol w:w="567"/>
        <w:gridCol w:w="567"/>
        <w:gridCol w:w="567"/>
        <w:gridCol w:w="708"/>
      </w:tblGrid>
      <w:tr>
        <w:tblPrEx>
          <w:tblCellMar>
            <w:top w:w="15" w:type="dxa"/>
            <w:left w:w="15" w:type="dxa"/>
            <w:bottom w:w="15" w:type="dxa"/>
            <w:right w:w="15" w:type="dxa"/>
          </w:tblCellMar>
        </w:tblPrEx>
        <w:trPr>
          <w:trHeight w:val="384" w:hRule="atLeast"/>
          <w:jc w:val="center"/>
        </w:trPr>
        <w:tc>
          <w:tcPr>
            <w:tcW w:w="992"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color w:val="auto"/>
                <w:kern w:val="0"/>
                <w:sz w:val="18"/>
                <w:szCs w:val="18"/>
                <w:highlight w:val="none"/>
              </w:rPr>
              <w:t>管线</w:t>
            </w:r>
          </w:p>
          <w:p>
            <w:pPr>
              <w:widowControl/>
              <w:jc w:val="center"/>
              <w:textAlignment w:val="center"/>
              <w:rPr>
                <w:color w:val="auto"/>
                <w:sz w:val="18"/>
                <w:szCs w:val="18"/>
                <w:highlight w:val="none"/>
              </w:rPr>
            </w:pPr>
            <w:r>
              <w:rPr>
                <w:color w:val="auto"/>
                <w:kern w:val="0"/>
                <w:sz w:val="18"/>
                <w:szCs w:val="18"/>
                <w:highlight w:val="none"/>
              </w:rPr>
              <w:t>点号</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color w:val="auto"/>
                <w:kern w:val="0"/>
                <w:sz w:val="18"/>
                <w:szCs w:val="18"/>
                <w:highlight w:val="none"/>
              </w:rPr>
              <w:t>连接</w:t>
            </w:r>
          </w:p>
          <w:p>
            <w:pPr>
              <w:widowControl/>
              <w:jc w:val="center"/>
              <w:textAlignment w:val="center"/>
              <w:rPr>
                <w:color w:val="auto"/>
                <w:sz w:val="18"/>
                <w:szCs w:val="18"/>
                <w:highlight w:val="none"/>
              </w:rPr>
            </w:pPr>
            <w:r>
              <w:rPr>
                <w:color w:val="auto"/>
                <w:kern w:val="0"/>
                <w:sz w:val="18"/>
                <w:szCs w:val="18"/>
                <w:highlight w:val="none"/>
              </w:rPr>
              <w:t>点号</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18"/>
                <w:szCs w:val="18"/>
                <w:highlight w:val="none"/>
              </w:rPr>
            </w:pPr>
            <w:r>
              <w:rPr>
                <w:color w:val="auto"/>
                <w:kern w:val="0"/>
                <w:sz w:val="18"/>
                <w:szCs w:val="18"/>
                <w:highlight w:val="none"/>
              </w:rPr>
              <w:t>特征点</w:t>
            </w:r>
          </w:p>
        </w:tc>
        <w:tc>
          <w:tcPr>
            <w:tcW w:w="708"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color w:val="auto"/>
                <w:kern w:val="0"/>
                <w:sz w:val="18"/>
                <w:szCs w:val="18"/>
                <w:highlight w:val="none"/>
              </w:rPr>
              <w:t>附属</w:t>
            </w:r>
          </w:p>
          <w:p>
            <w:pPr>
              <w:widowControl/>
              <w:jc w:val="center"/>
              <w:textAlignment w:val="center"/>
              <w:rPr>
                <w:color w:val="auto"/>
                <w:sz w:val="18"/>
                <w:szCs w:val="18"/>
                <w:highlight w:val="none"/>
              </w:rPr>
            </w:pPr>
            <w:r>
              <w:rPr>
                <w:color w:val="auto"/>
                <w:kern w:val="0"/>
                <w:sz w:val="18"/>
                <w:szCs w:val="18"/>
                <w:highlight w:val="none"/>
              </w:rPr>
              <w:t>设施</w:t>
            </w:r>
          </w:p>
        </w:tc>
        <w:tc>
          <w:tcPr>
            <w:tcW w:w="709"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rFonts w:hint="eastAsia"/>
                <w:color w:val="auto"/>
                <w:kern w:val="0"/>
                <w:sz w:val="18"/>
                <w:szCs w:val="18"/>
                <w:highlight w:val="none"/>
              </w:rPr>
              <w:t>地面高</w:t>
            </w:r>
          </w:p>
          <w:p>
            <w:pPr>
              <w:widowControl/>
              <w:jc w:val="center"/>
              <w:textAlignment w:val="center"/>
              <w:rPr>
                <w:color w:val="auto"/>
                <w:kern w:val="0"/>
                <w:sz w:val="18"/>
                <w:szCs w:val="18"/>
                <w:highlight w:val="none"/>
              </w:rPr>
            </w:pPr>
            <w:r>
              <w:rPr>
                <w:bCs/>
                <w:color w:val="auto"/>
                <w:kern w:val="0"/>
                <w:sz w:val="20"/>
                <w:highlight w:val="none"/>
              </w:rPr>
              <w:t>(m)</w:t>
            </w:r>
          </w:p>
        </w:tc>
        <w:tc>
          <w:tcPr>
            <w:tcW w:w="851"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bCs/>
                <w:color w:val="auto"/>
                <w:kern w:val="0"/>
                <w:sz w:val="18"/>
                <w:szCs w:val="18"/>
                <w:highlight w:val="none"/>
              </w:rPr>
            </w:pPr>
            <w:r>
              <w:rPr>
                <w:bCs/>
                <w:color w:val="auto"/>
                <w:kern w:val="0"/>
                <w:sz w:val="18"/>
                <w:szCs w:val="18"/>
                <w:highlight w:val="none"/>
              </w:rPr>
              <w:t>井底</w:t>
            </w:r>
          </w:p>
          <w:p>
            <w:pPr>
              <w:widowControl/>
              <w:jc w:val="center"/>
              <w:textAlignment w:val="center"/>
              <w:rPr>
                <w:bCs/>
                <w:color w:val="auto"/>
                <w:kern w:val="0"/>
                <w:sz w:val="18"/>
                <w:szCs w:val="18"/>
                <w:highlight w:val="none"/>
              </w:rPr>
            </w:pPr>
            <w:r>
              <w:rPr>
                <w:bCs/>
                <w:color w:val="auto"/>
                <w:kern w:val="0"/>
                <w:sz w:val="18"/>
                <w:szCs w:val="18"/>
                <w:highlight w:val="none"/>
              </w:rPr>
              <w:t>深度</w:t>
            </w:r>
          </w:p>
          <w:p>
            <w:pPr>
              <w:widowControl/>
              <w:jc w:val="center"/>
              <w:textAlignment w:val="center"/>
              <w:rPr>
                <w:color w:val="auto"/>
                <w:kern w:val="0"/>
                <w:sz w:val="18"/>
                <w:szCs w:val="18"/>
                <w:highlight w:val="none"/>
              </w:rPr>
            </w:pPr>
            <w:r>
              <w:rPr>
                <w:bCs/>
                <w:color w:val="auto"/>
                <w:kern w:val="0"/>
                <w:sz w:val="20"/>
                <w:highlight w:val="none"/>
              </w:rPr>
              <w:t>(m)</w:t>
            </w:r>
          </w:p>
        </w:tc>
        <w:tc>
          <w:tcPr>
            <w:tcW w:w="713"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rFonts w:hint="eastAsia"/>
                <w:color w:val="auto"/>
                <w:kern w:val="0"/>
                <w:sz w:val="18"/>
                <w:szCs w:val="18"/>
                <w:highlight w:val="none"/>
              </w:rPr>
              <w:t>井脖深</w:t>
            </w:r>
          </w:p>
          <w:p>
            <w:pPr>
              <w:widowControl/>
              <w:jc w:val="center"/>
              <w:textAlignment w:val="center"/>
              <w:rPr>
                <w:color w:val="auto"/>
                <w:kern w:val="0"/>
                <w:sz w:val="18"/>
                <w:szCs w:val="18"/>
                <w:highlight w:val="none"/>
              </w:rPr>
            </w:pPr>
            <w:r>
              <w:rPr>
                <w:rFonts w:hint="eastAsia"/>
                <w:color w:val="auto"/>
                <w:kern w:val="0"/>
                <w:sz w:val="18"/>
                <w:szCs w:val="18"/>
                <w:highlight w:val="none"/>
              </w:rPr>
              <w:t>(</w:t>
            </w:r>
            <w:r>
              <w:rPr>
                <w:color w:val="auto"/>
                <w:kern w:val="0"/>
                <w:sz w:val="18"/>
                <w:szCs w:val="18"/>
                <w:highlight w:val="none"/>
              </w:rPr>
              <w:t>m</w:t>
            </w:r>
            <w:r>
              <w:rPr>
                <w:rFonts w:hint="eastAsia"/>
                <w:color w:val="auto"/>
                <w:kern w:val="0"/>
                <w:sz w:val="18"/>
                <w:szCs w:val="18"/>
                <w:highlight w:val="none"/>
              </w:rPr>
              <w:t>)</w:t>
            </w:r>
          </w:p>
        </w:tc>
        <w:tc>
          <w:tcPr>
            <w:tcW w:w="850"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rFonts w:hint="eastAsia"/>
                <w:color w:val="auto"/>
                <w:kern w:val="0"/>
                <w:sz w:val="18"/>
                <w:szCs w:val="18"/>
                <w:highlight w:val="none"/>
              </w:rPr>
              <w:t>井盖</w:t>
            </w:r>
            <w:r>
              <w:rPr>
                <w:color w:val="auto"/>
                <w:kern w:val="0"/>
                <w:sz w:val="18"/>
                <w:szCs w:val="18"/>
                <w:highlight w:val="none"/>
              </w:rPr>
              <w:t>尺寸</w:t>
            </w:r>
          </w:p>
        </w:tc>
        <w:tc>
          <w:tcPr>
            <w:tcW w:w="850"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rFonts w:hint="eastAsia"/>
                <w:color w:val="auto"/>
                <w:kern w:val="0"/>
                <w:sz w:val="18"/>
                <w:szCs w:val="18"/>
                <w:highlight w:val="none"/>
              </w:rPr>
              <w:t>井室</w:t>
            </w:r>
            <w:r>
              <w:rPr>
                <w:color w:val="auto"/>
                <w:kern w:val="0"/>
                <w:sz w:val="18"/>
                <w:szCs w:val="18"/>
                <w:highlight w:val="none"/>
              </w:rPr>
              <w:t>规格</w:t>
            </w:r>
          </w:p>
        </w:tc>
        <w:tc>
          <w:tcPr>
            <w:tcW w:w="709"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color w:val="auto"/>
                <w:kern w:val="0"/>
                <w:sz w:val="18"/>
                <w:szCs w:val="18"/>
                <w:highlight w:val="none"/>
              </w:rPr>
              <w:t>材质</w:t>
            </w:r>
            <w:r>
              <w:rPr>
                <w:rFonts w:hint="eastAsia"/>
                <w:color w:val="auto"/>
                <w:kern w:val="0"/>
                <w:sz w:val="18"/>
                <w:szCs w:val="18"/>
                <w:highlight w:val="none"/>
              </w:rPr>
              <w:t>/保护材质</w:t>
            </w:r>
          </w:p>
        </w:tc>
        <w:tc>
          <w:tcPr>
            <w:tcW w:w="709"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color w:val="auto"/>
                <w:kern w:val="0"/>
                <w:sz w:val="18"/>
                <w:szCs w:val="18"/>
                <w:highlight w:val="none"/>
              </w:rPr>
              <w:t>管径/断面尺寸</w:t>
            </w:r>
          </w:p>
          <w:p>
            <w:pPr>
              <w:widowControl/>
              <w:jc w:val="center"/>
              <w:textAlignment w:val="center"/>
              <w:rPr>
                <w:color w:val="auto"/>
                <w:sz w:val="18"/>
                <w:szCs w:val="18"/>
                <w:highlight w:val="none"/>
              </w:rPr>
            </w:pPr>
            <w:r>
              <w:rPr>
                <w:color w:val="auto"/>
                <w:kern w:val="0"/>
                <w:sz w:val="18"/>
                <w:szCs w:val="18"/>
                <w:highlight w:val="none"/>
              </w:rPr>
              <w:t>（mm）</w:t>
            </w:r>
          </w:p>
        </w:tc>
        <w:tc>
          <w:tcPr>
            <w:tcW w:w="1134" w:type="dxa"/>
            <w:gridSpan w:val="2"/>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color w:val="auto"/>
                <w:sz w:val="18"/>
                <w:szCs w:val="18"/>
                <w:highlight w:val="none"/>
              </w:rPr>
            </w:pPr>
            <w:r>
              <w:rPr>
                <w:color w:val="auto"/>
                <w:kern w:val="0"/>
                <w:sz w:val="18"/>
                <w:szCs w:val="18"/>
                <w:highlight w:val="none"/>
              </w:rPr>
              <w:t>埋深（m）</w:t>
            </w:r>
          </w:p>
        </w:tc>
        <w:tc>
          <w:tcPr>
            <w:tcW w:w="708"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color w:val="auto"/>
                <w:kern w:val="0"/>
                <w:sz w:val="18"/>
                <w:szCs w:val="18"/>
                <w:highlight w:val="none"/>
              </w:rPr>
            </w:pPr>
            <w:r>
              <w:rPr>
                <w:rFonts w:hint="eastAsia"/>
                <w:color w:val="auto"/>
                <w:kern w:val="0"/>
                <w:sz w:val="18"/>
                <w:szCs w:val="18"/>
                <w:highlight w:val="none"/>
              </w:rPr>
              <w:t>电力</w:t>
            </w:r>
          </w:p>
          <w:p>
            <w:pPr>
              <w:widowControl/>
              <w:jc w:val="center"/>
              <w:textAlignment w:val="center"/>
              <w:rPr>
                <w:color w:val="auto"/>
                <w:kern w:val="0"/>
                <w:sz w:val="18"/>
                <w:szCs w:val="18"/>
                <w:highlight w:val="none"/>
              </w:rPr>
            </w:pPr>
            <w:r>
              <w:rPr>
                <w:rFonts w:hint="eastAsia"/>
                <w:color w:val="auto"/>
                <w:kern w:val="0"/>
                <w:sz w:val="18"/>
                <w:szCs w:val="18"/>
                <w:highlight w:val="none"/>
              </w:rPr>
              <w:t>（电压）</w:t>
            </w:r>
          </w:p>
        </w:tc>
        <w:tc>
          <w:tcPr>
            <w:tcW w:w="567" w:type="dxa"/>
            <w:vMerge w:val="restart"/>
            <w:tcBorders>
              <w:top w:val="single" w:color="000000" w:sz="4" w:space="0"/>
              <w:left w:val="single" w:color="auto" w:sz="4" w:space="0"/>
              <w:right w:val="single" w:color="000000" w:sz="4" w:space="0"/>
            </w:tcBorders>
            <w:noWrap/>
            <w:vAlign w:val="center"/>
          </w:tcPr>
          <w:p>
            <w:pPr>
              <w:widowControl/>
              <w:jc w:val="center"/>
              <w:textAlignment w:val="center"/>
              <w:rPr>
                <w:color w:val="auto"/>
                <w:sz w:val="18"/>
                <w:szCs w:val="18"/>
                <w:highlight w:val="none"/>
              </w:rPr>
            </w:pPr>
            <w:r>
              <w:rPr>
                <w:rFonts w:hint="eastAsia"/>
                <w:color w:val="auto"/>
                <w:kern w:val="0"/>
                <w:sz w:val="18"/>
                <w:szCs w:val="18"/>
                <w:highlight w:val="none"/>
              </w:rPr>
              <w:t>流向</w:t>
            </w:r>
          </w:p>
        </w:tc>
        <w:tc>
          <w:tcPr>
            <w:tcW w:w="851"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bCs/>
                <w:color w:val="auto"/>
                <w:kern w:val="0"/>
                <w:sz w:val="18"/>
                <w:szCs w:val="18"/>
                <w:highlight w:val="none"/>
              </w:rPr>
            </w:pPr>
            <w:r>
              <w:rPr>
                <w:bCs/>
                <w:color w:val="auto"/>
                <w:kern w:val="0"/>
                <w:sz w:val="18"/>
                <w:szCs w:val="18"/>
                <w:highlight w:val="none"/>
              </w:rPr>
              <w:t>已用孔数</w:t>
            </w:r>
            <w:r>
              <w:rPr>
                <w:rFonts w:hint="eastAsia"/>
                <w:bCs/>
                <w:color w:val="auto"/>
                <w:kern w:val="0"/>
                <w:sz w:val="18"/>
                <w:szCs w:val="18"/>
                <w:highlight w:val="none"/>
              </w:rPr>
              <w:t>/总孔数</w:t>
            </w:r>
          </w:p>
        </w:tc>
        <w:tc>
          <w:tcPr>
            <w:tcW w:w="567"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color w:val="auto"/>
                <w:kern w:val="0"/>
                <w:sz w:val="18"/>
                <w:szCs w:val="18"/>
                <w:highlight w:val="none"/>
              </w:rPr>
              <w:t>电缆</w:t>
            </w:r>
          </w:p>
          <w:p>
            <w:pPr>
              <w:widowControl/>
              <w:jc w:val="center"/>
              <w:textAlignment w:val="center"/>
              <w:rPr>
                <w:color w:val="auto"/>
                <w:sz w:val="18"/>
                <w:szCs w:val="18"/>
                <w:highlight w:val="none"/>
              </w:rPr>
            </w:pPr>
            <w:r>
              <w:rPr>
                <w:color w:val="auto"/>
                <w:kern w:val="0"/>
                <w:sz w:val="18"/>
                <w:szCs w:val="18"/>
                <w:highlight w:val="none"/>
              </w:rPr>
              <w:t>条数</w:t>
            </w:r>
          </w:p>
        </w:tc>
        <w:tc>
          <w:tcPr>
            <w:tcW w:w="709"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color w:val="auto"/>
                <w:kern w:val="0"/>
                <w:sz w:val="18"/>
                <w:szCs w:val="18"/>
                <w:highlight w:val="none"/>
              </w:rPr>
              <w:t>权属</w:t>
            </w:r>
          </w:p>
          <w:p>
            <w:pPr>
              <w:widowControl/>
              <w:jc w:val="center"/>
              <w:textAlignment w:val="center"/>
              <w:rPr>
                <w:color w:val="auto"/>
                <w:sz w:val="18"/>
                <w:szCs w:val="18"/>
                <w:highlight w:val="none"/>
              </w:rPr>
            </w:pPr>
            <w:r>
              <w:rPr>
                <w:color w:val="auto"/>
                <w:kern w:val="0"/>
                <w:sz w:val="18"/>
                <w:szCs w:val="18"/>
                <w:highlight w:val="none"/>
              </w:rPr>
              <w:t>单位</w:t>
            </w:r>
          </w:p>
        </w:tc>
        <w:tc>
          <w:tcPr>
            <w:tcW w:w="567"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color w:val="auto"/>
                <w:kern w:val="0"/>
                <w:sz w:val="18"/>
                <w:szCs w:val="18"/>
                <w:highlight w:val="none"/>
              </w:rPr>
              <w:t>埋设</w:t>
            </w:r>
          </w:p>
          <w:p>
            <w:pPr>
              <w:widowControl/>
              <w:jc w:val="center"/>
              <w:textAlignment w:val="center"/>
              <w:rPr>
                <w:color w:val="auto"/>
                <w:kern w:val="0"/>
                <w:sz w:val="18"/>
                <w:szCs w:val="18"/>
                <w:highlight w:val="none"/>
              </w:rPr>
            </w:pPr>
            <w:r>
              <w:rPr>
                <w:color w:val="auto"/>
                <w:kern w:val="0"/>
                <w:sz w:val="18"/>
                <w:szCs w:val="18"/>
                <w:highlight w:val="none"/>
              </w:rPr>
              <w:t>方式</w:t>
            </w:r>
          </w:p>
        </w:tc>
        <w:tc>
          <w:tcPr>
            <w:tcW w:w="567"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color w:val="auto"/>
                <w:kern w:val="0"/>
                <w:sz w:val="18"/>
                <w:szCs w:val="18"/>
                <w:highlight w:val="none"/>
              </w:rPr>
              <w:t>埋设</w:t>
            </w:r>
          </w:p>
          <w:p>
            <w:pPr>
              <w:widowControl/>
              <w:jc w:val="center"/>
              <w:textAlignment w:val="center"/>
              <w:rPr>
                <w:color w:val="auto"/>
                <w:sz w:val="18"/>
                <w:szCs w:val="18"/>
                <w:highlight w:val="none"/>
              </w:rPr>
            </w:pPr>
            <w:r>
              <w:rPr>
                <w:color w:val="auto"/>
                <w:kern w:val="0"/>
                <w:sz w:val="18"/>
                <w:szCs w:val="18"/>
                <w:highlight w:val="none"/>
              </w:rPr>
              <w:t>年代</w:t>
            </w:r>
          </w:p>
        </w:tc>
        <w:tc>
          <w:tcPr>
            <w:tcW w:w="567"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kern w:val="0"/>
                <w:sz w:val="18"/>
                <w:szCs w:val="18"/>
                <w:highlight w:val="none"/>
              </w:rPr>
            </w:pPr>
            <w:r>
              <w:rPr>
                <w:color w:val="auto"/>
                <w:kern w:val="0"/>
                <w:sz w:val="18"/>
                <w:szCs w:val="18"/>
                <w:highlight w:val="none"/>
              </w:rPr>
              <w:t>道路</w:t>
            </w:r>
          </w:p>
          <w:p>
            <w:pPr>
              <w:widowControl/>
              <w:jc w:val="center"/>
              <w:textAlignment w:val="center"/>
              <w:rPr>
                <w:color w:val="auto"/>
                <w:sz w:val="18"/>
                <w:szCs w:val="18"/>
                <w:highlight w:val="none"/>
              </w:rPr>
            </w:pPr>
            <w:r>
              <w:rPr>
                <w:color w:val="auto"/>
                <w:kern w:val="0"/>
                <w:sz w:val="18"/>
                <w:szCs w:val="18"/>
                <w:highlight w:val="none"/>
              </w:rPr>
              <w:t>名称</w:t>
            </w:r>
          </w:p>
        </w:tc>
        <w:tc>
          <w:tcPr>
            <w:tcW w:w="708"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color w:val="auto"/>
                <w:sz w:val="18"/>
                <w:szCs w:val="18"/>
                <w:highlight w:val="none"/>
              </w:rPr>
            </w:pPr>
            <w:r>
              <w:rPr>
                <w:color w:val="auto"/>
                <w:kern w:val="0"/>
                <w:sz w:val="18"/>
                <w:szCs w:val="18"/>
                <w:highlight w:val="none"/>
              </w:rPr>
              <w:t>备注</w:t>
            </w:r>
          </w:p>
        </w:tc>
      </w:tr>
      <w:tr>
        <w:tblPrEx>
          <w:tblCellMar>
            <w:top w:w="15" w:type="dxa"/>
            <w:left w:w="15" w:type="dxa"/>
            <w:bottom w:w="15" w:type="dxa"/>
            <w:right w:w="15" w:type="dxa"/>
          </w:tblCellMar>
        </w:tblPrEx>
        <w:trPr>
          <w:trHeight w:val="389" w:hRule="atLeast"/>
          <w:jc w:val="center"/>
        </w:trPr>
        <w:tc>
          <w:tcPr>
            <w:tcW w:w="99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13"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vMerge w:val="continue"/>
            <w:tcBorders>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850" w:type="dxa"/>
            <w:vMerge w:val="continue"/>
            <w:tcBorders>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vMerge w:val="continue"/>
            <w:tcBorders>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18"/>
                <w:szCs w:val="18"/>
                <w:highlight w:val="none"/>
              </w:rPr>
            </w:pPr>
            <w:r>
              <w:rPr>
                <w:color w:val="auto"/>
                <w:kern w:val="0"/>
                <w:sz w:val="18"/>
                <w:szCs w:val="18"/>
                <w:highlight w:val="none"/>
              </w:rPr>
              <w:t>起点</w:t>
            </w:r>
          </w:p>
        </w:tc>
        <w:tc>
          <w:tcPr>
            <w:tcW w:w="567"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color w:val="auto"/>
                <w:sz w:val="18"/>
                <w:szCs w:val="18"/>
                <w:highlight w:val="none"/>
              </w:rPr>
            </w:pPr>
            <w:r>
              <w:rPr>
                <w:color w:val="auto"/>
                <w:kern w:val="0"/>
                <w:sz w:val="18"/>
                <w:szCs w:val="18"/>
                <w:highlight w:val="none"/>
              </w:rPr>
              <w:t>终点</w:t>
            </w:r>
          </w:p>
        </w:tc>
        <w:tc>
          <w:tcPr>
            <w:tcW w:w="708"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b/>
                <w:color w:val="auto"/>
                <w:sz w:val="18"/>
                <w:szCs w:val="18"/>
                <w:highlight w:val="none"/>
              </w:rPr>
            </w:pPr>
          </w:p>
        </w:tc>
        <w:tc>
          <w:tcPr>
            <w:tcW w:w="567" w:type="dxa"/>
            <w:vMerge w:val="continue"/>
            <w:tcBorders>
              <w:left w:val="single" w:color="auto"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vMerge w:val="continue"/>
            <w:tcBorders>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567" w:type="dxa"/>
            <w:tcBorders>
              <w:top w:val="single" w:color="000000" w:sz="4" w:space="0"/>
              <w:left w:val="single" w:color="auto"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567" w:type="dxa"/>
            <w:tcBorders>
              <w:top w:val="single" w:color="000000" w:sz="4" w:space="0"/>
              <w:left w:val="single" w:color="auto"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567" w:type="dxa"/>
            <w:tcBorders>
              <w:top w:val="single" w:color="000000" w:sz="4" w:space="0"/>
              <w:left w:val="single" w:color="auto"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567" w:type="dxa"/>
            <w:tcBorders>
              <w:top w:val="single" w:color="000000" w:sz="4" w:space="0"/>
              <w:left w:val="single" w:color="auto"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567" w:type="dxa"/>
            <w:tcBorders>
              <w:top w:val="single" w:color="000000" w:sz="4" w:space="0"/>
              <w:left w:val="single" w:color="auto"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567" w:type="dxa"/>
            <w:tcBorders>
              <w:top w:val="single" w:color="000000" w:sz="4" w:space="0"/>
              <w:left w:val="single" w:color="auto"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auto" w:sz="4" w:space="0"/>
            </w:tcBorders>
            <w:noWrap/>
            <w:vAlign w:val="center"/>
          </w:tcPr>
          <w:p>
            <w:pPr>
              <w:jc w:val="center"/>
              <w:rPr>
                <w:color w:val="auto"/>
                <w:sz w:val="18"/>
                <w:szCs w:val="18"/>
                <w:highlight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pPr>
              <w:jc w:val="center"/>
              <w:rPr>
                <w:color w:val="auto"/>
                <w:sz w:val="18"/>
                <w:szCs w:val="18"/>
                <w:highlight w:val="none"/>
              </w:rPr>
            </w:pPr>
          </w:p>
        </w:tc>
        <w:tc>
          <w:tcPr>
            <w:tcW w:w="567" w:type="dxa"/>
            <w:tcBorders>
              <w:top w:val="single" w:color="000000" w:sz="4" w:space="0"/>
              <w:left w:val="single" w:color="auto" w:sz="4" w:space="0"/>
              <w:bottom w:val="single" w:color="000000" w:sz="4" w:space="0"/>
              <w:right w:val="single" w:color="000000" w:sz="4" w:space="0"/>
            </w:tcBorders>
            <w:noWrap/>
            <w:vAlign w:val="center"/>
          </w:tcPr>
          <w:p>
            <w:pPr>
              <w:jc w:val="center"/>
              <w:rPr>
                <w:color w:val="auto"/>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color w:val="auto"/>
                <w:kern w:val="0"/>
                <w:sz w:val="18"/>
                <w:szCs w:val="18"/>
                <w:highlight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auto"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color w:val="auto"/>
                <w:kern w:val="0"/>
                <w:sz w:val="18"/>
                <w:szCs w:val="18"/>
                <w:highlight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auto"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color w:val="auto"/>
                <w:kern w:val="0"/>
                <w:sz w:val="18"/>
                <w:szCs w:val="18"/>
                <w:highlight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auto"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color w:val="auto"/>
                <w:kern w:val="0"/>
                <w:sz w:val="18"/>
                <w:szCs w:val="18"/>
                <w:highlight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auto"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color w:val="auto"/>
                <w:kern w:val="0"/>
                <w:sz w:val="18"/>
                <w:szCs w:val="18"/>
                <w:highlight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auto"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color w:val="auto"/>
                <w:kern w:val="0"/>
                <w:sz w:val="18"/>
                <w:szCs w:val="18"/>
                <w:highlight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auto"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r>
      <w:tr>
        <w:tblPrEx>
          <w:tblCellMar>
            <w:top w:w="15" w:type="dxa"/>
            <w:left w:w="15" w:type="dxa"/>
            <w:bottom w:w="15" w:type="dxa"/>
            <w:right w:w="15" w:type="dxa"/>
          </w:tblCellMar>
        </w:tblPrEx>
        <w:trPr>
          <w:trHeight w:val="397"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850"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color w:val="auto"/>
                <w:kern w:val="0"/>
                <w:sz w:val="18"/>
                <w:szCs w:val="18"/>
                <w:highlight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auto"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kern w:val="0"/>
                <w:sz w:val="18"/>
                <w:szCs w:val="18"/>
                <w:highlight w:val="none"/>
              </w:rPr>
            </w:pPr>
          </w:p>
        </w:tc>
      </w:tr>
    </w:tbl>
    <w:p>
      <w:pPr>
        <w:tabs>
          <w:tab w:val="left" w:pos="1365"/>
        </w:tabs>
        <w:jc w:val="center"/>
        <w:rPr>
          <w:color w:val="auto"/>
          <w:sz w:val="18"/>
          <w:szCs w:val="18"/>
          <w:highlight w:val="none"/>
        </w:rPr>
      </w:pPr>
      <w:r>
        <w:rPr>
          <w:rFonts w:hint="eastAsia"/>
          <w:color w:val="auto"/>
          <w:sz w:val="18"/>
          <w:szCs w:val="18"/>
          <w:highlight w:val="none"/>
        </w:rPr>
        <w:t>普查作业</w:t>
      </w:r>
      <w:r>
        <w:rPr>
          <w:color w:val="auto"/>
          <w:sz w:val="18"/>
          <w:szCs w:val="18"/>
          <w:highlight w:val="none"/>
        </w:rPr>
        <w:t>单位：</w:t>
      </w:r>
      <w:r>
        <w:rPr>
          <w:rFonts w:hint="eastAsia"/>
          <w:color w:val="auto"/>
          <w:sz w:val="18"/>
          <w:szCs w:val="18"/>
          <w:highlight w:val="none"/>
        </w:rPr>
        <w:tab/>
      </w:r>
      <w:r>
        <w:rPr>
          <w:rFonts w:hint="eastAsia"/>
          <w:color w:val="auto"/>
          <w:sz w:val="18"/>
          <w:szCs w:val="18"/>
          <w:highlight w:val="none"/>
        </w:rPr>
        <w:t>制表者</w:t>
      </w:r>
      <w:r>
        <w:rPr>
          <w:rFonts w:hint="eastAsia"/>
          <w:color w:val="auto"/>
          <w:sz w:val="18"/>
          <w:szCs w:val="18"/>
          <w:highlight w:val="none"/>
        </w:rPr>
        <w:tab/>
      </w:r>
      <w:r>
        <w:rPr>
          <w:rFonts w:hint="eastAsia"/>
          <w:color w:val="auto"/>
          <w:sz w:val="18"/>
          <w:szCs w:val="18"/>
          <w:highlight w:val="none"/>
        </w:rPr>
        <w:tab/>
      </w:r>
      <w:r>
        <w:rPr>
          <w:rFonts w:hint="eastAsia"/>
          <w:color w:val="auto"/>
          <w:sz w:val="18"/>
          <w:szCs w:val="18"/>
          <w:highlight w:val="none"/>
        </w:rPr>
        <w:t>校核者</w:t>
      </w:r>
      <w:r>
        <w:rPr>
          <w:color w:val="auto"/>
          <w:sz w:val="18"/>
          <w:szCs w:val="18"/>
          <w:highlight w:val="none"/>
        </w:rPr>
        <w:t>：</w:t>
      </w:r>
      <w:r>
        <w:rPr>
          <w:rFonts w:hint="eastAsia"/>
          <w:color w:val="auto"/>
          <w:sz w:val="18"/>
          <w:szCs w:val="18"/>
          <w:highlight w:val="none"/>
        </w:rPr>
        <w:tab/>
      </w:r>
      <w:r>
        <w:rPr>
          <w:rFonts w:hint="eastAsia"/>
          <w:color w:val="auto"/>
          <w:sz w:val="18"/>
          <w:szCs w:val="18"/>
          <w:highlight w:val="none"/>
        </w:rPr>
        <w:tab/>
      </w:r>
      <w:r>
        <w:rPr>
          <w:rFonts w:hint="eastAsia"/>
          <w:color w:val="auto"/>
          <w:sz w:val="18"/>
          <w:szCs w:val="18"/>
          <w:highlight w:val="none"/>
        </w:rPr>
        <w:t>日期：</w:t>
      </w:r>
      <w:r>
        <w:rPr>
          <w:rFonts w:hint="eastAsia"/>
          <w:color w:val="auto"/>
          <w:sz w:val="18"/>
          <w:szCs w:val="18"/>
          <w:highlight w:val="none"/>
        </w:rPr>
        <w:tab/>
      </w:r>
      <w:r>
        <w:rPr>
          <w:rFonts w:hint="eastAsia"/>
          <w:color w:val="auto"/>
          <w:sz w:val="18"/>
          <w:szCs w:val="18"/>
          <w:highlight w:val="none"/>
        </w:rPr>
        <w:t>第页共页</w:t>
      </w:r>
    </w:p>
    <w:p>
      <w:pPr>
        <w:jc w:val="center"/>
        <w:rPr>
          <w:color w:val="auto"/>
          <w:szCs w:val="21"/>
          <w:highlight w:val="none"/>
        </w:rPr>
        <w:sectPr>
          <w:pgSz w:w="16838" w:h="11906" w:orient="landscape"/>
          <w:pgMar w:top="1417" w:right="851" w:bottom="1134" w:left="567" w:header="851" w:footer="992" w:gutter="0"/>
          <w:pgNumType w:chapStyle="1"/>
          <w:cols w:space="720" w:num="1"/>
          <w:titlePg/>
          <w:docGrid w:type="lines" w:linePitch="333" w:charSpace="0"/>
        </w:sectPr>
      </w:pPr>
    </w:p>
    <w:p>
      <w:pPr>
        <w:jc w:val="center"/>
        <w:outlineLvl w:val="1"/>
        <w:rPr>
          <w:rFonts w:eastAsia="仿宋"/>
          <w:b/>
          <w:bCs/>
          <w:color w:val="auto"/>
          <w:sz w:val="28"/>
          <w:szCs w:val="28"/>
          <w:highlight w:val="none"/>
        </w:rPr>
      </w:pPr>
      <w:bookmarkStart w:id="598" w:name="_Toc13751"/>
      <w:bookmarkStart w:id="599" w:name="_Toc17206"/>
      <w:bookmarkStart w:id="600" w:name="_Toc2978"/>
      <w:bookmarkStart w:id="601" w:name="_Toc16015"/>
      <w:bookmarkStart w:id="602" w:name="_Toc4842"/>
      <w:bookmarkStart w:id="603" w:name="_Toc31110"/>
      <w:bookmarkStart w:id="604" w:name="_Toc79654131"/>
      <w:bookmarkStart w:id="605" w:name="_Toc48"/>
      <w:bookmarkStart w:id="606" w:name="_Toc10505"/>
      <w:r>
        <w:rPr>
          <w:rFonts w:hint="eastAsia" w:eastAsia="仿宋"/>
          <w:b/>
          <w:bCs/>
          <w:color w:val="auto"/>
          <w:sz w:val="28"/>
          <w:szCs w:val="28"/>
          <w:highlight w:val="none"/>
        </w:rPr>
        <w:t>附录E 地下管线探测安全保护规定</w:t>
      </w:r>
      <w:bookmarkEnd w:id="598"/>
      <w:bookmarkEnd w:id="599"/>
      <w:bookmarkEnd w:id="600"/>
      <w:bookmarkEnd w:id="601"/>
      <w:bookmarkEnd w:id="602"/>
      <w:bookmarkEnd w:id="603"/>
      <w:bookmarkEnd w:id="604"/>
      <w:bookmarkEnd w:id="605"/>
      <w:bookmarkEnd w:id="606"/>
    </w:p>
    <w:p>
      <w:pPr>
        <w:numPr>
          <w:ilvl w:val="0"/>
          <w:numId w:val="52"/>
        </w:numPr>
        <w:tabs>
          <w:tab w:val="left" w:pos="540"/>
          <w:tab w:val="left" w:pos="1365"/>
          <w:tab w:val="clear" w:pos="990"/>
        </w:tabs>
        <w:spacing w:line="360" w:lineRule="auto"/>
        <w:ind w:left="0" w:firstLine="0"/>
        <w:jc w:val="left"/>
        <w:rPr>
          <w:rFonts w:ascii="仿宋" w:hAnsi="仿宋" w:eastAsia="仿宋"/>
          <w:color w:val="auto"/>
          <w:sz w:val="28"/>
          <w:szCs w:val="28"/>
          <w:highlight w:val="none"/>
        </w:rPr>
      </w:pPr>
      <w:r>
        <w:rPr>
          <w:rFonts w:ascii="仿宋" w:hAnsi="仿宋" w:eastAsia="仿宋"/>
          <w:color w:val="auto"/>
          <w:sz w:val="28"/>
          <w:szCs w:val="28"/>
          <w:highlight w:val="none"/>
        </w:rPr>
        <w:t>从事地下管线</w:t>
      </w:r>
      <w:r>
        <w:rPr>
          <w:rFonts w:hint="eastAsia" w:ascii="仿宋" w:hAnsi="仿宋" w:eastAsia="仿宋"/>
          <w:color w:val="auto"/>
          <w:sz w:val="28"/>
          <w:szCs w:val="28"/>
          <w:highlight w:val="none"/>
        </w:rPr>
        <w:t>探测</w:t>
      </w:r>
      <w:r>
        <w:rPr>
          <w:rFonts w:ascii="仿宋" w:hAnsi="仿宋" w:eastAsia="仿宋"/>
          <w:color w:val="auto"/>
          <w:sz w:val="28"/>
          <w:szCs w:val="28"/>
          <w:highlight w:val="none"/>
        </w:rPr>
        <w:t>工作人员，必须熟悉工作岗位的安全保护规定，做到安全生产。</w:t>
      </w:r>
    </w:p>
    <w:p>
      <w:pPr>
        <w:numPr>
          <w:ilvl w:val="0"/>
          <w:numId w:val="52"/>
        </w:numPr>
        <w:tabs>
          <w:tab w:val="left" w:pos="540"/>
          <w:tab w:val="left" w:pos="1365"/>
          <w:tab w:val="clear" w:pos="990"/>
        </w:tabs>
        <w:spacing w:line="360" w:lineRule="auto"/>
        <w:ind w:left="0" w:firstLine="0"/>
        <w:jc w:val="left"/>
        <w:rPr>
          <w:rFonts w:ascii="仿宋" w:hAnsi="仿宋" w:eastAsia="仿宋"/>
          <w:color w:val="auto"/>
          <w:sz w:val="28"/>
          <w:szCs w:val="28"/>
          <w:highlight w:val="none"/>
        </w:rPr>
      </w:pPr>
      <w:r>
        <w:rPr>
          <w:rFonts w:ascii="仿宋" w:hAnsi="仿宋" w:eastAsia="仿宋"/>
          <w:color w:val="auto"/>
          <w:sz w:val="28"/>
          <w:szCs w:val="28"/>
          <w:highlight w:val="none"/>
        </w:rPr>
        <w:t>作业人员应穿戴安全标志服（如黄色反光背心），遵守城市交通法规。</w:t>
      </w:r>
    </w:p>
    <w:p>
      <w:pPr>
        <w:numPr>
          <w:ilvl w:val="0"/>
          <w:numId w:val="52"/>
        </w:numPr>
        <w:tabs>
          <w:tab w:val="left" w:pos="540"/>
          <w:tab w:val="left" w:pos="1365"/>
          <w:tab w:val="clear" w:pos="990"/>
        </w:tabs>
        <w:spacing w:line="360" w:lineRule="auto"/>
        <w:ind w:left="0" w:firstLine="0"/>
        <w:jc w:val="left"/>
        <w:rPr>
          <w:rFonts w:ascii="仿宋" w:hAnsi="仿宋" w:eastAsia="仿宋"/>
          <w:color w:val="auto"/>
          <w:sz w:val="28"/>
          <w:szCs w:val="28"/>
          <w:highlight w:val="none"/>
        </w:rPr>
      </w:pPr>
      <w:r>
        <w:rPr>
          <w:rFonts w:ascii="仿宋" w:hAnsi="仿宋" w:eastAsia="仿宋"/>
          <w:color w:val="auto"/>
          <w:sz w:val="28"/>
          <w:szCs w:val="28"/>
          <w:highlight w:val="none"/>
        </w:rPr>
        <w:t>对规模较大的排污管道，在调查或施入探头、电极、导线时，严禁明火，并进行有害、有毒及可燃气体的浓度测定。超标的管线要采用安全保护措施后才能作业。</w:t>
      </w:r>
    </w:p>
    <w:p>
      <w:pPr>
        <w:numPr>
          <w:ilvl w:val="0"/>
          <w:numId w:val="52"/>
        </w:numPr>
        <w:tabs>
          <w:tab w:val="left" w:pos="540"/>
          <w:tab w:val="left" w:pos="1365"/>
          <w:tab w:val="clear" w:pos="990"/>
        </w:tabs>
        <w:spacing w:line="360" w:lineRule="auto"/>
        <w:ind w:left="0" w:firstLine="0"/>
        <w:jc w:val="left"/>
        <w:rPr>
          <w:rFonts w:ascii="仿宋" w:hAnsi="仿宋" w:eastAsia="仿宋"/>
          <w:color w:val="auto"/>
          <w:sz w:val="28"/>
          <w:szCs w:val="28"/>
          <w:highlight w:val="none"/>
        </w:rPr>
      </w:pPr>
      <w:r>
        <w:rPr>
          <w:rFonts w:ascii="仿宋" w:hAnsi="仿宋" w:eastAsia="仿宋"/>
          <w:color w:val="auto"/>
          <w:sz w:val="28"/>
          <w:szCs w:val="28"/>
          <w:highlight w:val="none"/>
        </w:rPr>
        <w:t>严禁在煤气等易燃、易爆管道上作充电，进行直接法或充电作业。</w:t>
      </w:r>
    </w:p>
    <w:p>
      <w:pPr>
        <w:numPr>
          <w:ilvl w:val="0"/>
          <w:numId w:val="52"/>
        </w:numPr>
        <w:tabs>
          <w:tab w:val="left" w:pos="540"/>
          <w:tab w:val="left" w:pos="1365"/>
          <w:tab w:val="clear" w:pos="990"/>
        </w:tabs>
        <w:spacing w:line="360" w:lineRule="auto"/>
        <w:ind w:left="0" w:firstLine="0"/>
        <w:jc w:val="left"/>
        <w:rPr>
          <w:rFonts w:ascii="仿宋" w:hAnsi="仿宋" w:eastAsia="仿宋"/>
          <w:color w:val="auto"/>
          <w:sz w:val="28"/>
          <w:szCs w:val="28"/>
          <w:highlight w:val="none"/>
        </w:rPr>
      </w:pPr>
      <w:r>
        <w:rPr>
          <w:rFonts w:ascii="仿宋" w:hAnsi="仿宋" w:eastAsia="仿宋"/>
          <w:color w:val="auto"/>
          <w:sz w:val="28"/>
          <w:szCs w:val="28"/>
          <w:highlight w:val="none"/>
        </w:rPr>
        <w:t>夜间作业时，有足够的照明，打开检修井，在井口应有安全照明标志。</w:t>
      </w:r>
    </w:p>
    <w:p>
      <w:pPr>
        <w:numPr>
          <w:ilvl w:val="0"/>
          <w:numId w:val="52"/>
        </w:numPr>
        <w:tabs>
          <w:tab w:val="left" w:pos="540"/>
          <w:tab w:val="left" w:pos="1365"/>
          <w:tab w:val="clear" w:pos="990"/>
        </w:tabs>
        <w:spacing w:line="360" w:lineRule="auto"/>
        <w:ind w:left="0" w:firstLine="0"/>
        <w:jc w:val="left"/>
        <w:rPr>
          <w:rFonts w:ascii="仿宋" w:hAnsi="仿宋" w:eastAsia="仿宋"/>
          <w:color w:val="auto"/>
          <w:sz w:val="28"/>
          <w:szCs w:val="28"/>
          <w:highlight w:val="none"/>
        </w:rPr>
      </w:pPr>
      <w:r>
        <w:rPr>
          <w:rFonts w:ascii="仿宋" w:hAnsi="仿宋" w:eastAsia="仿宋"/>
          <w:color w:val="auto"/>
          <w:sz w:val="28"/>
          <w:szCs w:val="28"/>
          <w:highlight w:val="none"/>
        </w:rPr>
        <w:t>使用大功率仪器设备时，作业人员应具备安全用电和触电急救基础知识。工作电压超36V时，供电作业人员应使用绝缘防护用品。接地电极附近应设置明显警告标志并委派专人看管。雷电天气严禁使用大功率仪器设备施工。井下作业的所有电器设备外壳必须接地。</w:t>
      </w:r>
    </w:p>
    <w:p>
      <w:pPr>
        <w:numPr>
          <w:ilvl w:val="0"/>
          <w:numId w:val="52"/>
        </w:numPr>
        <w:tabs>
          <w:tab w:val="left" w:pos="540"/>
          <w:tab w:val="left" w:pos="1365"/>
          <w:tab w:val="clear" w:pos="990"/>
        </w:tabs>
        <w:spacing w:line="360" w:lineRule="auto"/>
        <w:ind w:left="0" w:firstLine="0"/>
        <w:jc w:val="left"/>
        <w:rPr>
          <w:rFonts w:ascii="仿宋" w:hAnsi="仿宋" w:eastAsia="仿宋"/>
          <w:color w:val="auto"/>
          <w:sz w:val="28"/>
          <w:szCs w:val="28"/>
          <w:highlight w:val="none"/>
        </w:rPr>
      </w:pPr>
      <w:r>
        <w:rPr>
          <w:rFonts w:ascii="仿宋" w:hAnsi="仿宋" w:eastAsia="仿宋"/>
          <w:color w:val="auto"/>
          <w:sz w:val="28"/>
          <w:szCs w:val="28"/>
          <w:highlight w:val="none"/>
        </w:rPr>
        <w:t>当打开窨井盖作实地调查时，井口必须有专人看管，或用设有明显</w:t>
      </w:r>
      <w:r>
        <w:rPr>
          <w:rFonts w:hint="eastAsia" w:ascii="仿宋" w:hAnsi="仿宋" w:eastAsia="仿宋"/>
          <w:color w:val="auto"/>
          <w:sz w:val="28"/>
          <w:szCs w:val="28"/>
          <w:highlight w:val="none"/>
        </w:rPr>
        <w:t>标志</w:t>
      </w:r>
      <w:r>
        <w:rPr>
          <w:rFonts w:ascii="仿宋" w:hAnsi="仿宋" w:eastAsia="仿宋"/>
          <w:color w:val="auto"/>
          <w:sz w:val="28"/>
          <w:szCs w:val="28"/>
          <w:highlight w:val="none"/>
        </w:rPr>
        <w:t>的栅栏围起来。调查完毕必须立即盖好窨井。严禁打开窨井盖后作业人员离开现场。</w:t>
      </w:r>
    </w:p>
    <w:p>
      <w:pPr>
        <w:numPr>
          <w:ilvl w:val="0"/>
          <w:numId w:val="52"/>
        </w:numPr>
        <w:tabs>
          <w:tab w:val="left" w:pos="540"/>
          <w:tab w:val="left" w:pos="1365"/>
          <w:tab w:val="clear" w:pos="990"/>
        </w:tabs>
        <w:spacing w:line="360" w:lineRule="auto"/>
        <w:ind w:left="0" w:firstLine="0"/>
        <w:jc w:val="left"/>
        <w:rPr>
          <w:rFonts w:ascii="仿宋" w:hAnsi="仿宋" w:eastAsia="仿宋"/>
          <w:color w:val="auto"/>
          <w:sz w:val="28"/>
          <w:szCs w:val="28"/>
          <w:highlight w:val="none"/>
        </w:rPr>
      </w:pPr>
      <w:r>
        <w:rPr>
          <w:rFonts w:ascii="仿宋" w:hAnsi="仿宋" w:eastAsia="仿宋"/>
          <w:color w:val="auto"/>
          <w:sz w:val="28"/>
          <w:szCs w:val="28"/>
          <w:highlight w:val="none"/>
        </w:rPr>
        <w:t>发生人身安全事故时，除立即将受害者送到附近医院急救外，还必须保护现场，组织有关人员进行调查，明确事故责任，并做妥善处理。</w:t>
      </w:r>
    </w:p>
    <w:p>
      <w:pPr>
        <w:jc w:val="center"/>
        <w:rPr>
          <w:rFonts w:eastAsia="仿宋"/>
          <w:b/>
          <w:bCs/>
          <w:color w:val="auto"/>
          <w:sz w:val="28"/>
          <w:szCs w:val="28"/>
          <w:highlight w:val="none"/>
        </w:rPr>
      </w:pPr>
      <w:r>
        <w:rPr>
          <w:rFonts w:hint="eastAsia" w:eastAsia="仿宋"/>
          <w:b/>
          <w:bCs/>
          <w:color w:val="auto"/>
          <w:sz w:val="28"/>
          <w:szCs w:val="28"/>
          <w:highlight w:val="none"/>
        </w:rPr>
        <w:br w:type="page"/>
      </w:r>
      <w:bookmarkStart w:id="607" w:name="_Toc28840"/>
      <w:bookmarkStart w:id="608" w:name="_Toc30146"/>
      <w:bookmarkStart w:id="609" w:name="_Toc2613"/>
      <w:bookmarkStart w:id="610" w:name="_Toc27143"/>
      <w:bookmarkStart w:id="611" w:name="_Toc6678"/>
      <w:bookmarkStart w:id="612" w:name="_Toc27298"/>
      <w:bookmarkStart w:id="613" w:name="_Toc27343"/>
      <w:r>
        <w:rPr>
          <w:rFonts w:hint="eastAsia" w:eastAsia="仿宋"/>
          <w:b/>
          <w:bCs/>
          <w:color w:val="auto"/>
          <w:sz w:val="28"/>
          <w:szCs w:val="28"/>
          <w:highlight w:val="none"/>
        </w:rPr>
        <w:t>附录</w:t>
      </w:r>
      <w:r>
        <w:rPr>
          <w:rFonts w:eastAsia="仿宋"/>
          <w:b/>
          <w:bCs/>
          <w:color w:val="auto"/>
          <w:sz w:val="28"/>
          <w:szCs w:val="28"/>
          <w:highlight w:val="none"/>
        </w:rPr>
        <w:t xml:space="preserve">F </w:t>
      </w:r>
      <w:r>
        <w:rPr>
          <w:rFonts w:hint="eastAsia" w:eastAsia="仿宋"/>
          <w:b/>
          <w:bCs/>
          <w:color w:val="auto"/>
          <w:sz w:val="28"/>
          <w:szCs w:val="28"/>
          <w:highlight w:val="none"/>
        </w:rPr>
        <w:t>地下管线普查成果汇交登记表</w:t>
      </w:r>
      <w:bookmarkEnd w:id="607"/>
      <w:bookmarkEnd w:id="608"/>
      <w:bookmarkEnd w:id="609"/>
      <w:bookmarkEnd w:id="610"/>
      <w:bookmarkEnd w:id="611"/>
      <w:bookmarkEnd w:id="612"/>
      <w:bookmarkEnd w:id="613"/>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71"/>
        <w:gridCol w:w="2075"/>
        <w:gridCol w:w="1281"/>
        <w:gridCol w:w="1430"/>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96" w:type="dxa"/>
            <w:gridSpan w:val="2"/>
            <w:noWrap/>
            <w:vAlign w:val="center"/>
          </w:tcPr>
          <w:p>
            <w:pPr>
              <w:pStyle w:val="248"/>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项目名称</w:t>
            </w:r>
          </w:p>
        </w:tc>
        <w:tc>
          <w:tcPr>
            <w:tcW w:w="6518" w:type="dxa"/>
            <w:gridSpan w:val="4"/>
            <w:noWrap/>
            <w:vAlign w:val="center"/>
          </w:tcPr>
          <w:p>
            <w:pPr>
              <w:pStyle w:val="248"/>
              <w:jc w:val="center"/>
              <w:rPr>
                <w:rFonts w:ascii="Times New Roman" w:hAnsi="Times New Roman"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96" w:type="dxa"/>
            <w:gridSpan w:val="2"/>
            <w:noWrap/>
            <w:vAlign w:val="center"/>
          </w:tcPr>
          <w:p>
            <w:pPr>
              <w:pStyle w:val="248"/>
              <w:jc w:val="center"/>
              <w:rPr>
                <w:rFonts w:ascii="Times New Roman" w:hAnsi="Times New Roman" w:eastAsia="仿宋"/>
                <w:color w:val="auto"/>
                <w:sz w:val="21"/>
                <w:szCs w:val="21"/>
                <w:highlight w:val="none"/>
              </w:rPr>
            </w:pPr>
            <w:r>
              <w:rPr>
                <w:rFonts w:hint="eastAsia" w:ascii="Times New Roman" w:hAnsi="Times New Roman" w:eastAsia="仿宋"/>
                <w:color w:val="auto"/>
                <w:sz w:val="21"/>
                <w:szCs w:val="21"/>
                <w:highlight w:val="none"/>
              </w:rPr>
              <w:t>区（市）</w:t>
            </w:r>
            <w:r>
              <w:rPr>
                <w:rFonts w:ascii="Times New Roman" w:hAnsi="Times New Roman" w:eastAsia="仿宋"/>
                <w:color w:val="auto"/>
                <w:sz w:val="21"/>
                <w:szCs w:val="21"/>
                <w:highlight w:val="none"/>
              </w:rPr>
              <w:t>县</w:t>
            </w:r>
          </w:p>
        </w:tc>
        <w:tc>
          <w:tcPr>
            <w:tcW w:w="6518" w:type="dxa"/>
            <w:gridSpan w:val="4"/>
            <w:noWrap/>
            <w:vAlign w:val="center"/>
          </w:tcPr>
          <w:p>
            <w:pPr>
              <w:pStyle w:val="248"/>
              <w:jc w:val="center"/>
              <w:rPr>
                <w:rFonts w:ascii="Times New Roman" w:hAnsi="Times New Roman"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96" w:type="dxa"/>
            <w:gridSpan w:val="2"/>
            <w:noWrap/>
            <w:vAlign w:val="center"/>
          </w:tcPr>
          <w:p>
            <w:pPr>
              <w:pStyle w:val="248"/>
              <w:jc w:val="center"/>
              <w:rPr>
                <w:rFonts w:ascii="Times New Roman" w:hAnsi="Times New Roman" w:eastAsia="仿宋"/>
                <w:color w:val="auto"/>
                <w:sz w:val="21"/>
                <w:szCs w:val="21"/>
                <w:highlight w:val="none"/>
              </w:rPr>
            </w:pPr>
            <w:r>
              <w:rPr>
                <w:rFonts w:hint="eastAsia" w:ascii="Times New Roman" w:hAnsi="Times New Roman" w:eastAsia="仿宋"/>
                <w:color w:val="auto"/>
                <w:sz w:val="21"/>
                <w:szCs w:val="21"/>
                <w:highlight w:val="none"/>
              </w:rPr>
              <w:t>普查作业单位</w:t>
            </w:r>
          </w:p>
        </w:tc>
        <w:tc>
          <w:tcPr>
            <w:tcW w:w="3356" w:type="dxa"/>
            <w:gridSpan w:val="2"/>
            <w:noWrap/>
            <w:vAlign w:val="center"/>
          </w:tcPr>
          <w:p>
            <w:pPr>
              <w:pStyle w:val="248"/>
              <w:jc w:val="center"/>
              <w:rPr>
                <w:rFonts w:ascii="Times New Roman" w:hAnsi="Times New Roman" w:eastAsia="仿宋"/>
                <w:color w:val="auto"/>
                <w:sz w:val="21"/>
                <w:szCs w:val="21"/>
                <w:highlight w:val="none"/>
              </w:rPr>
            </w:pPr>
          </w:p>
        </w:tc>
        <w:tc>
          <w:tcPr>
            <w:tcW w:w="1430" w:type="dxa"/>
            <w:noWrap/>
            <w:vAlign w:val="center"/>
          </w:tcPr>
          <w:p>
            <w:pPr>
              <w:pStyle w:val="248"/>
              <w:jc w:val="center"/>
              <w:rPr>
                <w:rFonts w:ascii="Times New Roman" w:hAnsi="Times New Roman" w:eastAsia="仿宋"/>
                <w:color w:val="auto"/>
                <w:sz w:val="21"/>
                <w:szCs w:val="21"/>
                <w:highlight w:val="none"/>
              </w:rPr>
            </w:pPr>
            <w:r>
              <w:rPr>
                <w:rFonts w:hint="eastAsia" w:ascii="Times New Roman" w:hAnsi="Times New Roman" w:eastAsia="仿宋"/>
                <w:color w:val="auto"/>
                <w:sz w:val="21"/>
                <w:szCs w:val="21"/>
                <w:highlight w:val="none"/>
              </w:rPr>
              <w:t>普查工作量</w:t>
            </w:r>
          </w:p>
        </w:tc>
        <w:tc>
          <w:tcPr>
            <w:tcW w:w="1732" w:type="dxa"/>
            <w:noWrap/>
            <w:vAlign w:val="center"/>
          </w:tcPr>
          <w:p>
            <w:pPr>
              <w:pStyle w:val="248"/>
              <w:jc w:val="center"/>
              <w:rPr>
                <w:rFonts w:ascii="Times New Roman" w:hAnsi="Times New Roman"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noWrap/>
            <w:vAlign w:val="center"/>
          </w:tcPr>
          <w:p>
            <w:pPr>
              <w:pStyle w:val="248"/>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序号</w:t>
            </w:r>
          </w:p>
        </w:tc>
        <w:tc>
          <w:tcPr>
            <w:tcW w:w="3346" w:type="dxa"/>
            <w:gridSpan w:val="2"/>
            <w:noWrap/>
            <w:vAlign w:val="center"/>
          </w:tcPr>
          <w:p>
            <w:pPr>
              <w:pStyle w:val="248"/>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资料名称</w:t>
            </w:r>
          </w:p>
        </w:tc>
        <w:tc>
          <w:tcPr>
            <w:tcW w:w="1281" w:type="dxa"/>
            <w:noWrap/>
            <w:vAlign w:val="center"/>
          </w:tcPr>
          <w:p>
            <w:pPr>
              <w:pStyle w:val="248"/>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页数</w:t>
            </w:r>
          </w:p>
        </w:tc>
        <w:tc>
          <w:tcPr>
            <w:tcW w:w="1430" w:type="dxa"/>
            <w:noWrap/>
            <w:vAlign w:val="center"/>
          </w:tcPr>
          <w:p>
            <w:pPr>
              <w:pStyle w:val="248"/>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份数</w:t>
            </w:r>
          </w:p>
        </w:tc>
        <w:tc>
          <w:tcPr>
            <w:tcW w:w="1732" w:type="dxa"/>
            <w:noWrap/>
            <w:vAlign w:val="center"/>
          </w:tcPr>
          <w:p>
            <w:pPr>
              <w:pStyle w:val="248"/>
              <w:jc w:val="center"/>
              <w:rPr>
                <w:rFonts w:ascii="Times New Roman" w:hAnsi="Times New Roman" w:eastAsia="仿宋"/>
                <w:color w:val="auto"/>
                <w:sz w:val="21"/>
                <w:szCs w:val="21"/>
                <w:highlight w:val="none"/>
              </w:rPr>
            </w:pPr>
            <w:r>
              <w:rPr>
                <w:rFonts w:hint="eastAsia" w:ascii="Times New Roman" w:hAnsi="Times New Roman" w:eastAsia="仿宋"/>
                <w:color w:val="auto"/>
                <w:sz w:val="21"/>
                <w:szCs w:val="21"/>
                <w:highlight w:val="none"/>
              </w:rPr>
              <w:t>资料形式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noWrap/>
            <w:vAlign w:val="center"/>
          </w:tcPr>
          <w:p>
            <w:pPr>
              <w:pStyle w:val="248"/>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1</w:t>
            </w:r>
          </w:p>
        </w:tc>
        <w:tc>
          <w:tcPr>
            <w:tcW w:w="3346" w:type="dxa"/>
            <w:gridSpan w:val="2"/>
            <w:noWrap/>
            <w:vAlign w:val="center"/>
          </w:tcPr>
          <w:p>
            <w:pPr>
              <w:pStyle w:val="248"/>
              <w:jc w:val="center"/>
              <w:rPr>
                <w:rFonts w:ascii="Times New Roman" w:hAnsi="Times New Roman" w:eastAsia="仿宋"/>
                <w:color w:val="auto"/>
                <w:sz w:val="21"/>
                <w:szCs w:val="21"/>
                <w:highlight w:val="none"/>
              </w:rPr>
            </w:pPr>
          </w:p>
        </w:tc>
        <w:tc>
          <w:tcPr>
            <w:tcW w:w="1281" w:type="dxa"/>
            <w:noWrap/>
            <w:vAlign w:val="center"/>
          </w:tcPr>
          <w:p>
            <w:pPr>
              <w:pStyle w:val="248"/>
              <w:jc w:val="center"/>
              <w:rPr>
                <w:rFonts w:ascii="Times New Roman" w:hAnsi="Times New Roman" w:eastAsia="仿宋"/>
                <w:color w:val="auto"/>
                <w:sz w:val="21"/>
                <w:szCs w:val="21"/>
                <w:highlight w:val="none"/>
              </w:rPr>
            </w:pPr>
          </w:p>
        </w:tc>
        <w:tc>
          <w:tcPr>
            <w:tcW w:w="1430" w:type="dxa"/>
            <w:noWrap/>
            <w:vAlign w:val="center"/>
          </w:tcPr>
          <w:p>
            <w:pPr>
              <w:pStyle w:val="248"/>
              <w:jc w:val="center"/>
              <w:rPr>
                <w:rFonts w:ascii="Times New Roman" w:hAnsi="Times New Roman" w:eastAsia="仿宋"/>
                <w:color w:val="auto"/>
                <w:sz w:val="21"/>
                <w:szCs w:val="21"/>
                <w:highlight w:val="none"/>
              </w:rPr>
            </w:pPr>
          </w:p>
        </w:tc>
        <w:tc>
          <w:tcPr>
            <w:tcW w:w="1732" w:type="dxa"/>
            <w:noWrap/>
            <w:vAlign w:val="center"/>
          </w:tcPr>
          <w:p>
            <w:pPr>
              <w:pStyle w:val="248"/>
              <w:jc w:val="center"/>
              <w:rPr>
                <w:rFonts w:ascii="Times New Roman" w:hAnsi="Times New Roman"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noWrap/>
            <w:vAlign w:val="center"/>
          </w:tcPr>
          <w:p>
            <w:pPr>
              <w:pStyle w:val="248"/>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2</w:t>
            </w:r>
          </w:p>
        </w:tc>
        <w:tc>
          <w:tcPr>
            <w:tcW w:w="3346" w:type="dxa"/>
            <w:gridSpan w:val="2"/>
            <w:noWrap/>
            <w:vAlign w:val="center"/>
          </w:tcPr>
          <w:p>
            <w:pPr>
              <w:pStyle w:val="248"/>
              <w:jc w:val="center"/>
              <w:rPr>
                <w:rFonts w:ascii="Times New Roman" w:hAnsi="Times New Roman" w:eastAsia="仿宋"/>
                <w:color w:val="auto"/>
                <w:sz w:val="21"/>
                <w:szCs w:val="21"/>
                <w:highlight w:val="none"/>
              </w:rPr>
            </w:pPr>
          </w:p>
        </w:tc>
        <w:tc>
          <w:tcPr>
            <w:tcW w:w="1281" w:type="dxa"/>
            <w:noWrap/>
            <w:vAlign w:val="center"/>
          </w:tcPr>
          <w:p>
            <w:pPr>
              <w:pStyle w:val="248"/>
              <w:jc w:val="center"/>
              <w:rPr>
                <w:rFonts w:ascii="Times New Roman" w:hAnsi="Times New Roman" w:eastAsia="仿宋"/>
                <w:color w:val="auto"/>
                <w:sz w:val="21"/>
                <w:szCs w:val="21"/>
                <w:highlight w:val="none"/>
              </w:rPr>
            </w:pPr>
          </w:p>
        </w:tc>
        <w:tc>
          <w:tcPr>
            <w:tcW w:w="1430" w:type="dxa"/>
            <w:noWrap/>
            <w:vAlign w:val="center"/>
          </w:tcPr>
          <w:p>
            <w:pPr>
              <w:pStyle w:val="248"/>
              <w:jc w:val="center"/>
              <w:rPr>
                <w:rFonts w:ascii="Times New Roman" w:hAnsi="Times New Roman" w:eastAsia="仿宋"/>
                <w:color w:val="auto"/>
                <w:sz w:val="21"/>
                <w:szCs w:val="21"/>
                <w:highlight w:val="none"/>
              </w:rPr>
            </w:pPr>
          </w:p>
        </w:tc>
        <w:tc>
          <w:tcPr>
            <w:tcW w:w="1732" w:type="dxa"/>
            <w:noWrap/>
            <w:vAlign w:val="center"/>
          </w:tcPr>
          <w:p>
            <w:pPr>
              <w:pStyle w:val="248"/>
              <w:jc w:val="center"/>
              <w:rPr>
                <w:rFonts w:ascii="Times New Roman" w:hAnsi="Times New Roman"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noWrap/>
            <w:vAlign w:val="center"/>
          </w:tcPr>
          <w:p>
            <w:pPr>
              <w:pStyle w:val="248"/>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3</w:t>
            </w:r>
          </w:p>
        </w:tc>
        <w:tc>
          <w:tcPr>
            <w:tcW w:w="3346" w:type="dxa"/>
            <w:gridSpan w:val="2"/>
            <w:noWrap/>
            <w:vAlign w:val="center"/>
          </w:tcPr>
          <w:p>
            <w:pPr>
              <w:pStyle w:val="248"/>
              <w:jc w:val="center"/>
              <w:rPr>
                <w:rFonts w:ascii="Times New Roman" w:hAnsi="Times New Roman" w:eastAsia="仿宋"/>
                <w:color w:val="auto"/>
                <w:sz w:val="21"/>
                <w:szCs w:val="21"/>
                <w:highlight w:val="none"/>
              </w:rPr>
            </w:pPr>
          </w:p>
        </w:tc>
        <w:tc>
          <w:tcPr>
            <w:tcW w:w="1281" w:type="dxa"/>
            <w:noWrap/>
            <w:vAlign w:val="center"/>
          </w:tcPr>
          <w:p>
            <w:pPr>
              <w:pStyle w:val="248"/>
              <w:jc w:val="center"/>
              <w:rPr>
                <w:rFonts w:ascii="Times New Roman" w:hAnsi="Times New Roman" w:eastAsia="仿宋"/>
                <w:color w:val="auto"/>
                <w:sz w:val="21"/>
                <w:szCs w:val="21"/>
                <w:highlight w:val="none"/>
              </w:rPr>
            </w:pPr>
          </w:p>
        </w:tc>
        <w:tc>
          <w:tcPr>
            <w:tcW w:w="1430" w:type="dxa"/>
            <w:noWrap/>
            <w:vAlign w:val="center"/>
          </w:tcPr>
          <w:p>
            <w:pPr>
              <w:pStyle w:val="248"/>
              <w:jc w:val="center"/>
              <w:rPr>
                <w:rFonts w:ascii="Times New Roman" w:hAnsi="Times New Roman" w:eastAsia="仿宋"/>
                <w:color w:val="auto"/>
                <w:sz w:val="21"/>
                <w:szCs w:val="21"/>
                <w:highlight w:val="none"/>
              </w:rPr>
            </w:pPr>
          </w:p>
        </w:tc>
        <w:tc>
          <w:tcPr>
            <w:tcW w:w="1732" w:type="dxa"/>
            <w:noWrap/>
            <w:vAlign w:val="center"/>
          </w:tcPr>
          <w:p>
            <w:pPr>
              <w:pStyle w:val="248"/>
              <w:jc w:val="center"/>
              <w:rPr>
                <w:rFonts w:ascii="Times New Roman" w:hAnsi="Times New Roman"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noWrap/>
            <w:vAlign w:val="center"/>
          </w:tcPr>
          <w:p>
            <w:pPr>
              <w:pStyle w:val="248"/>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4</w:t>
            </w:r>
          </w:p>
        </w:tc>
        <w:tc>
          <w:tcPr>
            <w:tcW w:w="3346" w:type="dxa"/>
            <w:gridSpan w:val="2"/>
            <w:noWrap/>
            <w:vAlign w:val="center"/>
          </w:tcPr>
          <w:p>
            <w:pPr>
              <w:pStyle w:val="248"/>
              <w:jc w:val="center"/>
              <w:rPr>
                <w:rFonts w:ascii="Times New Roman" w:hAnsi="Times New Roman" w:eastAsia="仿宋"/>
                <w:color w:val="auto"/>
                <w:sz w:val="21"/>
                <w:szCs w:val="21"/>
                <w:highlight w:val="none"/>
              </w:rPr>
            </w:pPr>
          </w:p>
        </w:tc>
        <w:tc>
          <w:tcPr>
            <w:tcW w:w="1281" w:type="dxa"/>
            <w:noWrap/>
            <w:vAlign w:val="center"/>
          </w:tcPr>
          <w:p>
            <w:pPr>
              <w:pStyle w:val="248"/>
              <w:jc w:val="center"/>
              <w:rPr>
                <w:rFonts w:ascii="Times New Roman" w:hAnsi="Times New Roman" w:eastAsia="仿宋"/>
                <w:color w:val="auto"/>
                <w:sz w:val="21"/>
                <w:szCs w:val="21"/>
                <w:highlight w:val="none"/>
              </w:rPr>
            </w:pPr>
          </w:p>
        </w:tc>
        <w:tc>
          <w:tcPr>
            <w:tcW w:w="1430" w:type="dxa"/>
            <w:noWrap/>
            <w:vAlign w:val="center"/>
          </w:tcPr>
          <w:p>
            <w:pPr>
              <w:pStyle w:val="248"/>
              <w:jc w:val="center"/>
              <w:rPr>
                <w:rFonts w:ascii="Times New Roman" w:hAnsi="Times New Roman" w:eastAsia="仿宋"/>
                <w:color w:val="auto"/>
                <w:sz w:val="21"/>
                <w:szCs w:val="21"/>
                <w:highlight w:val="none"/>
              </w:rPr>
            </w:pPr>
          </w:p>
        </w:tc>
        <w:tc>
          <w:tcPr>
            <w:tcW w:w="1732" w:type="dxa"/>
            <w:noWrap/>
            <w:vAlign w:val="center"/>
          </w:tcPr>
          <w:p>
            <w:pPr>
              <w:pStyle w:val="248"/>
              <w:jc w:val="center"/>
              <w:rPr>
                <w:rFonts w:ascii="Times New Roman" w:hAnsi="Times New Roman"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noWrap/>
            <w:vAlign w:val="center"/>
          </w:tcPr>
          <w:p>
            <w:pPr>
              <w:pStyle w:val="248"/>
              <w:jc w:val="center"/>
              <w:rPr>
                <w:rFonts w:ascii="Times New Roman" w:hAnsi="Times New Roman" w:eastAsia="仿宋"/>
                <w:color w:val="auto"/>
                <w:sz w:val="21"/>
                <w:szCs w:val="21"/>
                <w:highlight w:val="none"/>
              </w:rPr>
            </w:pPr>
            <w:r>
              <w:rPr>
                <w:rFonts w:hint="eastAsia" w:ascii="Times New Roman" w:hAnsi="Times New Roman" w:eastAsia="仿宋"/>
                <w:color w:val="auto"/>
                <w:sz w:val="21"/>
                <w:szCs w:val="21"/>
                <w:highlight w:val="none"/>
              </w:rPr>
              <w:t>5</w:t>
            </w:r>
          </w:p>
        </w:tc>
        <w:tc>
          <w:tcPr>
            <w:tcW w:w="3346" w:type="dxa"/>
            <w:gridSpan w:val="2"/>
            <w:noWrap/>
            <w:vAlign w:val="center"/>
          </w:tcPr>
          <w:p>
            <w:pPr>
              <w:pStyle w:val="248"/>
              <w:jc w:val="center"/>
              <w:rPr>
                <w:rFonts w:ascii="Times New Roman" w:hAnsi="Times New Roman" w:eastAsia="仿宋"/>
                <w:color w:val="auto"/>
                <w:sz w:val="21"/>
                <w:szCs w:val="21"/>
                <w:highlight w:val="none"/>
              </w:rPr>
            </w:pPr>
          </w:p>
        </w:tc>
        <w:tc>
          <w:tcPr>
            <w:tcW w:w="1281" w:type="dxa"/>
            <w:noWrap/>
            <w:vAlign w:val="center"/>
          </w:tcPr>
          <w:p>
            <w:pPr>
              <w:pStyle w:val="248"/>
              <w:jc w:val="center"/>
              <w:rPr>
                <w:rFonts w:ascii="Times New Roman" w:hAnsi="Times New Roman" w:eastAsia="仿宋"/>
                <w:color w:val="auto"/>
                <w:sz w:val="21"/>
                <w:szCs w:val="21"/>
                <w:highlight w:val="none"/>
              </w:rPr>
            </w:pPr>
          </w:p>
        </w:tc>
        <w:tc>
          <w:tcPr>
            <w:tcW w:w="1430" w:type="dxa"/>
            <w:noWrap/>
            <w:vAlign w:val="center"/>
          </w:tcPr>
          <w:p>
            <w:pPr>
              <w:pStyle w:val="248"/>
              <w:jc w:val="center"/>
              <w:rPr>
                <w:rFonts w:ascii="Times New Roman" w:hAnsi="Times New Roman" w:eastAsia="仿宋"/>
                <w:color w:val="auto"/>
                <w:sz w:val="21"/>
                <w:szCs w:val="21"/>
                <w:highlight w:val="none"/>
              </w:rPr>
            </w:pPr>
          </w:p>
        </w:tc>
        <w:tc>
          <w:tcPr>
            <w:tcW w:w="1732" w:type="dxa"/>
            <w:noWrap/>
            <w:vAlign w:val="center"/>
          </w:tcPr>
          <w:p>
            <w:pPr>
              <w:pStyle w:val="248"/>
              <w:jc w:val="center"/>
              <w:rPr>
                <w:rFonts w:ascii="Times New Roman" w:hAnsi="Times New Roman"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noWrap/>
            <w:vAlign w:val="center"/>
          </w:tcPr>
          <w:p>
            <w:pPr>
              <w:pStyle w:val="248"/>
              <w:jc w:val="center"/>
              <w:rPr>
                <w:rFonts w:ascii="Times New Roman" w:hAnsi="Times New Roman" w:eastAsia="仿宋"/>
                <w:color w:val="auto"/>
                <w:sz w:val="21"/>
                <w:szCs w:val="21"/>
                <w:highlight w:val="none"/>
              </w:rPr>
            </w:pPr>
            <w:r>
              <w:rPr>
                <w:rFonts w:hint="eastAsia" w:ascii="Times New Roman" w:hAnsi="Times New Roman" w:eastAsia="仿宋"/>
                <w:color w:val="auto"/>
                <w:sz w:val="21"/>
                <w:szCs w:val="21"/>
                <w:highlight w:val="none"/>
              </w:rPr>
              <w:t>6</w:t>
            </w:r>
          </w:p>
        </w:tc>
        <w:tc>
          <w:tcPr>
            <w:tcW w:w="3346" w:type="dxa"/>
            <w:gridSpan w:val="2"/>
            <w:noWrap/>
            <w:vAlign w:val="center"/>
          </w:tcPr>
          <w:p>
            <w:pPr>
              <w:pStyle w:val="248"/>
              <w:jc w:val="center"/>
              <w:rPr>
                <w:rFonts w:ascii="Times New Roman" w:hAnsi="Times New Roman" w:eastAsia="仿宋"/>
                <w:color w:val="auto"/>
                <w:sz w:val="21"/>
                <w:szCs w:val="21"/>
                <w:highlight w:val="none"/>
              </w:rPr>
            </w:pPr>
          </w:p>
        </w:tc>
        <w:tc>
          <w:tcPr>
            <w:tcW w:w="1281" w:type="dxa"/>
            <w:noWrap/>
            <w:vAlign w:val="center"/>
          </w:tcPr>
          <w:p>
            <w:pPr>
              <w:pStyle w:val="248"/>
              <w:jc w:val="center"/>
              <w:rPr>
                <w:rFonts w:ascii="Times New Roman" w:hAnsi="Times New Roman" w:eastAsia="仿宋"/>
                <w:color w:val="auto"/>
                <w:sz w:val="21"/>
                <w:szCs w:val="21"/>
                <w:highlight w:val="none"/>
              </w:rPr>
            </w:pPr>
          </w:p>
        </w:tc>
        <w:tc>
          <w:tcPr>
            <w:tcW w:w="1430" w:type="dxa"/>
            <w:noWrap/>
            <w:vAlign w:val="center"/>
          </w:tcPr>
          <w:p>
            <w:pPr>
              <w:pStyle w:val="248"/>
              <w:jc w:val="center"/>
              <w:rPr>
                <w:rFonts w:ascii="Times New Roman" w:hAnsi="Times New Roman" w:eastAsia="仿宋"/>
                <w:color w:val="auto"/>
                <w:sz w:val="21"/>
                <w:szCs w:val="21"/>
                <w:highlight w:val="none"/>
              </w:rPr>
            </w:pPr>
          </w:p>
        </w:tc>
        <w:tc>
          <w:tcPr>
            <w:tcW w:w="1732" w:type="dxa"/>
            <w:noWrap/>
            <w:vAlign w:val="center"/>
          </w:tcPr>
          <w:p>
            <w:pPr>
              <w:pStyle w:val="248"/>
              <w:jc w:val="center"/>
              <w:rPr>
                <w:rFonts w:ascii="Times New Roman" w:hAnsi="Times New Roman"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noWrap/>
            <w:vAlign w:val="center"/>
          </w:tcPr>
          <w:p>
            <w:pPr>
              <w:pStyle w:val="248"/>
              <w:jc w:val="center"/>
              <w:rPr>
                <w:rFonts w:ascii="Times New Roman" w:hAnsi="Times New Roman" w:eastAsia="仿宋"/>
                <w:color w:val="auto"/>
                <w:sz w:val="21"/>
                <w:szCs w:val="21"/>
                <w:highlight w:val="none"/>
              </w:rPr>
            </w:pPr>
            <w:r>
              <w:rPr>
                <w:rFonts w:hint="eastAsia" w:ascii="Times New Roman" w:hAnsi="Times New Roman" w:eastAsia="仿宋"/>
                <w:color w:val="auto"/>
                <w:sz w:val="21"/>
                <w:szCs w:val="21"/>
                <w:highlight w:val="none"/>
              </w:rPr>
              <w:t>7</w:t>
            </w:r>
          </w:p>
        </w:tc>
        <w:tc>
          <w:tcPr>
            <w:tcW w:w="3346" w:type="dxa"/>
            <w:gridSpan w:val="2"/>
            <w:noWrap/>
            <w:vAlign w:val="center"/>
          </w:tcPr>
          <w:p>
            <w:pPr>
              <w:widowControl/>
              <w:jc w:val="center"/>
              <w:rPr>
                <w:rFonts w:eastAsia="仿宋"/>
                <w:color w:val="auto"/>
                <w:szCs w:val="21"/>
                <w:highlight w:val="none"/>
              </w:rPr>
            </w:pPr>
          </w:p>
        </w:tc>
        <w:tc>
          <w:tcPr>
            <w:tcW w:w="1281" w:type="dxa"/>
            <w:noWrap/>
            <w:vAlign w:val="center"/>
          </w:tcPr>
          <w:p>
            <w:pPr>
              <w:pStyle w:val="248"/>
              <w:jc w:val="center"/>
              <w:rPr>
                <w:rFonts w:ascii="Times New Roman" w:hAnsi="Times New Roman" w:eastAsia="仿宋"/>
                <w:color w:val="auto"/>
                <w:sz w:val="21"/>
                <w:szCs w:val="21"/>
                <w:highlight w:val="none"/>
              </w:rPr>
            </w:pPr>
          </w:p>
        </w:tc>
        <w:tc>
          <w:tcPr>
            <w:tcW w:w="1430" w:type="dxa"/>
            <w:noWrap/>
            <w:vAlign w:val="center"/>
          </w:tcPr>
          <w:p>
            <w:pPr>
              <w:pStyle w:val="248"/>
              <w:jc w:val="center"/>
              <w:rPr>
                <w:rFonts w:ascii="Times New Roman" w:hAnsi="Times New Roman" w:eastAsia="仿宋"/>
                <w:color w:val="auto"/>
                <w:sz w:val="21"/>
                <w:szCs w:val="21"/>
                <w:highlight w:val="none"/>
              </w:rPr>
            </w:pPr>
          </w:p>
        </w:tc>
        <w:tc>
          <w:tcPr>
            <w:tcW w:w="1732" w:type="dxa"/>
            <w:noWrap/>
            <w:vAlign w:val="center"/>
          </w:tcPr>
          <w:p>
            <w:pPr>
              <w:pStyle w:val="248"/>
              <w:jc w:val="center"/>
              <w:rPr>
                <w:rFonts w:ascii="Times New Roman" w:hAnsi="Times New Roman"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noWrap/>
            <w:vAlign w:val="center"/>
          </w:tcPr>
          <w:p>
            <w:pPr>
              <w:pStyle w:val="248"/>
              <w:jc w:val="center"/>
              <w:rPr>
                <w:rFonts w:ascii="Times New Roman" w:hAnsi="Times New Roman" w:eastAsia="仿宋"/>
                <w:color w:val="auto"/>
                <w:sz w:val="21"/>
                <w:szCs w:val="21"/>
                <w:highlight w:val="none"/>
              </w:rPr>
            </w:pPr>
            <w:r>
              <w:rPr>
                <w:rFonts w:hint="eastAsia" w:ascii="Times New Roman" w:hAnsi="Times New Roman" w:eastAsia="仿宋"/>
                <w:color w:val="auto"/>
                <w:sz w:val="21"/>
                <w:szCs w:val="21"/>
                <w:highlight w:val="none"/>
              </w:rPr>
              <w:t>8</w:t>
            </w:r>
          </w:p>
        </w:tc>
        <w:tc>
          <w:tcPr>
            <w:tcW w:w="3346" w:type="dxa"/>
            <w:gridSpan w:val="2"/>
            <w:noWrap/>
            <w:vAlign w:val="center"/>
          </w:tcPr>
          <w:p>
            <w:pPr>
              <w:widowControl/>
              <w:jc w:val="center"/>
              <w:rPr>
                <w:rFonts w:eastAsia="仿宋"/>
                <w:color w:val="auto"/>
                <w:szCs w:val="21"/>
                <w:highlight w:val="none"/>
              </w:rPr>
            </w:pPr>
          </w:p>
        </w:tc>
        <w:tc>
          <w:tcPr>
            <w:tcW w:w="1281" w:type="dxa"/>
            <w:noWrap/>
            <w:vAlign w:val="center"/>
          </w:tcPr>
          <w:p>
            <w:pPr>
              <w:pStyle w:val="248"/>
              <w:jc w:val="center"/>
              <w:rPr>
                <w:rFonts w:ascii="Times New Roman" w:hAnsi="Times New Roman" w:eastAsia="仿宋"/>
                <w:color w:val="auto"/>
                <w:sz w:val="21"/>
                <w:szCs w:val="21"/>
                <w:highlight w:val="none"/>
              </w:rPr>
            </w:pPr>
          </w:p>
        </w:tc>
        <w:tc>
          <w:tcPr>
            <w:tcW w:w="1430" w:type="dxa"/>
            <w:noWrap/>
            <w:vAlign w:val="center"/>
          </w:tcPr>
          <w:p>
            <w:pPr>
              <w:pStyle w:val="248"/>
              <w:jc w:val="center"/>
              <w:rPr>
                <w:rFonts w:ascii="Times New Roman" w:hAnsi="Times New Roman" w:eastAsia="仿宋"/>
                <w:color w:val="auto"/>
                <w:sz w:val="21"/>
                <w:szCs w:val="21"/>
                <w:highlight w:val="none"/>
              </w:rPr>
            </w:pPr>
          </w:p>
        </w:tc>
        <w:tc>
          <w:tcPr>
            <w:tcW w:w="1732" w:type="dxa"/>
            <w:noWrap/>
            <w:vAlign w:val="center"/>
          </w:tcPr>
          <w:p>
            <w:pPr>
              <w:pStyle w:val="248"/>
              <w:jc w:val="center"/>
              <w:rPr>
                <w:rFonts w:ascii="Times New Roman" w:hAnsi="Times New Roman"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noWrap/>
            <w:vAlign w:val="center"/>
          </w:tcPr>
          <w:p>
            <w:pPr>
              <w:pStyle w:val="248"/>
              <w:jc w:val="center"/>
              <w:rPr>
                <w:rFonts w:ascii="Times New Roman" w:hAnsi="Times New Roman" w:eastAsia="仿宋"/>
                <w:color w:val="auto"/>
                <w:sz w:val="21"/>
                <w:szCs w:val="21"/>
                <w:highlight w:val="none"/>
              </w:rPr>
            </w:pPr>
            <w:r>
              <w:rPr>
                <w:rFonts w:hint="eastAsia" w:ascii="Times New Roman" w:hAnsi="Times New Roman" w:eastAsia="仿宋"/>
                <w:color w:val="auto"/>
                <w:sz w:val="21"/>
                <w:szCs w:val="21"/>
                <w:highlight w:val="none"/>
              </w:rPr>
              <w:t>9</w:t>
            </w:r>
          </w:p>
        </w:tc>
        <w:tc>
          <w:tcPr>
            <w:tcW w:w="3346" w:type="dxa"/>
            <w:gridSpan w:val="2"/>
            <w:noWrap/>
            <w:vAlign w:val="center"/>
          </w:tcPr>
          <w:p>
            <w:pPr>
              <w:widowControl/>
              <w:jc w:val="center"/>
              <w:rPr>
                <w:rFonts w:eastAsia="仿宋"/>
                <w:color w:val="auto"/>
                <w:szCs w:val="21"/>
                <w:highlight w:val="none"/>
              </w:rPr>
            </w:pPr>
          </w:p>
        </w:tc>
        <w:tc>
          <w:tcPr>
            <w:tcW w:w="1281" w:type="dxa"/>
            <w:noWrap/>
            <w:vAlign w:val="center"/>
          </w:tcPr>
          <w:p>
            <w:pPr>
              <w:pStyle w:val="248"/>
              <w:jc w:val="center"/>
              <w:rPr>
                <w:rFonts w:ascii="Times New Roman" w:hAnsi="Times New Roman" w:eastAsia="仿宋"/>
                <w:color w:val="auto"/>
                <w:sz w:val="21"/>
                <w:szCs w:val="21"/>
                <w:highlight w:val="none"/>
              </w:rPr>
            </w:pPr>
          </w:p>
        </w:tc>
        <w:tc>
          <w:tcPr>
            <w:tcW w:w="1430" w:type="dxa"/>
            <w:noWrap/>
            <w:vAlign w:val="center"/>
          </w:tcPr>
          <w:p>
            <w:pPr>
              <w:pStyle w:val="248"/>
              <w:jc w:val="center"/>
              <w:rPr>
                <w:rFonts w:ascii="Times New Roman" w:hAnsi="Times New Roman" w:eastAsia="仿宋"/>
                <w:color w:val="auto"/>
                <w:sz w:val="21"/>
                <w:szCs w:val="21"/>
                <w:highlight w:val="none"/>
              </w:rPr>
            </w:pPr>
          </w:p>
        </w:tc>
        <w:tc>
          <w:tcPr>
            <w:tcW w:w="1732" w:type="dxa"/>
            <w:noWrap/>
            <w:vAlign w:val="center"/>
          </w:tcPr>
          <w:p>
            <w:pPr>
              <w:pStyle w:val="248"/>
              <w:jc w:val="center"/>
              <w:rPr>
                <w:rFonts w:ascii="Times New Roman" w:hAnsi="Times New Roman"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5" w:type="dxa"/>
            <w:noWrap/>
            <w:vAlign w:val="center"/>
          </w:tcPr>
          <w:p>
            <w:pPr>
              <w:pStyle w:val="248"/>
              <w:jc w:val="center"/>
              <w:rPr>
                <w:rFonts w:ascii="Times New Roman" w:hAnsi="Times New Roman" w:eastAsia="仿宋"/>
                <w:color w:val="auto"/>
                <w:sz w:val="21"/>
                <w:szCs w:val="21"/>
                <w:highlight w:val="none"/>
              </w:rPr>
            </w:pPr>
            <w:r>
              <w:rPr>
                <w:rFonts w:hint="eastAsia" w:ascii="Times New Roman" w:hAnsi="Times New Roman" w:eastAsia="仿宋"/>
                <w:color w:val="auto"/>
                <w:sz w:val="21"/>
                <w:szCs w:val="21"/>
                <w:highlight w:val="none"/>
              </w:rPr>
              <w:t>10</w:t>
            </w:r>
          </w:p>
        </w:tc>
        <w:tc>
          <w:tcPr>
            <w:tcW w:w="3346" w:type="dxa"/>
            <w:gridSpan w:val="2"/>
            <w:noWrap/>
            <w:vAlign w:val="center"/>
          </w:tcPr>
          <w:p>
            <w:pPr>
              <w:widowControl/>
              <w:jc w:val="center"/>
              <w:rPr>
                <w:rFonts w:eastAsia="仿宋"/>
                <w:color w:val="auto"/>
                <w:szCs w:val="21"/>
                <w:highlight w:val="none"/>
              </w:rPr>
            </w:pPr>
          </w:p>
        </w:tc>
        <w:tc>
          <w:tcPr>
            <w:tcW w:w="1281" w:type="dxa"/>
            <w:noWrap/>
            <w:vAlign w:val="center"/>
          </w:tcPr>
          <w:p>
            <w:pPr>
              <w:pStyle w:val="248"/>
              <w:jc w:val="center"/>
              <w:rPr>
                <w:rFonts w:ascii="Times New Roman" w:hAnsi="Times New Roman" w:eastAsia="仿宋"/>
                <w:color w:val="auto"/>
                <w:sz w:val="21"/>
                <w:szCs w:val="21"/>
                <w:highlight w:val="none"/>
              </w:rPr>
            </w:pPr>
          </w:p>
        </w:tc>
        <w:tc>
          <w:tcPr>
            <w:tcW w:w="1430" w:type="dxa"/>
            <w:noWrap/>
            <w:vAlign w:val="center"/>
          </w:tcPr>
          <w:p>
            <w:pPr>
              <w:pStyle w:val="248"/>
              <w:jc w:val="center"/>
              <w:rPr>
                <w:rFonts w:ascii="Times New Roman" w:hAnsi="Times New Roman" w:eastAsia="仿宋"/>
                <w:color w:val="auto"/>
                <w:sz w:val="21"/>
                <w:szCs w:val="21"/>
                <w:highlight w:val="none"/>
              </w:rPr>
            </w:pPr>
          </w:p>
        </w:tc>
        <w:tc>
          <w:tcPr>
            <w:tcW w:w="1732" w:type="dxa"/>
            <w:noWrap/>
            <w:vAlign w:val="center"/>
          </w:tcPr>
          <w:p>
            <w:pPr>
              <w:pStyle w:val="248"/>
              <w:jc w:val="center"/>
              <w:rPr>
                <w:rFonts w:ascii="Times New Roman" w:hAnsi="Times New Roman"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1" w:hRule="atLeast"/>
          <w:jc w:val="center"/>
        </w:trPr>
        <w:tc>
          <w:tcPr>
            <w:tcW w:w="4171" w:type="dxa"/>
            <w:gridSpan w:val="3"/>
            <w:noWrap/>
          </w:tcPr>
          <w:p>
            <w:pPr>
              <w:autoSpaceDE w:val="0"/>
              <w:autoSpaceDN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普查作业单位（签字）：</w:t>
            </w:r>
          </w:p>
          <w:p>
            <w:pPr>
              <w:autoSpaceDE w:val="0"/>
              <w:autoSpaceDN w:val="0"/>
              <w:jc w:val="center"/>
              <w:rPr>
                <w:color w:val="auto"/>
                <w:highlight w:val="none"/>
              </w:rPr>
            </w:pPr>
          </w:p>
          <w:p>
            <w:pPr>
              <w:autoSpaceDE w:val="0"/>
              <w:autoSpaceDN w:val="0"/>
              <w:ind w:firstLine="1680" w:firstLineChars="800"/>
              <w:rPr>
                <w:rFonts w:ascii="仿宋" w:hAnsi="仿宋" w:eastAsia="仿宋" w:cs="仿宋"/>
                <w:color w:val="auto"/>
                <w:szCs w:val="21"/>
                <w:highlight w:val="none"/>
              </w:rPr>
            </w:pPr>
            <w:r>
              <w:rPr>
                <w:rFonts w:hint="eastAsia" w:ascii="仿宋" w:hAnsi="仿宋" w:eastAsia="仿宋" w:cs="仿宋"/>
                <w:color w:val="auto"/>
                <w:szCs w:val="21"/>
                <w:highlight w:val="none"/>
              </w:rPr>
              <w:t>（盖章）：</w:t>
            </w:r>
          </w:p>
          <w:p>
            <w:pPr>
              <w:autoSpaceDE w:val="0"/>
              <w:autoSpaceDN w:val="0"/>
              <w:jc w:val="center"/>
              <w:rPr>
                <w:rFonts w:ascii="仿宋" w:hAnsi="仿宋" w:eastAsia="仿宋" w:cs="仿宋"/>
                <w:color w:val="auto"/>
                <w:szCs w:val="21"/>
                <w:highlight w:val="none"/>
              </w:rPr>
            </w:pPr>
          </w:p>
          <w:p>
            <w:pPr>
              <w:autoSpaceDE w:val="0"/>
              <w:autoSpaceDN w:val="0"/>
              <w:jc w:val="center"/>
              <w:rPr>
                <w:rFonts w:ascii="仿宋" w:hAnsi="仿宋" w:eastAsia="仿宋" w:cs="仿宋"/>
                <w:color w:val="auto"/>
                <w:szCs w:val="21"/>
                <w:highlight w:val="none"/>
              </w:rPr>
            </w:pPr>
          </w:p>
          <w:p>
            <w:pPr>
              <w:autoSpaceDE w:val="0"/>
              <w:autoSpaceDN w:val="0"/>
              <w:jc w:val="right"/>
              <w:rPr>
                <w:rFonts w:ascii="仿宋" w:hAnsi="仿宋" w:eastAsia="仿宋" w:cs="仿宋"/>
                <w:color w:val="auto"/>
                <w:szCs w:val="21"/>
                <w:highlight w:val="none"/>
              </w:rPr>
            </w:pPr>
            <w:r>
              <w:rPr>
                <w:rFonts w:hint="eastAsia" w:ascii="仿宋" w:hAnsi="仿宋" w:eastAsia="仿宋" w:cs="仿宋"/>
                <w:color w:val="auto"/>
                <w:szCs w:val="21"/>
                <w:highlight w:val="none"/>
              </w:rPr>
              <w:t>年     月     日</w:t>
            </w:r>
          </w:p>
          <w:p>
            <w:pPr>
              <w:autoSpaceDE w:val="0"/>
              <w:autoSpaceDN w:val="0"/>
              <w:jc w:val="center"/>
              <w:rPr>
                <w:rFonts w:ascii="仿宋" w:hAnsi="仿宋" w:eastAsia="仿宋" w:cs="仿宋"/>
                <w:color w:val="auto"/>
                <w:szCs w:val="21"/>
                <w:highlight w:val="none"/>
              </w:rPr>
            </w:pPr>
          </w:p>
          <w:p>
            <w:pPr>
              <w:autoSpaceDE w:val="0"/>
              <w:autoSpaceDN w:val="0"/>
              <w:jc w:val="center"/>
              <w:rPr>
                <w:rFonts w:ascii="仿宋" w:hAnsi="仿宋" w:eastAsia="仿宋" w:cs="仿宋"/>
                <w:color w:val="auto"/>
                <w:szCs w:val="21"/>
                <w:highlight w:val="none"/>
              </w:rPr>
            </w:pPr>
          </w:p>
          <w:p>
            <w:pPr>
              <w:autoSpaceDE w:val="0"/>
              <w:autoSpaceDN w:val="0"/>
              <w:jc w:val="center"/>
              <w:rPr>
                <w:rFonts w:ascii="仿宋" w:hAnsi="仿宋" w:eastAsia="仿宋" w:cs="仿宋"/>
                <w:color w:val="auto"/>
                <w:szCs w:val="21"/>
                <w:highlight w:val="none"/>
              </w:rPr>
            </w:pPr>
          </w:p>
          <w:p>
            <w:pPr>
              <w:autoSpaceDE w:val="0"/>
              <w:autoSpaceDN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建设单位（签字）：</w:t>
            </w:r>
          </w:p>
          <w:p>
            <w:pPr>
              <w:autoSpaceDE w:val="0"/>
              <w:autoSpaceDN w:val="0"/>
              <w:jc w:val="center"/>
              <w:rPr>
                <w:rFonts w:ascii="仿宋" w:hAnsi="仿宋" w:eastAsia="仿宋" w:cs="仿宋"/>
                <w:color w:val="auto"/>
                <w:szCs w:val="21"/>
                <w:highlight w:val="none"/>
              </w:rPr>
            </w:pPr>
          </w:p>
          <w:p>
            <w:pPr>
              <w:autoSpaceDE w:val="0"/>
              <w:autoSpaceDN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（盖章）：</w:t>
            </w:r>
          </w:p>
          <w:p>
            <w:pPr>
              <w:autoSpaceDE w:val="0"/>
              <w:autoSpaceDN w:val="0"/>
              <w:jc w:val="center"/>
              <w:rPr>
                <w:rFonts w:ascii="仿宋" w:hAnsi="仿宋" w:eastAsia="仿宋" w:cs="仿宋"/>
                <w:color w:val="auto"/>
                <w:szCs w:val="21"/>
                <w:highlight w:val="none"/>
              </w:rPr>
            </w:pPr>
          </w:p>
          <w:p>
            <w:pPr>
              <w:widowControl/>
              <w:jc w:val="center"/>
              <w:rPr>
                <w:rFonts w:ascii="仿宋" w:hAnsi="仿宋" w:eastAsia="仿宋" w:cs="仿宋"/>
                <w:color w:val="auto"/>
                <w:szCs w:val="21"/>
                <w:highlight w:val="none"/>
              </w:rPr>
            </w:pPr>
          </w:p>
          <w:p>
            <w:pPr>
              <w:pStyle w:val="2"/>
              <w:rPr>
                <w:rFonts w:ascii="仿宋" w:hAnsi="仿宋" w:eastAsia="仿宋" w:cs="仿宋"/>
                <w:color w:val="auto"/>
                <w:szCs w:val="21"/>
                <w:highlight w:val="none"/>
              </w:rPr>
            </w:pPr>
            <w:r>
              <w:rPr>
                <w:rFonts w:hint="eastAsia" w:ascii="仿宋" w:hAnsi="仿宋" w:eastAsia="仿宋" w:cs="仿宋"/>
                <w:color w:val="auto"/>
                <w:szCs w:val="21"/>
                <w:highlight w:val="none"/>
              </w:rPr>
              <w:t>年     月     日</w:t>
            </w:r>
          </w:p>
        </w:tc>
        <w:tc>
          <w:tcPr>
            <w:tcW w:w="4443" w:type="dxa"/>
            <w:gridSpan w:val="3"/>
            <w:noWrap/>
          </w:tcPr>
          <w:p>
            <w:pPr>
              <w:autoSpaceDE w:val="0"/>
              <w:autoSpaceDN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成果接收单位（签字）：</w:t>
            </w:r>
          </w:p>
          <w:p>
            <w:pPr>
              <w:autoSpaceDE w:val="0"/>
              <w:autoSpaceDN w:val="0"/>
              <w:jc w:val="center"/>
              <w:rPr>
                <w:rFonts w:ascii="仿宋" w:hAnsi="仿宋" w:eastAsia="仿宋" w:cs="仿宋"/>
                <w:color w:val="auto"/>
                <w:szCs w:val="21"/>
                <w:highlight w:val="none"/>
              </w:rPr>
            </w:pPr>
          </w:p>
          <w:p>
            <w:pPr>
              <w:autoSpaceDE w:val="0"/>
              <w:autoSpaceDN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（盖章）：</w:t>
            </w:r>
          </w:p>
          <w:p>
            <w:pPr>
              <w:autoSpaceDE w:val="0"/>
              <w:autoSpaceDN w:val="0"/>
              <w:jc w:val="center"/>
              <w:rPr>
                <w:rFonts w:ascii="仿宋" w:hAnsi="仿宋" w:eastAsia="仿宋" w:cs="仿宋"/>
                <w:color w:val="auto"/>
                <w:szCs w:val="21"/>
                <w:highlight w:val="none"/>
              </w:rPr>
            </w:pPr>
          </w:p>
          <w:p>
            <w:pPr>
              <w:widowControl/>
              <w:jc w:val="center"/>
              <w:rPr>
                <w:rFonts w:ascii="仿宋" w:hAnsi="仿宋" w:eastAsia="仿宋" w:cs="仿宋"/>
                <w:color w:val="auto"/>
                <w:szCs w:val="21"/>
                <w:highlight w:val="none"/>
              </w:rPr>
            </w:pPr>
          </w:p>
          <w:p>
            <w:pPr>
              <w:pStyle w:val="248"/>
              <w:jc w:val="right"/>
              <w:rPr>
                <w:rFonts w:ascii="Times New Roman" w:hAnsi="Times New Roman" w:eastAsia="仿宋"/>
                <w:color w:val="auto"/>
                <w:sz w:val="21"/>
                <w:szCs w:val="21"/>
                <w:highlight w:val="none"/>
              </w:rPr>
            </w:pPr>
            <w:r>
              <w:rPr>
                <w:rFonts w:hint="eastAsia" w:ascii="仿宋" w:hAnsi="仿宋" w:eastAsia="仿宋" w:cs="仿宋"/>
                <w:color w:val="auto"/>
                <w:sz w:val="21"/>
                <w:szCs w:val="21"/>
                <w:highlight w:val="none"/>
              </w:rPr>
              <w:t>年     月     日</w:t>
            </w:r>
          </w:p>
        </w:tc>
      </w:tr>
    </w:tbl>
    <w:p>
      <w:pPr>
        <w:pStyle w:val="2"/>
        <w:jc w:val="left"/>
        <w:rPr>
          <w:color w:val="auto"/>
          <w:highlight w:val="none"/>
        </w:rPr>
        <w:sectPr>
          <w:pgSz w:w="11906" w:h="16838"/>
          <w:pgMar w:top="1417" w:right="1417" w:bottom="1417" w:left="1531" w:header="851" w:footer="992" w:gutter="0"/>
          <w:cols w:space="720" w:num="1"/>
          <w:docGrid w:type="lines" w:linePitch="319" w:charSpace="0"/>
        </w:sectPr>
      </w:pPr>
    </w:p>
    <w:p>
      <w:pPr>
        <w:jc w:val="center"/>
        <w:outlineLvl w:val="1"/>
        <w:rPr>
          <w:rFonts w:eastAsia="仿宋"/>
          <w:b/>
          <w:bCs/>
          <w:color w:val="auto"/>
          <w:sz w:val="28"/>
          <w:szCs w:val="28"/>
          <w:highlight w:val="none"/>
        </w:rPr>
      </w:pPr>
      <w:bookmarkStart w:id="614" w:name="_Toc16508"/>
      <w:bookmarkStart w:id="615" w:name="_Toc32626"/>
      <w:bookmarkStart w:id="616" w:name="_Toc22627"/>
      <w:bookmarkStart w:id="617" w:name="_Toc8177"/>
      <w:bookmarkStart w:id="618" w:name="_Toc26511"/>
      <w:bookmarkStart w:id="619" w:name="_Toc30427"/>
      <w:bookmarkStart w:id="620" w:name="_Toc4511"/>
      <w:bookmarkStart w:id="621" w:name="_Toc30792"/>
      <w:bookmarkStart w:id="622" w:name="_Toc79654132"/>
      <w:r>
        <w:rPr>
          <w:rFonts w:hint="eastAsia" w:eastAsia="仿宋"/>
          <w:b/>
          <w:bCs/>
          <w:color w:val="auto"/>
          <w:sz w:val="28"/>
          <w:szCs w:val="28"/>
          <w:highlight w:val="none"/>
        </w:rPr>
        <w:t>附录</w:t>
      </w:r>
      <w:r>
        <w:rPr>
          <w:rFonts w:eastAsia="仿宋"/>
          <w:b/>
          <w:bCs/>
          <w:color w:val="auto"/>
          <w:sz w:val="28"/>
          <w:szCs w:val="28"/>
          <w:highlight w:val="none"/>
        </w:rPr>
        <w:t xml:space="preserve">G </w:t>
      </w:r>
      <w:r>
        <w:rPr>
          <w:rFonts w:hint="eastAsia" w:eastAsia="仿宋"/>
          <w:b/>
          <w:bCs/>
          <w:color w:val="auto"/>
          <w:sz w:val="28"/>
          <w:szCs w:val="28"/>
          <w:highlight w:val="none"/>
        </w:rPr>
        <w:t>普查更新成果核验记录表</w:t>
      </w:r>
      <w:bookmarkEnd w:id="614"/>
      <w:bookmarkEnd w:id="615"/>
      <w:bookmarkEnd w:id="616"/>
      <w:bookmarkEnd w:id="617"/>
      <w:bookmarkEnd w:id="618"/>
      <w:bookmarkEnd w:id="619"/>
      <w:bookmarkEnd w:id="620"/>
      <w:bookmarkEnd w:id="621"/>
      <w:bookmarkEnd w:id="622"/>
    </w:p>
    <w:p>
      <w:pPr>
        <w:jc w:val="left"/>
        <w:rPr>
          <w:rFonts w:ascii="方正仿宋_GBK" w:hAnsi="方正仿宋_GBK" w:eastAsia="方正仿宋_GBK" w:cs="方正仿宋_GBK"/>
          <w:b/>
          <w:bCs/>
          <w:color w:val="auto"/>
          <w:sz w:val="24"/>
          <w:highlight w:val="none"/>
        </w:rPr>
      </w:pPr>
      <w:r>
        <w:rPr>
          <w:rFonts w:hint="eastAsia" w:ascii="方正仿宋_GBK" w:hAnsi="方正仿宋_GBK" w:eastAsia="方正仿宋_GBK" w:cs="方正仿宋_GBK"/>
          <w:color w:val="auto"/>
          <w:sz w:val="24"/>
          <w:highlight w:val="none"/>
        </w:rPr>
        <w:t>项目名称：                                   测区：                         普查作业单位：</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715"/>
        <w:gridCol w:w="1423"/>
        <w:gridCol w:w="1747"/>
        <w:gridCol w:w="3780"/>
        <w:gridCol w:w="3268"/>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68" w:type="dxa"/>
            <w:noWrap/>
            <w:vAlign w:val="center"/>
          </w:tcPr>
          <w:p>
            <w:pPr>
              <w:jc w:val="center"/>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序号</w:t>
            </w:r>
          </w:p>
        </w:tc>
        <w:tc>
          <w:tcPr>
            <w:tcW w:w="1715" w:type="dxa"/>
            <w:noWrap/>
            <w:vAlign w:val="center"/>
          </w:tcPr>
          <w:p>
            <w:pPr>
              <w:jc w:val="center"/>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图幅号</w:t>
            </w:r>
          </w:p>
        </w:tc>
        <w:tc>
          <w:tcPr>
            <w:tcW w:w="1423" w:type="dxa"/>
            <w:noWrap/>
            <w:vAlign w:val="center"/>
          </w:tcPr>
          <w:p>
            <w:pPr>
              <w:jc w:val="center"/>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管线类型</w:t>
            </w:r>
          </w:p>
        </w:tc>
        <w:tc>
          <w:tcPr>
            <w:tcW w:w="1747" w:type="dxa"/>
            <w:noWrap/>
            <w:vAlign w:val="center"/>
          </w:tcPr>
          <w:p>
            <w:pPr>
              <w:jc w:val="center"/>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相关点号</w:t>
            </w:r>
          </w:p>
        </w:tc>
        <w:tc>
          <w:tcPr>
            <w:tcW w:w="3780" w:type="dxa"/>
            <w:noWrap/>
            <w:vAlign w:val="center"/>
          </w:tcPr>
          <w:p>
            <w:pPr>
              <w:jc w:val="center"/>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问题描述</w:t>
            </w:r>
          </w:p>
        </w:tc>
        <w:tc>
          <w:tcPr>
            <w:tcW w:w="3268" w:type="dxa"/>
            <w:noWrap/>
            <w:vAlign w:val="center"/>
          </w:tcPr>
          <w:p>
            <w:pPr>
              <w:jc w:val="center"/>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整改措施</w:t>
            </w:r>
          </w:p>
        </w:tc>
        <w:tc>
          <w:tcPr>
            <w:tcW w:w="1758" w:type="dxa"/>
            <w:noWrap/>
            <w:vAlign w:val="center"/>
          </w:tcPr>
          <w:p>
            <w:pPr>
              <w:jc w:val="center"/>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整改人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68" w:type="dxa"/>
            <w:noWrap/>
            <w:vAlign w:val="center"/>
          </w:tcPr>
          <w:p>
            <w:pPr>
              <w:jc w:val="center"/>
              <w:rPr>
                <w:rFonts w:ascii="方正仿宋_GBK" w:hAnsi="方正仿宋_GBK" w:eastAsia="方正仿宋_GBK" w:cs="方正仿宋_GBK"/>
                <w:color w:val="auto"/>
                <w:sz w:val="24"/>
                <w:highlight w:val="none"/>
              </w:rPr>
            </w:pPr>
          </w:p>
        </w:tc>
        <w:tc>
          <w:tcPr>
            <w:tcW w:w="1715" w:type="dxa"/>
            <w:noWrap/>
            <w:vAlign w:val="center"/>
          </w:tcPr>
          <w:p>
            <w:pPr>
              <w:jc w:val="center"/>
              <w:rPr>
                <w:rFonts w:ascii="方正仿宋_GBK" w:hAnsi="方正仿宋_GBK" w:eastAsia="方正仿宋_GBK" w:cs="方正仿宋_GBK"/>
                <w:color w:val="auto"/>
                <w:sz w:val="24"/>
                <w:highlight w:val="none"/>
              </w:rPr>
            </w:pPr>
          </w:p>
        </w:tc>
        <w:tc>
          <w:tcPr>
            <w:tcW w:w="1423" w:type="dxa"/>
            <w:noWrap/>
            <w:vAlign w:val="center"/>
          </w:tcPr>
          <w:p>
            <w:pPr>
              <w:jc w:val="center"/>
              <w:rPr>
                <w:rFonts w:ascii="方正仿宋_GBK" w:hAnsi="方正仿宋_GBK" w:eastAsia="方正仿宋_GBK" w:cs="方正仿宋_GBK"/>
                <w:color w:val="auto"/>
                <w:sz w:val="24"/>
                <w:highlight w:val="none"/>
              </w:rPr>
            </w:pPr>
          </w:p>
        </w:tc>
        <w:tc>
          <w:tcPr>
            <w:tcW w:w="1747" w:type="dxa"/>
            <w:noWrap/>
            <w:vAlign w:val="center"/>
          </w:tcPr>
          <w:p>
            <w:pPr>
              <w:jc w:val="center"/>
              <w:rPr>
                <w:rFonts w:ascii="方正仿宋_GBK" w:hAnsi="方正仿宋_GBK" w:eastAsia="方正仿宋_GBK" w:cs="方正仿宋_GBK"/>
                <w:color w:val="auto"/>
                <w:sz w:val="24"/>
                <w:highlight w:val="none"/>
              </w:rPr>
            </w:pPr>
          </w:p>
        </w:tc>
        <w:tc>
          <w:tcPr>
            <w:tcW w:w="3780" w:type="dxa"/>
            <w:noWrap/>
            <w:vAlign w:val="center"/>
          </w:tcPr>
          <w:p>
            <w:pPr>
              <w:jc w:val="center"/>
              <w:rPr>
                <w:rFonts w:ascii="方正仿宋_GBK" w:hAnsi="方正仿宋_GBK" w:eastAsia="方正仿宋_GBK" w:cs="方正仿宋_GBK"/>
                <w:color w:val="auto"/>
                <w:sz w:val="24"/>
                <w:highlight w:val="none"/>
              </w:rPr>
            </w:pPr>
          </w:p>
        </w:tc>
        <w:tc>
          <w:tcPr>
            <w:tcW w:w="3268" w:type="dxa"/>
            <w:noWrap/>
            <w:vAlign w:val="center"/>
          </w:tcPr>
          <w:p>
            <w:pPr>
              <w:jc w:val="center"/>
              <w:rPr>
                <w:rFonts w:ascii="方正仿宋_GBK" w:hAnsi="方正仿宋_GBK" w:eastAsia="方正仿宋_GBK" w:cs="方正仿宋_GBK"/>
                <w:color w:val="auto"/>
                <w:sz w:val="24"/>
                <w:highlight w:val="none"/>
              </w:rPr>
            </w:pPr>
          </w:p>
        </w:tc>
        <w:tc>
          <w:tcPr>
            <w:tcW w:w="1758"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68" w:type="dxa"/>
            <w:noWrap/>
            <w:vAlign w:val="center"/>
          </w:tcPr>
          <w:p>
            <w:pPr>
              <w:jc w:val="center"/>
              <w:rPr>
                <w:rFonts w:ascii="方正仿宋_GBK" w:hAnsi="方正仿宋_GBK" w:eastAsia="方正仿宋_GBK" w:cs="方正仿宋_GBK"/>
                <w:color w:val="auto"/>
                <w:sz w:val="24"/>
                <w:highlight w:val="none"/>
              </w:rPr>
            </w:pPr>
          </w:p>
        </w:tc>
        <w:tc>
          <w:tcPr>
            <w:tcW w:w="1715" w:type="dxa"/>
            <w:noWrap/>
            <w:vAlign w:val="center"/>
          </w:tcPr>
          <w:p>
            <w:pPr>
              <w:jc w:val="center"/>
              <w:rPr>
                <w:rFonts w:ascii="方正仿宋_GBK" w:hAnsi="方正仿宋_GBK" w:eastAsia="方正仿宋_GBK" w:cs="方正仿宋_GBK"/>
                <w:color w:val="auto"/>
                <w:sz w:val="24"/>
                <w:highlight w:val="none"/>
              </w:rPr>
            </w:pPr>
          </w:p>
        </w:tc>
        <w:tc>
          <w:tcPr>
            <w:tcW w:w="1423" w:type="dxa"/>
            <w:noWrap/>
            <w:vAlign w:val="center"/>
          </w:tcPr>
          <w:p>
            <w:pPr>
              <w:jc w:val="center"/>
              <w:rPr>
                <w:rFonts w:ascii="方正仿宋_GBK" w:hAnsi="方正仿宋_GBK" w:eastAsia="方正仿宋_GBK" w:cs="方正仿宋_GBK"/>
                <w:color w:val="auto"/>
                <w:sz w:val="24"/>
                <w:highlight w:val="none"/>
              </w:rPr>
            </w:pPr>
          </w:p>
        </w:tc>
        <w:tc>
          <w:tcPr>
            <w:tcW w:w="1747" w:type="dxa"/>
            <w:noWrap/>
            <w:vAlign w:val="center"/>
          </w:tcPr>
          <w:p>
            <w:pPr>
              <w:jc w:val="center"/>
              <w:rPr>
                <w:rFonts w:ascii="方正仿宋_GBK" w:hAnsi="方正仿宋_GBK" w:eastAsia="方正仿宋_GBK" w:cs="方正仿宋_GBK"/>
                <w:color w:val="auto"/>
                <w:sz w:val="24"/>
                <w:highlight w:val="none"/>
              </w:rPr>
            </w:pPr>
          </w:p>
        </w:tc>
        <w:tc>
          <w:tcPr>
            <w:tcW w:w="3780" w:type="dxa"/>
            <w:noWrap/>
            <w:vAlign w:val="center"/>
          </w:tcPr>
          <w:p>
            <w:pPr>
              <w:jc w:val="center"/>
              <w:rPr>
                <w:rFonts w:ascii="方正仿宋_GBK" w:hAnsi="方正仿宋_GBK" w:eastAsia="方正仿宋_GBK" w:cs="方正仿宋_GBK"/>
                <w:color w:val="auto"/>
                <w:sz w:val="24"/>
                <w:highlight w:val="none"/>
              </w:rPr>
            </w:pPr>
          </w:p>
        </w:tc>
        <w:tc>
          <w:tcPr>
            <w:tcW w:w="3268" w:type="dxa"/>
            <w:noWrap/>
            <w:vAlign w:val="center"/>
          </w:tcPr>
          <w:p>
            <w:pPr>
              <w:jc w:val="center"/>
              <w:rPr>
                <w:rFonts w:ascii="方正仿宋_GBK" w:hAnsi="方正仿宋_GBK" w:eastAsia="方正仿宋_GBK" w:cs="方正仿宋_GBK"/>
                <w:color w:val="auto"/>
                <w:sz w:val="24"/>
                <w:highlight w:val="none"/>
              </w:rPr>
            </w:pPr>
          </w:p>
        </w:tc>
        <w:tc>
          <w:tcPr>
            <w:tcW w:w="1758"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68" w:type="dxa"/>
            <w:noWrap/>
            <w:vAlign w:val="center"/>
          </w:tcPr>
          <w:p>
            <w:pPr>
              <w:jc w:val="center"/>
              <w:rPr>
                <w:rFonts w:ascii="方正仿宋_GBK" w:hAnsi="方正仿宋_GBK" w:eastAsia="方正仿宋_GBK" w:cs="方正仿宋_GBK"/>
                <w:color w:val="auto"/>
                <w:sz w:val="24"/>
                <w:highlight w:val="none"/>
              </w:rPr>
            </w:pPr>
          </w:p>
        </w:tc>
        <w:tc>
          <w:tcPr>
            <w:tcW w:w="1715" w:type="dxa"/>
            <w:noWrap/>
            <w:vAlign w:val="center"/>
          </w:tcPr>
          <w:p>
            <w:pPr>
              <w:jc w:val="center"/>
              <w:rPr>
                <w:rFonts w:ascii="方正仿宋_GBK" w:hAnsi="方正仿宋_GBK" w:eastAsia="方正仿宋_GBK" w:cs="方正仿宋_GBK"/>
                <w:color w:val="auto"/>
                <w:sz w:val="24"/>
                <w:highlight w:val="none"/>
              </w:rPr>
            </w:pPr>
          </w:p>
        </w:tc>
        <w:tc>
          <w:tcPr>
            <w:tcW w:w="1423" w:type="dxa"/>
            <w:noWrap/>
            <w:vAlign w:val="center"/>
          </w:tcPr>
          <w:p>
            <w:pPr>
              <w:jc w:val="center"/>
              <w:rPr>
                <w:rFonts w:ascii="方正仿宋_GBK" w:hAnsi="方正仿宋_GBK" w:eastAsia="方正仿宋_GBK" w:cs="方正仿宋_GBK"/>
                <w:color w:val="auto"/>
                <w:sz w:val="24"/>
                <w:highlight w:val="none"/>
              </w:rPr>
            </w:pPr>
          </w:p>
        </w:tc>
        <w:tc>
          <w:tcPr>
            <w:tcW w:w="1747" w:type="dxa"/>
            <w:noWrap/>
            <w:vAlign w:val="center"/>
          </w:tcPr>
          <w:p>
            <w:pPr>
              <w:jc w:val="center"/>
              <w:rPr>
                <w:rFonts w:ascii="方正仿宋_GBK" w:hAnsi="方正仿宋_GBK" w:eastAsia="方正仿宋_GBK" w:cs="方正仿宋_GBK"/>
                <w:color w:val="auto"/>
                <w:sz w:val="24"/>
                <w:highlight w:val="none"/>
              </w:rPr>
            </w:pPr>
          </w:p>
        </w:tc>
        <w:tc>
          <w:tcPr>
            <w:tcW w:w="3780" w:type="dxa"/>
            <w:noWrap/>
            <w:vAlign w:val="center"/>
          </w:tcPr>
          <w:p>
            <w:pPr>
              <w:jc w:val="center"/>
              <w:rPr>
                <w:rFonts w:ascii="方正仿宋_GBK" w:hAnsi="方正仿宋_GBK" w:eastAsia="方正仿宋_GBK" w:cs="方正仿宋_GBK"/>
                <w:color w:val="auto"/>
                <w:sz w:val="24"/>
                <w:highlight w:val="none"/>
              </w:rPr>
            </w:pPr>
          </w:p>
        </w:tc>
        <w:tc>
          <w:tcPr>
            <w:tcW w:w="3268" w:type="dxa"/>
            <w:noWrap/>
            <w:vAlign w:val="center"/>
          </w:tcPr>
          <w:p>
            <w:pPr>
              <w:jc w:val="center"/>
              <w:rPr>
                <w:rFonts w:ascii="方正仿宋_GBK" w:hAnsi="方正仿宋_GBK" w:eastAsia="方正仿宋_GBK" w:cs="方正仿宋_GBK"/>
                <w:color w:val="auto"/>
                <w:sz w:val="24"/>
                <w:highlight w:val="none"/>
              </w:rPr>
            </w:pPr>
          </w:p>
        </w:tc>
        <w:tc>
          <w:tcPr>
            <w:tcW w:w="1758"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68" w:type="dxa"/>
            <w:noWrap/>
            <w:vAlign w:val="center"/>
          </w:tcPr>
          <w:p>
            <w:pPr>
              <w:jc w:val="center"/>
              <w:rPr>
                <w:rFonts w:ascii="方正仿宋_GBK" w:hAnsi="方正仿宋_GBK" w:eastAsia="方正仿宋_GBK" w:cs="方正仿宋_GBK"/>
                <w:color w:val="auto"/>
                <w:sz w:val="24"/>
                <w:highlight w:val="none"/>
              </w:rPr>
            </w:pPr>
          </w:p>
        </w:tc>
        <w:tc>
          <w:tcPr>
            <w:tcW w:w="1715" w:type="dxa"/>
            <w:noWrap/>
            <w:vAlign w:val="center"/>
          </w:tcPr>
          <w:p>
            <w:pPr>
              <w:jc w:val="center"/>
              <w:rPr>
                <w:rFonts w:ascii="方正仿宋_GBK" w:hAnsi="方正仿宋_GBK" w:eastAsia="方正仿宋_GBK" w:cs="方正仿宋_GBK"/>
                <w:color w:val="auto"/>
                <w:sz w:val="24"/>
                <w:highlight w:val="none"/>
              </w:rPr>
            </w:pPr>
          </w:p>
        </w:tc>
        <w:tc>
          <w:tcPr>
            <w:tcW w:w="1423" w:type="dxa"/>
            <w:noWrap/>
            <w:vAlign w:val="center"/>
          </w:tcPr>
          <w:p>
            <w:pPr>
              <w:jc w:val="center"/>
              <w:rPr>
                <w:rFonts w:ascii="方正仿宋_GBK" w:hAnsi="方正仿宋_GBK" w:eastAsia="方正仿宋_GBK" w:cs="方正仿宋_GBK"/>
                <w:color w:val="auto"/>
                <w:sz w:val="24"/>
                <w:highlight w:val="none"/>
              </w:rPr>
            </w:pPr>
          </w:p>
        </w:tc>
        <w:tc>
          <w:tcPr>
            <w:tcW w:w="1747" w:type="dxa"/>
            <w:noWrap/>
            <w:vAlign w:val="center"/>
          </w:tcPr>
          <w:p>
            <w:pPr>
              <w:jc w:val="center"/>
              <w:rPr>
                <w:rFonts w:ascii="方正仿宋_GBK" w:hAnsi="方正仿宋_GBK" w:eastAsia="方正仿宋_GBK" w:cs="方正仿宋_GBK"/>
                <w:color w:val="auto"/>
                <w:sz w:val="24"/>
                <w:highlight w:val="none"/>
              </w:rPr>
            </w:pPr>
          </w:p>
        </w:tc>
        <w:tc>
          <w:tcPr>
            <w:tcW w:w="3780" w:type="dxa"/>
            <w:noWrap/>
            <w:vAlign w:val="center"/>
          </w:tcPr>
          <w:p>
            <w:pPr>
              <w:jc w:val="center"/>
              <w:rPr>
                <w:rFonts w:ascii="方正仿宋_GBK" w:hAnsi="方正仿宋_GBK" w:eastAsia="方正仿宋_GBK" w:cs="方正仿宋_GBK"/>
                <w:color w:val="auto"/>
                <w:sz w:val="24"/>
                <w:highlight w:val="none"/>
              </w:rPr>
            </w:pPr>
          </w:p>
        </w:tc>
        <w:tc>
          <w:tcPr>
            <w:tcW w:w="3268" w:type="dxa"/>
            <w:noWrap/>
            <w:vAlign w:val="center"/>
          </w:tcPr>
          <w:p>
            <w:pPr>
              <w:jc w:val="center"/>
              <w:rPr>
                <w:rFonts w:ascii="方正仿宋_GBK" w:hAnsi="方正仿宋_GBK" w:eastAsia="方正仿宋_GBK" w:cs="方正仿宋_GBK"/>
                <w:color w:val="auto"/>
                <w:sz w:val="24"/>
                <w:highlight w:val="none"/>
              </w:rPr>
            </w:pPr>
          </w:p>
        </w:tc>
        <w:tc>
          <w:tcPr>
            <w:tcW w:w="1758"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68" w:type="dxa"/>
            <w:noWrap/>
            <w:vAlign w:val="center"/>
          </w:tcPr>
          <w:p>
            <w:pPr>
              <w:jc w:val="center"/>
              <w:rPr>
                <w:rFonts w:ascii="方正仿宋_GBK" w:hAnsi="方正仿宋_GBK" w:eastAsia="方正仿宋_GBK" w:cs="方正仿宋_GBK"/>
                <w:color w:val="auto"/>
                <w:sz w:val="24"/>
                <w:highlight w:val="none"/>
              </w:rPr>
            </w:pPr>
          </w:p>
        </w:tc>
        <w:tc>
          <w:tcPr>
            <w:tcW w:w="1715" w:type="dxa"/>
            <w:noWrap/>
            <w:vAlign w:val="center"/>
          </w:tcPr>
          <w:p>
            <w:pPr>
              <w:jc w:val="center"/>
              <w:rPr>
                <w:rFonts w:ascii="方正仿宋_GBK" w:hAnsi="方正仿宋_GBK" w:eastAsia="方正仿宋_GBK" w:cs="方正仿宋_GBK"/>
                <w:color w:val="auto"/>
                <w:sz w:val="24"/>
                <w:highlight w:val="none"/>
              </w:rPr>
            </w:pPr>
          </w:p>
        </w:tc>
        <w:tc>
          <w:tcPr>
            <w:tcW w:w="1423" w:type="dxa"/>
            <w:noWrap/>
            <w:vAlign w:val="center"/>
          </w:tcPr>
          <w:p>
            <w:pPr>
              <w:jc w:val="center"/>
              <w:rPr>
                <w:rFonts w:ascii="方正仿宋_GBK" w:hAnsi="方正仿宋_GBK" w:eastAsia="方正仿宋_GBK" w:cs="方正仿宋_GBK"/>
                <w:color w:val="auto"/>
                <w:sz w:val="24"/>
                <w:highlight w:val="none"/>
              </w:rPr>
            </w:pPr>
          </w:p>
        </w:tc>
        <w:tc>
          <w:tcPr>
            <w:tcW w:w="1747" w:type="dxa"/>
            <w:noWrap/>
            <w:vAlign w:val="center"/>
          </w:tcPr>
          <w:p>
            <w:pPr>
              <w:jc w:val="center"/>
              <w:rPr>
                <w:rFonts w:ascii="方正仿宋_GBK" w:hAnsi="方正仿宋_GBK" w:eastAsia="方正仿宋_GBK" w:cs="方正仿宋_GBK"/>
                <w:color w:val="auto"/>
                <w:sz w:val="24"/>
                <w:highlight w:val="none"/>
              </w:rPr>
            </w:pPr>
          </w:p>
        </w:tc>
        <w:tc>
          <w:tcPr>
            <w:tcW w:w="3780" w:type="dxa"/>
            <w:noWrap/>
            <w:vAlign w:val="center"/>
          </w:tcPr>
          <w:p>
            <w:pPr>
              <w:jc w:val="center"/>
              <w:rPr>
                <w:rFonts w:ascii="方正仿宋_GBK" w:hAnsi="方正仿宋_GBK" w:eastAsia="方正仿宋_GBK" w:cs="方正仿宋_GBK"/>
                <w:color w:val="auto"/>
                <w:sz w:val="24"/>
                <w:highlight w:val="none"/>
              </w:rPr>
            </w:pPr>
          </w:p>
        </w:tc>
        <w:tc>
          <w:tcPr>
            <w:tcW w:w="3268" w:type="dxa"/>
            <w:noWrap/>
            <w:vAlign w:val="center"/>
          </w:tcPr>
          <w:p>
            <w:pPr>
              <w:jc w:val="center"/>
              <w:rPr>
                <w:rFonts w:ascii="方正仿宋_GBK" w:hAnsi="方正仿宋_GBK" w:eastAsia="方正仿宋_GBK" w:cs="方正仿宋_GBK"/>
                <w:color w:val="auto"/>
                <w:sz w:val="24"/>
                <w:highlight w:val="none"/>
              </w:rPr>
            </w:pPr>
          </w:p>
        </w:tc>
        <w:tc>
          <w:tcPr>
            <w:tcW w:w="1758"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68" w:type="dxa"/>
            <w:noWrap/>
            <w:vAlign w:val="center"/>
          </w:tcPr>
          <w:p>
            <w:pPr>
              <w:jc w:val="center"/>
              <w:rPr>
                <w:rFonts w:ascii="方正仿宋_GBK" w:hAnsi="方正仿宋_GBK" w:eastAsia="方正仿宋_GBK" w:cs="方正仿宋_GBK"/>
                <w:color w:val="auto"/>
                <w:sz w:val="24"/>
                <w:highlight w:val="none"/>
              </w:rPr>
            </w:pPr>
          </w:p>
        </w:tc>
        <w:tc>
          <w:tcPr>
            <w:tcW w:w="1715" w:type="dxa"/>
            <w:noWrap/>
            <w:vAlign w:val="center"/>
          </w:tcPr>
          <w:p>
            <w:pPr>
              <w:jc w:val="center"/>
              <w:rPr>
                <w:rFonts w:ascii="方正仿宋_GBK" w:hAnsi="方正仿宋_GBK" w:eastAsia="方正仿宋_GBK" w:cs="方正仿宋_GBK"/>
                <w:color w:val="auto"/>
                <w:sz w:val="24"/>
                <w:highlight w:val="none"/>
              </w:rPr>
            </w:pPr>
          </w:p>
        </w:tc>
        <w:tc>
          <w:tcPr>
            <w:tcW w:w="1423" w:type="dxa"/>
            <w:noWrap/>
            <w:vAlign w:val="center"/>
          </w:tcPr>
          <w:p>
            <w:pPr>
              <w:jc w:val="center"/>
              <w:rPr>
                <w:rFonts w:ascii="方正仿宋_GBK" w:hAnsi="方正仿宋_GBK" w:eastAsia="方正仿宋_GBK" w:cs="方正仿宋_GBK"/>
                <w:color w:val="auto"/>
                <w:sz w:val="24"/>
                <w:highlight w:val="none"/>
              </w:rPr>
            </w:pPr>
          </w:p>
        </w:tc>
        <w:tc>
          <w:tcPr>
            <w:tcW w:w="1747" w:type="dxa"/>
            <w:noWrap/>
            <w:vAlign w:val="center"/>
          </w:tcPr>
          <w:p>
            <w:pPr>
              <w:jc w:val="center"/>
              <w:rPr>
                <w:rFonts w:ascii="方正仿宋_GBK" w:hAnsi="方正仿宋_GBK" w:eastAsia="方正仿宋_GBK" w:cs="方正仿宋_GBK"/>
                <w:color w:val="auto"/>
                <w:sz w:val="24"/>
                <w:highlight w:val="none"/>
              </w:rPr>
            </w:pPr>
          </w:p>
        </w:tc>
        <w:tc>
          <w:tcPr>
            <w:tcW w:w="3780" w:type="dxa"/>
            <w:noWrap/>
            <w:vAlign w:val="center"/>
          </w:tcPr>
          <w:p>
            <w:pPr>
              <w:jc w:val="center"/>
              <w:rPr>
                <w:rFonts w:ascii="方正仿宋_GBK" w:hAnsi="方正仿宋_GBK" w:eastAsia="方正仿宋_GBK" w:cs="方正仿宋_GBK"/>
                <w:color w:val="auto"/>
                <w:sz w:val="24"/>
                <w:highlight w:val="none"/>
              </w:rPr>
            </w:pPr>
          </w:p>
        </w:tc>
        <w:tc>
          <w:tcPr>
            <w:tcW w:w="3268" w:type="dxa"/>
            <w:noWrap/>
            <w:vAlign w:val="center"/>
          </w:tcPr>
          <w:p>
            <w:pPr>
              <w:jc w:val="center"/>
              <w:rPr>
                <w:rFonts w:ascii="方正仿宋_GBK" w:hAnsi="方正仿宋_GBK" w:eastAsia="方正仿宋_GBK" w:cs="方正仿宋_GBK"/>
                <w:color w:val="auto"/>
                <w:sz w:val="24"/>
                <w:highlight w:val="none"/>
              </w:rPr>
            </w:pPr>
          </w:p>
        </w:tc>
        <w:tc>
          <w:tcPr>
            <w:tcW w:w="1758"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68" w:type="dxa"/>
            <w:noWrap/>
            <w:vAlign w:val="center"/>
          </w:tcPr>
          <w:p>
            <w:pPr>
              <w:jc w:val="center"/>
              <w:rPr>
                <w:rFonts w:ascii="方正仿宋_GBK" w:hAnsi="方正仿宋_GBK" w:eastAsia="方正仿宋_GBK" w:cs="方正仿宋_GBK"/>
                <w:color w:val="auto"/>
                <w:sz w:val="24"/>
                <w:highlight w:val="none"/>
              </w:rPr>
            </w:pPr>
          </w:p>
        </w:tc>
        <w:tc>
          <w:tcPr>
            <w:tcW w:w="1715" w:type="dxa"/>
            <w:noWrap/>
            <w:vAlign w:val="center"/>
          </w:tcPr>
          <w:p>
            <w:pPr>
              <w:jc w:val="center"/>
              <w:rPr>
                <w:rFonts w:ascii="方正仿宋_GBK" w:hAnsi="方正仿宋_GBK" w:eastAsia="方正仿宋_GBK" w:cs="方正仿宋_GBK"/>
                <w:color w:val="auto"/>
                <w:sz w:val="24"/>
                <w:highlight w:val="none"/>
              </w:rPr>
            </w:pPr>
          </w:p>
        </w:tc>
        <w:tc>
          <w:tcPr>
            <w:tcW w:w="1423" w:type="dxa"/>
            <w:noWrap/>
            <w:vAlign w:val="center"/>
          </w:tcPr>
          <w:p>
            <w:pPr>
              <w:jc w:val="center"/>
              <w:rPr>
                <w:rFonts w:ascii="方正仿宋_GBK" w:hAnsi="方正仿宋_GBK" w:eastAsia="方正仿宋_GBK" w:cs="方正仿宋_GBK"/>
                <w:color w:val="auto"/>
                <w:sz w:val="24"/>
                <w:highlight w:val="none"/>
              </w:rPr>
            </w:pPr>
          </w:p>
        </w:tc>
        <w:tc>
          <w:tcPr>
            <w:tcW w:w="1747" w:type="dxa"/>
            <w:noWrap/>
            <w:vAlign w:val="center"/>
          </w:tcPr>
          <w:p>
            <w:pPr>
              <w:jc w:val="center"/>
              <w:rPr>
                <w:rFonts w:ascii="方正仿宋_GBK" w:hAnsi="方正仿宋_GBK" w:eastAsia="方正仿宋_GBK" w:cs="方正仿宋_GBK"/>
                <w:color w:val="auto"/>
                <w:sz w:val="24"/>
                <w:highlight w:val="none"/>
              </w:rPr>
            </w:pPr>
          </w:p>
        </w:tc>
        <w:tc>
          <w:tcPr>
            <w:tcW w:w="3780" w:type="dxa"/>
            <w:noWrap/>
            <w:vAlign w:val="center"/>
          </w:tcPr>
          <w:p>
            <w:pPr>
              <w:jc w:val="center"/>
              <w:rPr>
                <w:rFonts w:ascii="方正仿宋_GBK" w:hAnsi="方正仿宋_GBK" w:eastAsia="方正仿宋_GBK" w:cs="方正仿宋_GBK"/>
                <w:color w:val="auto"/>
                <w:sz w:val="24"/>
                <w:highlight w:val="none"/>
              </w:rPr>
            </w:pPr>
          </w:p>
        </w:tc>
        <w:tc>
          <w:tcPr>
            <w:tcW w:w="3268" w:type="dxa"/>
            <w:noWrap/>
            <w:vAlign w:val="center"/>
          </w:tcPr>
          <w:p>
            <w:pPr>
              <w:jc w:val="center"/>
              <w:rPr>
                <w:rFonts w:ascii="方正仿宋_GBK" w:hAnsi="方正仿宋_GBK" w:eastAsia="方正仿宋_GBK" w:cs="方正仿宋_GBK"/>
                <w:color w:val="auto"/>
                <w:sz w:val="24"/>
                <w:highlight w:val="none"/>
              </w:rPr>
            </w:pPr>
          </w:p>
        </w:tc>
        <w:tc>
          <w:tcPr>
            <w:tcW w:w="1758"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68" w:type="dxa"/>
            <w:noWrap/>
            <w:vAlign w:val="center"/>
          </w:tcPr>
          <w:p>
            <w:pPr>
              <w:jc w:val="center"/>
              <w:rPr>
                <w:rFonts w:ascii="方正仿宋_GBK" w:hAnsi="方正仿宋_GBK" w:eastAsia="方正仿宋_GBK" w:cs="方正仿宋_GBK"/>
                <w:color w:val="auto"/>
                <w:sz w:val="24"/>
                <w:highlight w:val="none"/>
              </w:rPr>
            </w:pPr>
          </w:p>
        </w:tc>
        <w:tc>
          <w:tcPr>
            <w:tcW w:w="1715" w:type="dxa"/>
            <w:noWrap/>
            <w:vAlign w:val="center"/>
          </w:tcPr>
          <w:p>
            <w:pPr>
              <w:jc w:val="center"/>
              <w:rPr>
                <w:rFonts w:ascii="方正仿宋_GBK" w:hAnsi="方正仿宋_GBK" w:eastAsia="方正仿宋_GBK" w:cs="方正仿宋_GBK"/>
                <w:color w:val="auto"/>
                <w:sz w:val="24"/>
                <w:highlight w:val="none"/>
              </w:rPr>
            </w:pPr>
          </w:p>
        </w:tc>
        <w:tc>
          <w:tcPr>
            <w:tcW w:w="1423" w:type="dxa"/>
            <w:noWrap/>
            <w:vAlign w:val="center"/>
          </w:tcPr>
          <w:p>
            <w:pPr>
              <w:jc w:val="center"/>
              <w:rPr>
                <w:rFonts w:ascii="方正仿宋_GBK" w:hAnsi="方正仿宋_GBK" w:eastAsia="方正仿宋_GBK" w:cs="方正仿宋_GBK"/>
                <w:color w:val="auto"/>
                <w:sz w:val="24"/>
                <w:highlight w:val="none"/>
              </w:rPr>
            </w:pPr>
          </w:p>
        </w:tc>
        <w:tc>
          <w:tcPr>
            <w:tcW w:w="1747" w:type="dxa"/>
            <w:noWrap/>
            <w:vAlign w:val="center"/>
          </w:tcPr>
          <w:p>
            <w:pPr>
              <w:jc w:val="center"/>
              <w:rPr>
                <w:rFonts w:ascii="方正仿宋_GBK" w:hAnsi="方正仿宋_GBK" w:eastAsia="方正仿宋_GBK" w:cs="方正仿宋_GBK"/>
                <w:color w:val="auto"/>
                <w:sz w:val="24"/>
                <w:highlight w:val="none"/>
              </w:rPr>
            </w:pPr>
          </w:p>
        </w:tc>
        <w:tc>
          <w:tcPr>
            <w:tcW w:w="3780" w:type="dxa"/>
            <w:noWrap/>
            <w:vAlign w:val="center"/>
          </w:tcPr>
          <w:p>
            <w:pPr>
              <w:jc w:val="center"/>
              <w:rPr>
                <w:rFonts w:ascii="方正仿宋_GBK" w:hAnsi="方正仿宋_GBK" w:eastAsia="方正仿宋_GBK" w:cs="方正仿宋_GBK"/>
                <w:color w:val="auto"/>
                <w:sz w:val="24"/>
                <w:highlight w:val="none"/>
              </w:rPr>
            </w:pPr>
          </w:p>
        </w:tc>
        <w:tc>
          <w:tcPr>
            <w:tcW w:w="3268" w:type="dxa"/>
            <w:noWrap/>
            <w:vAlign w:val="center"/>
          </w:tcPr>
          <w:p>
            <w:pPr>
              <w:jc w:val="center"/>
              <w:rPr>
                <w:rFonts w:ascii="方正仿宋_GBK" w:hAnsi="方正仿宋_GBK" w:eastAsia="方正仿宋_GBK" w:cs="方正仿宋_GBK"/>
                <w:color w:val="auto"/>
                <w:sz w:val="24"/>
                <w:highlight w:val="none"/>
              </w:rPr>
            </w:pPr>
          </w:p>
        </w:tc>
        <w:tc>
          <w:tcPr>
            <w:tcW w:w="1758"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68" w:type="dxa"/>
            <w:noWrap/>
            <w:vAlign w:val="center"/>
          </w:tcPr>
          <w:p>
            <w:pPr>
              <w:jc w:val="center"/>
              <w:rPr>
                <w:rFonts w:ascii="方正仿宋_GBK" w:hAnsi="方正仿宋_GBK" w:eastAsia="方正仿宋_GBK" w:cs="方正仿宋_GBK"/>
                <w:color w:val="auto"/>
                <w:sz w:val="24"/>
                <w:highlight w:val="none"/>
              </w:rPr>
            </w:pPr>
          </w:p>
          <w:p>
            <w:pPr>
              <w:jc w:val="center"/>
              <w:rPr>
                <w:rFonts w:ascii="方正仿宋_GBK" w:hAnsi="方正仿宋_GBK" w:eastAsia="方正仿宋_GBK" w:cs="方正仿宋_GBK"/>
                <w:color w:val="auto"/>
                <w:sz w:val="24"/>
                <w:highlight w:val="none"/>
              </w:rPr>
            </w:pPr>
          </w:p>
        </w:tc>
        <w:tc>
          <w:tcPr>
            <w:tcW w:w="1715" w:type="dxa"/>
            <w:noWrap/>
            <w:vAlign w:val="center"/>
          </w:tcPr>
          <w:p>
            <w:pPr>
              <w:jc w:val="center"/>
              <w:rPr>
                <w:rFonts w:ascii="方正仿宋_GBK" w:hAnsi="方正仿宋_GBK" w:eastAsia="方正仿宋_GBK" w:cs="方正仿宋_GBK"/>
                <w:color w:val="auto"/>
                <w:sz w:val="24"/>
                <w:highlight w:val="none"/>
              </w:rPr>
            </w:pPr>
          </w:p>
        </w:tc>
        <w:tc>
          <w:tcPr>
            <w:tcW w:w="1423" w:type="dxa"/>
            <w:noWrap/>
            <w:vAlign w:val="center"/>
          </w:tcPr>
          <w:p>
            <w:pPr>
              <w:jc w:val="center"/>
              <w:rPr>
                <w:rFonts w:ascii="方正仿宋_GBK" w:hAnsi="方正仿宋_GBK" w:eastAsia="方正仿宋_GBK" w:cs="方正仿宋_GBK"/>
                <w:color w:val="auto"/>
                <w:sz w:val="24"/>
                <w:highlight w:val="none"/>
              </w:rPr>
            </w:pPr>
          </w:p>
        </w:tc>
        <w:tc>
          <w:tcPr>
            <w:tcW w:w="1747" w:type="dxa"/>
            <w:noWrap/>
            <w:vAlign w:val="center"/>
          </w:tcPr>
          <w:p>
            <w:pPr>
              <w:jc w:val="center"/>
              <w:rPr>
                <w:rFonts w:ascii="方正仿宋_GBK" w:hAnsi="方正仿宋_GBK" w:eastAsia="方正仿宋_GBK" w:cs="方正仿宋_GBK"/>
                <w:color w:val="auto"/>
                <w:sz w:val="24"/>
                <w:highlight w:val="none"/>
              </w:rPr>
            </w:pPr>
          </w:p>
        </w:tc>
        <w:tc>
          <w:tcPr>
            <w:tcW w:w="3780" w:type="dxa"/>
            <w:noWrap/>
            <w:vAlign w:val="center"/>
          </w:tcPr>
          <w:p>
            <w:pPr>
              <w:jc w:val="center"/>
              <w:rPr>
                <w:rFonts w:ascii="方正仿宋_GBK" w:hAnsi="方正仿宋_GBK" w:eastAsia="方正仿宋_GBK" w:cs="方正仿宋_GBK"/>
                <w:color w:val="auto"/>
                <w:sz w:val="24"/>
                <w:highlight w:val="none"/>
              </w:rPr>
            </w:pPr>
          </w:p>
        </w:tc>
        <w:tc>
          <w:tcPr>
            <w:tcW w:w="3268" w:type="dxa"/>
            <w:noWrap/>
            <w:vAlign w:val="center"/>
          </w:tcPr>
          <w:p>
            <w:pPr>
              <w:jc w:val="center"/>
              <w:rPr>
                <w:rFonts w:ascii="方正仿宋_GBK" w:hAnsi="方正仿宋_GBK" w:eastAsia="方正仿宋_GBK" w:cs="方正仿宋_GBK"/>
                <w:color w:val="auto"/>
                <w:sz w:val="24"/>
                <w:highlight w:val="none"/>
              </w:rPr>
            </w:pPr>
          </w:p>
        </w:tc>
        <w:tc>
          <w:tcPr>
            <w:tcW w:w="1758" w:type="dxa"/>
            <w:noWrap/>
            <w:vAlign w:val="center"/>
          </w:tcPr>
          <w:p>
            <w:pPr>
              <w:jc w:val="center"/>
              <w:rPr>
                <w:rFonts w:ascii="方正仿宋_GBK" w:hAnsi="方正仿宋_GBK" w:eastAsia="方正仿宋_GBK" w:cs="方正仿宋_GBK"/>
                <w:color w:val="auto"/>
                <w:sz w:val="24"/>
                <w:highlight w:val="none"/>
              </w:rPr>
            </w:pPr>
          </w:p>
        </w:tc>
      </w:tr>
    </w:tbl>
    <w:p>
      <w:pPr>
        <w:jc w:val="left"/>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 xml:space="preserve">权属单位：                                    审核记录人（签字）：                              日    期： </w:t>
      </w:r>
    </w:p>
    <w:p>
      <w:pPr>
        <w:jc w:val="left"/>
        <w:rPr>
          <w:rFonts w:ascii="方正仿宋_GBK" w:hAnsi="方正仿宋_GBK" w:eastAsia="方正仿宋_GBK" w:cs="方正仿宋_GBK"/>
          <w:color w:val="auto"/>
          <w:sz w:val="24"/>
          <w:highlight w:val="none"/>
        </w:rPr>
        <w:sectPr>
          <w:pgSz w:w="16838" w:h="11906" w:orient="landscape"/>
          <w:pgMar w:top="1417" w:right="1134" w:bottom="1134" w:left="1134" w:header="851" w:footer="992" w:gutter="0"/>
          <w:cols w:space="720" w:num="1"/>
          <w:docGrid w:type="lines" w:linePitch="319" w:charSpace="0"/>
        </w:sectPr>
      </w:pPr>
    </w:p>
    <w:p>
      <w:pPr>
        <w:jc w:val="center"/>
        <w:outlineLvl w:val="1"/>
        <w:rPr>
          <w:rFonts w:eastAsia="仿宋"/>
          <w:b/>
          <w:bCs/>
          <w:color w:val="auto"/>
          <w:sz w:val="28"/>
          <w:szCs w:val="28"/>
          <w:highlight w:val="none"/>
        </w:rPr>
      </w:pPr>
      <w:bookmarkStart w:id="623" w:name="_Toc79654133"/>
      <w:bookmarkStart w:id="624" w:name="_Toc18393"/>
      <w:bookmarkStart w:id="625" w:name="_Toc749"/>
      <w:bookmarkStart w:id="626" w:name="_Toc2104"/>
      <w:bookmarkStart w:id="627" w:name="_Toc18988"/>
      <w:bookmarkStart w:id="628" w:name="_Toc3909"/>
      <w:bookmarkStart w:id="629" w:name="_Toc25627"/>
      <w:bookmarkStart w:id="630" w:name="_Toc11735"/>
      <w:bookmarkStart w:id="631" w:name="_Toc20053"/>
      <w:r>
        <w:rPr>
          <w:rFonts w:hint="eastAsia" w:eastAsia="仿宋"/>
          <w:b/>
          <w:bCs/>
          <w:color w:val="auto"/>
          <w:sz w:val="28"/>
          <w:szCs w:val="28"/>
          <w:highlight w:val="none"/>
        </w:rPr>
        <w:t>附录</w:t>
      </w:r>
      <w:r>
        <w:rPr>
          <w:rFonts w:eastAsia="仿宋"/>
          <w:b/>
          <w:bCs/>
          <w:color w:val="auto"/>
          <w:sz w:val="28"/>
          <w:szCs w:val="28"/>
          <w:highlight w:val="none"/>
        </w:rPr>
        <w:t xml:space="preserve">H </w:t>
      </w:r>
      <w:r>
        <w:rPr>
          <w:rFonts w:hint="eastAsia" w:eastAsia="仿宋"/>
          <w:b/>
          <w:bCs/>
          <w:color w:val="auto"/>
          <w:sz w:val="28"/>
          <w:szCs w:val="28"/>
          <w:highlight w:val="none"/>
        </w:rPr>
        <w:t>普查更新成果核验确认单</w:t>
      </w:r>
      <w:bookmarkEnd w:id="623"/>
      <w:bookmarkEnd w:id="624"/>
      <w:bookmarkEnd w:id="625"/>
      <w:bookmarkEnd w:id="626"/>
      <w:bookmarkEnd w:id="627"/>
      <w:bookmarkEnd w:id="628"/>
      <w:bookmarkEnd w:id="629"/>
      <w:bookmarkEnd w:id="630"/>
      <w:bookmarkEnd w:id="631"/>
    </w:p>
    <w:p>
      <w:pPr>
        <w:pStyle w:val="2"/>
        <w:jc w:val="left"/>
        <w:rPr>
          <w:rFonts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color w:val="auto"/>
          <w:highlight w:val="none"/>
        </w:rPr>
        <w:t xml:space="preserve">                                                       编号：</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6"/>
        <w:gridCol w:w="1260"/>
        <w:gridCol w:w="1260"/>
        <w:gridCol w:w="1260"/>
        <w:gridCol w:w="47"/>
        <w:gridCol w:w="1213"/>
        <w:gridCol w:w="205"/>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106" w:type="dxa"/>
            <w:noWrap/>
            <w:vAlign w:val="center"/>
          </w:tcPr>
          <w:p>
            <w:pPr>
              <w:jc w:val="center"/>
              <w:rPr>
                <w:rFonts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项目名称</w:t>
            </w:r>
          </w:p>
        </w:tc>
        <w:tc>
          <w:tcPr>
            <w:tcW w:w="6301" w:type="dxa"/>
            <w:gridSpan w:val="7"/>
            <w:noWrap/>
            <w:vAlign w:val="center"/>
          </w:tcPr>
          <w:p>
            <w:pPr>
              <w:jc w:val="center"/>
              <w:rPr>
                <w:rFonts w:ascii="方正仿宋_GBK" w:hAnsi="方正仿宋_GBK" w:eastAsia="方正仿宋_GBK" w:cs="方正仿宋_GBK"/>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106" w:type="dxa"/>
            <w:noWrap/>
            <w:vAlign w:val="center"/>
          </w:tcPr>
          <w:p>
            <w:pPr>
              <w:jc w:val="center"/>
              <w:rPr>
                <w:rFonts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测  区 号</w:t>
            </w:r>
          </w:p>
        </w:tc>
        <w:tc>
          <w:tcPr>
            <w:tcW w:w="1260" w:type="dxa"/>
            <w:noWrap/>
            <w:vAlign w:val="center"/>
          </w:tcPr>
          <w:p>
            <w:pPr>
              <w:jc w:val="center"/>
              <w:rPr>
                <w:rFonts w:ascii="方正仿宋_GBK" w:hAnsi="方正仿宋_GBK" w:eastAsia="方正仿宋_GBK" w:cs="方正仿宋_GBK"/>
                <w:color w:val="auto"/>
                <w:szCs w:val="21"/>
                <w:highlight w:val="none"/>
              </w:rPr>
            </w:pPr>
          </w:p>
        </w:tc>
        <w:tc>
          <w:tcPr>
            <w:tcW w:w="1260" w:type="dxa"/>
            <w:noWrap/>
            <w:vAlign w:val="center"/>
          </w:tcPr>
          <w:p>
            <w:pPr>
              <w:jc w:val="center"/>
              <w:rPr>
                <w:rFonts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总测区数</w:t>
            </w:r>
          </w:p>
        </w:tc>
        <w:tc>
          <w:tcPr>
            <w:tcW w:w="1260" w:type="dxa"/>
            <w:noWrap/>
            <w:vAlign w:val="center"/>
          </w:tcPr>
          <w:p>
            <w:pPr>
              <w:jc w:val="center"/>
              <w:rPr>
                <w:rFonts w:ascii="方正仿宋_GBK" w:hAnsi="方正仿宋_GBK" w:eastAsia="方正仿宋_GBK" w:cs="方正仿宋_GBK"/>
                <w:color w:val="auto"/>
                <w:szCs w:val="21"/>
                <w:highlight w:val="none"/>
              </w:rPr>
            </w:pPr>
          </w:p>
        </w:tc>
        <w:tc>
          <w:tcPr>
            <w:tcW w:w="1260" w:type="dxa"/>
            <w:gridSpan w:val="2"/>
            <w:noWrap/>
            <w:vAlign w:val="center"/>
          </w:tcPr>
          <w:p>
            <w:pPr>
              <w:jc w:val="center"/>
              <w:rPr>
                <w:rFonts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管线类型</w:t>
            </w:r>
          </w:p>
        </w:tc>
        <w:tc>
          <w:tcPr>
            <w:tcW w:w="1261" w:type="dxa"/>
            <w:gridSpan w:val="2"/>
            <w:noWrap/>
            <w:vAlign w:val="center"/>
          </w:tcPr>
          <w:p>
            <w:pPr>
              <w:jc w:val="left"/>
              <w:rPr>
                <w:rFonts w:ascii="方正仿宋_GBK" w:hAnsi="方正仿宋_GBK" w:eastAsia="方正仿宋_GBK" w:cs="方正仿宋_GBK"/>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4" w:hRule="atLeast"/>
          <w:jc w:val="center"/>
        </w:trPr>
        <w:tc>
          <w:tcPr>
            <w:tcW w:w="8407" w:type="dxa"/>
            <w:gridSpan w:val="8"/>
            <w:noWrap/>
          </w:tcPr>
          <w:p>
            <w:pPr>
              <w:spacing w:before="319" w:beforeLines="100"/>
              <w:jc w:val="left"/>
              <w:rPr>
                <w:rFonts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核验意见</w:t>
            </w:r>
            <w:r>
              <w:rPr>
                <w:rFonts w:hint="eastAsia" w:ascii="方正仿宋_GBK" w:hAnsi="方正仿宋_GBK" w:eastAsia="方正仿宋_GBK" w:cs="方正仿宋_GBK"/>
                <w:i/>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106" w:type="dxa"/>
            <w:noWrap/>
            <w:vAlign w:val="center"/>
          </w:tcPr>
          <w:p>
            <w:pPr>
              <w:jc w:val="center"/>
              <w:rPr>
                <w:rFonts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权属单位（盖章）</w:t>
            </w:r>
          </w:p>
        </w:tc>
        <w:tc>
          <w:tcPr>
            <w:tcW w:w="6301" w:type="dxa"/>
            <w:gridSpan w:val="7"/>
            <w:noWrap/>
            <w:vAlign w:val="center"/>
          </w:tcPr>
          <w:p>
            <w:pPr>
              <w:jc w:val="center"/>
              <w:rPr>
                <w:rFonts w:ascii="方正仿宋_GBK" w:hAnsi="方正仿宋_GBK" w:eastAsia="方正仿宋_GBK" w:cs="方正仿宋_GBK"/>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2106" w:type="dxa"/>
            <w:noWrap/>
            <w:vAlign w:val="center"/>
          </w:tcPr>
          <w:p>
            <w:pPr>
              <w:jc w:val="center"/>
              <w:rPr>
                <w:rFonts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审核负责人（签字）</w:t>
            </w:r>
          </w:p>
        </w:tc>
        <w:tc>
          <w:tcPr>
            <w:tcW w:w="3827" w:type="dxa"/>
            <w:gridSpan w:val="4"/>
            <w:noWrap/>
            <w:vAlign w:val="center"/>
          </w:tcPr>
          <w:p>
            <w:pPr>
              <w:jc w:val="center"/>
              <w:rPr>
                <w:rFonts w:ascii="方正仿宋_GBK" w:hAnsi="方正仿宋_GBK" w:eastAsia="方正仿宋_GBK" w:cs="方正仿宋_GBK"/>
                <w:color w:val="auto"/>
                <w:szCs w:val="21"/>
                <w:highlight w:val="none"/>
              </w:rPr>
            </w:pPr>
          </w:p>
        </w:tc>
        <w:tc>
          <w:tcPr>
            <w:tcW w:w="1418" w:type="dxa"/>
            <w:gridSpan w:val="2"/>
            <w:noWrap/>
            <w:vAlign w:val="center"/>
          </w:tcPr>
          <w:p>
            <w:pPr>
              <w:jc w:val="center"/>
              <w:rPr>
                <w:rFonts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日    期</w:t>
            </w:r>
          </w:p>
        </w:tc>
        <w:tc>
          <w:tcPr>
            <w:tcW w:w="1056" w:type="dxa"/>
            <w:noWrap/>
            <w:vAlign w:val="center"/>
          </w:tcPr>
          <w:p>
            <w:pPr>
              <w:jc w:val="left"/>
              <w:rPr>
                <w:rFonts w:ascii="方正仿宋_GBK" w:hAnsi="方正仿宋_GBK" w:eastAsia="方正仿宋_GBK" w:cs="方正仿宋_GBK"/>
                <w:color w:val="auto"/>
                <w:szCs w:val="21"/>
                <w:highlight w:val="none"/>
              </w:rPr>
            </w:pPr>
          </w:p>
        </w:tc>
      </w:tr>
    </w:tbl>
    <w:p>
      <w:pPr>
        <w:pStyle w:val="2"/>
        <w:jc w:val="left"/>
        <w:rPr>
          <w:color w:val="auto"/>
          <w:highlight w:val="none"/>
        </w:rPr>
      </w:pPr>
    </w:p>
    <w:p>
      <w:pPr>
        <w:pStyle w:val="2"/>
        <w:jc w:val="left"/>
        <w:rPr>
          <w:color w:val="auto"/>
          <w:highlight w:val="none"/>
        </w:rPr>
        <w:sectPr>
          <w:pgSz w:w="11906" w:h="16838"/>
          <w:pgMar w:top="1417" w:right="1474" w:bottom="1134" w:left="1587" w:header="851" w:footer="992" w:gutter="0"/>
          <w:cols w:space="720" w:num="1"/>
          <w:docGrid w:type="lines" w:linePitch="319" w:charSpace="0"/>
        </w:sectPr>
      </w:pPr>
    </w:p>
    <w:p>
      <w:pPr>
        <w:jc w:val="center"/>
        <w:outlineLvl w:val="1"/>
        <w:rPr>
          <w:rFonts w:eastAsia="仿宋"/>
          <w:b/>
          <w:bCs/>
          <w:color w:val="auto"/>
          <w:sz w:val="28"/>
          <w:szCs w:val="28"/>
          <w:highlight w:val="none"/>
        </w:rPr>
      </w:pPr>
      <w:bookmarkStart w:id="632" w:name="_Toc6953"/>
      <w:bookmarkStart w:id="633" w:name="_Toc8034"/>
      <w:bookmarkStart w:id="634" w:name="_Toc213"/>
      <w:bookmarkStart w:id="635" w:name="_Toc1671"/>
      <w:bookmarkStart w:id="636" w:name="_Toc21058"/>
      <w:bookmarkStart w:id="637" w:name="_Toc28793"/>
      <w:bookmarkStart w:id="638" w:name="_Toc5418"/>
      <w:bookmarkStart w:id="639" w:name="_Toc29511"/>
      <w:bookmarkStart w:id="640" w:name="_Toc79654134"/>
      <w:r>
        <w:rPr>
          <w:rFonts w:hint="eastAsia" w:eastAsia="仿宋"/>
          <w:b/>
          <w:bCs/>
          <w:color w:val="auto"/>
          <w:sz w:val="28"/>
          <w:szCs w:val="28"/>
          <w:highlight w:val="none"/>
        </w:rPr>
        <w:t>附录</w:t>
      </w:r>
      <w:r>
        <w:rPr>
          <w:rFonts w:eastAsia="仿宋"/>
          <w:b/>
          <w:bCs/>
          <w:color w:val="auto"/>
          <w:sz w:val="28"/>
          <w:szCs w:val="28"/>
          <w:highlight w:val="none"/>
        </w:rPr>
        <w:t xml:space="preserve">I </w:t>
      </w:r>
      <w:r>
        <w:rPr>
          <w:rFonts w:hint="eastAsia" w:eastAsia="仿宋"/>
          <w:b/>
          <w:bCs/>
          <w:color w:val="auto"/>
          <w:sz w:val="28"/>
          <w:szCs w:val="28"/>
          <w:highlight w:val="none"/>
        </w:rPr>
        <w:t>数据整合检查问题反馈意见表</w:t>
      </w:r>
      <w:bookmarkEnd w:id="632"/>
      <w:bookmarkEnd w:id="633"/>
      <w:bookmarkEnd w:id="634"/>
      <w:bookmarkEnd w:id="635"/>
      <w:bookmarkEnd w:id="636"/>
      <w:bookmarkEnd w:id="637"/>
      <w:bookmarkEnd w:id="638"/>
      <w:bookmarkEnd w:id="639"/>
      <w:bookmarkEnd w:id="640"/>
    </w:p>
    <w:p>
      <w:pPr>
        <w:jc w:val="left"/>
        <w:rPr>
          <w:rFonts w:ascii="方正仿宋_GBK" w:hAnsi="方正仿宋_GBK" w:eastAsia="方正仿宋_GBK" w:cs="方正仿宋_GBK"/>
          <w:b/>
          <w:bCs/>
          <w:color w:val="auto"/>
          <w:sz w:val="24"/>
          <w:highlight w:val="none"/>
        </w:rPr>
      </w:pPr>
      <w:r>
        <w:rPr>
          <w:rFonts w:hint="eastAsia" w:ascii="方正仿宋_GBK" w:hAnsi="方正仿宋_GBK" w:eastAsia="方正仿宋_GBK" w:cs="方正仿宋_GBK"/>
          <w:color w:val="auto"/>
          <w:sz w:val="24"/>
          <w:highlight w:val="none"/>
        </w:rPr>
        <w:t xml:space="preserve">编号：                                     项目名称：                                   限期整改时间：                                </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605"/>
        <w:gridCol w:w="1965"/>
        <w:gridCol w:w="2310"/>
        <w:gridCol w:w="7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07" w:type="dxa"/>
            <w:noWrap/>
            <w:vAlign w:val="center"/>
          </w:tcPr>
          <w:p>
            <w:pPr>
              <w:jc w:val="center"/>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序号</w:t>
            </w:r>
          </w:p>
        </w:tc>
        <w:tc>
          <w:tcPr>
            <w:tcW w:w="1605" w:type="dxa"/>
            <w:noWrap/>
            <w:vAlign w:val="center"/>
          </w:tcPr>
          <w:p>
            <w:pPr>
              <w:jc w:val="center"/>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图幅号</w:t>
            </w:r>
          </w:p>
        </w:tc>
        <w:tc>
          <w:tcPr>
            <w:tcW w:w="1965" w:type="dxa"/>
            <w:noWrap/>
            <w:vAlign w:val="center"/>
          </w:tcPr>
          <w:p>
            <w:pPr>
              <w:jc w:val="center"/>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相关管线类型</w:t>
            </w:r>
          </w:p>
        </w:tc>
        <w:tc>
          <w:tcPr>
            <w:tcW w:w="2310" w:type="dxa"/>
            <w:noWrap/>
            <w:vAlign w:val="center"/>
          </w:tcPr>
          <w:p>
            <w:pPr>
              <w:jc w:val="center"/>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相关点号</w:t>
            </w:r>
          </w:p>
        </w:tc>
        <w:tc>
          <w:tcPr>
            <w:tcW w:w="7600" w:type="dxa"/>
            <w:noWrap/>
            <w:vAlign w:val="center"/>
          </w:tcPr>
          <w:p>
            <w:pPr>
              <w:jc w:val="center"/>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检查问题描述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07" w:type="dxa"/>
            <w:noWrap/>
            <w:vAlign w:val="center"/>
          </w:tcPr>
          <w:p>
            <w:pPr>
              <w:jc w:val="center"/>
              <w:rPr>
                <w:rFonts w:ascii="方正仿宋_GBK" w:hAnsi="方正仿宋_GBK" w:eastAsia="方正仿宋_GBK" w:cs="方正仿宋_GBK"/>
                <w:color w:val="auto"/>
                <w:sz w:val="24"/>
                <w:highlight w:val="none"/>
              </w:rPr>
            </w:pPr>
          </w:p>
        </w:tc>
        <w:tc>
          <w:tcPr>
            <w:tcW w:w="1605" w:type="dxa"/>
            <w:noWrap/>
            <w:vAlign w:val="center"/>
          </w:tcPr>
          <w:p>
            <w:pPr>
              <w:jc w:val="center"/>
              <w:rPr>
                <w:rFonts w:ascii="方正仿宋_GBK" w:hAnsi="方正仿宋_GBK" w:eastAsia="方正仿宋_GBK" w:cs="方正仿宋_GBK"/>
                <w:color w:val="auto"/>
                <w:sz w:val="24"/>
                <w:highlight w:val="none"/>
              </w:rPr>
            </w:pPr>
          </w:p>
        </w:tc>
        <w:tc>
          <w:tcPr>
            <w:tcW w:w="1965" w:type="dxa"/>
            <w:noWrap/>
            <w:vAlign w:val="center"/>
          </w:tcPr>
          <w:p>
            <w:pPr>
              <w:jc w:val="center"/>
              <w:rPr>
                <w:rFonts w:ascii="方正仿宋_GBK" w:hAnsi="方正仿宋_GBK" w:eastAsia="方正仿宋_GBK" w:cs="方正仿宋_GBK"/>
                <w:color w:val="auto"/>
                <w:sz w:val="24"/>
                <w:highlight w:val="none"/>
              </w:rPr>
            </w:pPr>
          </w:p>
        </w:tc>
        <w:tc>
          <w:tcPr>
            <w:tcW w:w="2310" w:type="dxa"/>
            <w:noWrap/>
            <w:vAlign w:val="center"/>
          </w:tcPr>
          <w:p>
            <w:pPr>
              <w:jc w:val="center"/>
              <w:rPr>
                <w:rFonts w:ascii="方正仿宋_GBK" w:hAnsi="方正仿宋_GBK" w:eastAsia="方正仿宋_GBK" w:cs="方正仿宋_GBK"/>
                <w:color w:val="auto"/>
                <w:sz w:val="24"/>
                <w:highlight w:val="none"/>
              </w:rPr>
            </w:pPr>
          </w:p>
        </w:tc>
        <w:tc>
          <w:tcPr>
            <w:tcW w:w="7600"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07" w:type="dxa"/>
            <w:noWrap/>
            <w:vAlign w:val="center"/>
          </w:tcPr>
          <w:p>
            <w:pPr>
              <w:jc w:val="center"/>
              <w:rPr>
                <w:rFonts w:ascii="方正仿宋_GBK" w:hAnsi="方正仿宋_GBK" w:eastAsia="方正仿宋_GBK" w:cs="方正仿宋_GBK"/>
                <w:color w:val="auto"/>
                <w:sz w:val="24"/>
                <w:highlight w:val="none"/>
              </w:rPr>
            </w:pPr>
          </w:p>
        </w:tc>
        <w:tc>
          <w:tcPr>
            <w:tcW w:w="1605" w:type="dxa"/>
            <w:noWrap/>
            <w:vAlign w:val="center"/>
          </w:tcPr>
          <w:p>
            <w:pPr>
              <w:jc w:val="center"/>
              <w:rPr>
                <w:rFonts w:ascii="方正仿宋_GBK" w:hAnsi="方正仿宋_GBK" w:eastAsia="方正仿宋_GBK" w:cs="方正仿宋_GBK"/>
                <w:color w:val="auto"/>
                <w:sz w:val="24"/>
                <w:highlight w:val="none"/>
              </w:rPr>
            </w:pPr>
          </w:p>
        </w:tc>
        <w:tc>
          <w:tcPr>
            <w:tcW w:w="1965" w:type="dxa"/>
            <w:noWrap/>
            <w:vAlign w:val="center"/>
          </w:tcPr>
          <w:p>
            <w:pPr>
              <w:jc w:val="center"/>
              <w:rPr>
                <w:rFonts w:ascii="方正仿宋_GBK" w:hAnsi="方正仿宋_GBK" w:eastAsia="方正仿宋_GBK" w:cs="方正仿宋_GBK"/>
                <w:color w:val="auto"/>
                <w:sz w:val="24"/>
                <w:highlight w:val="none"/>
              </w:rPr>
            </w:pPr>
          </w:p>
        </w:tc>
        <w:tc>
          <w:tcPr>
            <w:tcW w:w="2310" w:type="dxa"/>
            <w:noWrap/>
            <w:vAlign w:val="center"/>
          </w:tcPr>
          <w:p>
            <w:pPr>
              <w:jc w:val="center"/>
              <w:rPr>
                <w:rFonts w:ascii="方正仿宋_GBK" w:hAnsi="方正仿宋_GBK" w:eastAsia="方正仿宋_GBK" w:cs="方正仿宋_GBK"/>
                <w:color w:val="auto"/>
                <w:sz w:val="24"/>
                <w:highlight w:val="none"/>
              </w:rPr>
            </w:pPr>
          </w:p>
        </w:tc>
        <w:tc>
          <w:tcPr>
            <w:tcW w:w="7600"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07" w:type="dxa"/>
            <w:noWrap/>
            <w:vAlign w:val="center"/>
          </w:tcPr>
          <w:p>
            <w:pPr>
              <w:jc w:val="center"/>
              <w:rPr>
                <w:rFonts w:ascii="方正仿宋_GBK" w:hAnsi="方正仿宋_GBK" w:eastAsia="方正仿宋_GBK" w:cs="方正仿宋_GBK"/>
                <w:color w:val="auto"/>
                <w:sz w:val="24"/>
                <w:highlight w:val="none"/>
              </w:rPr>
            </w:pPr>
          </w:p>
        </w:tc>
        <w:tc>
          <w:tcPr>
            <w:tcW w:w="1605" w:type="dxa"/>
            <w:noWrap/>
            <w:vAlign w:val="center"/>
          </w:tcPr>
          <w:p>
            <w:pPr>
              <w:jc w:val="center"/>
              <w:rPr>
                <w:rFonts w:ascii="方正仿宋_GBK" w:hAnsi="方正仿宋_GBK" w:eastAsia="方正仿宋_GBK" w:cs="方正仿宋_GBK"/>
                <w:color w:val="auto"/>
                <w:sz w:val="24"/>
                <w:highlight w:val="none"/>
              </w:rPr>
            </w:pPr>
          </w:p>
        </w:tc>
        <w:tc>
          <w:tcPr>
            <w:tcW w:w="1965" w:type="dxa"/>
            <w:noWrap/>
            <w:vAlign w:val="center"/>
          </w:tcPr>
          <w:p>
            <w:pPr>
              <w:jc w:val="center"/>
              <w:rPr>
                <w:rFonts w:ascii="方正仿宋_GBK" w:hAnsi="方正仿宋_GBK" w:eastAsia="方正仿宋_GBK" w:cs="方正仿宋_GBK"/>
                <w:color w:val="auto"/>
                <w:sz w:val="24"/>
                <w:highlight w:val="none"/>
              </w:rPr>
            </w:pPr>
          </w:p>
        </w:tc>
        <w:tc>
          <w:tcPr>
            <w:tcW w:w="2310" w:type="dxa"/>
            <w:noWrap/>
            <w:vAlign w:val="center"/>
          </w:tcPr>
          <w:p>
            <w:pPr>
              <w:jc w:val="center"/>
              <w:rPr>
                <w:rFonts w:ascii="方正仿宋_GBK" w:hAnsi="方正仿宋_GBK" w:eastAsia="方正仿宋_GBK" w:cs="方正仿宋_GBK"/>
                <w:color w:val="auto"/>
                <w:sz w:val="24"/>
                <w:highlight w:val="none"/>
              </w:rPr>
            </w:pPr>
          </w:p>
        </w:tc>
        <w:tc>
          <w:tcPr>
            <w:tcW w:w="7600"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07" w:type="dxa"/>
            <w:noWrap/>
            <w:vAlign w:val="center"/>
          </w:tcPr>
          <w:p>
            <w:pPr>
              <w:jc w:val="center"/>
              <w:rPr>
                <w:rFonts w:ascii="方正仿宋_GBK" w:hAnsi="方正仿宋_GBK" w:eastAsia="方正仿宋_GBK" w:cs="方正仿宋_GBK"/>
                <w:color w:val="auto"/>
                <w:sz w:val="24"/>
                <w:highlight w:val="none"/>
              </w:rPr>
            </w:pPr>
          </w:p>
        </w:tc>
        <w:tc>
          <w:tcPr>
            <w:tcW w:w="1605" w:type="dxa"/>
            <w:noWrap/>
            <w:vAlign w:val="center"/>
          </w:tcPr>
          <w:p>
            <w:pPr>
              <w:jc w:val="center"/>
              <w:rPr>
                <w:rFonts w:ascii="方正仿宋_GBK" w:hAnsi="方正仿宋_GBK" w:eastAsia="方正仿宋_GBK" w:cs="方正仿宋_GBK"/>
                <w:color w:val="auto"/>
                <w:sz w:val="24"/>
                <w:highlight w:val="none"/>
              </w:rPr>
            </w:pPr>
          </w:p>
        </w:tc>
        <w:tc>
          <w:tcPr>
            <w:tcW w:w="1965" w:type="dxa"/>
            <w:noWrap/>
            <w:vAlign w:val="center"/>
          </w:tcPr>
          <w:p>
            <w:pPr>
              <w:jc w:val="center"/>
              <w:rPr>
                <w:rFonts w:ascii="方正仿宋_GBK" w:hAnsi="方正仿宋_GBK" w:eastAsia="方正仿宋_GBK" w:cs="方正仿宋_GBK"/>
                <w:color w:val="auto"/>
                <w:sz w:val="24"/>
                <w:highlight w:val="none"/>
              </w:rPr>
            </w:pPr>
          </w:p>
        </w:tc>
        <w:tc>
          <w:tcPr>
            <w:tcW w:w="2310" w:type="dxa"/>
            <w:noWrap/>
            <w:vAlign w:val="center"/>
          </w:tcPr>
          <w:p>
            <w:pPr>
              <w:jc w:val="center"/>
              <w:rPr>
                <w:rFonts w:ascii="方正仿宋_GBK" w:hAnsi="方正仿宋_GBK" w:eastAsia="方正仿宋_GBK" w:cs="方正仿宋_GBK"/>
                <w:color w:val="auto"/>
                <w:sz w:val="24"/>
                <w:highlight w:val="none"/>
              </w:rPr>
            </w:pPr>
          </w:p>
        </w:tc>
        <w:tc>
          <w:tcPr>
            <w:tcW w:w="7600"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07" w:type="dxa"/>
            <w:noWrap/>
            <w:vAlign w:val="center"/>
          </w:tcPr>
          <w:p>
            <w:pPr>
              <w:jc w:val="center"/>
              <w:rPr>
                <w:rFonts w:ascii="方正仿宋_GBK" w:hAnsi="方正仿宋_GBK" w:eastAsia="方正仿宋_GBK" w:cs="方正仿宋_GBK"/>
                <w:color w:val="auto"/>
                <w:sz w:val="24"/>
                <w:highlight w:val="none"/>
              </w:rPr>
            </w:pPr>
          </w:p>
        </w:tc>
        <w:tc>
          <w:tcPr>
            <w:tcW w:w="1605" w:type="dxa"/>
            <w:noWrap/>
            <w:vAlign w:val="center"/>
          </w:tcPr>
          <w:p>
            <w:pPr>
              <w:jc w:val="center"/>
              <w:rPr>
                <w:rFonts w:ascii="方正仿宋_GBK" w:hAnsi="方正仿宋_GBK" w:eastAsia="方正仿宋_GBK" w:cs="方正仿宋_GBK"/>
                <w:color w:val="auto"/>
                <w:sz w:val="24"/>
                <w:highlight w:val="none"/>
              </w:rPr>
            </w:pPr>
          </w:p>
        </w:tc>
        <w:tc>
          <w:tcPr>
            <w:tcW w:w="1965" w:type="dxa"/>
            <w:noWrap/>
            <w:vAlign w:val="center"/>
          </w:tcPr>
          <w:p>
            <w:pPr>
              <w:jc w:val="center"/>
              <w:rPr>
                <w:rFonts w:ascii="方正仿宋_GBK" w:hAnsi="方正仿宋_GBK" w:eastAsia="方正仿宋_GBK" w:cs="方正仿宋_GBK"/>
                <w:color w:val="auto"/>
                <w:sz w:val="24"/>
                <w:highlight w:val="none"/>
              </w:rPr>
            </w:pPr>
          </w:p>
        </w:tc>
        <w:tc>
          <w:tcPr>
            <w:tcW w:w="2310" w:type="dxa"/>
            <w:noWrap/>
            <w:vAlign w:val="center"/>
          </w:tcPr>
          <w:p>
            <w:pPr>
              <w:jc w:val="center"/>
              <w:rPr>
                <w:rFonts w:ascii="方正仿宋_GBK" w:hAnsi="方正仿宋_GBK" w:eastAsia="方正仿宋_GBK" w:cs="方正仿宋_GBK"/>
                <w:color w:val="auto"/>
                <w:sz w:val="24"/>
                <w:highlight w:val="none"/>
              </w:rPr>
            </w:pPr>
          </w:p>
        </w:tc>
        <w:tc>
          <w:tcPr>
            <w:tcW w:w="7600"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07" w:type="dxa"/>
            <w:noWrap/>
            <w:vAlign w:val="center"/>
          </w:tcPr>
          <w:p>
            <w:pPr>
              <w:jc w:val="center"/>
              <w:rPr>
                <w:rFonts w:ascii="方正仿宋_GBK" w:hAnsi="方正仿宋_GBK" w:eastAsia="方正仿宋_GBK" w:cs="方正仿宋_GBK"/>
                <w:color w:val="auto"/>
                <w:sz w:val="24"/>
                <w:highlight w:val="none"/>
              </w:rPr>
            </w:pPr>
          </w:p>
        </w:tc>
        <w:tc>
          <w:tcPr>
            <w:tcW w:w="1605" w:type="dxa"/>
            <w:noWrap/>
            <w:vAlign w:val="center"/>
          </w:tcPr>
          <w:p>
            <w:pPr>
              <w:jc w:val="center"/>
              <w:rPr>
                <w:rFonts w:ascii="方正仿宋_GBK" w:hAnsi="方正仿宋_GBK" w:eastAsia="方正仿宋_GBK" w:cs="方正仿宋_GBK"/>
                <w:color w:val="auto"/>
                <w:sz w:val="24"/>
                <w:highlight w:val="none"/>
              </w:rPr>
            </w:pPr>
          </w:p>
        </w:tc>
        <w:tc>
          <w:tcPr>
            <w:tcW w:w="1965" w:type="dxa"/>
            <w:noWrap/>
            <w:vAlign w:val="center"/>
          </w:tcPr>
          <w:p>
            <w:pPr>
              <w:jc w:val="center"/>
              <w:rPr>
                <w:rFonts w:ascii="方正仿宋_GBK" w:hAnsi="方正仿宋_GBK" w:eastAsia="方正仿宋_GBK" w:cs="方正仿宋_GBK"/>
                <w:color w:val="auto"/>
                <w:sz w:val="24"/>
                <w:highlight w:val="none"/>
              </w:rPr>
            </w:pPr>
          </w:p>
        </w:tc>
        <w:tc>
          <w:tcPr>
            <w:tcW w:w="2310" w:type="dxa"/>
            <w:noWrap/>
            <w:vAlign w:val="center"/>
          </w:tcPr>
          <w:p>
            <w:pPr>
              <w:jc w:val="center"/>
              <w:rPr>
                <w:rFonts w:ascii="方正仿宋_GBK" w:hAnsi="方正仿宋_GBK" w:eastAsia="方正仿宋_GBK" w:cs="方正仿宋_GBK"/>
                <w:color w:val="auto"/>
                <w:sz w:val="24"/>
                <w:highlight w:val="none"/>
              </w:rPr>
            </w:pPr>
          </w:p>
        </w:tc>
        <w:tc>
          <w:tcPr>
            <w:tcW w:w="7600"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07" w:type="dxa"/>
            <w:noWrap/>
            <w:vAlign w:val="center"/>
          </w:tcPr>
          <w:p>
            <w:pPr>
              <w:jc w:val="center"/>
              <w:rPr>
                <w:rFonts w:ascii="方正仿宋_GBK" w:hAnsi="方正仿宋_GBK" w:eastAsia="方正仿宋_GBK" w:cs="方正仿宋_GBK"/>
                <w:color w:val="auto"/>
                <w:sz w:val="24"/>
                <w:highlight w:val="none"/>
              </w:rPr>
            </w:pPr>
          </w:p>
        </w:tc>
        <w:tc>
          <w:tcPr>
            <w:tcW w:w="1605" w:type="dxa"/>
            <w:noWrap/>
            <w:vAlign w:val="center"/>
          </w:tcPr>
          <w:p>
            <w:pPr>
              <w:jc w:val="center"/>
              <w:rPr>
                <w:rFonts w:ascii="方正仿宋_GBK" w:hAnsi="方正仿宋_GBK" w:eastAsia="方正仿宋_GBK" w:cs="方正仿宋_GBK"/>
                <w:color w:val="auto"/>
                <w:sz w:val="24"/>
                <w:highlight w:val="none"/>
              </w:rPr>
            </w:pPr>
          </w:p>
        </w:tc>
        <w:tc>
          <w:tcPr>
            <w:tcW w:w="1965" w:type="dxa"/>
            <w:noWrap/>
            <w:vAlign w:val="center"/>
          </w:tcPr>
          <w:p>
            <w:pPr>
              <w:jc w:val="center"/>
              <w:rPr>
                <w:rFonts w:ascii="方正仿宋_GBK" w:hAnsi="方正仿宋_GBK" w:eastAsia="方正仿宋_GBK" w:cs="方正仿宋_GBK"/>
                <w:color w:val="auto"/>
                <w:sz w:val="24"/>
                <w:highlight w:val="none"/>
              </w:rPr>
            </w:pPr>
          </w:p>
        </w:tc>
        <w:tc>
          <w:tcPr>
            <w:tcW w:w="2310" w:type="dxa"/>
            <w:noWrap/>
            <w:vAlign w:val="center"/>
          </w:tcPr>
          <w:p>
            <w:pPr>
              <w:jc w:val="center"/>
              <w:rPr>
                <w:rFonts w:ascii="方正仿宋_GBK" w:hAnsi="方正仿宋_GBK" w:eastAsia="方正仿宋_GBK" w:cs="方正仿宋_GBK"/>
                <w:color w:val="auto"/>
                <w:sz w:val="24"/>
                <w:highlight w:val="none"/>
              </w:rPr>
            </w:pPr>
          </w:p>
        </w:tc>
        <w:tc>
          <w:tcPr>
            <w:tcW w:w="7600"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07" w:type="dxa"/>
            <w:noWrap/>
            <w:vAlign w:val="center"/>
          </w:tcPr>
          <w:p>
            <w:pPr>
              <w:jc w:val="center"/>
              <w:rPr>
                <w:rFonts w:ascii="方正仿宋_GBK" w:hAnsi="方正仿宋_GBK" w:eastAsia="方正仿宋_GBK" w:cs="方正仿宋_GBK"/>
                <w:color w:val="auto"/>
                <w:sz w:val="24"/>
                <w:highlight w:val="none"/>
              </w:rPr>
            </w:pPr>
          </w:p>
        </w:tc>
        <w:tc>
          <w:tcPr>
            <w:tcW w:w="1605" w:type="dxa"/>
            <w:noWrap/>
            <w:vAlign w:val="center"/>
          </w:tcPr>
          <w:p>
            <w:pPr>
              <w:jc w:val="center"/>
              <w:rPr>
                <w:rFonts w:ascii="方正仿宋_GBK" w:hAnsi="方正仿宋_GBK" w:eastAsia="方正仿宋_GBK" w:cs="方正仿宋_GBK"/>
                <w:color w:val="auto"/>
                <w:sz w:val="24"/>
                <w:highlight w:val="none"/>
              </w:rPr>
            </w:pPr>
          </w:p>
        </w:tc>
        <w:tc>
          <w:tcPr>
            <w:tcW w:w="1965" w:type="dxa"/>
            <w:noWrap/>
            <w:vAlign w:val="center"/>
          </w:tcPr>
          <w:p>
            <w:pPr>
              <w:jc w:val="center"/>
              <w:rPr>
                <w:rFonts w:ascii="方正仿宋_GBK" w:hAnsi="方正仿宋_GBK" w:eastAsia="方正仿宋_GBK" w:cs="方正仿宋_GBK"/>
                <w:color w:val="auto"/>
                <w:sz w:val="24"/>
                <w:highlight w:val="none"/>
              </w:rPr>
            </w:pPr>
          </w:p>
        </w:tc>
        <w:tc>
          <w:tcPr>
            <w:tcW w:w="2310" w:type="dxa"/>
            <w:noWrap/>
            <w:vAlign w:val="center"/>
          </w:tcPr>
          <w:p>
            <w:pPr>
              <w:jc w:val="center"/>
              <w:rPr>
                <w:rFonts w:ascii="方正仿宋_GBK" w:hAnsi="方正仿宋_GBK" w:eastAsia="方正仿宋_GBK" w:cs="方正仿宋_GBK"/>
                <w:color w:val="auto"/>
                <w:sz w:val="24"/>
                <w:highlight w:val="none"/>
              </w:rPr>
            </w:pPr>
          </w:p>
        </w:tc>
        <w:tc>
          <w:tcPr>
            <w:tcW w:w="7600"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07" w:type="dxa"/>
            <w:noWrap/>
            <w:vAlign w:val="center"/>
          </w:tcPr>
          <w:p>
            <w:pPr>
              <w:jc w:val="center"/>
              <w:rPr>
                <w:rFonts w:ascii="方正仿宋_GBK" w:hAnsi="方正仿宋_GBK" w:eastAsia="方正仿宋_GBK" w:cs="方正仿宋_GBK"/>
                <w:color w:val="auto"/>
                <w:sz w:val="24"/>
                <w:highlight w:val="none"/>
              </w:rPr>
            </w:pPr>
          </w:p>
          <w:p>
            <w:pPr>
              <w:jc w:val="center"/>
              <w:rPr>
                <w:rFonts w:ascii="方正仿宋_GBK" w:hAnsi="方正仿宋_GBK" w:eastAsia="方正仿宋_GBK" w:cs="方正仿宋_GBK"/>
                <w:color w:val="auto"/>
                <w:sz w:val="24"/>
                <w:highlight w:val="none"/>
              </w:rPr>
            </w:pPr>
          </w:p>
        </w:tc>
        <w:tc>
          <w:tcPr>
            <w:tcW w:w="1605" w:type="dxa"/>
            <w:noWrap/>
            <w:vAlign w:val="center"/>
          </w:tcPr>
          <w:p>
            <w:pPr>
              <w:jc w:val="center"/>
              <w:rPr>
                <w:rFonts w:ascii="方正仿宋_GBK" w:hAnsi="方正仿宋_GBK" w:eastAsia="方正仿宋_GBK" w:cs="方正仿宋_GBK"/>
                <w:color w:val="auto"/>
                <w:sz w:val="24"/>
                <w:highlight w:val="none"/>
              </w:rPr>
            </w:pPr>
          </w:p>
        </w:tc>
        <w:tc>
          <w:tcPr>
            <w:tcW w:w="1965" w:type="dxa"/>
            <w:noWrap/>
            <w:vAlign w:val="center"/>
          </w:tcPr>
          <w:p>
            <w:pPr>
              <w:jc w:val="center"/>
              <w:rPr>
                <w:rFonts w:ascii="方正仿宋_GBK" w:hAnsi="方正仿宋_GBK" w:eastAsia="方正仿宋_GBK" w:cs="方正仿宋_GBK"/>
                <w:color w:val="auto"/>
                <w:sz w:val="24"/>
                <w:highlight w:val="none"/>
              </w:rPr>
            </w:pPr>
          </w:p>
        </w:tc>
        <w:tc>
          <w:tcPr>
            <w:tcW w:w="2310" w:type="dxa"/>
            <w:noWrap/>
            <w:vAlign w:val="center"/>
          </w:tcPr>
          <w:p>
            <w:pPr>
              <w:jc w:val="center"/>
              <w:rPr>
                <w:rFonts w:ascii="方正仿宋_GBK" w:hAnsi="方正仿宋_GBK" w:eastAsia="方正仿宋_GBK" w:cs="方正仿宋_GBK"/>
                <w:color w:val="auto"/>
                <w:sz w:val="24"/>
                <w:highlight w:val="none"/>
              </w:rPr>
            </w:pPr>
          </w:p>
        </w:tc>
        <w:tc>
          <w:tcPr>
            <w:tcW w:w="7600" w:type="dxa"/>
            <w:noWrap/>
            <w:vAlign w:val="center"/>
          </w:tcPr>
          <w:p>
            <w:pPr>
              <w:jc w:val="center"/>
              <w:rPr>
                <w:rFonts w:ascii="方正仿宋_GBK" w:hAnsi="方正仿宋_GBK" w:eastAsia="方正仿宋_GBK" w:cs="方正仿宋_GBK"/>
                <w:color w:val="auto"/>
                <w:sz w:val="24"/>
                <w:highlight w:val="none"/>
              </w:rPr>
            </w:pPr>
          </w:p>
        </w:tc>
      </w:tr>
    </w:tbl>
    <w:p>
      <w:pPr>
        <w:jc w:val="left"/>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接收单位：                                     接收人（签字）：                            日    期：</w:t>
      </w:r>
    </w:p>
    <w:p>
      <w:pPr>
        <w:jc w:val="center"/>
        <w:outlineLvl w:val="1"/>
        <w:rPr>
          <w:rFonts w:eastAsia="仿宋"/>
          <w:b/>
          <w:bCs/>
          <w:color w:val="auto"/>
          <w:sz w:val="28"/>
          <w:szCs w:val="28"/>
          <w:highlight w:val="none"/>
        </w:rPr>
      </w:pPr>
      <w:r>
        <w:rPr>
          <w:rFonts w:hint="eastAsia" w:ascii="微软雅黑" w:hAnsi="微软雅黑" w:eastAsia="微软雅黑" w:cs="微软雅黑"/>
          <w:color w:val="auto"/>
          <w:sz w:val="24"/>
          <w:highlight w:val="none"/>
        </w:rPr>
        <w:br w:type="page"/>
      </w:r>
      <w:bookmarkStart w:id="641" w:name="_Toc10709"/>
      <w:bookmarkStart w:id="642" w:name="_Toc5070"/>
      <w:bookmarkStart w:id="643" w:name="_Toc26192"/>
      <w:bookmarkStart w:id="644" w:name="_Toc19433"/>
      <w:bookmarkStart w:id="645" w:name="_Toc28099"/>
      <w:bookmarkStart w:id="646" w:name="_Toc22731"/>
      <w:bookmarkStart w:id="647" w:name="_Toc32278"/>
      <w:bookmarkStart w:id="648" w:name="_Toc378"/>
      <w:bookmarkStart w:id="649" w:name="_Toc79654135"/>
      <w:r>
        <w:rPr>
          <w:rFonts w:hint="eastAsia" w:eastAsia="仿宋"/>
          <w:b/>
          <w:bCs/>
          <w:color w:val="auto"/>
          <w:sz w:val="28"/>
          <w:szCs w:val="28"/>
          <w:highlight w:val="none"/>
        </w:rPr>
        <w:t>附录</w:t>
      </w:r>
      <w:r>
        <w:rPr>
          <w:rFonts w:eastAsia="仿宋"/>
          <w:b/>
          <w:bCs/>
          <w:color w:val="auto"/>
          <w:sz w:val="28"/>
          <w:szCs w:val="28"/>
          <w:highlight w:val="none"/>
        </w:rPr>
        <w:t xml:space="preserve">J </w:t>
      </w:r>
      <w:r>
        <w:rPr>
          <w:rFonts w:hint="eastAsia" w:eastAsia="仿宋"/>
          <w:b/>
          <w:bCs/>
          <w:color w:val="auto"/>
          <w:sz w:val="28"/>
          <w:szCs w:val="28"/>
          <w:highlight w:val="none"/>
        </w:rPr>
        <w:t>数据整合检查问题核实整改情况表</w:t>
      </w:r>
      <w:bookmarkEnd w:id="641"/>
      <w:bookmarkEnd w:id="642"/>
      <w:bookmarkEnd w:id="643"/>
      <w:bookmarkEnd w:id="644"/>
      <w:bookmarkEnd w:id="645"/>
      <w:bookmarkEnd w:id="646"/>
      <w:bookmarkEnd w:id="647"/>
      <w:bookmarkEnd w:id="648"/>
      <w:bookmarkEnd w:id="649"/>
    </w:p>
    <w:p>
      <w:pPr>
        <w:jc w:val="left"/>
        <w:rPr>
          <w:rFonts w:ascii="方正仿宋_GBK" w:hAnsi="方正仿宋_GBK" w:eastAsia="方正仿宋_GBK" w:cs="方正仿宋_GBK"/>
          <w:b/>
          <w:bCs/>
          <w:color w:val="auto"/>
          <w:sz w:val="24"/>
          <w:highlight w:val="none"/>
        </w:rPr>
      </w:pPr>
      <w:r>
        <w:rPr>
          <w:rFonts w:hint="eastAsia" w:ascii="方正仿宋_GBK" w:hAnsi="方正仿宋_GBK" w:eastAsia="方正仿宋_GBK" w:cs="方正仿宋_GBK"/>
          <w:color w:val="auto"/>
          <w:sz w:val="24"/>
          <w:highlight w:val="none"/>
        </w:rPr>
        <w:t xml:space="preserve">回执编号：                                  项目名称：                                      整改日期：                                       </w:t>
      </w:r>
    </w:p>
    <w:tbl>
      <w:tblPr>
        <w:tblStyle w:val="43"/>
        <w:tblW w:w="14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570"/>
        <w:gridCol w:w="1790"/>
        <w:gridCol w:w="2515"/>
        <w:gridCol w:w="5070"/>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37" w:type="dxa"/>
            <w:noWrap/>
            <w:vAlign w:val="center"/>
          </w:tcPr>
          <w:p>
            <w:pPr>
              <w:jc w:val="center"/>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序号</w:t>
            </w:r>
          </w:p>
        </w:tc>
        <w:tc>
          <w:tcPr>
            <w:tcW w:w="1570" w:type="dxa"/>
            <w:noWrap/>
            <w:vAlign w:val="center"/>
          </w:tcPr>
          <w:p>
            <w:pPr>
              <w:jc w:val="center"/>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图幅号</w:t>
            </w:r>
          </w:p>
        </w:tc>
        <w:tc>
          <w:tcPr>
            <w:tcW w:w="1790" w:type="dxa"/>
            <w:noWrap/>
            <w:vAlign w:val="center"/>
          </w:tcPr>
          <w:p>
            <w:pPr>
              <w:jc w:val="center"/>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相关管线类型</w:t>
            </w:r>
          </w:p>
        </w:tc>
        <w:tc>
          <w:tcPr>
            <w:tcW w:w="2515" w:type="dxa"/>
            <w:noWrap/>
            <w:vAlign w:val="center"/>
          </w:tcPr>
          <w:p>
            <w:pPr>
              <w:jc w:val="center"/>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相关点号</w:t>
            </w:r>
          </w:p>
        </w:tc>
        <w:tc>
          <w:tcPr>
            <w:tcW w:w="5070" w:type="dxa"/>
            <w:noWrap/>
            <w:vAlign w:val="center"/>
          </w:tcPr>
          <w:p>
            <w:pPr>
              <w:jc w:val="center"/>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检查问题描述</w:t>
            </w:r>
          </w:p>
        </w:tc>
        <w:tc>
          <w:tcPr>
            <w:tcW w:w="2825" w:type="dxa"/>
            <w:noWrap/>
            <w:vAlign w:val="center"/>
          </w:tcPr>
          <w:p>
            <w:pPr>
              <w:jc w:val="center"/>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整改完成情况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7" w:type="dxa"/>
            <w:noWrap/>
            <w:vAlign w:val="center"/>
          </w:tcPr>
          <w:p>
            <w:pPr>
              <w:jc w:val="center"/>
              <w:rPr>
                <w:rFonts w:ascii="方正仿宋_GBK" w:hAnsi="方正仿宋_GBK" w:eastAsia="方正仿宋_GBK" w:cs="方正仿宋_GBK"/>
                <w:color w:val="auto"/>
                <w:sz w:val="24"/>
                <w:highlight w:val="none"/>
              </w:rPr>
            </w:pPr>
          </w:p>
        </w:tc>
        <w:tc>
          <w:tcPr>
            <w:tcW w:w="1570" w:type="dxa"/>
            <w:noWrap/>
            <w:vAlign w:val="center"/>
          </w:tcPr>
          <w:p>
            <w:pPr>
              <w:jc w:val="center"/>
              <w:rPr>
                <w:rFonts w:ascii="方正仿宋_GBK" w:hAnsi="方正仿宋_GBK" w:eastAsia="方正仿宋_GBK" w:cs="方正仿宋_GBK"/>
                <w:color w:val="auto"/>
                <w:sz w:val="24"/>
                <w:highlight w:val="none"/>
              </w:rPr>
            </w:pPr>
          </w:p>
        </w:tc>
        <w:tc>
          <w:tcPr>
            <w:tcW w:w="1790" w:type="dxa"/>
            <w:noWrap/>
            <w:vAlign w:val="center"/>
          </w:tcPr>
          <w:p>
            <w:pPr>
              <w:jc w:val="center"/>
              <w:rPr>
                <w:rFonts w:ascii="方正仿宋_GBK" w:hAnsi="方正仿宋_GBK" w:eastAsia="方正仿宋_GBK" w:cs="方正仿宋_GBK"/>
                <w:color w:val="auto"/>
                <w:sz w:val="24"/>
                <w:highlight w:val="none"/>
              </w:rPr>
            </w:pPr>
          </w:p>
        </w:tc>
        <w:tc>
          <w:tcPr>
            <w:tcW w:w="2515" w:type="dxa"/>
            <w:noWrap/>
            <w:vAlign w:val="center"/>
          </w:tcPr>
          <w:p>
            <w:pPr>
              <w:jc w:val="center"/>
              <w:rPr>
                <w:rFonts w:ascii="方正仿宋_GBK" w:hAnsi="方正仿宋_GBK" w:eastAsia="方正仿宋_GBK" w:cs="方正仿宋_GBK"/>
                <w:color w:val="auto"/>
                <w:sz w:val="24"/>
                <w:highlight w:val="none"/>
              </w:rPr>
            </w:pPr>
          </w:p>
        </w:tc>
        <w:tc>
          <w:tcPr>
            <w:tcW w:w="5070" w:type="dxa"/>
            <w:noWrap/>
            <w:vAlign w:val="center"/>
          </w:tcPr>
          <w:p>
            <w:pPr>
              <w:jc w:val="center"/>
              <w:rPr>
                <w:rFonts w:ascii="方正仿宋_GBK" w:hAnsi="方正仿宋_GBK" w:eastAsia="方正仿宋_GBK" w:cs="方正仿宋_GBK"/>
                <w:color w:val="auto"/>
                <w:sz w:val="24"/>
                <w:highlight w:val="none"/>
              </w:rPr>
            </w:pPr>
          </w:p>
        </w:tc>
        <w:tc>
          <w:tcPr>
            <w:tcW w:w="2825"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7" w:type="dxa"/>
            <w:noWrap/>
            <w:vAlign w:val="center"/>
          </w:tcPr>
          <w:p>
            <w:pPr>
              <w:jc w:val="center"/>
              <w:rPr>
                <w:rFonts w:ascii="方正仿宋_GBK" w:hAnsi="方正仿宋_GBK" w:eastAsia="方正仿宋_GBK" w:cs="方正仿宋_GBK"/>
                <w:color w:val="auto"/>
                <w:sz w:val="24"/>
                <w:highlight w:val="none"/>
              </w:rPr>
            </w:pPr>
          </w:p>
        </w:tc>
        <w:tc>
          <w:tcPr>
            <w:tcW w:w="1570" w:type="dxa"/>
            <w:noWrap/>
            <w:vAlign w:val="center"/>
          </w:tcPr>
          <w:p>
            <w:pPr>
              <w:jc w:val="center"/>
              <w:rPr>
                <w:rFonts w:ascii="方正仿宋_GBK" w:hAnsi="方正仿宋_GBK" w:eastAsia="方正仿宋_GBK" w:cs="方正仿宋_GBK"/>
                <w:color w:val="auto"/>
                <w:sz w:val="24"/>
                <w:highlight w:val="none"/>
              </w:rPr>
            </w:pPr>
          </w:p>
        </w:tc>
        <w:tc>
          <w:tcPr>
            <w:tcW w:w="1790" w:type="dxa"/>
            <w:noWrap/>
            <w:vAlign w:val="center"/>
          </w:tcPr>
          <w:p>
            <w:pPr>
              <w:jc w:val="center"/>
              <w:rPr>
                <w:rFonts w:ascii="方正仿宋_GBK" w:hAnsi="方正仿宋_GBK" w:eastAsia="方正仿宋_GBK" w:cs="方正仿宋_GBK"/>
                <w:color w:val="auto"/>
                <w:sz w:val="24"/>
                <w:highlight w:val="none"/>
              </w:rPr>
            </w:pPr>
          </w:p>
        </w:tc>
        <w:tc>
          <w:tcPr>
            <w:tcW w:w="2515" w:type="dxa"/>
            <w:noWrap/>
            <w:vAlign w:val="center"/>
          </w:tcPr>
          <w:p>
            <w:pPr>
              <w:jc w:val="center"/>
              <w:rPr>
                <w:rFonts w:ascii="方正仿宋_GBK" w:hAnsi="方正仿宋_GBK" w:eastAsia="方正仿宋_GBK" w:cs="方正仿宋_GBK"/>
                <w:color w:val="auto"/>
                <w:sz w:val="24"/>
                <w:highlight w:val="none"/>
              </w:rPr>
            </w:pPr>
          </w:p>
        </w:tc>
        <w:tc>
          <w:tcPr>
            <w:tcW w:w="5070" w:type="dxa"/>
            <w:noWrap/>
            <w:vAlign w:val="center"/>
          </w:tcPr>
          <w:p>
            <w:pPr>
              <w:jc w:val="center"/>
              <w:rPr>
                <w:rFonts w:ascii="方正仿宋_GBK" w:hAnsi="方正仿宋_GBK" w:eastAsia="方正仿宋_GBK" w:cs="方正仿宋_GBK"/>
                <w:color w:val="auto"/>
                <w:sz w:val="24"/>
                <w:highlight w:val="none"/>
              </w:rPr>
            </w:pPr>
          </w:p>
        </w:tc>
        <w:tc>
          <w:tcPr>
            <w:tcW w:w="2825"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7" w:type="dxa"/>
            <w:noWrap/>
            <w:vAlign w:val="center"/>
          </w:tcPr>
          <w:p>
            <w:pPr>
              <w:jc w:val="center"/>
              <w:rPr>
                <w:rFonts w:ascii="方正仿宋_GBK" w:hAnsi="方正仿宋_GBK" w:eastAsia="方正仿宋_GBK" w:cs="方正仿宋_GBK"/>
                <w:color w:val="auto"/>
                <w:sz w:val="24"/>
                <w:highlight w:val="none"/>
              </w:rPr>
            </w:pPr>
          </w:p>
        </w:tc>
        <w:tc>
          <w:tcPr>
            <w:tcW w:w="1570" w:type="dxa"/>
            <w:noWrap/>
            <w:vAlign w:val="center"/>
          </w:tcPr>
          <w:p>
            <w:pPr>
              <w:jc w:val="center"/>
              <w:rPr>
                <w:rFonts w:ascii="方正仿宋_GBK" w:hAnsi="方正仿宋_GBK" w:eastAsia="方正仿宋_GBK" w:cs="方正仿宋_GBK"/>
                <w:color w:val="auto"/>
                <w:sz w:val="24"/>
                <w:highlight w:val="none"/>
              </w:rPr>
            </w:pPr>
          </w:p>
        </w:tc>
        <w:tc>
          <w:tcPr>
            <w:tcW w:w="1790" w:type="dxa"/>
            <w:noWrap/>
            <w:vAlign w:val="center"/>
          </w:tcPr>
          <w:p>
            <w:pPr>
              <w:jc w:val="center"/>
              <w:rPr>
                <w:rFonts w:ascii="方正仿宋_GBK" w:hAnsi="方正仿宋_GBK" w:eastAsia="方正仿宋_GBK" w:cs="方正仿宋_GBK"/>
                <w:color w:val="auto"/>
                <w:sz w:val="24"/>
                <w:highlight w:val="none"/>
              </w:rPr>
            </w:pPr>
          </w:p>
        </w:tc>
        <w:tc>
          <w:tcPr>
            <w:tcW w:w="2515" w:type="dxa"/>
            <w:noWrap/>
            <w:vAlign w:val="center"/>
          </w:tcPr>
          <w:p>
            <w:pPr>
              <w:jc w:val="center"/>
              <w:rPr>
                <w:rFonts w:ascii="方正仿宋_GBK" w:hAnsi="方正仿宋_GBK" w:eastAsia="方正仿宋_GBK" w:cs="方正仿宋_GBK"/>
                <w:color w:val="auto"/>
                <w:sz w:val="24"/>
                <w:highlight w:val="none"/>
              </w:rPr>
            </w:pPr>
          </w:p>
        </w:tc>
        <w:tc>
          <w:tcPr>
            <w:tcW w:w="5070" w:type="dxa"/>
            <w:noWrap/>
            <w:vAlign w:val="center"/>
          </w:tcPr>
          <w:p>
            <w:pPr>
              <w:jc w:val="center"/>
              <w:rPr>
                <w:rFonts w:ascii="方正仿宋_GBK" w:hAnsi="方正仿宋_GBK" w:eastAsia="方正仿宋_GBK" w:cs="方正仿宋_GBK"/>
                <w:color w:val="auto"/>
                <w:sz w:val="24"/>
                <w:highlight w:val="none"/>
              </w:rPr>
            </w:pPr>
          </w:p>
        </w:tc>
        <w:tc>
          <w:tcPr>
            <w:tcW w:w="2825"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7" w:type="dxa"/>
            <w:noWrap/>
            <w:vAlign w:val="center"/>
          </w:tcPr>
          <w:p>
            <w:pPr>
              <w:jc w:val="center"/>
              <w:rPr>
                <w:rFonts w:ascii="方正仿宋_GBK" w:hAnsi="方正仿宋_GBK" w:eastAsia="方正仿宋_GBK" w:cs="方正仿宋_GBK"/>
                <w:color w:val="auto"/>
                <w:sz w:val="24"/>
                <w:highlight w:val="none"/>
              </w:rPr>
            </w:pPr>
          </w:p>
        </w:tc>
        <w:tc>
          <w:tcPr>
            <w:tcW w:w="1570" w:type="dxa"/>
            <w:noWrap/>
            <w:vAlign w:val="center"/>
          </w:tcPr>
          <w:p>
            <w:pPr>
              <w:jc w:val="center"/>
              <w:rPr>
                <w:rFonts w:ascii="方正仿宋_GBK" w:hAnsi="方正仿宋_GBK" w:eastAsia="方正仿宋_GBK" w:cs="方正仿宋_GBK"/>
                <w:color w:val="auto"/>
                <w:sz w:val="24"/>
                <w:highlight w:val="none"/>
              </w:rPr>
            </w:pPr>
          </w:p>
        </w:tc>
        <w:tc>
          <w:tcPr>
            <w:tcW w:w="1790" w:type="dxa"/>
            <w:noWrap/>
            <w:vAlign w:val="center"/>
          </w:tcPr>
          <w:p>
            <w:pPr>
              <w:jc w:val="center"/>
              <w:rPr>
                <w:rFonts w:ascii="方正仿宋_GBK" w:hAnsi="方正仿宋_GBK" w:eastAsia="方正仿宋_GBK" w:cs="方正仿宋_GBK"/>
                <w:color w:val="auto"/>
                <w:sz w:val="24"/>
                <w:highlight w:val="none"/>
              </w:rPr>
            </w:pPr>
          </w:p>
        </w:tc>
        <w:tc>
          <w:tcPr>
            <w:tcW w:w="2515" w:type="dxa"/>
            <w:noWrap/>
            <w:vAlign w:val="center"/>
          </w:tcPr>
          <w:p>
            <w:pPr>
              <w:jc w:val="center"/>
              <w:rPr>
                <w:rFonts w:ascii="方正仿宋_GBK" w:hAnsi="方正仿宋_GBK" w:eastAsia="方正仿宋_GBK" w:cs="方正仿宋_GBK"/>
                <w:color w:val="auto"/>
                <w:sz w:val="24"/>
                <w:highlight w:val="none"/>
              </w:rPr>
            </w:pPr>
          </w:p>
        </w:tc>
        <w:tc>
          <w:tcPr>
            <w:tcW w:w="5070" w:type="dxa"/>
            <w:noWrap/>
            <w:vAlign w:val="center"/>
          </w:tcPr>
          <w:p>
            <w:pPr>
              <w:jc w:val="center"/>
              <w:rPr>
                <w:rFonts w:ascii="方正仿宋_GBK" w:hAnsi="方正仿宋_GBK" w:eastAsia="方正仿宋_GBK" w:cs="方正仿宋_GBK"/>
                <w:color w:val="auto"/>
                <w:sz w:val="24"/>
                <w:highlight w:val="none"/>
              </w:rPr>
            </w:pPr>
          </w:p>
        </w:tc>
        <w:tc>
          <w:tcPr>
            <w:tcW w:w="2825"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7" w:type="dxa"/>
            <w:noWrap/>
            <w:vAlign w:val="center"/>
          </w:tcPr>
          <w:p>
            <w:pPr>
              <w:jc w:val="center"/>
              <w:rPr>
                <w:rFonts w:ascii="方正仿宋_GBK" w:hAnsi="方正仿宋_GBK" w:eastAsia="方正仿宋_GBK" w:cs="方正仿宋_GBK"/>
                <w:color w:val="auto"/>
                <w:sz w:val="24"/>
                <w:highlight w:val="none"/>
              </w:rPr>
            </w:pPr>
          </w:p>
        </w:tc>
        <w:tc>
          <w:tcPr>
            <w:tcW w:w="1570" w:type="dxa"/>
            <w:noWrap/>
            <w:vAlign w:val="center"/>
          </w:tcPr>
          <w:p>
            <w:pPr>
              <w:jc w:val="center"/>
              <w:rPr>
                <w:rFonts w:ascii="方正仿宋_GBK" w:hAnsi="方正仿宋_GBK" w:eastAsia="方正仿宋_GBK" w:cs="方正仿宋_GBK"/>
                <w:color w:val="auto"/>
                <w:sz w:val="24"/>
                <w:highlight w:val="none"/>
              </w:rPr>
            </w:pPr>
          </w:p>
        </w:tc>
        <w:tc>
          <w:tcPr>
            <w:tcW w:w="1790" w:type="dxa"/>
            <w:noWrap/>
            <w:vAlign w:val="center"/>
          </w:tcPr>
          <w:p>
            <w:pPr>
              <w:jc w:val="center"/>
              <w:rPr>
                <w:rFonts w:ascii="方正仿宋_GBK" w:hAnsi="方正仿宋_GBK" w:eastAsia="方正仿宋_GBK" w:cs="方正仿宋_GBK"/>
                <w:color w:val="auto"/>
                <w:sz w:val="24"/>
                <w:highlight w:val="none"/>
              </w:rPr>
            </w:pPr>
          </w:p>
        </w:tc>
        <w:tc>
          <w:tcPr>
            <w:tcW w:w="2515" w:type="dxa"/>
            <w:noWrap/>
            <w:vAlign w:val="center"/>
          </w:tcPr>
          <w:p>
            <w:pPr>
              <w:jc w:val="center"/>
              <w:rPr>
                <w:rFonts w:ascii="方正仿宋_GBK" w:hAnsi="方正仿宋_GBK" w:eastAsia="方正仿宋_GBK" w:cs="方正仿宋_GBK"/>
                <w:color w:val="auto"/>
                <w:sz w:val="24"/>
                <w:highlight w:val="none"/>
              </w:rPr>
            </w:pPr>
          </w:p>
        </w:tc>
        <w:tc>
          <w:tcPr>
            <w:tcW w:w="5070" w:type="dxa"/>
            <w:noWrap/>
            <w:vAlign w:val="center"/>
          </w:tcPr>
          <w:p>
            <w:pPr>
              <w:jc w:val="center"/>
              <w:rPr>
                <w:rFonts w:ascii="方正仿宋_GBK" w:hAnsi="方正仿宋_GBK" w:eastAsia="方正仿宋_GBK" w:cs="方正仿宋_GBK"/>
                <w:color w:val="auto"/>
                <w:sz w:val="24"/>
                <w:highlight w:val="none"/>
              </w:rPr>
            </w:pPr>
          </w:p>
        </w:tc>
        <w:tc>
          <w:tcPr>
            <w:tcW w:w="2825"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7" w:type="dxa"/>
            <w:noWrap/>
            <w:vAlign w:val="center"/>
          </w:tcPr>
          <w:p>
            <w:pPr>
              <w:jc w:val="center"/>
              <w:rPr>
                <w:rFonts w:ascii="方正仿宋_GBK" w:hAnsi="方正仿宋_GBK" w:eastAsia="方正仿宋_GBK" w:cs="方正仿宋_GBK"/>
                <w:color w:val="auto"/>
                <w:sz w:val="24"/>
                <w:highlight w:val="none"/>
              </w:rPr>
            </w:pPr>
          </w:p>
        </w:tc>
        <w:tc>
          <w:tcPr>
            <w:tcW w:w="1570" w:type="dxa"/>
            <w:noWrap/>
            <w:vAlign w:val="center"/>
          </w:tcPr>
          <w:p>
            <w:pPr>
              <w:jc w:val="center"/>
              <w:rPr>
                <w:rFonts w:ascii="方正仿宋_GBK" w:hAnsi="方正仿宋_GBK" w:eastAsia="方正仿宋_GBK" w:cs="方正仿宋_GBK"/>
                <w:color w:val="auto"/>
                <w:sz w:val="24"/>
                <w:highlight w:val="none"/>
              </w:rPr>
            </w:pPr>
          </w:p>
        </w:tc>
        <w:tc>
          <w:tcPr>
            <w:tcW w:w="1790" w:type="dxa"/>
            <w:noWrap/>
            <w:vAlign w:val="center"/>
          </w:tcPr>
          <w:p>
            <w:pPr>
              <w:jc w:val="center"/>
              <w:rPr>
                <w:rFonts w:ascii="方正仿宋_GBK" w:hAnsi="方正仿宋_GBK" w:eastAsia="方正仿宋_GBK" w:cs="方正仿宋_GBK"/>
                <w:color w:val="auto"/>
                <w:sz w:val="24"/>
                <w:highlight w:val="none"/>
              </w:rPr>
            </w:pPr>
          </w:p>
        </w:tc>
        <w:tc>
          <w:tcPr>
            <w:tcW w:w="2515" w:type="dxa"/>
            <w:noWrap/>
            <w:vAlign w:val="center"/>
          </w:tcPr>
          <w:p>
            <w:pPr>
              <w:jc w:val="center"/>
              <w:rPr>
                <w:rFonts w:ascii="方正仿宋_GBK" w:hAnsi="方正仿宋_GBK" w:eastAsia="方正仿宋_GBK" w:cs="方正仿宋_GBK"/>
                <w:color w:val="auto"/>
                <w:sz w:val="24"/>
                <w:highlight w:val="none"/>
              </w:rPr>
            </w:pPr>
          </w:p>
        </w:tc>
        <w:tc>
          <w:tcPr>
            <w:tcW w:w="5070" w:type="dxa"/>
            <w:noWrap/>
            <w:vAlign w:val="center"/>
          </w:tcPr>
          <w:p>
            <w:pPr>
              <w:jc w:val="center"/>
              <w:rPr>
                <w:rFonts w:ascii="方正仿宋_GBK" w:hAnsi="方正仿宋_GBK" w:eastAsia="方正仿宋_GBK" w:cs="方正仿宋_GBK"/>
                <w:color w:val="auto"/>
                <w:sz w:val="24"/>
                <w:highlight w:val="none"/>
              </w:rPr>
            </w:pPr>
          </w:p>
        </w:tc>
        <w:tc>
          <w:tcPr>
            <w:tcW w:w="2825"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7" w:type="dxa"/>
            <w:noWrap/>
            <w:vAlign w:val="center"/>
          </w:tcPr>
          <w:p>
            <w:pPr>
              <w:jc w:val="center"/>
              <w:rPr>
                <w:rFonts w:ascii="方正仿宋_GBK" w:hAnsi="方正仿宋_GBK" w:eastAsia="方正仿宋_GBK" w:cs="方正仿宋_GBK"/>
                <w:color w:val="auto"/>
                <w:sz w:val="24"/>
                <w:highlight w:val="none"/>
              </w:rPr>
            </w:pPr>
          </w:p>
        </w:tc>
        <w:tc>
          <w:tcPr>
            <w:tcW w:w="1570" w:type="dxa"/>
            <w:noWrap/>
            <w:vAlign w:val="center"/>
          </w:tcPr>
          <w:p>
            <w:pPr>
              <w:jc w:val="center"/>
              <w:rPr>
                <w:rFonts w:ascii="方正仿宋_GBK" w:hAnsi="方正仿宋_GBK" w:eastAsia="方正仿宋_GBK" w:cs="方正仿宋_GBK"/>
                <w:color w:val="auto"/>
                <w:sz w:val="24"/>
                <w:highlight w:val="none"/>
              </w:rPr>
            </w:pPr>
          </w:p>
        </w:tc>
        <w:tc>
          <w:tcPr>
            <w:tcW w:w="1790" w:type="dxa"/>
            <w:noWrap/>
            <w:vAlign w:val="center"/>
          </w:tcPr>
          <w:p>
            <w:pPr>
              <w:jc w:val="center"/>
              <w:rPr>
                <w:rFonts w:ascii="方正仿宋_GBK" w:hAnsi="方正仿宋_GBK" w:eastAsia="方正仿宋_GBK" w:cs="方正仿宋_GBK"/>
                <w:color w:val="auto"/>
                <w:sz w:val="24"/>
                <w:highlight w:val="none"/>
              </w:rPr>
            </w:pPr>
          </w:p>
        </w:tc>
        <w:tc>
          <w:tcPr>
            <w:tcW w:w="2515" w:type="dxa"/>
            <w:noWrap/>
            <w:vAlign w:val="center"/>
          </w:tcPr>
          <w:p>
            <w:pPr>
              <w:jc w:val="center"/>
              <w:rPr>
                <w:rFonts w:ascii="方正仿宋_GBK" w:hAnsi="方正仿宋_GBK" w:eastAsia="方正仿宋_GBK" w:cs="方正仿宋_GBK"/>
                <w:color w:val="auto"/>
                <w:sz w:val="24"/>
                <w:highlight w:val="none"/>
              </w:rPr>
            </w:pPr>
          </w:p>
        </w:tc>
        <w:tc>
          <w:tcPr>
            <w:tcW w:w="5070" w:type="dxa"/>
            <w:noWrap/>
            <w:vAlign w:val="center"/>
          </w:tcPr>
          <w:p>
            <w:pPr>
              <w:jc w:val="center"/>
              <w:rPr>
                <w:rFonts w:ascii="方正仿宋_GBK" w:hAnsi="方正仿宋_GBK" w:eastAsia="方正仿宋_GBK" w:cs="方正仿宋_GBK"/>
                <w:color w:val="auto"/>
                <w:sz w:val="24"/>
                <w:highlight w:val="none"/>
              </w:rPr>
            </w:pPr>
          </w:p>
        </w:tc>
        <w:tc>
          <w:tcPr>
            <w:tcW w:w="2825"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7" w:type="dxa"/>
            <w:noWrap/>
            <w:vAlign w:val="center"/>
          </w:tcPr>
          <w:p>
            <w:pPr>
              <w:jc w:val="center"/>
              <w:rPr>
                <w:rFonts w:ascii="方正仿宋_GBK" w:hAnsi="方正仿宋_GBK" w:eastAsia="方正仿宋_GBK" w:cs="方正仿宋_GBK"/>
                <w:color w:val="auto"/>
                <w:sz w:val="24"/>
                <w:highlight w:val="none"/>
              </w:rPr>
            </w:pPr>
          </w:p>
        </w:tc>
        <w:tc>
          <w:tcPr>
            <w:tcW w:w="1570" w:type="dxa"/>
            <w:noWrap/>
            <w:vAlign w:val="center"/>
          </w:tcPr>
          <w:p>
            <w:pPr>
              <w:jc w:val="center"/>
              <w:rPr>
                <w:rFonts w:ascii="方正仿宋_GBK" w:hAnsi="方正仿宋_GBK" w:eastAsia="方正仿宋_GBK" w:cs="方正仿宋_GBK"/>
                <w:color w:val="auto"/>
                <w:sz w:val="24"/>
                <w:highlight w:val="none"/>
              </w:rPr>
            </w:pPr>
          </w:p>
        </w:tc>
        <w:tc>
          <w:tcPr>
            <w:tcW w:w="1790" w:type="dxa"/>
            <w:noWrap/>
            <w:vAlign w:val="center"/>
          </w:tcPr>
          <w:p>
            <w:pPr>
              <w:jc w:val="center"/>
              <w:rPr>
                <w:rFonts w:ascii="方正仿宋_GBK" w:hAnsi="方正仿宋_GBK" w:eastAsia="方正仿宋_GBK" w:cs="方正仿宋_GBK"/>
                <w:color w:val="auto"/>
                <w:sz w:val="24"/>
                <w:highlight w:val="none"/>
              </w:rPr>
            </w:pPr>
          </w:p>
        </w:tc>
        <w:tc>
          <w:tcPr>
            <w:tcW w:w="2515" w:type="dxa"/>
            <w:noWrap/>
            <w:vAlign w:val="center"/>
          </w:tcPr>
          <w:p>
            <w:pPr>
              <w:jc w:val="center"/>
              <w:rPr>
                <w:rFonts w:ascii="方正仿宋_GBK" w:hAnsi="方正仿宋_GBK" w:eastAsia="方正仿宋_GBK" w:cs="方正仿宋_GBK"/>
                <w:color w:val="auto"/>
                <w:sz w:val="24"/>
                <w:highlight w:val="none"/>
              </w:rPr>
            </w:pPr>
          </w:p>
        </w:tc>
        <w:tc>
          <w:tcPr>
            <w:tcW w:w="5070" w:type="dxa"/>
            <w:noWrap/>
            <w:vAlign w:val="center"/>
          </w:tcPr>
          <w:p>
            <w:pPr>
              <w:jc w:val="center"/>
              <w:rPr>
                <w:rFonts w:ascii="方正仿宋_GBK" w:hAnsi="方正仿宋_GBK" w:eastAsia="方正仿宋_GBK" w:cs="方正仿宋_GBK"/>
                <w:color w:val="auto"/>
                <w:sz w:val="24"/>
                <w:highlight w:val="none"/>
              </w:rPr>
            </w:pPr>
          </w:p>
        </w:tc>
        <w:tc>
          <w:tcPr>
            <w:tcW w:w="2825" w:type="dxa"/>
            <w:noWrap/>
            <w:vAlign w:val="center"/>
          </w:tcPr>
          <w:p>
            <w:pPr>
              <w:jc w:val="center"/>
              <w:rPr>
                <w:rFonts w:ascii="方正仿宋_GBK" w:hAnsi="方正仿宋_GBK" w:eastAsia="方正仿宋_GBK" w:cs="方正仿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7" w:type="dxa"/>
            <w:noWrap/>
            <w:vAlign w:val="center"/>
          </w:tcPr>
          <w:p>
            <w:pPr>
              <w:jc w:val="center"/>
              <w:rPr>
                <w:rFonts w:ascii="方正仿宋_GBK" w:hAnsi="方正仿宋_GBK" w:eastAsia="方正仿宋_GBK" w:cs="方正仿宋_GBK"/>
                <w:color w:val="auto"/>
                <w:sz w:val="24"/>
                <w:highlight w:val="none"/>
              </w:rPr>
            </w:pPr>
          </w:p>
          <w:p>
            <w:pPr>
              <w:jc w:val="center"/>
              <w:rPr>
                <w:rFonts w:ascii="方正仿宋_GBK" w:hAnsi="方正仿宋_GBK" w:eastAsia="方正仿宋_GBK" w:cs="方正仿宋_GBK"/>
                <w:color w:val="auto"/>
                <w:sz w:val="24"/>
                <w:highlight w:val="none"/>
              </w:rPr>
            </w:pPr>
          </w:p>
        </w:tc>
        <w:tc>
          <w:tcPr>
            <w:tcW w:w="1570" w:type="dxa"/>
            <w:noWrap/>
            <w:vAlign w:val="center"/>
          </w:tcPr>
          <w:p>
            <w:pPr>
              <w:jc w:val="center"/>
              <w:rPr>
                <w:rFonts w:ascii="方正仿宋_GBK" w:hAnsi="方正仿宋_GBK" w:eastAsia="方正仿宋_GBK" w:cs="方正仿宋_GBK"/>
                <w:color w:val="auto"/>
                <w:sz w:val="24"/>
                <w:highlight w:val="none"/>
              </w:rPr>
            </w:pPr>
          </w:p>
        </w:tc>
        <w:tc>
          <w:tcPr>
            <w:tcW w:w="1790" w:type="dxa"/>
            <w:noWrap/>
            <w:vAlign w:val="center"/>
          </w:tcPr>
          <w:p>
            <w:pPr>
              <w:jc w:val="center"/>
              <w:rPr>
                <w:rFonts w:ascii="方正仿宋_GBK" w:hAnsi="方正仿宋_GBK" w:eastAsia="方正仿宋_GBK" w:cs="方正仿宋_GBK"/>
                <w:color w:val="auto"/>
                <w:sz w:val="24"/>
                <w:highlight w:val="none"/>
              </w:rPr>
            </w:pPr>
          </w:p>
        </w:tc>
        <w:tc>
          <w:tcPr>
            <w:tcW w:w="2515" w:type="dxa"/>
            <w:noWrap/>
            <w:vAlign w:val="center"/>
          </w:tcPr>
          <w:p>
            <w:pPr>
              <w:jc w:val="center"/>
              <w:rPr>
                <w:rFonts w:ascii="方正仿宋_GBK" w:hAnsi="方正仿宋_GBK" w:eastAsia="方正仿宋_GBK" w:cs="方正仿宋_GBK"/>
                <w:color w:val="auto"/>
                <w:sz w:val="24"/>
                <w:highlight w:val="none"/>
              </w:rPr>
            </w:pPr>
          </w:p>
        </w:tc>
        <w:tc>
          <w:tcPr>
            <w:tcW w:w="5070" w:type="dxa"/>
            <w:noWrap/>
            <w:vAlign w:val="center"/>
          </w:tcPr>
          <w:p>
            <w:pPr>
              <w:jc w:val="center"/>
              <w:rPr>
                <w:rFonts w:ascii="方正仿宋_GBK" w:hAnsi="方正仿宋_GBK" w:eastAsia="方正仿宋_GBK" w:cs="方正仿宋_GBK"/>
                <w:color w:val="auto"/>
                <w:sz w:val="24"/>
                <w:highlight w:val="none"/>
              </w:rPr>
            </w:pPr>
          </w:p>
        </w:tc>
        <w:tc>
          <w:tcPr>
            <w:tcW w:w="2825" w:type="dxa"/>
            <w:noWrap/>
            <w:vAlign w:val="center"/>
          </w:tcPr>
          <w:p>
            <w:pPr>
              <w:jc w:val="center"/>
              <w:rPr>
                <w:rFonts w:ascii="方正仿宋_GBK" w:hAnsi="方正仿宋_GBK" w:eastAsia="方正仿宋_GBK" w:cs="方正仿宋_GBK"/>
                <w:color w:val="auto"/>
                <w:sz w:val="24"/>
                <w:highlight w:val="none"/>
              </w:rPr>
            </w:pPr>
          </w:p>
        </w:tc>
      </w:tr>
    </w:tbl>
    <w:p>
      <w:pPr>
        <w:jc w:val="left"/>
        <w:rPr>
          <w:rFonts w:ascii="方正仿宋_GBK" w:hAnsi="方正仿宋_GBK" w:eastAsia="方正仿宋_GBK" w:cs="方正仿宋_GBK"/>
          <w:color w:val="auto"/>
          <w:sz w:val="24"/>
          <w:highlight w:val="none"/>
        </w:rPr>
        <w:sectPr>
          <w:pgSz w:w="16838" w:h="11906" w:orient="landscape"/>
          <w:pgMar w:top="1417" w:right="1134" w:bottom="850" w:left="1134" w:header="851" w:footer="992" w:gutter="0"/>
          <w:cols w:space="720" w:num="1"/>
          <w:docGrid w:type="lines" w:linePitch="327" w:charSpace="0"/>
        </w:sectPr>
      </w:pPr>
      <w:r>
        <w:rPr>
          <w:rFonts w:hint="eastAsia" w:ascii="方正仿宋_GBK" w:hAnsi="方正仿宋_GBK" w:eastAsia="方正仿宋_GBK" w:cs="方正仿宋_GBK"/>
          <w:color w:val="auto"/>
          <w:sz w:val="24"/>
          <w:highlight w:val="none"/>
        </w:rPr>
        <w:t>主管部门：                     负责人（签字）：                普查作业单位：                     整改人（签字）：</w:t>
      </w:r>
    </w:p>
    <w:p>
      <w:pPr>
        <w:jc w:val="center"/>
        <w:outlineLvl w:val="1"/>
        <w:rPr>
          <w:rFonts w:eastAsia="仿宋"/>
          <w:b/>
          <w:bCs/>
          <w:color w:val="auto"/>
          <w:sz w:val="28"/>
          <w:szCs w:val="28"/>
          <w:highlight w:val="none"/>
        </w:rPr>
      </w:pPr>
      <w:bookmarkStart w:id="650" w:name="_Toc8556"/>
      <w:bookmarkStart w:id="651" w:name="_Toc7628"/>
      <w:bookmarkStart w:id="652" w:name="_Toc18327"/>
      <w:bookmarkStart w:id="653" w:name="_Toc19141"/>
      <w:bookmarkStart w:id="654" w:name="_Toc12501"/>
      <w:bookmarkStart w:id="655" w:name="_Toc22487"/>
      <w:bookmarkStart w:id="656" w:name="_Toc12760"/>
      <w:bookmarkStart w:id="657" w:name="_Toc18547"/>
      <w:bookmarkStart w:id="658" w:name="_Toc79654136"/>
      <w:r>
        <w:rPr>
          <w:rFonts w:hint="eastAsia" w:eastAsia="仿宋"/>
          <w:b/>
          <w:bCs/>
          <w:color w:val="auto"/>
          <w:sz w:val="28"/>
          <w:szCs w:val="28"/>
          <w:highlight w:val="none"/>
        </w:rPr>
        <w:t>附录</w:t>
      </w:r>
      <w:r>
        <w:rPr>
          <w:rFonts w:eastAsia="仿宋"/>
          <w:b/>
          <w:bCs/>
          <w:color w:val="auto"/>
          <w:sz w:val="28"/>
          <w:szCs w:val="28"/>
          <w:highlight w:val="none"/>
        </w:rPr>
        <w:t xml:space="preserve">K </w:t>
      </w:r>
      <w:r>
        <w:rPr>
          <w:rFonts w:hint="eastAsia" w:ascii="仿宋" w:hAnsi="仿宋" w:eastAsia="仿宋" w:cs="仿宋"/>
          <w:b/>
          <w:bCs/>
          <w:color w:val="auto"/>
          <w:sz w:val="32"/>
          <w:szCs w:val="32"/>
          <w:highlight w:val="none"/>
        </w:rPr>
        <w:t>成都市1:500  1:1000  1:2000地形图分幅技术规定(2020)</w:t>
      </w:r>
      <w:bookmarkEnd w:id="650"/>
      <w:bookmarkEnd w:id="651"/>
      <w:bookmarkEnd w:id="652"/>
      <w:bookmarkEnd w:id="653"/>
      <w:bookmarkEnd w:id="654"/>
      <w:bookmarkEnd w:id="655"/>
      <w:bookmarkEnd w:id="656"/>
      <w:bookmarkEnd w:id="657"/>
      <w:bookmarkEnd w:id="658"/>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一、总则</w:t>
      </w:r>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为加强测绘管理，保障成都市测绘产品生产更新的顺利实施，实现测绘成果的共享，特制定本规定。</w:t>
      </w:r>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成都市市域范围内使用财政资金完成的1:500 1:1000 1:2000比例尺地形图，需要分幅的，必须符合本规定要求。</w:t>
      </w:r>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二、标准的依据</w:t>
      </w:r>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《国家基本比例尺地图图式 第1部分1:500 1:1000 1:2000地形图图式》GBT 20257.1-2017</w:t>
      </w:r>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三、分幅标准</w:t>
      </w:r>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（一）分幅方法</w:t>
      </w:r>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成都市1:500、1:1000、1:2000比例尺地形图在1:5000地形图分幅基础上采用正方形分幅。1:5000图幅大小为40厘米×40厘米，其它比例尺图幅大小为50厘米×50厘米，即一幅1:500地形图实地面积0.0625平方千米，一幅1:1000地形图实地面积0.25平方千米，一幅1:2000地形图实地面积1.0平方千米。</w:t>
      </w:r>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（二）编号方法</w:t>
      </w:r>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成都市市域内测制的地形图，应在成都市平面坐标系下分幅。</w:t>
      </w:r>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成都平面坐标系（中带）编号方法</w:t>
      </w:r>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成都平面坐标系（中带）的地形图，分幅编号采用坐标公里数编号法。以1:5000地形图图廓西南角点的成都市平面坐标数字（坐标为整数，用阿拉伯数字，以㎞为单位）作为基础图号，并且作为包括于本图幅中1:500～1:2000比例尺图的基本图号。</w:t>
      </w:r>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（1）在1:5000比例尺图的基本图号之末尾，按从左至右，从上到下的顺序，附加一个子号数字（用罗马数字Ⅰ、Ⅱ、Ⅲ、Ⅳ）作为1: 2000比例尺图的图号。</w:t>
      </w:r>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（2）在1:2000比例尺图的基本图号之末尾，按从左至右，从上到下的顺序，附加一个子号数字（用罗马数字Ⅰ、Ⅱ、Ⅲ、Ⅳ）作为1: 1000比例尺图的图号。</w:t>
      </w:r>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（3）在1:1000比例尺图的基本图号之末尾，按从左至右，从上到下的顺序，附加一个子号数字（罗马数字Ⅰ、Ⅱ、Ⅲ、Ⅳ）作为1: 500比例尺图的图号。</w:t>
      </w:r>
    </w:p>
    <w:p>
      <w:pPr>
        <w:pStyle w:val="23"/>
        <w:spacing w:line="360" w:lineRule="auto"/>
        <w:ind w:firstLine="560" w:firstLineChars="200"/>
        <w:jc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drawing>
          <wp:inline distT="0" distB="0" distL="114300" distR="114300">
            <wp:extent cx="3009900" cy="2695575"/>
            <wp:effectExtent l="0" t="0" r="0" b="9525"/>
            <wp:docPr id="241" name="图片 241" descr="中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中带.jpg"/>
                    <pic:cNvPicPr>
                      <a:picLocks noChangeAspect="1"/>
                    </pic:cNvPicPr>
                  </pic:nvPicPr>
                  <pic:blipFill>
                    <a:blip r:embed="rId131"/>
                    <a:stretch>
                      <a:fillRect/>
                    </a:stretch>
                  </pic:blipFill>
                  <pic:spPr>
                    <a:xfrm>
                      <a:off x="0" y="0"/>
                      <a:ext cx="3009900" cy="2695575"/>
                    </a:xfrm>
                    <a:prstGeom prst="rect">
                      <a:avLst/>
                    </a:prstGeom>
                    <a:noFill/>
                    <a:ln>
                      <a:noFill/>
                    </a:ln>
                  </pic:spPr>
                </pic:pic>
              </a:graphicData>
            </a:graphic>
          </wp:inline>
        </w:drawing>
      </w:r>
    </w:p>
    <w:p>
      <w:pPr>
        <w:pStyle w:val="23"/>
        <w:spacing w:line="360" w:lineRule="auto"/>
        <w:ind w:firstLine="480" w:firstLineChars="200"/>
        <w:jc w:val="center"/>
        <w:rPr>
          <w:rFonts w:ascii="仿宋" w:hAnsi="仿宋" w:eastAsia="仿宋" w:cs="仿宋"/>
          <w:color w:val="auto"/>
          <w:sz w:val="28"/>
          <w:szCs w:val="28"/>
          <w:highlight w:val="none"/>
        </w:rPr>
      </w:pPr>
      <w:r>
        <w:rPr>
          <w:rFonts w:hint="eastAsia" w:ascii="仿宋" w:hAnsi="仿宋" w:eastAsia="仿宋" w:cs="仿宋"/>
          <w:color w:val="auto"/>
          <w:sz w:val="24"/>
          <w:highlight w:val="none"/>
        </w:rPr>
        <w:t>图1成都平面坐标系（中带）编号示意图</w:t>
      </w:r>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图1是成都平面坐标系（中带）编号示意图。其中，1：5000图幅号为218-220，1：2000图幅号为218-220-Ⅱ，1：500图幅号为218-220-Ⅱ-Ⅲ-Ⅰ。</w:t>
      </w:r>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成都平面坐标系（东带）和成都平面坐标系（西带）编号方法</w:t>
      </w:r>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成都平面坐标系（东带）和成都平面坐标系（西带）地形图分幅编号与成都平面坐标系地形图分幅编号规则一致，并在图幅号上有明确区分。</w:t>
      </w:r>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1:5000地形图图幅编号为英文大写字母“E”（东带），或“W”（西带）加图廓西南角点的坐标数字（坐标为整数，去掉代号“9”或“7”， 以㎞为单位），并且作为包括于本图幅中1:500～2000比例尺图的基本图号。</w:t>
      </w:r>
    </w:p>
    <w:p>
      <w:pPr>
        <w:pStyle w:val="23"/>
        <w:spacing w:line="360" w:lineRule="auto"/>
        <w:ind w:firstLine="560" w:firstLineChars="200"/>
        <w:jc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drawing>
          <wp:inline distT="0" distB="0" distL="114300" distR="114300">
            <wp:extent cx="3028950" cy="2695575"/>
            <wp:effectExtent l="0" t="0" r="0" b="9525"/>
            <wp:docPr id="242" name="图片 242" descr="东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东带.jpg"/>
                    <pic:cNvPicPr>
                      <a:picLocks noChangeAspect="1"/>
                    </pic:cNvPicPr>
                  </pic:nvPicPr>
                  <pic:blipFill>
                    <a:blip r:embed="rId132"/>
                    <a:stretch>
                      <a:fillRect/>
                    </a:stretch>
                  </pic:blipFill>
                  <pic:spPr>
                    <a:xfrm>
                      <a:off x="0" y="0"/>
                      <a:ext cx="3028950" cy="2695575"/>
                    </a:xfrm>
                    <a:prstGeom prst="rect">
                      <a:avLst/>
                    </a:prstGeom>
                    <a:noFill/>
                    <a:ln>
                      <a:noFill/>
                    </a:ln>
                  </pic:spPr>
                </pic:pic>
              </a:graphicData>
            </a:graphic>
          </wp:inline>
        </w:drawing>
      </w:r>
    </w:p>
    <w:p>
      <w:pPr>
        <w:pStyle w:val="23"/>
        <w:spacing w:line="360" w:lineRule="auto"/>
        <w:ind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图2成都平面坐标系（东带）编号示意图</w:t>
      </w:r>
    </w:p>
    <w:p>
      <w:pPr>
        <w:spacing w:line="52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图2是成都平面坐标系（东带）编号示意图。其中，1：5000图幅号为E168-242，1：2000图幅号为E168-242-Ⅱ，1：500图幅号为E168-242-Ⅱ-Ⅲ-Ⅰ。 </w:t>
      </w:r>
    </w:p>
    <w:p>
      <w:pPr>
        <w:pStyle w:val="23"/>
        <w:spacing w:line="360" w:lineRule="auto"/>
        <w:ind w:firstLine="560" w:firstLineChars="200"/>
        <w:jc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drawing>
          <wp:inline distT="0" distB="0" distL="114300" distR="114300">
            <wp:extent cx="2505075" cy="2228850"/>
            <wp:effectExtent l="0" t="0" r="9525" b="0"/>
            <wp:docPr id="243" name="图片 243" descr="西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西带.jpg"/>
                    <pic:cNvPicPr>
                      <a:picLocks noChangeAspect="1"/>
                    </pic:cNvPicPr>
                  </pic:nvPicPr>
                  <pic:blipFill>
                    <a:blip r:embed="rId133"/>
                    <a:stretch>
                      <a:fillRect/>
                    </a:stretch>
                  </pic:blipFill>
                  <pic:spPr>
                    <a:xfrm>
                      <a:off x="0" y="0"/>
                      <a:ext cx="2505075" cy="2228850"/>
                    </a:xfrm>
                    <a:prstGeom prst="rect">
                      <a:avLst/>
                    </a:prstGeom>
                    <a:noFill/>
                    <a:ln>
                      <a:noFill/>
                    </a:ln>
                  </pic:spPr>
                </pic:pic>
              </a:graphicData>
            </a:graphic>
          </wp:inline>
        </w:drawing>
      </w:r>
    </w:p>
    <w:p>
      <w:pPr>
        <w:pStyle w:val="23"/>
        <w:spacing w:line="360" w:lineRule="auto"/>
        <w:ind w:firstLine="480" w:firstLineChars="200"/>
        <w:jc w:val="center"/>
        <w:rPr>
          <w:rFonts w:ascii="仿宋" w:hAnsi="仿宋" w:eastAsia="仿宋" w:cs="仿宋"/>
          <w:color w:val="auto"/>
          <w:sz w:val="28"/>
          <w:szCs w:val="28"/>
          <w:highlight w:val="none"/>
        </w:rPr>
      </w:pPr>
      <w:r>
        <w:rPr>
          <w:rFonts w:hint="eastAsia" w:ascii="仿宋" w:hAnsi="仿宋" w:eastAsia="仿宋" w:cs="仿宋"/>
          <w:color w:val="auto"/>
          <w:sz w:val="24"/>
          <w:highlight w:val="none"/>
        </w:rPr>
        <w:t>图3成都平面坐标系（西带）编号示意图</w:t>
      </w:r>
    </w:p>
    <w:p>
      <w:pPr>
        <w:spacing w:line="560" w:lineRule="exact"/>
        <w:ind w:firstLine="560" w:firstLineChars="200"/>
        <w:jc w:val="left"/>
        <w:rPr>
          <w:rFonts w:ascii="微软雅黑" w:hAnsi="微软雅黑" w:eastAsia="微软雅黑" w:cs="微软雅黑"/>
          <w:color w:val="auto"/>
          <w:sz w:val="24"/>
          <w:highlight w:val="none"/>
        </w:rPr>
      </w:pPr>
      <w:r>
        <w:rPr>
          <w:rFonts w:hint="eastAsia" w:ascii="仿宋" w:hAnsi="仿宋" w:eastAsia="仿宋" w:cs="仿宋"/>
          <w:color w:val="auto"/>
          <w:sz w:val="28"/>
          <w:szCs w:val="28"/>
          <w:highlight w:val="none"/>
        </w:rPr>
        <w:t>图3是成都平面坐标系（西带）编号示意图。其中，1：5000图幅号为W210-140，1：2000图幅号为W210-140-Ⅱ，1：500图幅号为W210-140-Ⅱ-Ⅲ-Ⅰ。</w:t>
      </w:r>
    </w:p>
    <w:p>
      <w:pPr>
        <w:pStyle w:val="2"/>
        <w:spacing w:line="560" w:lineRule="exact"/>
        <w:ind w:right="140"/>
        <w:jc w:val="left"/>
        <w:rPr>
          <w:color w:val="auto"/>
          <w:highlight w:val="none"/>
        </w:rPr>
        <w:sectPr>
          <w:pgSz w:w="11906" w:h="16838"/>
          <w:pgMar w:top="1701" w:right="1474" w:bottom="1417" w:left="1587" w:header="851" w:footer="992" w:gutter="0"/>
          <w:cols w:space="720" w:num="1"/>
          <w:docGrid w:type="lines" w:linePitch="327" w:charSpace="0"/>
        </w:sectPr>
      </w:pPr>
    </w:p>
    <w:p>
      <w:pPr>
        <w:jc w:val="center"/>
        <w:outlineLvl w:val="1"/>
        <w:rPr>
          <w:rFonts w:eastAsia="仿宋"/>
          <w:b/>
          <w:bCs/>
          <w:color w:val="auto"/>
          <w:sz w:val="28"/>
          <w:szCs w:val="28"/>
          <w:highlight w:val="none"/>
        </w:rPr>
      </w:pPr>
      <w:bookmarkStart w:id="659" w:name="_Toc16244"/>
      <w:bookmarkStart w:id="660" w:name="_Toc26298"/>
      <w:bookmarkStart w:id="661" w:name="_Toc29128"/>
      <w:bookmarkStart w:id="662" w:name="_Toc10058"/>
      <w:bookmarkStart w:id="663" w:name="_Toc20357"/>
      <w:bookmarkStart w:id="664" w:name="_Toc3914"/>
      <w:bookmarkStart w:id="665" w:name="_Toc5365"/>
      <w:bookmarkStart w:id="666" w:name="_Toc79654137"/>
      <w:r>
        <w:rPr>
          <w:rFonts w:hint="eastAsia" w:eastAsia="仿宋"/>
          <w:b/>
          <w:bCs/>
          <w:color w:val="auto"/>
          <w:sz w:val="28"/>
          <w:szCs w:val="28"/>
          <w:highlight w:val="none"/>
        </w:rPr>
        <w:t>附录L地下管线隐患信息情况明细表</w:t>
      </w:r>
      <w:bookmarkEnd w:id="659"/>
      <w:bookmarkEnd w:id="660"/>
      <w:bookmarkEnd w:id="661"/>
      <w:bookmarkEnd w:id="662"/>
      <w:bookmarkEnd w:id="663"/>
      <w:bookmarkEnd w:id="664"/>
      <w:bookmarkEnd w:id="665"/>
      <w:bookmarkEnd w:id="666"/>
    </w:p>
    <w:p>
      <w:pPr>
        <w:pStyle w:val="2"/>
        <w:jc w:val="left"/>
        <w:rPr>
          <w:rFonts w:ascii="方正仿宋_GBK" w:hAnsi="方正仿宋_GBK" w:eastAsia="方正仿宋_GBK" w:cs="方正仿宋_GBK"/>
          <w:color w:val="auto"/>
          <w:highlight w:val="none"/>
        </w:rPr>
      </w:pPr>
      <w:r>
        <w:rPr>
          <w:rFonts w:hint="eastAsia" w:ascii="方正仿宋_GBK" w:hAnsi="方正仿宋_GBK" w:eastAsia="方正仿宋_GBK" w:cs="方正仿宋_GBK"/>
          <w:color w:val="auto"/>
          <w:highlight w:val="none"/>
        </w:rPr>
        <w:t xml:space="preserve">管线类型：                                                          管线权属单位（盖章）：                                 经办人：  </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589"/>
        <w:gridCol w:w="1183"/>
        <w:gridCol w:w="1436"/>
        <w:gridCol w:w="1318"/>
        <w:gridCol w:w="1297"/>
        <w:gridCol w:w="1317"/>
        <w:gridCol w:w="1063"/>
        <w:gridCol w:w="1063"/>
        <w:gridCol w:w="1191"/>
        <w:gridCol w:w="907"/>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9" w:type="dxa"/>
            <w:noWrap/>
            <w:vAlign w:val="center"/>
          </w:tcPr>
          <w:p>
            <w:pPr>
              <w:pStyle w:val="2"/>
              <w:jc w:val="center"/>
              <w:rPr>
                <w:rFonts w:ascii="方正仿宋_GBK" w:hAnsi="方正仿宋_GBK" w:eastAsia="方正仿宋_GBK" w:cs="方正仿宋_GBK"/>
                <w:b/>
                <w:color w:val="auto"/>
                <w:highlight w:val="none"/>
              </w:rPr>
            </w:pPr>
            <w:r>
              <w:rPr>
                <w:rFonts w:hint="eastAsia" w:ascii="方正仿宋_GBK" w:hAnsi="方正仿宋_GBK" w:eastAsia="方正仿宋_GBK" w:cs="方正仿宋_GBK"/>
                <w:b/>
                <w:color w:val="auto"/>
                <w:highlight w:val="none"/>
              </w:rPr>
              <w:t>序号</w:t>
            </w:r>
          </w:p>
        </w:tc>
        <w:tc>
          <w:tcPr>
            <w:tcW w:w="1589" w:type="dxa"/>
            <w:noWrap/>
            <w:vAlign w:val="center"/>
          </w:tcPr>
          <w:p>
            <w:pPr>
              <w:pStyle w:val="2"/>
              <w:jc w:val="center"/>
              <w:rPr>
                <w:rFonts w:ascii="方正仿宋_GBK" w:hAnsi="方正仿宋_GBK" w:eastAsia="方正仿宋_GBK" w:cs="方正仿宋_GBK"/>
                <w:b/>
                <w:color w:val="auto"/>
                <w:highlight w:val="none"/>
              </w:rPr>
            </w:pPr>
            <w:r>
              <w:rPr>
                <w:rFonts w:hint="eastAsia" w:ascii="方正仿宋_GBK" w:hAnsi="方正仿宋_GBK" w:eastAsia="方正仿宋_GBK" w:cs="方正仿宋_GBK"/>
                <w:b/>
                <w:color w:val="auto"/>
                <w:highlight w:val="none"/>
              </w:rPr>
              <w:t>隐患地点</w:t>
            </w:r>
          </w:p>
        </w:tc>
        <w:tc>
          <w:tcPr>
            <w:tcW w:w="1183" w:type="dxa"/>
            <w:noWrap/>
            <w:vAlign w:val="center"/>
          </w:tcPr>
          <w:p>
            <w:pPr>
              <w:pStyle w:val="2"/>
              <w:jc w:val="center"/>
              <w:rPr>
                <w:rFonts w:ascii="方正仿宋_GBK" w:hAnsi="方正仿宋_GBK" w:eastAsia="方正仿宋_GBK" w:cs="方正仿宋_GBK"/>
                <w:b/>
                <w:color w:val="auto"/>
                <w:highlight w:val="none"/>
              </w:rPr>
            </w:pPr>
            <w:r>
              <w:rPr>
                <w:rFonts w:hint="eastAsia" w:ascii="方正仿宋_GBK" w:hAnsi="方正仿宋_GBK" w:eastAsia="方正仿宋_GBK" w:cs="方正仿宋_GBK"/>
                <w:b/>
                <w:color w:val="auto"/>
                <w:highlight w:val="none"/>
              </w:rPr>
              <w:t>隐患类别</w:t>
            </w:r>
          </w:p>
        </w:tc>
        <w:tc>
          <w:tcPr>
            <w:tcW w:w="1436" w:type="dxa"/>
            <w:noWrap/>
            <w:vAlign w:val="center"/>
          </w:tcPr>
          <w:p>
            <w:pPr>
              <w:pStyle w:val="2"/>
              <w:jc w:val="center"/>
              <w:rPr>
                <w:rFonts w:ascii="方正仿宋_GBK" w:hAnsi="方正仿宋_GBK" w:eastAsia="方正仿宋_GBK" w:cs="方正仿宋_GBK"/>
                <w:b/>
                <w:color w:val="auto"/>
                <w:highlight w:val="none"/>
              </w:rPr>
            </w:pPr>
            <w:r>
              <w:rPr>
                <w:rFonts w:hint="eastAsia" w:ascii="方正仿宋_GBK" w:hAnsi="方正仿宋_GBK" w:eastAsia="方正仿宋_GBK" w:cs="方正仿宋_GBK"/>
                <w:b/>
                <w:color w:val="auto"/>
                <w:highlight w:val="none"/>
              </w:rPr>
              <w:t>隐患部位</w:t>
            </w:r>
          </w:p>
        </w:tc>
        <w:tc>
          <w:tcPr>
            <w:tcW w:w="1318" w:type="dxa"/>
            <w:noWrap/>
            <w:vAlign w:val="center"/>
          </w:tcPr>
          <w:p>
            <w:pPr>
              <w:pStyle w:val="2"/>
              <w:jc w:val="center"/>
              <w:rPr>
                <w:rFonts w:ascii="方正仿宋_GBK" w:hAnsi="方正仿宋_GBK" w:eastAsia="方正仿宋_GBK" w:cs="方正仿宋_GBK"/>
                <w:b/>
                <w:color w:val="auto"/>
                <w:highlight w:val="none"/>
              </w:rPr>
            </w:pPr>
            <w:r>
              <w:rPr>
                <w:rFonts w:hint="eastAsia" w:ascii="方正仿宋_GBK" w:hAnsi="方正仿宋_GBK" w:eastAsia="方正仿宋_GBK" w:cs="方正仿宋_GBK"/>
                <w:b/>
                <w:color w:val="auto"/>
                <w:highlight w:val="none"/>
              </w:rPr>
              <w:t>隐患描述</w:t>
            </w:r>
          </w:p>
        </w:tc>
        <w:tc>
          <w:tcPr>
            <w:tcW w:w="1297" w:type="dxa"/>
            <w:noWrap/>
          </w:tcPr>
          <w:p>
            <w:pPr>
              <w:pStyle w:val="2"/>
              <w:jc w:val="center"/>
              <w:rPr>
                <w:rFonts w:ascii="方正仿宋_GBK" w:hAnsi="方正仿宋_GBK" w:eastAsia="方正仿宋_GBK" w:cs="方正仿宋_GBK"/>
                <w:b/>
                <w:color w:val="auto"/>
                <w:highlight w:val="none"/>
              </w:rPr>
            </w:pPr>
            <w:r>
              <w:rPr>
                <w:rFonts w:hint="eastAsia" w:ascii="方正仿宋_GBK" w:hAnsi="方正仿宋_GBK" w:eastAsia="方正仿宋_GBK" w:cs="方正仿宋_GBK"/>
                <w:b/>
                <w:color w:val="auto"/>
                <w:highlight w:val="none"/>
              </w:rPr>
              <w:t>是否有隐患照片</w:t>
            </w:r>
          </w:p>
        </w:tc>
        <w:tc>
          <w:tcPr>
            <w:tcW w:w="1317" w:type="dxa"/>
            <w:noWrap/>
            <w:vAlign w:val="center"/>
          </w:tcPr>
          <w:p>
            <w:pPr>
              <w:pStyle w:val="2"/>
              <w:jc w:val="center"/>
              <w:rPr>
                <w:rFonts w:ascii="方正仿宋_GBK" w:hAnsi="方正仿宋_GBK" w:eastAsia="方正仿宋_GBK" w:cs="方正仿宋_GBK"/>
                <w:b/>
                <w:color w:val="auto"/>
                <w:highlight w:val="none"/>
              </w:rPr>
            </w:pPr>
            <w:r>
              <w:rPr>
                <w:rFonts w:hint="eastAsia" w:ascii="方正仿宋_GBK" w:hAnsi="方正仿宋_GBK" w:eastAsia="方正仿宋_GBK" w:cs="方正仿宋_GBK"/>
                <w:b/>
                <w:color w:val="auto"/>
                <w:highlight w:val="none"/>
              </w:rPr>
              <w:t>整改措施</w:t>
            </w:r>
          </w:p>
        </w:tc>
        <w:tc>
          <w:tcPr>
            <w:tcW w:w="1063" w:type="dxa"/>
            <w:noWrap/>
            <w:vAlign w:val="center"/>
          </w:tcPr>
          <w:p>
            <w:pPr>
              <w:pStyle w:val="2"/>
              <w:jc w:val="center"/>
              <w:rPr>
                <w:rFonts w:ascii="方正仿宋_GBK" w:hAnsi="方正仿宋_GBK" w:eastAsia="方正仿宋_GBK" w:cs="方正仿宋_GBK"/>
                <w:b/>
                <w:color w:val="auto"/>
                <w:highlight w:val="none"/>
              </w:rPr>
            </w:pPr>
            <w:r>
              <w:rPr>
                <w:rFonts w:hint="eastAsia" w:ascii="方正仿宋_GBK" w:hAnsi="方正仿宋_GBK" w:eastAsia="方正仿宋_GBK" w:cs="方正仿宋_GBK"/>
                <w:b/>
                <w:color w:val="auto"/>
                <w:highlight w:val="none"/>
              </w:rPr>
              <w:t>是否排查</w:t>
            </w:r>
          </w:p>
        </w:tc>
        <w:tc>
          <w:tcPr>
            <w:tcW w:w="1063" w:type="dxa"/>
            <w:noWrap/>
            <w:vAlign w:val="center"/>
          </w:tcPr>
          <w:p>
            <w:pPr>
              <w:pStyle w:val="2"/>
              <w:jc w:val="center"/>
              <w:rPr>
                <w:rFonts w:ascii="方正仿宋_GBK" w:hAnsi="方正仿宋_GBK" w:eastAsia="方正仿宋_GBK" w:cs="方正仿宋_GBK"/>
                <w:b/>
                <w:color w:val="auto"/>
                <w:highlight w:val="none"/>
              </w:rPr>
            </w:pPr>
            <w:r>
              <w:rPr>
                <w:rFonts w:hint="eastAsia" w:ascii="方正仿宋_GBK" w:hAnsi="方正仿宋_GBK" w:eastAsia="方正仿宋_GBK" w:cs="方正仿宋_GBK"/>
                <w:b/>
                <w:color w:val="auto"/>
                <w:highlight w:val="none"/>
              </w:rPr>
              <w:t>安全标识</w:t>
            </w:r>
          </w:p>
        </w:tc>
        <w:tc>
          <w:tcPr>
            <w:tcW w:w="1191" w:type="dxa"/>
            <w:noWrap/>
            <w:vAlign w:val="center"/>
          </w:tcPr>
          <w:p>
            <w:pPr>
              <w:pStyle w:val="2"/>
              <w:jc w:val="center"/>
              <w:rPr>
                <w:rFonts w:ascii="方正仿宋_GBK" w:hAnsi="方正仿宋_GBK" w:eastAsia="方正仿宋_GBK" w:cs="方正仿宋_GBK"/>
                <w:b/>
                <w:color w:val="auto"/>
                <w:highlight w:val="none"/>
              </w:rPr>
            </w:pPr>
            <w:r>
              <w:rPr>
                <w:rFonts w:hint="eastAsia" w:ascii="方正仿宋_GBK" w:hAnsi="方正仿宋_GBK" w:eastAsia="方正仿宋_GBK" w:cs="方正仿宋_GBK"/>
                <w:b/>
                <w:color w:val="auto"/>
                <w:highlight w:val="none"/>
              </w:rPr>
              <w:t>责任单位</w:t>
            </w:r>
          </w:p>
        </w:tc>
        <w:tc>
          <w:tcPr>
            <w:tcW w:w="907" w:type="dxa"/>
            <w:noWrap/>
            <w:vAlign w:val="center"/>
          </w:tcPr>
          <w:p>
            <w:pPr>
              <w:pStyle w:val="2"/>
              <w:jc w:val="center"/>
              <w:rPr>
                <w:rFonts w:ascii="方正仿宋_GBK" w:hAnsi="方正仿宋_GBK" w:eastAsia="方正仿宋_GBK" w:cs="方正仿宋_GBK"/>
                <w:b/>
                <w:color w:val="auto"/>
                <w:highlight w:val="none"/>
              </w:rPr>
            </w:pPr>
            <w:r>
              <w:rPr>
                <w:rFonts w:hint="eastAsia" w:ascii="方正仿宋_GBK" w:hAnsi="方正仿宋_GBK" w:eastAsia="方正仿宋_GBK" w:cs="方正仿宋_GBK"/>
                <w:b/>
                <w:color w:val="auto"/>
                <w:highlight w:val="none"/>
              </w:rPr>
              <w:t>责任人</w:t>
            </w:r>
          </w:p>
        </w:tc>
        <w:tc>
          <w:tcPr>
            <w:tcW w:w="1983" w:type="dxa"/>
            <w:noWrap/>
            <w:vAlign w:val="center"/>
          </w:tcPr>
          <w:p>
            <w:pPr>
              <w:pStyle w:val="2"/>
              <w:jc w:val="center"/>
              <w:rPr>
                <w:rFonts w:ascii="方正仿宋_GBK" w:hAnsi="方正仿宋_GBK" w:eastAsia="方正仿宋_GBK" w:cs="方正仿宋_GBK"/>
                <w:b/>
                <w:color w:val="auto"/>
                <w:highlight w:val="none"/>
              </w:rPr>
            </w:pPr>
            <w:r>
              <w:rPr>
                <w:rFonts w:hint="eastAsia" w:ascii="方正仿宋_GBK" w:hAnsi="方正仿宋_GBK" w:eastAsia="方正仿宋_GBK" w:cs="方正仿宋_GBK"/>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noWrap/>
          </w:tcPr>
          <w:p>
            <w:pPr>
              <w:pStyle w:val="2"/>
              <w:jc w:val="center"/>
              <w:rPr>
                <w:rFonts w:ascii="方正仿宋_GBK" w:hAnsi="方正仿宋_GBK" w:eastAsia="方正仿宋_GBK" w:cs="方正仿宋_GBK"/>
                <w:color w:val="auto"/>
                <w:highlight w:val="none"/>
              </w:rPr>
            </w:pPr>
          </w:p>
        </w:tc>
        <w:tc>
          <w:tcPr>
            <w:tcW w:w="1589" w:type="dxa"/>
            <w:noWrap/>
          </w:tcPr>
          <w:p>
            <w:pPr>
              <w:pStyle w:val="2"/>
              <w:jc w:val="center"/>
              <w:rPr>
                <w:rFonts w:ascii="方正仿宋_GBK" w:hAnsi="方正仿宋_GBK" w:eastAsia="方正仿宋_GBK" w:cs="方正仿宋_GBK"/>
                <w:color w:val="auto"/>
                <w:highlight w:val="none"/>
              </w:rPr>
            </w:pPr>
          </w:p>
        </w:tc>
        <w:tc>
          <w:tcPr>
            <w:tcW w:w="1183" w:type="dxa"/>
            <w:noWrap/>
          </w:tcPr>
          <w:p>
            <w:pPr>
              <w:pStyle w:val="2"/>
              <w:jc w:val="center"/>
              <w:rPr>
                <w:rFonts w:ascii="方正仿宋_GBK" w:hAnsi="方正仿宋_GBK" w:eastAsia="方正仿宋_GBK" w:cs="方正仿宋_GBK"/>
                <w:color w:val="auto"/>
                <w:highlight w:val="none"/>
              </w:rPr>
            </w:pPr>
          </w:p>
        </w:tc>
        <w:tc>
          <w:tcPr>
            <w:tcW w:w="1436" w:type="dxa"/>
            <w:noWrap/>
          </w:tcPr>
          <w:p>
            <w:pPr>
              <w:pStyle w:val="2"/>
              <w:jc w:val="center"/>
              <w:rPr>
                <w:rFonts w:ascii="方正仿宋_GBK" w:hAnsi="方正仿宋_GBK" w:eastAsia="方正仿宋_GBK" w:cs="方正仿宋_GBK"/>
                <w:color w:val="auto"/>
                <w:highlight w:val="none"/>
              </w:rPr>
            </w:pPr>
          </w:p>
        </w:tc>
        <w:tc>
          <w:tcPr>
            <w:tcW w:w="1318" w:type="dxa"/>
            <w:noWrap/>
          </w:tcPr>
          <w:p>
            <w:pPr>
              <w:pStyle w:val="2"/>
              <w:jc w:val="center"/>
              <w:rPr>
                <w:rFonts w:ascii="方正仿宋_GBK" w:hAnsi="方正仿宋_GBK" w:eastAsia="方正仿宋_GBK" w:cs="方正仿宋_GBK"/>
                <w:color w:val="auto"/>
                <w:highlight w:val="none"/>
              </w:rPr>
            </w:pPr>
          </w:p>
        </w:tc>
        <w:tc>
          <w:tcPr>
            <w:tcW w:w="1297" w:type="dxa"/>
            <w:noWrap/>
          </w:tcPr>
          <w:p>
            <w:pPr>
              <w:pStyle w:val="2"/>
              <w:jc w:val="center"/>
              <w:rPr>
                <w:rFonts w:ascii="方正仿宋_GBK" w:hAnsi="方正仿宋_GBK" w:eastAsia="方正仿宋_GBK" w:cs="方正仿宋_GBK"/>
                <w:color w:val="auto"/>
                <w:highlight w:val="none"/>
              </w:rPr>
            </w:pPr>
          </w:p>
        </w:tc>
        <w:tc>
          <w:tcPr>
            <w:tcW w:w="1317" w:type="dxa"/>
            <w:noWrap/>
          </w:tcPr>
          <w:p>
            <w:pPr>
              <w:pStyle w:val="2"/>
              <w:jc w:val="center"/>
              <w:rPr>
                <w:rFonts w:ascii="方正仿宋_GBK" w:hAnsi="方正仿宋_GBK" w:eastAsia="方正仿宋_GBK" w:cs="方正仿宋_GBK"/>
                <w:color w:val="auto"/>
                <w:highlight w:val="none"/>
              </w:rPr>
            </w:pPr>
          </w:p>
        </w:tc>
        <w:tc>
          <w:tcPr>
            <w:tcW w:w="1063" w:type="dxa"/>
            <w:noWrap/>
          </w:tcPr>
          <w:p>
            <w:pPr>
              <w:pStyle w:val="2"/>
              <w:jc w:val="center"/>
              <w:rPr>
                <w:rFonts w:ascii="方正仿宋_GBK" w:hAnsi="方正仿宋_GBK" w:eastAsia="方正仿宋_GBK" w:cs="方正仿宋_GBK"/>
                <w:color w:val="auto"/>
                <w:highlight w:val="none"/>
              </w:rPr>
            </w:pPr>
          </w:p>
        </w:tc>
        <w:tc>
          <w:tcPr>
            <w:tcW w:w="1063" w:type="dxa"/>
            <w:noWrap/>
          </w:tcPr>
          <w:p>
            <w:pPr>
              <w:pStyle w:val="2"/>
              <w:jc w:val="center"/>
              <w:rPr>
                <w:rFonts w:ascii="方正仿宋_GBK" w:hAnsi="方正仿宋_GBK" w:eastAsia="方正仿宋_GBK" w:cs="方正仿宋_GBK"/>
                <w:color w:val="auto"/>
                <w:highlight w:val="none"/>
              </w:rPr>
            </w:pPr>
          </w:p>
        </w:tc>
        <w:tc>
          <w:tcPr>
            <w:tcW w:w="1191" w:type="dxa"/>
            <w:noWrap/>
          </w:tcPr>
          <w:p>
            <w:pPr>
              <w:pStyle w:val="2"/>
              <w:jc w:val="center"/>
              <w:rPr>
                <w:rFonts w:ascii="方正仿宋_GBK" w:hAnsi="方正仿宋_GBK" w:eastAsia="方正仿宋_GBK" w:cs="方正仿宋_GBK"/>
                <w:color w:val="auto"/>
                <w:highlight w:val="none"/>
              </w:rPr>
            </w:pPr>
          </w:p>
        </w:tc>
        <w:tc>
          <w:tcPr>
            <w:tcW w:w="907" w:type="dxa"/>
            <w:noWrap/>
          </w:tcPr>
          <w:p>
            <w:pPr>
              <w:pStyle w:val="2"/>
              <w:jc w:val="center"/>
              <w:rPr>
                <w:rFonts w:ascii="方正仿宋_GBK" w:hAnsi="方正仿宋_GBK" w:eastAsia="方正仿宋_GBK" w:cs="方正仿宋_GBK"/>
                <w:color w:val="auto"/>
                <w:highlight w:val="none"/>
              </w:rPr>
            </w:pPr>
          </w:p>
        </w:tc>
        <w:tc>
          <w:tcPr>
            <w:tcW w:w="1983" w:type="dxa"/>
            <w:noWrap/>
          </w:tcPr>
          <w:p>
            <w:pPr>
              <w:pStyle w:val="2"/>
              <w:jc w:val="center"/>
              <w:rPr>
                <w:rFonts w:ascii="方正仿宋_GBK" w:hAnsi="方正仿宋_GBK" w:eastAsia="方正仿宋_GBK" w:cs="方正仿宋_GBK"/>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noWrap/>
          </w:tcPr>
          <w:p>
            <w:pPr>
              <w:pStyle w:val="2"/>
              <w:jc w:val="center"/>
              <w:rPr>
                <w:rFonts w:ascii="方正仿宋_GBK" w:hAnsi="方正仿宋_GBK" w:eastAsia="方正仿宋_GBK" w:cs="方正仿宋_GBK"/>
                <w:color w:val="auto"/>
                <w:highlight w:val="none"/>
              </w:rPr>
            </w:pPr>
          </w:p>
        </w:tc>
        <w:tc>
          <w:tcPr>
            <w:tcW w:w="1589" w:type="dxa"/>
            <w:noWrap/>
          </w:tcPr>
          <w:p>
            <w:pPr>
              <w:pStyle w:val="2"/>
              <w:jc w:val="center"/>
              <w:rPr>
                <w:rFonts w:ascii="方正仿宋_GBK" w:hAnsi="方正仿宋_GBK" w:eastAsia="方正仿宋_GBK" w:cs="方正仿宋_GBK"/>
                <w:color w:val="auto"/>
                <w:highlight w:val="none"/>
              </w:rPr>
            </w:pPr>
          </w:p>
        </w:tc>
        <w:tc>
          <w:tcPr>
            <w:tcW w:w="1183" w:type="dxa"/>
            <w:noWrap/>
          </w:tcPr>
          <w:p>
            <w:pPr>
              <w:pStyle w:val="2"/>
              <w:jc w:val="center"/>
              <w:rPr>
                <w:rFonts w:ascii="方正仿宋_GBK" w:hAnsi="方正仿宋_GBK" w:eastAsia="方正仿宋_GBK" w:cs="方正仿宋_GBK"/>
                <w:color w:val="auto"/>
                <w:highlight w:val="none"/>
              </w:rPr>
            </w:pPr>
          </w:p>
        </w:tc>
        <w:tc>
          <w:tcPr>
            <w:tcW w:w="1436" w:type="dxa"/>
            <w:noWrap/>
          </w:tcPr>
          <w:p>
            <w:pPr>
              <w:pStyle w:val="2"/>
              <w:jc w:val="center"/>
              <w:rPr>
                <w:rFonts w:ascii="方正仿宋_GBK" w:hAnsi="方正仿宋_GBK" w:eastAsia="方正仿宋_GBK" w:cs="方正仿宋_GBK"/>
                <w:color w:val="auto"/>
                <w:highlight w:val="none"/>
              </w:rPr>
            </w:pPr>
          </w:p>
        </w:tc>
        <w:tc>
          <w:tcPr>
            <w:tcW w:w="1318" w:type="dxa"/>
            <w:noWrap/>
          </w:tcPr>
          <w:p>
            <w:pPr>
              <w:pStyle w:val="2"/>
              <w:jc w:val="center"/>
              <w:rPr>
                <w:rFonts w:ascii="方正仿宋_GBK" w:hAnsi="方正仿宋_GBK" w:eastAsia="方正仿宋_GBK" w:cs="方正仿宋_GBK"/>
                <w:color w:val="auto"/>
                <w:highlight w:val="none"/>
              </w:rPr>
            </w:pPr>
          </w:p>
        </w:tc>
        <w:tc>
          <w:tcPr>
            <w:tcW w:w="1297" w:type="dxa"/>
            <w:noWrap/>
          </w:tcPr>
          <w:p>
            <w:pPr>
              <w:pStyle w:val="2"/>
              <w:jc w:val="center"/>
              <w:rPr>
                <w:rFonts w:ascii="方正仿宋_GBK" w:hAnsi="方正仿宋_GBK" w:eastAsia="方正仿宋_GBK" w:cs="方正仿宋_GBK"/>
                <w:color w:val="auto"/>
                <w:highlight w:val="none"/>
              </w:rPr>
            </w:pPr>
          </w:p>
        </w:tc>
        <w:tc>
          <w:tcPr>
            <w:tcW w:w="1317" w:type="dxa"/>
            <w:noWrap/>
          </w:tcPr>
          <w:p>
            <w:pPr>
              <w:pStyle w:val="2"/>
              <w:jc w:val="center"/>
              <w:rPr>
                <w:rFonts w:ascii="方正仿宋_GBK" w:hAnsi="方正仿宋_GBK" w:eastAsia="方正仿宋_GBK" w:cs="方正仿宋_GBK"/>
                <w:color w:val="auto"/>
                <w:highlight w:val="none"/>
              </w:rPr>
            </w:pPr>
          </w:p>
        </w:tc>
        <w:tc>
          <w:tcPr>
            <w:tcW w:w="1063" w:type="dxa"/>
            <w:noWrap/>
          </w:tcPr>
          <w:p>
            <w:pPr>
              <w:pStyle w:val="2"/>
              <w:jc w:val="center"/>
              <w:rPr>
                <w:rFonts w:ascii="方正仿宋_GBK" w:hAnsi="方正仿宋_GBK" w:eastAsia="方正仿宋_GBK" w:cs="方正仿宋_GBK"/>
                <w:color w:val="auto"/>
                <w:highlight w:val="none"/>
              </w:rPr>
            </w:pPr>
          </w:p>
        </w:tc>
        <w:tc>
          <w:tcPr>
            <w:tcW w:w="1063" w:type="dxa"/>
            <w:noWrap/>
          </w:tcPr>
          <w:p>
            <w:pPr>
              <w:pStyle w:val="2"/>
              <w:jc w:val="center"/>
              <w:rPr>
                <w:rFonts w:ascii="方正仿宋_GBK" w:hAnsi="方正仿宋_GBK" w:eastAsia="方正仿宋_GBK" w:cs="方正仿宋_GBK"/>
                <w:color w:val="auto"/>
                <w:highlight w:val="none"/>
              </w:rPr>
            </w:pPr>
          </w:p>
        </w:tc>
        <w:tc>
          <w:tcPr>
            <w:tcW w:w="1191" w:type="dxa"/>
            <w:noWrap/>
          </w:tcPr>
          <w:p>
            <w:pPr>
              <w:pStyle w:val="2"/>
              <w:jc w:val="center"/>
              <w:rPr>
                <w:rFonts w:ascii="方正仿宋_GBK" w:hAnsi="方正仿宋_GBK" w:eastAsia="方正仿宋_GBK" w:cs="方正仿宋_GBK"/>
                <w:color w:val="auto"/>
                <w:highlight w:val="none"/>
              </w:rPr>
            </w:pPr>
          </w:p>
        </w:tc>
        <w:tc>
          <w:tcPr>
            <w:tcW w:w="907" w:type="dxa"/>
            <w:noWrap/>
          </w:tcPr>
          <w:p>
            <w:pPr>
              <w:pStyle w:val="2"/>
              <w:jc w:val="center"/>
              <w:rPr>
                <w:rFonts w:ascii="方正仿宋_GBK" w:hAnsi="方正仿宋_GBK" w:eastAsia="方正仿宋_GBK" w:cs="方正仿宋_GBK"/>
                <w:color w:val="auto"/>
                <w:highlight w:val="none"/>
              </w:rPr>
            </w:pPr>
          </w:p>
        </w:tc>
        <w:tc>
          <w:tcPr>
            <w:tcW w:w="1983" w:type="dxa"/>
            <w:noWrap/>
          </w:tcPr>
          <w:p>
            <w:pPr>
              <w:pStyle w:val="2"/>
              <w:jc w:val="center"/>
              <w:rPr>
                <w:rFonts w:ascii="方正仿宋_GBK" w:hAnsi="方正仿宋_GBK" w:eastAsia="方正仿宋_GBK" w:cs="方正仿宋_GBK"/>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noWrap/>
          </w:tcPr>
          <w:p>
            <w:pPr>
              <w:pStyle w:val="2"/>
              <w:jc w:val="center"/>
              <w:rPr>
                <w:rFonts w:ascii="方正仿宋_GBK" w:hAnsi="方正仿宋_GBK" w:eastAsia="方正仿宋_GBK" w:cs="方正仿宋_GBK"/>
                <w:color w:val="auto"/>
                <w:highlight w:val="none"/>
              </w:rPr>
            </w:pPr>
          </w:p>
        </w:tc>
        <w:tc>
          <w:tcPr>
            <w:tcW w:w="1589" w:type="dxa"/>
            <w:noWrap/>
          </w:tcPr>
          <w:p>
            <w:pPr>
              <w:pStyle w:val="2"/>
              <w:jc w:val="center"/>
              <w:rPr>
                <w:rFonts w:ascii="方正仿宋_GBK" w:hAnsi="方正仿宋_GBK" w:eastAsia="方正仿宋_GBK" w:cs="方正仿宋_GBK"/>
                <w:color w:val="auto"/>
                <w:highlight w:val="none"/>
              </w:rPr>
            </w:pPr>
          </w:p>
        </w:tc>
        <w:tc>
          <w:tcPr>
            <w:tcW w:w="1183" w:type="dxa"/>
            <w:noWrap/>
          </w:tcPr>
          <w:p>
            <w:pPr>
              <w:pStyle w:val="2"/>
              <w:jc w:val="center"/>
              <w:rPr>
                <w:rFonts w:ascii="方正仿宋_GBK" w:hAnsi="方正仿宋_GBK" w:eastAsia="方正仿宋_GBK" w:cs="方正仿宋_GBK"/>
                <w:color w:val="auto"/>
                <w:highlight w:val="none"/>
              </w:rPr>
            </w:pPr>
          </w:p>
        </w:tc>
        <w:tc>
          <w:tcPr>
            <w:tcW w:w="1436" w:type="dxa"/>
            <w:noWrap/>
          </w:tcPr>
          <w:p>
            <w:pPr>
              <w:pStyle w:val="2"/>
              <w:jc w:val="center"/>
              <w:rPr>
                <w:rFonts w:ascii="方正仿宋_GBK" w:hAnsi="方正仿宋_GBK" w:eastAsia="方正仿宋_GBK" w:cs="方正仿宋_GBK"/>
                <w:color w:val="auto"/>
                <w:highlight w:val="none"/>
              </w:rPr>
            </w:pPr>
          </w:p>
        </w:tc>
        <w:tc>
          <w:tcPr>
            <w:tcW w:w="1318" w:type="dxa"/>
            <w:noWrap/>
          </w:tcPr>
          <w:p>
            <w:pPr>
              <w:pStyle w:val="2"/>
              <w:jc w:val="center"/>
              <w:rPr>
                <w:rFonts w:ascii="方正仿宋_GBK" w:hAnsi="方正仿宋_GBK" w:eastAsia="方正仿宋_GBK" w:cs="方正仿宋_GBK"/>
                <w:color w:val="auto"/>
                <w:highlight w:val="none"/>
              </w:rPr>
            </w:pPr>
          </w:p>
        </w:tc>
        <w:tc>
          <w:tcPr>
            <w:tcW w:w="1297" w:type="dxa"/>
            <w:noWrap/>
          </w:tcPr>
          <w:p>
            <w:pPr>
              <w:pStyle w:val="2"/>
              <w:jc w:val="center"/>
              <w:rPr>
                <w:rFonts w:ascii="方正仿宋_GBK" w:hAnsi="方正仿宋_GBK" w:eastAsia="方正仿宋_GBK" w:cs="方正仿宋_GBK"/>
                <w:color w:val="auto"/>
                <w:highlight w:val="none"/>
              </w:rPr>
            </w:pPr>
          </w:p>
        </w:tc>
        <w:tc>
          <w:tcPr>
            <w:tcW w:w="1317" w:type="dxa"/>
            <w:noWrap/>
          </w:tcPr>
          <w:p>
            <w:pPr>
              <w:pStyle w:val="2"/>
              <w:jc w:val="center"/>
              <w:rPr>
                <w:rFonts w:ascii="方正仿宋_GBK" w:hAnsi="方正仿宋_GBK" w:eastAsia="方正仿宋_GBK" w:cs="方正仿宋_GBK"/>
                <w:color w:val="auto"/>
                <w:highlight w:val="none"/>
              </w:rPr>
            </w:pPr>
          </w:p>
        </w:tc>
        <w:tc>
          <w:tcPr>
            <w:tcW w:w="1063" w:type="dxa"/>
            <w:noWrap/>
          </w:tcPr>
          <w:p>
            <w:pPr>
              <w:pStyle w:val="2"/>
              <w:jc w:val="center"/>
              <w:rPr>
                <w:rFonts w:ascii="方正仿宋_GBK" w:hAnsi="方正仿宋_GBK" w:eastAsia="方正仿宋_GBK" w:cs="方正仿宋_GBK"/>
                <w:color w:val="auto"/>
                <w:highlight w:val="none"/>
              </w:rPr>
            </w:pPr>
          </w:p>
        </w:tc>
        <w:tc>
          <w:tcPr>
            <w:tcW w:w="1063" w:type="dxa"/>
            <w:noWrap/>
          </w:tcPr>
          <w:p>
            <w:pPr>
              <w:pStyle w:val="2"/>
              <w:jc w:val="center"/>
              <w:rPr>
                <w:rFonts w:ascii="方正仿宋_GBK" w:hAnsi="方正仿宋_GBK" w:eastAsia="方正仿宋_GBK" w:cs="方正仿宋_GBK"/>
                <w:color w:val="auto"/>
                <w:highlight w:val="none"/>
              </w:rPr>
            </w:pPr>
          </w:p>
        </w:tc>
        <w:tc>
          <w:tcPr>
            <w:tcW w:w="1191" w:type="dxa"/>
            <w:noWrap/>
          </w:tcPr>
          <w:p>
            <w:pPr>
              <w:pStyle w:val="2"/>
              <w:jc w:val="center"/>
              <w:rPr>
                <w:rFonts w:ascii="方正仿宋_GBK" w:hAnsi="方正仿宋_GBK" w:eastAsia="方正仿宋_GBK" w:cs="方正仿宋_GBK"/>
                <w:color w:val="auto"/>
                <w:highlight w:val="none"/>
              </w:rPr>
            </w:pPr>
          </w:p>
        </w:tc>
        <w:tc>
          <w:tcPr>
            <w:tcW w:w="907" w:type="dxa"/>
            <w:noWrap/>
          </w:tcPr>
          <w:p>
            <w:pPr>
              <w:pStyle w:val="2"/>
              <w:jc w:val="center"/>
              <w:rPr>
                <w:rFonts w:ascii="方正仿宋_GBK" w:hAnsi="方正仿宋_GBK" w:eastAsia="方正仿宋_GBK" w:cs="方正仿宋_GBK"/>
                <w:color w:val="auto"/>
                <w:highlight w:val="none"/>
              </w:rPr>
            </w:pPr>
          </w:p>
        </w:tc>
        <w:tc>
          <w:tcPr>
            <w:tcW w:w="1983" w:type="dxa"/>
            <w:noWrap/>
          </w:tcPr>
          <w:p>
            <w:pPr>
              <w:pStyle w:val="2"/>
              <w:jc w:val="center"/>
              <w:rPr>
                <w:rFonts w:ascii="方正仿宋_GBK" w:hAnsi="方正仿宋_GBK" w:eastAsia="方正仿宋_GBK" w:cs="方正仿宋_GBK"/>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noWrap/>
          </w:tcPr>
          <w:p>
            <w:pPr>
              <w:pStyle w:val="2"/>
              <w:jc w:val="center"/>
              <w:rPr>
                <w:rFonts w:ascii="方正仿宋_GBK" w:hAnsi="方正仿宋_GBK" w:eastAsia="方正仿宋_GBK" w:cs="方正仿宋_GBK"/>
                <w:color w:val="auto"/>
                <w:highlight w:val="none"/>
              </w:rPr>
            </w:pPr>
          </w:p>
        </w:tc>
        <w:tc>
          <w:tcPr>
            <w:tcW w:w="1589" w:type="dxa"/>
            <w:noWrap/>
          </w:tcPr>
          <w:p>
            <w:pPr>
              <w:pStyle w:val="2"/>
              <w:jc w:val="center"/>
              <w:rPr>
                <w:rFonts w:ascii="方正仿宋_GBK" w:hAnsi="方正仿宋_GBK" w:eastAsia="方正仿宋_GBK" w:cs="方正仿宋_GBK"/>
                <w:color w:val="auto"/>
                <w:highlight w:val="none"/>
              </w:rPr>
            </w:pPr>
          </w:p>
        </w:tc>
        <w:tc>
          <w:tcPr>
            <w:tcW w:w="1183" w:type="dxa"/>
            <w:noWrap/>
          </w:tcPr>
          <w:p>
            <w:pPr>
              <w:pStyle w:val="2"/>
              <w:jc w:val="center"/>
              <w:rPr>
                <w:rFonts w:ascii="方正仿宋_GBK" w:hAnsi="方正仿宋_GBK" w:eastAsia="方正仿宋_GBK" w:cs="方正仿宋_GBK"/>
                <w:color w:val="auto"/>
                <w:highlight w:val="none"/>
              </w:rPr>
            </w:pPr>
          </w:p>
        </w:tc>
        <w:tc>
          <w:tcPr>
            <w:tcW w:w="1436" w:type="dxa"/>
            <w:noWrap/>
          </w:tcPr>
          <w:p>
            <w:pPr>
              <w:pStyle w:val="2"/>
              <w:jc w:val="center"/>
              <w:rPr>
                <w:rFonts w:ascii="方正仿宋_GBK" w:hAnsi="方正仿宋_GBK" w:eastAsia="方正仿宋_GBK" w:cs="方正仿宋_GBK"/>
                <w:color w:val="auto"/>
                <w:highlight w:val="none"/>
              </w:rPr>
            </w:pPr>
          </w:p>
        </w:tc>
        <w:tc>
          <w:tcPr>
            <w:tcW w:w="1318" w:type="dxa"/>
            <w:noWrap/>
          </w:tcPr>
          <w:p>
            <w:pPr>
              <w:pStyle w:val="2"/>
              <w:jc w:val="center"/>
              <w:rPr>
                <w:rFonts w:ascii="方正仿宋_GBK" w:hAnsi="方正仿宋_GBK" w:eastAsia="方正仿宋_GBK" w:cs="方正仿宋_GBK"/>
                <w:color w:val="auto"/>
                <w:highlight w:val="none"/>
              </w:rPr>
            </w:pPr>
          </w:p>
        </w:tc>
        <w:tc>
          <w:tcPr>
            <w:tcW w:w="1297" w:type="dxa"/>
            <w:noWrap/>
          </w:tcPr>
          <w:p>
            <w:pPr>
              <w:pStyle w:val="2"/>
              <w:jc w:val="center"/>
              <w:rPr>
                <w:rFonts w:ascii="方正仿宋_GBK" w:hAnsi="方正仿宋_GBK" w:eastAsia="方正仿宋_GBK" w:cs="方正仿宋_GBK"/>
                <w:color w:val="auto"/>
                <w:highlight w:val="none"/>
              </w:rPr>
            </w:pPr>
          </w:p>
        </w:tc>
        <w:tc>
          <w:tcPr>
            <w:tcW w:w="1317" w:type="dxa"/>
            <w:noWrap/>
          </w:tcPr>
          <w:p>
            <w:pPr>
              <w:pStyle w:val="2"/>
              <w:jc w:val="center"/>
              <w:rPr>
                <w:rFonts w:ascii="方正仿宋_GBK" w:hAnsi="方正仿宋_GBK" w:eastAsia="方正仿宋_GBK" w:cs="方正仿宋_GBK"/>
                <w:color w:val="auto"/>
                <w:highlight w:val="none"/>
              </w:rPr>
            </w:pPr>
          </w:p>
        </w:tc>
        <w:tc>
          <w:tcPr>
            <w:tcW w:w="1063" w:type="dxa"/>
            <w:noWrap/>
          </w:tcPr>
          <w:p>
            <w:pPr>
              <w:pStyle w:val="2"/>
              <w:jc w:val="center"/>
              <w:rPr>
                <w:rFonts w:ascii="方正仿宋_GBK" w:hAnsi="方正仿宋_GBK" w:eastAsia="方正仿宋_GBK" w:cs="方正仿宋_GBK"/>
                <w:color w:val="auto"/>
                <w:highlight w:val="none"/>
              </w:rPr>
            </w:pPr>
          </w:p>
        </w:tc>
        <w:tc>
          <w:tcPr>
            <w:tcW w:w="1063" w:type="dxa"/>
            <w:noWrap/>
          </w:tcPr>
          <w:p>
            <w:pPr>
              <w:pStyle w:val="2"/>
              <w:jc w:val="center"/>
              <w:rPr>
                <w:rFonts w:ascii="方正仿宋_GBK" w:hAnsi="方正仿宋_GBK" w:eastAsia="方正仿宋_GBK" w:cs="方正仿宋_GBK"/>
                <w:color w:val="auto"/>
                <w:highlight w:val="none"/>
              </w:rPr>
            </w:pPr>
          </w:p>
        </w:tc>
        <w:tc>
          <w:tcPr>
            <w:tcW w:w="1191" w:type="dxa"/>
            <w:noWrap/>
          </w:tcPr>
          <w:p>
            <w:pPr>
              <w:pStyle w:val="2"/>
              <w:jc w:val="center"/>
              <w:rPr>
                <w:rFonts w:ascii="方正仿宋_GBK" w:hAnsi="方正仿宋_GBK" w:eastAsia="方正仿宋_GBK" w:cs="方正仿宋_GBK"/>
                <w:color w:val="auto"/>
                <w:highlight w:val="none"/>
              </w:rPr>
            </w:pPr>
          </w:p>
        </w:tc>
        <w:tc>
          <w:tcPr>
            <w:tcW w:w="907" w:type="dxa"/>
            <w:noWrap/>
          </w:tcPr>
          <w:p>
            <w:pPr>
              <w:pStyle w:val="2"/>
              <w:jc w:val="center"/>
              <w:rPr>
                <w:rFonts w:ascii="方正仿宋_GBK" w:hAnsi="方正仿宋_GBK" w:eastAsia="方正仿宋_GBK" w:cs="方正仿宋_GBK"/>
                <w:color w:val="auto"/>
                <w:highlight w:val="none"/>
              </w:rPr>
            </w:pPr>
          </w:p>
        </w:tc>
        <w:tc>
          <w:tcPr>
            <w:tcW w:w="1983" w:type="dxa"/>
            <w:noWrap/>
          </w:tcPr>
          <w:p>
            <w:pPr>
              <w:pStyle w:val="2"/>
              <w:jc w:val="center"/>
              <w:rPr>
                <w:rFonts w:ascii="方正仿宋_GBK" w:hAnsi="方正仿宋_GBK" w:eastAsia="方正仿宋_GBK" w:cs="方正仿宋_GBK"/>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noWrap/>
          </w:tcPr>
          <w:p>
            <w:pPr>
              <w:pStyle w:val="2"/>
              <w:jc w:val="center"/>
              <w:rPr>
                <w:rFonts w:ascii="方正仿宋_GBK" w:hAnsi="方正仿宋_GBK" w:eastAsia="方正仿宋_GBK" w:cs="方正仿宋_GBK"/>
                <w:color w:val="auto"/>
                <w:highlight w:val="none"/>
              </w:rPr>
            </w:pPr>
          </w:p>
        </w:tc>
        <w:tc>
          <w:tcPr>
            <w:tcW w:w="1589" w:type="dxa"/>
            <w:noWrap/>
          </w:tcPr>
          <w:p>
            <w:pPr>
              <w:pStyle w:val="2"/>
              <w:jc w:val="center"/>
              <w:rPr>
                <w:rFonts w:ascii="方正仿宋_GBK" w:hAnsi="方正仿宋_GBK" w:eastAsia="方正仿宋_GBK" w:cs="方正仿宋_GBK"/>
                <w:color w:val="auto"/>
                <w:highlight w:val="none"/>
              </w:rPr>
            </w:pPr>
          </w:p>
        </w:tc>
        <w:tc>
          <w:tcPr>
            <w:tcW w:w="1183" w:type="dxa"/>
            <w:noWrap/>
          </w:tcPr>
          <w:p>
            <w:pPr>
              <w:pStyle w:val="2"/>
              <w:jc w:val="center"/>
              <w:rPr>
                <w:rFonts w:ascii="方正仿宋_GBK" w:hAnsi="方正仿宋_GBK" w:eastAsia="方正仿宋_GBK" w:cs="方正仿宋_GBK"/>
                <w:color w:val="auto"/>
                <w:highlight w:val="none"/>
              </w:rPr>
            </w:pPr>
          </w:p>
        </w:tc>
        <w:tc>
          <w:tcPr>
            <w:tcW w:w="1436" w:type="dxa"/>
            <w:noWrap/>
          </w:tcPr>
          <w:p>
            <w:pPr>
              <w:pStyle w:val="2"/>
              <w:jc w:val="center"/>
              <w:rPr>
                <w:rFonts w:ascii="方正仿宋_GBK" w:hAnsi="方正仿宋_GBK" w:eastAsia="方正仿宋_GBK" w:cs="方正仿宋_GBK"/>
                <w:color w:val="auto"/>
                <w:highlight w:val="none"/>
              </w:rPr>
            </w:pPr>
          </w:p>
        </w:tc>
        <w:tc>
          <w:tcPr>
            <w:tcW w:w="1318" w:type="dxa"/>
            <w:noWrap/>
          </w:tcPr>
          <w:p>
            <w:pPr>
              <w:pStyle w:val="2"/>
              <w:jc w:val="center"/>
              <w:rPr>
                <w:rFonts w:ascii="方正仿宋_GBK" w:hAnsi="方正仿宋_GBK" w:eastAsia="方正仿宋_GBK" w:cs="方正仿宋_GBK"/>
                <w:color w:val="auto"/>
                <w:highlight w:val="none"/>
              </w:rPr>
            </w:pPr>
          </w:p>
        </w:tc>
        <w:tc>
          <w:tcPr>
            <w:tcW w:w="1297" w:type="dxa"/>
            <w:noWrap/>
          </w:tcPr>
          <w:p>
            <w:pPr>
              <w:pStyle w:val="2"/>
              <w:jc w:val="center"/>
              <w:rPr>
                <w:rFonts w:ascii="方正仿宋_GBK" w:hAnsi="方正仿宋_GBK" w:eastAsia="方正仿宋_GBK" w:cs="方正仿宋_GBK"/>
                <w:color w:val="auto"/>
                <w:highlight w:val="none"/>
              </w:rPr>
            </w:pPr>
          </w:p>
        </w:tc>
        <w:tc>
          <w:tcPr>
            <w:tcW w:w="1317" w:type="dxa"/>
            <w:noWrap/>
          </w:tcPr>
          <w:p>
            <w:pPr>
              <w:pStyle w:val="2"/>
              <w:jc w:val="center"/>
              <w:rPr>
                <w:rFonts w:ascii="方正仿宋_GBK" w:hAnsi="方正仿宋_GBK" w:eastAsia="方正仿宋_GBK" w:cs="方正仿宋_GBK"/>
                <w:color w:val="auto"/>
                <w:highlight w:val="none"/>
              </w:rPr>
            </w:pPr>
          </w:p>
        </w:tc>
        <w:tc>
          <w:tcPr>
            <w:tcW w:w="1063" w:type="dxa"/>
            <w:noWrap/>
          </w:tcPr>
          <w:p>
            <w:pPr>
              <w:pStyle w:val="2"/>
              <w:jc w:val="center"/>
              <w:rPr>
                <w:rFonts w:ascii="方正仿宋_GBK" w:hAnsi="方正仿宋_GBK" w:eastAsia="方正仿宋_GBK" w:cs="方正仿宋_GBK"/>
                <w:color w:val="auto"/>
                <w:highlight w:val="none"/>
              </w:rPr>
            </w:pPr>
          </w:p>
        </w:tc>
        <w:tc>
          <w:tcPr>
            <w:tcW w:w="1063" w:type="dxa"/>
            <w:noWrap/>
          </w:tcPr>
          <w:p>
            <w:pPr>
              <w:pStyle w:val="2"/>
              <w:jc w:val="center"/>
              <w:rPr>
                <w:rFonts w:ascii="方正仿宋_GBK" w:hAnsi="方正仿宋_GBK" w:eastAsia="方正仿宋_GBK" w:cs="方正仿宋_GBK"/>
                <w:color w:val="auto"/>
                <w:highlight w:val="none"/>
              </w:rPr>
            </w:pPr>
          </w:p>
        </w:tc>
        <w:tc>
          <w:tcPr>
            <w:tcW w:w="1191" w:type="dxa"/>
            <w:noWrap/>
          </w:tcPr>
          <w:p>
            <w:pPr>
              <w:pStyle w:val="2"/>
              <w:jc w:val="center"/>
              <w:rPr>
                <w:rFonts w:ascii="方正仿宋_GBK" w:hAnsi="方正仿宋_GBK" w:eastAsia="方正仿宋_GBK" w:cs="方正仿宋_GBK"/>
                <w:color w:val="auto"/>
                <w:highlight w:val="none"/>
              </w:rPr>
            </w:pPr>
          </w:p>
        </w:tc>
        <w:tc>
          <w:tcPr>
            <w:tcW w:w="907" w:type="dxa"/>
            <w:noWrap/>
          </w:tcPr>
          <w:p>
            <w:pPr>
              <w:pStyle w:val="2"/>
              <w:jc w:val="center"/>
              <w:rPr>
                <w:rFonts w:ascii="方正仿宋_GBK" w:hAnsi="方正仿宋_GBK" w:eastAsia="方正仿宋_GBK" w:cs="方正仿宋_GBK"/>
                <w:color w:val="auto"/>
                <w:highlight w:val="none"/>
              </w:rPr>
            </w:pPr>
          </w:p>
        </w:tc>
        <w:tc>
          <w:tcPr>
            <w:tcW w:w="1983" w:type="dxa"/>
            <w:noWrap/>
          </w:tcPr>
          <w:p>
            <w:pPr>
              <w:pStyle w:val="2"/>
              <w:jc w:val="center"/>
              <w:rPr>
                <w:rFonts w:ascii="方正仿宋_GBK" w:hAnsi="方正仿宋_GBK" w:eastAsia="方正仿宋_GBK" w:cs="方正仿宋_GBK"/>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noWrap/>
          </w:tcPr>
          <w:p>
            <w:pPr>
              <w:pStyle w:val="2"/>
              <w:jc w:val="center"/>
              <w:rPr>
                <w:rFonts w:ascii="方正仿宋_GBK" w:hAnsi="方正仿宋_GBK" w:eastAsia="方正仿宋_GBK" w:cs="方正仿宋_GBK"/>
                <w:color w:val="auto"/>
                <w:highlight w:val="none"/>
              </w:rPr>
            </w:pPr>
          </w:p>
        </w:tc>
        <w:tc>
          <w:tcPr>
            <w:tcW w:w="1589" w:type="dxa"/>
            <w:noWrap/>
          </w:tcPr>
          <w:p>
            <w:pPr>
              <w:pStyle w:val="2"/>
              <w:jc w:val="center"/>
              <w:rPr>
                <w:rFonts w:ascii="方正仿宋_GBK" w:hAnsi="方正仿宋_GBK" w:eastAsia="方正仿宋_GBK" w:cs="方正仿宋_GBK"/>
                <w:color w:val="auto"/>
                <w:highlight w:val="none"/>
              </w:rPr>
            </w:pPr>
          </w:p>
        </w:tc>
        <w:tc>
          <w:tcPr>
            <w:tcW w:w="1183" w:type="dxa"/>
            <w:noWrap/>
          </w:tcPr>
          <w:p>
            <w:pPr>
              <w:pStyle w:val="2"/>
              <w:jc w:val="center"/>
              <w:rPr>
                <w:rFonts w:ascii="方正仿宋_GBK" w:hAnsi="方正仿宋_GBK" w:eastAsia="方正仿宋_GBK" w:cs="方正仿宋_GBK"/>
                <w:color w:val="auto"/>
                <w:highlight w:val="none"/>
              </w:rPr>
            </w:pPr>
          </w:p>
        </w:tc>
        <w:tc>
          <w:tcPr>
            <w:tcW w:w="1436" w:type="dxa"/>
            <w:noWrap/>
          </w:tcPr>
          <w:p>
            <w:pPr>
              <w:pStyle w:val="2"/>
              <w:jc w:val="center"/>
              <w:rPr>
                <w:rFonts w:ascii="方正仿宋_GBK" w:hAnsi="方正仿宋_GBK" w:eastAsia="方正仿宋_GBK" w:cs="方正仿宋_GBK"/>
                <w:color w:val="auto"/>
                <w:highlight w:val="none"/>
              </w:rPr>
            </w:pPr>
          </w:p>
        </w:tc>
        <w:tc>
          <w:tcPr>
            <w:tcW w:w="1318" w:type="dxa"/>
            <w:noWrap/>
          </w:tcPr>
          <w:p>
            <w:pPr>
              <w:pStyle w:val="2"/>
              <w:jc w:val="center"/>
              <w:rPr>
                <w:rFonts w:ascii="方正仿宋_GBK" w:hAnsi="方正仿宋_GBK" w:eastAsia="方正仿宋_GBK" w:cs="方正仿宋_GBK"/>
                <w:color w:val="auto"/>
                <w:highlight w:val="none"/>
              </w:rPr>
            </w:pPr>
          </w:p>
        </w:tc>
        <w:tc>
          <w:tcPr>
            <w:tcW w:w="1297" w:type="dxa"/>
            <w:noWrap/>
          </w:tcPr>
          <w:p>
            <w:pPr>
              <w:pStyle w:val="2"/>
              <w:jc w:val="center"/>
              <w:rPr>
                <w:rFonts w:ascii="方正仿宋_GBK" w:hAnsi="方正仿宋_GBK" w:eastAsia="方正仿宋_GBK" w:cs="方正仿宋_GBK"/>
                <w:color w:val="auto"/>
                <w:highlight w:val="none"/>
              </w:rPr>
            </w:pPr>
          </w:p>
        </w:tc>
        <w:tc>
          <w:tcPr>
            <w:tcW w:w="1317" w:type="dxa"/>
            <w:noWrap/>
          </w:tcPr>
          <w:p>
            <w:pPr>
              <w:pStyle w:val="2"/>
              <w:jc w:val="center"/>
              <w:rPr>
                <w:rFonts w:ascii="方正仿宋_GBK" w:hAnsi="方正仿宋_GBK" w:eastAsia="方正仿宋_GBK" w:cs="方正仿宋_GBK"/>
                <w:color w:val="auto"/>
                <w:highlight w:val="none"/>
              </w:rPr>
            </w:pPr>
          </w:p>
        </w:tc>
        <w:tc>
          <w:tcPr>
            <w:tcW w:w="1063" w:type="dxa"/>
            <w:noWrap/>
          </w:tcPr>
          <w:p>
            <w:pPr>
              <w:pStyle w:val="2"/>
              <w:jc w:val="center"/>
              <w:rPr>
                <w:rFonts w:ascii="方正仿宋_GBK" w:hAnsi="方正仿宋_GBK" w:eastAsia="方正仿宋_GBK" w:cs="方正仿宋_GBK"/>
                <w:color w:val="auto"/>
                <w:highlight w:val="none"/>
              </w:rPr>
            </w:pPr>
          </w:p>
        </w:tc>
        <w:tc>
          <w:tcPr>
            <w:tcW w:w="1063" w:type="dxa"/>
            <w:noWrap/>
          </w:tcPr>
          <w:p>
            <w:pPr>
              <w:pStyle w:val="2"/>
              <w:jc w:val="center"/>
              <w:rPr>
                <w:rFonts w:ascii="方正仿宋_GBK" w:hAnsi="方正仿宋_GBK" w:eastAsia="方正仿宋_GBK" w:cs="方正仿宋_GBK"/>
                <w:color w:val="auto"/>
                <w:highlight w:val="none"/>
              </w:rPr>
            </w:pPr>
          </w:p>
        </w:tc>
        <w:tc>
          <w:tcPr>
            <w:tcW w:w="1191" w:type="dxa"/>
            <w:noWrap/>
          </w:tcPr>
          <w:p>
            <w:pPr>
              <w:pStyle w:val="2"/>
              <w:jc w:val="center"/>
              <w:rPr>
                <w:rFonts w:ascii="方正仿宋_GBK" w:hAnsi="方正仿宋_GBK" w:eastAsia="方正仿宋_GBK" w:cs="方正仿宋_GBK"/>
                <w:color w:val="auto"/>
                <w:highlight w:val="none"/>
              </w:rPr>
            </w:pPr>
          </w:p>
        </w:tc>
        <w:tc>
          <w:tcPr>
            <w:tcW w:w="907" w:type="dxa"/>
            <w:noWrap/>
          </w:tcPr>
          <w:p>
            <w:pPr>
              <w:pStyle w:val="2"/>
              <w:jc w:val="center"/>
              <w:rPr>
                <w:rFonts w:ascii="方正仿宋_GBK" w:hAnsi="方正仿宋_GBK" w:eastAsia="方正仿宋_GBK" w:cs="方正仿宋_GBK"/>
                <w:color w:val="auto"/>
                <w:highlight w:val="none"/>
              </w:rPr>
            </w:pPr>
          </w:p>
        </w:tc>
        <w:tc>
          <w:tcPr>
            <w:tcW w:w="1983" w:type="dxa"/>
            <w:noWrap/>
          </w:tcPr>
          <w:p>
            <w:pPr>
              <w:pStyle w:val="2"/>
              <w:jc w:val="center"/>
              <w:rPr>
                <w:rFonts w:ascii="方正仿宋_GBK" w:hAnsi="方正仿宋_GBK" w:eastAsia="方正仿宋_GBK" w:cs="方正仿宋_GBK"/>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 w:type="dxa"/>
            <w:noWrap/>
          </w:tcPr>
          <w:p>
            <w:pPr>
              <w:pStyle w:val="2"/>
              <w:jc w:val="center"/>
              <w:rPr>
                <w:rFonts w:ascii="方正仿宋_GBK" w:hAnsi="方正仿宋_GBK" w:eastAsia="方正仿宋_GBK" w:cs="方正仿宋_GBK"/>
                <w:color w:val="auto"/>
                <w:highlight w:val="none"/>
              </w:rPr>
            </w:pPr>
          </w:p>
        </w:tc>
        <w:tc>
          <w:tcPr>
            <w:tcW w:w="1589" w:type="dxa"/>
            <w:noWrap/>
          </w:tcPr>
          <w:p>
            <w:pPr>
              <w:pStyle w:val="2"/>
              <w:jc w:val="center"/>
              <w:rPr>
                <w:rFonts w:ascii="方正仿宋_GBK" w:hAnsi="方正仿宋_GBK" w:eastAsia="方正仿宋_GBK" w:cs="方正仿宋_GBK"/>
                <w:color w:val="auto"/>
                <w:highlight w:val="none"/>
              </w:rPr>
            </w:pPr>
          </w:p>
        </w:tc>
        <w:tc>
          <w:tcPr>
            <w:tcW w:w="1183" w:type="dxa"/>
            <w:noWrap/>
          </w:tcPr>
          <w:p>
            <w:pPr>
              <w:pStyle w:val="2"/>
              <w:jc w:val="center"/>
              <w:rPr>
                <w:rFonts w:ascii="方正仿宋_GBK" w:hAnsi="方正仿宋_GBK" w:eastAsia="方正仿宋_GBK" w:cs="方正仿宋_GBK"/>
                <w:color w:val="auto"/>
                <w:highlight w:val="none"/>
              </w:rPr>
            </w:pPr>
          </w:p>
        </w:tc>
        <w:tc>
          <w:tcPr>
            <w:tcW w:w="1436" w:type="dxa"/>
            <w:noWrap/>
          </w:tcPr>
          <w:p>
            <w:pPr>
              <w:pStyle w:val="2"/>
              <w:jc w:val="center"/>
              <w:rPr>
                <w:rFonts w:ascii="方正仿宋_GBK" w:hAnsi="方正仿宋_GBK" w:eastAsia="方正仿宋_GBK" w:cs="方正仿宋_GBK"/>
                <w:color w:val="auto"/>
                <w:highlight w:val="none"/>
              </w:rPr>
            </w:pPr>
          </w:p>
        </w:tc>
        <w:tc>
          <w:tcPr>
            <w:tcW w:w="1318" w:type="dxa"/>
            <w:noWrap/>
          </w:tcPr>
          <w:p>
            <w:pPr>
              <w:pStyle w:val="2"/>
              <w:jc w:val="center"/>
              <w:rPr>
                <w:rFonts w:ascii="方正仿宋_GBK" w:hAnsi="方正仿宋_GBK" w:eastAsia="方正仿宋_GBK" w:cs="方正仿宋_GBK"/>
                <w:color w:val="auto"/>
                <w:highlight w:val="none"/>
              </w:rPr>
            </w:pPr>
          </w:p>
        </w:tc>
        <w:tc>
          <w:tcPr>
            <w:tcW w:w="1297" w:type="dxa"/>
            <w:noWrap/>
          </w:tcPr>
          <w:p>
            <w:pPr>
              <w:pStyle w:val="2"/>
              <w:jc w:val="center"/>
              <w:rPr>
                <w:rFonts w:ascii="方正仿宋_GBK" w:hAnsi="方正仿宋_GBK" w:eastAsia="方正仿宋_GBK" w:cs="方正仿宋_GBK"/>
                <w:color w:val="auto"/>
                <w:highlight w:val="none"/>
              </w:rPr>
            </w:pPr>
          </w:p>
        </w:tc>
        <w:tc>
          <w:tcPr>
            <w:tcW w:w="1317" w:type="dxa"/>
            <w:noWrap/>
          </w:tcPr>
          <w:p>
            <w:pPr>
              <w:pStyle w:val="2"/>
              <w:jc w:val="center"/>
              <w:rPr>
                <w:rFonts w:ascii="方正仿宋_GBK" w:hAnsi="方正仿宋_GBK" w:eastAsia="方正仿宋_GBK" w:cs="方正仿宋_GBK"/>
                <w:color w:val="auto"/>
                <w:highlight w:val="none"/>
              </w:rPr>
            </w:pPr>
          </w:p>
        </w:tc>
        <w:tc>
          <w:tcPr>
            <w:tcW w:w="1063" w:type="dxa"/>
            <w:noWrap/>
          </w:tcPr>
          <w:p>
            <w:pPr>
              <w:pStyle w:val="2"/>
              <w:jc w:val="center"/>
              <w:rPr>
                <w:rFonts w:ascii="方正仿宋_GBK" w:hAnsi="方正仿宋_GBK" w:eastAsia="方正仿宋_GBK" w:cs="方正仿宋_GBK"/>
                <w:color w:val="auto"/>
                <w:highlight w:val="none"/>
              </w:rPr>
            </w:pPr>
          </w:p>
        </w:tc>
        <w:tc>
          <w:tcPr>
            <w:tcW w:w="1063" w:type="dxa"/>
            <w:noWrap/>
          </w:tcPr>
          <w:p>
            <w:pPr>
              <w:pStyle w:val="2"/>
              <w:jc w:val="center"/>
              <w:rPr>
                <w:rFonts w:ascii="方正仿宋_GBK" w:hAnsi="方正仿宋_GBK" w:eastAsia="方正仿宋_GBK" w:cs="方正仿宋_GBK"/>
                <w:color w:val="auto"/>
                <w:highlight w:val="none"/>
              </w:rPr>
            </w:pPr>
          </w:p>
        </w:tc>
        <w:tc>
          <w:tcPr>
            <w:tcW w:w="1191" w:type="dxa"/>
            <w:noWrap/>
          </w:tcPr>
          <w:p>
            <w:pPr>
              <w:pStyle w:val="2"/>
              <w:jc w:val="center"/>
              <w:rPr>
                <w:rFonts w:ascii="方正仿宋_GBK" w:hAnsi="方正仿宋_GBK" w:eastAsia="方正仿宋_GBK" w:cs="方正仿宋_GBK"/>
                <w:color w:val="auto"/>
                <w:highlight w:val="none"/>
              </w:rPr>
            </w:pPr>
          </w:p>
        </w:tc>
        <w:tc>
          <w:tcPr>
            <w:tcW w:w="907" w:type="dxa"/>
            <w:noWrap/>
          </w:tcPr>
          <w:p>
            <w:pPr>
              <w:pStyle w:val="2"/>
              <w:jc w:val="center"/>
              <w:rPr>
                <w:rFonts w:ascii="方正仿宋_GBK" w:hAnsi="方正仿宋_GBK" w:eastAsia="方正仿宋_GBK" w:cs="方正仿宋_GBK"/>
                <w:color w:val="auto"/>
                <w:highlight w:val="none"/>
              </w:rPr>
            </w:pPr>
          </w:p>
        </w:tc>
        <w:tc>
          <w:tcPr>
            <w:tcW w:w="1983" w:type="dxa"/>
            <w:noWrap/>
          </w:tcPr>
          <w:p>
            <w:pPr>
              <w:pStyle w:val="2"/>
              <w:jc w:val="center"/>
              <w:rPr>
                <w:rFonts w:ascii="方正仿宋_GBK" w:hAnsi="方正仿宋_GBK" w:eastAsia="方正仿宋_GBK" w:cs="方正仿宋_GBK"/>
                <w:color w:val="auto"/>
                <w:highlight w:val="none"/>
              </w:rPr>
            </w:pPr>
          </w:p>
        </w:tc>
      </w:tr>
    </w:tbl>
    <w:p>
      <w:pPr>
        <w:tabs>
          <w:tab w:val="left" w:pos="1365"/>
        </w:tabs>
        <w:jc w:val="left"/>
        <w:rPr>
          <w:rFonts w:ascii="方正仿宋_GBK" w:hAnsi="方正仿宋_GBK" w:eastAsia="方正仿宋_GBK" w:cs="方正仿宋_GBK"/>
          <w:color w:val="auto"/>
          <w:sz w:val="18"/>
          <w:szCs w:val="18"/>
          <w:highlight w:val="none"/>
        </w:rPr>
      </w:pPr>
      <w:r>
        <w:rPr>
          <w:rFonts w:hint="eastAsia" w:ascii="方正仿宋_GBK" w:hAnsi="方正仿宋_GBK" w:eastAsia="方正仿宋_GBK" w:cs="方正仿宋_GBK"/>
          <w:color w:val="auto"/>
          <w:sz w:val="18"/>
          <w:szCs w:val="18"/>
          <w:highlight w:val="none"/>
        </w:rPr>
        <w:t>调查者：                            调查日期：                               第   页 共   页</w:t>
      </w:r>
    </w:p>
    <w:p>
      <w:pPr>
        <w:pStyle w:val="2"/>
        <w:ind w:right="1260"/>
        <w:jc w:val="left"/>
        <w:rPr>
          <w:rFonts w:ascii="方正仿宋_GBK" w:hAnsi="方正仿宋_GBK" w:eastAsia="方正仿宋_GBK" w:cs="方正仿宋_GBK"/>
          <w:color w:val="auto"/>
          <w:sz w:val="18"/>
          <w:szCs w:val="18"/>
          <w:highlight w:val="none"/>
        </w:rPr>
        <w:sectPr>
          <w:pgSz w:w="16838" w:h="11906" w:orient="landscape"/>
          <w:pgMar w:top="1417" w:right="851" w:bottom="1021" w:left="851" w:header="851" w:footer="992" w:gutter="0"/>
          <w:cols w:space="720" w:num="1"/>
          <w:docGrid w:type="lines" w:linePitch="325" w:charSpace="0"/>
        </w:sectPr>
      </w:pPr>
    </w:p>
    <w:p>
      <w:pPr>
        <w:jc w:val="center"/>
        <w:outlineLvl w:val="1"/>
        <w:rPr>
          <w:rFonts w:eastAsia="仿宋"/>
          <w:b/>
          <w:bCs/>
          <w:color w:val="auto"/>
          <w:sz w:val="28"/>
          <w:szCs w:val="28"/>
          <w:highlight w:val="none"/>
        </w:rPr>
      </w:pPr>
      <w:bookmarkStart w:id="667" w:name="_Toc79654138"/>
      <w:bookmarkStart w:id="668" w:name="_Toc11593"/>
      <w:bookmarkStart w:id="669" w:name="_Toc32320"/>
      <w:bookmarkStart w:id="670" w:name="_Toc23886"/>
      <w:bookmarkStart w:id="671" w:name="_Toc168"/>
      <w:bookmarkStart w:id="672" w:name="_Toc21886"/>
      <w:bookmarkStart w:id="673" w:name="_Toc11011"/>
      <w:bookmarkStart w:id="674" w:name="_Toc14795"/>
      <w:bookmarkStart w:id="675" w:name="_Toc29046"/>
      <w:r>
        <w:rPr>
          <w:rFonts w:hint="eastAsia" w:eastAsia="仿宋"/>
          <w:b/>
          <w:bCs/>
          <w:color w:val="auto"/>
          <w:sz w:val="28"/>
          <w:szCs w:val="28"/>
          <w:highlight w:val="none"/>
        </w:rPr>
        <w:t>附录M 安全风险隐患类别代码表</w:t>
      </w:r>
      <w:bookmarkEnd w:id="667"/>
      <w:bookmarkEnd w:id="668"/>
      <w:bookmarkEnd w:id="669"/>
      <w:bookmarkEnd w:id="670"/>
      <w:bookmarkEnd w:id="671"/>
      <w:bookmarkEnd w:id="672"/>
      <w:bookmarkEnd w:id="673"/>
      <w:bookmarkEnd w:id="674"/>
      <w:bookmarkEnd w:id="675"/>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1877"/>
        <w:gridCol w:w="1878"/>
        <w:gridCol w:w="3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877" w:type="dxa"/>
            <w:noWrap/>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一类代码</w:t>
            </w:r>
          </w:p>
        </w:tc>
        <w:tc>
          <w:tcPr>
            <w:tcW w:w="1877" w:type="dxa"/>
            <w:noWrap/>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名称</w:t>
            </w:r>
          </w:p>
        </w:tc>
        <w:tc>
          <w:tcPr>
            <w:tcW w:w="1878" w:type="dxa"/>
            <w:noWrap/>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二类代码</w:t>
            </w:r>
          </w:p>
        </w:tc>
        <w:tc>
          <w:tcPr>
            <w:tcW w:w="3183" w:type="dxa"/>
            <w:noWrap/>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877" w:type="dxa"/>
            <w:vMerge w:val="restart"/>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A</w:t>
            </w:r>
          </w:p>
        </w:tc>
        <w:tc>
          <w:tcPr>
            <w:tcW w:w="1877" w:type="dxa"/>
            <w:vMerge w:val="restart"/>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基础管理</w:t>
            </w: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01</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资质证照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auto"/>
                <w:szCs w:val="21"/>
                <w:highlight w:val="none"/>
              </w:rPr>
            </w:pPr>
          </w:p>
        </w:tc>
        <w:tc>
          <w:tcPr>
            <w:tcW w:w="1877" w:type="dxa"/>
            <w:vMerge w:val="continue"/>
            <w:noWrap/>
            <w:vAlign w:val="center"/>
          </w:tcPr>
          <w:p>
            <w:pPr>
              <w:jc w:val="center"/>
              <w:rPr>
                <w:rFonts w:ascii="仿宋" w:hAnsi="仿宋" w:eastAsia="仿宋" w:cs="仿宋"/>
                <w:color w:val="auto"/>
                <w:szCs w:val="21"/>
                <w:highlight w:val="none"/>
              </w:rPr>
            </w:pP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02</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安全生产管理机构及人员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auto"/>
                <w:szCs w:val="21"/>
                <w:highlight w:val="none"/>
              </w:rPr>
            </w:pPr>
          </w:p>
        </w:tc>
        <w:tc>
          <w:tcPr>
            <w:tcW w:w="1877" w:type="dxa"/>
            <w:vMerge w:val="continue"/>
            <w:noWrap/>
            <w:vAlign w:val="center"/>
          </w:tcPr>
          <w:p>
            <w:pPr>
              <w:jc w:val="center"/>
              <w:rPr>
                <w:rFonts w:ascii="仿宋" w:hAnsi="仿宋" w:eastAsia="仿宋" w:cs="仿宋"/>
                <w:color w:val="auto"/>
                <w:szCs w:val="21"/>
                <w:highlight w:val="none"/>
              </w:rPr>
            </w:pP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03</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安全规章制度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auto"/>
                <w:szCs w:val="21"/>
                <w:highlight w:val="none"/>
              </w:rPr>
            </w:pPr>
          </w:p>
        </w:tc>
        <w:tc>
          <w:tcPr>
            <w:tcW w:w="1877" w:type="dxa"/>
            <w:vMerge w:val="continue"/>
            <w:noWrap/>
            <w:vAlign w:val="center"/>
          </w:tcPr>
          <w:p>
            <w:pPr>
              <w:jc w:val="center"/>
              <w:rPr>
                <w:rFonts w:ascii="仿宋" w:hAnsi="仿宋" w:eastAsia="仿宋" w:cs="仿宋"/>
                <w:color w:val="auto"/>
                <w:szCs w:val="21"/>
                <w:highlight w:val="none"/>
              </w:rPr>
            </w:pP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04</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安全培训教育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auto"/>
                <w:szCs w:val="21"/>
                <w:highlight w:val="none"/>
              </w:rPr>
            </w:pPr>
          </w:p>
        </w:tc>
        <w:tc>
          <w:tcPr>
            <w:tcW w:w="1877" w:type="dxa"/>
            <w:vMerge w:val="continue"/>
            <w:noWrap/>
            <w:vAlign w:val="center"/>
          </w:tcPr>
          <w:p>
            <w:pPr>
              <w:jc w:val="center"/>
              <w:rPr>
                <w:rFonts w:ascii="仿宋" w:hAnsi="仿宋" w:eastAsia="仿宋" w:cs="仿宋"/>
                <w:color w:val="auto"/>
                <w:szCs w:val="21"/>
                <w:highlight w:val="none"/>
              </w:rPr>
            </w:pP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05</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安全投入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auto"/>
                <w:szCs w:val="21"/>
                <w:highlight w:val="none"/>
              </w:rPr>
            </w:pPr>
          </w:p>
        </w:tc>
        <w:tc>
          <w:tcPr>
            <w:tcW w:w="1877" w:type="dxa"/>
            <w:vMerge w:val="continue"/>
            <w:noWrap/>
            <w:vAlign w:val="center"/>
          </w:tcPr>
          <w:p>
            <w:pPr>
              <w:jc w:val="center"/>
              <w:rPr>
                <w:rFonts w:ascii="仿宋" w:hAnsi="仿宋" w:eastAsia="仿宋" w:cs="仿宋"/>
                <w:color w:val="auto"/>
                <w:szCs w:val="21"/>
                <w:highlight w:val="none"/>
              </w:rPr>
            </w:pP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06</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相关方面管理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auto"/>
                <w:szCs w:val="21"/>
                <w:highlight w:val="none"/>
              </w:rPr>
            </w:pPr>
          </w:p>
        </w:tc>
        <w:tc>
          <w:tcPr>
            <w:tcW w:w="1877" w:type="dxa"/>
            <w:vMerge w:val="continue"/>
            <w:noWrap/>
            <w:vAlign w:val="center"/>
          </w:tcPr>
          <w:p>
            <w:pPr>
              <w:jc w:val="center"/>
              <w:rPr>
                <w:rFonts w:ascii="仿宋" w:hAnsi="仿宋" w:eastAsia="仿宋" w:cs="仿宋"/>
                <w:color w:val="auto"/>
                <w:szCs w:val="21"/>
                <w:highlight w:val="none"/>
              </w:rPr>
            </w:pP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07</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重大危险源管理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auto"/>
                <w:szCs w:val="21"/>
                <w:highlight w:val="none"/>
              </w:rPr>
            </w:pPr>
          </w:p>
        </w:tc>
        <w:tc>
          <w:tcPr>
            <w:tcW w:w="1877" w:type="dxa"/>
            <w:vMerge w:val="continue"/>
            <w:noWrap/>
            <w:vAlign w:val="center"/>
          </w:tcPr>
          <w:p>
            <w:pPr>
              <w:jc w:val="center"/>
              <w:rPr>
                <w:rFonts w:ascii="仿宋" w:hAnsi="仿宋" w:eastAsia="仿宋" w:cs="仿宋"/>
                <w:color w:val="auto"/>
                <w:szCs w:val="21"/>
                <w:highlight w:val="none"/>
              </w:rPr>
            </w:pP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08</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个体防护装备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auto"/>
                <w:szCs w:val="21"/>
                <w:highlight w:val="none"/>
              </w:rPr>
            </w:pPr>
          </w:p>
        </w:tc>
        <w:tc>
          <w:tcPr>
            <w:tcW w:w="1877" w:type="dxa"/>
            <w:vMerge w:val="continue"/>
            <w:noWrap/>
            <w:vAlign w:val="center"/>
          </w:tcPr>
          <w:p>
            <w:pPr>
              <w:jc w:val="center"/>
              <w:rPr>
                <w:rFonts w:ascii="仿宋" w:hAnsi="仿宋" w:eastAsia="仿宋" w:cs="仿宋"/>
                <w:color w:val="auto"/>
                <w:szCs w:val="21"/>
                <w:highlight w:val="none"/>
              </w:rPr>
            </w:pP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09</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职业健康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auto"/>
                <w:szCs w:val="21"/>
                <w:highlight w:val="none"/>
              </w:rPr>
            </w:pPr>
          </w:p>
        </w:tc>
        <w:tc>
          <w:tcPr>
            <w:tcW w:w="1877" w:type="dxa"/>
            <w:vMerge w:val="continue"/>
            <w:noWrap/>
            <w:vAlign w:val="center"/>
          </w:tcPr>
          <w:p>
            <w:pPr>
              <w:jc w:val="center"/>
              <w:rPr>
                <w:rFonts w:ascii="仿宋" w:hAnsi="仿宋" w:eastAsia="仿宋" w:cs="仿宋"/>
                <w:color w:val="auto"/>
                <w:szCs w:val="21"/>
                <w:highlight w:val="none"/>
              </w:rPr>
            </w:pP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应急管理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auto"/>
                <w:szCs w:val="21"/>
                <w:highlight w:val="none"/>
              </w:rPr>
            </w:pPr>
          </w:p>
        </w:tc>
        <w:tc>
          <w:tcPr>
            <w:tcW w:w="1877" w:type="dxa"/>
            <w:vMerge w:val="continue"/>
            <w:noWrap/>
            <w:vAlign w:val="center"/>
          </w:tcPr>
          <w:p>
            <w:pPr>
              <w:jc w:val="center"/>
              <w:rPr>
                <w:rFonts w:ascii="仿宋" w:hAnsi="仿宋" w:eastAsia="仿宋" w:cs="仿宋"/>
                <w:color w:val="auto"/>
                <w:szCs w:val="21"/>
                <w:highlight w:val="none"/>
              </w:rPr>
            </w:pP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11</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隐患排查管理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auto"/>
                <w:szCs w:val="21"/>
                <w:highlight w:val="none"/>
              </w:rPr>
            </w:pPr>
          </w:p>
        </w:tc>
        <w:tc>
          <w:tcPr>
            <w:tcW w:w="1877" w:type="dxa"/>
            <w:vMerge w:val="continue"/>
            <w:noWrap/>
            <w:vAlign w:val="center"/>
          </w:tcPr>
          <w:p>
            <w:pPr>
              <w:jc w:val="center"/>
              <w:rPr>
                <w:rFonts w:ascii="仿宋" w:hAnsi="仿宋" w:eastAsia="仿宋" w:cs="仿宋"/>
                <w:color w:val="auto"/>
                <w:szCs w:val="21"/>
                <w:highlight w:val="none"/>
              </w:rPr>
            </w:pP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12</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事故报告、调查和处理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auto"/>
                <w:szCs w:val="21"/>
                <w:highlight w:val="none"/>
              </w:rPr>
            </w:pPr>
          </w:p>
        </w:tc>
        <w:tc>
          <w:tcPr>
            <w:tcW w:w="1877" w:type="dxa"/>
            <w:vMerge w:val="continue"/>
            <w:noWrap/>
            <w:vAlign w:val="center"/>
          </w:tcPr>
          <w:p>
            <w:pPr>
              <w:jc w:val="center"/>
              <w:rPr>
                <w:rFonts w:ascii="仿宋" w:hAnsi="仿宋" w:eastAsia="仿宋" w:cs="仿宋"/>
                <w:color w:val="auto"/>
                <w:szCs w:val="21"/>
                <w:highlight w:val="none"/>
              </w:rPr>
            </w:pP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13</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废弃管线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auto"/>
                <w:szCs w:val="21"/>
                <w:highlight w:val="none"/>
              </w:rPr>
            </w:pPr>
          </w:p>
        </w:tc>
        <w:tc>
          <w:tcPr>
            <w:tcW w:w="1877" w:type="dxa"/>
            <w:vMerge w:val="continue"/>
            <w:noWrap/>
            <w:vAlign w:val="center"/>
          </w:tcPr>
          <w:p>
            <w:pPr>
              <w:jc w:val="center"/>
              <w:rPr>
                <w:rFonts w:ascii="仿宋" w:hAnsi="仿宋" w:eastAsia="仿宋" w:cs="仿宋"/>
                <w:color w:val="auto"/>
                <w:szCs w:val="21"/>
                <w:highlight w:val="none"/>
              </w:rPr>
            </w:pP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99</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其他基础管理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restart"/>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B</w:t>
            </w:r>
          </w:p>
        </w:tc>
        <w:tc>
          <w:tcPr>
            <w:tcW w:w="1877" w:type="dxa"/>
            <w:vMerge w:val="restart"/>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现场管理</w:t>
            </w: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01</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auto"/>
                <w:szCs w:val="21"/>
                <w:highlight w:val="none"/>
              </w:rPr>
            </w:pPr>
          </w:p>
        </w:tc>
        <w:tc>
          <w:tcPr>
            <w:tcW w:w="1877" w:type="dxa"/>
            <w:vMerge w:val="continue"/>
            <w:noWrap/>
            <w:vAlign w:val="center"/>
          </w:tcPr>
          <w:p>
            <w:pPr>
              <w:jc w:val="center"/>
              <w:rPr>
                <w:rFonts w:ascii="仿宋" w:hAnsi="仿宋" w:eastAsia="仿宋" w:cs="仿宋"/>
                <w:color w:val="auto"/>
                <w:szCs w:val="21"/>
                <w:highlight w:val="none"/>
              </w:rPr>
            </w:pP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02</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设备设施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auto"/>
                <w:szCs w:val="21"/>
                <w:highlight w:val="none"/>
              </w:rPr>
            </w:pPr>
          </w:p>
        </w:tc>
        <w:tc>
          <w:tcPr>
            <w:tcW w:w="1877" w:type="dxa"/>
            <w:vMerge w:val="continue"/>
            <w:noWrap/>
            <w:vAlign w:val="center"/>
          </w:tcPr>
          <w:p>
            <w:pPr>
              <w:jc w:val="center"/>
              <w:rPr>
                <w:rFonts w:ascii="仿宋" w:hAnsi="仿宋" w:eastAsia="仿宋" w:cs="仿宋"/>
                <w:color w:val="auto"/>
                <w:szCs w:val="21"/>
                <w:highlight w:val="none"/>
              </w:rPr>
            </w:pP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03</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防护、保险、信号等装置装备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auto"/>
                <w:szCs w:val="21"/>
                <w:highlight w:val="none"/>
              </w:rPr>
            </w:pPr>
          </w:p>
        </w:tc>
        <w:tc>
          <w:tcPr>
            <w:tcW w:w="1877" w:type="dxa"/>
            <w:vMerge w:val="continue"/>
            <w:noWrap/>
            <w:vAlign w:val="center"/>
          </w:tcPr>
          <w:p>
            <w:pPr>
              <w:jc w:val="center"/>
              <w:rPr>
                <w:rFonts w:ascii="仿宋" w:hAnsi="仿宋" w:eastAsia="仿宋" w:cs="仿宋"/>
                <w:color w:val="auto"/>
                <w:szCs w:val="21"/>
                <w:highlight w:val="none"/>
              </w:rPr>
            </w:pP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04</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原辅物料、产品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auto"/>
                <w:szCs w:val="21"/>
                <w:highlight w:val="none"/>
              </w:rPr>
            </w:pPr>
          </w:p>
        </w:tc>
        <w:tc>
          <w:tcPr>
            <w:tcW w:w="1877" w:type="dxa"/>
            <w:vMerge w:val="continue"/>
            <w:noWrap/>
            <w:vAlign w:val="center"/>
          </w:tcPr>
          <w:p>
            <w:pPr>
              <w:jc w:val="center"/>
              <w:rPr>
                <w:rFonts w:ascii="仿宋" w:hAnsi="仿宋" w:eastAsia="仿宋" w:cs="仿宋"/>
                <w:color w:val="auto"/>
                <w:szCs w:val="21"/>
                <w:highlight w:val="none"/>
              </w:rPr>
            </w:pP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05</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职业病危害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auto"/>
                <w:szCs w:val="21"/>
                <w:highlight w:val="none"/>
              </w:rPr>
            </w:pPr>
          </w:p>
        </w:tc>
        <w:tc>
          <w:tcPr>
            <w:tcW w:w="1877" w:type="dxa"/>
            <w:vMerge w:val="continue"/>
            <w:noWrap/>
            <w:vAlign w:val="center"/>
          </w:tcPr>
          <w:p>
            <w:pPr>
              <w:jc w:val="center"/>
              <w:rPr>
                <w:rFonts w:ascii="仿宋" w:hAnsi="仿宋" w:eastAsia="仿宋" w:cs="仿宋"/>
                <w:color w:val="auto"/>
                <w:szCs w:val="21"/>
                <w:highlight w:val="none"/>
              </w:rPr>
            </w:pP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06</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相关方作业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auto"/>
                <w:szCs w:val="21"/>
                <w:highlight w:val="none"/>
              </w:rPr>
            </w:pPr>
          </w:p>
        </w:tc>
        <w:tc>
          <w:tcPr>
            <w:tcW w:w="1877" w:type="dxa"/>
            <w:vMerge w:val="continue"/>
            <w:noWrap/>
            <w:vAlign w:val="center"/>
          </w:tcPr>
          <w:p>
            <w:pPr>
              <w:jc w:val="center"/>
              <w:rPr>
                <w:rFonts w:ascii="仿宋" w:hAnsi="仿宋" w:eastAsia="仿宋" w:cs="仿宋"/>
                <w:color w:val="auto"/>
                <w:szCs w:val="21"/>
                <w:highlight w:val="none"/>
              </w:rPr>
            </w:pPr>
          </w:p>
        </w:tc>
        <w:tc>
          <w:tcPr>
            <w:tcW w:w="1878"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07</w:t>
            </w:r>
          </w:p>
        </w:tc>
        <w:tc>
          <w:tcPr>
            <w:tcW w:w="3183" w:type="dxa"/>
            <w:noWrap/>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安全技能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000000"/>
                <w:szCs w:val="21"/>
                <w:highlight w:val="none"/>
              </w:rPr>
            </w:pPr>
          </w:p>
        </w:tc>
        <w:tc>
          <w:tcPr>
            <w:tcW w:w="1877" w:type="dxa"/>
            <w:vMerge w:val="continue"/>
            <w:noWrap/>
            <w:vAlign w:val="center"/>
          </w:tcPr>
          <w:p>
            <w:pPr>
              <w:jc w:val="center"/>
              <w:rPr>
                <w:rFonts w:ascii="仿宋" w:hAnsi="仿宋" w:eastAsia="仿宋" w:cs="仿宋"/>
                <w:color w:val="000000"/>
                <w:szCs w:val="21"/>
                <w:highlight w:val="none"/>
              </w:rPr>
            </w:pPr>
          </w:p>
        </w:tc>
        <w:tc>
          <w:tcPr>
            <w:tcW w:w="1878" w:type="dxa"/>
            <w:noWrap/>
            <w:vAlign w:val="center"/>
          </w:tcPr>
          <w:p>
            <w:pPr>
              <w:jc w:val="center"/>
              <w:rPr>
                <w:rFonts w:ascii="仿宋" w:hAnsi="仿宋" w:eastAsia="仿宋" w:cs="仿宋"/>
                <w:color w:val="000000"/>
                <w:szCs w:val="21"/>
                <w:highlight w:val="none"/>
              </w:rPr>
            </w:pPr>
            <w:r>
              <w:rPr>
                <w:rFonts w:hint="eastAsia" w:ascii="仿宋" w:hAnsi="仿宋" w:eastAsia="仿宋" w:cs="仿宋"/>
                <w:color w:val="000000"/>
                <w:szCs w:val="21"/>
                <w:highlight w:val="none"/>
              </w:rPr>
              <w:t>08</w:t>
            </w:r>
          </w:p>
        </w:tc>
        <w:tc>
          <w:tcPr>
            <w:tcW w:w="3183" w:type="dxa"/>
            <w:noWrap/>
            <w:vAlign w:val="center"/>
          </w:tcPr>
          <w:p>
            <w:pPr>
              <w:jc w:val="center"/>
              <w:rPr>
                <w:rFonts w:ascii="仿宋" w:hAnsi="仿宋" w:eastAsia="仿宋" w:cs="仿宋"/>
                <w:color w:val="000000"/>
                <w:szCs w:val="21"/>
                <w:highlight w:val="none"/>
              </w:rPr>
            </w:pPr>
            <w:r>
              <w:rPr>
                <w:rFonts w:hint="eastAsia" w:ascii="仿宋" w:hAnsi="仿宋" w:eastAsia="仿宋" w:cs="仿宋"/>
                <w:color w:val="000000"/>
                <w:szCs w:val="21"/>
                <w:highlight w:val="none"/>
              </w:rPr>
              <w:t>个体防护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000000"/>
                <w:szCs w:val="21"/>
                <w:highlight w:val="none"/>
              </w:rPr>
            </w:pPr>
          </w:p>
        </w:tc>
        <w:tc>
          <w:tcPr>
            <w:tcW w:w="1877" w:type="dxa"/>
            <w:vMerge w:val="continue"/>
            <w:noWrap/>
            <w:vAlign w:val="center"/>
          </w:tcPr>
          <w:p>
            <w:pPr>
              <w:jc w:val="center"/>
              <w:rPr>
                <w:rFonts w:ascii="仿宋" w:hAnsi="仿宋" w:eastAsia="仿宋" w:cs="仿宋"/>
                <w:color w:val="000000"/>
                <w:szCs w:val="21"/>
                <w:highlight w:val="none"/>
              </w:rPr>
            </w:pPr>
          </w:p>
        </w:tc>
        <w:tc>
          <w:tcPr>
            <w:tcW w:w="1878" w:type="dxa"/>
            <w:noWrap/>
            <w:vAlign w:val="center"/>
          </w:tcPr>
          <w:p>
            <w:pPr>
              <w:jc w:val="center"/>
              <w:rPr>
                <w:rFonts w:ascii="仿宋" w:hAnsi="仿宋" w:eastAsia="仿宋" w:cs="仿宋"/>
                <w:color w:val="000000"/>
                <w:szCs w:val="21"/>
                <w:highlight w:val="none"/>
              </w:rPr>
            </w:pPr>
            <w:r>
              <w:rPr>
                <w:rFonts w:hint="eastAsia" w:ascii="仿宋" w:hAnsi="仿宋" w:eastAsia="仿宋" w:cs="仿宋"/>
                <w:color w:val="000000"/>
                <w:szCs w:val="21"/>
                <w:highlight w:val="none"/>
              </w:rPr>
              <w:t>09</w:t>
            </w:r>
          </w:p>
        </w:tc>
        <w:tc>
          <w:tcPr>
            <w:tcW w:w="3183" w:type="dxa"/>
            <w:noWrap/>
            <w:vAlign w:val="center"/>
          </w:tcPr>
          <w:p>
            <w:pPr>
              <w:jc w:val="center"/>
              <w:rPr>
                <w:rFonts w:ascii="仿宋" w:hAnsi="仿宋" w:eastAsia="仿宋" w:cs="仿宋"/>
                <w:color w:val="000000"/>
                <w:szCs w:val="21"/>
                <w:highlight w:val="none"/>
              </w:rPr>
            </w:pPr>
            <w:r>
              <w:rPr>
                <w:rFonts w:hint="eastAsia" w:ascii="仿宋" w:hAnsi="仿宋" w:eastAsia="仿宋" w:cs="仿宋"/>
                <w:color w:val="000000"/>
                <w:szCs w:val="21"/>
                <w:highlight w:val="none"/>
              </w:rPr>
              <w:t>作业许可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77" w:type="dxa"/>
            <w:vMerge w:val="continue"/>
            <w:noWrap/>
            <w:vAlign w:val="center"/>
          </w:tcPr>
          <w:p>
            <w:pPr>
              <w:jc w:val="center"/>
              <w:rPr>
                <w:rFonts w:ascii="仿宋" w:hAnsi="仿宋" w:eastAsia="仿宋" w:cs="仿宋"/>
                <w:color w:val="000000"/>
                <w:szCs w:val="21"/>
                <w:highlight w:val="none"/>
              </w:rPr>
            </w:pPr>
          </w:p>
        </w:tc>
        <w:tc>
          <w:tcPr>
            <w:tcW w:w="1877" w:type="dxa"/>
            <w:vMerge w:val="continue"/>
            <w:noWrap/>
            <w:vAlign w:val="center"/>
          </w:tcPr>
          <w:p>
            <w:pPr>
              <w:jc w:val="center"/>
              <w:rPr>
                <w:rFonts w:ascii="仿宋" w:hAnsi="仿宋" w:eastAsia="仿宋" w:cs="仿宋"/>
                <w:color w:val="000000"/>
                <w:szCs w:val="21"/>
                <w:highlight w:val="none"/>
              </w:rPr>
            </w:pPr>
          </w:p>
        </w:tc>
        <w:tc>
          <w:tcPr>
            <w:tcW w:w="1878" w:type="dxa"/>
            <w:noWrap/>
            <w:vAlign w:val="center"/>
          </w:tcPr>
          <w:p>
            <w:pPr>
              <w:jc w:val="center"/>
              <w:rPr>
                <w:rFonts w:ascii="仿宋" w:hAnsi="仿宋" w:eastAsia="仿宋" w:cs="仿宋"/>
                <w:color w:val="000000"/>
                <w:szCs w:val="21"/>
                <w:highlight w:val="none"/>
              </w:rPr>
            </w:pPr>
            <w:r>
              <w:rPr>
                <w:rFonts w:hint="eastAsia" w:ascii="仿宋" w:hAnsi="仿宋" w:eastAsia="仿宋" w:cs="仿宋"/>
                <w:color w:val="000000"/>
                <w:szCs w:val="21"/>
                <w:highlight w:val="none"/>
              </w:rPr>
              <w:t>99</w:t>
            </w:r>
          </w:p>
        </w:tc>
        <w:tc>
          <w:tcPr>
            <w:tcW w:w="3183" w:type="dxa"/>
            <w:noWrap/>
            <w:vAlign w:val="center"/>
          </w:tcPr>
          <w:p>
            <w:pPr>
              <w:jc w:val="center"/>
              <w:rPr>
                <w:rFonts w:ascii="仿宋" w:hAnsi="仿宋" w:eastAsia="仿宋" w:cs="仿宋"/>
                <w:color w:val="000000"/>
                <w:szCs w:val="21"/>
                <w:highlight w:val="none"/>
              </w:rPr>
            </w:pPr>
            <w:r>
              <w:rPr>
                <w:rFonts w:hint="eastAsia" w:ascii="仿宋" w:hAnsi="仿宋" w:eastAsia="仿宋" w:cs="仿宋"/>
                <w:color w:val="000000"/>
                <w:szCs w:val="21"/>
                <w:highlight w:val="none"/>
              </w:rPr>
              <w:t>其他现场管理</w:t>
            </w:r>
          </w:p>
        </w:tc>
      </w:tr>
    </w:tbl>
    <w:p>
      <w:pPr>
        <w:jc w:val="left"/>
        <w:rPr>
          <w:rFonts w:eastAsia="仿宋"/>
          <w:b/>
          <w:bCs/>
          <w:sz w:val="28"/>
          <w:szCs w:val="28"/>
          <w:highlight w:val="none"/>
        </w:rPr>
      </w:pPr>
      <w:r>
        <w:rPr>
          <w:rFonts w:hint="eastAsia" w:eastAsia="仿宋"/>
          <w:b/>
          <w:bCs/>
          <w:sz w:val="28"/>
          <w:szCs w:val="28"/>
          <w:highlight w:val="none"/>
        </w:rPr>
        <w:br w:type="page"/>
      </w:r>
    </w:p>
    <w:p>
      <w:pPr>
        <w:jc w:val="center"/>
        <w:outlineLvl w:val="1"/>
        <w:rPr>
          <w:rFonts w:eastAsia="仿宋"/>
          <w:b/>
          <w:bCs/>
          <w:sz w:val="28"/>
          <w:szCs w:val="28"/>
          <w:highlight w:val="none"/>
        </w:rPr>
      </w:pPr>
      <w:bookmarkStart w:id="676" w:name="_Toc14053"/>
      <w:bookmarkStart w:id="677" w:name="_Toc2714"/>
      <w:bookmarkStart w:id="678" w:name="_Toc20272"/>
      <w:bookmarkStart w:id="679" w:name="_Toc79654139"/>
      <w:bookmarkStart w:id="680" w:name="_Toc32483"/>
      <w:bookmarkStart w:id="681" w:name="_Toc1242"/>
      <w:bookmarkStart w:id="682" w:name="_Toc20370"/>
      <w:bookmarkStart w:id="683" w:name="_Toc1079"/>
      <w:bookmarkStart w:id="684" w:name="_Toc23799"/>
      <w:r>
        <w:rPr>
          <w:rFonts w:hint="eastAsia" w:eastAsia="仿宋"/>
          <w:b/>
          <w:bCs/>
          <w:sz w:val="28"/>
          <w:szCs w:val="28"/>
          <w:highlight w:val="none"/>
        </w:rPr>
        <w:t>附录N地下管线普查成果更新档案内容清单</w:t>
      </w:r>
      <w:bookmarkEnd w:id="676"/>
      <w:bookmarkEnd w:id="677"/>
      <w:bookmarkEnd w:id="678"/>
      <w:bookmarkEnd w:id="679"/>
      <w:bookmarkEnd w:id="680"/>
      <w:bookmarkEnd w:id="681"/>
      <w:bookmarkEnd w:id="682"/>
      <w:bookmarkEnd w:id="683"/>
      <w:bookmarkEnd w:id="684"/>
    </w:p>
    <w:tbl>
      <w:tblPr>
        <w:tblStyle w:val="43"/>
        <w:tblW w:w="9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72"/>
        <w:gridCol w:w="863"/>
        <w:gridCol w:w="900"/>
        <w:gridCol w:w="975"/>
        <w:gridCol w:w="1181"/>
        <w:gridCol w:w="881"/>
        <w:gridCol w:w="1200"/>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gridSpan w:val="2"/>
            <w:noWrap/>
            <w:vAlign w:val="center"/>
          </w:tcPr>
          <w:p>
            <w:pPr>
              <w:jc w:val="center"/>
              <w:rPr>
                <w:rFonts w:ascii="仿宋" w:hAnsi="仿宋" w:eastAsia="仿宋"/>
                <w:sz w:val="32"/>
                <w:szCs w:val="32"/>
                <w:highlight w:val="none"/>
              </w:rPr>
            </w:pPr>
            <w:r>
              <w:rPr>
                <w:rFonts w:hint="eastAsia" w:ascii="仿宋" w:hAnsi="仿宋" w:eastAsia="仿宋"/>
                <w:sz w:val="24"/>
                <w:highlight w:val="none"/>
              </w:rPr>
              <w:t>项目名称</w:t>
            </w:r>
          </w:p>
        </w:tc>
        <w:tc>
          <w:tcPr>
            <w:tcW w:w="7253" w:type="dxa"/>
            <w:gridSpan w:val="7"/>
            <w:noWrap/>
            <w:vAlign w:val="center"/>
          </w:tcPr>
          <w:p>
            <w:pPr>
              <w:jc w:val="center"/>
              <w:rPr>
                <w:rFonts w:ascii="仿宋" w:hAnsi="仿宋" w:eastAsia="仿宋"/>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gridSpan w:val="2"/>
            <w:noWrap/>
            <w:vAlign w:val="center"/>
          </w:tcPr>
          <w:p>
            <w:pPr>
              <w:jc w:val="center"/>
              <w:rPr>
                <w:rFonts w:ascii="仿宋" w:hAnsi="仿宋" w:eastAsia="仿宋"/>
                <w:sz w:val="24"/>
                <w:highlight w:val="none"/>
              </w:rPr>
            </w:pPr>
            <w:r>
              <w:rPr>
                <w:rFonts w:hint="eastAsia" w:ascii="仿宋" w:hAnsi="仿宋" w:eastAsia="仿宋"/>
                <w:sz w:val="24"/>
                <w:highlight w:val="none"/>
              </w:rPr>
              <w:t>区（市）县牵头部门</w:t>
            </w:r>
          </w:p>
        </w:tc>
        <w:tc>
          <w:tcPr>
            <w:tcW w:w="7253" w:type="dxa"/>
            <w:gridSpan w:val="7"/>
            <w:noWrap/>
            <w:vAlign w:val="center"/>
          </w:tcPr>
          <w:p>
            <w:pPr>
              <w:jc w:val="center"/>
              <w:rPr>
                <w:rFonts w:ascii="仿宋" w:hAnsi="仿宋" w:eastAsia="仿宋"/>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gridSpan w:val="2"/>
            <w:noWrap/>
            <w:vAlign w:val="center"/>
          </w:tcPr>
          <w:p>
            <w:pPr>
              <w:jc w:val="center"/>
              <w:rPr>
                <w:rFonts w:ascii="仿宋" w:hAnsi="仿宋" w:eastAsia="仿宋"/>
                <w:sz w:val="32"/>
                <w:szCs w:val="32"/>
                <w:highlight w:val="none"/>
              </w:rPr>
            </w:pPr>
            <w:r>
              <w:rPr>
                <w:rFonts w:hint="eastAsia" w:ascii="仿宋" w:hAnsi="仿宋" w:eastAsia="仿宋"/>
                <w:sz w:val="24"/>
                <w:highlight w:val="none"/>
              </w:rPr>
              <w:t>普查作业单位</w:t>
            </w:r>
          </w:p>
        </w:tc>
        <w:tc>
          <w:tcPr>
            <w:tcW w:w="1763" w:type="dxa"/>
            <w:gridSpan w:val="2"/>
            <w:noWrap/>
            <w:vAlign w:val="center"/>
          </w:tcPr>
          <w:p>
            <w:pPr>
              <w:jc w:val="center"/>
              <w:rPr>
                <w:rFonts w:ascii="仿宋" w:hAnsi="仿宋" w:eastAsia="仿宋"/>
                <w:sz w:val="32"/>
                <w:szCs w:val="32"/>
                <w:highlight w:val="none"/>
              </w:rPr>
            </w:pPr>
          </w:p>
        </w:tc>
        <w:tc>
          <w:tcPr>
            <w:tcW w:w="2156" w:type="dxa"/>
            <w:gridSpan w:val="2"/>
            <w:noWrap/>
            <w:vAlign w:val="center"/>
          </w:tcPr>
          <w:p>
            <w:pPr>
              <w:jc w:val="center"/>
              <w:rPr>
                <w:rFonts w:ascii="仿宋" w:hAnsi="仿宋" w:eastAsia="仿宋"/>
                <w:sz w:val="32"/>
                <w:szCs w:val="32"/>
                <w:highlight w:val="none"/>
              </w:rPr>
            </w:pPr>
            <w:r>
              <w:rPr>
                <w:rFonts w:hint="eastAsia" w:ascii="仿宋" w:hAnsi="仿宋" w:eastAsia="仿宋"/>
                <w:sz w:val="24"/>
                <w:highlight w:val="none"/>
              </w:rPr>
              <w:t>普查工作量</w:t>
            </w:r>
          </w:p>
        </w:tc>
        <w:tc>
          <w:tcPr>
            <w:tcW w:w="3334" w:type="dxa"/>
            <w:gridSpan w:val="3"/>
            <w:noWrap/>
            <w:vAlign w:val="center"/>
          </w:tcPr>
          <w:p>
            <w:pPr>
              <w:jc w:val="center"/>
              <w:rPr>
                <w:rFonts w:ascii="仿宋" w:hAnsi="仿宋" w:eastAsia="仿宋"/>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noWrap/>
            <w:vAlign w:val="center"/>
          </w:tcPr>
          <w:p>
            <w:pPr>
              <w:jc w:val="center"/>
              <w:rPr>
                <w:rFonts w:ascii="仿宋" w:hAnsi="仿宋" w:eastAsia="仿宋"/>
                <w:sz w:val="32"/>
                <w:szCs w:val="32"/>
                <w:highlight w:val="none"/>
              </w:rPr>
            </w:pPr>
            <w:r>
              <w:rPr>
                <w:rFonts w:hint="eastAsia" w:ascii="仿宋" w:hAnsi="仿宋" w:eastAsia="仿宋"/>
                <w:sz w:val="24"/>
                <w:highlight w:val="none"/>
              </w:rPr>
              <w:t>序号</w:t>
            </w:r>
          </w:p>
        </w:tc>
        <w:tc>
          <w:tcPr>
            <w:tcW w:w="2535" w:type="dxa"/>
            <w:gridSpan w:val="2"/>
            <w:noWrap/>
            <w:vAlign w:val="center"/>
          </w:tcPr>
          <w:p>
            <w:pPr>
              <w:jc w:val="center"/>
              <w:rPr>
                <w:rFonts w:ascii="仿宋" w:hAnsi="仿宋" w:eastAsia="仿宋"/>
                <w:sz w:val="32"/>
                <w:szCs w:val="32"/>
                <w:highlight w:val="none"/>
              </w:rPr>
            </w:pPr>
            <w:r>
              <w:rPr>
                <w:rFonts w:hint="eastAsia" w:ascii="仿宋" w:hAnsi="仿宋" w:eastAsia="仿宋"/>
                <w:sz w:val="24"/>
                <w:highlight w:val="none"/>
              </w:rPr>
              <w:t>资料名称</w:t>
            </w:r>
          </w:p>
        </w:tc>
        <w:tc>
          <w:tcPr>
            <w:tcW w:w="900" w:type="dxa"/>
            <w:noWrap/>
            <w:vAlign w:val="center"/>
          </w:tcPr>
          <w:p>
            <w:pPr>
              <w:jc w:val="center"/>
              <w:rPr>
                <w:rFonts w:ascii="仿宋" w:hAnsi="仿宋" w:eastAsia="仿宋"/>
                <w:sz w:val="32"/>
                <w:szCs w:val="32"/>
                <w:highlight w:val="none"/>
              </w:rPr>
            </w:pPr>
            <w:r>
              <w:rPr>
                <w:rFonts w:hint="eastAsia" w:ascii="仿宋" w:hAnsi="仿宋" w:eastAsia="仿宋"/>
                <w:sz w:val="24"/>
                <w:highlight w:val="none"/>
              </w:rPr>
              <w:t>页数</w:t>
            </w:r>
          </w:p>
        </w:tc>
        <w:tc>
          <w:tcPr>
            <w:tcW w:w="975" w:type="dxa"/>
            <w:noWrap/>
            <w:vAlign w:val="center"/>
          </w:tcPr>
          <w:p>
            <w:pPr>
              <w:jc w:val="center"/>
              <w:rPr>
                <w:rFonts w:ascii="仿宋" w:hAnsi="仿宋" w:eastAsia="仿宋"/>
                <w:sz w:val="32"/>
                <w:szCs w:val="32"/>
                <w:highlight w:val="none"/>
              </w:rPr>
            </w:pPr>
            <w:r>
              <w:rPr>
                <w:rFonts w:hint="eastAsia" w:ascii="仿宋" w:hAnsi="仿宋" w:eastAsia="仿宋"/>
                <w:sz w:val="24"/>
                <w:highlight w:val="none"/>
              </w:rPr>
              <w:t>份数</w:t>
            </w:r>
          </w:p>
        </w:tc>
        <w:tc>
          <w:tcPr>
            <w:tcW w:w="1181" w:type="dxa"/>
            <w:noWrap/>
            <w:vAlign w:val="center"/>
          </w:tcPr>
          <w:p>
            <w:pPr>
              <w:jc w:val="center"/>
              <w:rPr>
                <w:rFonts w:ascii="仿宋" w:hAnsi="仿宋" w:eastAsia="仿宋"/>
                <w:sz w:val="32"/>
                <w:szCs w:val="32"/>
                <w:highlight w:val="none"/>
              </w:rPr>
            </w:pPr>
            <w:r>
              <w:rPr>
                <w:rFonts w:hint="eastAsia" w:ascii="仿宋" w:hAnsi="仿宋" w:eastAsia="仿宋"/>
                <w:sz w:val="24"/>
                <w:highlight w:val="none"/>
              </w:rPr>
              <w:t>资料介质</w:t>
            </w:r>
          </w:p>
        </w:tc>
        <w:tc>
          <w:tcPr>
            <w:tcW w:w="881" w:type="dxa"/>
            <w:noWrap/>
            <w:vAlign w:val="center"/>
          </w:tcPr>
          <w:p>
            <w:pPr>
              <w:jc w:val="center"/>
              <w:rPr>
                <w:rFonts w:ascii="仿宋" w:hAnsi="仿宋" w:eastAsia="仿宋"/>
                <w:sz w:val="24"/>
                <w:highlight w:val="none"/>
              </w:rPr>
            </w:pPr>
            <w:r>
              <w:rPr>
                <w:rFonts w:hint="eastAsia" w:ascii="仿宋" w:hAnsi="仿宋" w:eastAsia="仿宋"/>
                <w:sz w:val="24"/>
                <w:highlight w:val="none"/>
              </w:rPr>
              <w:t>密级</w:t>
            </w:r>
          </w:p>
        </w:tc>
        <w:tc>
          <w:tcPr>
            <w:tcW w:w="1200" w:type="dxa"/>
            <w:noWrap/>
            <w:vAlign w:val="center"/>
          </w:tcPr>
          <w:p>
            <w:pPr>
              <w:jc w:val="center"/>
              <w:rPr>
                <w:rFonts w:ascii="仿宋" w:hAnsi="仿宋" w:eastAsia="仿宋"/>
                <w:sz w:val="24"/>
                <w:highlight w:val="none"/>
              </w:rPr>
            </w:pPr>
            <w:r>
              <w:rPr>
                <w:rFonts w:hint="eastAsia" w:ascii="仿宋" w:hAnsi="仿宋" w:eastAsia="仿宋"/>
                <w:sz w:val="24"/>
                <w:highlight w:val="none"/>
              </w:rPr>
              <w:t>保密期限</w:t>
            </w:r>
          </w:p>
        </w:tc>
        <w:tc>
          <w:tcPr>
            <w:tcW w:w="1253" w:type="dxa"/>
            <w:noWrap/>
            <w:vAlign w:val="center"/>
          </w:tcPr>
          <w:p>
            <w:pPr>
              <w:jc w:val="center"/>
              <w:rPr>
                <w:rFonts w:ascii="仿宋" w:hAnsi="仿宋" w:eastAsia="仿宋"/>
                <w:sz w:val="24"/>
                <w:highlight w:val="none"/>
              </w:rPr>
            </w:pPr>
            <w:r>
              <w:rPr>
                <w:rFonts w:hint="eastAsia" w:ascii="仿宋" w:hAnsi="仿宋" w:eastAsia="仿宋"/>
                <w:sz w:val="24"/>
                <w:highlight w:val="none"/>
              </w:rPr>
              <w:t>知悉范围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ign w:val="center"/>
          </w:tcPr>
          <w:p>
            <w:pPr>
              <w:jc w:val="center"/>
              <w:rPr>
                <w:rFonts w:ascii="仿宋" w:hAnsi="仿宋" w:eastAsia="仿宋"/>
                <w:sz w:val="24"/>
                <w:highlight w:val="none"/>
              </w:rPr>
            </w:pPr>
            <w:r>
              <w:rPr>
                <w:rFonts w:hint="eastAsia" w:ascii="仿宋" w:hAnsi="仿宋" w:eastAsia="仿宋"/>
                <w:sz w:val="24"/>
                <w:highlight w:val="none"/>
              </w:rPr>
              <w:t>1</w:t>
            </w:r>
          </w:p>
        </w:tc>
        <w:tc>
          <w:tcPr>
            <w:tcW w:w="2535" w:type="dxa"/>
            <w:gridSpan w:val="2"/>
            <w:noWrap/>
            <w:vAlign w:val="center"/>
          </w:tcPr>
          <w:p>
            <w:pPr>
              <w:jc w:val="center"/>
              <w:rPr>
                <w:rFonts w:ascii="仿宋" w:hAnsi="仿宋" w:eastAsia="仿宋"/>
                <w:sz w:val="32"/>
                <w:szCs w:val="32"/>
                <w:highlight w:val="none"/>
              </w:rPr>
            </w:pPr>
          </w:p>
        </w:tc>
        <w:tc>
          <w:tcPr>
            <w:tcW w:w="900" w:type="dxa"/>
            <w:noWrap/>
            <w:vAlign w:val="center"/>
          </w:tcPr>
          <w:p>
            <w:pPr>
              <w:jc w:val="center"/>
              <w:rPr>
                <w:rFonts w:ascii="仿宋" w:hAnsi="仿宋" w:eastAsia="仿宋"/>
                <w:sz w:val="32"/>
                <w:szCs w:val="32"/>
                <w:highlight w:val="none"/>
              </w:rPr>
            </w:pPr>
          </w:p>
        </w:tc>
        <w:tc>
          <w:tcPr>
            <w:tcW w:w="975" w:type="dxa"/>
            <w:noWrap/>
            <w:vAlign w:val="center"/>
          </w:tcPr>
          <w:p>
            <w:pPr>
              <w:jc w:val="center"/>
              <w:rPr>
                <w:rFonts w:ascii="仿宋" w:hAnsi="仿宋" w:eastAsia="仿宋"/>
                <w:sz w:val="32"/>
                <w:szCs w:val="32"/>
                <w:highlight w:val="none"/>
              </w:rPr>
            </w:pPr>
          </w:p>
        </w:tc>
        <w:tc>
          <w:tcPr>
            <w:tcW w:w="1181" w:type="dxa"/>
            <w:noWrap/>
            <w:vAlign w:val="center"/>
          </w:tcPr>
          <w:p>
            <w:pPr>
              <w:jc w:val="center"/>
              <w:rPr>
                <w:rFonts w:ascii="仿宋" w:hAnsi="仿宋" w:eastAsia="仿宋"/>
                <w:sz w:val="32"/>
                <w:szCs w:val="32"/>
                <w:highlight w:val="none"/>
              </w:rPr>
            </w:pPr>
          </w:p>
        </w:tc>
        <w:tc>
          <w:tcPr>
            <w:tcW w:w="881" w:type="dxa"/>
            <w:noWrap/>
            <w:vAlign w:val="center"/>
          </w:tcPr>
          <w:p>
            <w:pPr>
              <w:jc w:val="center"/>
              <w:rPr>
                <w:rFonts w:ascii="仿宋" w:hAnsi="仿宋" w:eastAsia="仿宋"/>
                <w:sz w:val="24"/>
                <w:highlight w:val="none"/>
              </w:rPr>
            </w:pPr>
          </w:p>
        </w:tc>
        <w:tc>
          <w:tcPr>
            <w:tcW w:w="1200" w:type="dxa"/>
            <w:noWrap/>
            <w:vAlign w:val="center"/>
          </w:tcPr>
          <w:p>
            <w:pPr>
              <w:jc w:val="center"/>
              <w:rPr>
                <w:rFonts w:ascii="仿宋" w:hAnsi="仿宋" w:eastAsia="仿宋"/>
                <w:sz w:val="24"/>
                <w:highlight w:val="none"/>
              </w:rPr>
            </w:pPr>
          </w:p>
        </w:tc>
        <w:tc>
          <w:tcPr>
            <w:tcW w:w="1253" w:type="dxa"/>
            <w:noWrap/>
            <w:vAlign w:val="center"/>
          </w:tcPr>
          <w:p>
            <w:pPr>
              <w:jc w:val="center"/>
              <w:rPr>
                <w:rFonts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ign w:val="center"/>
          </w:tcPr>
          <w:p>
            <w:pPr>
              <w:jc w:val="center"/>
              <w:rPr>
                <w:rFonts w:ascii="仿宋" w:hAnsi="仿宋" w:eastAsia="仿宋"/>
                <w:sz w:val="24"/>
                <w:highlight w:val="none"/>
              </w:rPr>
            </w:pPr>
            <w:r>
              <w:rPr>
                <w:rFonts w:hint="eastAsia" w:ascii="仿宋" w:hAnsi="仿宋" w:eastAsia="仿宋"/>
                <w:sz w:val="24"/>
                <w:highlight w:val="none"/>
              </w:rPr>
              <w:t>2</w:t>
            </w:r>
          </w:p>
        </w:tc>
        <w:tc>
          <w:tcPr>
            <w:tcW w:w="2535" w:type="dxa"/>
            <w:gridSpan w:val="2"/>
            <w:noWrap/>
            <w:vAlign w:val="center"/>
          </w:tcPr>
          <w:p>
            <w:pPr>
              <w:jc w:val="center"/>
              <w:rPr>
                <w:rFonts w:ascii="仿宋" w:hAnsi="仿宋" w:eastAsia="仿宋"/>
                <w:sz w:val="32"/>
                <w:szCs w:val="32"/>
                <w:highlight w:val="none"/>
              </w:rPr>
            </w:pPr>
          </w:p>
        </w:tc>
        <w:tc>
          <w:tcPr>
            <w:tcW w:w="900" w:type="dxa"/>
            <w:noWrap/>
            <w:vAlign w:val="center"/>
          </w:tcPr>
          <w:p>
            <w:pPr>
              <w:jc w:val="center"/>
              <w:rPr>
                <w:rFonts w:ascii="仿宋" w:hAnsi="仿宋" w:eastAsia="仿宋"/>
                <w:sz w:val="32"/>
                <w:szCs w:val="32"/>
                <w:highlight w:val="none"/>
              </w:rPr>
            </w:pPr>
          </w:p>
        </w:tc>
        <w:tc>
          <w:tcPr>
            <w:tcW w:w="975" w:type="dxa"/>
            <w:noWrap/>
            <w:vAlign w:val="center"/>
          </w:tcPr>
          <w:p>
            <w:pPr>
              <w:jc w:val="center"/>
              <w:rPr>
                <w:rFonts w:ascii="仿宋" w:hAnsi="仿宋" w:eastAsia="仿宋"/>
                <w:sz w:val="32"/>
                <w:szCs w:val="32"/>
                <w:highlight w:val="none"/>
              </w:rPr>
            </w:pPr>
          </w:p>
        </w:tc>
        <w:tc>
          <w:tcPr>
            <w:tcW w:w="1181" w:type="dxa"/>
            <w:noWrap/>
            <w:vAlign w:val="center"/>
          </w:tcPr>
          <w:p>
            <w:pPr>
              <w:jc w:val="center"/>
              <w:rPr>
                <w:rFonts w:ascii="仿宋" w:hAnsi="仿宋" w:eastAsia="仿宋"/>
                <w:sz w:val="32"/>
                <w:szCs w:val="32"/>
                <w:highlight w:val="none"/>
              </w:rPr>
            </w:pPr>
          </w:p>
        </w:tc>
        <w:tc>
          <w:tcPr>
            <w:tcW w:w="881" w:type="dxa"/>
            <w:noWrap/>
            <w:vAlign w:val="center"/>
          </w:tcPr>
          <w:p>
            <w:pPr>
              <w:jc w:val="center"/>
              <w:rPr>
                <w:rFonts w:ascii="仿宋" w:hAnsi="仿宋" w:eastAsia="仿宋"/>
                <w:sz w:val="24"/>
                <w:highlight w:val="none"/>
              </w:rPr>
            </w:pPr>
          </w:p>
        </w:tc>
        <w:tc>
          <w:tcPr>
            <w:tcW w:w="1200" w:type="dxa"/>
            <w:noWrap/>
            <w:vAlign w:val="center"/>
          </w:tcPr>
          <w:p>
            <w:pPr>
              <w:jc w:val="center"/>
              <w:rPr>
                <w:rFonts w:ascii="仿宋" w:hAnsi="仿宋" w:eastAsia="仿宋"/>
                <w:sz w:val="24"/>
                <w:highlight w:val="none"/>
              </w:rPr>
            </w:pPr>
          </w:p>
        </w:tc>
        <w:tc>
          <w:tcPr>
            <w:tcW w:w="1253" w:type="dxa"/>
            <w:noWrap/>
            <w:vAlign w:val="center"/>
          </w:tcPr>
          <w:p>
            <w:pPr>
              <w:jc w:val="center"/>
              <w:rPr>
                <w:rFonts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ign w:val="center"/>
          </w:tcPr>
          <w:p>
            <w:pPr>
              <w:jc w:val="center"/>
              <w:rPr>
                <w:rFonts w:ascii="仿宋" w:hAnsi="仿宋" w:eastAsia="仿宋"/>
                <w:sz w:val="24"/>
                <w:highlight w:val="none"/>
              </w:rPr>
            </w:pPr>
            <w:r>
              <w:rPr>
                <w:rFonts w:hint="eastAsia" w:ascii="仿宋" w:hAnsi="仿宋" w:eastAsia="仿宋"/>
                <w:sz w:val="24"/>
                <w:highlight w:val="none"/>
              </w:rPr>
              <w:t>3</w:t>
            </w:r>
          </w:p>
        </w:tc>
        <w:tc>
          <w:tcPr>
            <w:tcW w:w="2535" w:type="dxa"/>
            <w:gridSpan w:val="2"/>
            <w:noWrap/>
            <w:vAlign w:val="center"/>
          </w:tcPr>
          <w:p>
            <w:pPr>
              <w:jc w:val="center"/>
              <w:rPr>
                <w:rFonts w:ascii="仿宋" w:hAnsi="仿宋" w:eastAsia="仿宋"/>
                <w:sz w:val="32"/>
                <w:szCs w:val="32"/>
                <w:highlight w:val="none"/>
              </w:rPr>
            </w:pPr>
          </w:p>
        </w:tc>
        <w:tc>
          <w:tcPr>
            <w:tcW w:w="900" w:type="dxa"/>
            <w:noWrap/>
            <w:vAlign w:val="center"/>
          </w:tcPr>
          <w:p>
            <w:pPr>
              <w:jc w:val="center"/>
              <w:rPr>
                <w:rFonts w:ascii="仿宋" w:hAnsi="仿宋" w:eastAsia="仿宋"/>
                <w:sz w:val="32"/>
                <w:szCs w:val="32"/>
                <w:highlight w:val="none"/>
              </w:rPr>
            </w:pPr>
          </w:p>
        </w:tc>
        <w:tc>
          <w:tcPr>
            <w:tcW w:w="975" w:type="dxa"/>
            <w:noWrap/>
            <w:vAlign w:val="center"/>
          </w:tcPr>
          <w:p>
            <w:pPr>
              <w:jc w:val="center"/>
              <w:rPr>
                <w:rFonts w:ascii="仿宋" w:hAnsi="仿宋" w:eastAsia="仿宋"/>
                <w:sz w:val="32"/>
                <w:szCs w:val="32"/>
                <w:highlight w:val="none"/>
              </w:rPr>
            </w:pPr>
          </w:p>
        </w:tc>
        <w:tc>
          <w:tcPr>
            <w:tcW w:w="1181" w:type="dxa"/>
            <w:noWrap/>
            <w:vAlign w:val="center"/>
          </w:tcPr>
          <w:p>
            <w:pPr>
              <w:jc w:val="center"/>
              <w:rPr>
                <w:rFonts w:ascii="仿宋" w:hAnsi="仿宋" w:eastAsia="仿宋"/>
                <w:sz w:val="32"/>
                <w:szCs w:val="32"/>
                <w:highlight w:val="none"/>
              </w:rPr>
            </w:pPr>
          </w:p>
        </w:tc>
        <w:tc>
          <w:tcPr>
            <w:tcW w:w="881" w:type="dxa"/>
            <w:noWrap/>
            <w:vAlign w:val="center"/>
          </w:tcPr>
          <w:p>
            <w:pPr>
              <w:jc w:val="center"/>
              <w:rPr>
                <w:rFonts w:ascii="仿宋" w:hAnsi="仿宋" w:eastAsia="仿宋"/>
                <w:sz w:val="24"/>
                <w:highlight w:val="none"/>
              </w:rPr>
            </w:pPr>
          </w:p>
        </w:tc>
        <w:tc>
          <w:tcPr>
            <w:tcW w:w="1200" w:type="dxa"/>
            <w:noWrap/>
            <w:vAlign w:val="center"/>
          </w:tcPr>
          <w:p>
            <w:pPr>
              <w:jc w:val="center"/>
              <w:rPr>
                <w:rFonts w:ascii="仿宋" w:hAnsi="仿宋" w:eastAsia="仿宋"/>
                <w:sz w:val="24"/>
                <w:highlight w:val="none"/>
              </w:rPr>
            </w:pPr>
          </w:p>
        </w:tc>
        <w:tc>
          <w:tcPr>
            <w:tcW w:w="1253" w:type="dxa"/>
            <w:noWrap/>
            <w:vAlign w:val="center"/>
          </w:tcPr>
          <w:p>
            <w:pPr>
              <w:jc w:val="center"/>
              <w:rPr>
                <w:rFonts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ign w:val="center"/>
          </w:tcPr>
          <w:p>
            <w:pPr>
              <w:jc w:val="center"/>
              <w:rPr>
                <w:rFonts w:ascii="仿宋" w:hAnsi="仿宋" w:eastAsia="仿宋"/>
                <w:sz w:val="24"/>
                <w:highlight w:val="none"/>
              </w:rPr>
            </w:pPr>
            <w:r>
              <w:rPr>
                <w:rFonts w:hint="eastAsia" w:ascii="仿宋" w:hAnsi="仿宋" w:eastAsia="仿宋"/>
                <w:sz w:val="24"/>
                <w:highlight w:val="none"/>
              </w:rPr>
              <w:t>4</w:t>
            </w:r>
          </w:p>
        </w:tc>
        <w:tc>
          <w:tcPr>
            <w:tcW w:w="2535" w:type="dxa"/>
            <w:gridSpan w:val="2"/>
            <w:noWrap/>
            <w:vAlign w:val="center"/>
          </w:tcPr>
          <w:p>
            <w:pPr>
              <w:jc w:val="center"/>
              <w:rPr>
                <w:rFonts w:ascii="仿宋" w:hAnsi="仿宋" w:eastAsia="仿宋"/>
                <w:sz w:val="32"/>
                <w:szCs w:val="32"/>
                <w:highlight w:val="none"/>
              </w:rPr>
            </w:pPr>
          </w:p>
        </w:tc>
        <w:tc>
          <w:tcPr>
            <w:tcW w:w="900" w:type="dxa"/>
            <w:noWrap/>
            <w:vAlign w:val="center"/>
          </w:tcPr>
          <w:p>
            <w:pPr>
              <w:jc w:val="center"/>
              <w:rPr>
                <w:rFonts w:ascii="仿宋" w:hAnsi="仿宋" w:eastAsia="仿宋"/>
                <w:sz w:val="32"/>
                <w:szCs w:val="32"/>
                <w:highlight w:val="none"/>
              </w:rPr>
            </w:pPr>
          </w:p>
        </w:tc>
        <w:tc>
          <w:tcPr>
            <w:tcW w:w="975" w:type="dxa"/>
            <w:noWrap/>
            <w:vAlign w:val="center"/>
          </w:tcPr>
          <w:p>
            <w:pPr>
              <w:jc w:val="center"/>
              <w:rPr>
                <w:rFonts w:ascii="仿宋" w:hAnsi="仿宋" w:eastAsia="仿宋"/>
                <w:sz w:val="32"/>
                <w:szCs w:val="32"/>
                <w:highlight w:val="none"/>
              </w:rPr>
            </w:pPr>
          </w:p>
        </w:tc>
        <w:tc>
          <w:tcPr>
            <w:tcW w:w="1181" w:type="dxa"/>
            <w:noWrap/>
            <w:vAlign w:val="center"/>
          </w:tcPr>
          <w:p>
            <w:pPr>
              <w:jc w:val="center"/>
              <w:rPr>
                <w:rFonts w:ascii="仿宋" w:hAnsi="仿宋" w:eastAsia="仿宋"/>
                <w:sz w:val="32"/>
                <w:szCs w:val="32"/>
                <w:highlight w:val="none"/>
              </w:rPr>
            </w:pPr>
          </w:p>
        </w:tc>
        <w:tc>
          <w:tcPr>
            <w:tcW w:w="881" w:type="dxa"/>
            <w:noWrap/>
            <w:vAlign w:val="center"/>
          </w:tcPr>
          <w:p>
            <w:pPr>
              <w:jc w:val="center"/>
              <w:rPr>
                <w:rFonts w:ascii="仿宋" w:hAnsi="仿宋" w:eastAsia="仿宋"/>
                <w:sz w:val="24"/>
                <w:highlight w:val="none"/>
              </w:rPr>
            </w:pPr>
          </w:p>
        </w:tc>
        <w:tc>
          <w:tcPr>
            <w:tcW w:w="1200" w:type="dxa"/>
            <w:noWrap/>
            <w:vAlign w:val="center"/>
          </w:tcPr>
          <w:p>
            <w:pPr>
              <w:jc w:val="center"/>
              <w:rPr>
                <w:rFonts w:ascii="仿宋" w:hAnsi="仿宋" w:eastAsia="仿宋"/>
                <w:sz w:val="24"/>
                <w:highlight w:val="none"/>
              </w:rPr>
            </w:pPr>
          </w:p>
        </w:tc>
        <w:tc>
          <w:tcPr>
            <w:tcW w:w="1253" w:type="dxa"/>
            <w:noWrap/>
            <w:vAlign w:val="center"/>
          </w:tcPr>
          <w:p>
            <w:pPr>
              <w:jc w:val="center"/>
              <w:rPr>
                <w:rFonts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ign w:val="center"/>
          </w:tcPr>
          <w:p>
            <w:pPr>
              <w:jc w:val="center"/>
              <w:rPr>
                <w:rFonts w:ascii="仿宋" w:hAnsi="仿宋" w:eastAsia="仿宋"/>
                <w:sz w:val="24"/>
                <w:highlight w:val="none"/>
              </w:rPr>
            </w:pPr>
            <w:r>
              <w:rPr>
                <w:rFonts w:hint="eastAsia" w:ascii="仿宋" w:hAnsi="仿宋" w:eastAsia="仿宋"/>
                <w:sz w:val="24"/>
                <w:highlight w:val="none"/>
              </w:rPr>
              <w:t>5</w:t>
            </w:r>
          </w:p>
        </w:tc>
        <w:tc>
          <w:tcPr>
            <w:tcW w:w="2535" w:type="dxa"/>
            <w:gridSpan w:val="2"/>
            <w:noWrap/>
            <w:vAlign w:val="center"/>
          </w:tcPr>
          <w:p>
            <w:pPr>
              <w:jc w:val="center"/>
              <w:rPr>
                <w:rFonts w:ascii="仿宋" w:hAnsi="仿宋" w:eastAsia="仿宋"/>
                <w:sz w:val="32"/>
                <w:szCs w:val="32"/>
                <w:highlight w:val="none"/>
              </w:rPr>
            </w:pPr>
          </w:p>
        </w:tc>
        <w:tc>
          <w:tcPr>
            <w:tcW w:w="900" w:type="dxa"/>
            <w:noWrap/>
            <w:vAlign w:val="center"/>
          </w:tcPr>
          <w:p>
            <w:pPr>
              <w:jc w:val="center"/>
              <w:rPr>
                <w:rFonts w:ascii="仿宋" w:hAnsi="仿宋" w:eastAsia="仿宋"/>
                <w:sz w:val="32"/>
                <w:szCs w:val="32"/>
                <w:highlight w:val="none"/>
              </w:rPr>
            </w:pPr>
          </w:p>
        </w:tc>
        <w:tc>
          <w:tcPr>
            <w:tcW w:w="975" w:type="dxa"/>
            <w:noWrap/>
            <w:vAlign w:val="center"/>
          </w:tcPr>
          <w:p>
            <w:pPr>
              <w:jc w:val="center"/>
              <w:rPr>
                <w:rFonts w:ascii="仿宋" w:hAnsi="仿宋" w:eastAsia="仿宋"/>
                <w:sz w:val="32"/>
                <w:szCs w:val="32"/>
                <w:highlight w:val="none"/>
              </w:rPr>
            </w:pPr>
          </w:p>
        </w:tc>
        <w:tc>
          <w:tcPr>
            <w:tcW w:w="1181" w:type="dxa"/>
            <w:noWrap/>
            <w:vAlign w:val="center"/>
          </w:tcPr>
          <w:p>
            <w:pPr>
              <w:jc w:val="center"/>
              <w:rPr>
                <w:rFonts w:ascii="仿宋" w:hAnsi="仿宋" w:eastAsia="仿宋"/>
                <w:sz w:val="32"/>
                <w:szCs w:val="32"/>
                <w:highlight w:val="none"/>
              </w:rPr>
            </w:pPr>
          </w:p>
        </w:tc>
        <w:tc>
          <w:tcPr>
            <w:tcW w:w="881" w:type="dxa"/>
            <w:noWrap/>
            <w:vAlign w:val="center"/>
          </w:tcPr>
          <w:p>
            <w:pPr>
              <w:jc w:val="center"/>
              <w:rPr>
                <w:rFonts w:ascii="仿宋" w:hAnsi="仿宋" w:eastAsia="仿宋"/>
                <w:sz w:val="24"/>
                <w:highlight w:val="none"/>
              </w:rPr>
            </w:pPr>
          </w:p>
        </w:tc>
        <w:tc>
          <w:tcPr>
            <w:tcW w:w="1200" w:type="dxa"/>
            <w:noWrap/>
            <w:vAlign w:val="center"/>
          </w:tcPr>
          <w:p>
            <w:pPr>
              <w:jc w:val="center"/>
              <w:rPr>
                <w:rFonts w:ascii="仿宋" w:hAnsi="仿宋" w:eastAsia="仿宋"/>
                <w:sz w:val="24"/>
                <w:highlight w:val="none"/>
              </w:rPr>
            </w:pPr>
          </w:p>
        </w:tc>
        <w:tc>
          <w:tcPr>
            <w:tcW w:w="1253" w:type="dxa"/>
            <w:noWrap/>
            <w:vAlign w:val="center"/>
          </w:tcPr>
          <w:p>
            <w:pPr>
              <w:jc w:val="center"/>
              <w:rPr>
                <w:rFonts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ign w:val="center"/>
          </w:tcPr>
          <w:p>
            <w:pPr>
              <w:jc w:val="center"/>
              <w:rPr>
                <w:rFonts w:ascii="仿宋" w:hAnsi="仿宋" w:eastAsia="仿宋"/>
                <w:sz w:val="24"/>
                <w:highlight w:val="none"/>
              </w:rPr>
            </w:pPr>
            <w:r>
              <w:rPr>
                <w:rFonts w:hint="eastAsia" w:ascii="仿宋" w:hAnsi="仿宋" w:eastAsia="仿宋"/>
                <w:sz w:val="24"/>
                <w:highlight w:val="none"/>
              </w:rPr>
              <w:t>6</w:t>
            </w:r>
          </w:p>
        </w:tc>
        <w:tc>
          <w:tcPr>
            <w:tcW w:w="2535" w:type="dxa"/>
            <w:gridSpan w:val="2"/>
            <w:noWrap/>
            <w:vAlign w:val="center"/>
          </w:tcPr>
          <w:p>
            <w:pPr>
              <w:jc w:val="center"/>
              <w:rPr>
                <w:rFonts w:ascii="仿宋" w:hAnsi="仿宋" w:eastAsia="仿宋"/>
                <w:sz w:val="32"/>
                <w:szCs w:val="32"/>
                <w:highlight w:val="none"/>
              </w:rPr>
            </w:pPr>
          </w:p>
        </w:tc>
        <w:tc>
          <w:tcPr>
            <w:tcW w:w="900" w:type="dxa"/>
            <w:noWrap/>
            <w:vAlign w:val="center"/>
          </w:tcPr>
          <w:p>
            <w:pPr>
              <w:jc w:val="center"/>
              <w:rPr>
                <w:rFonts w:ascii="仿宋" w:hAnsi="仿宋" w:eastAsia="仿宋"/>
                <w:sz w:val="32"/>
                <w:szCs w:val="32"/>
                <w:highlight w:val="none"/>
              </w:rPr>
            </w:pPr>
          </w:p>
        </w:tc>
        <w:tc>
          <w:tcPr>
            <w:tcW w:w="975" w:type="dxa"/>
            <w:noWrap/>
            <w:vAlign w:val="center"/>
          </w:tcPr>
          <w:p>
            <w:pPr>
              <w:jc w:val="center"/>
              <w:rPr>
                <w:rFonts w:ascii="仿宋" w:hAnsi="仿宋" w:eastAsia="仿宋"/>
                <w:sz w:val="32"/>
                <w:szCs w:val="32"/>
                <w:highlight w:val="none"/>
              </w:rPr>
            </w:pPr>
          </w:p>
        </w:tc>
        <w:tc>
          <w:tcPr>
            <w:tcW w:w="1181" w:type="dxa"/>
            <w:noWrap/>
            <w:vAlign w:val="center"/>
          </w:tcPr>
          <w:p>
            <w:pPr>
              <w:jc w:val="center"/>
              <w:rPr>
                <w:rFonts w:ascii="仿宋" w:hAnsi="仿宋" w:eastAsia="仿宋"/>
                <w:sz w:val="32"/>
                <w:szCs w:val="32"/>
                <w:highlight w:val="none"/>
              </w:rPr>
            </w:pPr>
          </w:p>
        </w:tc>
        <w:tc>
          <w:tcPr>
            <w:tcW w:w="881" w:type="dxa"/>
            <w:noWrap/>
            <w:vAlign w:val="center"/>
          </w:tcPr>
          <w:p>
            <w:pPr>
              <w:jc w:val="center"/>
              <w:rPr>
                <w:rFonts w:ascii="仿宋" w:hAnsi="仿宋" w:eastAsia="仿宋"/>
                <w:sz w:val="24"/>
                <w:highlight w:val="none"/>
              </w:rPr>
            </w:pPr>
          </w:p>
        </w:tc>
        <w:tc>
          <w:tcPr>
            <w:tcW w:w="1200" w:type="dxa"/>
            <w:noWrap/>
            <w:vAlign w:val="center"/>
          </w:tcPr>
          <w:p>
            <w:pPr>
              <w:jc w:val="center"/>
              <w:rPr>
                <w:rFonts w:ascii="仿宋" w:hAnsi="仿宋" w:eastAsia="仿宋"/>
                <w:sz w:val="24"/>
                <w:highlight w:val="none"/>
              </w:rPr>
            </w:pPr>
          </w:p>
        </w:tc>
        <w:tc>
          <w:tcPr>
            <w:tcW w:w="1253" w:type="dxa"/>
            <w:noWrap/>
            <w:vAlign w:val="center"/>
          </w:tcPr>
          <w:p>
            <w:pPr>
              <w:jc w:val="center"/>
              <w:rPr>
                <w:rFonts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ign w:val="center"/>
          </w:tcPr>
          <w:p>
            <w:pPr>
              <w:jc w:val="center"/>
              <w:rPr>
                <w:rFonts w:ascii="仿宋" w:hAnsi="仿宋" w:eastAsia="仿宋"/>
                <w:sz w:val="24"/>
                <w:highlight w:val="none"/>
              </w:rPr>
            </w:pPr>
            <w:r>
              <w:rPr>
                <w:rFonts w:hint="eastAsia" w:ascii="仿宋" w:hAnsi="仿宋" w:eastAsia="仿宋"/>
                <w:sz w:val="24"/>
                <w:highlight w:val="none"/>
              </w:rPr>
              <w:t>7</w:t>
            </w:r>
          </w:p>
        </w:tc>
        <w:tc>
          <w:tcPr>
            <w:tcW w:w="2535" w:type="dxa"/>
            <w:gridSpan w:val="2"/>
            <w:noWrap/>
            <w:vAlign w:val="center"/>
          </w:tcPr>
          <w:p>
            <w:pPr>
              <w:jc w:val="center"/>
              <w:rPr>
                <w:rFonts w:ascii="仿宋" w:hAnsi="仿宋" w:eastAsia="仿宋"/>
                <w:sz w:val="32"/>
                <w:szCs w:val="32"/>
                <w:highlight w:val="none"/>
              </w:rPr>
            </w:pPr>
          </w:p>
        </w:tc>
        <w:tc>
          <w:tcPr>
            <w:tcW w:w="900" w:type="dxa"/>
            <w:noWrap/>
            <w:vAlign w:val="center"/>
          </w:tcPr>
          <w:p>
            <w:pPr>
              <w:jc w:val="center"/>
              <w:rPr>
                <w:rFonts w:ascii="仿宋" w:hAnsi="仿宋" w:eastAsia="仿宋"/>
                <w:sz w:val="32"/>
                <w:szCs w:val="32"/>
                <w:highlight w:val="none"/>
              </w:rPr>
            </w:pPr>
          </w:p>
        </w:tc>
        <w:tc>
          <w:tcPr>
            <w:tcW w:w="975" w:type="dxa"/>
            <w:noWrap/>
            <w:vAlign w:val="center"/>
          </w:tcPr>
          <w:p>
            <w:pPr>
              <w:jc w:val="center"/>
              <w:rPr>
                <w:rFonts w:ascii="仿宋" w:hAnsi="仿宋" w:eastAsia="仿宋"/>
                <w:sz w:val="32"/>
                <w:szCs w:val="32"/>
                <w:highlight w:val="none"/>
              </w:rPr>
            </w:pPr>
          </w:p>
        </w:tc>
        <w:tc>
          <w:tcPr>
            <w:tcW w:w="1181" w:type="dxa"/>
            <w:noWrap/>
            <w:vAlign w:val="center"/>
          </w:tcPr>
          <w:p>
            <w:pPr>
              <w:jc w:val="center"/>
              <w:rPr>
                <w:rFonts w:ascii="仿宋" w:hAnsi="仿宋" w:eastAsia="仿宋"/>
                <w:sz w:val="32"/>
                <w:szCs w:val="32"/>
                <w:highlight w:val="none"/>
              </w:rPr>
            </w:pPr>
          </w:p>
        </w:tc>
        <w:tc>
          <w:tcPr>
            <w:tcW w:w="881" w:type="dxa"/>
            <w:noWrap/>
            <w:vAlign w:val="center"/>
          </w:tcPr>
          <w:p>
            <w:pPr>
              <w:jc w:val="center"/>
              <w:rPr>
                <w:rFonts w:ascii="仿宋" w:hAnsi="仿宋" w:eastAsia="仿宋"/>
                <w:sz w:val="24"/>
                <w:highlight w:val="none"/>
              </w:rPr>
            </w:pPr>
          </w:p>
        </w:tc>
        <w:tc>
          <w:tcPr>
            <w:tcW w:w="1200" w:type="dxa"/>
            <w:noWrap/>
            <w:vAlign w:val="center"/>
          </w:tcPr>
          <w:p>
            <w:pPr>
              <w:jc w:val="center"/>
              <w:rPr>
                <w:rFonts w:ascii="仿宋" w:hAnsi="仿宋" w:eastAsia="仿宋"/>
                <w:sz w:val="24"/>
                <w:highlight w:val="none"/>
              </w:rPr>
            </w:pPr>
          </w:p>
        </w:tc>
        <w:tc>
          <w:tcPr>
            <w:tcW w:w="1253" w:type="dxa"/>
            <w:noWrap/>
            <w:vAlign w:val="center"/>
          </w:tcPr>
          <w:p>
            <w:pPr>
              <w:jc w:val="center"/>
              <w:rPr>
                <w:rFonts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ign w:val="center"/>
          </w:tcPr>
          <w:p>
            <w:pPr>
              <w:jc w:val="center"/>
              <w:rPr>
                <w:rFonts w:ascii="仿宋" w:hAnsi="仿宋" w:eastAsia="仿宋"/>
                <w:sz w:val="24"/>
                <w:highlight w:val="none"/>
              </w:rPr>
            </w:pPr>
            <w:r>
              <w:rPr>
                <w:rFonts w:hint="eastAsia" w:ascii="仿宋" w:hAnsi="仿宋" w:eastAsia="仿宋"/>
                <w:sz w:val="24"/>
                <w:highlight w:val="none"/>
              </w:rPr>
              <w:t>8</w:t>
            </w:r>
          </w:p>
        </w:tc>
        <w:tc>
          <w:tcPr>
            <w:tcW w:w="2535" w:type="dxa"/>
            <w:gridSpan w:val="2"/>
            <w:noWrap/>
            <w:vAlign w:val="center"/>
          </w:tcPr>
          <w:p>
            <w:pPr>
              <w:jc w:val="center"/>
              <w:rPr>
                <w:rFonts w:ascii="仿宋" w:hAnsi="仿宋" w:eastAsia="仿宋"/>
                <w:sz w:val="32"/>
                <w:szCs w:val="32"/>
                <w:highlight w:val="none"/>
              </w:rPr>
            </w:pPr>
          </w:p>
        </w:tc>
        <w:tc>
          <w:tcPr>
            <w:tcW w:w="900" w:type="dxa"/>
            <w:noWrap/>
            <w:vAlign w:val="center"/>
          </w:tcPr>
          <w:p>
            <w:pPr>
              <w:jc w:val="center"/>
              <w:rPr>
                <w:rFonts w:ascii="仿宋" w:hAnsi="仿宋" w:eastAsia="仿宋"/>
                <w:sz w:val="32"/>
                <w:szCs w:val="32"/>
                <w:highlight w:val="none"/>
              </w:rPr>
            </w:pPr>
          </w:p>
        </w:tc>
        <w:tc>
          <w:tcPr>
            <w:tcW w:w="975" w:type="dxa"/>
            <w:noWrap/>
            <w:vAlign w:val="center"/>
          </w:tcPr>
          <w:p>
            <w:pPr>
              <w:jc w:val="center"/>
              <w:rPr>
                <w:rFonts w:ascii="仿宋" w:hAnsi="仿宋" w:eastAsia="仿宋"/>
                <w:sz w:val="32"/>
                <w:szCs w:val="32"/>
                <w:highlight w:val="none"/>
              </w:rPr>
            </w:pPr>
          </w:p>
        </w:tc>
        <w:tc>
          <w:tcPr>
            <w:tcW w:w="1181" w:type="dxa"/>
            <w:noWrap/>
            <w:vAlign w:val="center"/>
          </w:tcPr>
          <w:p>
            <w:pPr>
              <w:jc w:val="center"/>
              <w:rPr>
                <w:rFonts w:ascii="仿宋" w:hAnsi="仿宋" w:eastAsia="仿宋"/>
                <w:sz w:val="32"/>
                <w:szCs w:val="32"/>
                <w:highlight w:val="none"/>
              </w:rPr>
            </w:pPr>
          </w:p>
        </w:tc>
        <w:tc>
          <w:tcPr>
            <w:tcW w:w="881" w:type="dxa"/>
            <w:noWrap/>
            <w:vAlign w:val="center"/>
          </w:tcPr>
          <w:p>
            <w:pPr>
              <w:jc w:val="center"/>
              <w:rPr>
                <w:rFonts w:ascii="仿宋" w:hAnsi="仿宋" w:eastAsia="仿宋"/>
                <w:sz w:val="24"/>
                <w:highlight w:val="none"/>
              </w:rPr>
            </w:pPr>
          </w:p>
        </w:tc>
        <w:tc>
          <w:tcPr>
            <w:tcW w:w="1200" w:type="dxa"/>
            <w:noWrap/>
            <w:vAlign w:val="center"/>
          </w:tcPr>
          <w:p>
            <w:pPr>
              <w:jc w:val="center"/>
              <w:rPr>
                <w:rFonts w:ascii="仿宋" w:hAnsi="仿宋" w:eastAsia="仿宋"/>
                <w:sz w:val="24"/>
                <w:highlight w:val="none"/>
              </w:rPr>
            </w:pPr>
          </w:p>
        </w:tc>
        <w:tc>
          <w:tcPr>
            <w:tcW w:w="1253" w:type="dxa"/>
            <w:noWrap/>
            <w:vAlign w:val="center"/>
          </w:tcPr>
          <w:p>
            <w:pPr>
              <w:jc w:val="center"/>
              <w:rPr>
                <w:rFonts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ign w:val="center"/>
          </w:tcPr>
          <w:p>
            <w:pPr>
              <w:jc w:val="center"/>
              <w:rPr>
                <w:rFonts w:ascii="仿宋" w:hAnsi="仿宋" w:eastAsia="仿宋"/>
                <w:sz w:val="24"/>
                <w:highlight w:val="none"/>
              </w:rPr>
            </w:pPr>
            <w:r>
              <w:rPr>
                <w:rFonts w:hint="eastAsia" w:ascii="仿宋" w:hAnsi="仿宋" w:eastAsia="仿宋"/>
                <w:sz w:val="24"/>
                <w:highlight w:val="none"/>
              </w:rPr>
              <w:t>9</w:t>
            </w:r>
          </w:p>
        </w:tc>
        <w:tc>
          <w:tcPr>
            <w:tcW w:w="2535" w:type="dxa"/>
            <w:gridSpan w:val="2"/>
            <w:noWrap/>
            <w:vAlign w:val="center"/>
          </w:tcPr>
          <w:p>
            <w:pPr>
              <w:jc w:val="center"/>
              <w:rPr>
                <w:rFonts w:ascii="仿宋" w:hAnsi="仿宋" w:eastAsia="仿宋"/>
                <w:sz w:val="32"/>
                <w:szCs w:val="32"/>
                <w:highlight w:val="none"/>
              </w:rPr>
            </w:pPr>
          </w:p>
        </w:tc>
        <w:tc>
          <w:tcPr>
            <w:tcW w:w="900" w:type="dxa"/>
            <w:noWrap/>
            <w:vAlign w:val="center"/>
          </w:tcPr>
          <w:p>
            <w:pPr>
              <w:jc w:val="center"/>
              <w:rPr>
                <w:rFonts w:ascii="仿宋" w:hAnsi="仿宋" w:eastAsia="仿宋"/>
                <w:sz w:val="32"/>
                <w:szCs w:val="32"/>
                <w:highlight w:val="none"/>
              </w:rPr>
            </w:pPr>
          </w:p>
        </w:tc>
        <w:tc>
          <w:tcPr>
            <w:tcW w:w="975" w:type="dxa"/>
            <w:noWrap/>
            <w:vAlign w:val="center"/>
          </w:tcPr>
          <w:p>
            <w:pPr>
              <w:jc w:val="center"/>
              <w:rPr>
                <w:rFonts w:ascii="仿宋" w:hAnsi="仿宋" w:eastAsia="仿宋"/>
                <w:sz w:val="32"/>
                <w:szCs w:val="32"/>
                <w:highlight w:val="none"/>
              </w:rPr>
            </w:pPr>
          </w:p>
        </w:tc>
        <w:tc>
          <w:tcPr>
            <w:tcW w:w="1181" w:type="dxa"/>
            <w:noWrap/>
            <w:vAlign w:val="center"/>
          </w:tcPr>
          <w:p>
            <w:pPr>
              <w:jc w:val="center"/>
              <w:rPr>
                <w:rFonts w:ascii="仿宋" w:hAnsi="仿宋" w:eastAsia="仿宋"/>
                <w:sz w:val="32"/>
                <w:szCs w:val="32"/>
                <w:highlight w:val="none"/>
              </w:rPr>
            </w:pPr>
          </w:p>
        </w:tc>
        <w:tc>
          <w:tcPr>
            <w:tcW w:w="881" w:type="dxa"/>
            <w:noWrap/>
            <w:vAlign w:val="center"/>
          </w:tcPr>
          <w:p>
            <w:pPr>
              <w:jc w:val="center"/>
              <w:rPr>
                <w:rFonts w:ascii="仿宋" w:hAnsi="仿宋" w:eastAsia="仿宋"/>
                <w:sz w:val="24"/>
                <w:highlight w:val="none"/>
              </w:rPr>
            </w:pPr>
          </w:p>
        </w:tc>
        <w:tc>
          <w:tcPr>
            <w:tcW w:w="1200" w:type="dxa"/>
            <w:noWrap/>
            <w:vAlign w:val="center"/>
          </w:tcPr>
          <w:p>
            <w:pPr>
              <w:jc w:val="center"/>
              <w:rPr>
                <w:rFonts w:ascii="仿宋" w:hAnsi="仿宋" w:eastAsia="仿宋"/>
                <w:sz w:val="24"/>
                <w:highlight w:val="none"/>
              </w:rPr>
            </w:pPr>
          </w:p>
        </w:tc>
        <w:tc>
          <w:tcPr>
            <w:tcW w:w="1253" w:type="dxa"/>
            <w:noWrap/>
            <w:vAlign w:val="center"/>
          </w:tcPr>
          <w:p>
            <w:pPr>
              <w:jc w:val="center"/>
              <w:rPr>
                <w:rFonts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ign w:val="center"/>
          </w:tcPr>
          <w:p>
            <w:pPr>
              <w:jc w:val="center"/>
              <w:rPr>
                <w:rFonts w:ascii="仿宋" w:hAnsi="仿宋" w:eastAsia="仿宋"/>
                <w:sz w:val="24"/>
                <w:highlight w:val="none"/>
              </w:rPr>
            </w:pPr>
            <w:r>
              <w:rPr>
                <w:rFonts w:hint="eastAsia" w:ascii="仿宋" w:hAnsi="仿宋" w:eastAsia="仿宋"/>
                <w:sz w:val="24"/>
                <w:highlight w:val="none"/>
              </w:rPr>
              <w:t>10</w:t>
            </w:r>
          </w:p>
        </w:tc>
        <w:tc>
          <w:tcPr>
            <w:tcW w:w="2535" w:type="dxa"/>
            <w:gridSpan w:val="2"/>
            <w:noWrap/>
            <w:vAlign w:val="center"/>
          </w:tcPr>
          <w:p>
            <w:pPr>
              <w:jc w:val="center"/>
              <w:rPr>
                <w:rFonts w:ascii="仿宋" w:hAnsi="仿宋" w:eastAsia="仿宋"/>
                <w:sz w:val="32"/>
                <w:szCs w:val="32"/>
                <w:highlight w:val="none"/>
              </w:rPr>
            </w:pPr>
          </w:p>
        </w:tc>
        <w:tc>
          <w:tcPr>
            <w:tcW w:w="900" w:type="dxa"/>
            <w:noWrap/>
            <w:vAlign w:val="center"/>
          </w:tcPr>
          <w:p>
            <w:pPr>
              <w:jc w:val="center"/>
              <w:rPr>
                <w:rFonts w:ascii="仿宋" w:hAnsi="仿宋" w:eastAsia="仿宋"/>
                <w:sz w:val="32"/>
                <w:szCs w:val="32"/>
                <w:highlight w:val="none"/>
              </w:rPr>
            </w:pPr>
          </w:p>
        </w:tc>
        <w:tc>
          <w:tcPr>
            <w:tcW w:w="975" w:type="dxa"/>
            <w:noWrap/>
            <w:vAlign w:val="center"/>
          </w:tcPr>
          <w:p>
            <w:pPr>
              <w:jc w:val="center"/>
              <w:rPr>
                <w:rFonts w:ascii="仿宋" w:hAnsi="仿宋" w:eastAsia="仿宋"/>
                <w:sz w:val="32"/>
                <w:szCs w:val="32"/>
                <w:highlight w:val="none"/>
              </w:rPr>
            </w:pPr>
          </w:p>
        </w:tc>
        <w:tc>
          <w:tcPr>
            <w:tcW w:w="1181" w:type="dxa"/>
            <w:noWrap/>
            <w:vAlign w:val="center"/>
          </w:tcPr>
          <w:p>
            <w:pPr>
              <w:jc w:val="center"/>
              <w:rPr>
                <w:rFonts w:ascii="仿宋" w:hAnsi="仿宋" w:eastAsia="仿宋"/>
                <w:sz w:val="32"/>
                <w:szCs w:val="32"/>
                <w:highlight w:val="none"/>
              </w:rPr>
            </w:pPr>
          </w:p>
        </w:tc>
        <w:tc>
          <w:tcPr>
            <w:tcW w:w="881" w:type="dxa"/>
            <w:noWrap/>
            <w:vAlign w:val="center"/>
          </w:tcPr>
          <w:p>
            <w:pPr>
              <w:jc w:val="center"/>
              <w:rPr>
                <w:rFonts w:ascii="仿宋" w:hAnsi="仿宋" w:eastAsia="仿宋"/>
                <w:sz w:val="24"/>
                <w:highlight w:val="none"/>
              </w:rPr>
            </w:pPr>
          </w:p>
        </w:tc>
        <w:tc>
          <w:tcPr>
            <w:tcW w:w="1200" w:type="dxa"/>
            <w:noWrap/>
            <w:vAlign w:val="center"/>
          </w:tcPr>
          <w:p>
            <w:pPr>
              <w:jc w:val="center"/>
              <w:rPr>
                <w:rFonts w:ascii="仿宋" w:hAnsi="仿宋" w:eastAsia="仿宋"/>
                <w:sz w:val="24"/>
                <w:highlight w:val="none"/>
              </w:rPr>
            </w:pPr>
          </w:p>
        </w:tc>
        <w:tc>
          <w:tcPr>
            <w:tcW w:w="1253" w:type="dxa"/>
            <w:noWrap/>
            <w:vAlign w:val="center"/>
          </w:tcPr>
          <w:p>
            <w:pPr>
              <w:jc w:val="center"/>
              <w:rPr>
                <w:rFonts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4" w:type="dxa"/>
            <w:gridSpan w:val="5"/>
            <w:noWrap/>
          </w:tcPr>
          <w:p>
            <w:pPr>
              <w:autoSpaceDE w:val="0"/>
              <w:autoSpaceDN w:val="0"/>
              <w:rPr>
                <w:rFonts w:ascii="仿宋" w:hAnsi="仿宋" w:eastAsia="仿宋" w:cs="仿宋"/>
                <w:sz w:val="24"/>
                <w:highlight w:val="none"/>
              </w:rPr>
            </w:pPr>
            <w:r>
              <w:rPr>
                <w:rFonts w:hint="eastAsia" w:ascii="仿宋" w:hAnsi="仿宋" w:eastAsia="仿宋" w:cs="仿宋"/>
                <w:sz w:val="24"/>
                <w:highlight w:val="none"/>
              </w:rPr>
              <w:t>提交单位（签字）：</w:t>
            </w:r>
          </w:p>
          <w:p>
            <w:pPr>
              <w:autoSpaceDE w:val="0"/>
              <w:autoSpaceDN w:val="0"/>
              <w:rPr>
                <w:sz w:val="24"/>
                <w:highlight w:val="none"/>
              </w:rPr>
            </w:pPr>
          </w:p>
          <w:p>
            <w:pPr>
              <w:autoSpaceDE w:val="0"/>
              <w:autoSpaceDN w:val="0"/>
              <w:ind w:firstLine="960" w:firstLineChars="400"/>
              <w:rPr>
                <w:rFonts w:ascii="仿宋" w:hAnsi="仿宋" w:eastAsia="仿宋" w:cs="仿宋"/>
                <w:sz w:val="24"/>
                <w:highlight w:val="none"/>
              </w:rPr>
            </w:pPr>
            <w:r>
              <w:rPr>
                <w:rFonts w:hint="eastAsia" w:ascii="仿宋" w:hAnsi="仿宋" w:eastAsia="仿宋" w:cs="仿宋"/>
                <w:sz w:val="24"/>
                <w:highlight w:val="none"/>
              </w:rPr>
              <w:t>（盖章）：</w:t>
            </w:r>
          </w:p>
          <w:p>
            <w:pPr>
              <w:autoSpaceDE w:val="0"/>
              <w:autoSpaceDN w:val="0"/>
              <w:rPr>
                <w:rFonts w:ascii="仿宋" w:hAnsi="仿宋" w:eastAsia="仿宋" w:cs="仿宋"/>
                <w:sz w:val="24"/>
                <w:highlight w:val="none"/>
              </w:rPr>
            </w:pPr>
          </w:p>
          <w:p>
            <w:pPr>
              <w:autoSpaceDE w:val="0"/>
              <w:autoSpaceDN w:val="0"/>
              <w:jc w:val="right"/>
              <w:rPr>
                <w:rFonts w:ascii="仿宋" w:hAnsi="仿宋" w:eastAsia="仿宋" w:cs="仿宋"/>
                <w:sz w:val="24"/>
                <w:highlight w:val="none"/>
              </w:rPr>
            </w:pPr>
            <w:r>
              <w:rPr>
                <w:rFonts w:hint="eastAsia" w:ascii="仿宋" w:hAnsi="仿宋" w:eastAsia="仿宋" w:cs="仿宋"/>
                <w:sz w:val="24"/>
                <w:highlight w:val="none"/>
              </w:rPr>
              <w:t>年     月     日</w:t>
            </w:r>
          </w:p>
          <w:p>
            <w:pPr>
              <w:pStyle w:val="2"/>
              <w:rPr>
                <w:rFonts w:ascii="仿宋" w:hAnsi="仿宋" w:eastAsia="仿宋"/>
                <w:sz w:val="24"/>
                <w:highlight w:val="none"/>
              </w:rPr>
            </w:pPr>
          </w:p>
        </w:tc>
        <w:tc>
          <w:tcPr>
            <w:tcW w:w="4515" w:type="dxa"/>
            <w:gridSpan w:val="4"/>
            <w:noWrap/>
          </w:tcPr>
          <w:p>
            <w:pPr>
              <w:autoSpaceDE w:val="0"/>
              <w:autoSpaceDN w:val="0"/>
              <w:rPr>
                <w:rFonts w:ascii="仿宋" w:hAnsi="仿宋" w:eastAsia="仿宋" w:cs="仿宋"/>
                <w:sz w:val="24"/>
                <w:highlight w:val="none"/>
              </w:rPr>
            </w:pPr>
            <w:r>
              <w:rPr>
                <w:rFonts w:hint="eastAsia" w:ascii="仿宋" w:hAnsi="仿宋" w:eastAsia="仿宋" w:cs="仿宋"/>
                <w:sz w:val="24"/>
                <w:highlight w:val="none"/>
              </w:rPr>
              <w:t>接收单位（签字）：</w:t>
            </w:r>
          </w:p>
          <w:p>
            <w:pPr>
              <w:autoSpaceDE w:val="0"/>
              <w:autoSpaceDN w:val="0"/>
              <w:rPr>
                <w:rFonts w:ascii="仿宋" w:hAnsi="仿宋" w:eastAsia="仿宋" w:cs="仿宋"/>
                <w:sz w:val="24"/>
                <w:highlight w:val="none"/>
              </w:rPr>
            </w:pPr>
          </w:p>
          <w:p>
            <w:pPr>
              <w:autoSpaceDE w:val="0"/>
              <w:autoSpaceDN w:val="0"/>
              <w:rPr>
                <w:rFonts w:ascii="仿宋" w:hAnsi="仿宋" w:eastAsia="仿宋" w:cs="仿宋"/>
                <w:sz w:val="24"/>
                <w:highlight w:val="none"/>
              </w:rPr>
            </w:pPr>
            <w:r>
              <w:rPr>
                <w:rFonts w:hint="eastAsia" w:ascii="仿宋" w:hAnsi="仿宋" w:eastAsia="仿宋" w:cs="仿宋"/>
                <w:sz w:val="24"/>
                <w:highlight w:val="none"/>
              </w:rPr>
              <w:t xml:space="preserve">            （盖章）：</w:t>
            </w:r>
          </w:p>
          <w:p>
            <w:pPr>
              <w:widowControl/>
              <w:rPr>
                <w:rFonts w:ascii="仿宋" w:hAnsi="仿宋" w:eastAsia="仿宋" w:cs="仿宋"/>
                <w:sz w:val="24"/>
                <w:highlight w:val="none"/>
              </w:rPr>
            </w:pPr>
          </w:p>
          <w:p>
            <w:pPr>
              <w:pStyle w:val="248"/>
              <w:jc w:val="right"/>
              <w:rPr>
                <w:rFonts w:ascii="仿宋" w:hAnsi="仿宋" w:eastAsia="仿宋"/>
                <w:sz w:val="24"/>
                <w:szCs w:val="24"/>
                <w:highlight w:val="none"/>
              </w:rPr>
            </w:pPr>
            <w:r>
              <w:rPr>
                <w:rFonts w:hint="eastAsia" w:ascii="仿宋" w:hAnsi="仿宋" w:eastAsia="仿宋" w:cs="仿宋"/>
                <w:sz w:val="24"/>
                <w:szCs w:val="24"/>
                <w:highlight w:val="none"/>
              </w:rPr>
              <w:t xml:space="preserve">   年     月     日</w:t>
            </w:r>
          </w:p>
        </w:tc>
      </w:tr>
    </w:tbl>
    <w:p>
      <w:pPr>
        <w:pStyle w:val="209"/>
        <w:ind w:firstLine="480" w:firstLineChars="200"/>
        <w:rPr>
          <w:rFonts w:hAnsi="宋体"/>
          <w:highlight w:val="none"/>
        </w:rPr>
      </w:pPr>
    </w:p>
    <w:p/>
    <w:sectPr>
      <w:headerReference r:id="rId7" w:type="default"/>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楷体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1" w:csb1="00000000"/>
  </w:font>
  <w:font w:name="Arial (W1)">
    <w:altName w:val="Arial"/>
    <w:panose1 w:val="00000000000000000000"/>
    <w:charset w:val="00"/>
    <w:family w:val="swiss"/>
    <w:pitch w:val="default"/>
    <w:sig w:usb0="00000000" w:usb1="00000000" w:usb2="00000009" w:usb3="00000000" w:csb0="000001FF" w:csb1="00000000"/>
  </w:font>
  <w:font w:name="隶书">
    <w:altName w:val="微软雅黑"/>
    <w:panose1 w:val="02010509060101010101"/>
    <w:charset w:val="86"/>
    <w:family w:val="modern"/>
    <w:pitch w:val="default"/>
    <w:sig w:usb0="00000000" w:usb1="00000000" w:usb2="00000010" w:usb3="00000000" w:csb0="00040000" w:csb1="00000000"/>
  </w:font>
  <w:font w:name="Century Schoolbook">
    <w:altName w:val="Segoe Print"/>
    <w:panose1 w:val="02040604050505020304"/>
    <w:charset w:val="00"/>
    <w:family w:val="roman"/>
    <w:pitch w:val="default"/>
    <w:sig w:usb0="00000000" w:usb1="00000000" w:usb2="00000000" w:usb3="00000000" w:csb0="0000009F" w:csb1="00000000"/>
  </w:font>
  <w:font w:name="MingLiU">
    <w:panose1 w:val="02020509000000000000"/>
    <w:charset w:val="88"/>
    <w:family w:val="modern"/>
    <w:pitch w:val="default"/>
    <w:sig w:usb0="A00002FF" w:usb1="28CFFCFA" w:usb2="00000016" w:usb3="00000000" w:csb0="00100001"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_x000B_">
    <w:altName w:val="微软雅黑"/>
    <w:panose1 w:val="00000000000000000000"/>
    <w:charset w:val="00"/>
    <w:family w:val="auto"/>
    <w:pitch w:val="default"/>
    <w:sig w:usb0="00000000" w:usb1="00000000" w:usb2="00000000" w:usb3="00000000" w:csb0="00040001" w:csb1="00000000"/>
  </w:font>
  <w:font w:name="Marigold">
    <w:altName w:val="Arabic Typesetting"/>
    <w:panose1 w:val="00000000000000000000"/>
    <w:charset w:val="00"/>
    <w:family w:val="script"/>
    <w:pitch w:val="default"/>
    <w:sig w:usb0="00000000" w:usb1="00000000" w:usb2="00000000" w:usb3="00000000" w:csb0="00000001" w:csb1="00000000"/>
  </w:font>
  <w:font w:name="方正仿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Arabic Typesetting">
    <w:panose1 w:val="03020402040406030203"/>
    <w:charset w:val="00"/>
    <w:family w:val="auto"/>
    <w:pitch w:val="default"/>
    <w:sig w:usb0="A000206F" w:usb1="C0000000" w:usb2="00000008" w:usb3="00000000" w:csb0="2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6"/>
      </w:rPr>
    </w:pPr>
    <w:r>
      <w:rPr>
        <w:rStyle w:val="46"/>
      </w:rPr>
      <w:fldChar w:fldCharType="begin"/>
    </w:r>
    <w:r>
      <w:rPr>
        <w:rStyle w:val="46"/>
      </w:rPr>
      <w:instrText xml:space="preserve">PAGE  </w:instrText>
    </w:r>
    <w:r>
      <w:rPr>
        <w:rStyle w:val="46"/>
      </w:rPr>
      <w:fldChar w:fldCharType="separate"/>
    </w:r>
    <w:r>
      <w:rPr>
        <w:rStyle w:val="46"/>
      </w:rPr>
      <w:t>7</w:t>
    </w:r>
    <w:r>
      <w:rPr>
        <w:rStyle w:val="46"/>
      </w:rPr>
      <w:fldChar w:fldCharType="end"/>
    </w:r>
  </w:p>
  <w:p>
    <w:pPr>
      <w:pStyle w:val="2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3990" cy="139700"/>
              <wp:effectExtent l="0" t="0" r="3810" b="12700"/>
              <wp:wrapNone/>
              <wp:docPr id="73" name="文本框 73"/>
              <wp:cNvGraphicFramePr/>
              <a:graphic xmlns:a="http://schemas.openxmlformats.org/drawingml/2006/main">
                <a:graphicData uri="http://schemas.microsoft.com/office/word/2010/wordprocessingShape">
                  <wps:wsp>
                    <wps:cNvSpPr txBox="1">
                      <a:spLocks noChangeArrowheads="1"/>
                    </wps:cNvSpPr>
                    <wps:spPr bwMode="auto">
                      <a:xfrm>
                        <a:off x="0" y="0"/>
                        <a:ext cx="173990" cy="139700"/>
                      </a:xfrm>
                      <a:prstGeom prst="rect">
                        <a:avLst/>
                      </a:prstGeom>
                      <a:noFill/>
                      <a:ln>
                        <a:noFill/>
                      </a:ln>
                      <a:effectLst/>
                    </wps:spPr>
                    <wps:txbx>
                      <w:txbxContent>
                        <w:p>
                          <w:pPr>
                            <w:pStyle w:val="28"/>
                          </w:pPr>
                          <w:r>
                            <w:fldChar w:fldCharType="begin"/>
                          </w:r>
                          <w:r>
                            <w:instrText xml:space="preserve"> PAGE  \* MERGEFORMAT </w:instrText>
                          </w:r>
                          <w:r>
                            <w:fldChar w:fldCharType="separate"/>
                          </w:r>
                          <w:r>
                            <w:t>171</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13.7pt;mso-position-horizontal:center;mso-position-horizontal-relative:margin;mso-wrap-style:none;z-index:251659264;mso-width-relative:page;mso-height-relative:page;" filled="f" stroked="f" coordsize="21600,21600" o:gfxdata="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cY7WrQAAAAAwEAAA8AAAAAAAAAAQAgAAAAIgAAAGRycy9kb3ducmV2LnhtbFBLAQIUABQAAAAI&#10;AIdO4kAcyDdO9QEAAMQDAAAOAAAAAAAAAAEAIAAAAB8BAABkcnMvZTJvRG9jLnhtbFBLBQYAAAAA&#10;BgAGAFkBAACGBQAAAAA=&#10;">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171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73990" cy="139700"/>
              <wp:effectExtent l="0" t="0" r="3810" b="12700"/>
              <wp:wrapNone/>
              <wp:docPr id="240" name="文本框 240"/>
              <wp:cNvGraphicFramePr/>
              <a:graphic xmlns:a="http://schemas.openxmlformats.org/drawingml/2006/main">
                <a:graphicData uri="http://schemas.microsoft.com/office/word/2010/wordprocessingShape">
                  <wps:wsp>
                    <wps:cNvSpPr txBox="1">
                      <a:spLocks noChangeArrowheads="1"/>
                    </wps:cNvSpPr>
                    <wps:spPr bwMode="auto">
                      <a:xfrm>
                        <a:off x="0" y="0"/>
                        <a:ext cx="173990" cy="139700"/>
                      </a:xfrm>
                      <a:prstGeom prst="rect">
                        <a:avLst/>
                      </a:prstGeom>
                      <a:noFill/>
                      <a:ln>
                        <a:noFill/>
                      </a:ln>
                      <a:effectLst/>
                    </wps:spPr>
                    <wps:txbx>
                      <w:txbxContent>
                        <w:p>
                          <w:pPr>
                            <w:pStyle w:val="28"/>
                          </w:pPr>
                          <w:r>
                            <w:fldChar w:fldCharType="begin"/>
                          </w:r>
                          <w:r>
                            <w:instrText xml:space="preserve"> PAGE  \* MERGEFORMAT </w:instrText>
                          </w:r>
                          <w:r>
                            <w:fldChar w:fldCharType="separate"/>
                          </w:r>
                          <w:r>
                            <w:t>208</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13.7pt;mso-position-horizontal:center;mso-position-horizontal-relative:margin;mso-wrap-style:none;z-index:251660288;mso-width-relative:page;mso-height-relative:page;" filled="f" stroked="f" coordsize="21600,21600" o:gfxdata="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xjtatAAAAADAQAADwAAAAAAAAABACAAAAAiAAAAZHJzL2Rvd25yZXYueG1sUEsBAhQAFAAAAAgA&#10;h07iQOOjUZ/0AQAAxgMAAA4AAAAAAAAAAQAgAAAAHwEAAGRycy9lMm9Eb2MueG1sUEsFBgAAAAAG&#10;AAYAWQEAAIUFAAAAAA==&#10;">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08940" cy="146050"/>
              <wp:effectExtent l="0" t="0" r="0" b="6350"/>
              <wp:wrapNone/>
              <wp:docPr id="35" name="文本框 35"/>
              <wp:cNvGraphicFramePr/>
              <a:graphic xmlns:a="http://schemas.openxmlformats.org/drawingml/2006/main">
                <a:graphicData uri="http://schemas.microsoft.com/office/word/2010/wordprocessingShape">
                  <wps:wsp>
                    <wps:cNvSpPr txBox="1"/>
                    <wps:spPr>
                      <a:xfrm>
                        <a:off x="0" y="0"/>
                        <a:ext cx="408940" cy="146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5pt;width:32.2pt;mso-position-horizontal:center;mso-position-horizontal-relative:margin;mso-wrap-style:none;z-index:251661312;mso-width-relative:page;mso-height-relative:page;" filled="f" stroked="f" coordsize="21600,21600" o:gfxdata="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F/JWbSAAAAAwEAAA8AAAAAAAAAAQAg&#10;AAAAIgAAAGRycy9kb3ducmV2LnhtbFBLAQIUABQAAAAIAIdO4kDFyYMuFAIAAAcEAAAOAAAAAAAA&#10;AAEAIAAAACEBAABkcnMvZTJvRG9jLnhtbFBLBQYAAAAABgAGAFkBAACnBQAAAAA=&#10;">
              <v:fill on="f" focussize="0,0"/>
              <v:stroke on="f" weight="0.5pt"/>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210</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0D"/>
    <w:multiLevelType w:val="singleLevel"/>
    <w:tmpl w:val="0000000D"/>
    <w:lvl w:ilvl="0" w:tentative="0">
      <w:start w:val="1"/>
      <w:numFmt w:val="decimal"/>
      <w:suff w:val="nothing"/>
      <w:lvlText w:val="（%1）"/>
      <w:lvlJc w:val="left"/>
    </w:lvl>
  </w:abstractNum>
  <w:abstractNum w:abstractNumId="2">
    <w:nsid w:val="0000000F"/>
    <w:multiLevelType w:val="singleLevel"/>
    <w:tmpl w:val="0000000F"/>
    <w:lvl w:ilvl="0" w:tentative="0">
      <w:start w:val="1"/>
      <w:numFmt w:val="decimal"/>
      <w:lvlText w:val="%1、"/>
      <w:lvlJc w:val="left"/>
      <w:pPr>
        <w:tabs>
          <w:tab w:val="left" w:pos="990"/>
        </w:tabs>
        <w:ind w:left="990" w:hanging="420"/>
      </w:pPr>
      <w:rPr>
        <w:rFonts w:hint="eastAsia"/>
      </w:rPr>
    </w:lvl>
  </w:abstractNum>
  <w:abstractNum w:abstractNumId="3">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3"/>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7">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8">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42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22"/>
    <w:multiLevelType w:val="multilevel"/>
    <w:tmpl w:val="00000022"/>
    <w:lvl w:ilvl="0" w:tentative="0">
      <w:start w:val="1"/>
      <w:numFmt w:val="decimal"/>
      <w:lvlText w:val="第%1章"/>
      <w:lvlJc w:val="left"/>
      <w:rPr>
        <w:rFonts w:hint="eastAsia" w:ascii="宋体" w:hAnsi="宋体" w:eastAsia="宋体" w:cs="Times New Roman"/>
        <w:i w:val="0"/>
        <w:iCs w:val="0"/>
        <w:caps w:val="0"/>
        <w:smallCaps w:val="0"/>
        <w:strike w:val="0"/>
        <w:dstrike w:val="0"/>
        <w:vanish w:val="0"/>
        <w:color w:val="000000"/>
        <w:spacing w:val="0"/>
        <w:kern w:val="0"/>
        <w:position w:val="0"/>
        <w:u w:val="none"/>
        <w:vertAlign w:val="baseline"/>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rPr>
    </w:lvl>
    <w:lvl w:ilvl="4" w:tentative="0">
      <w:start w:val="1"/>
      <w:numFmt w:val="decimal"/>
      <w:pStyle w:val="8"/>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9"/>
      <w:lvlText w:val="%1.%2.%3.%4.%5.%6."/>
      <w:lvlJc w:val="left"/>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11">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413"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2">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2B"/>
    <w:multiLevelType w:val="multilevel"/>
    <w:tmpl w:val="0000002B"/>
    <w:lvl w:ilvl="0" w:tentative="0">
      <w:start w:val="1"/>
      <w:numFmt w:val="chineseCountingThousand"/>
      <w:lvlText w:val="%1、"/>
      <w:lvlJc w:val="left"/>
      <w:pPr>
        <w:ind w:left="988"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15">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6">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8">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0000003E"/>
    <w:multiLevelType w:val="multilevel"/>
    <w:tmpl w:val="0000003E"/>
    <w:lvl w:ilvl="0" w:tentative="0">
      <w:start w:val="1"/>
      <w:numFmt w:val="chineseCountingThousand"/>
      <w:suff w:val="nothing"/>
      <w:lvlText w:val="%1、"/>
      <w:lvlJc w:val="left"/>
      <w:pPr>
        <w:ind w:left="1272"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20">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22">
    <w:nsid w:val="04BC4D67"/>
    <w:multiLevelType w:val="multilevel"/>
    <w:tmpl w:val="04BC4D6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05F83103"/>
    <w:multiLevelType w:val="multilevel"/>
    <w:tmpl w:val="05F8310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6">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7">
    <w:nsid w:val="144C623B"/>
    <w:multiLevelType w:val="multilevel"/>
    <w:tmpl w:val="144C623B"/>
    <w:lvl w:ilvl="0" w:tentative="0">
      <w:start w:val="1"/>
      <w:numFmt w:val="chineseCountingThousand"/>
      <w:lvlText w:val="%1、"/>
      <w:lvlJc w:val="left"/>
      <w:pPr>
        <w:ind w:left="966" w:hanging="420"/>
      </w:pPr>
      <w:rPr>
        <w:b w:val="0"/>
        <w:sz w:val="28"/>
        <w:szCs w:val="28"/>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9">
    <w:nsid w:val="1C7E47F4"/>
    <w:multiLevelType w:val="singleLevel"/>
    <w:tmpl w:val="1C7E47F4"/>
    <w:lvl w:ilvl="0" w:tentative="0">
      <w:start w:val="1"/>
      <w:numFmt w:val="decimal"/>
      <w:lvlText w:val="%1."/>
      <w:lvlJc w:val="left"/>
      <w:pPr>
        <w:ind w:left="420" w:hanging="420"/>
      </w:pPr>
    </w:lvl>
  </w:abstractNum>
  <w:abstractNum w:abstractNumId="30">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31">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2">
    <w:nsid w:val="2FB32FBB"/>
    <w:multiLevelType w:val="singleLevel"/>
    <w:tmpl w:val="2FB32FBB"/>
    <w:lvl w:ilvl="0" w:tentative="0">
      <w:start w:val="1"/>
      <w:numFmt w:val="decimal"/>
      <w:lvlText w:val="%1."/>
      <w:lvlJc w:val="left"/>
      <w:pPr>
        <w:ind w:left="420" w:hanging="420"/>
      </w:pPr>
    </w:lvl>
  </w:abstractNum>
  <w:abstractNum w:abstractNumId="33">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4">
    <w:nsid w:val="32732520"/>
    <w:multiLevelType w:val="multilevel"/>
    <w:tmpl w:val="32732520"/>
    <w:lvl w:ilvl="0" w:tentative="0">
      <w:start w:val="1"/>
      <w:numFmt w:val="chineseCountingThousand"/>
      <w:lvlText w:val="(%1)"/>
      <w:lvlJc w:val="left"/>
      <w:pPr>
        <w:ind w:left="96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39DD1069"/>
    <w:multiLevelType w:val="multilevel"/>
    <w:tmpl w:val="39DD106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1">
    <w:nsid w:val="51F311B1"/>
    <w:multiLevelType w:val="multilevel"/>
    <w:tmpl w:val="51F311B1"/>
    <w:lvl w:ilvl="0" w:tentative="0">
      <w:start w:val="1"/>
      <w:numFmt w:val="chineseCountingThousand"/>
      <w:lvlText w:val="%1、"/>
      <w:lvlJc w:val="left"/>
      <w:pPr>
        <w:ind w:left="96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42">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5DB958A1"/>
    <w:multiLevelType w:val="multilevel"/>
    <w:tmpl w:val="5DB958A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60642B38"/>
    <w:multiLevelType w:val="multilevel"/>
    <w:tmpl w:val="60642B38"/>
    <w:lvl w:ilvl="0" w:tentative="0">
      <w:start w:val="1"/>
      <w:numFmt w:val="chineseCountingThousand"/>
      <w:lvlText w:val="%1、"/>
      <w:lvlJc w:val="left"/>
      <w:pPr>
        <w:ind w:left="840" w:hanging="420"/>
      </w:pPr>
      <w:rPr>
        <w:rFonts w:asciiTheme="minorEastAsia" w:hAnsiTheme="minorEastAsia" w:eastAsiaTheme="minorEastAsia"/>
        <w:b w:val="0"/>
        <w:sz w:val="28"/>
        <w:szCs w:val="28"/>
      </w:r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5">
    <w:nsid w:val="60DD4B0A"/>
    <w:multiLevelType w:val="multilevel"/>
    <w:tmpl w:val="60DD4B0A"/>
    <w:lvl w:ilvl="0" w:tentative="0">
      <w:start w:val="1"/>
      <w:numFmt w:val="decimal"/>
      <w:lvlText w:val="%1."/>
      <w:lvlJc w:val="left"/>
      <w:pPr>
        <w:ind w:left="600" w:hanging="420"/>
      </w:pPr>
    </w:lvl>
    <w:lvl w:ilvl="1" w:tentative="0">
      <w:start w:val="1"/>
      <w:numFmt w:val="lowerLetter"/>
      <w:lvlText w:val="%2)"/>
      <w:lvlJc w:val="left"/>
      <w:pPr>
        <w:ind w:left="1020" w:hanging="420"/>
      </w:pPr>
    </w:lvl>
    <w:lvl w:ilvl="2" w:tentative="0">
      <w:start w:val="1"/>
      <w:numFmt w:val="lowerRoman"/>
      <w:lvlText w:val="%3."/>
      <w:lvlJc w:val="right"/>
      <w:pPr>
        <w:ind w:left="1440" w:hanging="420"/>
      </w:pPr>
    </w:lvl>
    <w:lvl w:ilvl="3" w:tentative="0">
      <w:start w:val="1"/>
      <w:numFmt w:val="decimal"/>
      <w:lvlText w:val="%4."/>
      <w:lvlJc w:val="left"/>
      <w:pPr>
        <w:ind w:left="1860" w:hanging="420"/>
      </w:pPr>
    </w:lvl>
    <w:lvl w:ilvl="4" w:tentative="0">
      <w:start w:val="1"/>
      <w:numFmt w:val="lowerLetter"/>
      <w:lvlText w:val="%5)"/>
      <w:lvlJc w:val="left"/>
      <w:pPr>
        <w:ind w:left="2280" w:hanging="420"/>
      </w:pPr>
    </w:lvl>
    <w:lvl w:ilvl="5" w:tentative="0">
      <w:start w:val="1"/>
      <w:numFmt w:val="lowerRoman"/>
      <w:lvlText w:val="%6."/>
      <w:lvlJc w:val="right"/>
      <w:pPr>
        <w:ind w:left="2700" w:hanging="420"/>
      </w:pPr>
    </w:lvl>
    <w:lvl w:ilvl="6" w:tentative="0">
      <w:start w:val="1"/>
      <w:numFmt w:val="decimal"/>
      <w:lvlText w:val="%7."/>
      <w:lvlJc w:val="left"/>
      <w:pPr>
        <w:ind w:left="3120" w:hanging="420"/>
      </w:pPr>
    </w:lvl>
    <w:lvl w:ilvl="7" w:tentative="0">
      <w:start w:val="1"/>
      <w:numFmt w:val="lowerLetter"/>
      <w:lvlText w:val="%8)"/>
      <w:lvlJc w:val="left"/>
      <w:pPr>
        <w:ind w:left="3540" w:hanging="420"/>
      </w:pPr>
    </w:lvl>
    <w:lvl w:ilvl="8" w:tentative="0">
      <w:start w:val="1"/>
      <w:numFmt w:val="lowerRoman"/>
      <w:lvlText w:val="%9."/>
      <w:lvlJc w:val="right"/>
      <w:pPr>
        <w:ind w:left="3960" w:hanging="420"/>
      </w:pPr>
    </w:lvl>
  </w:abstractNum>
  <w:abstractNum w:abstractNumId="46">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7">
    <w:nsid w:val="638064AA"/>
    <w:multiLevelType w:val="multilevel"/>
    <w:tmpl w:val="638064AA"/>
    <w:lvl w:ilvl="0" w:tentative="0">
      <w:start w:val="1"/>
      <w:numFmt w:val="japaneseCounting"/>
      <w:lvlText w:val="%1、"/>
      <w:lvlJc w:val="left"/>
      <w:pPr>
        <w:ind w:left="1998"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8">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9">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0">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51">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0"/>
  </w:num>
  <w:num w:numId="2">
    <w:abstractNumId w:val="6"/>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22"/>
  </w:num>
  <w:num w:numId="46">
    <w:abstractNumId w:val="29"/>
  </w:num>
  <w:num w:numId="47">
    <w:abstractNumId w:val="32"/>
  </w:num>
  <w:num w:numId="48">
    <w:abstractNumId w:val="43"/>
  </w:num>
  <w:num w:numId="49">
    <w:abstractNumId w:val="45"/>
  </w:num>
  <w:num w:numId="50">
    <w:abstractNumId w:val="37"/>
  </w:num>
  <w:num w:numId="51">
    <w:abstractNumId w:val="1"/>
  </w:num>
  <w:num w:numId="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0%e3%80%95235%e5%8f%b7/"/>
  </w:docVars>
  <w:rsids>
    <w:rsidRoot w:val="0092431B"/>
    <w:rsid w:val="000007BE"/>
    <w:rsid w:val="00002A08"/>
    <w:rsid w:val="00011E2C"/>
    <w:rsid w:val="00017C65"/>
    <w:rsid w:val="000246AC"/>
    <w:rsid w:val="00027899"/>
    <w:rsid w:val="00031675"/>
    <w:rsid w:val="0003172C"/>
    <w:rsid w:val="00043397"/>
    <w:rsid w:val="00043B76"/>
    <w:rsid w:val="00046547"/>
    <w:rsid w:val="00053067"/>
    <w:rsid w:val="00062EBA"/>
    <w:rsid w:val="00064008"/>
    <w:rsid w:val="000659A4"/>
    <w:rsid w:val="00070D3F"/>
    <w:rsid w:val="000717B9"/>
    <w:rsid w:val="00071BA9"/>
    <w:rsid w:val="00072F30"/>
    <w:rsid w:val="00074CCC"/>
    <w:rsid w:val="00074F87"/>
    <w:rsid w:val="0008193D"/>
    <w:rsid w:val="00084215"/>
    <w:rsid w:val="00086C1B"/>
    <w:rsid w:val="000912D0"/>
    <w:rsid w:val="000C4406"/>
    <w:rsid w:val="000C76E3"/>
    <w:rsid w:val="000C79B3"/>
    <w:rsid w:val="000E01D4"/>
    <w:rsid w:val="000E1B59"/>
    <w:rsid w:val="000E3571"/>
    <w:rsid w:val="000E4FBE"/>
    <w:rsid w:val="000F0BF5"/>
    <w:rsid w:val="000F27F4"/>
    <w:rsid w:val="000F5214"/>
    <w:rsid w:val="00102BBE"/>
    <w:rsid w:val="00111C1D"/>
    <w:rsid w:val="00120495"/>
    <w:rsid w:val="00123F07"/>
    <w:rsid w:val="00130037"/>
    <w:rsid w:val="00142478"/>
    <w:rsid w:val="00142C44"/>
    <w:rsid w:val="00147768"/>
    <w:rsid w:val="0015151D"/>
    <w:rsid w:val="00152E57"/>
    <w:rsid w:val="00153915"/>
    <w:rsid w:val="00157928"/>
    <w:rsid w:val="00160B5C"/>
    <w:rsid w:val="00171DDA"/>
    <w:rsid w:val="00175DA2"/>
    <w:rsid w:val="001922D3"/>
    <w:rsid w:val="001B34A4"/>
    <w:rsid w:val="001B7719"/>
    <w:rsid w:val="001C2698"/>
    <w:rsid w:val="001C4FFA"/>
    <w:rsid w:val="001C7990"/>
    <w:rsid w:val="001D392C"/>
    <w:rsid w:val="001D53CF"/>
    <w:rsid w:val="001D78C5"/>
    <w:rsid w:val="001E1179"/>
    <w:rsid w:val="001E13EE"/>
    <w:rsid w:val="001E7B34"/>
    <w:rsid w:val="002004E6"/>
    <w:rsid w:val="00203439"/>
    <w:rsid w:val="00214F93"/>
    <w:rsid w:val="0022349E"/>
    <w:rsid w:val="00225007"/>
    <w:rsid w:val="002303BC"/>
    <w:rsid w:val="002304CC"/>
    <w:rsid w:val="00236C36"/>
    <w:rsid w:val="002432E7"/>
    <w:rsid w:val="002441B7"/>
    <w:rsid w:val="0025011B"/>
    <w:rsid w:val="0025669B"/>
    <w:rsid w:val="00257EE4"/>
    <w:rsid w:val="0026015E"/>
    <w:rsid w:val="00266EFB"/>
    <w:rsid w:val="00275705"/>
    <w:rsid w:val="00283E13"/>
    <w:rsid w:val="00285456"/>
    <w:rsid w:val="00290FD6"/>
    <w:rsid w:val="002933F7"/>
    <w:rsid w:val="0029345B"/>
    <w:rsid w:val="002A3011"/>
    <w:rsid w:val="002A5802"/>
    <w:rsid w:val="002D6B4D"/>
    <w:rsid w:val="003074A8"/>
    <w:rsid w:val="00310759"/>
    <w:rsid w:val="003123B1"/>
    <w:rsid w:val="0031700F"/>
    <w:rsid w:val="0032789C"/>
    <w:rsid w:val="00327DC2"/>
    <w:rsid w:val="00337515"/>
    <w:rsid w:val="00337989"/>
    <w:rsid w:val="00354C2E"/>
    <w:rsid w:val="003566EA"/>
    <w:rsid w:val="00367E68"/>
    <w:rsid w:val="00381311"/>
    <w:rsid w:val="003820CE"/>
    <w:rsid w:val="00394287"/>
    <w:rsid w:val="003A0F3D"/>
    <w:rsid w:val="003A29C7"/>
    <w:rsid w:val="003B594A"/>
    <w:rsid w:val="003C26AA"/>
    <w:rsid w:val="003D4873"/>
    <w:rsid w:val="003D48E8"/>
    <w:rsid w:val="003D7270"/>
    <w:rsid w:val="003F007F"/>
    <w:rsid w:val="003F3CA4"/>
    <w:rsid w:val="003F3F72"/>
    <w:rsid w:val="00410F3C"/>
    <w:rsid w:val="004152F1"/>
    <w:rsid w:val="0042015A"/>
    <w:rsid w:val="004209B7"/>
    <w:rsid w:val="004215D4"/>
    <w:rsid w:val="0043036A"/>
    <w:rsid w:val="0043457C"/>
    <w:rsid w:val="0043531A"/>
    <w:rsid w:val="00441A8B"/>
    <w:rsid w:val="0045547F"/>
    <w:rsid w:val="0047379A"/>
    <w:rsid w:val="00477E60"/>
    <w:rsid w:val="00481CD1"/>
    <w:rsid w:val="00485305"/>
    <w:rsid w:val="004870EE"/>
    <w:rsid w:val="004879E2"/>
    <w:rsid w:val="00491C7F"/>
    <w:rsid w:val="0049718C"/>
    <w:rsid w:val="004A24CA"/>
    <w:rsid w:val="004A4620"/>
    <w:rsid w:val="004A610A"/>
    <w:rsid w:val="004B5B87"/>
    <w:rsid w:val="004B69B2"/>
    <w:rsid w:val="004C1B1A"/>
    <w:rsid w:val="004C3093"/>
    <w:rsid w:val="004D155F"/>
    <w:rsid w:val="004D1850"/>
    <w:rsid w:val="004D49CB"/>
    <w:rsid w:val="004D5D57"/>
    <w:rsid w:val="004D5D91"/>
    <w:rsid w:val="004E1C00"/>
    <w:rsid w:val="004E2352"/>
    <w:rsid w:val="004E603E"/>
    <w:rsid w:val="004E61AD"/>
    <w:rsid w:val="004E7BCD"/>
    <w:rsid w:val="004E7DB5"/>
    <w:rsid w:val="004F69D1"/>
    <w:rsid w:val="00500F25"/>
    <w:rsid w:val="00503D62"/>
    <w:rsid w:val="00506303"/>
    <w:rsid w:val="00520141"/>
    <w:rsid w:val="00521A39"/>
    <w:rsid w:val="00527A66"/>
    <w:rsid w:val="005300BE"/>
    <w:rsid w:val="00540F16"/>
    <w:rsid w:val="00545144"/>
    <w:rsid w:val="00555559"/>
    <w:rsid w:val="00563198"/>
    <w:rsid w:val="00563AE6"/>
    <w:rsid w:val="00566380"/>
    <w:rsid w:val="0057488F"/>
    <w:rsid w:val="005816DE"/>
    <w:rsid w:val="0058735D"/>
    <w:rsid w:val="00592A25"/>
    <w:rsid w:val="00594567"/>
    <w:rsid w:val="00596AC2"/>
    <w:rsid w:val="00597640"/>
    <w:rsid w:val="005A7893"/>
    <w:rsid w:val="005B4D49"/>
    <w:rsid w:val="005D7001"/>
    <w:rsid w:val="005E4485"/>
    <w:rsid w:val="005E70F3"/>
    <w:rsid w:val="00606AFB"/>
    <w:rsid w:val="00610A61"/>
    <w:rsid w:val="0062068B"/>
    <w:rsid w:val="006216DE"/>
    <w:rsid w:val="00622AAD"/>
    <w:rsid w:val="00634D91"/>
    <w:rsid w:val="006408B0"/>
    <w:rsid w:val="006522AD"/>
    <w:rsid w:val="00652875"/>
    <w:rsid w:val="00652F59"/>
    <w:rsid w:val="00655746"/>
    <w:rsid w:val="006623DB"/>
    <w:rsid w:val="006848EE"/>
    <w:rsid w:val="00692056"/>
    <w:rsid w:val="006B1930"/>
    <w:rsid w:val="006B6FA3"/>
    <w:rsid w:val="006C2309"/>
    <w:rsid w:val="006C64DB"/>
    <w:rsid w:val="006D0D2A"/>
    <w:rsid w:val="006E5C6A"/>
    <w:rsid w:val="0070048F"/>
    <w:rsid w:val="00702324"/>
    <w:rsid w:val="00706ED8"/>
    <w:rsid w:val="007148F8"/>
    <w:rsid w:val="0071576B"/>
    <w:rsid w:val="007314CB"/>
    <w:rsid w:val="0073282C"/>
    <w:rsid w:val="007435F1"/>
    <w:rsid w:val="00743C08"/>
    <w:rsid w:val="00752731"/>
    <w:rsid w:val="00764541"/>
    <w:rsid w:val="00764843"/>
    <w:rsid w:val="007672B0"/>
    <w:rsid w:val="00783C3A"/>
    <w:rsid w:val="00787CAA"/>
    <w:rsid w:val="00790FE1"/>
    <w:rsid w:val="00794228"/>
    <w:rsid w:val="007C3748"/>
    <w:rsid w:val="007C413C"/>
    <w:rsid w:val="007C4260"/>
    <w:rsid w:val="007C7A38"/>
    <w:rsid w:val="007D2D4B"/>
    <w:rsid w:val="007D62B3"/>
    <w:rsid w:val="007D6E24"/>
    <w:rsid w:val="007E1096"/>
    <w:rsid w:val="007E1B96"/>
    <w:rsid w:val="007F4635"/>
    <w:rsid w:val="007F6DFD"/>
    <w:rsid w:val="007F7F69"/>
    <w:rsid w:val="00804CED"/>
    <w:rsid w:val="0081056F"/>
    <w:rsid w:val="00813FFD"/>
    <w:rsid w:val="008172C2"/>
    <w:rsid w:val="00823B8E"/>
    <w:rsid w:val="00824DA8"/>
    <w:rsid w:val="008253BA"/>
    <w:rsid w:val="00826151"/>
    <w:rsid w:val="008410FC"/>
    <w:rsid w:val="00847BDC"/>
    <w:rsid w:val="0085713A"/>
    <w:rsid w:val="0086125A"/>
    <w:rsid w:val="00862CEA"/>
    <w:rsid w:val="00862D3A"/>
    <w:rsid w:val="00867311"/>
    <w:rsid w:val="00873952"/>
    <w:rsid w:val="00876051"/>
    <w:rsid w:val="00884E57"/>
    <w:rsid w:val="00884FAC"/>
    <w:rsid w:val="008907C8"/>
    <w:rsid w:val="00891F19"/>
    <w:rsid w:val="00892481"/>
    <w:rsid w:val="00895532"/>
    <w:rsid w:val="008A1005"/>
    <w:rsid w:val="008B3589"/>
    <w:rsid w:val="008B6817"/>
    <w:rsid w:val="008D0A51"/>
    <w:rsid w:val="008D41CF"/>
    <w:rsid w:val="008D728A"/>
    <w:rsid w:val="008E5E8F"/>
    <w:rsid w:val="008E6B69"/>
    <w:rsid w:val="008E7CC6"/>
    <w:rsid w:val="009153EC"/>
    <w:rsid w:val="0092431B"/>
    <w:rsid w:val="009300EB"/>
    <w:rsid w:val="00930AF0"/>
    <w:rsid w:val="00941F87"/>
    <w:rsid w:val="00944068"/>
    <w:rsid w:val="00950315"/>
    <w:rsid w:val="00955F71"/>
    <w:rsid w:val="00956E5E"/>
    <w:rsid w:val="00963021"/>
    <w:rsid w:val="00963E50"/>
    <w:rsid w:val="00966025"/>
    <w:rsid w:val="009664B6"/>
    <w:rsid w:val="00970330"/>
    <w:rsid w:val="00976A7C"/>
    <w:rsid w:val="00980D83"/>
    <w:rsid w:val="0098590F"/>
    <w:rsid w:val="0099084D"/>
    <w:rsid w:val="00992CAF"/>
    <w:rsid w:val="009A253C"/>
    <w:rsid w:val="009B5D08"/>
    <w:rsid w:val="009E237A"/>
    <w:rsid w:val="009E3CE9"/>
    <w:rsid w:val="009F1CA2"/>
    <w:rsid w:val="009F32CB"/>
    <w:rsid w:val="009F3E10"/>
    <w:rsid w:val="009F65C8"/>
    <w:rsid w:val="00A00871"/>
    <w:rsid w:val="00A03833"/>
    <w:rsid w:val="00A068BA"/>
    <w:rsid w:val="00A10608"/>
    <w:rsid w:val="00A254C7"/>
    <w:rsid w:val="00A3182A"/>
    <w:rsid w:val="00A36BBE"/>
    <w:rsid w:val="00A41BDF"/>
    <w:rsid w:val="00A4727E"/>
    <w:rsid w:val="00A5235E"/>
    <w:rsid w:val="00A531AE"/>
    <w:rsid w:val="00A6444F"/>
    <w:rsid w:val="00A7160C"/>
    <w:rsid w:val="00A739BA"/>
    <w:rsid w:val="00A93C9B"/>
    <w:rsid w:val="00A94D0A"/>
    <w:rsid w:val="00AA3745"/>
    <w:rsid w:val="00AA62B4"/>
    <w:rsid w:val="00AB7617"/>
    <w:rsid w:val="00AC0E68"/>
    <w:rsid w:val="00AD025E"/>
    <w:rsid w:val="00AD2828"/>
    <w:rsid w:val="00AD552B"/>
    <w:rsid w:val="00AD5E60"/>
    <w:rsid w:val="00AE264D"/>
    <w:rsid w:val="00AE7256"/>
    <w:rsid w:val="00AF19E7"/>
    <w:rsid w:val="00AF35A3"/>
    <w:rsid w:val="00AF3933"/>
    <w:rsid w:val="00B00CBF"/>
    <w:rsid w:val="00B11843"/>
    <w:rsid w:val="00B11AF4"/>
    <w:rsid w:val="00B2194B"/>
    <w:rsid w:val="00B36D21"/>
    <w:rsid w:val="00B43500"/>
    <w:rsid w:val="00B50CEA"/>
    <w:rsid w:val="00B547D5"/>
    <w:rsid w:val="00B55843"/>
    <w:rsid w:val="00B61C32"/>
    <w:rsid w:val="00B64E3B"/>
    <w:rsid w:val="00B70F2C"/>
    <w:rsid w:val="00B72373"/>
    <w:rsid w:val="00B74664"/>
    <w:rsid w:val="00B853E5"/>
    <w:rsid w:val="00BB57B6"/>
    <w:rsid w:val="00BC3199"/>
    <w:rsid w:val="00BC59BF"/>
    <w:rsid w:val="00BC6285"/>
    <w:rsid w:val="00BD1803"/>
    <w:rsid w:val="00BD422B"/>
    <w:rsid w:val="00BD6746"/>
    <w:rsid w:val="00BD7CB8"/>
    <w:rsid w:val="00BE1211"/>
    <w:rsid w:val="00BE46A1"/>
    <w:rsid w:val="00BE6B35"/>
    <w:rsid w:val="00BF6991"/>
    <w:rsid w:val="00C04C19"/>
    <w:rsid w:val="00C16572"/>
    <w:rsid w:val="00C17897"/>
    <w:rsid w:val="00C22A56"/>
    <w:rsid w:val="00C2378F"/>
    <w:rsid w:val="00C26048"/>
    <w:rsid w:val="00C33A0C"/>
    <w:rsid w:val="00C411C2"/>
    <w:rsid w:val="00C5371B"/>
    <w:rsid w:val="00C54D07"/>
    <w:rsid w:val="00C568CA"/>
    <w:rsid w:val="00C56E01"/>
    <w:rsid w:val="00C62AD4"/>
    <w:rsid w:val="00C63553"/>
    <w:rsid w:val="00C64D14"/>
    <w:rsid w:val="00C675B8"/>
    <w:rsid w:val="00C74F31"/>
    <w:rsid w:val="00C832DD"/>
    <w:rsid w:val="00CC4074"/>
    <w:rsid w:val="00CC71F5"/>
    <w:rsid w:val="00CD0154"/>
    <w:rsid w:val="00CD0E71"/>
    <w:rsid w:val="00CD5F2C"/>
    <w:rsid w:val="00CF56C7"/>
    <w:rsid w:val="00D234AA"/>
    <w:rsid w:val="00D23C3B"/>
    <w:rsid w:val="00D268F3"/>
    <w:rsid w:val="00D302C8"/>
    <w:rsid w:val="00D43F49"/>
    <w:rsid w:val="00D46175"/>
    <w:rsid w:val="00D50B2B"/>
    <w:rsid w:val="00D51C67"/>
    <w:rsid w:val="00D61522"/>
    <w:rsid w:val="00D6190A"/>
    <w:rsid w:val="00D623BF"/>
    <w:rsid w:val="00D67983"/>
    <w:rsid w:val="00D8071E"/>
    <w:rsid w:val="00D813C0"/>
    <w:rsid w:val="00D935FE"/>
    <w:rsid w:val="00DA547E"/>
    <w:rsid w:val="00DA6BA7"/>
    <w:rsid w:val="00DB22F1"/>
    <w:rsid w:val="00DB65B6"/>
    <w:rsid w:val="00DD16AF"/>
    <w:rsid w:val="00DD19A0"/>
    <w:rsid w:val="00DD63F6"/>
    <w:rsid w:val="00DE7F5C"/>
    <w:rsid w:val="00E029F6"/>
    <w:rsid w:val="00E10789"/>
    <w:rsid w:val="00E17E77"/>
    <w:rsid w:val="00E224B0"/>
    <w:rsid w:val="00E23EC4"/>
    <w:rsid w:val="00E2465C"/>
    <w:rsid w:val="00E32837"/>
    <w:rsid w:val="00E369DC"/>
    <w:rsid w:val="00E40C14"/>
    <w:rsid w:val="00E42AA9"/>
    <w:rsid w:val="00E43780"/>
    <w:rsid w:val="00E473C0"/>
    <w:rsid w:val="00E547E7"/>
    <w:rsid w:val="00E5519E"/>
    <w:rsid w:val="00E563E2"/>
    <w:rsid w:val="00E608C4"/>
    <w:rsid w:val="00E618FD"/>
    <w:rsid w:val="00E63DD3"/>
    <w:rsid w:val="00E7289B"/>
    <w:rsid w:val="00E7452A"/>
    <w:rsid w:val="00E84CE1"/>
    <w:rsid w:val="00E87C88"/>
    <w:rsid w:val="00E922B6"/>
    <w:rsid w:val="00E93BF2"/>
    <w:rsid w:val="00E951E2"/>
    <w:rsid w:val="00EA1DAF"/>
    <w:rsid w:val="00EA45D0"/>
    <w:rsid w:val="00EB6ECC"/>
    <w:rsid w:val="00ED202C"/>
    <w:rsid w:val="00EE6868"/>
    <w:rsid w:val="00EF10B6"/>
    <w:rsid w:val="00EF1DB0"/>
    <w:rsid w:val="00EF272B"/>
    <w:rsid w:val="00F00D97"/>
    <w:rsid w:val="00F143B9"/>
    <w:rsid w:val="00F24CB6"/>
    <w:rsid w:val="00F26EBF"/>
    <w:rsid w:val="00F3475D"/>
    <w:rsid w:val="00F36A95"/>
    <w:rsid w:val="00F51688"/>
    <w:rsid w:val="00F525FC"/>
    <w:rsid w:val="00F67D54"/>
    <w:rsid w:val="00F72EEB"/>
    <w:rsid w:val="00F765D9"/>
    <w:rsid w:val="00F8165B"/>
    <w:rsid w:val="00F93990"/>
    <w:rsid w:val="00F939A1"/>
    <w:rsid w:val="00FA26F8"/>
    <w:rsid w:val="00FA324E"/>
    <w:rsid w:val="00FB4F2E"/>
    <w:rsid w:val="00FC1027"/>
    <w:rsid w:val="00FC4FFA"/>
    <w:rsid w:val="00FD0A56"/>
    <w:rsid w:val="00FD0C41"/>
    <w:rsid w:val="00FD2C50"/>
    <w:rsid w:val="00FE04E4"/>
    <w:rsid w:val="00FE39D8"/>
    <w:rsid w:val="00FE7E36"/>
    <w:rsid w:val="00FF0C91"/>
    <w:rsid w:val="01E92276"/>
    <w:rsid w:val="0A726159"/>
    <w:rsid w:val="0C543CE9"/>
    <w:rsid w:val="0CE345F0"/>
    <w:rsid w:val="1B1E305C"/>
    <w:rsid w:val="1C4E0CDD"/>
    <w:rsid w:val="26EB55A1"/>
    <w:rsid w:val="27DA0FCA"/>
    <w:rsid w:val="34D56BCA"/>
    <w:rsid w:val="42CD3C59"/>
    <w:rsid w:val="4A927A5B"/>
    <w:rsid w:val="5AFE454B"/>
    <w:rsid w:val="61D35080"/>
    <w:rsid w:val="67E73EE2"/>
    <w:rsid w:val="6A9A7282"/>
    <w:rsid w:val="6E6C22C8"/>
    <w:rsid w:val="6EB530FF"/>
    <w:rsid w:val="722478D3"/>
    <w:rsid w:val="7A3D308D"/>
    <w:rsid w:val="7AE247F4"/>
    <w:rsid w:val="7C9D0E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9"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iPriority="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iPriority="0" w:name="footnote reference"/>
    <w:lsdException w:qFormat="1" w:uiPriority="99" w:semiHidden="0"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semiHidden="0" w:name="Body Text First Indent"/>
    <w:lsdException w:uiPriority="99" w:name="Body Text First Indent 2"/>
    <w:lsdException w:unhideWhenUsed="0" w:uiPriority="99" w:name="Note Heading"/>
    <w:lsdException w:qFormat="1" w:uiPriority="0" w:name="Body Text 2"/>
    <w:lsdException w:qFormat="1" w:uiPriority="0" w:name="Body Text 3"/>
    <w:lsdException w:qFormat="1" w:uiPriority="0" w:name="Body Text Indent 2"/>
    <w:lsdException w:qFormat="1" w:uiPriority="0" w:name="Body Text Indent 3"/>
    <w:lsdException w:qFormat="1" w:uiPriority="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51"/>
    <w:qFormat/>
    <w:uiPriority w:val="99"/>
    <w:pPr>
      <w:keepNext/>
      <w:keepLines/>
      <w:spacing w:before="340" w:after="330" w:line="400" w:lineRule="exact"/>
      <w:jc w:val="center"/>
      <w:outlineLvl w:val="0"/>
    </w:pPr>
    <w:rPr>
      <w:rFonts w:ascii="宋体" w:hAnsi="宋体" w:cs="宋体"/>
      <w:b/>
      <w:bCs/>
      <w:spacing w:val="-20"/>
      <w:kern w:val="44"/>
      <w:sz w:val="32"/>
      <w:szCs w:val="32"/>
    </w:rPr>
  </w:style>
  <w:style w:type="paragraph" w:styleId="5">
    <w:name w:val="heading 2"/>
    <w:basedOn w:val="1"/>
    <w:next w:val="1"/>
    <w:link w:val="52"/>
    <w:unhideWhenUsed/>
    <w:qFormat/>
    <w:uiPriority w:val="99"/>
    <w:pPr>
      <w:keepNext/>
      <w:keepLines/>
      <w:spacing w:before="260" w:after="260" w:line="360" w:lineRule="auto"/>
      <w:jc w:val="left"/>
      <w:outlineLvl w:val="1"/>
    </w:pPr>
    <w:rPr>
      <w:rFonts w:ascii="宋体" w:hAnsi="宋体" w:cs="宋体"/>
      <w:b/>
      <w:bCs/>
      <w:sz w:val="28"/>
      <w:szCs w:val="28"/>
    </w:rPr>
  </w:style>
  <w:style w:type="paragraph" w:styleId="6">
    <w:name w:val="heading 3"/>
    <w:basedOn w:val="1"/>
    <w:next w:val="1"/>
    <w:link w:val="53"/>
    <w:unhideWhenUsed/>
    <w:qFormat/>
    <w:uiPriority w:val="99"/>
    <w:pPr>
      <w:keepNext/>
      <w:keepLines/>
      <w:spacing w:line="360" w:lineRule="auto"/>
      <w:outlineLvl w:val="2"/>
    </w:pPr>
    <w:rPr>
      <w:rFonts w:ascii="宋体" w:hAnsi="宋体" w:cs="宋体"/>
      <w:b/>
      <w:bCs/>
      <w:color w:val="000000"/>
      <w:kern w:val="0"/>
      <w:sz w:val="28"/>
      <w:szCs w:val="28"/>
    </w:rPr>
  </w:style>
  <w:style w:type="paragraph" w:styleId="7">
    <w:name w:val="heading 4"/>
    <w:basedOn w:val="1"/>
    <w:next w:val="1"/>
    <w:link w:val="54"/>
    <w:unhideWhenUsed/>
    <w:qFormat/>
    <w:uiPriority w:val="9"/>
    <w:pPr>
      <w:keepNext/>
      <w:keepLines/>
      <w:spacing w:before="120" w:after="120" w:line="360" w:lineRule="auto"/>
      <w:jc w:val="left"/>
      <w:outlineLvl w:val="3"/>
    </w:pPr>
    <w:rPr>
      <w:rFonts w:ascii="Arial" w:hAnsi="Arial"/>
      <w:b/>
      <w:bCs/>
      <w:kern w:val="0"/>
      <w:sz w:val="28"/>
      <w:szCs w:val="28"/>
    </w:rPr>
  </w:style>
  <w:style w:type="paragraph" w:styleId="8">
    <w:name w:val="heading 5"/>
    <w:basedOn w:val="1"/>
    <w:next w:val="1"/>
    <w:link w:val="55"/>
    <w:unhideWhenUsed/>
    <w:qFormat/>
    <w:uiPriority w:val="0"/>
    <w:pPr>
      <w:numPr>
        <w:ilvl w:val="4"/>
        <w:numId w:val="1"/>
      </w:numPr>
      <w:tabs>
        <w:tab w:val="left" w:pos="1134"/>
      </w:tabs>
      <w:spacing w:before="280" w:after="290" w:line="360" w:lineRule="auto"/>
      <w:outlineLvl w:val="4"/>
    </w:pPr>
    <w:rPr>
      <w:b/>
      <w:bCs/>
      <w:kern w:val="0"/>
      <w:sz w:val="28"/>
      <w:szCs w:val="28"/>
    </w:rPr>
  </w:style>
  <w:style w:type="paragraph" w:styleId="9">
    <w:name w:val="heading 6"/>
    <w:basedOn w:val="1"/>
    <w:next w:val="1"/>
    <w:link w:val="56"/>
    <w:unhideWhenUsed/>
    <w:qFormat/>
    <w:uiPriority w:val="0"/>
    <w:pPr>
      <w:keepNext/>
      <w:keepLines/>
      <w:numPr>
        <w:ilvl w:val="5"/>
        <w:numId w:val="1"/>
      </w:numPr>
      <w:spacing w:before="240" w:after="64" w:line="314" w:lineRule="auto"/>
      <w:outlineLvl w:val="5"/>
    </w:pPr>
    <w:rPr>
      <w:rFonts w:ascii="Arial" w:hAnsi="Arial"/>
      <w:b/>
      <w:bCs/>
      <w:kern w:val="0"/>
      <w:sz w:val="28"/>
      <w:szCs w:val="18"/>
    </w:rPr>
  </w:style>
  <w:style w:type="paragraph" w:styleId="10">
    <w:name w:val="heading 7"/>
    <w:basedOn w:val="1"/>
    <w:next w:val="1"/>
    <w:link w:val="57"/>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1">
    <w:name w:val="heading 8"/>
    <w:basedOn w:val="1"/>
    <w:next w:val="1"/>
    <w:link w:val="58"/>
    <w:semiHidden/>
    <w:unhideWhenUsed/>
    <w:qFormat/>
    <w:uiPriority w:val="0"/>
    <w:pPr>
      <w:keepNext/>
      <w:keepLines/>
      <w:spacing w:before="240" w:after="64" w:line="314" w:lineRule="auto"/>
      <w:outlineLvl w:val="7"/>
    </w:pPr>
    <w:rPr>
      <w:rFonts w:ascii="Arial" w:hAnsi="Arial" w:eastAsia="黑体"/>
      <w:kern w:val="0"/>
      <w:sz w:val="24"/>
      <w:szCs w:val="24"/>
    </w:rPr>
  </w:style>
  <w:style w:type="paragraph" w:styleId="12">
    <w:name w:val="heading 9"/>
    <w:basedOn w:val="1"/>
    <w:next w:val="1"/>
    <w:link w:val="59"/>
    <w:semiHidden/>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84"/>
    <w:unhideWhenUsed/>
    <w:qFormat/>
    <w:uiPriority w:val="0"/>
    <w:pPr>
      <w:spacing w:after="120"/>
    </w:pPr>
    <w:rPr>
      <w:rFonts w:ascii="Times New Roman" w:hAnsi="Times New Roman"/>
      <w:kern w:val="0"/>
      <w:sz w:val="20"/>
      <w:szCs w:val="20"/>
    </w:rPr>
  </w:style>
  <w:style w:type="paragraph" w:styleId="3">
    <w:name w:val="Body Text First Indent"/>
    <w:basedOn w:val="2"/>
    <w:link w:val="73"/>
    <w:unhideWhenUsed/>
    <w:qFormat/>
    <w:uiPriority w:val="0"/>
    <w:pPr>
      <w:ind w:firstLine="420" w:firstLineChars="100"/>
    </w:pPr>
    <w:rPr>
      <w:sz w:val="18"/>
      <w:szCs w:val="18"/>
    </w:rPr>
  </w:style>
  <w:style w:type="paragraph" w:styleId="13">
    <w:name w:val="toc 7"/>
    <w:basedOn w:val="1"/>
    <w:next w:val="1"/>
    <w:unhideWhenUsed/>
    <w:qFormat/>
    <w:uiPriority w:val="39"/>
    <w:pPr>
      <w:ind w:left="2520" w:leftChars="1200"/>
    </w:pPr>
    <w:rPr>
      <w:rFonts w:ascii="Times New Roman" w:hAnsi="Times New Roman"/>
      <w:szCs w:val="24"/>
    </w:rPr>
  </w:style>
  <w:style w:type="paragraph" w:styleId="14">
    <w:name w:val="Normal Indent"/>
    <w:basedOn w:val="1"/>
    <w:link w:val="64"/>
    <w:unhideWhenUsed/>
    <w:qFormat/>
    <w:uiPriority w:val="0"/>
    <w:pPr>
      <w:spacing w:after="180" w:line="307" w:lineRule="auto"/>
      <w:ind w:firstLine="420"/>
    </w:pPr>
    <w:rPr>
      <w:rFonts w:asciiTheme="minorHAnsi" w:hAnsiTheme="minorHAnsi" w:eastAsiaTheme="minorEastAsia" w:cstheme="minorBidi"/>
    </w:rPr>
  </w:style>
  <w:style w:type="paragraph" w:styleId="15">
    <w:name w:val="caption"/>
    <w:basedOn w:val="1"/>
    <w:next w:val="1"/>
    <w:semiHidden/>
    <w:unhideWhenUsed/>
    <w:qFormat/>
    <w:uiPriority w:val="0"/>
    <w:pPr>
      <w:spacing w:before="152" w:after="160" w:line="360" w:lineRule="auto"/>
    </w:pPr>
    <w:rPr>
      <w:rFonts w:ascii="Arial" w:hAnsi="Arial" w:eastAsia="黑体" w:cs="Arial"/>
      <w:sz w:val="20"/>
      <w:szCs w:val="20"/>
    </w:rPr>
  </w:style>
  <w:style w:type="paragraph" w:styleId="16">
    <w:name w:val="Document Map"/>
    <w:basedOn w:val="1"/>
    <w:link w:val="78"/>
    <w:unhideWhenUsed/>
    <w:qFormat/>
    <w:uiPriority w:val="99"/>
    <w:pPr>
      <w:shd w:val="clear" w:color="auto" w:fill="000080"/>
    </w:pPr>
    <w:rPr>
      <w:rFonts w:ascii="Times New Roman" w:hAnsi="Times New Roman"/>
      <w:kern w:val="0"/>
      <w:sz w:val="18"/>
      <w:szCs w:val="18"/>
    </w:rPr>
  </w:style>
  <w:style w:type="paragraph" w:styleId="17">
    <w:name w:val="annotation text"/>
    <w:basedOn w:val="1"/>
    <w:link w:val="197"/>
    <w:unhideWhenUsed/>
    <w:qFormat/>
    <w:uiPriority w:val="0"/>
    <w:pPr>
      <w:jc w:val="left"/>
    </w:pPr>
  </w:style>
  <w:style w:type="paragraph" w:styleId="18">
    <w:name w:val="Body Text 3"/>
    <w:basedOn w:val="1"/>
    <w:link w:val="75"/>
    <w:semiHidden/>
    <w:unhideWhenUsed/>
    <w:qFormat/>
    <w:uiPriority w:val="0"/>
    <w:pPr>
      <w:jc w:val="center"/>
    </w:pPr>
    <w:rPr>
      <w:rFonts w:ascii="Times New Roman" w:hAnsi="Times New Roman" w:eastAsia="黑体"/>
      <w:sz w:val="44"/>
      <w:szCs w:val="24"/>
    </w:rPr>
  </w:style>
  <w:style w:type="paragraph" w:styleId="19">
    <w:name w:val="Body Text Indent"/>
    <w:basedOn w:val="1"/>
    <w:link w:val="70"/>
    <w:semiHidden/>
    <w:unhideWhenUsed/>
    <w:qFormat/>
    <w:uiPriority w:val="0"/>
    <w:pPr>
      <w:spacing w:after="120"/>
      <w:ind w:left="420" w:leftChars="200"/>
    </w:pPr>
    <w:rPr>
      <w:rFonts w:ascii="Times New Roman" w:hAnsi="Times New Roman"/>
      <w:kern w:val="0"/>
      <w:sz w:val="20"/>
      <w:szCs w:val="24"/>
    </w:rPr>
  </w:style>
  <w:style w:type="paragraph" w:styleId="20">
    <w:name w:val="Block Text"/>
    <w:basedOn w:val="1"/>
    <w:semiHidden/>
    <w:unhideWhenUsed/>
    <w:qFormat/>
    <w:uiPriority w:val="0"/>
    <w:pPr>
      <w:ind w:left="-540" w:leftChars="-257" w:right="-334" w:rightChars="-159" w:firstLine="540" w:firstLineChars="180"/>
    </w:pPr>
    <w:rPr>
      <w:rFonts w:ascii="Times New Roman" w:hAnsi="Times New Roman"/>
      <w:sz w:val="30"/>
      <w:szCs w:val="24"/>
    </w:rPr>
  </w:style>
  <w:style w:type="paragraph" w:styleId="21">
    <w:name w:val="toc 5"/>
    <w:basedOn w:val="1"/>
    <w:next w:val="1"/>
    <w:unhideWhenUsed/>
    <w:qFormat/>
    <w:uiPriority w:val="39"/>
    <w:pPr>
      <w:ind w:left="1680" w:leftChars="800"/>
    </w:pPr>
    <w:rPr>
      <w:rFonts w:ascii="Times New Roman" w:hAnsi="Times New Roman"/>
      <w:sz w:val="18"/>
      <w:szCs w:val="18"/>
    </w:rPr>
  </w:style>
  <w:style w:type="paragraph" w:styleId="22">
    <w:name w:val="toc 3"/>
    <w:basedOn w:val="1"/>
    <w:next w:val="1"/>
    <w:unhideWhenUsed/>
    <w:qFormat/>
    <w:uiPriority w:val="39"/>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3">
    <w:name w:val="Plain Text"/>
    <w:basedOn w:val="1"/>
    <w:link w:val="188"/>
    <w:unhideWhenUsed/>
    <w:qFormat/>
    <w:uiPriority w:val="99"/>
    <w:rPr>
      <w:rFonts w:ascii="宋体" w:hAnsi="Courier New"/>
      <w:kern w:val="0"/>
      <w:sz w:val="20"/>
      <w:szCs w:val="18"/>
    </w:rPr>
  </w:style>
  <w:style w:type="paragraph" w:styleId="24">
    <w:name w:val="toc 8"/>
    <w:basedOn w:val="1"/>
    <w:next w:val="1"/>
    <w:unhideWhenUsed/>
    <w:qFormat/>
    <w:uiPriority w:val="39"/>
    <w:pPr>
      <w:ind w:left="2940" w:leftChars="1400"/>
    </w:pPr>
    <w:rPr>
      <w:rFonts w:ascii="Times New Roman" w:hAnsi="Times New Roman"/>
      <w:szCs w:val="24"/>
    </w:rPr>
  </w:style>
  <w:style w:type="paragraph" w:styleId="25">
    <w:name w:val="Date"/>
    <w:basedOn w:val="1"/>
    <w:next w:val="1"/>
    <w:link w:val="72"/>
    <w:unhideWhenUsed/>
    <w:qFormat/>
    <w:uiPriority w:val="99"/>
    <w:pPr>
      <w:ind w:left="100" w:leftChars="2500"/>
    </w:pPr>
    <w:rPr>
      <w:rFonts w:ascii="Times New Roman" w:hAnsi="Times New Roman"/>
      <w:kern w:val="0"/>
      <w:sz w:val="24"/>
      <w:szCs w:val="24"/>
    </w:rPr>
  </w:style>
  <w:style w:type="paragraph" w:styleId="26">
    <w:name w:val="Body Text Indent 2"/>
    <w:basedOn w:val="1"/>
    <w:link w:val="76"/>
    <w:semiHidden/>
    <w:unhideWhenUsed/>
    <w:qFormat/>
    <w:uiPriority w:val="0"/>
    <w:pPr>
      <w:spacing w:after="120" w:line="480" w:lineRule="auto"/>
      <w:ind w:left="420" w:leftChars="200"/>
    </w:pPr>
    <w:rPr>
      <w:rFonts w:ascii="Times New Roman" w:hAnsi="Times New Roman"/>
      <w:kern w:val="0"/>
      <w:sz w:val="20"/>
      <w:szCs w:val="20"/>
    </w:rPr>
  </w:style>
  <w:style w:type="paragraph" w:styleId="27">
    <w:name w:val="Balloon Text"/>
    <w:basedOn w:val="1"/>
    <w:link w:val="81"/>
    <w:unhideWhenUsed/>
    <w:qFormat/>
    <w:uiPriority w:val="99"/>
    <w:rPr>
      <w:rFonts w:ascii="Times New Roman" w:hAnsi="Times New Roman"/>
      <w:kern w:val="0"/>
      <w:sz w:val="18"/>
      <w:szCs w:val="18"/>
    </w:rPr>
  </w:style>
  <w:style w:type="paragraph" w:styleId="28">
    <w:name w:val="footer"/>
    <w:basedOn w:val="1"/>
    <w:link w:val="68"/>
    <w:unhideWhenUsed/>
    <w:qFormat/>
    <w:uiPriority w:val="99"/>
    <w:pPr>
      <w:tabs>
        <w:tab w:val="center" w:pos="4153"/>
        <w:tab w:val="right" w:pos="8306"/>
      </w:tabs>
      <w:snapToGrid w:val="0"/>
      <w:jc w:val="left"/>
    </w:pPr>
    <w:rPr>
      <w:kern w:val="0"/>
      <w:sz w:val="18"/>
      <w:szCs w:val="18"/>
    </w:rPr>
  </w:style>
  <w:style w:type="paragraph" w:styleId="29">
    <w:name w:val="header"/>
    <w:basedOn w:val="1"/>
    <w:link w:val="67"/>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1">
    <w:name w:val="toc 4"/>
    <w:basedOn w:val="1"/>
    <w:next w:val="1"/>
    <w:unhideWhenUsed/>
    <w:qFormat/>
    <w:uiPriority w:val="39"/>
    <w:pPr>
      <w:ind w:left="1260" w:leftChars="600"/>
    </w:pPr>
    <w:rPr>
      <w:rFonts w:ascii="Times New Roman" w:hAnsi="Times New Roman"/>
      <w:sz w:val="18"/>
      <w:szCs w:val="18"/>
    </w:rPr>
  </w:style>
  <w:style w:type="paragraph" w:styleId="32">
    <w:name w:val="Subtitle"/>
    <w:basedOn w:val="1"/>
    <w:next w:val="1"/>
    <w:link w:val="71"/>
    <w:qFormat/>
    <w:uiPriority w:val="0"/>
    <w:pPr>
      <w:spacing w:before="240" w:after="60" w:line="312" w:lineRule="auto"/>
      <w:jc w:val="center"/>
      <w:outlineLvl w:val="1"/>
    </w:pPr>
    <w:rPr>
      <w:rFonts w:ascii="Cambria" w:hAnsi="Cambria"/>
      <w:b/>
      <w:bCs/>
      <w:kern w:val="28"/>
      <w:sz w:val="32"/>
      <w:szCs w:val="32"/>
    </w:rPr>
  </w:style>
  <w:style w:type="paragraph" w:styleId="33">
    <w:name w:val="footnote text"/>
    <w:basedOn w:val="1"/>
    <w:link w:val="65"/>
    <w:semiHidden/>
    <w:unhideWhenUsed/>
    <w:qFormat/>
    <w:uiPriority w:val="0"/>
    <w:pPr>
      <w:snapToGrid w:val="0"/>
      <w:jc w:val="left"/>
    </w:pPr>
    <w:rPr>
      <w:sz w:val="18"/>
      <w:szCs w:val="18"/>
    </w:rPr>
  </w:style>
  <w:style w:type="paragraph" w:styleId="34">
    <w:name w:val="toc 6"/>
    <w:basedOn w:val="1"/>
    <w:next w:val="1"/>
    <w:unhideWhenUsed/>
    <w:qFormat/>
    <w:uiPriority w:val="39"/>
    <w:pPr>
      <w:ind w:left="2100" w:leftChars="1000"/>
    </w:pPr>
    <w:rPr>
      <w:rFonts w:ascii="Times New Roman" w:hAnsi="Times New Roman"/>
      <w:szCs w:val="24"/>
    </w:rPr>
  </w:style>
  <w:style w:type="paragraph" w:styleId="35">
    <w:name w:val="Body Text Indent 3"/>
    <w:basedOn w:val="1"/>
    <w:link w:val="77"/>
    <w:semiHidden/>
    <w:unhideWhenUsed/>
    <w:qFormat/>
    <w:uiPriority w:val="0"/>
    <w:pPr>
      <w:spacing w:line="360" w:lineRule="auto"/>
      <w:ind w:left="153" w:leftChars="85" w:firstLine="560" w:firstLineChars="200"/>
    </w:pPr>
    <w:rPr>
      <w:rFonts w:ascii="宋体" w:hAnsi="宋体"/>
      <w:kern w:val="0"/>
      <w:sz w:val="28"/>
      <w:szCs w:val="28"/>
    </w:rPr>
  </w:style>
  <w:style w:type="paragraph" w:styleId="36">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7">
    <w:name w:val="toc 9"/>
    <w:basedOn w:val="1"/>
    <w:next w:val="1"/>
    <w:unhideWhenUsed/>
    <w:qFormat/>
    <w:uiPriority w:val="39"/>
    <w:pPr>
      <w:ind w:left="3360" w:leftChars="1600"/>
    </w:pPr>
    <w:rPr>
      <w:rFonts w:ascii="Times New Roman" w:hAnsi="Times New Roman"/>
      <w:szCs w:val="24"/>
    </w:rPr>
  </w:style>
  <w:style w:type="paragraph" w:styleId="38">
    <w:name w:val="Body Text 2"/>
    <w:basedOn w:val="1"/>
    <w:link w:val="74"/>
    <w:semiHidden/>
    <w:unhideWhenUsed/>
    <w:qFormat/>
    <w:uiPriority w:val="0"/>
    <w:pPr>
      <w:spacing w:after="120" w:line="480" w:lineRule="auto"/>
    </w:pPr>
    <w:rPr>
      <w:rFonts w:ascii="Times New Roman" w:hAnsi="Times New Roman"/>
      <w:kern w:val="0"/>
      <w:sz w:val="18"/>
      <w:szCs w:val="18"/>
    </w:rPr>
  </w:style>
  <w:style w:type="paragraph" w:styleId="39">
    <w:name w:val="HTML Preformatted"/>
    <w:basedOn w:val="1"/>
    <w:link w:val="210"/>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pPr>
    <w:rPr>
      <w:rFonts w:ascii="Arial" w:hAnsi="Arial" w:cs="Arial"/>
      <w:kern w:val="0"/>
      <w:sz w:val="24"/>
      <w:szCs w:val="28"/>
    </w:rPr>
  </w:style>
  <w:style w:type="paragraph" w:styleId="40">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41">
    <w:name w:val="index 1"/>
    <w:basedOn w:val="1"/>
    <w:next w:val="1"/>
    <w:semiHidden/>
    <w:unhideWhenUsed/>
    <w:qFormat/>
    <w:uiPriority w:val="0"/>
    <w:pPr>
      <w:ind w:firstLine="560" w:firstLineChars="200"/>
    </w:pPr>
    <w:rPr>
      <w:rFonts w:ascii="宋体" w:hAnsi="宋体" w:cs="宋体"/>
      <w:sz w:val="28"/>
      <w:szCs w:val="28"/>
    </w:rPr>
  </w:style>
  <w:style w:type="paragraph" w:styleId="42">
    <w:name w:val="annotation subject"/>
    <w:basedOn w:val="17"/>
    <w:next w:val="17"/>
    <w:link w:val="80"/>
    <w:unhideWhenUsed/>
    <w:qFormat/>
    <w:uiPriority w:val="99"/>
    <w:rPr>
      <w:b/>
      <w:bCs/>
    </w:rPr>
  </w:style>
  <w:style w:type="table" w:styleId="44">
    <w:name w:val="Table Grid"/>
    <w:basedOn w:val="4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page number"/>
    <w:basedOn w:val="45"/>
    <w:semiHidden/>
    <w:unhideWhenUsed/>
    <w:qFormat/>
    <w:uiPriority w:val="99"/>
  </w:style>
  <w:style w:type="character" w:styleId="47">
    <w:name w:val="FollowedHyperlink"/>
    <w:basedOn w:val="45"/>
    <w:semiHidden/>
    <w:unhideWhenUsed/>
    <w:qFormat/>
    <w:uiPriority w:val="99"/>
    <w:rPr>
      <w:color w:val="800080" w:themeColor="followedHyperlink"/>
      <w:u w:val="single"/>
      <w14:textFill>
        <w14:solidFill>
          <w14:schemeClr w14:val="folHlink"/>
        </w14:solidFill>
      </w14:textFill>
    </w:rPr>
  </w:style>
  <w:style w:type="character" w:styleId="48">
    <w:name w:val="Hyperlink"/>
    <w:unhideWhenUsed/>
    <w:qFormat/>
    <w:uiPriority w:val="99"/>
    <w:rPr>
      <w:color w:val="0000FF"/>
      <w:u w:val="single"/>
    </w:rPr>
  </w:style>
  <w:style w:type="character" w:styleId="49">
    <w:name w:val="annotation reference"/>
    <w:unhideWhenUsed/>
    <w:qFormat/>
    <w:uiPriority w:val="99"/>
    <w:rPr>
      <w:sz w:val="21"/>
      <w:szCs w:val="21"/>
    </w:rPr>
  </w:style>
  <w:style w:type="character" w:styleId="50">
    <w:name w:val="footnote reference"/>
    <w:semiHidden/>
    <w:unhideWhenUsed/>
    <w:qFormat/>
    <w:uiPriority w:val="0"/>
    <w:rPr>
      <w:vertAlign w:val="superscript"/>
    </w:rPr>
  </w:style>
  <w:style w:type="character" w:customStyle="1" w:styleId="51">
    <w:name w:val="标题 1 Char"/>
    <w:basedOn w:val="45"/>
    <w:link w:val="4"/>
    <w:qFormat/>
    <w:uiPriority w:val="99"/>
    <w:rPr>
      <w:rFonts w:ascii="宋体" w:hAnsi="宋体" w:eastAsia="宋体" w:cs="宋体"/>
      <w:b/>
      <w:bCs/>
      <w:spacing w:val="-20"/>
      <w:kern w:val="44"/>
      <w:sz w:val="32"/>
      <w:szCs w:val="32"/>
    </w:rPr>
  </w:style>
  <w:style w:type="character" w:customStyle="1" w:styleId="52">
    <w:name w:val="标题 2 Char"/>
    <w:basedOn w:val="45"/>
    <w:link w:val="5"/>
    <w:qFormat/>
    <w:uiPriority w:val="99"/>
    <w:rPr>
      <w:rFonts w:ascii="宋体" w:hAnsi="宋体" w:eastAsia="宋体" w:cs="宋体"/>
      <w:b/>
      <w:bCs/>
      <w:sz w:val="28"/>
      <w:szCs w:val="28"/>
    </w:rPr>
  </w:style>
  <w:style w:type="character" w:customStyle="1" w:styleId="53">
    <w:name w:val="标题 3 Char"/>
    <w:basedOn w:val="45"/>
    <w:link w:val="6"/>
    <w:qFormat/>
    <w:uiPriority w:val="99"/>
    <w:rPr>
      <w:rFonts w:ascii="宋体" w:hAnsi="宋体" w:eastAsia="宋体" w:cs="宋体"/>
      <w:b/>
      <w:bCs/>
      <w:color w:val="000000"/>
      <w:kern w:val="0"/>
      <w:sz w:val="28"/>
      <w:szCs w:val="28"/>
    </w:rPr>
  </w:style>
  <w:style w:type="character" w:customStyle="1" w:styleId="54">
    <w:name w:val="标题 4 Char"/>
    <w:basedOn w:val="45"/>
    <w:link w:val="7"/>
    <w:qFormat/>
    <w:uiPriority w:val="9"/>
    <w:rPr>
      <w:rFonts w:ascii="Arial" w:hAnsi="Arial" w:eastAsia="宋体" w:cs="Times New Roman"/>
      <w:b/>
      <w:bCs/>
      <w:kern w:val="0"/>
      <w:sz w:val="28"/>
      <w:szCs w:val="28"/>
    </w:rPr>
  </w:style>
  <w:style w:type="character" w:customStyle="1" w:styleId="55">
    <w:name w:val="标题 5 Char"/>
    <w:basedOn w:val="45"/>
    <w:link w:val="8"/>
    <w:qFormat/>
    <w:uiPriority w:val="0"/>
    <w:rPr>
      <w:rFonts w:ascii="Calibri" w:hAnsi="Calibri" w:eastAsia="宋体" w:cs="Times New Roman"/>
      <w:b/>
      <w:bCs/>
      <w:sz w:val="28"/>
      <w:szCs w:val="28"/>
    </w:rPr>
  </w:style>
  <w:style w:type="character" w:customStyle="1" w:styleId="56">
    <w:name w:val="标题 6 Char"/>
    <w:basedOn w:val="45"/>
    <w:link w:val="9"/>
    <w:qFormat/>
    <w:uiPriority w:val="0"/>
    <w:rPr>
      <w:rFonts w:ascii="Arial" w:hAnsi="Arial" w:eastAsia="宋体" w:cs="Times New Roman"/>
      <w:b/>
      <w:bCs/>
      <w:sz w:val="28"/>
      <w:szCs w:val="18"/>
    </w:rPr>
  </w:style>
  <w:style w:type="character" w:customStyle="1" w:styleId="57">
    <w:name w:val="标题 7 Char"/>
    <w:basedOn w:val="45"/>
    <w:link w:val="10"/>
    <w:qFormat/>
    <w:uiPriority w:val="0"/>
    <w:rPr>
      <w:rFonts w:ascii="Arial Narrow" w:hAnsi="Arial Narrow" w:eastAsia="宋体" w:cs="Times New Roman"/>
      <w:b/>
      <w:bCs/>
      <w:iCs/>
      <w:kern w:val="0"/>
      <w:sz w:val="20"/>
      <w:szCs w:val="24"/>
      <w:lang w:eastAsia="en-US"/>
    </w:rPr>
  </w:style>
  <w:style w:type="character" w:customStyle="1" w:styleId="58">
    <w:name w:val="标题 8 Char"/>
    <w:basedOn w:val="45"/>
    <w:link w:val="11"/>
    <w:semiHidden/>
    <w:qFormat/>
    <w:uiPriority w:val="0"/>
    <w:rPr>
      <w:rFonts w:ascii="Arial" w:hAnsi="Arial" w:eastAsia="黑体" w:cs="Times New Roman"/>
      <w:kern w:val="0"/>
      <w:sz w:val="24"/>
      <w:szCs w:val="24"/>
    </w:rPr>
  </w:style>
  <w:style w:type="character" w:customStyle="1" w:styleId="59">
    <w:name w:val="标题 9 Char"/>
    <w:basedOn w:val="45"/>
    <w:link w:val="12"/>
    <w:semiHidden/>
    <w:qFormat/>
    <w:uiPriority w:val="0"/>
    <w:rPr>
      <w:rFonts w:ascii="Arial" w:hAnsi="Arial" w:eastAsia="黑体" w:cs="Times New Roman"/>
      <w:kern w:val="0"/>
      <w:sz w:val="20"/>
      <w:szCs w:val="21"/>
    </w:rPr>
  </w:style>
  <w:style w:type="character" w:customStyle="1" w:styleId="60">
    <w:name w:val="标题 1 Char1"/>
    <w:qFormat/>
    <w:uiPriority w:val="0"/>
    <w:rPr>
      <w:b/>
      <w:bCs/>
      <w:kern w:val="44"/>
      <w:sz w:val="44"/>
      <w:szCs w:val="44"/>
    </w:rPr>
  </w:style>
  <w:style w:type="character" w:customStyle="1" w:styleId="61">
    <w:name w:val="标题 2 Char1"/>
    <w:basedOn w:val="45"/>
    <w:semiHidden/>
    <w:qFormat/>
    <w:uiPriority w:val="99"/>
    <w:rPr>
      <w:rFonts w:asciiTheme="majorHAnsi" w:hAnsiTheme="majorHAnsi" w:eastAsiaTheme="majorEastAsia" w:cstheme="majorBidi"/>
      <w:b/>
      <w:bCs/>
      <w:kern w:val="2"/>
      <w:sz w:val="32"/>
      <w:szCs w:val="32"/>
    </w:rPr>
  </w:style>
  <w:style w:type="character" w:customStyle="1" w:styleId="62">
    <w:name w:val="标题 3 Char1"/>
    <w:basedOn w:val="45"/>
    <w:semiHidden/>
    <w:qFormat/>
    <w:uiPriority w:val="99"/>
    <w:rPr>
      <w:rFonts w:ascii="Calibri" w:hAnsi="Calibri"/>
      <w:b/>
      <w:bCs/>
      <w:kern w:val="2"/>
      <w:sz w:val="32"/>
      <w:szCs w:val="32"/>
    </w:rPr>
  </w:style>
  <w:style w:type="character" w:customStyle="1" w:styleId="63">
    <w:name w:val="标题 4 Char1"/>
    <w:basedOn w:val="45"/>
    <w:semiHidden/>
    <w:qFormat/>
    <w:uiPriority w:val="9"/>
    <w:rPr>
      <w:rFonts w:asciiTheme="majorHAnsi" w:hAnsiTheme="majorHAnsi" w:eastAsiaTheme="majorEastAsia" w:cstheme="majorBidi"/>
      <w:b/>
      <w:bCs/>
      <w:kern w:val="2"/>
      <w:sz w:val="28"/>
      <w:szCs w:val="28"/>
    </w:rPr>
  </w:style>
  <w:style w:type="character" w:customStyle="1" w:styleId="64">
    <w:name w:val="正文缩进 Char1"/>
    <w:link w:val="14"/>
    <w:qFormat/>
    <w:locked/>
    <w:uiPriority w:val="0"/>
  </w:style>
  <w:style w:type="character" w:customStyle="1" w:styleId="65">
    <w:name w:val="脚注文本 Char"/>
    <w:basedOn w:val="45"/>
    <w:link w:val="33"/>
    <w:semiHidden/>
    <w:qFormat/>
    <w:uiPriority w:val="0"/>
    <w:rPr>
      <w:rFonts w:ascii="Calibri" w:hAnsi="Calibri" w:eastAsia="宋体" w:cs="Times New Roman"/>
      <w:sz w:val="18"/>
      <w:szCs w:val="18"/>
    </w:rPr>
  </w:style>
  <w:style w:type="character" w:customStyle="1" w:styleId="66">
    <w:name w:val="批注文字 Char"/>
    <w:basedOn w:val="45"/>
    <w:semiHidden/>
    <w:qFormat/>
    <w:uiPriority w:val="99"/>
    <w:rPr>
      <w:rFonts w:ascii="Calibri" w:hAnsi="Calibri" w:eastAsia="宋体" w:cs="Times New Roman"/>
    </w:rPr>
  </w:style>
  <w:style w:type="character" w:customStyle="1" w:styleId="67">
    <w:name w:val="页眉 Char"/>
    <w:basedOn w:val="45"/>
    <w:link w:val="29"/>
    <w:qFormat/>
    <w:uiPriority w:val="99"/>
    <w:rPr>
      <w:rFonts w:ascii="Calibri" w:hAnsi="Calibri" w:eastAsia="宋体" w:cs="Times New Roman"/>
      <w:kern w:val="0"/>
      <w:sz w:val="18"/>
      <w:szCs w:val="18"/>
    </w:rPr>
  </w:style>
  <w:style w:type="character" w:customStyle="1" w:styleId="68">
    <w:name w:val="页脚 Char"/>
    <w:basedOn w:val="45"/>
    <w:link w:val="28"/>
    <w:qFormat/>
    <w:uiPriority w:val="99"/>
    <w:rPr>
      <w:rFonts w:ascii="Calibri" w:hAnsi="Calibri" w:eastAsia="宋体" w:cs="Times New Roman"/>
      <w:kern w:val="0"/>
      <w:sz w:val="18"/>
      <w:szCs w:val="18"/>
    </w:rPr>
  </w:style>
  <w:style w:type="character" w:customStyle="1" w:styleId="69">
    <w:name w:val="正文文本 Char"/>
    <w:basedOn w:val="45"/>
    <w:qFormat/>
    <w:uiPriority w:val="99"/>
    <w:rPr>
      <w:rFonts w:ascii="Calibri" w:hAnsi="Calibri" w:eastAsia="宋体" w:cs="Times New Roman"/>
    </w:rPr>
  </w:style>
  <w:style w:type="character" w:customStyle="1" w:styleId="70">
    <w:name w:val="正文文本缩进 Char"/>
    <w:basedOn w:val="45"/>
    <w:link w:val="19"/>
    <w:semiHidden/>
    <w:qFormat/>
    <w:uiPriority w:val="0"/>
    <w:rPr>
      <w:rFonts w:ascii="Times New Roman" w:hAnsi="Times New Roman" w:eastAsia="宋体" w:cs="Times New Roman"/>
      <w:kern w:val="0"/>
      <w:sz w:val="20"/>
      <w:szCs w:val="24"/>
    </w:rPr>
  </w:style>
  <w:style w:type="character" w:customStyle="1" w:styleId="71">
    <w:name w:val="副标题 Char"/>
    <w:basedOn w:val="45"/>
    <w:link w:val="32"/>
    <w:qFormat/>
    <w:uiPriority w:val="0"/>
    <w:rPr>
      <w:rFonts w:ascii="Cambria" w:hAnsi="Cambria" w:eastAsia="宋体" w:cs="Times New Roman"/>
      <w:b/>
      <w:bCs/>
      <w:kern w:val="28"/>
      <w:sz w:val="32"/>
      <w:szCs w:val="32"/>
    </w:rPr>
  </w:style>
  <w:style w:type="character" w:customStyle="1" w:styleId="72">
    <w:name w:val="日期 Char"/>
    <w:basedOn w:val="45"/>
    <w:link w:val="25"/>
    <w:qFormat/>
    <w:uiPriority w:val="99"/>
    <w:rPr>
      <w:rFonts w:ascii="Times New Roman" w:hAnsi="Times New Roman" w:eastAsia="宋体" w:cs="Times New Roman"/>
      <w:kern w:val="0"/>
      <w:sz w:val="24"/>
      <w:szCs w:val="24"/>
    </w:rPr>
  </w:style>
  <w:style w:type="character" w:customStyle="1" w:styleId="73">
    <w:name w:val="正文首行缩进 Char"/>
    <w:basedOn w:val="69"/>
    <w:link w:val="3"/>
    <w:qFormat/>
    <w:uiPriority w:val="0"/>
    <w:rPr>
      <w:rFonts w:ascii="Times New Roman" w:hAnsi="Times New Roman" w:eastAsia="宋体" w:cs="Times New Roman"/>
      <w:kern w:val="0"/>
      <w:sz w:val="18"/>
      <w:szCs w:val="18"/>
    </w:rPr>
  </w:style>
  <w:style w:type="character" w:customStyle="1" w:styleId="74">
    <w:name w:val="正文文本 2 Char"/>
    <w:basedOn w:val="45"/>
    <w:link w:val="38"/>
    <w:semiHidden/>
    <w:qFormat/>
    <w:uiPriority w:val="0"/>
    <w:rPr>
      <w:rFonts w:ascii="Times New Roman" w:hAnsi="Times New Roman" w:eastAsia="宋体" w:cs="Times New Roman"/>
      <w:kern w:val="0"/>
      <w:sz w:val="18"/>
      <w:szCs w:val="18"/>
    </w:rPr>
  </w:style>
  <w:style w:type="character" w:customStyle="1" w:styleId="75">
    <w:name w:val="正文文本 3 Char"/>
    <w:basedOn w:val="45"/>
    <w:link w:val="18"/>
    <w:semiHidden/>
    <w:qFormat/>
    <w:uiPriority w:val="0"/>
    <w:rPr>
      <w:rFonts w:ascii="Times New Roman" w:hAnsi="Times New Roman" w:eastAsia="黑体" w:cs="Times New Roman"/>
      <w:sz w:val="44"/>
      <w:szCs w:val="24"/>
    </w:rPr>
  </w:style>
  <w:style w:type="character" w:customStyle="1" w:styleId="76">
    <w:name w:val="正文文本缩进 2 Char"/>
    <w:basedOn w:val="45"/>
    <w:link w:val="26"/>
    <w:semiHidden/>
    <w:qFormat/>
    <w:uiPriority w:val="0"/>
    <w:rPr>
      <w:rFonts w:ascii="Times New Roman" w:hAnsi="Times New Roman" w:eastAsia="宋体" w:cs="Times New Roman"/>
      <w:kern w:val="0"/>
      <w:sz w:val="20"/>
      <w:szCs w:val="20"/>
    </w:rPr>
  </w:style>
  <w:style w:type="character" w:customStyle="1" w:styleId="77">
    <w:name w:val="正文文本缩进 3 Char"/>
    <w:basedOn w:val="45"/>
    <w:link w:val="35"/>
    <w:semiHidden/>
    <w:qFormat/>
    <w:uiPriority w:val="0"/>
    <w:rPr>
      <w:rFonts w:ascii="宋体" w:hAnsi="宋体" w:eastAsia="宋体" w:cs="Times New Roman"/>
      <w:kern w:val="0"/>
      <w:sz w:val="28"/>
      <w:szCs w:val="28"/>
    </w:rPr>
  </w:style>
  <w:style w:type="character" w:customStyle="1" w:styleId="78">
    <w:name w:val="文档结构图 Char"/>
    <w:basedOn w:val="45"/>
    <w:link w:val="16"/>
    <w:qFormat/>
    <w:uiPriority w:val="99"/>
    <w:rPr>
      <w:rFonts w:ascii="Times New Roman" w:hAnsi="Times New Roman" w:eastAsia="宋体" w:cs="Times New Roman"/>
      <w:kern w:val="0"/>
      <w:sz w:val="18"/>
      <w:szCs w:val="18"/>
      <w:shd w:val="clear" w:color="auto" w:fill="000080"/>
    </w:rPr>
  </w:style>
  <w:style w:type="character" w:customStyle="1" w:styleId="79">
    <w:name w:val="纯文本 Char"/>
    <w:basedOn w:val="45"/>
    <w:semiHidden/>
    <w:qFormat/>
    <w:uiPriority w:val="99"/>
    <w:rPr>
      <w:rFonts w:ascii="宋体" w:hAnsi="Courier New" w:eastAsia="宋体" w:cs="Courier New"/>
      <w:szCs w:val="21"/>
    </w:rPr>
  </w:style>
  <w:style w:type="character" w:customStyle="1" w:styleId="80">
    <w:name w:val="批注主题 Char"/>
    <w:basedOn w:val="66"/>
    <w:link w:val="42"/>
    <w:qFormat/>
    <w:uiPriority w:val="99"/>
    <w:rPr>
      <w:rFonts w:ascii="Calibri" w:hAnsi="Calibri" w:eastAsia="宋体" w:cs="Times New Roman"/>
      <w:b/>
      <w:bCs/>
    </w:rPr>
  </w:style>
  <w:style w:type="character" w:customStyle="1" w:styleId="81">
    <w:name w:val="批注框文本 Char"/>
    <w:basedOn w:val="45"/>
    <w:link w:val="27"/>
    <w:qFormat/>
    <w:uiPriority w:val="99"/>
    <w:rPr>
      <w:rFonts w:ascii="Times New Roman" w:hAnsi="Times New Roman" w:eastAsia="宋体" w:cs="Times New Roman"/>
      <w:kern w:val="0"/>
      <w:sz w:val="18"/>
      <w:szCs w:val="18"/>
    </w:rPr>
  </w:style>
  <w:style w:type="paragraph" w:styleId="82">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修订1"/>
    <w:semiHidden/>
    <w:qFormat/>
    <w:uiPriority w:val="99"/>
    <w:rPr>
      <w:rFonts w:ascii="Calibri" w:hAnsi="Calibri" w:eastAsia="宋体" w:cs="Times New Roman"/>
      <w:kern w:val="2"/>
      <w:sz w:val="21"/>
      <w:szCs w:val="22"/>
      <w:lang w:val="en-US" w:eastAsia="zh-CN" w:bidi="ar-SA"/>
    </w:rPr>
  </w:style>
  <w:style w:type="character" w:customStyle="1" w:styleId="84">
    <w:name w:val="列出段落 Char"/>
    <w:link w:val="85"/>
    <w:qFormat/>
    <w:locked/>
    <w:uiPriority w:val="0"/>
    <w:rPr>
      <w:rFonts w:ascii="Calibri" w:hAnsi="Calibri" w:cs="Calibri"/>
    </w:rPr>
  </w:style>
  <w:style w:type="paragraph" w:styleId="85">
    <w:name w:val="List Paragraph"/>
    <w:basedOn w:val="1"/>
    <w:link w:val="84"/>
    <w:qFormat/>
    <w:uiPriority w:val="0"/>
    <w:pPr>
      <w:ind w:firstLine="420" w:firstLineChars="200"/>
    </w:pPr>
    <w:rPr>
      <w:rFonts w:cs="Calibri" w:eastAsiaTheme="minorEastAsia"/>
    </w:rPr>
  </w:style>
  <w:style w:type="paragraph" w:customStyle="1" w:styleId="86">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7">
    <w:name w:val="MM Title"/>
    <w:basedOn w:val="1"/>
    <w:qFormat/>
    <w:uiPriority w:val="0"/>
    <w:pPr>
      <w:spacing w:before="240" w:after="60"/>
      <w:jc w:val="center"/>
      <w:outlineLvl w:val="0"/>
    </w:pPr>
    <w:rPr>
      <w:rFonts w:ascii="Arial" w:hAnsi="Arial" w:cs="Arial"/>
      <w:b/>
      <w:bCs/>
      <w:sz w:val="32"/>
      <w:szCs w:val="32"/>
    </w:rPr>
  </w:style>
  <w:style w:type="paragraph" w:customStyle="1" w:styleId="88">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9">
    <w:name w:val="gb_master正文"/>
    <w:basedOn w:val="1"/>
    <w:qFormat/>
    <w:uiPriority w:val="0"/>
    <w:pPr>
      <w:ind w:firstLine="200" w:firstLineChars="200"/>
    </w:pPr>
    <w:rPr>
      <w:rFonts w:ascii="Times New Roman" w:hAnsi="Times New Roman"/>
      <w:szCs w:val="24"/>
    </w:rPr>
  </w:style>
  <w:style w:type="paragraph" w:customStyle="1" w:styleId="90">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1">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2">
    <w:name w:val="Char2 Char Char Char"/>
    <w:basedOn w:val="1"/>
    <w:qFormat/>
    <w:uiPriority w:val="0"/>
    <w:rPr>
      <w:rFonts w:ascii="仿宋_GB2312" w:hAnsi="Times New Roman"/>
      <w:b/>
      <w:sz w:val="30"/>
      <w:szCs w:val="32"/>
    </w:rPr>
  </w:style>
  <w:style w:type="paragraph" w:customStyle="1" w:styleId="93">
    <w:name w:val="样式 样式 样式 标题 2 + 宋体 五号 非加粗 黑色 + 段前: 6 磅 段后: 0 磅 行距: 单倍行距 + 段前: 12..."/>
    <w:basedOn w:val="1"/>
    <w:qFormat/>
    <w:uiPriority w:val="0"/>
    <w:pPr>
      <w:keepNext/>
      <w:keepLines/>
      <w:numPr>
        <w:ilvl w:val="1"/>
        <w:numId w:val="2"/>
      </w:numPr>
      <w:adjustRightInd w:val="0"/>
      <w:spacing w:before="240"/>
      <w:jc w:val="left"/>
      <w:outlineLvl w:val="1"/>
    </w:pPr>
    <w:rPr>
      <w:rFonts w:ascii="宋体" w:hAnsi="宋体" w:cs="宋体"/>
      <w:color w:val="000000"/>
      <w:kern w:val="0"/>
      <w:szCs w:val="20"/>
    </w:rPr>
  </w:style>
  <w:style w:type="paragraph" w:customStyle="1" w:styleId="94">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5">
    <w:name w:val="默认段落字体 Para Char"/>
    <w:basedOn w:val="1"/>
    <w:qFormat/>
    <w:uiPriority w:val="0"/>
    <w:rPr>
      <w:rFonts w:ascii="Tahoma" w:hAnsi="Tahoma"/>
      <w:sz w:val="24"/>
      <w:szCs w:val="20"/>
    </w:rPr>
  </w:style>
  <w:style w:type="paragraph" w:customStyle="1" w:styleId="96">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7">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8">
    <w:name w:val="样式 正文缩进 + (中文) 仿宋_GB2312 小四 Char"/>
    <w:basedOn w:val="14"/>
    <w:qFormat/>
    <w:uiPriority w:val="0"/>
    <w:pPr>
      <w:spacing w:after="0" w:line="360" w:lineRule="auto"/>
      <w:ind w:firstLine="480" w:firstLineChars="200"/>
    </w:pPr>
    <w:rPr>
      <w:rFonts w:ascii="宋体" w:hAnsi="宋体"/>
      <w:sz w:val="24"/>
      <w:szCs w:val="24"/>
    </w:rPr>
  </w:style>
  <w:style w:type="paragraph" w:customStyle="1" w:styleId="99">
    <w:name w:val="表格文字"/>
    <w:basedOn w:val="1"/>
    <w:qFormat/>
    <w:uiPriority w:val="0"/>
    <w:pPr>
      <w:spacing w:beforeLines="25"/>
    </w:pPr>
    <w:rPr>
      <w:rFonts w:ascii="Times New (W1)" w:hAnsi="Times New (W1)"/>
      <w:spacing w:val="10"/>
      <w:szCs w:val="24"/>
    </w:rPr>
  </w:style>
  <w:style w:type="paragraph" w:customStyle="1" w:styleId="100">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1">
    <w:name w:val="默认段落字体 Para Char Char"/>
    <w:basedOn w:val="1"/>
    <w:qFormat/>
    <w:uiPriority w:val="0"/>
    <w:rPr>
      <w:rFonts w:ascii="Times New Roman" w:hAnsi="Times New Roman"/>
      <w:szCs w:val="24"/>
    </w:rPr>
  </w:style>
  <w:style w:type="paragraph" w:customStyle="1" w:styleId="102">
    <w:name w:val="MM Topic 6"/>
    <w:basedOn w:val="9"/>
    <w:qFormat/>
    <w:uiPriority w:val="0"/>
    <w:pPr>
      <w:tabs>
        <w:tab w:val="left" w:pos="3260"/>
      </w:tabs>
    </w:pPr>
    <w:rPr>
      <w:rFonts w:eastAsia="黑体"/>
    </w:rPr>
  </w:style>
  <w:style w:type="paragraph" w:customStyle="1" w:styleId="103">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4">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5">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6">
    <w:name w:val="标题 5 + 首行缩进:  2 字符"/>
    <w:basedOn w:val="8"/>
    <w:next w:val="19"/>
    <w:qFormat/>
    <w:uiPriority w:val="0"/>
    <w:pPr>
      <w:tabs>
        <w:tab w:val="left" w:pos="992"/>
        <w:tab w:val="clear" w:pos="1134"/>
      </w:tabs>
      <w:snapToGrid w:val="0"/>
      <w:spacing w:before="0" w:beforeLines="50" w:after="0" w:afterLines="50"/>
      <w:ind w:left="3570" w:firstLine="482" w:firstLineChars="200"/>
    </w:pPr>
    <w:rPr>
      <w:color w:val="000000"/>
      <w:szCs w:val="20"/>
    </w:rPr>
  </w:style>
  <w:style w:type="paragraph" w:customStyle="1" w:styleId="107">
    <w:name w:val="Char2 Char Char Char Char Char Char"/>
    <w:basedOn w:val="1"/>
    <w:qFormat/>
    <w:uiPriority w:val="0"/>
    <w:rPr>
      <w:rFonts w:ascii="仿宋_GB2312" w:hAnsi="Times New Roman"/>
      <w:b/>
      <w:sz w:val="30"/>
      <w:szCs w:val="32"/>
    </w:rPr>
  </w:style>
  <w:style w:type="paragraph" w:customStyle="1" w:styleId="108">
    <w:name w:val="MM Topic 2"/>
    <w:basedOn w:val="5"/>
    <w:qFormat/>
    <w:uiPriority w:val="0"/>
    <w:pPr>
      <w:tabs>
        <w:tab w:val="left" w:pos="992"/>
      </w:tabs>
    </w:pPr>
    <w:rPr>
      <w:rFonts w:cs="Times New Roman"/>
    </w:rPr>
  </w:style>
  <w:style w:type="paragraph" w:customStyle="1" w:styleId="109">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10">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1">
    <w:name w:val="MM Topic 8"/>
    <w:basedOn w:val="11"/>
    <w:qFormat/>
    <w:uiPriority w:val="0"/>
    <w:pPr>
      <w:tabs>
        <w:tab w:val="left" w:pos="4394"/>
      </w:tabs>
    </w:pPr>
  </w:style>
  <w:style w:type="paragraph" w:customStyle="1" w:styleId="112">
    <w:name w:val="Char1 Char Char Char Char Char Char"/>
    <w:basedOn w:val="1"/>
    <w:qFormat/>
    <w:uiPriority w:val="0"/>
    <w:rPr>
      <w:rFonts w:ascii="Tahoma" w:hAnsi="Tahoma"/>
      <w:sz w:val="24"/>
      <w:szCs w:val="20"/>
    </w:rPr>
  </w:style>
  <w:style w:type="paragraph" w:customStyle="1" w:styleId="113">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4">
    <w:name w:val="样式 小四2"/>
    <w:basedOn w:val="1"/>
    <w:qFormat/>
    <w:uiPriority w:val="0"/>
    <w:rPr>
      <w:rFonts w:ascii="宋体" w:hAnsi="宋体"/>
      <w:sz w:val="24"/>
      <w:szCs w:val="24"/>
    </w:rPr>
  </w:style>
  <w:style w:type="paragraph" w:customStyle="1" w:styleId="115">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6">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7">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8">
    <w:name w:val="文章正文"/>
    <w:basedOn w:val="1"/>
    <w:qFormat/>
    <w:uiPriority w:val="0"/>
    <w:pPr>
      <w:spacing w:line="360" w:lineRule="auto"/>
      <w:ind w:firstLine="420"/>
    </w:pPr>
    <w:rPr>
      <w:rFonts w:ascii="Times New Roman" w:hAnsi="Times New Roman"/>
      <w:sz w:val="24"/>
      <w:szCs w:val="24"/>
    </w:rPr>
  </w:style>
  <w:style w:type="paragraph" w:customStyle="1" w:styleId="119">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20">
    <w:name w:val="文章正文 Char Char1"/>
    <w:basedOn w:val="1"/>
    <w:qFormat/>
    <w:uiPriority w:val="0"/>
    <w:pPr>
      <w:spacing w:line="360" w:lineRule="auto"/>
      <w:ind w:firstLine="420"/>
    </w:pPr>
    <w:rPr>
      <w:rFonts w:ascii="Times New Roman" w:hAnsi="Times New Roman"/>
      <w:sz w:val="24"/>
      <w:szCs w:val="24"/>
    </w:rPr>
  </w:style>
  <w:style w:type="paragraph" w:customStyle="1" w:styleId="121">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2">
    <w:name w:val="样式"/>
    <w:link w:val="229"/>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3">
    <w:name w:val="图"/>
    <w:basedOn w:val="1"/>
    <w:qFormat/>
    <w:uiPriority w:val="0"/>
    <w:pPr>
      <w:widowControl/>
      <w:adjustRightInd w:val="0"/>
      <w:snapToGrid w:val="0"/>
      <w:jc w:val="center"/>
    </w:pPr>
    <w:rPr>
      <w:rFonts w:ascii="宋体" w:hAnsi="宋体"/>
      <w:bCs/>
      <w:szCs w:val="24"/>
    </w:rPr>
  </w:style>
  <w:style w:type="paragraph" w:customStyle="1" w:styleId="124">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5">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6">
    <w:name w:val="MM Topic 1"/>
    <w:basedOn w:val="4"/>
    <w:qFormat/>
    <w:uiPriority w:val="0"/>
    <w:pPr>
      <w:tabs>
        <w:tab w:val="left" w:pos="425"/>
      </w:tabs>
    </w:pPr>
    <w:rPr>
      <w:rFonts w:cs="Times New Roman"/>
      <w:sz w:val="44"/>
    </w:rPr>
  </w:style>
  <w:style w:type="paragraph" w:customStyle="1" w:styleId="127">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128">
    <w:name w:val="样式 标题 5 + 倾斜"/>
    <w:basedOn w:val="8"/>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29">
    <w:name w:val="彩色列表 - 强调文字颜色 1 Char"/>
    <w:link w:val="130"/>
    <w:qFormat/>
    <w:locked/>
    <w:uiPriority w:val="0"/>
    <w:rPr>
      <w:rFonts w:ascii="Calibri" w:hAnsi="Calibri" w:cs="Calibri"/>
    </w:rPr>
  </w:style>
  <w:style w:type="paragraph" w:customStyle="1" w:styleId="130">
    <w:name w:val="彩色列表 - 强调文字颜色 11"/>
    <w:basedOn w:val="1"/>
    <w:link w:val="129"/>
    <w:qFormat/>
    <w:uiPriority w:val="0"/>
    <w:pPr>
      <w:ind w:firstLine="420" w:firstLineChars="200"/>
    </w:pPr>
    <w:rPr>
      <w:rFonts w:cs="Calibri" w:eastAsiaTheme="minorEastAsia"/>
    </w:rPr>
  </w:style>
  <w:style w:type="paragraph" w:customStyle="1" w:styleId="131">
    <w:name w:val="我的正文"/>
    <w:basedOn w:val="1"/>
    <w:qFormat/>
    <w:uiPriority w:val="0"/>
    <w:pPr>
      <w:spacing w:line="360" w:lineRule="auto"/>
      <w:ind w:firstLine="420" w:firstLineChars="200"/>
    </w:pPr>
    <w:rPr>
      <w:rFonts w:ascii="宋体" w:hAnsi="宋体"/>
      <w:szCs w:val="24"/>
    </w:rPr>
  </w:style>
  <w:style w:type="paragraph" w:customStyle="1" w:styleId="132">
    <w:name w:val="MM Topic 7"/>
    <w:basedOn w:val="10"/>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3">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4">
    <w:name w:val="样式 标题 3 + (西文) 仿宋_GB2312 (中文) 仿宋_GB2312 四号"/>
    <w:basedOn w:val="6"/>
    <w:qFormat/>
    <w:uiPriority w:val="0"/>
    <w:p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5">
    <w:name w:val="论文正文"/>
    <w:basedOn w:val="1"/>
    <w:qFormat/>
    <w:uiPriority w:val="0"/>
    <w:pPr>
      <w:spacing w:line="360" w:lineRule="auto"/>
      <w:ind w:firstLine="700" w:firstLineChars="250"/>
    </w:pPr>
    <w:rPr>
      <w:rFonts w:ascii="宋体" w:hAnsi="宋体"/>
      <w:bCs/>
      <w:sz w:val="28"/>
      <w:szCs w:val="28"/>
    </w:rPr>
  </w:style>
  <w:style w:type="paragraph" w:customStyle="1" w:styleId="136">
    <w:name w:val="样式1"/>
    <w:basedOn w:val="1"/>
    <w:qFormat/>
    <w:uiPriority w:val="0"/>
    <w:rPr>
      <w:rFonts w:ascii="Times New Roman" w:hAnsi="Times New Roman" w:eastAsia="隶书"/>
      <w:i/>
      <w:dstrike/>
      <w:sz w:val="28"/>
      <w:szCs w:val="18"/>
    </w:rPr>
  </w:style>
  <w:style w:type="paragraph" w:customStyle="1" w:styleId="137">
    <w:name w:val="表格"/>
    <w:basedOn w:val="1"/>
    <w:qFormat/>
    <w:uiPriority w:val="0"/>
    <w:pPr>
      <w:spacing w:line="400" w:lineRule="exact"/>
    </w:pPr>
    <w:rPr>
      <w:rFonts w:ascii="Times New Roman" w:hAnsi="Times New Roman"/>
      <w:sz w:val="24"/>
      <w:szCs w:val="24"/>
    </w:rPr>
  </w:style>
  <w:style w:type="paragraph" w:customStyle="1" w:styleId="138">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9">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40">
    <w:name w:val="Char Char Char Char Char Char Char Char Char Char Char Char Char"/>
    <w:basedOn w:val="16"/>
    <w:qFormat/>
    <w:uiPriority w:val="0"/>
    <w:rPr>
      <w:rFonts w:ascii="Tahoma" w:hAnsi="Tahoma"/>
      <w:sz w:val="24"/>
      <w:szCs w:val="24"/>
    </w:rPr>
  </w:style>
  <w:style w:type="paragraph" w:customStyle="1" w:styleId="141">
    <w:name w:val="MM Topic 3"/>
    <w:basedOn w:val="6"/>
    <w:qFormat/>
    <w:uiPriority w:val="0"/>
    <w:pPr>
      <w:tabs>
        <w:tab w:val="left" w:pos="1418"/>
      </w:tabs>
    </w:pPr>
    <w:rPr>
      <w:rFonts w:cs="Times New Roman"/>
    </w:rPr>
  </w:style>
  <w:style w:type="paragraph" w:customStyle="1" w:styleId="142">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3">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4">
    <w:name w:val="Char Char Char Char"/>
    <w:basedOn w:val="1"/>
    <w:qFormat/>
    <w:uiPriority w:val="0"/>
    <w:rPr>
      <w:rFonts w:ascii="Tahoma" w:hAnsi="Tahoma"/>
      <w:sz w:val="24"/>
      <w:szCs w:val="20"/>
    </w:rPr>
  </w:style>
  <w:style w:type="paragraph" w:customStyle="1" w:styleId="145">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6">
    <w:name w:val="MM Topic 9"/>
    <w:basedOn w:val="12"/>
    <w:qFormat/>
    <w:uiPriority w:val="0"/>
    <w:pPr>
      <w:tabs>
        <w:tab w:val="left" w:pos="5102"/>
      </w:tabs>
    </w:pPr>
  </w:style>
  <w:style w:type="paragraph" w:customStyle="1" w:styleId="147">
    <w:name w:val="MM Topic 5"/>
    <w:basedOn w:val="8"/>
    <w:qFormat/>
    <w:uiPriority w:val="0"/>
    <w:pPr>
      <w:tabs>
        <w:tab w:val="left" w:pos="2551"/>
        <w:tab w:val="clear" w:pos="1134"/>
        <w:tab w:val="clear" w:pos="1560"/>
      </w:tabs>
      <w:ind w:left="0" w:firstLine="0"/>
    </w:pPr>
  </w:style>
  <w:style w:type="paragraph" w:customStyle="1" w:styleId="148">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9">
    <w:name w:val="MM Topic 4"/>
    <w:basedOn w:val="7"/>
    <w:qFormat/>
    <w:uiPriority w:val="0"/>
    <w:pPr>
      <w:tabs>
        <w:tab w:val="left" w:pos="1984"/>
      </w:tabs>
    </w:p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1">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2">
    <w:name w:val="样式 标题 2H2第一章 标题 2Heading 2 HiddenHeading 2 CCBSheading 2h2..."/>
    <w:basedOn w:val="5"/>
    <w:qFormat/>
    <w:uiPriority w:val="0"/>
    <w:pPr>
      <w:tabs>
        <w:tab w:val="left" w:pos="-2493"/>
      </w:tabs>
    </w:pPr>
    <w:rPr>
      <w:rFonts w:cs="Times New Roman"/>
      <w:szCs w:val="20"/>
    </w:rPr>
  </w:style>
  <w:style w:type="paragraph" w:customStyle="1" w:styleId="153">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4">
    <w:name w:val="列出段落2"/>
    <w:basedOn w:val="1"/>
    <w:qFormat/>
    <w:uiPriority w:val="0"/>
    <w:pPr>
      <w:ind w:firstLine="420" w:firstLineChars="200"/>
    </w:pPr>
  </w:style>
  <w:style w:type="paragraph" w:customStyle="1" w:styleId="155">
    <w:name w:val="列出段落4"/>
    <w:basedOn w:val="1"/>
    <w:qFormat/>
    <w:uiPriority w:val="99"/>
    <w:pPr>
      <w:ind w:firstLine="420" w:firstLineChars="200"/>
    </w:pPr>
    <w:rPr>
      <w:rFonts w:ascii="Times New Roman" w:hAnsi="Times New Roman"/>
      <w:szCs w:val="24"/>
    </w:rPr>
  </w:style>
  <w:style w:type="paragraph" w:customStyle="1" w:styleId="156">
    <w:name w:val="列出段落1"/>
    <w:basedOn w:val="1"/>
    <w:qFormat/>
    <w:uiPriority w:val="0"/>
    <w:pPr>
      <w:ind w:firstLine="420" w:firstLineChars="200"/>
    </w:pPr>
  </w:style>
  <w:style w:type="paragraph" w:customStyle="1" w:styleId="157">
    <w:name w:val="彩色列表 - 强调文字颜色 12"/>
    <w:basedOn w:val="1"/>
    <w:qFormat/>
    <w:uiPriority w:val="0"/>
    <w:pPr>
      <w:ind w:firstLine="420" w:firstLineChars="200"/>
    </w:pPr>
  </w:style>
  <w:style w:type="character" w:customStyle="1" w:styleId="158">
    <w:name w:val="Char Char8"/>
    <w:qFormat/>
    <w:uiPriority w:val="0"/>
    <w:rPr>
      <w:rFonts w:hint="eastAsia" w:ascii="宋体" w:hAnsi="宋体" w:eastAsia="宋体"/>
      <w:kern w:val="2"/>
      <w:sz w:val="28"/>
      <w:szCs w:val="28"/>
    </w:rPr>
  </w:style>
  <w:style w:type="character" w:customStyle="1" w:styleId="159">
    <w:name w:val="Char Char5"/>
    <w:qFormat/>
    <w:uiPriority w:val="0"/>
    <w:rPr>
      <w:kern w:val="2"/>
      <w:sz w:val="21"/>
      <w:szCs w:val="24"/>
    </w:rPr>
  </w:style>
  <w:style w:type="character" w:customStyle="1" w:styleId="160">
    <w:name w:val="列出段落 Char Char"/>
    <w:qFormat/>
    <w:uiPriority w:val="0"/>
    <w:rPr>
      <w:rFonts w:hint="default" w:ascii="Calibri" w:hAnsi="Calibri" w:cs="Calibri"/>
      <w:kern w:val="2"/>
      <w:sz w:val="21"/>
      <w:szCs w:val="22"/>
    </w:rPr>
  </w:style>
  <w:style w:type="character" w:customStyle="1" w:styleId="161">
    <w:name w:val="正文文本 Char Char"/>
    <w:qFormat/>
    <w:uiPriority w:val="0"/>
    <w:rPr>
      <w:kern w:val="2"/>
      <w:sz w:val="21"/>
      <w:szCs w:val="24"/>
    </w:rPr>
  </w:style>
  <w:style w:type="character" w:customStyle="1" w:styleId="162">
    <w:name w:val="Char Char11"/>
    <w:qFormat/>
    <w:uiPriority w:val="0"/>
    <w:rPr>
      <w:rFonts w:hint="default" w:ascii="Arial Narrow" w:hAnsi="Arial Narrow"/>
      <w:b/>
      <w:bCs/>
      <w:iCs/>
      <w:szCs w:val="24"/>
      <w:lang w:eastAsia="en-US"/>
    </w:rPr>
  </w:style>
  <w:style w:type="character" w:customStyle="1" w:styleId="163">
    <w:name w:val="标书（正文） Char Char"/>
    <w:qFormat/>
    <w:uiPriority w:val="0"/>
    <w:rPr>
      <w:rFonts w:hint="eastAsia" w:ascii="宋体" w:hAnsi="宋体" w:eastAsia="宋体"/>
      <w:b/>
      <w:kern w:val="10"/>
      <w:sz w:val="21"/>
      <w:szCs w:val="21"/>
      <w:lang w:val="en-US" w:eastAsia="zh-CN" w:bidi="ar-SA"/>
    </w:rPr>
  </w:style>
  <w:style w:type="character" w:customStyle="1" w:styleId="164">
    <w:name w:val="line2"/>
    <w:basedOn w:val="45"/>
    <w:qFormat/>
    <w:uiPriority w:val="0"/>
  </w:style>
  <w:style w:type="character" w:customStyle="1" w:styleId="165">
    <w:name w:val="Char Char10"/>
    <w:qFormat/>
    <w:uiPriority w:val="0"/>
    <w:rPr>
      <w:kern w:val="2"/>
      <w:sz w:val="24"/>
      <w:szCs w:val="24"/>
    </w:rPr>
  </w:style>
  <w:style w:type="character" w:customStyle="1" w:styleId="166">
    <w:name w:val="MM Topic 4 Char Char"/>
    <w:qFormat/>
    <w:uiPriority w:val="0"/>
    <w:rPr>
      <w:rFonts w:hint="default" w:ascii="Arial" w:hAnsi="Arial" w:cs="Arial"/>
      <w:b/>
      <w:bCs/>
      <w:kern w:val="2"/>
      <w:sz w:val="28"/>
      <w:szCs w:val="28"/>
    </w:rPr>
  </w:style>
  <w:style w:type="character" w:customStyle="1" w:styleId="167">
    <w:name w:val="标书正文:  0.74 厘米 Char Char"/>
    <w:qFormat/>
    <w:uiPriority w:val="0"/>
    <w:rPr>
      <w:kern w:val="2"/>
      <w:sz w:val="24"/>
    </w:rPr>
  </w:style>
  <w:style w:type="character" w:customStyle="1" w:styleId="168">
    <w:name w:val="访问过的超链接1"/>
    <w:qFormat/>
    <w:uiPriority w:val="99"/>
    <w:rPr>
      <w:color w:val="800080"/>
      <w:u w:val="single"/>
    </w:rPr>
  </w:style>
  <w:style w:type="character" w:customStyle="1" w:styleId="169">
    <w:name w:val="标题 3 Char Char Char"/>
    <w:qFormat/>
    <w:uiPriority w:val="0"/>
    <w:rPr>
      <w:rFonts w:hint="eastAsia" w:ascii="宋体" w:hAnsi="宋体" w:eastAsia="宋体"/>
      <w:b/>
      <w:kern w:val="2"/>
      <w:sz w:val="32"/>
      <w:lang w:val="en-US" w:eastAsia="zh-CN" w:bidi="ar-SA"/>
    </w:rPr>
  </w:style>
  <w:style w:type="character" w:customStyle="1" w:styleId="170">
    <w:name w:val="（符号）邀请函中一、"/>
    <w:qFormat/>
    <w:uiPriority w:val="0"/>
    <w:rPr>
      <w:rFonts w:hint="eastAsia" w:ascii="黑体" w:hAnsi="黑体" w:eastAsia="黑体"/>
      <w:b/>
      <w:bCs/>
      <w:sz w:val="24"/>
    </w:rPr>
  </w:style>
  <w:style w:type="character" w:customStyle="1" w:styleId="171">
    <w:name w:val="tt Char"/>
    <w:qFormat/>
    <w:uiPriority w:val="0"/>
    <w:rPr>
      <w:rFonts w:hint="default" w:ascii="Arial" w:hAnsi="Arial" w:eastAsia="黑体" w:cs="Arial"/>
      <w:kern w:val="2"/>
      <w:sz w:val="21"/>
      <w:szCs w:val="21"/>
    </w:rPr>
  </w:style>
  <w:style w:type="character" w:customStyle="1" w:styleId="172">
    <w:name w:val="Char Char9"/>
    <w:qFormat/>
    <w:uiPriority w:val="0"/>
    <w:rPr>
      <w:kern w:val="2"/>
      <w:sz w:val="18"/>
      <w:szCs w:val="18"/>
    </w:rPr>
  </w:style>
  <w:style w:type="character" w:customStyle="1" w:styleId="173">
    <w:name w:val="MM Topic 3 Char Char"/>
    <w:qFormat/>
    <w:uiPriority w:val="0"/>
    <w:rPr>
      <w:rFonts w:hint="eastAsia" w:ascii="宋体" w:hAnsi="宋体" w:eastAsia="宋体"/>
      <w:b/>
      <w:bCs/>
      <w:color w:val="000000"/>
      <w:kern w:val="2"/>
      <w:sz w:val="28"/>
      <w:szCs w:val="28"/>
    </w:rPr>
  </w:style>
  <w:style w:type="character" w:customStyle="1" w:styleId="174">
    <w:name w:val="样式 小四2 Char Char"/>
    <w:qFormat/>
    <w:uiPriority w:val="0"/>
    <w:rPr>
      <w:rFonts w:hint="eastAsia" w:ascii="宋体" w:hAnsi="宋体" w:eastAsia="宋体"/>
      <w:kern w:val="2"/>
      <w:sz w:val="24"/>
      <w:szCs w:val="24"/>
    </w:rPr>
  </w:style>
  <w:style w:type="character" w:customStyle="1" w:styleId="175">
    <w:name w:val="Char Char7"/>
    <w:qFormat/>
    <w:uiPriority w:val="0"/>
    <w:rPr>
      <w:kern w:val="2"/>
      <w:sz w:val="18"/>
      <w:szCs w:val="18"/>
    </w:rPr>
  </w:style>
  <w:style w:type="character" w:customStyle="1" w:styleId="176">
    <w:name w:val="Char Char3"/>
    <w:qFormat/>
    <w:uiPriority w:val="0"/>
    <w:rPr>
      <w:b/>
      <w:bCs/>
      <w:kern w:val="2"/>
      <w:sz w:val="18"/>
      <w:szCs w:val="18"/>
    </w:rPr>
  </w:style>
  <w:style w:type="character" w:customStyle="1" w:styleId="177">
    <w:name w:val="apple-style-span"/>
    <w:basedOn w:val="45"/>
    <w:qFormat/>
    <w:uiPriority w:val="0"/>
  </w:style>
  <w:style w:type="character" w:customStyle="1" w:styleId="178">
    <w:name w:val="Char Char4"/>
    <w:qFormat/>
    <w:uiPriority w:val="0"/>
    <w:rPr>
      <w:kern w:val="2"/>
      <w:sz w:val="18"/>
      <w:szCs w:val="18"/>
    </w:rPr>
  </w:style>
  <w:style w:type="character" w:customStyle="1" w:styleId="179">
    <w:name w:val="副标题 Char1"/>
    <w:qFormat/>
    <w:uiPriority w:val="11"/>
    <w:rPr>
      <w:rFonts w:hint="default" w:ascii="Cambria" w:hAnsi="Cambria" w:cs="Times New Roman"/>
      <w:b/>
      <w:bCs/>
      <w:kern w:val="28"/>
      <w:sz w:val="32"/>
      <w:szCs w:val="32"/>
    </w:rPr>
  </w:style>
  <w:style w:type="character" w:customStyle="1" w:styleId="180">
    <w:name w:val="small"/>
    <w:basedOn w:val="45"/>
    <w:qFormat/>
    <w:uiPriority w:val="0"/>
  </w:style>
  <w:style w:type="character" w:customStyle="1" w:styleId="181">
    <w:name w:val="Legal Level 1.1.1. Char"/>
    <w:qFormat/>
    <w:uiPriority w:val="0"/>
    <w:rPr>
      <w:rFonts w:hint="default" w:ascii="Arial" w:hAnsi="Arial" w:eastAsia="黑体" w:cs="Arial"/>
      <w:kern w:val="2"/>
      <w:sz w:val="24"/>
      <w:szCs w:val="24"/>
    </w:rPr>
  </w:style>
  <w:style w:type="character" w:customStyle="1" w:styleId="182">
    <w:name w:val="文章正文 Char Char"/>
    <w:qFormat/>
    <w:uiPriority w:val="0"/>
    <w:rPr>
      <w:rFonts w:hint="eastAsia" w:ascii="宋体" w:hAnsi="宋体" w:eastAsia="宋体"/>
      <w:kern w:val="2"/>
      <w:sz w:val="24"/>
      <w:szCs w:val="24"/>
      <w:lang w:val="en-US" w:eastAsia="zh-CN" w:bidi="ar-SA"/>
    </w:rPr>
  </w:style>
  <w:style w:type="character" w:customStyle="1" w:styleId="183">
    <w:name w:val="正文文本 Char1"/>
    <w:qFormat/>
    <w:uiPriority w:val="0"/>
    <w:rPr>
      <w:rFonts w:hint="default" w:ascii="Times New Roman" w:hAnsi="Times New Roman" w:eastAsia="宋体" w:cs="Times New Roman"/>
      <w:kern w:val="0"/>
      <w:sz w:val="18"/>
      <w:szCs w:val="18"/>
    </w:rPr>
  </w:style>
  <w:style w:type="character" w:customStyle="1" w:styleId="184">
    <w:name w:val="正文文本 Char4"/>
    <w:basedOn w:val="45"/>
    <w:link w:val="2"/>
    <w:qFormat/>
    <w:locked/>
    <w:uiPriority w:val="0"/>
    <w:rPr>
      <w:rFonts w:ascii="Times New Roman" w:hAnsi="Times New Roman" w:eastAsia="宋体" w:cs="Times New Roman"/>
      <w:kern w:val="0"/>
      <w:sz w:val="20"/>
      <w:szCs w:val="20"/>
    </w:rPr>
  </w:style>
  <w:style w:type="character" w:customStyle="1" w:styleId="185">
    <w:name w:val="CD正文 Char Char"/>
    <w:qFormat/>
    <w:uiPriority w:val="0"/>
    <w:rPr>
      <w:rFonts w:hint="eastAsia" w:ascii="宋体" w:hAnsi="宋体" w:eastAsia="宋体"/>
      <w:kern w:val="2"/>
      <w:sz w:val="30"/>
      <w:szCs w:val="28"/>
      <w:lang w:val="en-US" w:eastAsia="zh-CN" w:bidi="ar-SA"/>
    </w:rPr>
  </w:style>
  <w:style w:type="character" w:customStyle="1" w:styleId="186">
    <w:name w:val="Char Char2"/>
    <w:qFormat/>
    <w:uiPriority w:val="0"/>
    <w:rPr>
      <w:kern w:val="2"/>
      <w:sz w:val="18"/>
      <w:szCs w:val="18"/>
    </w:rPr>
  </w:style>
  <w:style w:type="character" w:customStyle="1" w:styleId="187">
    <w:name w:val="表正文 Char1"/>
    <w:qFormat/>
    <w:uiPriority w:val="0"/>
    <w:rPr>
      <w:rFonts w:hint="eastAsia" w:ascii="宋体" w:hAnsi="宋体" w:eastAsia="宋体"/>
      <w:kern w:val="2"/>
      <w:sz w:val="21"/>
      <w:lang w:val="en-US" w:eastAsia="zh-CN" w:bidi="ar-SA"/>
    </w:rPr>
  </w:style>
  <w:style w:type="character" w:customStyle="1" w:styleId="188">
    <w:name w:val="纯文本 Char1"/>
    <w:link w:val="23"/>
    <w:qFormat/>
    <w:locked/>
    <w:uiPriority w:val="99"/>
    <w:rPr>
      <w:rFonts w:ascii="宋体" w:hAnsi="Courier New" w:eastAsia="宋体" w:cs="Times New Roman"/>
      <w:kern w:val="0"/>
      <w:sz w:val="20"/>
      <w:szCs w:val="18"/>
    </w:rPr>
  </w:style>
  <w:style w:type="character" w:customStyle="1" w:styleId="189">
    <w:name w:val="Char Char Char"/>
    <w:qFormat/>
    <w:uiPriority w:val="0"/>
    <w:rPr>
      <w:rFonts w:hint="eastAsia" w:ascii="宋体" w:hAnsi="宋体" w:eastAsia="宋体"/>
      <w:kern w:val="2"/>
      <w:sz w:val="18"/>
      <w:szCs w:val="18"/>
      <w:lang w:val="en-US" w:eastAsia="zh-CN" w:bidi="ar-SA"/>
    </w:rPr>
  </w:style>
  <w:style w:type="character" w:customStyle="1" w:styleId="190">
    <w:name w:val="Char Char6"/>
    <w:qFormat/>
    <w:uiPriority w:val="0"/>
    <w:rPr>
      <w:kern w:val="2"/>
      <w:sz w:val="21"/>
      <w:szCs w:val="24"/>
    </w:rPr>
  </w:style>
  <w:style w:type="character" w:customStyle="1" w:styleId="191">
    <w:name w:val="正文文本缩进 2 Char1"/>
    <w:basedOn w:val="45"/>
    <w:semiHidden/>
    <w:qFormat/>
    <w:uiPriority w:val="99"/>
    <w:rPr>
      <w:rFonts w:hint="default" w:ascii="Calibri" w:hAnsi="Calibri" w:cs="Calibri"/>
      <w:kern w:val="2"/>
      <w:sz w:val="21"/>
      <w:szCs w:val="22"/>
    </w:rPr>
  </w:style>
  <w:style w:type="character" w:customStyle="1" w:styleId="192">
    <w:name w:val="正文文本缩进 Char1"/>
    <w:basedOn w:val="45"/>
    <w:semiHidden/>
    <w:qFormat/>
    <w:uiPriority w:val="99"/>
    <w:rPr>
      <w:rFonts w:hint="default" w:ascii="Calibri" w:hAnsi="Calibri" w:cs="Calibri"/>
      <w:kern w:val="2"/>
      <w:sz w:val="21"/>
      <w:szCs w:val="22"/>
    </w:rPr>
  </w:style>
  <w:style w:type="character" w:customStyle="1" w:styleId="193">
    <w:name w:val="页脚 Char1"/>
    <w:basedOn w:val="45"/>
    <w:semiHidden/>
    <w:qFormat/>
    <w:uiPriority w:val="99"/>
    <w:rPr>
      <w:rFonts w:hint="default" w:ascii="Calibri" w:hAnsi="Calibri" w:cs="Calibri"/>
      <w:kern w:val="2"/>
      <w:sz w:val="18"/>
      <w:szCs w:val="18"/>
    </w:rPr>
  </w:style>
  <w:style w:type="character" w:customStyle="1" w:styleId="194">
    <w:name w:val="正文文本 3 Char1"/>
    <w:basedOn w:val="45"/>
    <w:semiHidden/>
    <w:qFormat/>
    <w:uiPriority w:val="99"/>
    <w:rPr>
      <w:rFonts w:hint="default" w:ascii="Calibri" w:hAnsi="Calibri" w:cs="Calibri"/>
      <w:kern w:val="2"/>
      <w:sz w:val="16"/>
      <w:szCs w:val="16"/>
    </w:rPr>
  </w:style>
  <w:style w:type="character" w:customStyle="1" w:styleId="195">
    <w:name w:val="正文文本缩进 3 Char1"/>
    <w:basedOn w:val="45"/>
    <w:semiHidden/>
    <w:qFormat/>
    <w:uiPriority w:val="99"/>
    <w:rPr>
      <w:rFonts w:hint="default" w:ascii="Calibri" w:hAnsi="Calibri" w:cs="Calibri"/>
      <w:kern w:val="2"/>
      <w:sz w:val="16"/>
      <w:szCs w:val="16"/>
    </w:rPr>
  </w:style>
  <w:style w:type="character" w:customStyle="1" w:styleId="196">
    <w:name w:val="批注框文本 Char1"/>
    <w:basedOn w:val="45"/>
    <w:semiHidden/>
    <w:qFormat/>
    <w:uiPriority w:val="99"/>
    <w:rPr>
      <w:rFonts w:hint="default" w:ascii="Calibri" w:hAnsi="Calibri" w:cs="Calibri"/>
      <w:kern w:val="2"/>
      <w:sz w:val="18"/>
      <w:szCs w:val="18"/>
    </w:rPr>
  </w:style>
  <w:style w:type="character" w:customStyle="1" w:styleId="197">
    <w:name w:val="批注文字 Char1"/>
    <w:basedOn w:val="45"/>
    <w:link w:val="17"/>
    <w:qFormat/>
    <w:locked/>
    <w:uiPriority w:val="99"/>
    <w:rPr>
      <w:rFonts w:ascii="Calibri" w:hAnsi="Calibri" w:eastAsia="宋体" w:cs="Times New Roman"/>
    </w:rPr>
  </w:style>
  <w:style w:type="character" w:customStyle="1" w:styleId="198">
    <w:name w:val="文档结构图 Char1"/>
    <w:basedOn w:val="45"/>
    <w:semiHidden/>
    <w:qFormat/>
    <w:uiPriority w:val="99"/>
    <w:rPr>
      <w:rFonts w:hint="eastAsia" w:ascii="宋体" w:hAnsi="Calibri" w:eastAsia="宋体"/>
      <w:kern w:val="2"/>
      <w:sz w:val="18"/>
      <w:szCs w:val="18"/>
    </w:rPr>
  </w:style>
  <w:style w:type="character" w:customStyle="1" w:styleId="199">
    <w:name w:val="页眉 Char1"/>
    <w:basedOn w:val="45"/>
    <w:semiHidden/>
    <w:qFormat/>
    <w:uiPriority w:val="99"/>
    <w:rPr>
      <w:rFonts w:hint="default" w:ascii="Calibri" w:hAnsi="Calibri" w:cs="Calibri"/>
      <w:kern w:val="2"/>
      <w:sz w:val="18"/>
      <w:szCs w:val="18"/>
    </w:rPr>
  </w:style>
  <w:style w:type="character" w:customStyle="1" w:styleId="200">
    <w:name w:val="日期 Char1"/>
    <w:basedOn w:val="45"/>
    <w:semiHidden/>
    <w:qFormat/>
    <w:uiPriority w:val="99"/>
    <w:rPr>
      <w:rFonts w:hint="default" w:ascii="Calibri" w:hAnsi="Calibri" w:cs="Calibri"/>
      <w:kern w:val="2"/>
      <w:sz w:val="21"/>
      <w:szCs w:val="22"/>
    </w:rPr>
  </w:style>
  <w:style w:type="character" w:customStyle="1" w:styleId="201">
    <w:name w:val="正文文本 Char3"/>
    <w:basedOn w:val="45"/>
    <w:semiHidden/>
    <w:qFormat/>
    <w:uiPriority w:val="99"/>
    <w:rPr>
      <w:rFonts w:hint="default" w:ascii="Calibri" w:hAnsi="Calibri" w:cs="Calibri"/>
      <w:kern w:val="2"/>
      <w:sz w:val="21"/>
      <w:szCs w:val="22"/>
    </w:rPr>
  </w:style>
  <w:style w:type="character" w:customStyle="1" w:styleId="202">
    <w:name w:val="纯文本 Char2"/>
    <w:basedOn w:val="45"/>
    <w:semiHidden/>
    <w:qFormat/>
    <w:uiPriority w:val="99"/>
    <w:rPr>
      <w:rFonts w:hint="eastAsia" w:ascii="宋体" w:hAnsi="Courier New" w:eastAsia="宋体" w:cs="Courier New"/>
      <w:kern w:val="2"/>
      <w:sz w:val="21"/>
      <w:szCs w:val="21"/>
    </w:rPr>
  </w:style>
  <w:style w:type="character" w:customStyle="1" w:styleId="203">
    <w:name w:val="正文首行缩进 Char1"/>
    <w:basedOn w:val="201"/>
    <w:semiHidden/>
    <w:qFormat/>
    <w:uiPriority w:val="99"/>
    <w:rPr>
      <w:rFonts w:hint="default" w:ascii="Calibri" w:hAnsi="Calibri" w:cs="Calibri"/>
      <w:kern w:val="2"/>
      <w:sz w:val="21"/>
      <w:szCs w:val="22"/>
    </w:rPr>
  </w:style>
  <w:style w:type="character" w:customStyle="1" w:styleId="204">
    <w:name w:val="正文文本 2 Char1"/>
    <w:basedOn w:val="45"/>
    <w:semiHidden/>
    <w:qFormat/>
    <w:uiPriority w:val="99"/>
    <w:rPr>
      <w:rFonts w:hint="default" w:ascii="Calibri" w:hAnsi="Calibri" w:cs="Calibri"/>
      <w:kern w:val="2"/>
      <w:sz w:val="21"/>
      <w:szCs w:val="22"/>
    </w:rPr>
  </w:style>
  <w:style w:type="character" w:customStyle="1" w:styleId="205">
    <w:name w:val="副标题 Char2"/>
    <w:basedOn w:val="45"/>
    <w:qFormat/>
    <w:uiPriority w:val="11"/>
    <w:rPr>
      <w:rFonts w:hint="default" w:asciiTheme="majorHAnsi" w:hAnsiTheme="majorHAnsi" w:cstheme="majorBidi"/>
      <w:b/>
      <w:bCs/>
      <w:kern w:val="28"/>
      <w:sz w:val="32"/>
      <w:szCs w:val="32"/>
    </w:rPr>
  </w:style>
  <w:style w:type="character" w:customStyle="1" w:styleId="206">
    <w:name w:val="正文缩进 Char"/>
    <w:qFormat/>
    <w:uiPriority w:val="0"/>
    <w:rPr>
      <w:kern w:val="2"/>
      <w:sz w:val="21"/>
    </w:rPr>
  </w:style>
  <w:style w:type="paragraph" w:customStyle="1" w:styleId="207">
    <w:name w:val="CD正文"/>
    <w:basedOn w:val="118"/>
    <w:qFormat/>
    <w:uiPriority w:val="0"/>
  </w:style>
  <w:style w:type="paragraph" w:customStyle="1" w:styleId="208">
    <w:name w:val="项目符号：一级"/>
    <w:basedOn w:val="127"/>
    <w:next w:val="127"/>
    <w:qFormat/>
    <w:uiPriority w:val="0"/>
  </w:style>
  <w:style w:type="paragraph" w:customStyle="1" w:styleId="20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10">
    <w:name w:val="HTML 预设格式 Char"/>
    <w:basedOn w:val="45"/>
    <w:link w:val="39"/>
    <w:qFormat/>
    <w:uiPriority w:val="0"/>
    <w:rPr>
      <w:rFonts w:ascii="Arial" w:hAnsi="Arial" w:eastAsia="宋体" w:cs="Arial"/>
      <w:kern w:val="0"/>
      <w:sz w:val="24"/>
      <w:szCs w:val="28"/>
    </w:rPr>
  </w:style>
  <w:style w:type="paragraph" w:customStyle="1" w:styleId="211">
    <w:name w:val="修订12"/>
    <w:semiHidden/>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212">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213">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14">
    <w:name w:val="Char1 Char Char Char Char Char Char_0"/>
    <w:basedOn w:val="1"/>
    <w:qFormat/>
    <w:uiPriority w:val="0"/>
    <w:rPr>
      <w:rFonts w:ascii="Tahoma" w:hAnsi="Tahoma"/>
      <w:sz w:val="24"/>
      <w:szCs w:val="20"/>
    </w:rPr>
  </w:style>
  <w:style w:type="paragraph" w:customStyle="1" w:styleId="215">
    <w:name w:val="列出段落11"/>
    <w:basedOn w:val="1"/>
    <w:qFormat/>
    <w:uiPriority w:val="99"/>
    <w:pPr>
      <w:ind w:firstLine="420" w:firstLineChars="200"/>
    </w:pPr>
    <w:rPr>
      <w:rFonts w:ascii="Times New Roman" w:hAnsi="Times New Roman"/>
    </w:rPr>
  </w:style>
  <w:style w:type="paragraph" w:customStyle="1" w:styleId="216">
    <w:name w:val="样式 标题 2 + Times New Roman 四号 非加粗 段前: 5 磅 段后: 0 磅 行距: 固定值 20..."/>
    <w:basedOn w:val="5"/>
    <w:semiHidden/>
    <w:qFormat/>
    <w:uiPriority w:val="0"/>
    <w:pPr>
      <w:spacing w:before="100" w:line="400" w:lineRule="exact"/>
      <w:jc w:val="both"/>
    </w:pPr>
    <w:rPr>
      <w:rFonts w:ascii="Times New Roman" w:hAnsi="Times New Roman" w:eastAsia="黑体"/>
      <w:b w:val="0"/>
      <w:szCs w:val="32"/>
    </w:rPr>
  </w:style>
  <w:style w:type="paragraph" w:customStyle="1" w:styleId="217">
    <w:name w:val="列出段落111"/>
    <w:basedOn w:val="1"/>
    <w:semiHidden/>
    <w:qFormat/>
    <w:uiPriority w:val="99"/>
    <w:pPr>
      <w:ind w:firstLine="420" w:firstLineChars="200"/>
    </w:pPr>
    <w:rPr>
      <w:rFonts w:ascii="Times New Roman" w:hAnsi="Times New Roman"/>
    </w:rPr>
  </w:style>
  <w:style w:type="character" w:customStyle="1" w:styleId="218">
    <w:name w:val="正文文本 Char2"/>
    <w:basedOn w:val="45"/>
    <w:qFormat/>
    <w:locked/>
    <w:uiPriority w:val="99"/>
    <w:rPr>
      <w:rFonts w:hint="default" w:ascii="Times New Roman" w:hAnsi="Times New Roman" w:eastAsia="宋体" w:cs="Times New Roman"/>
      <w:kern w:val="0"/>
      <w:sz w:val="20"/>
      <w:szCs w:val="20"/>
    </w:rPr>
  </w:style>
  <w:style w:type="character" w:customStyle="1" w:styleId="219">
    <w:name w:val="p121"/>
    <w:qFormat/>
    <w:uiPriority w:val="0"/>
    <w:rPr>
      <w:sz w:val="24"/>
    </w:rPr>
  </w:style>
  <w:style w:type="character" w:customStyle="1" w:styleId="220">
    <w:name w:val="列出段落 Char1"/>
    <w:qFormat/>
    <w:locked/>
    <w:uiPriority w:val="0"/>
    <w:rPr>
      <w:rFonts w:hint="default" w:ascii="Calibri" w:hAnsi="Calibri" w:cs="Calibri"/>
    </w:rPr>
  </w:style>
  <w:style w:type="paragraph" w:customStyle="1" w:styleId="221">
    <w:name w:val="修订11"/>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222">
    <w:name w:val="列表段落1"/>
    <w:basedOn w:val="1"/>
    <w:qFormat/>
    <w:uiPriority w:val="99"/>
    <w:pPr>
      <w:ind w:firstLine="420" w:firstLineChars="200"/>
    </w:pPr>
    <w:rPr>
      <w:rFonts w:ascii="宋体" w:hAnsi="宋体" w:cs="宋体"/>
      <w:sz w:val="28"/>
      <w:szCs w:val="28"/>
    </w:rPr>
  </w:style>
  <w:style w:type="character" w:customStyle="1" w:styleId="223">
    <w:name w:val="NormalCharacter"/>
    <w:qFormat/>
    <w:uiPriority w:val="0"/>
  </w:style>
  <w:style w:type="paragraph" w:customStyle="1" w:styleId="224">
    <w:name w:val="BodyText"/>
    <w:basedOn w:val="1"/>
    <w:qFormat/>
    <w:uiPriority w:val="0"/>
    <w:pPr>
      <w:widowControl/>
      <w:spacing w:after="120"/>
      <w:ind w:firstLine="560" w:firstLineChars="200"/>
      <w:textAlignment w:val="baseline"/>
    </w:pPr>
    <w:rPr>
      <w:rFonts w:ascii="宋体" w:hAnsi="宋体" w:cstheme="minorBidi"/>
      <w:sz w:val="28"/>
      <w:szCs w:val="28"/>
    </w:rPr>
  </w:style>
  <w:style w:type="character" w:customStyle="1" w:styleId="225">
    <w:name w:val="AnnotationReference"/>
    <w:qFormat/>
    <w:uiPriority w:val="0"/>
    <w:rPr>
      <w:sz w:val="21"/>
      <w:szCs w:val="21"/>
    </w:rPr>
  </w:style>
  <w:style w:type="paragraph" w:customStyle="1" w:styleId="226">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227">
    <w:name w:val="Heading3"/>
    <w:basedOn w:val="1"/>
    <w:next w:val="1"/>
    <w:link w:val="228"/>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228">
    <w:name w:val="UserStyle_4"/>
    <w:link w:val="227"/>
    <w:qFormat/>
    <w:uiPriority w:val="0"/>
    <w:rPr>
      <w:rFonts w:ascii="宋体" w:hAnsi="宋体" w:eastAsia="宋体" w:cs="宋体"/>
      <w:b/>
      <w:bCs/>
      <w:kern w:val="0"/>
      <w:sz w:val="27"/>
      <w:szCs w:val="27"/>
    </w:rPr>
  </w:style>
  <w:style w:type="character" w:customStyle="1" w:styleId="229">
    <w:name w:val="样式 Char Char"/>
    <w:link w:val="122"/>
    <w:qFormat/>
    <w:locked/>
    <w:uiPriority w:val="0"/>
    <w:rPr>
      <w:rFonts w:ascii="宋体" w:hAnsi="宋体" w:eastAsia="宋体" w:cs="宋体"/>
      <w:kern w:val="0"/>
      <w:sz w:val="24"/>
      <w:szCs w:val="24"/>
    </w:rPr>
  </w:style>
  <w:style w:type="paragraph" w:customStyle="1" w:styleId="230">
    <w:name w:val="_Style 48"/>
    <w:basedOn w:val="1"/>
    <w:qFormat/>
    <w:uiPriority w:val="0"/>
    <w:pPr>
      <w:ind w:firstLine="420" w:firstLineChars="200"/>
    </w:pPr>
    <w:rPr>
      <w:rFonts w:ascii="宋体" w:hAnsi="宋体" w:cs="宋体"/>
      <w:sz w:val="28"/>
      <w:szCs w:val="28"/>
    </w:rPr>
  </w:style>
  <w:style w:type="character" w:customStyle="1" w:styleId="231">
    <w:name w:val="font61"/>
    <w:basedOn w:val="45"/>
    <w:qFormat/>
    <w:uiPriority w:val="0"/>
    <w:rPr>
      <w:rFonts w:hint="eastAsia" w:ascii="宋体" w:hAnsi="宋体" w:eastAsia="宋体" w:cs="宋体"/>
      <w:color w:val="000000"/>
      <w:sz w:val="18"/>
      <w:szCs w:val="18"/>
      <w:u w:val="none"/>
    </w:rPr>
  </w:style>
  <w:style w:type="character" w:customStyle="1" w:styleId="232">
    <w:name w:val="font91"/>
    <w:basedOn w:val="45"/>
    <w:qFormat/>
    <w:uiPriority w:val="0"/>
    <w:rPr>
      <w:rFonts w:hint="eastAsia" w:ascii="宋体" w:hAnsi="宋体" w:eastAsia="宋体" w:cs="宋体"/>
      <w:color w:val="000000"/>
      <w:sz w:val="18"/>
      <w:szCs w:val="18"/>
      <w:u w:val="none"/>
    </w:rPr>
  </w:style>
  <w:style w:type="character" w:customStyle="1" w:styleId="233">
    <w:name w:val="font41"/>
    <w:basedOn w:val="45"/>
    <w:qFormat/>
    <w:uiPriority w:val="0"/>
    <w:rPr>
      <w:rFonts w:hint="eastAsia" w:ascii="宋体" w:hAnsi="宋体" w:eastAsia="宋体" w:cs="宋体"/>
      <w:color w:val="000000"/>
      <w:sz w:val="21"/>
      <w:szCs w:val="21"/>
      <w:u w:val="none"/>
    </w:rPr>
  </w:style>
  <w:style w:type="character" w:customStyle="1" w:styleId="234">
    <w:name w:val="font31"/>
    <w:basedOn w:val="45"/>
    <w:qFormat/>
    <w:uiPriority w:val="0"/>
    <w:rPr>
      <w:rFonts w:hint="eastAsia" w:ascii="宋体" w:hAnsi="宋体" w:eastAsia="宋体" w:cs="宋体"/>
      <w:b/>
      <w:color w:val="000000"/>
      <w:sz w:val="18"/>
      <w:szCs w:val="18"/>
      <w:u w:val="none"/>
    </w:rPr>
  </w:style>
  <w:style w:type="character" w:customStyle="1" w:styleId="235">
    <w:name w:val="font101"/>
    <w:basedOn w:val="45"/>
    <w:qFormat/>
    <w:uiPriority w:val="0"/>
    <w:rPr>
      <w:rFonts w:hint="eastAsia" w:ascii="宋体" w:hAnsi="宋体" w:eastAsia="宋体" w:cs="宋体"/>
      <w:color w:val="FF0000"/>
      <w:sz w:val="18"/>
      <w:szCs w:val="18"/>
      <w:u w:val="none"/>
    </w:rPr>
  </w:style>
  <w:style w:type="character" w:customStyle="1" w:styleId="236">
    <w:name w:val="font51"/>
    <w:basedOn w:val="45"/>
    <w:qFormat/>
    <w:uiPriority w:val="0"/>
    <w:rPr>
      <w:rFonts w:ascii="Calibri" w:hAnsi="Calibri" w:cs="Calibri"/>
      <w:color w:val="000000"/>
      <w:sz w:val="21"/>
      <w:szCs w:val="21"/>
      <w:u w:val="none"/>
    </w:rPr>
  </w:style>
  <w:style w:type="paragraph" w:customStyle="1" w:styleId="237">
    <w:name w:val="Table Paragraph"/>
    <w:basedOn w:val="1"/>
    <w:qFormat/>
    <w:uiPriority w:val="1"/>
    <w:pPr>
      <w:ind w:firstLine="560" w:firstLineChars="200"/>
    </w:pPr>
    <w:rPr>
      <w:rFonts w:ascii="宋体" w:hAnsi="宋体" w:cs="宋体"/>
      <w:sz w:val="28"/>
      <w:szCs w:val="28"/>
      <w:lang w:val="zh-CN" w:bidi="zh-CN"/>
    </w:rPr>
  </w:style>
  <w:style w:type="paragraph" w:customStyle="1" w:styleId="238">
    <w:name w:val="AA"/>
    <w:basedOn w:val="1"/>
    <w:qFormat/>
    <w:uiPriority w:val="0"/>
    <w:pPr>
      <w:spacing w:line="360" w:lineRule="auto"/>
      <w:ind w:firstLine="480" w:firstLineChars="200"/>
      <w:jc w:val="left"/>
    </w:pPr>
    <w:rPr>
      <w:rFonts w:ascii="宋体" w:hAnsi="宋体"/>
      <w:sz w:val="24"/>
    </w:rPr>
  </w:style>
  <w:style w:type="paragraph" w:customStyle="1" w:styleId="239">
    <w:name w:val="reader-word-layer"/>
    <w:basedOn w:val="1"/>
    <w:qFormat/>
    <w:uiPriority w:val="0"/>
    <w:pPr>
      <w:widowControl/>
      <w:spacing w:before="100" w:beforeAutospacing="1" w:after="100" w:afterAutospacing="1"/>
      <w:jc w:val="left"/>
    </w:pPr>
    <w:rPr>
      <w:rFonts w:hAnsi="宋体"/>
      <w:sz w:val="24"/>
    </w:rPr>
  </w:style>
  <w:style w:type="character" w:customStyle="1" w:styleId="240">
    <w:name w:val="正文文本 (2) + Century Schoolbook"/>
    <w:qFormat/>
    <w:uiPriority w:val="99"/>
    <w:rPr>
      <w:rFonts w:ascii="Century Schoolbook" w:eastAsia="Century Schoolbook" w:cs="Century Schoolbook"/>
      <w:sz w:val="20"/>
      <w:szCs w:val="20"/>
      <w:shd w:val="clear" w:color="auto" w:fill="FFFFFF"/>
      <w:lang w:val="en-US" w:eastAsia="en-US"/>
    </w:rPr>
  </w:style>
  <w:style w:type="character" w:customStyle="1" w:styleId="241">
    <w:name w:val="正文文本 (2)_"/>
    <w:link w:val="242"/>
    <w:qFormat/>
    <w:uiPriority w:val="99"/>
    <w:rPr>
      <w:rFonts w:ascii="MingLiU" w:eastAsia="MingLiU"/>
      <w:kern w:val="0"/>
      <w:sz w:val="20"/>
      <w:szCs w:val="21"/>
      <w:shd w:val="clear" w:color="auto" w:fill="FFFFFF"/>
    </w:rPr>
  </w:style>
  <w:style w:type="paragraph" w:customStyle="1" w:styleId="242">
    <w:name w:val="正文文本 (2)1"/>
    <w:basedOn w:val="1"/>
    <w:link w:val="241"/>
    <w:qFormat/>
    <w:uiPriority w:val="99"/>
    <w:pPr>
      <w:shd w:val="clear" w:color="auto" w:fill="FFFFFF"/>
      <w:spacing w:before="300" w:line="310" w:lineRule="exact"/>
      <w:ind w:hanging="2140"/>
      <w:jc w:val="left"/>
    </w:pPr>
    <w:rPr>
      <w:rFonts w:ascii="MingLiU" w:eastAsia="MingLiU"/>
      <w:kern w:val="0"/>
      <w:sz w:val="20"/>
      <w:szCs w:val="21"/>
      <w:shd w:val="clear" w:color="auto" w:fill="FFFFFF"/>
    </w:rPr>
  </w:style>
  <w:style w:type="paragraph" w:customStyle="1" w:styleId="243">
    <w:name w:val="11"/>
    <w:basedOn w:val="1"/>
    <w:qFormat/>
    <w:uiPriority w:val="0"/>
    <w:pPr>
      <w:spacing w:beforeLines="100" w:line="360" w:lineRule="auto"/>
      <w:outlineLvl w:val="3"/>
    </w:pPr>
    <w:rPr>
      <w:rFonts w:ascii="宋体" w:hAnsi="宋体"/>
      <w:b/>
      <w:bCs/>
      <w:sz w:val="24"/>
    </w:rPr>
  </w:style>
  <w:style w:type="paragraph" w:customStyle="1" w:styleId="244">
    <w:name w:val="12"/>
    <w:basedOn w:val="243"/>
    <w:qFormat/>
    <w:uiPriority w:val="0"/>
    <w:pPr>
      <w:spacing w:afterLines="50"/>
    </w:pPr>
  </w:style>
  <w:style w:type="paragraph" w:customStyle="1" w:styleId="245">
    <w:name w:val="正文表标题"/>
    <w:next w:val="150"/>
    <w:qFormat/>
    <w:uiPriority w:val="0"/>
    <w:pPr>
      <w:jc w:val="center"/>
    </w:pPr>
    <w:rPr>
      <w:rFonts w:ascii="黑体" w:hAnsi="Calibri" w:eastAsia="黑体" w:cs="Times New Roman"/>
      <w:sz w:val="21"/>
      <w:szCs w:val="22"/>
      <w:lang w:val="en-US" w:eastAsia="zh-CN" w:bidi="ar-SA"/>
    </w:rPr>
  </w:style>
  <w:style w:type="paragraph" w:customStyle="1" w:styleId="246">
    <w:name w:val="表内文字"/>
    <w:basedOn w:val="1"/>
    <w:qFormat/>
    <w:uiPriority w:val="0"/>
    <w:pPr>
      <w:adjustRightInd w:val="0"/>
      <w:snapToGrid w:val="0"/>
      <w:spacing w:line="312" w:lineRule="auto"/>
      <w:jc w:val="center"/>
    </w:pPr>
    <w:rPr>
      <w:color w:val="000000"/>
      <w:szCs w:val="20"/>
    </w:rPr>
  </w:style>
  <w:style w:type="character" w:customStyle="1" w:styleId="247">
    <w:name w:val="正文文本 (2) + 7.5 pt6"/>
    <w:qFormat/>
    <w:uiPriority w:val="0"/>
    <w:rPr>
      <w:rFonts w:hint="eastAsia" w:ascii="MingLiU" w:eastAsia="MingLiU"/>
      <w:sz w:val="15"/>
      <w:shd w:val="clear" w:color="auto" w:fill="FFFFFF"/>
    </w:rPr>
  </w:style>
  <w:style w:type="paragraph" w:customStyle="1" w:styleId="248">
    <w:name w:val="纯文本1"/>
    <w:basedOn w:val="1"/>
    <w:qFormat/>
    <w:uiPriority w:val="0"/>
    <w:rPr>
      <w:rFonts w:ascii="宋体" w:hAnsi="Courier New" w:eastAsia="仿宋_GB2312"/>
      <w:sz w:val="1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78.emf"/><Relationship Id="rId98" Type="http://schemas.openxmlformats.org/officeDocument/2006/relationships/image" Target="media/image77.emf"/><Relationship Id="rId97" Type="http://schemas.openxmlformats.org/officeDocument/2006/relationships/image" Target="media/image76.emf"/><Relationship Id="rId96" Type="http://schemas.openxmlformats.org/officeDocument/2006/relationships/image" Target="media/image75.png"/><Relationship Id="rId95" Type="http://schemas.openxmlformats.org/officeDocument/2006/relationships/image" Target="media/image74.wmf"/><Relationship Id="rId94" Type="http://schemas.openxmlformats.org/officeDocument/2006/relationships/image" Target="media/image73.png"/><Relationship Id="rId93" Type="http://schemas.openxmlformats.org/officeDocument/2006/relationships/image" Target="media/image72.png"/><Relationship Id="rId92" Type="http://schemas.openxmlformats.org/officeDocument/2006/relationships/image" Target="media/image71.png"/><Relationship Id="rId91" Type="http://schemas.openxmlformats.org/officeDocument/2006/relationships/image" Target="media/image70.png"/><Relationship Id="rId90" Type="http://schemas.openxmlformats.org/officeDocument/2006/relationships/image" Target="media/image69.png"/><Relationship Id="rId9" Type="http://schemas.openxmlformats.org/officeDocument/2006/relationships/theme" Target="theme/theme1.xml"/><Relationship Id="rId89" Type="http://schemas.openxmlformats.org/officeDocument/2006/relationships/image" Target="media/image68.png"/><Relationship Id="rId88" Type="http://schemas.openxmlformats.org/officeDocument/2006/relationships/image" Target="media/image67.png"/><Relationship Id="rId87" Type="http://schemas.openxmlformats.org/officeDocument/2006/relationships/image" Target="media/image66.wmf"/><Relationship Id="rId86" Type="http://schemas.openxmlformats.org/officeDocument/2006/relationships/image" Target="media/image65.png"/><Relationship Id="rId85" Type="http://schemas.openxmlformats.org/officeDocument/2006/relationships/image" Target="media/image64.wmf"/><Relationship Id="rId84" Type="http://schemas.openxmlformats.org/officeDocument/2006/relationships/image" Target="media/image63.png"/><Relationship Id="rId83" Type="http://schemas.openxmlformats.org/officeDocument/2006/relationships/image" Target="media/image62.png"/><Relationship Id="rId82" Type="http://schemas.openxmlformats.org/officeDocument/2006/relationships/image" Target="media/image61.png"/><Relationship Id="rId81" Type="http://schemas.openxmlformats.org/officeDocument/2006/relationships/image" Target="media/image60.png"/><Relationship Id="rId80" Type="http://schemas.openxmlformats.org/officeDocument/2006/relationships/image" Target="media/image59.png"/><Relationship Id="rId8" Type="http://schemas.openxmlformats.org/officeDocument/2006/relationships/footer" Target="footer5.xml"/><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media/image56.png"/><Relationship Id="rId76" Type="http://schemas.openxmlformats.org/officeDocument/2006/relationships/image" Target="media/image55.png"/><Relationship Id="rId75" Type="http://schemas.openxmlformats.org/officeDocument/2006/relationships/image" Target="media/image54.wmf"/><Relationship Id="rId74" Type="http://schemas.openxmlformats.org/officeDocument/2006/relationships/image" Target="media/image53.png"/><Relationship Id="rId73" Type="http://schemas.openxmlformats.org/officeDocument/2006/relationships/image" Target="media/image52.emf"/><Relationship Id="rId72" Type="http://schemas.openxmlformats.org/officeDocument/2006/relationships/image" Target="media/image51.emf"/><Relationship Id="rId71" Type="http://schemas.openxmlformats.org/officeDocument/2006/relationships/image" Target="media/image50.wmf"/><Relationship Id="rId70" Type="http://schemas.openxmlformats.org/officeDocument/2006/relationships/image" Target="media/image49.emf"/><Relationship Id="rId7" Type="http://schemas.openxmlformats.org/officeDocument/2006/relationships/header" Target="header1.xml"/><Relationship Id="rId69" Type="http://schemas.openxmlformats.org/officeDocument/2006/relationships/image" Target="media/image48.wmf"/><Relationship Id="rId68" Type="http://schemas.openxmlformats.org/officeDocument/2006/relationships/image" Target="media/image47.emf"/><Relationship Id="rId67" Type="http://schemas.openxmlformats.org/officeDocument/2006/relationships/image" Target="media/image46.emf"/><Relationship Id="rId66" Type="http://schemas.openxmlformats.org/officeDocument/2006/relationships/image" Target="media/image45.emf"/><Relationship Id="rId65" Type="http://schemas.openxmlformats.org/officeDocument/2006/relationships/image" Target="media/image44.png"/><Relationship Id="rId64" Type="http://schemas.openxmlformats.org/officeDocument/2006/relationships/image" Target="media/image43.png"/><Relationship Id="rId63" Type="http://schemas.openxmlformats.org/officeDocument/2006/relationships/image" Target="media/image42.png"/><Relationship Id="rId62" Type="http://schemas.openxmlformats.org/officeDocument/2006/relationships/image" Target="media/image41.png"/><Relationship Id="rId61" Type="http://schemas.openxmlformats.org/officeDocument/2006/relationships/image" Target="media/image40.wmf"/><Relationship Id="rId60" Type="http://schemas.openxmlformats.org/officeDocument/2006/relationships/oleObject" Target="embeddings/oleObject12.bin"/><Relationship Id="rId6" Type="http://schemas.openxmlformats.org/officeDocument/2006/relationships/footer" Target="footer4.xml"/><Relationship Id="rId59" Type="http://schemas.openxmlformats.org/officeDocument/2006/relationships/image" Target="media/image39.jpeg"/><Relationship Id="rId58" Type="http://schemas.openxmlformats.org/officeDocument/2006/relationships/image" Target="media/image38.emf"/><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emf"/><Relationship Id="rId54" Type="http://schemas.openxmlformats.org/officeDocument/2006/relationships/image" Target="media/image34.emf"/><Relationship Id="rId53" Type="http://schemas.openxmlformats.org/officeDocument/2006/relationships/image" Target="media/image33.png"/><Relationship Id="rId52" Type="http://schemas.openxmlformats.org/officeDocument/2006/relationships/image" Target="media/image32.jpeg"/><Relationship Id="rId51" Type="http://schemas.openxmlformats.org/officeDocument/2006/relationships/image" Target="media/image31.png"/><Relationship Id="rId50" Type="http://schemas.openxmlformats.org/officeDocument/2006/relationships/image" Target="media/image30.jpeg"/><Relationship Id="rId5" Type="http://schemas.openxmlformats.org/officeDocument/2006/relationships/footer" Target="footer3.xml"/><Relationship Id="rId49" Type="http://schemas.openxmlformats.org/officeDocument/2006/relationships/image" Target="media/image29.png"/><Relationship Id="rId48" Type="http://schemas.openxmlformats.org/officeDocument/2006/relationships/image" Target="media/image28.emf"/><Relationship Id="rId47" Type="http://schemas.openxmlformats.org/officeDocument/2006/relationships/image" Target="media/image27.emf"/><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emf"/><Relationship Id="rId43" Type="http://schemas.openxmlformats.org/officeDocument/2006/relationships/image" Target="media/image23.emf"/><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2.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wmf"/><Relationship Id="rId32" Type="http://schemas.openxmlformats.org/officeDocument/2006/relationships/oleObject" Target="embeddings/oleObject11.bin"/><Relationship Id="rId31" Type="http://schemas.openxmlformats.org/officeDocument/2006/relationships/image" Target="media/image12.wmf"/><Relationship Id="rId30" Type="http://schemas.openxmlformats.org/officeDocument/2006/relationships/oleObject" Target="embeddings/oleObject10.bin"/><Relationship Id="rId3" Type="http://schemas.openxmlformats.org/officeDocument/2006/relationships/footer" Target="footer1.xml"/><Relationship Id="rId29" Type="http://schemas.openxmlformats.org/officeDocument/2006/relationships/image" Target="media/image11.wmf"/><Relationship Id="rId28" Type="http://schemas.openxmlformats.org/officeDocument/2006/relationships/oleObject" Target="embeddings/oleObject9.bin"/><Relationship Id="rId27" Type="http://schemas.openxmlformats.org/officeDocument/2006/relationships/image" Target="media/image10.wmf"/><Relationship Id="rId26" Type="http://schemas.openxmlformats.org/officeDocument/2006/relationships/oleObject" Target="embeddings/oleObject8.bin"/><Relationship Id="rId25" Type="http://schemas.openxmlformats.org/officeDocument/2006/relationships/image" Target="media/image9.wmf"/><Relationship Id="rId24" Type="http://schemas.openxmlformats.org/officeDocument/2006/relationships/oleObject" Target="embeddings/oleObject7.bin"/><Relationship Id="rId23" Type="http://schemas.openxmlformats.org/officeDocument/2006/relationships/image" Target="media/image8.wmf"/><Relationship Id="rId22" Type="http://schemas.openxmlformats.org/officeDocument/2006/relationships/oleObject" Target="embeddings/oleObject6.bin"/><Relationship Id="rId21" Type="http://schemas.openxmlformats.org/officeDocument/2006/relationships/image" Target="media/image7.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4.bin"/><Relationship Id="rId17" Type="http://schemas.openxmlformats.org/officeDocument/2006/relationships/image" Target="media/image5.wmf"/><Relationship Id="rId16" Type="http://schemas.openxmlformats.org/officeDocument/2006/relationships/oleObject" Target="embeddings/oleObject3.bin"/><Relationship Id="rId15" Type="http://schemas.openxmlformats.org/officeDocument/2006/relationships/image" Target="media/image4.wmf"/><Relationship Id="rId14" Type="http://schemas.openxmlformats.org/officeDocument/2006/relationships/oleObject" Target="embeddings/oleObject2.bin"/><Relationship Id="rId137" Type="http://schemas.openxmlformats.org/officeDocument/2006/relationships/fontTable" Target="fontTable.xml"/><Relationship Id="rId136" Type="http://schemas.openxmlformats.org/officeDocument/2006/relationships/customXml" Target="../customXml/item2.xml"/><Relationship Id="rId135" Type="http://schemas.openxmlformats.org/officeDocument/2006/relationships/numbering" Target="numbering.xml"/><Relationship Id="rId134" Type="http://schemas.openxmlformats.org/officeDocument/2006/relationships/customXml" Target="../customXml/item1.xml"/><Relationship Id="rId133" Type="http://schemas.openxmlformats.org/officeDocument/2006/relationships/image" Target="media/image112.jpeg"/><Relationship Id="rId132" Type="http://schemas.openxmlformats.org/officeDocument/2006/relationships/image" Target="media/image111.jpeg"/><Relationship Id="rId131" Type="http://schemas.openxmlformats.org/officeDocument/2006/relationships/image" Target="media/image110.jpeg"/><Relationship Id="rId130" Type="http://schemas.openxmlformats.org/officeDocument/2006/relationships/image" Target="media/image109.png"/><Relationship Id="rId13" Type="http://schemas.openxmlformats.org/officeDocument/2006/relationships/image" Target="media/image3.wmf"/><Relationship Id="rId129" Type="http://schemas.openxmlformats.org/officeDocument/2006/relationships/image" Target="media/image108.png"/><Relationship Id="rId128" Type="http://schemas.openxmlformats.org/officeDocument/2006/relationships/image" Target="media/image107.png"/><Relationship Id="rId127" Type="http://schemas.openxmlformats.org/officeDocument/2006/relationships/image" Target="media/image106.png"/><Relationship Id="rId126" Type="http://schemas.openxmlformats.org/officeDocument/2006/relationships/image" Target="media/image105.png"/><Relationship Id="rId125" Type="http://schemas.openxmlformats.org/officeDocument/2006/relationships/image" Target="media/image104.png"/><Relationship Id="rId124" Type="http://schemas.openxmlformats.org/officeDocument/2006/relationships/image" Target="media/image103.png"/><Relationship Id="rId123" Type="http://schemas.openxmlformats.org/officeDocument/2006/relationships/image" Target="media/image102.png"/><Relationship Id="rId122" Type="http://schemas.openxmlformats.org/officeDocument/2006/relationships/image" Target="media/image101.png"/><Relationship Id="rId121" Type="http://schemas.openxmlformats.org/officeDocument/2006/relationships/image" Target="media/image100.png"/><Relationship Id="rId120" Type="http://schemas.openxmlformats.org/officeDocument/2006/relationships/image" Target="media/image99.png"/><Relationship Id="rId12" Type="http://schemas.openxmlformats.org/officeDocument/2006/relationships/oleObject" Target="embeddings/oleObject1.bin"/><Relationship Id="rId119" Type="http://schemas.openxmlformats.org/officeDocument/2006/relationships/image" Target="media/image98.png"/><Relationship Id="rId118" Type="http://schemas.openxmlformats.org/officeDocument/2006/relationships/image" Target="media/image97.jpeg"/><Relationship Id="rId117" Type="http://schemas.openxmlformats.org/officeDocument/2006/relationships/image" Target="media/image96.png"/><Relationship Id="rId116" Type="http://schemas.openxmlformats.org/officeDocument/2006/relationships/image" Target="media/image95.png"/><Relationship Id="rId115" Type="http://schemas.openxmlformats.org/officeDocument/2006/relationships/image" Target="media/image94.emf"/><Relationship Id="rId114" Type="http://schemas.openxmlformats.org/officeDocument/2006/relationships/image" Target="media/image93.emf"/><Relationship Id="rId113" Type="http://schemas.openxmlformats.org/officeDocument/2006/relationships/image" Target="media/image92.png"/><Relationship Id="rId112" Type="http://schemas.openxmlformats.org/officeDocument/2006/relationships/image" Target="media/image91.png"/><Relationship Id="rId111" Type="http://schemas.openxmlformats.org/officeDocument/2006/relationships/image" Target="media/image90.png"/><Relationship Id="rId110" Type="http://schemas.openxmlformats.org/officeDocument/2006/relationships/image" Target="media/image89.png"/><Relationship Id="rId11" Type="http://schemas.openxmlformats.org/officeDocument/2006/relationships/image" Target="media/image2.png"/><Relationship Id="rId109" Type="http://schemas.openxmlformats.org/officeDocument/2006/relationships/image" Target="media/image88.png"/><Relationship Id="rId108" Type="http://schemas.openxmlformats.org/officeDocument/2006/relationships/image" Target="media/image87.png"/><Relationship Id="rId107" Type="http://schemas.openxmlformats.org/officeDocument/2006/relationships/image" Target="media/image86.emf"/><Relationship Id="rId106" Type="http://schemas.openxmlformats.org/officeDocument/2006/relationships/image" Target="media/image85.png"/><Relationship Id="rId105" Type="http://schemas.openxmlformats.org/officeDocument/2006/relationships/image" Target="media/image84.png"/><Relationship Id="rId104" Type="http://schemas.openxmlformats.org/officeDocument/2006/relationships/image" Target="media/image83.png"/><Relationship Id="rId103" Type="http://schemas.openxmlformats.org/officeDocument/2006/relationships/image" Target="media/image82.png"/><Relationship Id="rId102" Type="http://schemas.openxmlformats.org/officeDocument/2006/relationships/image" Target="media/image81.png"/><Relationship Id="rId101" Type="http://schemas.openxmlformats.org/officeDocument/2006/relationships/image" Target="media/image80.png"/><Relationship Id="rId100" Type="http://schemas.openxmlformats.org/officeDocument/2006/relationships/image" Target="media/image79.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97E966-269F-4D5B-B80C-A3CB206FDA2F}">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211</Pages>
  <Words>20254</Words>
  <Characters>115451</Characters>
  <Lines>962</Lines>
  <Paragraphs>270</Paragraphs>
  <TotalTime>3</TotalTime>
  <ScaleCrop>false</ScaleCrop>
  <LinksUpToDate>false</LinksUpToDate>
  <CharactersWithSpaces>135435</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2021-08-16T02:45:00Z</dcterms:created>
  <dc:creator>罗川</dc:creator>
  <cp:lastModifiedBy>肖迪</cp:lastModifiedBy>
  <cp:lastPrinted>2021-08-17T06:01:25Z</cp:lastPrinted>
  <dcterms:modified xsi:type="dcterms:W3CDTF">2021-08-17T06:01:53Z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