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spacing w:val="42"/>
          <w:sz w:val="84"/>
        </w:rPr>
      </w:pPr>
    </w:p>
    <w:p>
      <w:pPr>
        <w:spacing w:line="360" w:lineRule="auto"/>
        <w:jc w:val="center"/>
        <w:rPr>
          <w:rFonts w:ascii="华文中宋" w:hAnsi="华文中宋" w:eastAsia="华文中宋"/>
          <w:spacing w:val="42"/>
          <w:sz w:val="130"/>
          <w:szCs w:val="130"/>
        </w:rPr>
      </w:pPr>
      <w:r>
        <w:rPr>
          <w:rFonts w:hint="eastAsia" w:ascii="华文中宋" w:hAnsi="华文中宋" w:eastAsia="华文中宋"/>
          <w:spacing w:val="42"/>
          <w:sz w:val="130"/>
          <w:szCs w:val="130"/>
        </w:rPr>
        <w:t>招 标 文 件</w:t>
      </w:r>
    </w:p>
    <w:p>
      <w:pPr>
        <w:spacing w:line="360" w:lineRule="auto"/>
        <w:jc w:val="center"/>
        <w:rPr>
          <w:rFonts w:ascii="华文中宋" w:hAnsi="华文中宋" w:eastAsia="华文中宋"/>
          <w:sz w:val="32"/>
          <w:szCs w:val="32"/>
        </w:rPr>
      </w:pPr>
    </w:p>
    <w:p>
      <w:pPr>
        <w:spacing w:line="360" w:lineRule="auto"/>
        <w:rPr>
          <w:rFonts w:ascii="华文中宋" w:hAnsi="华文中宋" w:eastAsia="华文中宋"/>
        </w:rPr>
      </w:pPr>
    </w:p>
    <w:p>
      <w:pPr>
        <w:spacing w:line="360" w:lineRule="auto"/>
        <w:ind w:left="1600" w:hanging="1600" w:hangingChars="500"/>
        <w:rPr>
          <w:rFonts w:ascii="华文中宋" w:hAnsi="华文中宋" w:eastAsia="华文中宋"/>
          <w:sz w:val="32"/>
          <w:szCs w:val="32"/>
        </w:rPr>
      </w:pPr>
      <w:r>
        <w:rPr>
          <w:rFonts w:hint="eastAsia" w:ascii="华文中宋" w:hAnsi="华文中宋" w:eastAsia="华文中宋"/>
          <w:sz w:val="32"/>
          <w:szCs w:val="32"/>
        </w:rPr>
        <w:t>项目名称：成都市双流区教育技术装备管理中心2021年艺体中学等2校学术厅显示系统采购项目</w:t>
      </w:r>
    </w:p>
    <w:p>
      <w:pPr>
        <w:spacing w:line="360" w:lineRule="auto"/>
        <w:rPr>
          <w:rFonts w:ascii="华文中宋" w:hAnsi="华文中宋" w:eastAsia="华文中宋"/>
          <w:sz w:val="32"/>
          <w:szCs w:val="32"/>
        </w:rPr>
      </w:pPr>
      <w:r>
        <w:rPr>
          <w:rFonts w:hint="eastAsia" w:ascii="华文中宋" w:hAnsi="华文中宋" w:eastAsia="华文中宋"/>
          <w:sz w:val="32"/>
          <w:szCs w:val="32"/>
        </w:rPr>
        <w:t>项目编号：双流政采（2021）A0066号</w:t>
      </w:r>
    </w:p>
    <w:p>
      <w:pPr>
        <w:spacing w:line="360" w:lineRule="auto"/>
        <w:jc w:val="center"/>
        <w:rPr>
          <w:rFonts w:ascii="华文中宋" w:hAnsi="华文中宋" w:eastAsia="华文中宋"/>
          <w:spacing w:val="-20"/>
          <w:sz w:val="32"/>
          <w:szCs w:val="32"/>
        </w:rPr>
      </w:pPr>
    </w:p>
    <w:p>
      <w:pPr>
        <w:pStyle w:val="2"/>
        <w:rPr>
          <w:rFonts w:ascii="华文中宋" w:hAnsi="华文中宋" w:eastAsia="华文中宋"/>
          <w:spacing w:val="-20"/>
          <w:sz w:val="32"/>
          <w:szCs w:val="32"/>
        </w:rPr>
      </w:pPr>
    </w:p>
    <w:p/>
    <w:p/>
    <w:p/>
    <w:p/>
    <w:p>
      <w:pPr>
        <w:pStyle w:val="2"/>
      </w:pP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成都市双流区教育技术装备管理中心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成都市双流区公共资源交易服务中心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二〇二一年十月</w:t>
      </w:r>
    </w:p>
    <w:p>
      <w:pPr>
        <w:rPr>
          <w:rFonts w:ascii="华文中宋" w:hAnsi="华文中宋" w:eastAsia="华文中宋"/>
          <w:sz w:val="32"/>
          <w:szCs w:val="32"/>
        </w:rPr>
      </w:pPr>
    </w:p>
    <w:p/>
    <w:p>
      <w:pPr>
        <w:spacing w:line="360" w:lineRule="auto"/>
        <w:jc w:val="center"/>
        <w:rPr>
          <w:rFonts w:hint="eastAsia" w:ascii="宋体" w:hAnsi="宋体"/>
          <w:b/>
          <w:sz w:val="32"/>
          <w:szCs w:val="32"/>
        </w:rPr>
        <w:sectPr>
          <w:pgSz w:w="12240" w:h="15840"/>
          <w:pgMar w:top="1440" w:right="1800" w:bottom="1440" w:left="1800" w:header="708" w:footer="708" w:gutter="0"/>
          <w:cols w:space="708" w:num="1"/>
          <w:docGrid w:linePitch="360" w:charSpace="0"/>
        </w:sectPr>
      </w:pPr>
      <w:bookmarkStart w:id="0" w:name="_Toc101247312"/>
      <w:bookmarkStart w:id="1" w:name="_Toc101234248"/>
      <w:bookmarkStart w:id="2" w:name="_Toc101328520"/>
      <w:bookmarkStart w:id="3" w:name="_Toc148505181"/>
    </w:p>
    <w:p>
      <w:pPr>
        <w:spacing w:line="360" w:lineRule="auto"/>
        <w:jc w:val="center"/>
        <w:rPr>
          <w:rFonts w:ascii="宋体" w:hAnsi="宋体"/>
          <w:b/>
          <w:sz w:val="36"/>
        </w:rPr>
      </w:pPr>
      <w:r>
        <w:rPr>
          <w:rFonts w:hint="eastAsia" w:ascii="宋体" w:hAnsi="宋体"/>
          <w:b/>
          <w:sz w:val="32"/>
          <w:szCs w:val="32"/>
        </w:rPr>
        <w:t>目 录</w:t>
      </w:r>
    </w:p>
    <w:p>
      <w:pPr>
        <w:pStyle w:val="29"/>
        <w:rPr>
          <w:rFonts w:asciiTheme="minorHAnsi" w:hAnsiTheme="minorHAnsi" w:eastAsiaTheme="minorEastAsia" w:cstheme="minorBidi"/>
          <w:b w:val="0"/>
          <w:bCs/>
          <w:caps w:val="0"/>
          <w:sz w:val="24"/>
          <w:szCs w:val="24"/>
        </w:rPr>
      </w:pPr>
      <w:r>
        <w:rPr>
          <w:rFonts w:hint="eastAsia"/>
          <w:b/>
          <w:bCs w:val="0"/>
        </w:rPr>
        <w:fldChar w:fldCharType="begin"/>
      </w:r>
      <w:r>
        <w:rPr>
          <w:rFonts w:hint="eastAsia" w:ascii="宋体" w:hAnsi="宋体"/>
          <w:b/>
          <w:bCs w:val="0"/>
          <w:smallCaps/>
        </w:rPr>
        <w:instrText xml:space="preserve"> TOC \o "1-2" \h \z \u </w:instrText>
      </w:r>
      <w:r>
        <w:rPr>
          <w:rFonts w:hint="eastAsia"/>
          <w:b/>
          <w:bCs w:val="0"/>
        </w:rPr>
        <w:fldChar w:fldCharType="separate"/>
      </w:r>
      <w:r>
        <w:rPr>
          <w:b w:val="0"/>
          <w:bCs/>
        </w:rPr>
        <w:fldChar w:fldCharType="begin"/>
      </w:r>
      <w:r>
        <w:rPr>
          <w:b w:val="0"/>
          <w:bCs/>
        </w:rPr>
        <w:instrText xml:space="preserve"> HYPERLINK \l "_Toc85657292" </w:instrText>
      </w:r>
      <w:r>
        <w:rPr>
          <w:b w:val="0"/>
          <w:bCs/>
        </w:rPr>
        <w:fldChar w:fldCharType="separate"/>
      </w:r>
      <w:r>
        <w:rPr>
          <w:rStyle w:val="48"/>
          <w:rFonts w:ascii="Times New Roman" w:hAnsi="Times New Roman"/>
          <w:b w:val="0"/>
          <w:bCs/>
          <w:spacing w:val="-20"/>
          <w:kern w:val="44"/>
        </w:rPr>
        <w:t>第1章</w:t>
      </w:r>
      <w:r>
        <w:rPr>
          <w:rFonts w:asciiTheme="minorHAnsi" w:hAnsiTheme="minorHAnsi" w:eastAsiaTheme="minorEastAsia" w:cstheme="minorBidi"/>
          <w:b w:val="0"/>
          <w:bCs/>
          <w:caps w:val="0"/>
          <w:sz w:val="24"/>
          <w:szCs w:val="24"/>
        </w:rPr>
        <w:tab/>
      </w:r>
      <w:r>
        <w:rPr>
          <w:rStyle w:val="48"/>
          <w:rFonts w:ascii="宋体" w:hAnsi="宋体"/>
          <w:b w:val="0"/>
          <w:bCs/>
          <w:spacing w:val="-20"/>
          <w:kern w:val="44"/>
        </w:rPr>
        <w:t>投标邀请</w:t>
      </w:r>
      <w:r>
        <w:rPr>
          <w:b w:val="0"/>
          <w:bCs/>
        </w:rPr>
        <w:tab/>
      </w:r>
      <w:r>
        <w:rPr>
          <w:b w:val="0"/>
          <w:bCs/>
        </w:rPr>
        <w:fldChar w:fldCharType="begin"/>
      </w:r>
      <w:r>
        <w:rPr>
          <w:b w:val="0"/>
          <w:bCs/>
        </w:rPr>
        <w:instrText xml:space="preserve"> PAGEREF _Toc85657292 \h </w:instrText>
      </w:r>
      <w:r>
        <w:rPr>
          <w:b w:val="0"/>
          <w:bCs/>
        </w:rPr>
        <w:fldChar w:fldCharType="separate"/>
      </w:r>
      <w:r>
        <w:rPr>
          <w:b w:val="0"/>
          <w:bCs/>
        </w:rPr>
        <w:t>2</w:t>
      </w:r>
      <w:r>
        <w:rPr>
          <w:b w:val="0"/>
          <w:bCs/>
        </w:rPr>
        <w:fldChar w:fldCharType="end"/>
      </w:r>
      <w:r>
        <w:rPr>
          <w:b w:val="0"/>
          <w:bCs/>
        </w:rPr>
        <w:fldChar w:fldCharType="end"/>
      </w:r>
    </w:p>
    <w:p>
      <w:pPr>
        <w:pStyle w:val="29"/>
        <w:rPr>
          <w:rFonts w:asciiTheme="minorHAnsi" w:hAnsiTheme="minorHAnsi" w:eastAsiaTheme="minorEastAsia" w:cstheme="minorBidi"/>
          <w:b w:val="0"/>
          <w:bCs/>
          <w:caps w:val="0"/>
          <w:sz w:val="24"/>
          <w:szCs w:val="24"/>
        </w:rPr>
      </w:pPr>
      <w:r>
        <w:rPr>
          <w:b w:val="0"/>
          <w:bCs/>
        </w:rPr>
        <w:fldChar w:fldCharType="begin"/>
      </w:r>
      <w:r>
        <w:rPr>
          <w:b w:val="0"/>
          <w:bCs/>
        </w:rPr>
        <w:instrText xml:space="preserve"> HYPERLINK \l "_Toc85657293" </w:instrText>
      </w:r>
      <w:r>
        <w:rPr>
          <w:b w:val="0"/>
          <w:bCs/>
        </w:rPr>
        <w:fldChar w:fldCharType="separate"/>
      </w:r>
      <w:r>
        <w:rPr>
          <w:rStyle w:val="48"/>
          <w:rFonts w:ascii="Times New Roman" w:hAnsi="Times New Roman"/>
          <w:b w:val="0"/>
          <w:bCs/>
          <w:spacing w:val="-20"/>
          <w:kern w:val="44"/>
        </w:rPr>
        <w:t>第2章</w:t>
      </w:r>
      <w:r>
        <w:rPr>
          <w:rFonts w:asciiTheme="minorHAnsi" w:hAnsiTheme="minorHAnsi" w:eastAsiaTheme="minorEastAsia" w:cstheme="minorBidi"/>
          <w:b w:val="0"/>
          <w:bCs/>
          <w:caps w:val="0"/>
          <w:sz w:val="24"/>
          <w:szCs w:val="24"/>
        </w:rPr>
        <w:tab/>
      </w:r>
      <w:r>
        <w:rPr>
          <w:rStyle w:val="48"/>
          <w:rFonts w:ascii="宋体" w:hAnsi="宋体"/>
          <w:b w:val="0"/>
          <w:bCs/>
          <w:spacing w:val="-20"/>
          <w:kern w:val="44"/>
        </w:rPr>
        <w:t>投标人须知</w:t>
      </w:r>
      <w:r>
        <w:rPr>
          <w:b w:val="0"/>
          <w:bCs/>
        </w:rPr>
        <w:tab/>
      </w:r>
      <w:r>
        <w:rPr>
          <w:b w:val="0"/>
          <w:bCs/>
        </w:rPr>
        <w:fldChar w:fldCharType="begin"/>
      </w:r>
      <w:r>
        <w:rPr>
          <w:b w:val="0"/>
          <w:bCs/>
        </w:rPr>
        <w:instrText xml:space="preserve"> PAGEREF _Toc85657293 \h </w:instrText>
      </w:r>
      <w:r>
        <w:rPr>
          <w:b w:val="0"/>
          <w:bCs/>
        </w:rPr>
        <w:fldChar w:fldCharType="separate"/>
      </w:r>
      <w:r>
        <w:rPr>
          <w:b w:val="0"/>
          <w:bCs/>
        </w:rPr>
        <w:t>6</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"_Toc85657294" </w:instrText>
      </w:r>
      <w:r>
        <w:rPr>
          <w:b w:val="0"/>
          <w:bCs/>
        </w:rPr>
        <w:fldChar w:fldCharType="separate"/>
      </w:r>
      <w:r>
        <w:rPr>
          <w:rStyle w:val="48"/>
          <w:rFonts w:ascii="Times New Roman" w:hAnsi="Times New Roman"/>
          <w:b w:val="0"/>
          <w:bCs/>
        </w:rPr>
        <w:t>2.1</w:t>
      </w:r>
      <w:r>
        <w:rPr>
          <w:rStyle w:val="48"/>
          <w:rFonts w:ascii="宋体" w:hAnsi="宋体"/>
          <w:b w:val="0"/>
          <w:bCs/>
        </w:rPr>
        <w:t xml:space="preserve"> 投标人须知前附表</w:t>
      </w:r>
      <w:r>
        <w:rPr>
          <w:b w:val="0"/>
          <w:bCs/>
        </w:rPr>
        <w:tab/>
      </w:r>
      <w:r>
        <w:rPr>
          <w:b w:val="0"/>
          <w:bCs/>
        </w:rPr>
        <w:fldChar w:fldCharType="begin"/>
      </w:r>
      <w:r>
        <w:rPr>
          <w:b w:val="0"/>
          <w:bCs/>
        </w:rPr>
        <w:instrText xml:space="preserve"> PAGEREF _Toc85657294 \h </w:instrText>
      </w:r>
      <w:r>
        <w:rPr>
          <w:b w:val="0"/>
          <w:bCs/>
        </w:rPr>
        <w:fldChar w:fldCharType="separate"/>
      </w:r>
      <w:r>
        <w:rPr>
          <w:b w:val="0"/>
          <w:bCs/>
        </w:rPr>
        <w:t>6</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"_Toc85657295" </w:instrText>
      </w:r>
      <w:r>
        <w:rPr>
          <w:b w:val="0"/>
          <w:bCs/>
        </w:rPr>
        <w:fldChar w:fldCharType="separate"/>
      </w:r>
      <w:r>
        <w:rPr>
          <w:rStyle w:val="48"/>
          <w:rFonts w:ascii="Times New Roman" w:hAnsi="Times New Roman"/>
          <w:b w:val="0"/>
          <w:bCs/>
        </w:rPr>
        <w:t>2.2</w:t>
      </w:r>
      <w:r>
        <w:rPr>
          <w:rStyle w:val="48"/>
          <w:rFonts w:ascii="宋体" w:hAnsi="宋体"/>
          <w:b w:val="0"/>
          <w:bCs/>
        </w:rPr>
        <w:t xml:space="preserve"> 总则</w:t>
      </w:r>
      <w:r>
        <w:rPr>
          <w:b w:val="0"/>
          <w:bCs/>
        </w:rPr>
        <w:tab/>
      </w:r>
      <w:r>
        <w:rPr>
          <w:b w:val="0"/>
          <w:bCs/>
        </w:rPr>
        <w:fldChar w:fldCharType="begin"/>
      </w:r>
      <w:r>
        <w:rPr>
          <w:b w:val="0"/>
          <w:bCs/>
        </w:rPr>
        <w:instrText xml:space="preserve"> PAGEREF _Toc85657295 \h </w:instrText>
      </w:r>
      <w:r>
        <w:rPr>
          <w:b w:val="0"/>
          <w:bCs/>
        </w:rPr>
        <w:fldChar w:fldCharType="separate"/>
      </w:r>
      <w:r>
        <w:rPr>
          <w:b w:val="0"/>
          <w:bCs/>
        </w:rPr>
        <w:t>9</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"_Toc85657296" </w:instrText>
      </w:r>
      <w:r>
        <w:rPr>
          <w:b w:val="0"/>
          <w:bCs/>
        </w:rPr>
        <w:fldChar w:fldCharType="separate"/>
      </w:r>
      <w:r>
        <w:rPr>
          <w:rStyle w:val="48"/>
          <w:rFonts w:ascii="Times New Roman" w:hAnsi="Times New Roman"/>
          <w:b w:val="0"/>
          <w:bCs/>
        </w:rPr>
        <w:t>2.3</w:t>
      </w:r>
      <w:r>
        <w:rPr>
          <w:rStyle w:val="48"/>
          <w:rFonts w:ascii="宋体" w:hAnsi="宋体"/>
          <w:b w:val="0"/>
          <w:bCs/>
        </w:rPr>
        <w:t xml:space="preserve"> 招标文件</w:t>
      </w:r>
      <w:r>
        <w:rPr>
          <w:b w:val="0"/>
          <w:bCs/>
        </w:rPr>
        <w:tab/>
      </w:r>
      <w:r>
        <w:rPr>
          <w:b w:val="0"/>
          <w:bCs/>
        </w:rPr>
        <w:fldChar w:fldCharType="begin"/>
      </w:r>
      <w:r>
        <w:rPr>
          <w:b w:val="0"/>
          <w:bCs/>
        </w:rPr>
        <w:instrText xml:space="preserve"> PAGEREF _Toc85657296 \h </w:instrText>
      </w:r>
      <w:r>
        <w:rPr>
          <w:b w:val="0"/>
          <w:bCs/>
        </w:rPr>
        <w:fldChar w:fldCharType="separate"/>
      </w:r>
      <w:r>
        <w:rPr>
          <w:b w:val="0"/>
          <w:bCs/>
        </w:rPr>
        <w:t>11</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"_Toc85657297" </w:instrText>
      </w:r>
      <w:r>
        <w:rPr>
          <w:b w:val="0"/>
          <w:bCs/>
        </w:rPr>
        <w:fldChar w:fldCharType="separate"/>
      </w:r>
      <w:r>
        <w:rPr>
          <w:rStyle w:val="48"/>
          <w:rFonts w:ascii="Times New Roman" w:hAnsi="Times New Roman"/>
          <w:b w:val="0"/>
          <w:bCs/>
        </w:rPr>
        <w:t>2.4</w:t>
      </w:r>
      <w:r>
        <w:rPr>
          <w:rStyle w:val="48"/>
          <w:rFonts w:ascii="宋体" w:hAnsi="宋体"/>
          <w:b w:val="0"/>
          <w:bCs/>
        </w:rPr>
        <w:t xml:space="preserve"> 投标文件</w:t>
      </w:r>
      <w:r>
        <w:rPr>
          <w:b w:val="0"/>
          <w:bCs/>
        </w:rPr>
        <w:tab/>
      </w:r>
      <w:r>
        <w:rPr>
          <w:b w:val="0"/>
          <w:bCs/>
        </w:rPr>
        <w:fldChar w:fldCharType="begin"/>
      </w:r>
      <w:r>
        <w:rPr>
          <w:b w:val="0"/>
          <w:bCs/>
        </w:rPr>
        <w:instrText xml:space="preserve"> PAGEREF _Toc85657297 \h </w:instrText>
      </w:r>
      <w:r>
        <w:rPr>
          <w:b w:val="0"/>
          <w:bCs/>
        </w:rPr>
        <w:fldChar w:fldCharType="separate"/>
      </w:r>
      <w:r>
        <w:rPr>
          <w:b w:val="0"/>
          <w:bCs/>
        </w:rPr>
        <w:t>12</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"_Toc85657298" </w:instrText>
      </w:r>
      <w:r>
        <w:rPr>
          <w:b w:val="0"/>
          <w:bCs/>
        </w:rPr>
        <w:fldChar w:fldCharType="separate"/>
      </w:r>
      <w:r>
        <w:rPr>
          <w:rStyle w:val="48"/>
          <w:rFonts w:ascii="Times New Roman" w:hAnsi="Times New Roman"/>
          <w:b w:val="0"/>
          <w:bCs/>
        </w:rPr>
        <w:t>2.5</w:t>
      </w:r>
      <w:r>
        <w:rPr>
          <w:rStyle w:val="48"/>
          <w:rFonts w:ascii="宋体" w:hAnsi="宋体"/>
          <w:b w:val="0"/>
          <w:bCs/>
        </w:rPr>
        <w:t xml:space="preserve"> 开标、资格审查、评标和中标</w:t>
      </w:r>
      <w:r>
        <w:rPr>
          <w:b w:val="0"/>
          <w:bCs/>
        </w:rPr>
        <w:tab/>
      </w:r>
      <w:r>
        <w:rPr>
          <w:b w:val="0"/>
          <w:bCs/>
        </w:rPr>
        <w:fldChar w:fldCharType="begin"/>
      </w:r>
      <w:r>
        <w:rPr>
          <w:b w:val="0"/>
          <w:bCs/>
        </w:rPr>
        <w:instrText xml:space="preserve"> PAGEREF _Toc85657298 \h </w:instrText>
      </w:r>
      <w:r>
        <w:rPr>
          <w:b w:val="0"/>
          <w:bCs/>
        </w:rPr>
        <w:fldChar w:fldCharType="separate"/>
      </w:r>
      <w:r>
        <w:rPr>
          <w:b w:val="0"/>
          <w:bCs/>
        </w:rPr>
        <w:t>19</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"_Toc85657299" </w:instrText>
      </w:r>
      <w:r>
        <w:rPr>
          <w:b w:val="0"/>
          <w:bCs/>
        </w:rPr>
        <w:fldChar w:fldCharType="separate"/>
      </w:r>
      <w:r>
        <w:rPr>
          <w:rStyle w:val="48"/>
          <w:rFonts w:ascii="Times New Roman" w:hAnsi="Times New Roman"/>
          <w:b w:val="0"/>
          <w:bCs/>
        </w:rPr>
        <w:t>2.6</w:t>
      </w:r>
      <w:r>
        <w:rPr>
          <w:rStyle w:val="48"/>
          <w:rFonts w:ascii="宋体" w:hAnsi="宋体"/>
          <w:b w:val="0"/>
          <w:bCs/>
        </w:rPr>
        <w:t xml:space="preserve"> 签订及履行合同和验收</w:t>
      </w:r>
      <w:r>
        <w:rPr>
          <w:b w:val="0"/>
          <w:bCs/>
        </w:rPr>
        <w:tab/>
      </w:r>
      <w:r>
        <w:rPr>
          <w:b w:val="0"/>
          <w:bCs/>
        </w:rPr>
        <w:fldChar w:fldCharType="begin"/>
      </w:r>
      <w:r>
        <w:rPr>
          <w:b w:val="0"/>
          <w:bCs/>
        </w:rPr>
        <w:instrText xml:space="preserve"> PAGEREF _Toc85657299 \h </w:instrText>
      </w:r>
      <w:r>
        <w:rPr>
          <w:b w:val="0"/>
          <w:bCs/>
        </w:rPr>
        <w:fldChar w:fldCharType="separate"/>
      </w:r>
      <w:r>
        <w:rPr>
          <w:b w:val="0"/>
          <w:bCs/>
        </w:rPr>
        <w:t>21</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"_Toc85657300" </w:instrText>
      </w:r>
      <w:r>
        <w:rPr>
          <w:b w:val="0"/>
          <w:bCs/>
        </w:rPr>
        <w:fldChar w:fldCharType="separate"/>
      </w:r>
      <w:r>
        <w:rPr>
          <w:rStyle w:val="48"/>
          <w:rFonts w:ascii="Times New Roman" w:hAnsi="Times New Roman"/>
          <w:b w:val="0"/>
          <w:bCs/>
        </w:rPr>
        <w:t>2.7</w:t>
      </w:r>
      <w:r>
        <w:rPr>
          <w:rStyle w:val="48"/>
          <w:rFonts w:ascii="宋体" w:hAnsi="宋体"/>
          <w:b w:val="0"/>
          <w:bCs/>
        </w:rPr>
        <w:t xml:space="preserve"> 投标纪律要求</w:t>
      </w:r>
      <w:r>
        <w:rPr>
          <w:b w:val="0"/>
          <w:bCs/>
        </w:rPr>
        <w:tab/>
      </w:r>
      <w:r>
        <w:rPr>
          <w:b w:val="0"/>
          <w:bCs/>
        </w:rPr>
        <w:fldChar w:fldCharType="begin"/>
      </w:r>
      <w:r>
        <w:rPr>
          <w:b w:val="0"/>
          <w:bCs/>
        </w:rPr>
        <w:instrText xml:space="preserve"> PAGEREF _Toc85657300 \h </w:instrText>
      </w:r>
      <w:r>
        <w:rPr>
          <w:b w:val="0"/>
          <w:bCs/>
        </w:rPr>
        <w:fldChar w:fldCharType="separate"/>
      </w:r>
      <w:r>
        <w:rPr>
          <w:b w:val="0"/>
          <w:bCs/>
        </w:rPr>
        <w:t>23</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"_Toc85657301" </w:instrText>
      </w:r>
      <w:r>
        <w:rPr>
          <w:b w:val="0"/>
          <w:bCs/>
        </w:rPr>
        <w:fldChar w:fldCharType="separate"/>
      </w:r>
      <w:r>
        <w:rPr>
          <w:rStyle w:val="48"/>
          <w:rFonts w:ascii="Times New Roman" w:hAnsi="Times New Roman"/>
          <w:b w:val="0"/>
          <w:bCs/>
        </w:rPr>
        <w:t>2.8</w:t>
      </w:r>
      <w:r>
        <w:rPr>
          <w:rStyle w:val="48"/>
          <w:rFonts w:ascii="宋体" w:hAnsi="宋体"/>
          <w:b w:val="0"/>
          <w:bCs/>
        </w:rPr>
        <w:t xml:space="preserve"> 询问、质疑和投诉</w:t>
      </w:r>
      <w:r>
        <w:rPr>
          <w:b w:val="0"/>
          <w:bCs/>
        </w:rPr>
        <w:tab/>
      </w:r>
      <w:r>
        <w:rPr>
          <w:b w:val="0"/>
          <w:bCs/>
        </w:rPr>
        <w:fldChar w:fldCharType="begin"/>
      </w:r>
      <w:r>
        <w:rPr>
          <w:b w:val="0"/>
          <w:bCs/>
        </w:rPr>
        <w:instrText xml:space="preserve"> PAGEREF _Toc85657301 \h </w:instrText>
      </w:r>
      <w:r>
        <w:rPr>
          <w:b w:val="0"/>
          <w:bCs/>
        </w:rPr>
        <w:fldChar w:fldCharType="separate"/>
      </w:r>
      <w:r>
        <w:rPr>
          <w:b w:val="0"/>
          <w:bCs/>
        </w:rPr>
        <w:t>26</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"_Toc85657302" </w:instrText>
      </w:r>
      <w:r>
        <w:rPr>
          <w:b w:val="0"/>
          <w:bCs/>
        </w:rPr>
        <w:fldChar w:fldCharType="separate"/>
      </w:r>
      <w:r>
        <w:rPr>
          <w:rStyle w:val="48"/>
          <w:rFonts w:ascii="Times New Roman" w:hAnsi="Times New Roman"/>
          <w:b w:val="0"/>
          <w:bCs/>
        </w:rPr>
        <w:t>2.9</w:t>
      </w:r>
      <w:r>
        <w:rPr>
          <w:rStyle w:val="48"/>
          <w:rFonts w:ascii="宋体" w:hAnsi="宋体"/>
          <w:b w:val="0"/>
          <w:bCs/>
        </w:rPr>
        <w:t xml:space="preserve"> 信用融资</w:t>
      </w:r>
      <w:r>
        <w:rPr>
          <w:b w:val="0"/>
          <w:bCs/>
        </w:rPr>
        <w:tab/>
      </w:r>
      <w:r>
        <w:rPr>
          <w:b w:val="0"/>
          <w:bCs/>
        </w:rPr>
        <w:fldChar w:fldCharType="begin"/>
      </w:r>
      <w:r>
        <w:rPr>
          <w:b w:val="0"/>
          <w:bCs/>
        </w:rPr>
        <w:instrText xml:space="preserve"> PAGEREF _Toc85657302 \h </w:instrText>
      </w:r>
      <w:r>
        <w:rPr>
          <w:b w:val="0"/>
          <w:bCs/>
        </w:rPr>
        <w:fldChar w:fldCharType="separate"/>
      </w:r>
      <w:r>
        <w:rPr>
          <w:b w:val="0"/>
          <w:bCs/>
        </w:rPr>
        <w:t>27</w:t>
      </w:r>
      <w:r>
        <w:rPr>
          <w:b w:val="0"/>
          <w:bCs/>
        </w:rPr>
        <w:fldChar w:fldCharType="end"/>
      </w:r>
      <w:r>
        <w:rPr>
          <w:b w:val="0"/>
          <w:bCs/>
        </w:rPr>
        <w:fldChar w:fldCharType="end"/>
      </w:r>
    </w:p>
    <w:p>
      <w:pPr>
        <w:pStyle w:val="29"/>
        <w:rPr>
          <w:rFonts w:asciiTheme="minorHAnsi" w:hAnsiTheme="minorHAnsi" w:eastAsiaTheme="minorEastAsia" w:cstheme="minorBidi"/>
          <w:b w:val="0"/>
          <w:bCs/>
          <w:caps w:val="0"/>
          <w:sz w:val="24"/>
          <w:szCs w:val="24"/>
        </w:rPr>
      </w:pPr>
      <w:r>
        <w:rPr>
          <w:b w:val="0"/>
          <w:bCs/>
        </w:rPr>
        <w:fldChar w:fldCharType="begin"/>
      </w:r>
      <w:r>
        <w:rPr>
          <w:b w:val="0"/>
          <w:bCs/>
        </w:rPr>
        <w:instrText xml:space="preserve"> HYPERLINK \l "_Toc85657303" </w:instrText>
      </w:r>
      <w:r>
        <w:rPr>
          <w:b w:val="0"/>
          <w:bCs/>
        </w:rPr>
        <w:fldChar w:fldCharType="separate"/>
      </w:r>
      <w:r>
        <w:rPr>
          <w:rStyle w:val="48"/>
          <w:rFonts w:ascii="Times New Roman" w:hAnsi="Times New Roman"/>
          <w:b w:val="0"/>
          <w:bCs/>
          <w:spacing w:val="-20"/>
          <w:kern w:val="44"/>
        </w:rPr>
        <w:t>第3章</w:t>
      </w:r>
      <w:r>
        <w:rPr>
          <w:rFonts w:asciiTheme="minorHAnsi" w:hAnsiTheme="minorHAnsi" w:eastAsiaTheme="minorEastAsia" w:cstheme="minorBidi"/>
          <w:b w:val="0"/>
          <w:bCs/>
          <w:caps w:val="0"/>
          <w:sz w:val="24"/>
          <w:szCs w:val="24"/>
        </w:rPr>
        <w:tab/>
      </w:r>
      <w:r>
        <w:rPr>
          <w:rStyle w:val="48"/>
          <w:rFonts w:ascii="宋体" w:hAnsi="宋体"/>
          <w:b w:val="0"/>
          <w:bCs/>
          <w:spacing w:val="-20"/>
          <w:kern w:val="44"/>
        </w:rPr>
        <w:t>投标文件格式</w:t>
      </w:r>
      <w:r>
        <w:rPr>
          <w:b w:val="0"/>
          <w:bCs/>
        </w:rPr>
        <w:tab/>
      </w:r>
      <w:r>
        <w:rPr>
          <w:b w:val="0"/>
          <w:bCs/>
        </w:rPr>
        <w:fldChar w:fldCharType="begin"/>
      </w:r>
      <w:r>
        <w:rPr>
          <w:b w:val="0"/>
          <w:bCs/>
        </w:rPr>
        <w:instrText xml:space="preserve"> PAGEREF _Toc85657303 \h </w:instrText>
      </w:r>
      <w:r>
        <w:rPr>
          <w:b w:val="0"/>
          <w:bCs/>
        </w:rPr>
        <w:fldChar w:fldCharType="separate"/>
      </w:r>
      <w:r>
        <w:rPr>
          <w:b w:val="0"/>
          <w:bCs/>
        </w:rPr>
        <w:t>28</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"_Toc85657304" </w:instrText>
      </w:r>
      <w:r>
        <w:rPr>
          <w:b w:val="0"/>
          <w:bCs/>
        </w:rPr>
        <w:fldChar w:fldCharType="separate"/>
      </w:r>
      <w:r>
        <w:rPr>
          <w:rStyle w:val="48"/>
          <w:rFonts w:ascii="Times New Roman" w:hAnsi="Times New Roman"/>
          <w:b w:val="0"/>
          <w:bCs/>
        </w:rPr>
        <w:t>3.1</w:t>
      </w:r>
      <w:r>
        <w:rPr>
          <w:rStyle w:val="48"/>
          <w:rFonts w:ascii="宋体" w:hAnsi="宋体"/>
          <w:b w:val="0"/>
          <w:bCs/>
        </w:rPr>
        <w:t xml:space="preserve"> 投标文件封面格式</w:t>
      </w:r>
      <w:r>
        <w:rPr>
          <w:b w:val="0"/>
          <w:bCs/>
        </w:rPr>
        <w:tab/>
      </w:r>
      <w:r>
        <w:rPr>
          <w:b w:val="0"/>
          <w:bCs/>
        </w:rPr>
        <w:fldChar w:fldCharType="begin"/>
      </w:r>
      <w:r>
        <w:rPr>
          <w:b w:val="0"/>
          <w:bCs/>
        </w:rPr>
        <w:instrText xml:space="preserve"> PAGEREF _Toc85657304 \h </w:instrText>
      </w:r>
      <w:r>
        <w:rPr>
          <w:b w:val="0"/>
          <w:bCs/>
        </w:rPr>
        <w:fldChar w:fldCharType="separate"/>
      </w:r>
      <w:r>
        <w:rPr>
          <w:b w:val="0"/>
          <w:bCs/>
        </w:rPr>
        <w:t>28</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"_Toc85657305" </w:instrText>
      </w:r>
      <w:r>
        <w:rPr>
          <w:b w:val="0"/>
          <w:bCs/>
        </w:rPr>
        <w:fldChar w:fldCharType="separate"/>
      </w:r>
      <w:r>
        <w:rPr>
          <w:rStyle w:val="48"/>
          <w:rFonts w:ascii="Times New Roman" w:hAnsi="Times New Roman"/>
          <w:b w:val="0"/>
          <w:bCs/>
        </w:rPr>
        <w:t>3.2</w:t>
      </w:r>
      <w:r>
        <w:rPr>
          <w:rStyle w:val="48"/>
          <w:rFonts w:ascii="宋体" w:hAnsi="宋体"/>
          <w:b w:val="0"/>
          <w:bCs/>
        </w:rPr>
        <w:t xml:space="preserve"> 资格性响应文件</w:t>
      </w:r>
      <w:r>
        <w:rPr>
          <w:b w:val="0"/>
          <w:bCs/>
        </w:rPr>
        <w:tab/>
      </w:r>
      <w:r>
        <w:rPr>
          <w:b w:val="0"/>
          <w:bCs/>
        </w:rPr>
        <w:fldChar w:fldCharType="begin"/>
      </w:r>
      <w:r>
        <w:rPr>
          <w:b w:val="0"/>
          <w:bCs/>
        </w:rPr>
        <w:instrText xml:space="preserve"> PAGEREF _Toc85657305 \h </w:instrText>
      </w:r>
      <w:r>
        <w:rPr>
          <w:b w:val="0"/>
          <w:bCs/>
        </w:rPr>
        <w:fldChar w:fldCharType="separate"/>
      </w:r>
      <w:r>
        <w:rPr>
          <w:b w:val="0"/>
          <w:bCs/>
        </w:rPr>
        <w:t>29</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"_Toc85657306" </w:instrText>
      </w:r>
      <w:r>
        <w:rPr>
          <w:b w:val="0"/>
          <w:bCs/>
        </w:rPr>
        <w:fldChar w:fldCharType="separate"/>
      </w:r>
      <w:r>
        <w:rPr>
          <w:rStyle w:val="48"/>
          <w:rFonts w:ascii="Times New Roman" w:hAnsi="Times New Roman"/>
          <w:b w:val="0"/>
          <w:bCs/>
        </w:rPr>
        <w:t>3.3</w:t>
      </w:r>
      <w:r>
        <w:rPr>
          <w:rStyle w:val="48"/>
          <w:rFonts w:ascii="宋体" w:hAnsi="宋体"/>
          <w:b w:val="0"/>
          <w:bCs/>
        </w:rPr>
        <w:t xml:space="preserve"> 商务技术响应文件</w:t>
      </w:r>
      <w:r>
        <w:rPr>
          <w:b w:val="0"/>
          <w:bCs/>
        </w:rPr>
        <w:tab/>
      </w:r>
      <w:r>
        <w:rPr>
          <w:b w:val="0"/>
          <w:bCs/>
        </w:rPr>
        <w:fldChar w:fldCharType="begin"/>
      </w:r>
      <w:r>
        <w:rPr>
          <w:b w:val="0"/>
          <w:bCs/>
        </w:rPr>
        <w:instrText xml:space="preserve"> PAGEREF _Toc85657306 \h </w:instrText>
      </w:r>
      <w:r>
        <w:rPr>
          <w:b w:val="0"/>
          <w:bCs/>
        </w:rPr>
        <w:fldChar w:fldCharType="separate"/>
      </w:r>
      <w:r>
        <w:rPr>
          <w:b w:val="0"/>
          <w:bCs/>
        </w:rPr>
        <w:t>33</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"_Toc85657307" </w:instrText>
      </w:r>
      <w:r>
        <w:rPr>
          <w:b w:val="0"/>
          <w:bCs/>
        </w:rPr>
        <w:fldChar w:fldCharType="separate"/>
      </w:r>
      <w:r>
        <w:rPr>
          <w:rStyle w:val="48"/>
          <w:rFonts w:ascii="Times New Roman" w:hAnsi="Times New Roman"/>
          <w:b w:val="0"/>
          <w:bCs/>
        </w:rPr>
        <w:t>3.4</w:t>
      </w:r>
      <w:r>
        <w:rPr>
          <w:rStyle w:val="48"/>
          <w:rFonts w:ascii="宋体" w:hAnsi="宋体"/>
          <w:b w:val="0"/>
          <w:bCs/>
        </w:rPr>
        <w:t xml:space="preserve"> 报价要求响应文件</w:t>
      </w:r>
      <w:r>
        <w:rPr>
          <w:b w:val="0"/>
          <w:bCs/>
        </w:rPr>
        <w:tab/>
      </w:r>
      <w:r>
        <w:rPr>
          <w:b w:val="0"/>
          <w:bCs/>
        </w:rPr>
        <w:fldChar w:fldCharType="begin"/>
      </w:r>
      <w:r>
        <w:rPr>
          <w:b w:val="0"/>
          <w:bCs/>
        </w:rPr>
        <w:instrText xml:space="preserve"> PAGEREF _Toc85657307 \h </w:instrText>
      </w:r>
      <w:r>
        <w:rPr>
          <w:b w:val="0"/>
          <w:bCs/>
        </w:rPr>
        <w:fldChar w:fldCharType="separate"/>
      </w:r>
      <w:r>
        <w:rPr>
          <w:b w:val="0"/>
          <w:bCs/>
        </w:rPr>
        <w:t>44</w:t>
      </w:r>
      <w:r>
        <w:rPr>
          <w:b w:val="0"/>
          <w:bCs/>
        </w:rPr>
        <w:fldChar w:fldCharType="end"/>
      </w:r>
      <w:r>
        <w:rPr>
          <w:b w:val="0"/>
          <w:bCs/>
        </w:rPr>
        <w:fldChar w:fldCharType="end"/>
      </w:r>
    </w:p>
    <w:p>
      <w:pPr>
        <w:pStyle w:val="29"/>
        <w:rPr>
          <w:rFonts w:asciiTheme="minorHAnsi" w:hAnsiTheme="minorHAnsi" w:eastAsiaTheme="minorEastAsia" w:cstheme="minorBidi"/>
          <w:b w:val="0"/>
          <w:bCs/>
          <w:caps w:val="0"/>
          <w:sz w:val="24"/>
          <w:szCs w:val="24"/>
        </w:rPr>
      </w:pPr>
      <w:r>
        <w:rPr>
          <w:b w:val="0"/>
          <w:bCs/>
        </w:rPr>
        <w:fldChar w:fldCharType="begin"/>
      </w:r>
      <w:r>
        <w:rPr>
          <w:b w:val="0"/>
          <w:bCs/>
        </w:rPr>
        <w:instrText xml:space="preserve"> HYPERLINK \l "_Toc85657308" </w:instrText>
      </w:r>
      <w:r>
        <w:rPr>
          <w:b w:val="0"/>
          <w:bCs/>
        </w:rPr>
        <w:fldChar w:fldCharType="separate"/>
      </w:r>
      <w:r>
        <w:rPr>
          <w:rStyle w:val="48"/>
          <w:rFonts w:ascii="Times New Roman" w:hAnsi="Times New Roman"/>
          <w:b w:val="0"/>
          <w:bCs/>
          <w:spacing w:val="-20"/>
          <w:kern w:val="44"/>
        </w:rPr>
        <w:t>第4章</w:t>
      </w:r>
      <w:r>
        <w:rPr>
          <w:rFonts w:asciiTheme="minorHAnsi" w:hAnsiTheme="minorHAnsi" w:eastAsiaTheme="minorEastAsia" w:cstheme="minorBidi"/>
          <w:b w:val="0"/>
          <w:bCs/>
          <w:caps w:val="0"/>
          <w:sz w:val="24"/>
          <w:szCs w:val="24"/>
        </w:rPr>
        <w:tab/>
      </w:r>
      <w:r>
        <w:rPr>
          <w:rStyle w:val="48"/>
          <w:rFonts w:ascii="宋体" w:hAnsi="宋体"/>
          <w:b w:val="0"/>
          <w:bCs/>
          <w:spacing w:val="-20"/>
          <w:kern w:val="44"/>
        </w:rPr>
        <w:t>招标项目技术、服务、商务及其他要求</w:t>
      </w:r>
      <w:r>
        <w:rPr>
          <w:b w:val="0"/>
          <w:bCs/>
        </w:rPr>
        <w:tab/>
      </w:r>
      <w:r>
        <w:rPr>
          <w:b w:val="0"/>
          <w:bCs/>
        </w:rPr>
        <w:fldChar w:fldCharType="begin"/>
      </w:r>
      <w:r>
        <w:rPr>
          <w:b w:val="0"/>
          <w:bCs/>
        </w:rPr>
        <w:instrText xml:space="preserve"> PAGEREF _Toc85657308 \h </w:instrText>
      </w:r>
      <w:r>
        <w:rPr>
          <w:b w:val="0"/>
          <w:bCs/>
        </w:rPr>
        <w:fldChar w:fldCharType="separate"/>
      </w:r>
      <w:r>
        <w:rPr>
          <w:b w:val="0"/>
          <w:bCs/>
        </w:rPr>
        <w:t>51</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"_Toc85657309" </w:instrText>
      </w:r>
      <w:r>
        <w:rPr>
          <w:b w:val="0"/>
          <w:bCs/>
        </w:rPr>
        <w:fldChar w:fldCharType="separate"/>
      </w:r>
      <w:r>
        <w:rPr>
          <w:rStyle w:val="48"/>
          <w:rFonts w:ascii="Times New Roman" w:hAnsi="Times New Roman"/>
          <w:b w:val="0"/>
          <w:bCs/>
        </w:rPr>
        <w:t>4.1</w:t>
      </w:r>
      <w:r>
        <w:rPr>
          <w:rStyle w:val="48"/>
          <w:b w:val="0"/>
          <w:bCs/>
        </w:rPr>
        <w:t xml:space="preserve"> 项目概况</w:t>
      </w:r>
      <w:r>
        <w:rPr>
          <w:b w:val="0"/>
          <w:bCs/>
        </w:rPr>
        <w:tab/>
      </w:r>
      <w:r>
        <w:rPr>
          <w:b w:val="0"/>
          <w:bCs/>
        </w:rPr>
        <w:fldChar w:fldCharType="begin"/>
      </w:r>
      <w:r>
        <w:rPr>
          <w:b w:val="0"/>
          <w:bCs/>
        </w:rPr>
        <w:instrText xml:space="preserve"> PAGEREF _Toc85657309 \h </w:instrText>
      </w:r>
      <w:r>
        <w:rPr>
          <w:b w:val="0"/>
          <w:bCs/>
        </w:rPr>
        <w:fldChar w:fldCharType="separate"/>
      </w:r>
      <w:r>
        <w:rPr>
          <w:b w:val="0"/>
          <w:bCs/>
        </w:rPr>
        <w:t>51</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"_Toc85657310" </w:instrText>
      </w:r>
      <w:r>
        <w:rPr>
          <w:b w:val="0"/>
          <w:bCs/>
        </w:rPr>
        <w:fldChar w:fldCharType="separate"/>
      </w:r>
      <w:r>
        <w:rPr>
          <w:rStyle w:val="48"/>
          <w:rFonts w:ascii="Times New Roman" w:hAnsi="Times New Roman"/>
          <w:b w:val="0"/>
          <w:bCs/>
        </w:rPr>
        <w:t>4.2</w:t>
      </w:r>
      <w:r>
        <w:rPr>
          <w:rStyle w:val="48"/>
          <w:b w:val="0"/>
          <w:bCs/>
        </w:rPr>
        <w:t xml:space="preserve"> 采购内容</w:t>
      </w:r>
      <w:r>
        <w:rPr>
          <w:b w:val="0"/>
          <w:bCs/>
        </w:rPr>
        <w:tab/>
      </w:r>
      <w:r>
        <w:rPr>
          <w:b w:val="0"/>
          <w:bCs/>
        </w:rPr>
        <w:fldChar w:fldCharType="begin"/>
      </w:r>
      <w:r>
        <w:rPr>
          <w:b w:val="0"/>
          <w:bCs/>
        </w:rPr>
        <w:instrText xml:space="preserve"> PAGEREF _Toc85657310 \h </w:instrText>
      </w:r>
      <w:r>
        <w:rPr>
          <w:b w:val="0"/>
          <w:bCs/>
        </w:rPr>
        <w:fldChar w:fldCharType="separate"/>
      </w:r>
      <w:r>
        <w:rPr>
          <w:b w:val="0"/>
          <w:bCs/>
        </w:rPr>
        <w:t>51</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"_Toc85657311" </w:instrText>
      </w:r>
      <w:r>
        <w:rPr>
          <w:b w:val="0"/>
          <w:bCs/>
        </w:rPr>
        <w:fldChar w:fldCharType="separate"/>
      </w:r>
      <w:r>
        <w:rPr>
          <w:rStyle w:val="48"/>
          <w:rFonts w:ascii="Times New Roman" w:hAnsi="Times New Roman"/>
          <w:b w:val="0"/>
          <w:bCs/>
          <w:kern w:val="0"/>
        </w:rPr>
        <w:t>4.3</w:t>
      </w:r>
      <w:r>
        <w:rPr>
          <w:rStyle w:val="48"/>
          <w:b w:val="0"/>
          <w:bCs/>
          <w:kern w:val="0"/>
        </w:rPr>
        <w:t xml:space="preserve"> 服务要求</w:t>
      </w:r>
      <w:r>
        <w:rPr>
          <w:b w:val="0"/>
          <w:bCs/>
        </w:rPr>
        <w:tab/>
      </w:r>
      <w:r>
        <w:rPr>
          <w:b w:val="0"/>
          <w:bCs/>
        </w:rPr>
        <w:fldChar w:fldCharType="begin"/>
      </w:r>
      <w:r>
        <w:rPr>
          <w:b w:val="0"/>
          <w:bCs/>
        </w:rPr>
        <w:instrText xml:space="preserve"> PAGEREF _Toc85657311 \h </w:instrText>
      </w:r>
      <w:r>
        <w:rPr>
          <w:b w:val="0"/>
          <w:bCs/>
        </w:rPr>
        <w:fldChar w:fldCharType="separate"/>
      </w:r>
      <w:r>
        <w:rPr>
          <w:b w:val="0"/>
          <w:bCs/>
        </w:rPr>
        <w:t>59</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"_Toc85657312" </w:instrText>
      </w:r>
      <w:r>
        <w:rPr>
          <w:b w:val="0"/>
          <w:bCs/>
        </w:rPr>
        <w:fldChar w:fldCharType="separate"/>
      </w:r>
      <w:r>
        <w:rPr>
          <w:rStyle w:val="48"/>
          <w:rFonts w:ascii="Times New Roman" w:hAnsi="Times New Roman"/>
          <w:b w:val="0"/>
          <w:bCs/>
          <w:lang w:val="zh-TW" w:eastAsia="zh-TW" w:bidi="zh-TW"/>
        </w:rPr>
        <w:t>4.4</w:t>
      </w:r>
      <w:r>
        <w:rPr>
          <w:rStyle w:val="48"/>
          <w:b w:val="0"/>
          <w:bCs/>
          <w:lang w:val="zh-TW" w:eastAsia="zh-TW" w:bidi="zh-TW"/>
        </w:rPr>
        <w:t xml:space="preserve"> 商务要求</w:t>
      </w:r>
      <w:r>
        <w:rPr>
          <w:b w:val="0"/>
          <w:bCs/>
        </w:rPr>
        <w:tab/>
      </w:r>
      <w:r>
        <w:rPr>
          <w:b w:val="0"/>
          <w:bCs/>
        </w:rPr>
        <w:fldChar w:fldCharType="begin"/>
      </w:r>
      <w:r>
        <w:rPr>
          <w:b w:val="0"/>
          <w:bCs/>
        </w:rPr>
        <w:instrText xml:space="preserve"> PAGEREF _Toc85657312 \h </w:instrText>
      </w:r>
      <w:r>
        <w:rPr>
          <w:b w:val="0"/>
          <w:bCs/>
        </w:rPr>
        <w:fldChar w:fldCharType="separate"/>
      </w:r>
      <w:r>
        <w:rPr>
          <w:b w:val="0"/>
          <w:bCs/>
        </w:rPr>
        <w:t>60</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"_Toc85657313" </w:instrText>
      </w:r>
      <w:r>
        <w:rPr>
          <w:b w:val="0"/>
          <w:bCs/>
        </w:rPr>
        <w:fldChar w:fldCharType="separate"/>
      </w:r>
      <w:r>
        <w:rPr>
          <w:rStyle w:val="48"/>
          <w:rFonts w:ascii="Times New Roman" w:hAnsi="Times New Roman"/>
          <w:b w:val="0"/>
          <w:bCs/>
        </w:rPr>
        <w:t>4.5</w:t>
      </w:r>
      <w:r>
        <w:rPr>
          <w:rStyle w:val="48"/>
          <w:b w:val="0"/>
          <w:bCs/>
        </w:rPr>
        <w:t xml:space="preserve"> 其他要求</w:t>
      </w:r>
      <w:r>
        <w:rPr>
          <w:b w:val="0"/>
          <w:bCs/>
        </w:rPr>
        <w:tab/>
      </w:r>
      <w:r>
        <w:rPr>
          <w:b w:val="0"/>
          <w:bCs/>
        </w:rPr>
        <w:fldChar w:fldCharType="begin"/>
      </w:r>
      <w:r>
        <w:rPr>
          <w:b w:val="0"/>
          <w:bCs/>
        </w:rPr>
        <w:instrText xml:space="preserve"> PAGEREF _Toc85657313 \h </w:instrText>
      </w:r>
      <w:r>
        <w:rPr>
          <w:b w:val="0"/>
          <w:bCs/>
        </w:rPr>
        <w:fldChar w:fldCharType="separate"/>
      </w:r>
      <w:r>
        <w:rPr>
          <w:b w:val="0"/>
          <w:bCs/>
        </w:rPr>
        <w:t>64</w:t>
      </w:r>
      <w:r>
        <w:rPr>
          <w:b w:val="0"/>
          <w:bCs/>
        </w:rPr>
        <w:fldChar w:fldCharType="end"/>
      </w:r>
      <w:r>
        <w:rPr>
          <w:b w:val="0"/>
          <w:bCs/>
        </w:rPr>
        <w:fldChar w:fldCharType="end"/>
      </w:r>
    </w:p>
    <w:p>
      <w:pPr>
        <w:pStyle w:val="29"/>
        <w:rPr>
          <w:rFonts w:asciiTheme="minorHAnsi" w:hAnsiTheme="minorHAnsi" w:eastAsiaTheme="minorEastAsia" w:cstheme="minorBidi"/>
          <w:b w:val="0"/>
          <w:bCs/>
          <w:caps w:val="0"/>
          <w:sz w:val="24"/>
          <w:szCs w:val="24"/>
        </w:rPr>
      </w:pPr>
      <w:r>
        <w:rPr>
          <w:b w:val="0"/>
          <w:bCs/>
        </w:rPr>
        <w:fldChar w:fldCharType="begin"/>
      </w:r>
      <w:r>
        <w:rPr>
          <w:b w:val="0"/>
          <w:bCs/>
        </w:rPr>
        <w:instrText xml:space="preserve"> HYPERLINK \l "_Toc85657314" </w:instrText>
      </w:r>
      <w:r>
        <w:rPr>
          <w:b w:val="0"/>
          <w:bCs/>
        </w:rPr>
        <w:fldChar w:fldCharType="separate"/>
      </w:r>
      <w:r>
        <w:rPr>
          <w:rStyle w:val="48"/>
          <w:rFonts w:ascii="Times New Roman" w:hAnsi="Times New Roman"/>
          <w:b w:val="0"/>
          <w:bCs/>
          <w:spacing w:val="-20"/>
          <w:kern w:val="44"/>
        </w:rPr>
        <w:t>第5章</w:t>
      </w:r>
      <w:r>
        <w:rPr>
          <w:rFonts w:asciiTheme="minorHAnsi" w:hAnsiTheme="minorHAnsi" w:eastAsiaTheme="minorEastAsia" w:cstheme="minorBidi"/>
          <w:b w:val="0"/>
          <w:bCs/>
          <w:caps w:val="0"/>
          <w:sz w:val="24"/>
          <w:szCs w:val="24"/>
        </w:rPr>
        <w:tab/>
      </w:r>
      <w:r>
        <w:rPr>
          <w:rStyle w:val="48"/>
          <w:rFonts w:ascii="宋体" w:hAnsi="宋体"/>
          <w:b w:val="0"/>
          <w:bCs/>
          <w:spacing w:val="-20"/>
          <w:kern w:val="44"/>
        </w:rPr>
        <w:t>资格性审查</w:t>
      </w:r>
      <w:r>
        <w:rPr>
          <w:b w:val="0"/>
          <w:bCs/>
        </w:rPr>
        <w:tab/>
      </w:r>
      <w:r>
        <w:rPr>
          <w:b w:val="0"/>
          <w:bCs/>
        </w:rPr>
        <w:fldChar w:fldCharType="begin"/>
      </w:r>
      <w:r>
        <w:rPr>
          <w:b w:val="0"/>
          <w:bCs/>
        </w:rPr>
        <w:instrText xml:space="preserve"> PAGEREF _Toc85657314 \h </w:instrText>
      </w:r>
      <w:r>
        <w:rPr>
          <w:b w:val="0"/>
          <w:bCs/>
        </w:rPr>
        <w:fldChar w:fldCharType="separate"/>
      </w:r>
      <w:r>
        <w:rPr>
          <w:b w:val="0"/>
          <w:bCs/>
        </w:rPr>
        <w:t>66</w:t>
      </w:r>
      <w:r>
        <w:rPr>
          <w:b w:val="0"/>
          <w:bCs/>
        </w:rPr>
        <w:fldChar w:fldCharType="end"/>
      </w:r>
      <w:r>
        <w:rPr>
          <w:b w:val="0"/>
          <w:bCs/>
        </w:rPr>
        <w:fldChar w:fldCharType="end"/>
      </w:r>
    </w:p>
    <w:p>
      <w:pPr>
        <w:pStyle w:val="29"/>
        <w:rPr>
          <w:rFonts w:asciiTheme="minorHAnsi" w:hAnsiTheme="minorHAnsi" w:eastAsiaTheme="minorEastAsia" w:cstheme="minorBidi"/>
          <w:b w:val="0"/>
          <w:bCs/>
          <w:caps w:val="0"/>
          <w:sz w:val="24"/>
          <w:szCs w:val="24"/>
        </w:rPr>
      </w:pPr>
      <w:r>
        <w:rPr>
          <w:b w:val="0"/>
          <w:bCs/>
        </w:rPr>
        <w:fldChar w:fldCharType="begin"/>
      </w:r>
      <w:r>
        <w:rPr>
          <w:b w:val="0"/>
          <w:bCs/>
        </w:rPr>
        <w:instrText xml:space="preserve"> HYPERLINK \l "_Toc85657315" </w:instrText>
      </w:r>
      <w:r>
        <w:rPr>
          <w:b w:val="0"/>
          <w:bCs/>
        </w:rPr>
        <w:fldChar w:fldCharType="separate"/>
      </w:r>
      <w:r>
        <w:rPr>
          <w:rStyle w:val="48"/>
          <w:rFonts w:ascii="Times New Roman" w:hAnsi="Times New Roman"/>
          <w:b w:val="0"/>
          <w:bCs/>
          <w:spacing w:val="-20"/>
          <w:kern w:val="44"/>
        </w:rPr>
        <w:t>第6章</w:t>
      </w:r>
      <w:r>
        <w:rPr>
          <w:rFonts w:asciiTheme="minorHAnsi" w:hAnsiTheme="minorHAnsi" w:eastAsiaTheme="minorEastAsia" w:cstheme="minorBidi"/>
          <w:b w:val="0"/>
          <w:bCs/>
          <w:caps w:val="0"/>
          <w:sz w:val="24"/>
          <w:szCs w:val="24"/>
        </w:rPr>
        <w:tab/>
      </w:r>
      <w:r>
        <w:rPr>
          <w:rStyle w:val="48"/>
          <w:rFonts w:ascii="宋体" w:hAnsi="宋体"/>
          <w:b w:val="0"/>
          <w:bCs/>
          <w:spacing w:val="-20"/>
          <w:kern w:val="44"/>
        </w:rPr>
        <w:t>评标办法</w:t>
      </w:r>
      <w:r>
        <w:rPr>
          <w:b w:val="0"/>
          <w:bCs/>
        </w:rPr>
        <w:tab/>
      </w:r>
      <w:r>
        <w:rPr>
          <w:b w:val="0"/>
          <w:bCs/>
        </w:rPr>
        <w:fldChar w:fldCharType="begin"/>
      </w:r>
      <w:r>
        <w:rPr>
          <w:b w:val="0"/>
          <w:bCs/>
        </w:rPr>
        <w:instrText xml:space="preserve"> PAGEREF _Toc85657315 \h </w:instrText>
      </w:r>
      <w:r>
        <w:rPr>
          <w:b w:val="0"/>
          <w:bCs/>
        </w:rPr>
        <w:fldChar w:fldCharType="separate"/>
      </w:r>
      <w:r>
        <w:rPr>
          <w:b w:val="0"/>
          <w:bCs/>
        </w:rPr>
        <w:t>70</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"_Toc85657316" </w:instrText>
      </w:r>
      <w:r>
        <w:rPr>
          <w:b w:val="0"/>
          <w:bCs/>
        </w:rPr>
        <w:fldChar w:fldCharType="separate"/>
      </w:r>
      <w:r>
        <w:rPr>
          <w:rStyle w:val="48"/>
          <w:rFonts w:ascii="Times New Roman" w:hAnsi="Times New Roman"/>
          <w:b w:val="0"/>
          <w:bCs/>
        </w:rPr>
        <w:t>6.1</w:t>
      </w:r>
      <w:r>
        <w:rPr>
          <w:rStyle w:val="48"/>
          <w:rFonts w:ascii="宋体" w:hAnsi="宋体"/>
          <w:b w:val="0"/>
          <w:bCs/>
        </w:rPr>
        <w:t xml:space="preserve"> 总则</w:t>
      </w:r>
      <w:r>
        <w:rPr>
          <w:b w:val="0"/>
          <w:bCs/>
        </w:rPr>
        <w:tab/>
      </w:r>
      <w:r>
        <w:rPr>
          <w:b w:val="0"/>
          <w:bCs/>
        </w:rPr>
        <w:fldChar w:fldCharType="begin"/>
      </w:r>
      <w:r>
        <w:rPr>
          <w:b w:val="0"/>
          <w:bCs/>
        </w:rPr>
        <w:instrText xml:space="preserve"> PAGEREF _Toc85657316 \h </w:instrText>
      </w:r>
      <w:r>
        <w:rPr>
          <w:b w:val="0"/>
          <w:bCs/>
        </w:rPr>
        <w:fldChar w:fldCharType="separate"/>
      </w:r>
      <w:r>
        <w:rPr>
          <w:b w:val="0"/>
          <w:bCs/>
        </w:rPr>
        <w:t>70</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"_Toc85657317" </w:instrText>
      </w:r>
      <w:r>
        <w:rPr>
          <w:b w:val="0"/>
          <w:bCs/>
        </w:rPr>
        <w:fldChar w:fldCharType="separate"/>
      </w:r>
      <w:r>
        <w:rPr>
          <w:rStyle w:val="48"/>
          <w:rFonts w:ascii="Times New Roman" w:hAnsi="Times New Roman"/>
          <w:b w:val="0"/>
          <w:bCs/>
        </w:rPr>
        <w:t>6.2</w:t>
      </w:r>
      <w:r>
        <w:rPr>
          <w:rStyle w:val="48"/>
          <w:rFonts w:ascii="宋体" w:hAnsi="宋体"/>
          <w:b w:val="0"/>
          <w:bCs/>
        </w:rPr>
        <w:t xml:space="preserve"> 评标方法</w:t>
      </w:r>
      <w:r>
        <w:rPr>
          <w:b w:val="0"/>
          <w:bCs/>
        </w:rPr>
        <w:tab/>
      </w:r>
      <w:r>
        <w:rPr>
          <w:b w:val="0"/>
          <w:bCs/>
        </w:rPr>
        <w:fldChar w:fldCharType="begin"/>
      </w:r>
      <w:r>
        <w:rPr>
          <w:b w:val="0"/>
          <w:bCs/>
        </w:rPr>
        <w:instrText xml:space="preserve"> PAGEREF _Toc85657317 \h </w:instrText>
      </w:r>
      <w:r>
        <w:rPr>
          <w:b w:val="0"/>
          <w:bCs/>
        </w:rPr>
        <w:fldChar w:fldCharType="separate"/>
      </w:r>
      <w:r>
        <w:rPr>
          <w:b w:val="0"/>
          <w:bCs/>
        </w:rPr>
        <w:t>71</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"_Toc85657318" </w:instrText>
      </w:r>
      <w:r>
        <w:rPr>
          <w:b w:val="0"/>
          <w:bCs/>
        </w:rPr>
        <w:fldChar w:fldCharType="separate"/>
      </w:r>
      <w:r>
        <w:rPr>
          <w:rStyle w:val="48"/>
          <w:rFonts w:ascii="Times New Roman" w:hAnsi="Times New Roman"/>
          <w:b w:val="0"/>
          <w:bCs/>
        </w:rPr>
        <w:t>6.3</w:t>
      </w:r>
      <w:r>
        <w:rPr>
          <w:rStyle w:val="48"/>
          <w:rFonts w:ascii="宋体" w:hAnsi="宋体"/>
          <w:b w:val="0"/>
          <w:bCs/>
        </w:rPr>
        <w:t xml:space="preserve"> 评标程序</w:t>
      </w:r>
      <w:r>
        <w:rPr>
          <w:b w:val="0"/>
          <w:bCs/>
        </w:rPr>
        <w:tab/>
      </w:r>
      <w:r>
        <w:rPr>
          <w:b w:val="0"/>
          <w:bCs/>
        </w:rPr>
        <w:fldChar w:fldCharType="begin"/>
      </w:r>
      <w:r>
        <w:rPr>
          <w:b w:val="0"/>
          <w:bCs/>
        </w:rPr>
        <w:instrText xml:space="preserve"> PAGEREF _Toc85657318 \h </w:instrText>
      </w:r>
      <w:r>
        <w:rPr>
          <w:b w:val="0"/>
          <w:bCs/>
        </w:rPr>
        <w:fldChar w:fldCharType="separate"/>
      </w:r>
      <w:r>
        <w:rPr>
          <w:b w:val="0"/>
          <w:bCs/>
        </w:rPr>
        <w:t>71</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"_Toc85657319" </w:instrText>
      </w:r>
      <w:r>
        <w:rPr>
          <w:b w:val="0"/>
          <w:bCs/>
        </w:rPr>
        <w:fldChar w:fldCharType="separate"/>
      </w:r>
      <w:r>
        <w:rPr>
          <w:rStyle w:val="48"/>
          <w:rFonts w:ascii="Times New Roman" w:hAnsi="Times New Roman"/>
          <w:b w:val="0"/>
          <w:bCs/>
        </w:rPr>
        <w:t>6.4</w:t>
      </w:r>
      <w:r>
        <w:rPr>
          <w:rStyle w:val="48"/>
          <w:rFonts w:ascii="宋体" w:hAnsi="宋体"/>
          <w:b w:val="0"/>
          <w:bCs/>
        </w:rPr>
        <w:t xml:space="preserve"> 评标争议处理规则</w:t>
      </w:r>
      <w:r>
        <w:rPr>
          <w:b w:val="0"/>
          <w:bCs/>
        </w:rPr>
        <w:tab/>
      </w:r>
      <w:r>
        <w:rPr>
          <w:b w:val="0"/>
          <w:bCs/>
        </w:rPr>
        <w:fldChar w:fldCharType="begin"/>
      </w:r>
      <w:r>
        <w:rPr>
          <w:b w:val="0"/>
          <w:bCs/>
        </w:rPr>
        <w:instrText xml:space="preserve"> PAGEREF _Toc85657319 \h </w:instrText>
      </w:r>
      <w:r>
        <w:rPr>
          <w:b w:val="0"/>
          <w:bCs/>
        </w:rPr>
        <w:fldChar w:fldCharType="separate"/>
      </w:r>
      <w:r>
        <w:rPr>
          <w:b w:val="0"/>
          <w:bCs/>
        </w:rPr>
        <w:t>77</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"_Toc85657320" </w:instrText>
      </w:r>
      <w:r>
        <w:rPr>
          <w:b w:val="0"/>
          <w:bCs/>
        </w:rPr>
        <w:fldChar w:fldCharType="separate"/>
      </w:r>
      <w:r>
        <w:rPr>
          <w:rStyle w:val="48"/>
          <w:rFonts w:ascii="Times New Roman" w:hAnsi="Times New Roman"/>
          <w:b w:val="0"/>
          <w:bCs/>
        </w:rPr>
        <w:t>6.5</w:t>
      </w:r>
      <w:r>
        <w:rPr>
          <w:rStyle w:val="48"/>
          <w:rFonts w:ascii="宋体" w:hAnsi="宋体"/>
          <w:b w:val="0"/>
          <w:bCs/>
        </w:rPr>
        <w:t xml:space="preserve"> 评标细则及标准</w:t>
      </w:r>
      <w:r>
        <w:rPr>
          <w:b w:val="0"/>
          <w:bCs/>
        </w:rPr>
        <w:tab/>
      </w:r>
      <w:r>
        <w:rPr>
          <w:b w:val="0"/>
          <w:bCs/>
        </w:rPr>
        <w:fldChar w:fldCharType="begin"/>
      </w:r>
      <w:r>
        <w:rPr>
          <w:b w:val="0"/>
          <w:bCs/>
        </w:rPr>
        <w:instrText xml:space="preserve"> PAGEREF _Toc85657320 \h </w:instrText>
      </w:r>
      <w:r>
        <w:rPr>
          <w:b w:val="0"/>
          <w:bCs/>
        </w:rPr>
        <w:fldChar w:fldCharType="separate"/>
      </w:r>
      <w:r>
        <w:rPr>
          <w:b w:val="0"/>
          <w:bCs/>
        </w:rPr>
        <w:t>77</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"_Toc85657321" </w:instrText>
      </w:r>
      <w:r>
        <w:rPr>
          <w:b w:val="0"/>
          <w:bCs/>
        </w:rPr>
        <w:fldChar w:fldCharType="separate"/>
      </w:r>
      <w:r>
        <w:rPr>
          <w:rStyle w:val="48"/>
          <w:rFonts w:ascii="Times New Roman" w:hAnsi="Times New Roman"/>
          <w:b w:val="0"/>
          <w:bCs/>
        </w:rPr>
        <w:t>6.6</w:t>
      </w:r>
      <w:r>
        <w:rPr>
          <w:rStyle w:val="48"/>
          <w:rFonts w:ascii="宋体" w:hAnsi="宋体"/>
          <w:b w:val="0"/>
          <w:bCs/>
        </w:rPr>
        <w:t xml:space="preserve"> 废标</w:t>
      </w:r>
      <w:r>
        <w:rPr>
          <w:b w:val="0"/>
          <w:bCs/>
        </w:rPr>
        <w:tab/>
      </w:r>
      <w:r>
        <w:rPr>
          <w:b w:val="0"/>
          <w:bCs/>
        </w:rPr>
        <w:fldChar w:fldCharType="begin"/>
      </w:r>
      <w:r>
        <w:rPr>
          <w:b w:val="0"/>
          <w:bCs/>
        </w:rPr>
        <w:instrText xml:space="preserve"> PAGEREF _Toc85657321 \h </w:instrText>
      </w:r>
      <w:r>
        <w:rPr>
          <w:b w:val="0"/>
          <w:bCs/>
        </w:rPr>
        <w:fldChar w:fldCharType="separate"/>
      </w:r>
      <w:r>
        <w:rPr>
          <w:b w:val="0"/>
          <w:bCs/>
        </w:rPr>
        <w:t>81</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"_Toc85657322" </w:instrText>
      </w:r>
      <w:r>
        <w:rPr>
          <w:b w:val="0"/>
          <w:bCs/>
        </w:rPr>
        <w:fldChar w:fldCharType="separate"/>
      </w:r>
      <w:r>
        <w:rPr>
          <w:rStyle w:val="48"/>
          <w:rFonts w:ascii="Times New Roman" w:hAnsi="Times New Roman"/>
          <w:b w:val="0"/>
          <w:bCs/>
        </w:rPr>
        <w:t>6.7</w:t>
      </w:r>
      <w:r>
        <w:rPr>
          <w:rStyle w:val="48"/>
          <w:rFonts w:ascii="宋体" w:hAnsi="宋体"/>
          <w:b w:val="0"/>
          <w:bCs/>
        </w:rPr>
        <w:t xml:space="preserve"> 定标</w:t>
      </w:r>
      <w:r>
        <w:rPr>
          <w:b w:val="0"/>
          <w:bCs/>
        </w:rPr>
        <w:tab/>
      </w:r>
      <w:r>
        <w:rPr>
          <w:b w:val="0"/>
          <w:bCs/>
        </w:rPr>
        <w:fldChar w:fldCharType="begin"/>
      </w:r>
      <w:r>
        <w:rPr>
          <w:b w:val="0"/>
          <w:bCs/>
        </w:rPr>
        <w:instrText xml:space="preserve"> PAGEREF _Toc85657322 \h </w:instrText>
      </w:r>
      <w:r>
        <w:rPr>
          <w:b w:val="0"/>
          <w:bCs/>
        </w:rPr>
        <w:fldChar w:fldCharType="separate"/>
      </w:r>
      <w:r>
        <w:rPr>
          <w:b w:val="0"/>
          <w:bCs/>
        </w:rPr>
        <w:t>81</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"_Toc85657323" </w:instrText>
      </w:r>
      <w:r>
        <w:rPr>
          <w:b w:val="0"/>
          <w:bCs/>
        </w:rPr>
        <w:fldChar w:fldCharType="separate"/>
      </w:r>
      <w:r>
        <w:rPr>
          <w:rStyle w:val="48"/>
          <w:rFonts w:ascii="Times New Roman" w:hAnsi="Times New Roman"/>
          <w:b w:val="0"/>
          <w:bCs/>
        </w:rPr>
        <w:t>6.8</w:t>
      </w:r>
      <w:r>
        <w:rPr>
          <w:rStyle w:val="48"/>
          <w:rFonts w:ascii="宋体" w:hAnsi="宋体"/>
          <w:b w:val="0"/>
          <w:bCs/>
        </w:rPr>
        <w:t xml:space="preserve"> 评标专家在政府采购活动中承担以下义务</w:t>
      </w:r>
      <w:r>
        <w:rPr>
          <w:b w:val="0"/>
          <w:bCs/>
        </w:rPr>
        <w:tab/>
      </w:r>
      <w:r>
        <w:rPr>
          <w:b w:val="0"/>
          <w:bCs/>
        </w:rPr>
        <w:fldChar w:fldCharType="begin"/>
      </w:r>
      <w:r>
        <w:rPr>
          <w:b w:val="0"/>
          <w:bCs/>
        </w:rPr>
        <w:instrText xml:space="preserve"> PAGEREF _Toc85657323 \h </w:instrText>
      </w:r>
      <w:r>
        <w:rPr>
          <w:b w:val="0"/>
          <w:bCs/>
        </w:rPr>
        <w:fldChar w:fldCharType="separate"/>
      </w:r>
      <w:r>
        <w:rPr>
          <w:b w:val="0"/>
          <w:bCs/>
        </w:rPr>
        <w:t>82</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"_Toc85657324" </w:instrText>
      </w:r>
      <w:r>
        <w:rPr>
          <w:b w:val="0"/>
          <w:bCs/>
        </w:rPr>
        <w:fldChar w:fldCharType="separate"/>
      </w:r>
      <w:r>
        <w:rPr>
          <w:rStyle w:val="48"/>
          <w:rFonts w:ascii="Times New Roman" w:hAnsi="Times New Roman"/>
          <w:b w:val="0"/>
          <w:bCs/>
        </w:rPr>
        <w:t>6.9</w:t>
      </w:r>
      <w:r>
        <w:rPr>
          <w:rStyle w:val="48"/>
          <w:rFonts w:ascii="宋体" w:hAnsi="宋体"/>
          <w:b w:val="0"/>
          <w:bCs/>
        </w:rPr>
        <w:t xml:space="preserve"> 评标委员会及其成员不得有下列行为</w:t>
      </w:r>
      <w:r>
        <w:rPr>
          <w:b w:val="0"/>
          <w:bCs/>
        </w:rPr>
        <w:tab/>
      </w:r>
      <w:r>
        <w:rPr>
          <w:b w:val="0"/>
          <w:bCs/>
        </w:rPr>
        <w:fldChar w:fldCharType="begin"/>
      </w:r>
      <w:r>
        <w:rPr>
          <w:b w:val="0"/>
          <w:bCs/>
        </w:rPr>
        <w:instrText xml:space="preserve"> PAGEREF _Toc85657324 \h </w:instrText>
      </w:r>
      <w:r>
        <w:rPr>
          <w:b w:val="0"/>
          <w:bCs/>
        </w:rPr>
        <w:fldChar w:fldCharType="separate"/>
      </w:r>
      <w:r>
        <w:rPr>
          <w:b w:val="0"/>
          <w:bCs/>
        </w:rPr>
        <w:t>83</w:t>
      </w:r>
      <w:r>
        <w:rPr>
          <w:b w:val="0"/>
          <w:bCs/>
        </w:rPr>
        <w:fldChar w:fldCharType="end"/>
      </w:r>
      <w:r>
        <w:rPr>
          <w:b w:val="0"/>
          <w:bCs/>
        </w:rPr>
        <w:fldChar w:fldCharType="end"/>
      </w:r>
    </w:p>
    <w:p>
      <w:pPr>
        <w:pStyle w:val="36"/>
        <w:rPr>
          <w:rFonts w:asciiTheme="minorHAnsi" w:hAnsiTheme="minorHAnsi" w:eastAsiaTheme="minorEastAsia" w:cstheme="minorBidi"/>
          <w:b w:val="0"/>
          <w:bCs/>
          <w:smallCaps w:val="0"/>
          <w:sz w:val="24"/>
          <w:szCs w:val="24"/>
        </w:rPr>
      </w:pPr>
      <w:r>
        <w:rPr>
          <w:b w:val="0"/>
          <w:bCs/>
        </w:rPr>
        <w:fldChar w:fldCharType="begin"/>
      </w:r>
      <w:r>
        <w:rPr>
          <w:b w:val="0"/>
          <w:bCs/>
        </w:rPr>
        <w:instrText xml:space="preserve"> HYPERLINK \l "_Toc85657325" </w:instrText>
      </w:r>
      <w:r>
        <w:rPr>
          <w:b w:val="0"/>
          <w:bCs/>
        </w:rPr>
        <w:fldChar w:fldCharType="separate"/>
      </w:r>
      <w:r>
        <w:rPr>
          <w:rStyle w:val="48"/>
          <w:rFonts w:ascii="Times New Roman" w:hAnsi="Times New Roman"/>
          <w:b w:val="0"/>
          <w:bCs/>
        </w:rPr>
        <w:t>6.10</w:t>
      </w:r>
      <w:r>
        <w:rPr>
          <w:rStyle w:val="48"/>
          <w:rFonts w:ascii="宋体" w:hAnsi="宋体"/>
          <w:b w:val="0"/>
          <w:bCs/>
        </w:rPr>
        <w:t xml:space="preserve"> 评标专家在政府采购活动中应当遵守以下工作纪律</w:t>
      </w:r>
      <w:r>
        <w:rPr>
          <w:b w:val="0"/>
          <w:bCs/>
        </w:rPr>
        <w:tab/>
      </w:r>
      <w:r>
        <w:rPr>
          <w:b w:val="0"/>
          <w:bCs/>
        </w:rPr>
        <w:fldChar w:fldCharType="begin"/>
      </w:r>
      <w:r>
        <w:rPr>
          <w:b w:val="0"/>
          <w:bCs/>
        </w:rPr>
        <w:instrText xml:space="preserve"> PAGEREF _Toc85657325 \h </w:instrText>
      </w:r>
      <w:r>
        <w:rPr>
          <w:b w:val="0"/>
          <w:bCs/>
        </w:rPr>
        <w:fldChar w:fldCharType="separate"/>
      </w:r>
      <w:r>
        <w:rPr>
          <w:b w:val="0"/>
          <w:bCs/>
        </w:rPr>
        <w:t>84</w:t>
      </w:r>
      <w:r>
        <w:rPr>
          <w:b w:val="0"/>
          <w:bCs/>
        </w:rPr>
        <w:fldChar w:fldCharType="end"/>
      </w:r>
      <w:r>
        <w:rPr>
          <w:b w:val="0"/>
          <w:bCs/>
        </w:rPr>
        <w:fldChar w:fldCharType="end"/>
      </w:r>
    </w:p>
    <w:p>
      <w:pPr>
        <w:pStyle w:val="29"/>
        <w:rPr>
          <w:rFonts w:asciiTheme="minorHAnsi" w:hAnsiTheme="minorHAnsi" w:eastAsiaTheme="minorEastAsia" w:cstheme="minorBidi"/>
          <w:bCs w:val="0"/>
          <w:caps w:val="0"/>
          <w:sz w:val="24"/>
          <w:szCs w:val="24"/>
        </w:rPr>
      </w:pPr>
      <w:r>
        <w:rPr>
          <w:b w:val="0"/>
          <w:bCs/>
        </w:rPr>
        <w:fldChar w:fldCharType="begin"/>
      </w:r>
      <w:r>
        <w:rPr>
          <w:b w:val="0"/>
          <w:bCs/>
        </w:rPr>
        <w:instrText xml:space="preserve"> HYPERLINK \l "_Toc85657326" </w:instrText>
      </w:r>
      <w:r>
        <w:rPr>
          <w:b w:val="0"/>
          <w:bCs/>
        </w:rPr>
        <w:fldChar w:fldCharType="separate"/>
      </w:r>
      <w:r>
        <w:rPr>
          <w:rStyle w:val="48"/>
          <w:rFonts w:ascii="Times New Roman" w:hAnsi="Times New Roman"/>
          <w:b w:val="0"/>
          <w:bCs/>
          <w:spacing w:val="-20"/>
          <w:kern w:val="44"/>
        </w:rPr>
        <w:t>第7章</w:t>
      </w:r>
      <w:r>
        <w:rPr>
          <w:rFonts w:asciiTheme="minorHAnsi" w:hAnsiTheme="minorHAnsi" w:eastAsiaTheme="minorEastAsia" w:cstheme="minorBidi"/>
          <w:b w:val="0"/>
          <w:bCs/>
          <w:caps w:val="0"/>
          <w:sz w:val="24"/>
          <w:szCs w:val="24"/>
        </w:rPr>
        <w:tab/>
      </w:r>
      <w:r>
        <w:rPr>
          <w:rStyle w:val="48"/>
          <w:rFonts w:ascii="宋体" w:hAnsi="宋体"/>
          <w:b w:val="0"/>
          <w:bCs/>
          <w:spacing w:val="-20"/>
          <w:kern w:val="44"/>
        </w:rPr>
        <w:t>政府采购合同</w:t>
      </w:r>
      <w:r>
        <w:rPr>
          <w:b w:val="0"/>
          <w:bCs/>
        </w:rPr>
        <w:tab/>
      </w:r>
      <w:r>
        <w:rPr>
          <w:b w:val="0"/>
          <w:bCs/>
        </w:rPr>
        <w:fldChar w:fldCharType="begin"/>
      </w:r>
      <w:r>
        <w:rPr>
          <w:b w:val="0"/>
          <w:bCs/>
        </w:rPr>
        <w:instrText xml:space="preserve"> PAGEREF _Toc85657326 \h </w:instrText>
      </w:r>
      <w:r>
        <w:rPr>
          <w:b w:val="0"/>
          <w:bCs/>
        </w:rPr>
        <w:fldChar w:fldCharType="separate"/>
      </w:r>
      <w:r>
        <w:rPr>
          <w:b w:val="0"/>
          <w:bCs/>
        </w:rPr>
        <w:t>86</w:t>
      </w:r>
      <w:r>
        <w:rPr>
          <w:b w:val="0"/>
          <w:bCs/>
        </w:rPr>
        <w:fldChar w:fldCharType="end"/>
      </w:r>
      <w:r>
        <w:rPr>
          <w:b w:val="0"/>
          <w:bCs/>
        </w:rPr>
        <w:fldChar w:fldCharType="end"/>
      </w:r>
    </w:p>
    <w:p>
      <w:pPr>
        <w:tabs>
          <w:tab w:val="left" w:pos="620"/>
          <w:tab w:val="right" w:leader="dot" w:pos="8364"/>
        </w:tabs>
        <w:spacing w:line="360" w:lineRule="exact"/>
      </w:pPr>
      <w:r>
        <w:rPr>
          <w:rFonts w:hint="eastAsia"/>
        </w:rPr>
        <w:fldChar w:fldCharType="end"/>
      </w:r>
    </w:p>
    <w:p>
      <w:pPr>
        <w:pStyle w:val="2"/>
      </w:pPr>
      <w: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181610856"/>
      <w:bookmarkStart w:id="5" w:name="_Toc181591102"/>
      <w:bookmarkStart w:id="6" w:name="_Toc204575871"/>
      <w:bookmarkStart w:id="7" w:name="_Toc85657292"/>
      <w:r>
        <w:rPr>
          <w:rFonts w:hint="eastAsia" w:ascii="宋体" w:hAnsi="宋体"/>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sz w:val="28"/>
          <w:szCs w:val="28"/>
        </w:rPr>
      </w:pPr>
      <w:r>
        <w:rPr>
          <w:rFonts w:hint="eastAsia" w:ascii="宋体" w:hAnsi="宋体"/>
          <w:sz w:val="28"/>
          <w:szCs w:val="28"/>
        </w:rPr>
        <w:t>成都市双流区公共资源交易服务中心（以下简称“区公资交易中心”）受</w:t>
      </w:r>
      <w:r>
        <w:rPr>
          <w:rFonts w:hint="eastAsia" w:ascii="宋体" w:hAnsi="宋体"/>
          <w:b/>
          <w:sz w:val="28"/>
          <w:szCs w:val="28"/>
          <w:u w:val="single"/>
        </w:rPr>
        <w:t>成都市双流区教育技术装备管理中心</w:t>
      </w:r>
      <w:r>
        <w:rPr>
          <w:rFonts w:hint="eastAsia" w:ascii="宋体" w:hAnsi="宋体"/>
          <w:sz w:val="28"/>
          <w:szCs w:val="28"/>
        </w:rPr>
        <w:t>委托，拟对</w:t>
      </w:r>
      <w:r>
        <w:rPr>
          <w:rFonts w:hint="eastAsia" w:ascii="宋体" w:hAnsi="宋体"/>
          <w:b/>
          <w:sz w:val="28"/>
          <w:szCs w:val="28"/>
          <w:u w:val="single"/>
        </w:rPr>
        <w:t>成都市双流区教育技术装备管理中心2021年艺体中学等2校学术厅显示系统采购项目</w:t>
      </w:r>
      <w:r>
        <w:rPr>
          <w:rFonts w:hint="eastAsia" w:ascii="宋体" w:hAnsi="宋体"/>
          <w:sz w:val="28"/>
          <w:szCs w:val="28"/>
        </w:rPr>
        <w:t>进行国内公开招标，兹邀请符合本次招标要求的供应商参加投标。</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项目编号：双流政采（2021）A0066号</w:t>
      </w:r>
    </w:p>
    <w:p>
      <w:pPr>
        <w:spacing w:line="360" w:lineRule="auto"/>
        <w:ind w:left="567" w:firstLine="281" w:firstLineChars="100"/>
        <w:rPr>
          <w:rFonts w:ascii="宋体" w:hAnsi="宋体"/>
          <w:b/>
          <w:sz w:val="28"/>
          <w:szCs w:val="28"/>
        </w:rPr>
      </w:pPr>
      <w:r>
        <w:rPr>
          <w:rFonts w:hint="eastAsia" w:ascii="宋体" w:hAnsi="宋体"/>
          <w:b/>
          <w:sz w:val="28"/>
          <w:szCs w:val="28"/>
        </w:rPr>
        <w:t>（采购项目编号：）510122202100335</w:t>
      </w:r>
    </w:p>
    <w:p>
      <w:pPr>
        <w:numPr>
          <w:ilvl w:val="0"/>
          <w:numId w:val="6"/>
        </w:numPr>
        <w:spacing w:line="360" w:lineRule="auto"/>
        <w:ind w:left="0" w:firstLine="568"/>
        <w:rPr>
          <w:rFonts w:ascii="宋体" w:hAnsi="宋体"/>
          <w:sz w:val="28"/>
          <w:szCs w:val="28"/>
        </w:rPr>
      </w:pPr>
      <w:r>
        <w:rPr>
          <w:rFonts w:hint="eastAsia" w:ascii="宋体" w:hAnsi="宋体"/>
          <w:b/>
          <w:sz w:val="28"/>
          <w:szCs w:val="28"/>
        </w:rPr>
        <w:t>项目名称：成都市双流区教育技术装备管理中心2021年艺体中学等2校学术厅显示系统采购项目</w:t>
      </w:r>
    </w:p>
    <w:p>
      <w:pPr>
        <w:numPr>
          <w:ilvl w:val="0"/>
          <w:numId w:val="6"/>
        </w:numPr>
        <w:spacing w:line="360" w:lineRule="auto"/>
        <w:ind w:left="0" w:firstLine="568"/>
        <w:rPr>
          <w:rFonts w:ascii="宋体" w:hAnsi="宋体"/>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财政性资金，政府采购实施计划备案表号：(2021)</w:t>
      </w:r>
      <w:r>
        <w:rPr>
          <w:rFonts w:hint="eastAsia" w:ascii="宋体" w:hAnsi="宋体"/>
          <w:sz w:val="28"/>
          <w:szCs w:val="28"/>
          <w:lang w:val="en-US" w:eastAsia="zh-CN"/>
        </w:rPr>
        <w:t>0763</w:t>
      </w:r>
      <w:r>
        <w:rPr>
          <w:rFonts w:hint="eastAsia" w:ascii="宋体" w:hAnsi="宋体"/>
          <w:sz w:val="28"/>
          <w:szCs w:val="28"/>
        </w:rPr>
        <w:t>号；预算品目：A02019901信息系统集成（货物类）；所属行业：工业；预算金额：2516742.05元</w:t>
      </w:r>
      <w:r>
        <w:rPr>
          <w:rFonts w:hint="eastAsia" w:ascii="宋体" w:hAnsi="宋体"/>
          <w:sz w:val="28"/>
        </w:rPr>
        <w:t>；最高限价：</w:t>
      </w:r>
      <w:r>
        <w:rPr>
          <w:rFonts w:hint="eastAsia" w:ascii="宋体" w:hAnsi="宋体"/>
          <w:sz w:val="28"/>
          <w:szCs w:val="28"/>
        </w:rPr>
        <w:t>2516742.05元。</w:t>
      </w:r>
    </w:p>
    <w:p>
      <w:pPr>
        <w:numPr>
          <w:ilvl w:val="0"/>
          <w:numId w:val="6"/>
        </w:numPr>
        <w:spacing w:line="360" w:lineRule="auto"/>
        <w:ind w:left="0" w:firstLine="562" w:firstLineChars="200"/>
        <w:rPr>
          <w:rFonts w:ascii="宋体" w:hAnsi="宋体"/>
          <w:b/>
          <w:sz w:val="28"/>
          <w:szCs w:val="28"/>
        </w:rPr>
      </w:pPr>
      <w:r>
        <w:rPr>
          <w:rFonts w:hint="eastAsia" w:ascii="宋体" w:hAnsi="宋体"/>
          <w:b/>
          <w:sz w:val="28"/>
          <w:szCs w:val="28"/>
        </w:rPr>
        <w:t>招标项目简介</w:t>
      </w:r>
    </w:p>
    <w:p>
      <w:pPr>
        <w:pStyle w:val="81"/>
        <w:tabs>
          <w:tab w:val="left" w:pos="1134"/>
        </w:tabs>
        <w:snapToGrid w:val="0"/>
        <w:spacing w:line="360" w:lineRule="auto"/>
        <w:ind w:firstLine="560"/>
        <w:rPr>
          <w:rFonts w:ascii="宋体" w:hAnsi="宋体"/>
          <w:sz w:val="28"/>
          <w:szCs w:val="28"/>
        </w:rPr>
      </w:pPr>
      <w:r>
        <w:rPr>
          <w:rFonts w:hint="eastAsia" w:ascii="宋体" w:hAnsi="宋体"/>
          <w:sz w:val="28"/>
          <w:szCs w:val="28"/>
        </w:rPr>
        <w:t>成都市双流区教育技术装备管理中心因工作需要，拟打造艺体中学等2校学术厅显示系统，以满足学校教学需求采购。</w:t>
      </w:r>
    </w:p>
    <w:p>
      <w:pPr>
        <w:pStyle w:val="81"/>
        <w:tabs>
          <w:tab w:val="left" w:pos="1134"/>
        </w:tabs>
        <w:snapToGrid w:val="0"/>
        <w:spacing w:line="360" w:lineRule="auto"/>
        <w:ind w:firstLine="560"/>
        <w:rPr>
          <w:rFonts w:ascii="宋体" w:hAnsi="宋体" w:eastAsia="宋体"/>
          <w:bCs/>
          <w:sz w:val="28"/>
          <w:szCs w:val="28"/>
          <w:lang w:val="zh-CN"/>
        </w:rPr>
      </w:pPr>
      <w:r>
        <w:rPr>
          <w:rFonts w:hint="eastAsia" w:ascii="宋体" w:hAnsi="宋体"/>
          <w:sz w:val="28"/>
          <w:szCs w:val="28"/>
        </w:rPr>
        <w:t>详细的技术、服务、商务及其他要求见招标文件第4章。</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供应商参加本次政府采购活动应具备的条件</w:t>
      </w:r>
    </w:p>
    <w:p>
      <w:pPr>
        <w:numPr>
          <w:ilvl w:val="1"/>
          <w:numId w:val="7"/>
        </w:numPr>
        <w:tabs>
          <w:tab w:val="left" w:pos="1260"/>
        </w:tabs>
        <w:spacing w:line="360" w:lineRule="auto"/>
        <w:ind w:left="0" w:firstLine="560" w:firstLineChars="200"/>
        <w:rPr>
          <w:rFonts w:ascii="宋体" w:hAnsi="宋体"/>
          <w:sz w:val="28"/>
          <w:szCs w:val="28"/>
        </w:rPr>
      </w:pPr>
      <w:r>
        <w:rPr>
          <w:rFonts w:hint="eastAsia" w:ascii="宋体" w:hAnsi="宋体"/>
          <w:sz w:val="28"/>
          <w:szCs w:val="28"/>
        </w:rPr>
        <w:t>符合《政府采购法》第二十二条第一款规定的条件；</w:t>
      </w:r>
    </w:p>
    <w:p>
      <w:pPr>
        <w:numPr>
          <w:ilvl w:val="1"/>
          <w:numId w:val="7"/>
        </w:numPr>
        <w:tabs>
          <w:tab w:val="left" w:pos="1260"/>
        </w:tabs>
        <w:spacing w:line="360" w:lineRule="auto"/>
        <w:ind w:left="0" w:firstLine="560" w:firstLineChars="200"/>
        <w:rPr>
          <w:rFonts w:ascii="宋体" w:hAnsi="宋体"/>
          <w:sz w:val="28"/>
          <w:szCs w:val="28"/>
        </w:rPr>
      </w:pPr>
      <w:r>
        <w:rPr>
          <w:rFonts w:hint="eastAsia" w:ascii="宋体" w:hAnsi="宋体"/>
          <w:sz w:val="28"/>
          <w:szCs w:val="28"/>
        </w:rPr>
        <w:t>在中华人民共和国境内依法登记注册，并有效存续具有独立法人资格的供应商；</w:t>
      </w:r>
    </w:p>
    <w:p>
      <w:pPr>
        <w:numPr>
          <w:ilvl w:val="1"/>
          <w:numId w:val="7"/>
        </w:numPr>
        <w:tabs>
          <w:tab w:val="left" w:pos="1260"/>
        </w:tabs>
        <w:spacing w:line="360" w:lineRule="auto"/>
        <w:ind w:left="0" w:firstLine="560" w:firstLineChars="200"/>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numPr>
          <w:ilvl w:val="1"/>
          <w:numId w:val="7"/>
        </w:numPr>
        <w:tabs>
          <w:tab w:val="left" w:pos="1260"/>
        </w:tabs>
        <w:spacing w:line="360" w:lineRule="auto"/>
        <w:ind w:left="0" w:firstLine="560" w:firstLineChars="200"/>
        <w:rPr>
          <w:rFonts w:ascii="宋体" w:hAnsi="宋体"/>
          <w:sz w:val="28"/>
          <w:szCs w:val="28"/>
        </w:rPr>
      </w:pPr>
      <w:r>
        <w:rPr>
          <w:rFonts w:hint="eastAsia" w:ascii="宋体" w:hAnsi="宋体"/>
          <w:sz w:val="28"/>
          <w:szCs w:val="28"/>
        </w:rPr>
        <w:t>在行贿犯罪信息查询期限内，投标人及其现任法定代表人、主要负责人没有行贿犯罪记录；</w:t>
      </w:r>
    </w:p>
    <w:p>
      <w:pPr>
        <w:numPr>
          <w:ilvl w:val="1"/>
          <w:numId w:val="7"/>
        </w:numPr>
        <w:tabs>
          <w:tab w:val="left" w:pos="1260"/>
        </w:tabs>
        <w:spacing w:line="360" w:lineRule="auto"/>
        <w:ind w:left="0" w:firstLine="560" w:firstLineChars="200"/>
        <w:rPr>
          <w:rFonts w:ascii="宋体" w:hAnsi="宋体"/>
          <w:sz w:val="28"/>
          <w:szCs w:val="28"/>
        </w:rPr>
      </w:pPr>
      <w:r>
        <w:rPr>
          <w:rFonts w:ascii="宋体" w:hAnsi="宋体"/>
          <w:sz w:val="28"/>
          <w:szCs w:val="28"/>
        </w:rPr>
        <w:t>未处于被行政部门禁止参与政府采购活动的期限内</w:t>
      </w:r>
      <w:r>
        <w:rPr>
          <w:rFonts w:hint="eastAsia" w:ascii="宋体" w:hAnsi="宋体"/>
          <w:sz w:val="28"/>
          <w:szCs w:val="28"/>
        </w:rPr>
        <w:t>；</w:t>
      </w:r>
    </w:p>
    <w:p>
      <w:pPr>
        <w:numPr>
          <w:ilvl w:val="1"/>
          <w:numId w:val="7"/>
        </w:numPr>
        <w:tabs>
          <w:tab w:val="left" w:pos="1260"/>
        </w:tabs>
        <w:spacing w:line="360" w:lineRule="auto"/>
        <w:ind w:left="0" w:firstLine="560" w:firstLineChars="200"/>
        <w:rPr>
          <w:rFonts w:ascii="宋体" w:hAnsi="宋体"/>
          <w:sz w:val="28"/>
          <w:szCs w:val="28"/>
        </w:rPr>
      </w:pPr>
      <w:r>
        <w:rPr>
          <w:rFonts w:hint="eastAsia" w:ascii="宋体" w:hAnsi="宋体"/>
          <w:sz w:val="28"/>
          <w:szCs w:val="28"/>
        </w:rPr>
        <w:t>不属于其他国家相关法律法规规定的禁止参加投标的供应；</w:t>
      </w:r>
    </w:p>
    <w:p>
      <w:pPr>
        <w:numPr>
          <w:ilvl w:val="1"/>
          <w:numId w:val="7"/>
        </w:numPr>
        <w:tabs>
          <w:tab w:val="left" w:pos="1260"/>
        </w:tabs>
        <w:spacing w:line="360" w:lineRule="auto"/>
        <w:ind w:left="0" w:firstLine="560" w:firstLineChars="200"/>
        <w:rPr>
          <w:rFonts w:ascii="宋体" w:hAnsi="宋体"/>
          <w:sz w:val="28"/>
          <w:szCs w:val="28"/>
        </w:rPr>
      </w:pPr>
      <w:r>
        <w:rPr>
          <w:rFonts w:hint="eastAsia" w:ascii="宋体" w:hAnsi="宋体"/>
          <w:sz w:val="28"/>
          <w:szCs w:val="28"/>
        </w:rPr>
        <w:t>本项目</w:t>
      </w:r>
      <w:r>
        <w:rPr>
          <w:rFonts w:hint="eastAsia" w:ascii="宋体" w:hAnsi="宋体"/>
          <w:b/>
          <w:sz w:val="28"/>
          <w:szCs w:val="28"/>
        </w:rPr>
        <w:t>不接受</w:t>
      </w:r>
      <w:r>
        <w:rPr>
          <w:rFonts w:hint="eastAsia" w:ascii="宋体" w:hAnsi="宋体"/>
          <w:sz w:val="28"/>
          <w:szCs w:val="28"/>
        </w:rPr>
        <w:t>联合体投标。</w:t>
      </w:r>
    </w:p>
    <w:p>
      <w:pPr>
        <w:numPr>
          <w:ilvl w:val="0"/>
          <w:numId w:val="6"/>
        </w:numPr>
        <w:spacing w:line="360" w:lineRule="auto"/>
        <w:ind w:left="0" w:firstLine="567"/>
        <w:rPr>
          <w:rFonts w:ascii="宋体" w:hAnsi="宋体"/>
          <w:i/>
          <w:sz w:val="28"/>
        </w:rPr>
      </w:pPr>
      <w:r>
        <w:rPr>
          <w:rFonts w:hint="eastAsia" w:ascii="宋体" w:hAnsi="宋体"/>
          <w:b/>
          <w:sz w:val="28"/>
          <w:szCs w:val="28"/>
        </w:rPr>
        <w:t>招标文件获取时间</w:t>
      </w:r>
    </w:p>
    <w:p>
      <w:pPr>
        <w:numPr>
          <w:ilvl w:val="0"/>
          <w:numId w:val="8"/>
        </w:numPr>
        <w:spacing w:line="360" w:lineRule="auto"/>
        <w:ind w:left="0" w:firstLine="567"/>
        <w:rPr>
          <w:rFonts w:ascii="宋体" w:hAnsi="宋体"/>
          <w:color w:val="000000" w:themeColor="text1"/>
          <w:sz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招标文件获取时间：2021年</w:t>
      </w:r>
      <w:r>
        <w:rPr>
          <w:rFonts w:hint="eastAsia" w:ascii="宋体" w:hAnsi="宋体"/>
          <w:color w:val="000000" w:themeColor="text1"/>
          <w:sz w:val="28"/>
          <w:szCs w:val="28"/>
          <w:lang w:val="en-US" w:eastAsia="zh-CN"/>
          <w14:textFill>
            <w14:solidFill>
              <w14:schemeClr w14:val="tx1"/>
            </w14:solidFill>
          </w14:textFill>
        </w:rPr>
        <w:t>11</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日至</w:t>
      </w:r>
      <w:r>
        <w:rPr>
          <w:rFonts w:hint="eastAsia" w:ascii="宋体" w:hAnsi="宋体"/>
          <w:color w:val="000000" w:themeColor="text1"/>
          <w:sz w:val="28"/>
          <w:szCs w:val="28"/>
          <w:lang w:val="en-US" w:eastAsia="zh-CN"/>
          <w14:textFill>
            <w14:solidFill>
              <w14:schemeClr w14:val="tx1"/>
            </w14:solidFill>
          </w14:textFill>
        </w:rPr>
        <w:t>11</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21</w:t>
      </w:r>
      <w:r>
        <w:rPr>
          <w:rFonts w:hint="eastAsia" w:ascii="宋体" w:hAnsi="宋体"/>
          <w:color w:val="000000" w:themeColor="text1"/>
          <w:sz w:val="28"/>
          <w:szCs w:val="28"/>
          <w14:textFill>
            <w14:solidFill>
              <w14:schemeClr w14:val="tx1"/>
            </w14:solidFill>
          </w14:textFill>
        </w:rPr>
        <w:t>日。</w:t>
      </w:r>
    </w:p>
    <w:p>
      <w:pPr>
        <w:numPr>
          <w:ilvl w:val="0"/>
          <w:numId w:val="8"/>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公告期限：2021年</w:t>
      </w:r>
      <w:r>
        <w:rPr>
          <w:rFonts w:hint="eastAsia" w:ascii="宋体" w:hAnsi="宋体"/>
          <w:color w:val="000000" w:themeColor="text1"/>
          <w:sz w:val="28"/>
          <w:szCs w:val="28"/>
          <w:lang w:val="en-US" w:eastAsia="zh-CN"/>
          <w14:textFill>
            <w14:solidFill>
              <w14:schemeClr w14:val="tx1"/>
            </w14:solidFill>
          </w14:textFill>
        </w:rPr>
        <w:t>11</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日至</w:t>
      </w:r>
      <w:r>
        <w:rPr>
          <w:rFonts w:hint="eastAsia" w:ascii="宋体" w:hAnsi="宋体"/>
          <w:color w:val="000000" w:themeColor="text1"/>
          <w:sz w:val="28"/>
          <w:szCs w:val="28"/>
          <w:lang w:val="en-US" w:eastAsia="zh-CN"/>
          <w14:textFill>
            <w14:solidFill>
              <w14:schemeClr w14:val="tx1"/>
            </w14:solidFill>
          </w14:textFill>
        </w:rPr>
        <w:t>11</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8</w:t>
      </w:r>
      <w:r>
        <w:rPr>
          <w:rFonts w:hint="eastAsia" w:ascii="宋体" w:hAnsi="宋体"/>
          <w:color w:val="000000" w:themeColor="text1"/>
          <w:sz w:val="28"/>
          <w:szCs w:val="28"/>
          <w14:textFill>
            <w14:solidFill>
              <w14:schemeClr w14:val="tx1"/>
            </w14:solidFill>
          </w14:textFill>
        </w:rPr>
        <w:t>日。</w:t>
      </w:r>
    </w:p>
    <w:p>
      <w:pPr>
        <w:numPr>
          <w:ilvl w:val="0"/>
          <w:numId w:val="8"/>
        </w:numPr>
        <w:spacing w:line="360" w:lineRule="auto"/>
        <w:ind w:left="0" w:firstLine="567"/>
        <w:rPr>
          <w:rFonts w:ascii="宋体" w:hAnsi="宋体"/>
          <w:sz w:val="28"/>
          <w:szCs w:val="28"/>
        </w:rPr>
      </w:pPr>
      <w:r>
        <w:rPr>
          <w:rFonts w:hint="eastAsia" w:ascii="宋体" w:hAnsi="宋体"/>
          <w:sz w:val="28"/>
          <w:szCs w:val="28"/>
        </w:rPr>
        <w:t>供应商如对招标文件有质疑的，应于公告期限届满之日起七个工作日内以书面形式提出。</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招标文件获取方式</w:t>
      </w:r>
    </w:p>
    <w:p>
      <w:pPr>
        <w:spacing w:line="360" w:lineRule="auto"/>
        <w:ind w:firstLine="560" w:firstLineChars="200"/>
        <w:rPr>
          <w:rFonts w:ascii="宋体" w:hAnsi="宋体"/>
          <w:sz w:val="28"/>
          <w:szCs w:val="28"/>
        </w:rPr>
      </w:pPr>
      <w:r>
        <w:rPr>
          <w:rFonts w:hint="eastAsia" w:ascii="宋体" w:hAnsi="宋体"/>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0" w:firstLineChars="200"/>
        <w:rPr>
          <w:rFonts w:ascii="宋体" w:hAnsi="宋体"/>
          <w:sz w:val="28"/>
          <w:szCs w:val="28"/>
        </w:rPr>
      </w:pPr>
      <w:r>
        <w:rPr>
          <w:rFonts w:hint="eastAsia" w:ascii="宋体" w:hAnsi="宋体"/>
          <w:sz w:val="28"/>
          <w:szCs w:val="28"/>
        </w:rPr>
        <w:t>提示：</w:t>
      </w:r>
    </w:p>
    <w:p>
      <w:pPr>
        <w:spacing w:line="360" w:lineRule="auto"/>
        <w:ind w:firstLine="560" w:firstLineChars="200"/>
        <w:rPr>
          <w:rFonts w:ascii="宋体" w:hAnsi="宋体"/>
          <w:sz w:val="28"/>
          <w:szCs w:val="28"/>
        </w:rPr>
      </w:pPr>
      <w:r>
        <w:rPr>
          <w:rFonts w:hint="eastAsia" w:ascii="宋体" w:hAnsi="宋体"/>
          <w:sz w:val="28"/>
          <w:szCs w:val="28"/>
        </w:rPr>
        <w:t>（1）本项目采购文件免费获取。</w:t>
      </w:r>
    </w:p>
    <w:p>
      <w:pPr>
        <w:spacing w:line="360" w:lineRule="auto"/>
        <w:ind w:firstLine="560" w:firstLineChars="200"/>
        <w:rPr>
          <w:rFonts w:ascii="宋体" w:hAnsi="宋体"/>
          <w:sz w:val="28"/>
          <w:szCs w:val="28"/>
        </w:rPr>
      </w:pPr>
      <w:r>
        <w:rPr>
          <w:rFonts w:hint="eastAsia" w:ascii="宋体" w:hAnsi="宋体"/>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0" w:firstLineChars="200"/>
        <w:rPr>
          <w:rFonts w:ascii="宋体" w:hAnsi="宋体"/>
          <w:sz w:val="28"/>
          <w:szCs w:val="28"/>
        </w:rPr>
      </w:pPr>
      <w:r>
        <w:rPr>
          <w:rFonts w:hint="eastAsia" w:ascii="宋体" w:hAnsi="宋体"/>
          <w:sz w:val="28"/>
          <w:szCs w:val="28"/>
        </w:rPr>
        <w:t>（3）首次登录成都市公共资源交易服务中心门户网站的新用户应先点击“注册新用户”，注册成功后再登录。</w:t>
      </w:r>
    </w:p>
    <w:p>
      <w:pPr>
        <w:spacing w:line="360" w:lineRule="auto"/>
        <w:ind w:firstLine="560" w:firstLineChars="200"/>
        <w:rPr>
          <w:rFonts w:ascii="宋体" w:hAnsi="宋体"/>
          <w:sz w:val="28"/>
          <w:szCs w:val="28"/>
        </w:rPr>
      </w:pPr>
      <w:r>
        <w:rPr>
          <w:rFonts w:hint="eastAsia" w:ascii="宋体" w:hAnsi="宋体"/>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招标文件获取地点</w:t>
      </w:r>
    </w:p>
    <w:p>
      <w:pPr>
        <w:spacing w:line="360" w:lineRule="auto"/>
        <w:ind w:firstLine="560" w:firstLineChars="200"/>
        <w:rPr>
          <w:rFonts w:ascii="宋体" w:hAnsi="宋体"/>
          <w:sz w:val="28"/>
          <w:szCs w:val="28"/>
        </w:rPr>
      </w:pPr>
      <w:bookmarkStart w:id="8" w:name="_Toc186274101"/>
      <w:bookmarkStart w:id="9" w:name="_Toc174185149"/>
      <w:bookmarkStart w:id="10" w:name="_Toc180051012"/>
      <w:bookmarkStart w:id="11" w:name="_Toc184023104"/>
      <w:bookmarkStart w:id="12" w:name="_Toc184013605"/>
      <w:r>
        <w:rPr>
          <w:rFonts w:hint="eastAsia" w:ascii="宋体" w:hAnsi="宋体"/>
          <w:sz w:val="28"/>
          <w:szCs w:val="28"/>
        </w:rPr>
        <w:t>登录成都市公共资源交易服务中心门户网站（https://www.cdggzy.com/）—用户中心—政府采购云平台获取</w:t>
      </w:r>
      <w:r>
        <w:rPr>
          <w:rFonts w:hint="eastAsia" w:ascii="宋体" w:hAnsi="宋体"/>
          <w:sz w:val="28"/>
        </w:rPr>
        <w:t>。</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投标文件递交截止时间及开标时间</w:t>
      </w:r>
      <w:bookmarkEnd w:id="8"/>
      <w:bookmarkEnd w:id="9"/>
      <w:bookmarkEnd w:id="10"/>
      <w:bookmarkEnd w:id="11"/>
      <w:bookmarkEnd w:id="12"/>
      <w:r>
        <w:rPr>
          <w:rFonts w:hint="eastAsia" w:ascii="宋体" w:hAnsi="宋体"/>
          <w:b/>
          <w:sz w:val="28"/>
          <w:szCs w:val="28"/>
        </w:rPr>
        <w:t>（北京时间）、地点、方式</w:t>
      </w:r>
    </w:p>
    <w:p>
      <w:pPr>
        <w:numPr>
          <w:ilvl w:val="0"/>
          <w:numId w:val="9"/>
        </w:numPr>
        <w:spacing w:line="560" w:lineRule="exact"/>
        <w:ind w:firstLine="565" w:firstLineChars="202"/>
        <w:rPr>
          <w:rFonts w:ascii="宋体" w:hAnsi="宋体"/>
          <w:b/>
          <w:bCs/>
          <w:sz w:val="28"/>
          <w:szCs w:val="28"/>
        </w:rPr>
      </w:pPr>
      <w:r>
        <w:rPr>
          <w:rFonts w:hint="eastAsia" w:ascii="宋体" w:hAnsi="宋体"/>
          <w:sz w:val="28"/>
          <w:szCs w:val="28"/>
        </w:rPr>
        <w:t>投标文件递交截止时间及开标时间：</w:t>
      </w:r>
      <w:r>
        <w:rPr>
          <w:rFonts w:hint="eastAsia" w:ascii="宋体" w:hAnsi="宋体"/>
          <w:b/>
          <w:bCs/>
          <w:sz w:val="28"/>
          <w:szCs w:val="28"/>
        </w:rPr>
        <w:t>202</w:t>
      </w:r>
      <w:r>
        <w:rPr>
          <w:rFonts w:ascii="宋体" w:hAnsi="宋体"/>
          <w:b/>
          <w:bCs/>
          <w:sz w:val="28"/>
          <w:szCs w:val="28"/>
        </w:rPr>
        <w:t>1</w:t>
      </w:r>
      <w:r>
        <w:rPr>
          <w:rFonts w:hint="eastAsia" w:ascii="宋体" w:hAnsi="宋体"/>
          <w:b/>
          <w:bCs/>
          <w:sz w:val="28"/>
          <w:szCs w:val="28"/>
        </w:rPr>
        <w:t>年</w:t>
      </w:r>
      <w:r>
        <w:rPr>
          <w:rFonts w:hint="eastAsia" w:ascii="宋体" w:hAnsi="宋体"/>
          <w:b/>
          <w:bCs/>
          <w:sz w:val="28"/>
          <w:szCs w:val="28"/>
          <w:lang w:val="en-US" w:eastAsia="zh-CN"/>
        </w:rPr>
        <w:t>11</w:t>
      </w:r>
      <w:r>
        <w:rPr>
          <w:rFonts w:hint="eastAsia" w:ascii="宋体" w:hAnsi="宋体"/>
          <w:b/>
          <w:bCs/>
          <w:sz w:val="28"/>
          <w:szCs w:val="28"/>
        </w:rPr>
        <w:t>月</w:t>
      </w:r>
      <w:r>
        <w:rPr>
          <w:rFonts w:hint="eastAsia" w:ascii="宋体" w:hAnsi="宋体"/>
          <w:b/>
          <w:bCs/>
          <w:sz w:val="28"/>
          <w:szCs w:val="28"/>
          <w:lang w:val="en-US" w:eastAsia="zh-CN"/>
        </w:rPr>
        <w:t>22</w:t>
      </w:r>
      <w:r>
        <w:rPr>
          <w:rFonts w:hint="eastAsia" w:ascii="宋体" w:hAnsi="宋体"/>
          <w:b/>
          <w:bCs/>
          <w:sz w:val="28"/>
          <w:szCs w:val="28"/>
        </w:rPr>
        <w:t>日</w:t>
      </w:r>
      <w:r>
        <w:rPr>
          <w:rFonts w:hint="eastAsia" w:ascii="宋体" w:hAnsi="宋体"/>
          <w:b/>
          <w:bCs/>
          <w:sz w:val="28"/>
          <w:szCs w:val="28"/>
          <w:lang w:eastAsia="zh-CN"/>
        </w:rPr>
        <w:t>上午</w:t>
      </w:r>
      <w:r>
        <w:rPr>
          <w:rFonts w:hint="eastAsia" w:ascii="宋体" w:hAnsi="宋体"/>
          <w:b/>
          <w:bCs/>
          <w:sz w:val="28"/>
          <w:szCs w:val="28"/>
          <w:lang w:val="en-US" w:eastAsia="zh-CN"/>
        </w:rPr>
        <w:t>9:10</w:t>
      </w:r>
      <w:r>
        <w:rPr>
          <w:rFonts w:hint="eastAsia" w:ascii="宋体" w:hAnsi="宋体"/>
          <w:b/>
          <w:bCs/>
          <w:sz w:val="28"/>
          <w:szCs w:val="28"/>
        </w:rPr>
        <w:t>；</w:t>
      </w:r>
    </w:p>
    <w:p>
      <w:pPr>
        <w:spacing w:line="560" w:lineRule="exact"/>
        <w:ind w:firstLine="560" w:firstLineChars="200"/>
        <w:rPr>
          <w:rFonts w:ascii="宋体" w:hAnsi="宋体"/>
          <w:sz w:val="28"/>
          <w:szCs w:val="28"/>
        </w:rPr>
      </w:pPr>
      <w:r>
        <w:rPr>
          <w:rFonts w:hint="eastAsia" w:ascii="宋体" w:hAnsi="宋体"/>
          <w:sz w:val="28"/>
          <w:szCs w:val="28"/>
        </w:rPr>
        <w:t>（二）投标文件递交方式、地点：投标截止时间前，投标人应将加密的投标文件递交至“政府采购云平台”对应项目（包件）。</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开标地点</w:t>
      </w:r>
    </w:p>
    <w:p>
      <w:pPr>
        <w:spacing w:line="360" w:lineRule="auto"/>
        <w:ind w:firstLine="641" w:firstLineChars="228"/>
        <w:jc w:val="left"/>
        <w:rPr>
          <w:rFonts w:ascii="宋体" w:hAnsi="宋体"/>
          <w:b/>
          <w:sz w:val="28"/>
          <w:szCs w:val="28"/>
        </w:rPr>
      </w:pPr>
      <w:r>
        <w:rPr>
          <w:rFonts w:hint="eastAsia" w:ascii="宋体" w:hAnsi="宋体"/>
          <w:b/>
          <w:sz w:val="28"/>
          <w:szCs w:val="28"/>
        </w:rPr>
        <w:t>本项目为不见面开标项目。</w:t>
      </w:r>
    </w:p>
    <w:p>
      <w:pPr>
        <w:spacing w:line="360" w:lineRule="auto"/>
        <w:ind w:firstLine="638" w:firstLineChars="228"/>
        <w:jc w:val="left"/>
        <w:rPr>
          <w:rFonts w:ascii="宋体" w:hAnsi="宋体"/>
          <w:sz w:val="28"/>
          <w:szCs w:val="28"/>
        </w:rPr>
      </w:pPr>
      <w:r>
        <w:rPr>
          <w:rFonts w:hint="eastAsia" w:ascii="宋体" w:hAnsi="宋体"/>
          <w:sz w:val="28"/>
          <w:szCs w:val="28"/>
        </w:rPr>
        <w:t>开标地点为：成都市公共资源交易服务中心“政府采购云平台”。登录成都市公共资源交易服务中心门户网站（https://www.cdggzy.com）—用户中心—政府采购云平台。</w:t>
      </w:r>
    </w:p>
    <w:p>
      <w:pPr>
        <w:spacing w:line="360" w:lineRule="auto"/>
        <w:ind w:firstLine="638" w:firstLineChars="228"/>
        <w:jc w:val="left"/>
        <w:rPr>
          <w:rFonts w:ascii="宋体" w:hAnsi="宋体"/>
          <w:sz w:val="28"/>
          <w:szCs w:val="28"/>
        </w:rPr>
      </w:pPr>
      <w:r>
        <w:rPr>
          <w:rFonts w:hint="eastAsia" w:ascii="宋体" w:hAnsi="宋体"/>
          <w:sz w:val="28"/>
          <w:szCs w:val="28"/>
        </w:rPr>
        <w:t>本项目只接受投标人加密并递交至“政府采购云平台”的投标文件。</w:t>
      </w:r>
    </w:p>
    <w:p>
      <w:pPr>
        <w:numPr>
          <w:ilvl w:val="0"/>
          <w:numId w:val="6"/>
        </w:numPr>
        <w:spacing w:line="360" w:lineRule="auto"/>
        <w:ind w:left="0" w:firstLine="567"/>
        <w:rPr>
          <w:rFonts w:ascii="宋体" w:hAnsi="宋体"/>
          <w:b/>
          <w:sz w:val="28"/>
          <w:szCs w:val="28"/>
        </w:rPr>
      </w:pPr>
      <w:r>
        <w:rPr>
          <w:rFonts w:hint="eastAsia" w:ascii="宋体" w:hAnsi="宋体" w:cs="宋体"/>
          <w:b/>
          <w:sz w:val="28"/>
          <w:szCs w:val="28"/>
        </w:rPr>
        <w:t>本项目只接受投标人递交至成都市公共资源电子交易云平台的投标文件。</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政采中小企业政府采购信用担保融资</w:t>
      </w:r>
    </w:p>
    <w:p>
      <w:pPr>
        <w:spacing w:line="360" w:lineRule="auto"/>
        <w:ind w:firstLine="420" w:firstLineChars="150"/>
        <w:jc w:val="left"/>
        <w:rPr>
          <w:rFonts w:ascii="宋体" w:hAnsi="宋体"/>
          <w:sz w:val="28"/>
          <w:szCs w:val="28"/>
        </w:rPr>
      </w:pPr>
      <w:r>
        <w:rPr>
          <w:rFonts w:hint="eastAsia" w:ascii="宋体" w:hAnsi="宋体"/>
          <w:sz w:val="28"/>
          <w:szCs w:val="28"/>
        </w:rPr>
        <w:t>本项目属于政府采购信用融资业务项目，融资利率上浮比例不超过人民银行同期贷款基准利率30%，银行机构名单、联系方式见附件1。</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本投标邀请在“四川政府采购网”和“成都市公共资源交易服务中心”网站上以公告形式发布</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联系方式</w:t>
      </w:r>
    </w:p>
    <w:p>
      <w:pPr>
        <w:spacing w:line="360" w:lineRule="auto"/>
        <w:ind w:firstLine="568" w:firstLineChars="202"/>
        <w:rPr>
          <w:rFonts w:ascii="宋体" w:hAnsi="宋体"/>
          <w:b/>
          <w:sz w:val="28"/>
          <w:szCs w:val="28"/>
        </w:rPr>
      </w:pPr>
      <w:r>
        <w:rPr>
          <w:rFonts w:hint="eastAsia" w:ascii="宋体" w:hAnsi="宋体"/>
          <w:b/>
          <w:sz w:val="28"/>
          <w:szCs w:val="28"/>
        </w:rPr>
        <w:t>采购人：成都市双流区教育技术装备管理中心</w:t>
      </w:r>
    </w:p>
    <w:p>
      <w:pPr>
        <w:pStyle w:val="150"/>
        <w:ind w:firstLine="560"/>
        <w:rPr>
          <w:rFonts w:ascii="宋体" w:hAnsi="宋体"/>
          <w:kern w:val="0"/>
          <w:sz w:val="28"/>
          <w:szCs w:val="22"/>
        </w:rPr>
      </w:pPr>
      <w:r>
        <w:rPr>
          <w:rFonts w:hint="eastAsia" w:ascii="宋体" w:hAnsi="宋体"/>
          <w:sz w:val="28"/>
          <w:szCs w:val="28"/>
        </w:rPr>
        <w:t>地  址：成都市双流区东升街道花月中街25号</w:t>
      </w:r>
    </w:p>
    <w:p>
      <w:pPr>
        <w:spacing w:line="360" w:lineRule="auto"/>
        <w:ind w:firstLine="565" w:firstLineChars="202"/>
        <w:rPr>
          <w:rFonts w:ascii="宋体" w:hAnsi="宋体"/>
          <w:sz w:val="28"/>
          <w:szCs w:val="28"/>
        </w:rPr>
      </w:pPr>
      <w:r>
        <w:rPr>
          <w:rFonts w:hint="eastAsia" w:ascii="宋体" w:hAnsi="宋体"/>
          <w:sz w:val="28"/>
          <w:szCs w:val="28"/>
        </w:rPr>
        <w:t>邮  编：</w:t>
      </w:r>
      <w:r>
        <w:rPr>
          <w:rFonts w:ascii="宋体" w:hAnsi="宋体"/>
          <w:sz w:val="28"/>
          <w:szCs w:val="28"/>
        </w:rPr>
        <w:t>610</w:t>
      </w:r>
      <w:r>
        <w:rPr>
          <w:rFonts w:hint="eastAsia" w:ascii="宋体" w:hAnsi="宋体"/>
          <w:sz w:val="28"/>
          <w:szCs w:val="28"/>
        </w:rPr>
        <w:t>200</w:t>
      </w:r>
    </w:p>
    <w:p>
      <w:pPr>
        <w:spacing w:line="360" w:lineRule="auto"/>
        <w:ind w:firstLine="565" w:firstLineChars="202"/>
        <w:rPr>
          <w:rFonts w:ascii="宋体" w:hAnsi="宋体"/>
          <w:sz w:val="28"/>
          <w:szCs w:val="28"/>
        </w:rPr>
      </w:pPr>
      <w:r>
        <w:rPr>
          <w:rFonts w:hint="eastAsia" w:ascii="宋体" w:hAnsi="宋体"/>
          <w:sz w:val="28"/>
          <w:szCs w:val="28"/>
        </w:rPr>
        <w:t xml:space="preserve">联系人：张晓燕  </w:t>
      </w:r>
    </w:p>
    <w:p>
      <w:pPr>
        <w:pStyle w:val="150"/>
        <w:ind w:firstLine="560"/>
        <w:rPr>
          <w:rFonts w:ascii="宋体" w:hAnsi="宋体"/>
          <w:sz w:val="28"/>
          <w:szCs w:val="28"/>
        </w:rPr>
      </w:pPr>
      <w:r>
        <w:rPr>
          <w:rFonts w:hint="eastAsia" w:ascii="宋体" w:hAnsi="宋体"/>
          <w:sz w:val="28"/>
          <w:szCs w:val="28"/>
        </w:rPr>
        <w:t>联系电话</w:t>
      </w:r>
      <w:r>
        <w:rPr>
          <w:rFonts w:hint="eastAsia" w:ascii="宋体" w:hAnsi="宋体"/>
          <w:sz w:val="28"/>
          <w:szCs w:val="28"/>
        </w:rPr>
        <w:sym w:font="Wingdings" w:char="F081"/>
      </w:r>
      <w:r>
        <w:rPr>
          <w:rFonts w:hint="eastAsia" w:ascii="宋体" w:hAnsi="宋体"/>
          <w:sz w:val="28"/>
          <w:szCs w:val="28"/>
        </w:rPr>
        <w:t xml:space="preserve">座机：028-85859958 </w:t>
      </w:r>
      <w:r>
        <w:rPr>
          <w:rFonts w:hint="eastAsia" w:ascii="宋体" w:hAnsi="宋体"/>
          <w:sz w:val="28"/>
          <w:szCs w:val="28"/>
        </w:rPr>
        <w:sym w:font="Wingdings" w:char="F082"/>
      </w:r>
      <w:r>
        <w:rPr>
          <w:rFonts w:hint="eastAsia" w:ascii="宋体" w:hAnsi="宋体"/>
          <w:sz w:val="28"/>
          <w:szCs w:val="28"/>
        </w:rPr>
        <w:t xml:space="preserve"> 手机：18200480278；</w:t>
      </w:r>
    </w:p>
    <w:p>
      <w:pPr>
        <w:spacing w:line="360" w:lineRule="auto"/>
        <w:ind w:firstLine="568" w:firstLineChars="202"/>
        <w:rPr>
          <w:rFonts w:ascii="宋体" w:hAnsi="宋体"/>
          <w:b/>
          <w:sz w:val="28"/>
          <w:szCs w:val="28"/>
        </w:rPr>
      </w:pPr>
      <w:r>
        <w:rPr>
          <w:rFonts w:hint="eastAsia" w:ascii="宋体" w:hAnsi="宋体"/>
          <w:b/>
          <w:sz w:val="28"/>
          <w:szCs w:val="28"/>
        </w:rPr>
        <w:t>采购代理机构：成都市双流区公共资源交易服务中心</w:t>
      </w:r>
    </w:p>
    <w:p>
      <w:pPr>
        <w:spacing w:line="360" w:lineRule="auto"/>
        <w:ind w:firstLine="565" w:firstLineChars="202"/>
        <w:rPr>
          <w:rFonts w:ascii="宋体" w:hAnsi="宋体"/>
          <w:sz w:val="28"/>
          <w:szCs w:val="28"/>
        </w:rPr>
      </w:pPr>
      <w:r>
        <w:rPr>
          <w:rFonts w:hint="eastAsia" w:ascii="宋体" w:hAnsi="宋体"/>
          <w:sz w:val="28"/>
          <w:szCs w:val="28"/>
        </w:rPr>
        <w:t>地  址：成都市双流区西航港街道机场路土桥段80号</w:t>
      </w:r>
    </w:p>
    <w:p>
      <w:pPr>
        <w:spacing w:line="360" w:lineRule="auto"/>
        <w:ind w:firstLine="565" w:firstLineChars="202"/>
        <w:rPr>
          <w:rFonts w:ascii="宋体" w:hAnsi="宋体"/>
          <w:sz w:val="28"/>
          <w:szCs w:val="28"/>
        </w:rPr>
      </w:pPr>
      <w:r>
        <w:rPr>
          <w:rFonts w:hint="eastAsia" w:ascii="宋体" w:hAnsi="宋体"/>
          <w:sz w:val="28"/>
          <w:szCs w:val="28"/>
        </w:rPr>
        <w:t>邮  编：610200</w:t>
      </w:r>
    </w:p>
    <w:p>
      <w:pPr>
        <w:spacing w:line="360" w:lineRule="auto"/>
        <w:ind w:firstLine="565" w:firstLineChars="202"/>
        <w:rPr>
          <w:rFonts w:hint="eastAsia" w:ascii="宋体" w:hAnsi="宋体" w:eastAsia="宋体"/>
          <w:sz w:val="28"/>
          <w:szCs w:val="28"/>
          <w:lang w:eastAsia="zh-CN"/>
        </w:rPr>
      </w:pPr>
      <w:r>
        <w:rPr>
          <w:rFonts w:hint="eastAsia" w:ascii="宋体" w:hAnsi="宋体"/>
          <w:sz w:val="28"/>
          <w:szCs w:val="28"/>
        </w:rPr>
        <w:t>联系人：</w:t>
      </w:r>
      <w:r>
        <w:rPr>
          <w:rFonts w:hint="eastAsia" w:ascii="宋体" w:hAnsi="宋体"/>
          <w:sz w:val="28"/>
          <w:szCs w:val="28"/>
          <w:lang w:eastAsia="zh-CN"/>
        </w:rPr>
        <w:t>刘刚、潘磊</w:t>
      </w:r>
    </w:p>
    <w:p>
      <w:pPr>
        <w:spacing w:line="360" w:lineRule="auto"/>
        <w:ind w:firstLine="565" w:firstLineChars="202"/>
        <w:rPr>
          <w:rFonts w:hint="default" w:ascii="宋体" w:hAnsi="宋体" w:eastAsia="宋体"/>
          <w:sz w:val="28"/>
          <w:szCs w:val="28"/>
          <w:lang w:val="en-US" w:eastAsia="zh-CN"/>
        </w:rPr>
      </w:pPr>
      <w:r>
        <w:rPr>
          <w:rFonts w:hint="eastAsia" w:ascii="宋体" w:hAnsi="宋体"/>
          <w:sz w:val="28"/>
          <w:szCs w:val="28"/>
        </w:rPr>
        <w:t>联系电话：</w:t>
      </w:r>
      <w:r>
        <w:rPr>
          <w:rFonts w:hint="eastAsia" w:ascii="宋体" w:hAnsi="宋体"/>
          <w:sz w:val="28"/>
          <w:szCs w:val="28"/>
          <w:lang w:val="en-US" w:eastAsia="zh-CN"/>
        </w:rPr>
        <w:t>028-85825012,028-85825029</w:t>
      </w:r>
    </w:p>
    <w:p>
      <w:pPr>
        <w:spacing w:line="360" w:lineRule="auto"/>
        <w:ind w:firstLine="568" w:firstLineChars="202"/>
        <w:rPr>
          <w:rFonts w:ascii="宋体" w:hAnsi="宋体"/>
          <w:sz w:val="28"/>
          <w:szCs w:val="28"/>
          <w:highlight w:val="yellow"/>
        </w:rPr>
      </w:pPr>
      <w:r>
        <w:rPr>
          <w:rFonts w:hint="eastAsia" w:ascii="宋体" w:hAnsi="宋体" w:cstheme="minorBidi"/>
          <w:b/>
          <w:sz w:val="28"/>
          <w:szCs w:val="28"/>
        </w:rPr>
        <w:t>技术支持电话：400-881-7190</w:t>
      </w:r>
    </w:p>
    <w:p>
      <w:pPr>
        <w:tabs>
          <w:tab w:val="left" w:pos="900"/>
        </w:tabs>
        <w:spacing w:line="360" w:lineRule="auto"/>
        <w:ind w:firstLine="562" w:firstLineChars="200"/>
        <w:rPr>
          <w:rFonts w:ascii="宋体" w:hAnsi="宋体" w:cstheme="minorBidi"/>
          <w:b/>
          <w:bCs/>
          <w:sz w:val="28"/>
          <w:szCs w:val="28"/>
        </w:rPr>
      </w:pPr>
      <w:r>
        <w:rPr>
          <w:rFonts w:hint="eastAsia" w:ascii="宋体" w:hAnsi="宋体" w:cstheme="minorBidi"/>
          <w:b/>
          <w:bCs/>
          <w:sz w:val="28"/>
          <w:szCs w:val="28"/>
        </w:rPr>
        <w:t>技术支持</w:t>
      </w:r>
      <w:r>
        <w:rPr>
          <w:rFonts w:ascii="宋体" w:hAnsi="宋体" w:cstheme="minorBidi"/>
          <w:b/>
          <w:bCs/>
          <w:sz w:val="28"/>
          <w:szCs w:val="28"/>
        </w:rPr>
        <w:t>联系电话：</w:t>
      </w:r>
      <w:r>
        <w:rPr>
          <w:rFonts w:hint="eastAsia" w:ascii="宋体" w:hAnsi="宋体" w:cstheme="minorBidi"/>
          <w:b/>
          <w:bCs/>
          <w:sz w:val="28"/>
          <w:szCs w:val="28"/>
        </w:rPr>
        <w:t>400-881-7190</w:t>
      </w:r>
    </w:p>
    <w:p>
      <w:pPr>
        <w:tabs>
          <w:tab w:val="left" w:pos="900"/>
        </w:tabs>
        <w:spacing w:line="360" w:lineRule="auto"/>
        <w:ind w:firstLine="562" w:firstLineChars="200"/>
        <w:rPr>
          <w:rFonts w:ascii="宋体" w:hAnsi="宋体" w:cstheme="minorBidi"/>
          <w:b/>
          <w:bCs/>
          <w:sz w:val="28"/>
          <w:szCs w:val="28"/>
        </w:rPr>
      </w:pPr>
      <w:r>
        <w:rPr>
          <w:rFonts w:hint="eastAsia" w:ascii="宋体" w:hAnsi="宋体" w:cstheme="minorBidi"/>
          <w:b/>
          <w:bCs/>
          <w:sz w:val="28"/>
          <w:szCs w:val="28"/>
        </w:rPr>
        <w:t>技术支持钉钉群号：34165101、33927752</w:t>
      </w:r>
    </w:p>
    <w:p>
      <w:pPr>
        <w:tabs>
          <w:tab w:val="left" w:pos="900"/>
        </w:tabs>
        <w:spacing w:line="360"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cstheme="minorBidi"/>
          <w:b/>
          <w:bCs/>
          <w:color w:val="000000" w:themeColor="text1"/>
          <w:sz w:val="28"/>
          <w:szCs w:val="28"/>
          <w14:textFill>
            <w14:solidFill>
              <w14:schemeClr w14:val="tx1"/>
            </w14:solidFill>
          </w14:textFill>
        </w:rPr>
        <w:t>集中采购监督机构：成都市双流区财政局</w:t>
      </w:r>
    </w:p>
    <w:p>
      <w:pPr>
        <w:spacing w:line="360" w:lineRule="auto"/>
        <w:ind w:firstLine="560" w:firstLineChars="200"/>
        <w:rPr>
          <w:rFonts w:ascii="宋体" w:hAnsi="宋体"/>
          <w:sz w:val="28"/>
          <w:szCs w:val="28"/>
        </w:rPr>
      </w:pPr>
      <w:r>
        <w:rPr>
          <w:rFonts w:hint="eastAsia" w:ascii="宋体" w:hAnsi="宋体"/>
          <w:sz w:val="28"/>
          <w:szCs w:val="28"/>
        </w:rPr>
        <w:t>地 址：成都市双流区电视塔路二段36号</w:t>
      </w:r>
    </w:p>
    <w:p>
      <w:pPr>
        <w:tabs>
          <w:tab w:val="left" w:pos="900"/>
        </w:tabs>
        <w:spacing w:line="360" w:lineRule="auto"/>
        <w:ind w:firstLine="560" w:firstLineChars="200"/>
        <w:rPr>
          <w:rFonts w:ascii="宋体" w:hAnsi="宋体" w:cstheme="minorBidi"/>
          <w:sz w:val="28"/>
          <w:szCs w:val="28"/>
        </w:rPr>
      </w:pPr>
      <w:r>
        <w:rPr>
          <w:rFonts w:hint="eastAsia" w:ascii="宋体" w:hAnsi="宋体" w:cstheme="minorBidi"/>
          <w:sz w:val="28"/>
          <w:szCs w:val="28"/>
        </w:rPr>
        <w:t>联系电话：</w:t>
      </w:r>
      <w:r>
        <w:rPr>
          <w:rFonts w:ascii="宋体" w:hAnsi="宋体" w:cstheme="minorBidi"/>
          <w:sz w:val="28"/>
          <w:szCs w:val="28"/>
        </w:rPr>
        <w:t>028-85804726</w:t>
      </w:r>
    </w:p>
    <w:p>
      <w:pPr>
        <w:tabs>
          <w:tab w:val="left" w:pos="900"/>
        </w:tabs>
        <w:spacing w:line="360" w:lineRule="auto"/>
        <w:ind w:firstLine="560" w:firstLineChars="200"/>
        <w:rPr>
          <w:rFonts w:ascii="宋体" w:hAnsi="宋体" w:cstheme="minorBidi"/>
          <w:sz w:val="28"/>
          <w:szCs w:val="28"/>
        </w:rPr>
      </w:pPr>
    </w:p>
    <w:p>
      <w:pPr>
        <w:widowControl/>
        <w:jc w:val="left"/>
        <w:rPr>
          <w:rFonts w:ascii="宋体" w:hAnsi="宋体" w:cstheme="minorBidi"/>
          <w:b/>
          <w:sz w:val="28"/>
          <w:szCs w:val="28"/>
        </w:rPr>
      </w:pPr>
      <w:r>
        <w:rPr>
          <w:rFonts w:ascii="宋体" w:hAnsi="宋体" w:cstheme="minorBidi"/>
          <w:b/>
          <w:sz w:val="28"/>
          <w:szCs w:val="28"/>
        </w:rPr>
        <w:br w:type="page"/>
      </w:r>
    </w:p>
    <w:p>
      <w:pPr>
        <w:tabs>
          <w:tab w:val="left" w:pos="900"/>
        </w:tabs>
        <w:spacing w:line="360" w:lineRule="auto"/>
        <w:ind w:firstLine="562" w:firstLineChars="200"/>
        <w:rPr>
          <w:rFonts w:ascii="宋体" w:hAnsi="宋体" w:cstheme="minorBidi"/>
          <w:b/>
          <w:sz w:val="28"/>
          <w:szCs w:val="28"/>
        </w:rPr>
      </w:pPr>
    </w:p>
    <w:p>
      <w:pPr>
        <w:keepNext/>
        <w:keepLines/>
        <w:numPr>
          <w:ilvl w:val="0"/>
          <w:numId w:val="5"/>
        </w:numPr>
        <w:spacing w:before="340" w:line="400" w:lineRule="exact"/>
        <w:ind w:left="0" w:firstLine="0"/>
        <w:jc w:val="center"/>
        <w:outlineLvl w:val="0"/>
        <w:rPr>
          <w:rFonts w:ascii="宋体" w:hAnsi="宋体"/>
          <w:b/>
          <w:bCs/>
          <w:spacing w:val="-20"/>
          <w:kern w:val="44"/>
          <w:sz w:val="32"/>
          <w:szCs w:val="32"/>
        </w:rPr>
      </w:pPr>
      <w:bookmarkStart w:id="13" w:name="_Toc85657293"/>
      <w:r>
        <w:rPr>
          <w:rFonts w:hint="eastAsia" w:ascii="宋体" w:hAnsi="宋体"/>
          <w:b/>
          <w:bCs/>
          <w:spacing w:val="-20"/>
          <w:kern w:val="44"/>
          <w:sz w:val="32"/>
          <w:szCs w:val="32"/>
        </w:rPr>
        <w:t>投标人须知</w:t>
      </w:r>
      <w:bookmarkEnd w:id="13"/>
    </w:p>
    <w:p>
      <w:pPr>
        <w:keepNext/>
        <w:keepLines/>
        <w:numPr>
          <w:ilvl w:val="1"/>
          <w:numId w:val="5"/>
        </w:numPr>
        <w:spacing w:line="360" w:lineRule="auto"/>
        <w:jc w:val="left"/>
        <w:outlineLvl w:val="1"/>
        <w:rPr>
          <w:rFonts w:ascii="宋体" w:hAnsi="宋体"/>
          <w:b/>
          <w:bCs/>
          <w:sz w:val="28"/>
          <w:szCs w:val="28"/>
        </w:rPr>
      </w:pPr>
      <w:bookmarkStart w:id="14" w:name="_Toc213396946"/>
      <w:bookmarkStart w:id="15" w:name="_Toc316462344"/>
      <w:bookmarkStart w:id="16" w:name="_Toc213496268"/>
      <w:bookmarkStart w:id="17" w:name="_Toc213396760"/>
      <w:bookmarkStart w:id="18" w:name="_Toc189727030"/>
      <w:bookmarkStart w:id="19" w:name="_Toc85657294"/>
      <w:bookmarkStart w:id="20" w:name="_Toc213397010"/>
      <w:bookmarkStart w:id="21" w:name="_Toc217446032"/>
      <w:r>
        <w:rPr>
          <w:rFonts w:hint="eastAsia" w:ascii="宋体" w:hAnsi="宋体"/>
          <w:b/>
          <w:bCs/>
          <w:sz w:val="28"/>
          <w:szCs w:val="28"/>
        </w:rPr>
        <w:t>投标人须知前附表</w:t>
      </w:r>
      <w:bookmarkEnd w:id="14"/>
      <w:bookmarkEnd w:id="15"/>
      <w:bookmarkEnd w:id="16"/>
      <w:bookmarkEnd w:id="17"/>
      <w:bookmarkEnd w:id="18"/>
      <w:bookmarkEnd w:id="19"/>
      <w:bookmarkEnd w:id="20"/>
      <w:bookmarkEnd w:id="21"/>
    </w:p>
    <w:tbl>
      <w:tblPr>
        <w:tblStyle w:val="44"/>
        <w:tblW w:w="9510"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97"/>
        <w:gridCol w:w="1903"/>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3" w:hRule="exact"/>
          <w:jc w:val="center"/>
        </w:trPr>
        <w:tc>
          <w:tcPr>
            <w:tcW w:w="697"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rPr>
            </w:pPr>
            <w:r>
              <w:rPr>
                <w:rFonts w:hint="eastAsia" w:ascii="宋体" w:hAnsi="宋体"/>
                <w:b/>
                <w:sz w:val="28"/>
                <w:szCs w:val="28"/>
                <w:lang w:val="zh-CN"/>
              </w:rPr>
              <w:t>序号</w:t>
            </w:r>
          </w:p>
        </w:tc>
        <w:tc>
          <w:tcPr>
            <w:tcW w:w="1903"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lang w:val="zh-CN"/>
              </w:rPr>
            </w:pPr>
            <w:r>
              <w:rPr>
                <w:rFonts w:hint="eastAsia" w:ascii="宋体" w:hAnsi="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lang w:val="zh-CN"/>
              </w:rPr>
            </w:pPr>
            <w:r>
              <w:rPr>
                <w:rFonts w:hint="eastAsia" w:ascii="宋体" w:hAnsi="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1" w:hRule="exac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rPr>
            </w:pPr>
            <w:r>
              <w:rPr>
                <w:rFonts w:hint="eastAsia" w:ascii="宋体" w:hAnsi="宋体"/>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ind w:right="210"/>
              <w:rPr>
                <w:rFonts w:eastAsia="仿宋_GB2312" w:cs="宋体"/>
                <w:b/>
                <w:lang w:val="zh-CN"/>
              </w:rPr>
            </w:pPr>
            <w:r>
              <w:rPr>
                <w:rFonts w:hint="eastAsia" w:ascii="宋体" w:hAnsi="宋体"/>
                <w:b/>
              </w:rPr>
              <w:t>人民币2516742.05元</w:t>
            </w:r>
            <w:r>
              <w:rPr>
                <w:rFonts w:hint="eastAsia" w:ascii="宋体" w:hAnsi="宋体"/>
                <w:b/>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52" w:hRule="exac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b/>
                <w:lang w:val="zh-CN"/>
              </w:rPr>
            </w:pPr>
            <w:r>
              <w:rPr>
                <w:rFonts w:hint="eastAsia" w:ascii="宋体" w:hAnsi="宋体" w:cs="宋体"/>
                <w:b/>
                <w:lang w:val="zh-CN"/>
              </w:rPr>
              <w:t>最高限价：</w:t>
            </w:r>
            <w:r>
              <w:rPr>
                <w:rFonts w:hint="eastAsia" w:ascii="宋体" w:hAnsi="宋体"/>
                <w:b/>
              </w:rPr>
              <w:t>2516742.05元</w:t>
            </w:r>
            <w:r>
              <w:rPr>
                <w:rFonts w:hint="eastAsia" w:ascii="宋体" w:hAnsi="宋体"/>
                <w:b/>
                <w:lang w:val="zh-CN"/>
              </w:rPr>
              <w:t>，投</w:t>
            </w:r>
            <w:r>
              <w:rPr>
                <w:rFonts w:hint="eastAsia"/>
                <w:b/>
                <w:lang w:val="zh-CN"/>
              </w:rPr>
              <w:t>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3" w:hRule="exac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81"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1"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lang w:val="zh-CN"/>
              </w:rPr>
            </w:pPr>
            <w:r>
              <w:rPr>
                <w:rFonts w:hint="eastAsia" w:ascii="宋体" w:hAnsi="宋体" w:cs="宋体"/>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rPr>
            </w:pPr>
            <w:r>
              <w:rPr>
                <w:rFonts w:hint="eastAsia" w:ascii="宋体" w:hAnsi="宋体" w:cs="宋体"/>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1"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Style w:val="177"/>
                <w:rFonts w:hint="default"/>
                <w:lang w:val="zh-CN"/>
              </w:rPr>
            </w:pPr>
            <w:r>
              <w:rPr>
                <w:rFonts w:ascii="宋体" w:hAnsi="宋体" w:cs="宋体"/>
                <w:lang w:val="zh-CN"/>
              </w:rPr>
              <w:t>小微企业（监狱企业、残疾人福利性单位视同小微企业）价格扣除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firstLine="420" w:firstLineChars="200"/>
              <w:rPr>
                <w:lang w:val="zh-CN"/>
              </w:rPr>
            </w:pPr>
            <w:r>
              <w:rPr>
                <w:rFonts w:hint="eastAsia"/>
                <w:lang w:val="zh-CN"/>
              </w:rPr>
              <w:t>小微企业（监狱企业、残疾人福利性单位均视同小、微企业）价格扣除：</w:t>
            </w:r>
          </w:p>
          <w:p>
            <w:pPr>
              <w:autoSpaceDE w:val="0"/>
              <w:autoSpaceDN w:val="0"/>
              <w:adjustRightInd w:val="0"/>
              <w:spacing w:line="360" w:lineRule="auto"/>
              <w:ind w:right="210" w:rightChars="100" w:firstLine="420" w:firstLineChars="200"/>
              <w:rPr>
                <w:lang w:val="zh-CN"/>
              </w:rPr>
            </w:pPr>
            <w:r>
              <w:rPr>
                <w:rFonts w:hint="eastAsia"/>
                <w:lang w:val="zh-CN"/>
              </w:rPr>
              <w:t>1.根据《政府采购促进中小企业发展管理办法》（财库[2020]46号）的规定，对小型和微型企业的价格给予10%的价格扣除，用扣除后的价格参与评标。2.参加政府采购活动的中小企业提供《中小企业声明函》，未提供视为放弃享受小微企业价格扣除优惠政策。3.监狱企业参加政府采购活动时，应当提供由省级以上监狱管理局、戒毒管理局（含新疆生产建设兵团）出具的属于监狱企业的证明文件复印件。4.参加政府采购活动的残疾人福利性单位应当提供《残疾人福利性单位声明函》，未提供视为放弃享受小微企业价格扣除优惠政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50"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70"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b/>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0"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提交投标文件的截止之日起</w:t>
            </w:r>
            <w:r>
              <w:rPr>
                <w:rFonts w:hint="eastAsia" w:ascii="宋体" w:hAnsi="宋体" w:cs="宋体"/>
                <w:u w:val="single"/>
                <w:lang w:val="zh-CN"/>
              </w:rPr>
              <w:t>120</w:t>
            </w:r>
            <w:r>
              <w:rPr>
                <w:rFonts w:hint="eastAsia" w:ascii="宋体" w:hAnsi="宋体" w:cs="宋体"/>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6"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60"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jc w:val="left"/>
              <w:rPr>
                <w:rFonts w:ascii="宋体" w:hAnsi="宋体"/>
                <w:bCs/>
              </w:rPr>
            </w:pPr>
            <w:r>
              <w:rPr>
                <w:rFonts w:hint="eastAsia" w:ascii="宋体" w:hAnsi="宋体"/>
                <w:bCs/>
              </w:rPr>
              <w:t>详见投标人须知2.4.12</w:t>
            </w:r>
          </w:p>
          <w:p>
            <w:pPr>
              <w:tabs>
                <w:tab w:val="left" w:pos="7665"/>
              </w:tabs>
              <w:snapToGrid w:val="0"/>
              <w:spacing w:line="360" w:lineRule="auto"/>
              <w:jc w:val="left"/>
              <w:rPr>
                <w:b/>
              </w:rPr>
            </w:pPr>
            <w:r>
              <w:rPr>
                <w:rFonts w:hint="eastAsia" w:ascii="宋体" w:hAnsi="宋体"/>
                <w:b/>
              </w:rPr>
              <w:t>注：投标人使用CA证书在投标截止时间前，将投标文件上传至政府采购云平台，上传前须对投标文件是否有电子签章等进行核对。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8"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1"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b/>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详见投标人须知2.5.1。</w:t>
            </w:r>
          </w:p>
          <w:p>
            <w:pPr>
              <w:snapToGrid w:val="0"/>
              <w:spacing w:line="360" w:lineRule="auto"/>
              <w:rPr>
                <w:rFonts w:ascii="宋体" w:hAnsi="宋体"/>
                <w:b/>
              </w:rPr>
            </w:pPr>
            <w:r>
              <w:rPr>
                <w:rFonts w:hint="eastAsia" w:ascii="宋体" w:hAnsi="宋体"/>
                <w:b/>
              </w:rPr>
              <w:t>投标文件解密：开启解密后，投标人应在系统提示的解密开始时间后</w:t>
            </w:r>
            <w:r>
              <w:rPr>
                <w:rFonts w:ascii="宋体" w:hAnsi="宋体"/>
                <w:b/>
              </w:rPr>
              <w:t>60</w:t>
            </w:r>
            <w:r>
              <w:rPr>
                <w:rFonts w:hint="eastAsia" w:ascii="宋体" w:hAnsi="宋体"/>
                <w:b/>
              </w:rPr>
              <w:t>分钟内 ，使用对投标文件进行加密的CA证书在线完成对投标人递交至政府采购云平台的投标文件的解密。</w:t>
            </w:r>
          </w:p>
          <w:p>
            <w:pPr>
              <w:snapToGrid w:val="0"/>
              <w:spacing w:line="360" w:lineRule="auto"/>
              <w:rPr>
                <w:rFonts w:ascii="宋体" w:hAnsi="宋体"/>
                <w:b/>
              </w:rPr>
            </w:pPr>
            <w:r>
              <w:rPr>
                <w:rFonts w:hint="eastAsia" w:ascii="宋体" w:hAnsi="宋体"/>
                <w:b/>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rPr>
            </w:pPr>
            <w:r>
              <w:rPr>
                <w:rFonts w:hint="eastAsia" w:ascii="宋体" w:hAnsi="宋体"/>
                <w:b/>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92"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对招标文件中供应商参加本次政府采购活动应当具备的条件，招标文件</w:t>
            </w:r>
            <w:r>
              <w:rPr>
                <w:rFonts w:hint="eastAsia" w:ascii="宋体" w:hAnsi="宋体" w:cs="宋体"/>
                <w:szCs w:val="21"/>
              </w:rPr>
              <w:t>项目技术、服务、商务及其他要求，评审细则和标准，采购合同格式，以及关于资格审查、中标（成交）结果的询问、质疑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93"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对招标文件中的其他内容，招标文件</w:t>
            </w:r>
            <w:r>
              <w:rPr>
                <w:rFonts w:hint="eastAsia" w:ascii="宋体" w:hAnsi="宋体" w:cs="宋体"/>
                <w:szCs w:val="21"/>
              </w:rPr>
              <w:t>中采购程序、供应商须知、响应文件格式、以及开标过程程序的询问、质疑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向区公资交易中心提出，并由区公资交易中心按相关规定作出答复（详见投标人须知2.8）。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75"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lang w:val="zh-CN"/>
              </w:rPr>
            </w:pPr>
            <w:r>
              <w:rPr>
                <w:rFonts w:hint="eastAsia" w:ascii="宋体" w:hAnsi="宋体"/>
              </w:rPr>
              <w:t>投诉受理单位：</w:t>
            </w:r>
            <w:r>
              <w:rPr>
                <w:rFonts w:hint="eastAsia" w:ascii="宋体" w:hAnsi="宋体"/>
                <w:lang w:val="zh-CN"/>
              </w:rPr>
              <w:t>本采购项目同级财政部门，即成都市双流区财政局。</w:t>
            </w:r>
          </w:p>
          <w:p>
            <w:pPr>
              <w:tabs>
                <w:tab w:val="left" w:pos="7665"/>
              </w:tabs>
              <w:snapToGrid w:val="0"/>
              <w:spacing w:line="360" w:lineRule="auto"/>
              <w:rPr>
                <w:rFonts w:ascii="宋体" w:hAnsi="宋体"/>
              </w:rPr>
            </w:pPr>
            <w:r>
              <w:rPr>
                <w:rFonts w:hint="eastAsia" w:ascii="宋体" w:hAnsi="宋体"/>
              </w:rPr>
              <w:t>联系电话：</w:t>
            </w:r>
            <w:r>
              <w:rPr>
                <w:rFonts w:hint="eastAsia" w:ascii="宋体" w:hAnsi="宋体"/>
                <w:lang w:val="zh-CN"/>
              </w:rPr>
              <w:t>028-85804726</w:t>
            </w:r>
            <w:r>
              <w:rPr>
                <w:rFonts w:hint="eastAsia" w:ascii="宋体" w:hAnsi="宋体"/>
              </w:rPr>
              <w:t>。</w:t>
            </w:r>
          </w:p>
          <w:p>
            <w:pPr>
              <w:tabs>
                <w:tab w:val="left" w:pos="7665"/>
              </w:tabs>
              <w:snapToGrid w:val="0"/>
              <w:spacing w:line="360" w:lineRule="auto"/>
              <w:rPr>
                <w:rFonts w:ascii="宋体" w:hAnsi="宋体"/>
              </w:rPr>
            </w:pPr>
            <w:r>
              <w:rPr>
                <w:rFonts w:hint="eastAsia" w:ascii="宋体" w:hAnsi="宋体"/>
              </w:rPr>
              <w:t>地址：成都市双流区电视塔路2段36号。</w:t>
            </w:r>
          </w:p>
          <w:p>
            <w:pPr>
              <w:tabs>
                <w:tab w:val="left" w:pos="7665"/>
              </w:tabs>
              <w:snapToGrid w:val="0"/>
              <w:spacing w:line="360" w:lineRule="auto"/>
              <w:rPr>
                <w:rFonts w:ascii="宋体" w:hAnsi="宋体"/>
              </w:rPr>
            </w:pPr>
            <w:r>
              <w:rPr>
                <w:rFonts w:hint="eastAsia" w:ascii="宋体" w:hAnsi="宋体"/>
              </w:rPr>
              <w:t>邮编：610200。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65" w:hRule="atLeast"/>
          <w:jc w:val="center"/>
        </w:trPr>
        <w:tc>
          <w:tcPr>
            <w:tcW w:w="697"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190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投标人</w:t>
            </w:r>
            <w:r>
              <w:rPr>
                <w:rFonts w:hint="eastAsia" w:ascii="宋体" w:hAnsi="宋体" w:cs="宋体"/>
                <w:lang w:val="zh-CN"/>
              </w:rPr>
              <w:t>投标文件资格性、符合性检查情况、采用综合评分法时的总得分和分项汇总得分情况、评标结果等将在成都市公共资源交易服务中心网、四川政府采购网上采购结果公告栏中予以公告。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4" w:hRule="atLeast"/>
          <w:jc w:val="center"/>
        </w:trPr>
        <w:tc>
          <w:tcPr>
            <w:tcW w:w="697"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190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7" w:hRule="atLeast"/>
          <w:jc w:val="center"/>
        </w:trPr>
        <w:tc>
          <w:tcPr>
            <w:tcW w:w="697"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190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四川省成都市双流区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65" w:hRule="atLeast"/>
          <w:jc w:val="center"/>
        </w:trPr>
        <w:tc>
          <w:tcPr>
            <w:tcW w:w="697"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190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rPr>
            </w:pPr>
            <w:r>
              <w:rPr>
                <w:rFonts w:hint="eastAsia" w:ascii="宋体" w:hAnsi="宋体"/>
              </w:rPr>
              <w:t>政府采购合同签订之日起2个工作日内，采购人将在四川政府采购网公告采购合同；政府采购合同签订之日起7个工作日内，采购人将向本采购项目同级财政部门，即</w:t>
            </w:r>
            <w:r>
              <w:rPr>
                <w:rFonts w:hint="eastAsia" w:ascii="宋体" w:hAnsi="宋体"/>
                <w:lang w:val="zh-CN"/>
              </w:rPr>
              <w:t>成都市双流区财政局</w:t>
            </w:r>
            <w:r>
              <w:rPr>
                <w:rFonts w:hint="eastAsia" w:ascii="宋体" w:hAnsi="宋体"/>
              </w:rPr>
              <w:t>备案</w:t>
            </w:r>
            <w:r>
              <w:rPr>
                <w:rFonts w:hint="eastAsia" w:ascii="宋体" w:hAnsi="宋体"/>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95" w:hRule="atLeast"/>
          <w:jc w:val="center"/>
        </w:trPr>
        <w:tc>
          <w:tcPr>
            <w:tcW w:w="697"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190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b/>
              </w:rPr>
            </w:pPr>
            <w:r>
              <w:rPr>
                <w:rFonts w:hint="eastAsia" w:ascii="宋体" w:hAnsi="宋体"/>
                <w:bCs/>
              </w:rPr>
              <w:t>政采信用担保融资</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本项目属于政府采购信用融资业务项目，融资利率上浮比例不超过人民银行同期贷款基准利率30%，银行机构名单联系方式见附件1。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697"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190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8" w:hRule="atLeast"/>
          <w:jc w:val="center"/>
        </w:trPr>
        <w:tc>
          <w:tcPr>
            <w:tcW w:w="697"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881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本项目为</w:t>
            </w:r>
            <w:r>
              <w:rPr>
                <w:rFonts w:hint="eastAsia" w:ascii="宋体" w:hAnsi="宋体"/>
                <w:b/>
                <w:bCs/>
              </w:rPr>
              <w:t>非专门</w:t>
            </w:r>
            <w:r>
              <w:rPr>
                <w:rFonts w:hint="eastAsia" w:ascii="宋体" w:hAnsi="宋体"/>
              </w:rPr>
              <w:t>面向中小企业的采购项目。</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8" w:hRule="atLeast"/>
          <w:jc w:val="center"/>
        </w:trPr>
        <w:tc>
          <w:tcPr>
            <w:tcW w:w="697"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881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本项目</w:t>
            </w:r>
            <w:r>
              <w:rPr>
                <w:rFonts w:hint="eastAsia" w:ascii="宋体" w:hAnsi="宋体"/>
                <w:b/>
                <w:bCs/>
              </w:rPr>
              <w:t>不接受</w:t>
            </w:r>
            <w:r>
              <w:rPr>
                <w:rFonts w:hint="eastAsia" w:ascii="宋体" w:hAnsi="宋体"/>
              </w:rPr>
              <w:t>联合体投标。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8" w:hRule="atLeast"/>
          <w:jc w:val="center"/>
        </w:trPr>
        <w:tc>
          <w:tcPr>
            <w:tcW w:w="697"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881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供应商信用信息查询时间截止时点：信用信息查询在资格审查阶段完成。</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697"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881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49" w:hRule="atLeast"/>
          <w:jc w:val="center"/>
        </w:trPr>
        <w:tc>
          <w:tcPr>
            <w:tcW w:w="697"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881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采购人须对第3章、第4章、第5章和第6章中要求供应商提供的承诺函、相关材料及证明文件进行查验并做好查验记录。查验时间截止时点：采购人在收到评审报告后，确认中标供应商前完成查验。</w:t>
            </w:r>
          </w:p>
        </w:tc>
      </w:tr>
    </w:tbl>
    <w:p>
      <w:pPr>
        <w:keepNext/>
        <w:keepLines/>
        <w:numPr>
          <w:ilvl w:val="1"/>
          <w:numId w:val="5"/>
        </w:numPr>
        <w:spacing w:line="360" w:lineRule="auto"/>
        <w:jc w:val="left"/>
        <w:outlineLvl w:val="1"/>
        <w:rPr>
          <w:rFonts w:ascii="宋体" w:hAnsi="宋体"/>
          <w:b/>
          <w:bCs/>
          <w:sz w:val="28"/>
          <w:szCs w:val="28"/>
        </w:rPr>
      </w:pPr>
      <w:bookmarkStart w:id="22" w:name="_Toc85657295"/>
      <w:r>
        <w:rPr>
          <w:rFonts w:hint="eastAsia" w:ascii="宋体" w:hAnsi="宋体"/>
          <w:b/>
          <w:bCs/>
          <w:sz w:val="28"/>
          <w:szCs w:val="28"/>
        </w:rPr>
        <w:t>总则</w:t>
      </w:r>
      <w:bookmarkEnd w:id="22"/>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适用范围</w:t>
      </w:r>
    </w:p>
    <w:p>
      <w:pPr>
        <w:numPr>
          <w:ilvl w:val="0"/>
          <w:numId w:val="11"/>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本招标文件仅适用于本次公开招标采购项目。</w:t>
      </w:r>
    </w:p>
    <w:p>
      <w:pPr>
        <w:numPr>
          <w:ilvl w:val="0"/>
          <w:numId w:val="11"/>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本招标文件的最终解释权由采购人或区公资交易中心享有。对招标文件中供应商参加本次政府采购活动应当具备的条件，招标项目技术、服务、商务及其他要求，评标细则及标准由采购人负责解释。除上述招标文件内容，其他内容由区公资交易中心负责解释。</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有关定义</w:t>
      </w:r>
    </w:p>
    <w:p>
      <w:pPr>
        <w:numPr>
          <w:ilvl w:val="0"/>
          <w:numId w:val="12"/>
        </w:numPr>
        <w:tabs>
          <w:tab w:val="left" w:pos="1134"/>
        </w:tabs>
        <w:spacing w:line="360" w:lineRule="auto"/>
        <w:ind w:left="0" w:firstLine="568"/>
        <w:rPr>
          <w:rFonts w:ascii="宋体" w:hAnsi="宋体"/>
          <w:sz w:val="28"/>
          <w:szCs w:val="28"/>
        </w:rPr>
      </w:pPr>
      <w:r>
        <w:rPr>
          <w:rFonts w:hint="eastAsia" w:ascii="宋体" w:hAnsi="宋体"/>
          <w:sz w:val="28"/>
          <w:szCs w:val="28"/>
        </w:rPr>
        <w:t>“采购人”和“甲方”系指依法进行政府采购的成都市双流区级机关、事业单位、团体组织。本次招标的采购人是</w:t>
      </w:r>
      <w:r>
        <w:rPr>
          <w:rFonts w:hint="eastAsia" w:ascii="宋体" w:hAnsi="宋体"/>
          <w:b/>
          <w:bCs/>
          <w:sz w:val="28"/>
          <w:szCs w:val="28"/>
        </w:rPr>
        <w:t>成都市双流区教育技术装备管理中心</w:t>
      </w:r>
      <w:r>
        <w:rPr>
          <w:rFonts w:hint="eastAsia" w:ascii="宋体" w:hAnsi="宋体"/>
          <w:sz w:val="28"/>
          <w:szCs w:val="28"/>
        </w:rPr>
        <w:t>。</w:t>
      </w:r>
    </w:p>
    <w:p>
      <w:pPr>
        <w:numPr>
          <w:ilvl w:val="0"/>
          <w:numId w:val="12"/>
        </w:numPr>
        <w:tabs>
          <w:tab w:val="left" w:pos="1134"/>
        </w:tabs>
        <w:spacing w:line="360" w:lineRule="auto"/>
        <w:ind w:left="0" w:firstLine="567"/>
        <w:rPr>
          <w:rFonts w:ascii="宋体" w:hAnsi="宋体"/>
          <w:sz w:val="28"/>
          <w:szCs w:val="28"/>
        </w:rPr>
      </w:pPr>
      <w:r>
        <w:rPr>
          <w:rFonts w:hint="eastAsia" w:ascii="宋体" w:hAnsi="宋体"/>
          <w:sz w:val="28"/>
          <w:szCs w:val="28"/>
        </w:rPr>
        <w:t>“投标人”系指在系统中成功提交《采购文件获取登记表》拟参加投标和向采购人提供货物及服务的供应商。</w:t>
      </w:r>
    </w:p>
    <w:p>
      <w:pPr>
        <w:numPr>
          <w:ilvl w:val="0"/>
          <w:numId w:val="12"/>
        </w:numPr>
        <w:tabs>
          <w:tab w:val="left" w:pos="1134"/>
        </w:tabs>
        <w:spacing w:line="360" w:lineRule="auto"/>
        <w:ind w:left="0" w:firstLine="567"/>
        <w:rPr>
          <w:rFonts w:ascii="宋体" w:hAnsi="宋体"/>
          <w:sz w:val="28"/>
          <w:szCs w:val="28"/>
        </w:rPr>
      </w:pPr>
      <w:r>
        <w:rPr>
          <w:rFonts w:hint="eastAsia" w:ascii="宋体" w:hAnsi="宋体"/>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2"/>
        </w:numPr>
        <w:tabs>
          <w:tab w:val="left" w:pos="1134"/>
        </w:tabs>
        <w:spacing w:line="360" w:lineRule="auto"/>
        <w:ind w:left="0" w:firstLine="568"/>
        <w:rPr>
          <w:rFonts w:ascii="宋体" w:hAnsi="宋体"/>
          <w:sz w:val="28"/>
          <w:szCs w:val="28"/>
        </w:rPr>
      </w:pPr>
      <w:r>
        <w:rPr>
          <w:rFonts w:hint="eastAsia" w:ascii="宋体" w:hAnsi="宋体"/>
          <w:sz w:val="28"/>
          <w:szCs w:val="28"/>
        </w:rPr>
        <w:t>本招标文件各部分规定的“以上”、“以下”、“内”、“以内”，包括本数；所称的“不足”，不包括本数。</w:t>
      </w:r>
    </w:p>
    <w:p>
      <w:pPr>
        <w:numPr>
          <w:ilvl w:val="0"/>
          <w:numId w:val="12"/>
        </w:numPr>
        <w:tabs>
          <w:tab w:val="left" w:pos="1134"/>
        </w:tabs>
        <w:spacing w:line="360" w:lineRule="auto"/>
        <w:ind w:left="0" w:firstLine="568"/>
        <w:rPr>
          <w:rFonts w:ascii="宋体" w:hAnsi="宋体"/>
          <w:sz w:val="28"/>
          <w:szCs w:val="28"/>
        </w:rPr>
      </w:pPr>
      <w:r>
        <w:rPr>
          <w:rFonts w:ascii="宋体" w:hAnsi="宋体"/>
          <w:sz w:val="28"/>
          <w:szCs w:val="28"/>
        </w:rPr>
        <w:t>重大违法记录是指供应商因违法经营受到刑事处罚或者责令停产停业、吊销许可证或者执照、较大数额罚款等行政处罚</w:t>
      </w:r>
      <w:r>
        <w:rPr>
          <w:rFonts w:hint="eastAsia" w:ascii="宋体" w:hAnsi="宋体"/>
          <w:sz w:val="28"/>
          <w:szCs w:val="28"/>
        </w:rPr>
        <w:t>。</w:t>
      </w:r>
    </w:p>
    <w:p>
      <w:pPr>
        <w:numPr>
          <w:ilvl w:val="0"/>
          <w:numId w:val="12"/>
        </w:numPr>
        <w:tabs>
          <w:tab w:val="left" w:pos="1134"/>
        </w:tabs>
        <w:spacing w:line="360" w:lineRule="auto"/>
        <w:ind w:left="0" w:firstLine="568"/>
        <w:rPr>
          <w:rFonts w:ascii="宋体" w:hAnsi="宋体"/>
          <w:sz w:val="28"/>
          <w:szCs w:val="28"/>
        </w:rPr>
      </w:pPr>
      <w:r>
        <w:rPr>
          <w:rFonts w:hint="eastAsia" w:ascii="宋体" w:hAnsi="宋体"/>
          <w:sz w:val="28"/>
          <w:szCs w:val="28"/>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numPr>
          <w:ilvl w:val="0"/>
          <w:numId w:val="12"/>
        </w:numPr>
        <w:tabs>
          <w:tab w:val="left" w:pos="1134"/>
        </w:tabs>
        <w:spacing w:line="360" w:lineRule="auto"/>
        <w:ind w:left="0" w:firstLine="568"/>
        <w:rPr>
          <w:rFonts w:ascii="宋体" w:hAnsi="宋体"/>
          <w:sz w:val="28"/>
          <w:szCs w:val="28"/>
        </w:rPr>
      </w:pPr>
      <w:r>
        <w:rPr>
          <w:rFonts w:hint="eastAsia" w:ascii="宋体" w:hAnsi="宋体"/>
          <w:sz w:val="28"/>
          <w:szCs w:val="28"/>
        </w:rPr>
        <w:t>不见面开标是指，区公资交易中心依托政府采购云平台组织开标活动，供应商在线参与开标的一种组织形式。</w:t>
      </w:r>
    </w:p>
    <w:p>
      <w:pPr>
        <w:keepNext/>
        <w:keepLines/>
        <w:numPr>
          <w:ilvl w:val="2"/>
          <w:numId w:val="5"/>
        </w:numPr>
        <w:spacing w:line="360" w:lineRule="auto"/>
        <w:ind w:left="3119" w:hanging="3119"/>
        <w:outlineLvl w:val="2"/>
        <w:rPr>
          <w:rFonts w:ascii="宋体" w:hAnsi="宋体"/>
          <w:b/>
          <w:bCs/>
          <w:sz w:val="28"/>
          <w:szCs w:val="28"/>
        </w:rPr>
      </w:pPr>
      <w:bookmarkStart w:id="23" w:name="_Toc183582207"/>
      <w:bookmarkStart w:id="24" w:name="_Toc217446036"/>
      <w:bookmarkStart w:id="25" w:name="_Toc183682344"/>
      <w:bookmarkStart w:id="26" w:name="_Toc217390843"/>
      <w:r>
        <w:rPr>
          <w:rFonts w:hint="eastAsia" w:ascii="宋体" w:hAnsi="宋体"/>
          <w:b/>
          <w:bCs/>
          <w:sz w:val="28"/>
          <w:szCs w:val="28"/>
        </w:rPr>
        <w:t>合格的投标人</w:t>
      </w:r>
      <w:bookmarkEnd w:id="23"/>
      <w:bookmarkEnd w:id="24"/>
      <w:bookmarkEnd w:id="25"/>
      <w:bookmarkEnd w:id="26"/>
    </w:p>
    <w:p>
      <w:pPr>
        <w:tabs>
          <w:tab w:val="left" w:pos="7665"/>
        </w:tabs>
        <w:spacing w:line="360" w:lineRule="auto"/>
        <w:ind w:firstLine="565" w:firstLineChars="202"/>
        <w:rPr>
          <w:rFonts w:ascii="宋体" w:hAnsi="宋体"/>
          <w:sz w:val="28"/>
          <w:szCs w:val="28"/>
        </w:rPr>
      </w:pPr>
      <w:r>
        <w:rPr>
          <w:rFonts w:hint="eastAsia" w:ascii="宋体" w:hAnsi="宋体"/>
          <w:sz w:val="28"/>
          <w:szCs w:val="28"/>
        </w:rPr>
        <w:t>合格的投标人应具备以下条件：</w:t>
      </w:r>
    </w:p>
    <w:p>
      <w:pPr>
        <w:numPr>
          <w:ilvl w:val="0"/>
          <w:numId w:val="13"/>
        </w:numPr>
        <w:tabs>
          <w:tab w:val="left" w:pos="1134"/>
        </w:tabs>
        <w:spacing w:line="360" w:lineRule="auto"/>
        <w:rPr>
          <w:rFonts w:ascii="宋体" w:hAnsi="宋体"/>
          <w:sz w:val="28"/>
          <w:szCs w:val="28"/>
        </w:rPr>
      </w:pPr>
      <w:r>
        <w:rPr>
          <w:rFonts w:hint="eastAsia" w:ascii="宋体" w:hAnsi="宋体"/>
          <w:sz w:val="28"/>
          <w:szCs w:val="28"/>
        </w:rPr>
        <w:t>本招标文件“投标邀请”第五条规定的条件；</w:t>
      </w:r>
    </w:p>
    <w:p>
      <w:pPr>
        <w:numPr>
          <w:ilvl w:val="0"/>
          <w:numId w:val="13"/>
        </w:numPr>
        <w:tabs>
          <w:tab w:val="left" w:pos="1134"/>
        </w:tabs>
        <w:spacing w:line="360" w:lineRule="auto"/>
        <w:ind w:left="0" w:firstLine="568"/>
        <w:rPr>
          <w:rFonts w:ascii="宋体" w:hAnsi="宋体"/>
          <w:sz w:val="28"/>
          <w:szCs w:val="28"/>
        </w:rPr>
      </w:pPr>
      <w:r>
        <w:rPr>
          <w:rFonts w:hint="eastAsia" w:ascii="宋体" w:hAnsi="宋体"/>
          <w:sz w:val="28"/>
          <w:szCs w:val="28"/>
        </w:rPr>
        <w:t>按照招标文件“投标邀请”中第六、七、八条规定获取了招标文件。</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投标费用</w:t>
      </w:r>
    </w:p>
    <w:p>
      <w:pPr>
        <w:spacing w:line="360" w:lineRule="auto"/>
        <w:ind w:firstLine="660" w:firstLineChars="236"/>
        <w:rPr>
          <w:rFonts w:ascii="宋体" w:hAnsi="宋体"/>
          <w:sz w:val="28"/>
          <w:szCs w:val="28"/>
        </w:rPr>
      </w:pPr>
      <w:r>
        <w:rPr>
          <w:rFonts w:hint="eastAsia" w:ascii="宋体" w:hAnsi="宋体"/>
          <w:sz w:val="28"/>
          <w:szCs w:val="28"/>
        </w:rPr>
        <w:t>投标人应自行承担参加投标的全部费用。</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充分、公平竞争保障措施</w:t>
      </w:r>
    </w:p>
    <w:p>
      <w:pPr>
        <w:tabs>
          <w:tab w:val="left" w:pos="1134"/>
        </w:tabs>
        <w:adjustRightInd w:val="0"/>
        <w:spacing w:line="360" w:lineRule="auto"/>
        <w:ind w:left="567"/>
        <w:rPr>
          <w:rFonts w:ascii="宋体" w:hAnsi="宋体"/>
          <w:sz w:val="28"/>
          <w:szCs w:val="28"/>
        </w:rPr>
      </w:pPr>
      <w:r>
        <w:rPr>
          <w:rFonts w:hint="eastAsia" w:ascii="宋体" w:hAnsi="宋体"/>
          <w:sz w:val="28"/>
          <w:szCs w:val="28"/>
        </w:rPr>
        <w:t>一、单位负责人为同一人或者存在直接控股、管理关系的不同供应</w:t>
      </w:r>
    </w:p>
    <w:p>
      <w:pPr>
        <w:tabs>
          <w:tab w:val="left" w:pos="1134"/>
        </w:tabs>
        <w:adjustRightInd w:val="0"/>
        <w:spacing w:line="360" w:lineRule="auto"/>
        <w:rPr>
          <w:rFonts w:ascii="宋体" w:hAnsi="宋体"/>
          <w:sz w:val="28"/>
          <w:szCs w:val="28"/>
        </w:rPr>
      </w:pPr>
      <w:r>
        <w:rPr>
          <w:rFonts w:hint="eastAsia" w:ascii="宋体" w:hAnsi="宋体"/>
          <w:sz w:val="28"/>
          <w:szCs w:val="28"/>
        </w:rPr>
        <w:t>商，不得参加同一项目的投标。</w:t>
      </w:r>
    </w:p>
    <w:p>
      <w:pPr>
        <w:tabs>
          <w:tab w:val="left" w:pos="1134"/>
        </w:tabs>
        <w:adjustRightInd w:val="0"/>
        <w:spacing w:line="360" w:lineRule="auto"/>
        <w:ind w:firstLine="560" w:firstLineChars="200"/>
        <w:rPr>
          <w:rFonts w:ascii="宋体" w:hAnsi="宋体"/>
          <w:b/>
          <w:color w:val="000000" w:themeColor="text1"/>
          <w:sz w:val="28"/>
          <w:szCs w:val="28"/>
          <w14:textFill>
            <w14:solidFill>
              <w14:schemeClr w14:val="tx1"/>
            </w14:solidFill>
          </w14:textFill>
        </w:rPr>
      </w:pPr>
      <w:r>
        <w:rPr>
          <w:rFonts w:hint="eastAsia" w:ascii="宋体" w:hAnsi="宋体"/>
          <w:sz w:val="28"/>
          <w:szCs w:val="28"/>
        </w:rPr>
        <w:t>二、为采购项目提供整体设计、规范编制或者项目管理、监理、检测等服务的供应商，不得再参加该采购项目的其他采购活动。供应商为采购人、</w:t>
      </w:r>
      <w:r>
        <w:rPr>
          <w:rFonts w:hint="eastAsia" w:ascii="宋体" w:cs="Arial"/>
          <w:sz w:val="28"/>
          <w:szCs w:val="28"/>
        </w:rPr>
        <w:t>采购代理机构</w:t>
      </w:r>
      <w:r>
        <w:rPr>
          <w:rFonts w:hint="eastAsia" w:ascii="宋体" w:hAnsi="宋体"/>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sz w:val="28"/>
          <w:szCs w:val="28"/>
        </w:rPr>
        <w:t>（说明：四川纷享慧科技有限公司</w:t>
      </w:r>
      <w:r>
        <w:rPr>
          <w:rFonts w:hint="eastAsia" w:ascii="宋体" w:hAnsi="宋体"/>
          <w:b/>
          <w:color w:val="000000" w:themeColor="text1"/>
          <w:sz w:val="28"/>
          <w:szCs w:val="28"/>
          <w14:textFill>
            <w14:solidFill>
              <w14:schemeClr w14:val="tx1"/>
            </w14:solidFill>
          </w14:textFill>
        </w:rPr>
        <w:t>为本项目提供整体设计、规范编制或者项目管理、监理、检测等服务。）</w:t>
      </w:r>
    </w:p>
    <w:p>
      <w:pPr>
        <w:tabs>
          <w:tab w:val="left" w:pos="1134"/>
        </w:tabs>
        <w:adjustRightInd w:val="0"/>
        <w:spacing w:line="360" w:lineRule="auto"/>
        <w:ind w:firstLine="560" w:firstLineChars="200"/>
        <w:rPr>
          <w:rFonts w:ascii="宋体" w:hAnsi="宋体"/>
          <w:b/>
          <w:sz w:val="28"/>
          <w:szCs w:val="28"/>
        </w:rPr>
      </w:pPr>
      <w:r>
        <w:rPr>
          <w:rFonts w:hint="eastAsia" w:ascii="宋体" w:hAnsi="宋体"/>
          <w:sz w:val="28"/>
          <w:szCs w:val="28"/>
        </w:rPr>
        <w:t>三、本项</w:t>
      </w:r>
      <w:r>
        <w:rPr>
          <w:rFonts w:hint="eastAsia" w:asciiTheme="minorEastAsia" w:hAnsiTheme="minorEastAsia"/>
          <w:sz w:val="28"/>
          <w:szCs w:val="28"/>
          <w:lang w:val="zh-CN"/>
        </w:rPr>
        <w:t>目</w:t>
      </w:r>
      <w:r>
        <w:rPr>
          <w:rFonts w:hint="eastAsia" w:asciiTheme="minorEastAsia" w:hAnsiTheme="minorEastAsia"/>
          <w:b/>
          <w:sz w:val="28"/>
          <w:szCs w:val="28"/>
        </w:rPr>
        <w:t>核心产品为</w:t>
      </w:r>
      <w:r>
        <w:rPr>
          <w:rFonts w:hint="eastAsia" w:ascii="宋体" w:hAnsi="宋体"/>
          <w:b/>
          <w:sz w:val="28"/>
          <w:szCs w:val="28"/>
        </w:rPr>
        <w:t>LED显示屏A和LED显示屏B。</w:t>
      </w:r>
      <w:r>
        <w:rPr>
          <w:rFonts w:hint="eastAsia" w:hAnsi="宋体"/>
          <w:sz w:val="28"/>
          <w:szCs w:val="28"/>
        </w:rPr>
        <w:t>提供核心产品品牌相</w:t>
      </w:r>
      <w:r>
        <w:rPr>
          <w:rFonts w:hint="eastAsia" w:hAnsi="宋体"/>
          <w:sz w:val="28"/>
          <w:szCs w:val="28"/>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1"/>
          <w:numId w:val="5"/>
        </w:numPr>
        <w:spacing w:line="360" w:lineRule="auto"/>
        <w:jc w:val="left"/>
        <w:outlineLvl w:val="1"/>
        <w:rPr>
          <w:rFonts w:ascii="宋体" w:hAnsi="宋体"/>
          <w:b/>
          <w:bCs/>
          <w:sz w:val="28"/>
          <w:szCs w:val="28"/>
        </w:rPr>
      </w:pPr>
      <w:bookmarkStart w:id="27" w:name="_Toc85657296"/>
      <w:bookmarkStart w:id="28" w:name="_Toc183582210"/>
      <w:bookmarkStart w:id="29" w:name="_Toc183682347"/>
      <w:bookmarkStart w:id="30" w:name="_Toc217446039"/>
      <w:r>
        <w:rPr>
          <w:rFonts w:hint="eastAsia" w:ascii="宋体" w:hAnsi="宋体"/>
          <w:b/>
          <w:bCs/>
          <w:sz w:val="28"/>
          <w:szCs w:val="28"/>
        </w:rPr>
        <w:t>招标文件</w:t>
      </w:r>
      <w:bookmarkEnd w:id="27"/>
      <w:bookmarkEnd w:id="28"/>
      <w:bookmarkEnd w:id="29"/>
      <w:bookmarkEnd w:id="30"/>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招标文件的构成</w:t>
      </w:r>
    </w:p>
    <w:p>
      <w:pPr>
        <w:numPr>
          <w:ilvl w:val="0"/>
          <w:numId w:val="14"/>
        </w:numPr>
        <w:tabs>
          <w:tab w:val="left" w:pos="1134"/>
        </w:tabs>
        <w:spacing w:line="360" w:lineRule="auto"/>
        <w:ind w:left="0" w:firstLine="567"/>
        <w:rPr>
          <w:rFonts w:ascii="宋体" w:hAnsi="宋体"/>
          <w:sz w:val="28"/>
          <w:szCs w:val="28"/>
        </w:rPr>
      </w:pPr>
      <w:r>
        <w:rPr>
          <w:rFonts w:hint="eastAsia" w:ascii="宋体" w:hAnsi="宋体"/>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投标邀请；</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投标人须知；</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投标文件格式；</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招标项目技术、服务、商务及其他要求；</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资格性审查；</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评标办法；</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拟签订合同文本。</w:t>
      </w:r>
    </w:p>
    <w:p>
      <w:pPr>
        <w:numPr>
          <w:ilvl w:val="0"/>
          <w:numId w:val="14"/>
        </w:numPr>
        <w:tabs>
          <w:tab w:val="left" w:pos="1134"/>
        </w:tabs>
        <w:spacing w:line="360" w:lineRule="auto"/>
        <w:ind w:left="0" w:firstLine="567"/>
        <w:rPr>
          <w:rFonts w:ascii="宋体" w:hAnsi="宋体"/>
          <w:sz w:val="28"/>
          <w:szCs w:val="28"/>
        </w:rPr>
      </w:pPr>
      <w:r>
        <w:rPr>
          <w:rFonts w:hint="eastAsia" w:ascii="宋体" w:hAnsi="宋体"/>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5"/>
        </w:numPr>
        <w:spacing w:line="360" w:lineRule="auto"/>
        <w:ind w:left="0" w:firstLine="0"/>
        <w:outlineLvl w:val="2"/>
        <w:rPr>
          <w:rFonts w:ascii="宋体" w:hAnsi="宋体"/>
          <w:b/>
          <w:bCs/>
          <w:sz w:val="28"/>
          <w:szCs w:val="28"/>
        </w:rPr>
      </w:pPr>
      <w:bookmarkStart w:id="31" w:name="_Toc183682348"/>
      <w:bookmarkStart w:id="32" w:name="_Toc183582211"/>
      <w:bookmarkStart w:id="33" w:name="_Toc217446040"/>
      <w:r>
        <w:rPr>
          <w:rFonts w:hint="eastAsia" w:ascii="宋体" w:hAnsi="宋体"/>
          <w:b/>
          <w:bCs/>
          <w:sz w:val="28"/>
          <w:szCs w:val="28"/>
        </w:rPr>
        <w:t>招标文件的澄清</w:t>
      </w:r>
      <w:bookmarkEnd w:id="31"/>
      <w:bookmarkEnd w:id="32"/>
      <w:r>
        <w:rPr>
          <w:rFonts w:hint="eastAsia" w:ascii="宋体" w:hAnsi="宋体"/>
          <w:b/>
          <w:bCs/>
          <w:sz w:val="28"/>
          <w:szCs w:val="28"/>
        </w:rPr>
        <w:t>和修改</w:t>
      </w:r>
      <w:bookmarkEnd w:id="33"/>
      <w:bookmarkStart w:id="34" w:name="_Toc89075876"/>
      <w:bookmarkStart w:id="35" w:name="_Toc183582214"/>
      <w:bookmarkStart w:id="36" w:name="_Toc217446042"/>
      <w:bookmarkStart w:id="37" w:name="_Toc77400780"/>
      <w:bookmarkStart w:id="38" w:name="_Toc183682351"/>
    </w:p>
    <w:p>
      <w:pPr>
        <w:numPr>
          <w:ilvl w:val="0"/>
          <w:numId w:val="16"/>
        </w:numPr>
        <w:tabs>
          <w:tab w:val="left" w:pos="142"/>
          <w:tab w:val="left" w:pos="1134"/>
        </w:tabs>
        <w:spacing w:line="360" w:lineRule="auto"/>
        <w:ind w:left="0" w:firstLine="560"/>
        <w:rPr>
          <w:rFonts w:ascii="宋体" w:hAnsi="宋体"/>
          <w:sz w:val="28"/>
          <w:szCs w:val="28"/>
        </w:rPr>
      </w:pPr>
      <w:r>
        <w:rPr>
          <w:rFonts w:hint="eastAsia" w:ascii="宋体" w:hAnsi="宋体"/>
          <w:sz w:val="28"/>
          <w:szCs w:val="28"/>
        </w:rPr>
        <w:t>在投标截止时间前，采购人或者</w:t>
      </w:r>
      <w:r>
        <w:rPr>
          <w:rFonts w:hint="eastAsia" w:cs="Arial"/>
          <w:sz w:val="28"/>
          <w:szCs w:val="28"/>
        </w:rPr>
        <w:t>区公资交易中心</w:t>
      </w:r>
      <w:r>
        <w:rPr>
          <w:rFonts w:hint="eastAsia" w:ascii="宋体" w:hAnsi="宋体"/>
          <w:sz w:val="28"/>
          <w:szCs w:val="28"/>
        </w:rPr>
        <w:t>可以对已发出的招标文件进行必要的澄清或者修改。</w:t>
      </w:r>
    </w:p>
    <w:p>
      <w:pPr>
        <w:numPr>
          <w:ilvl w:val="0"/>
          <w:numId w:val="16"/>
        </w:numPr>
        <w:tabs>
          <w:tab w:val="left" w:pos="142"/>
          <w:tab w:val="left" w:pos="1134"/>
        </w:tabs>
        <w:spacing w:line="360" w:lineRule="auto"/>
        <w:ind w:left="0" w:firstLine="560"/>
        <w:rPr>
          <w:rFonts w:ascii="宋体" w:hAnsi="宋体"/>
          <w:sz w:val="28"/>
          <w:szCs w:val="28"/>
        </w:rPr>
      </w:pPr>
      <w:r>
        <w:rPr>
          <w:rFonts w:hint="eastAsia" w:ascii="宋体" w:hAnsi="宋体"/>
          <w:sz w:val="28"/>
          <w:szCs w:val="28"/>
        </w:rPr>
        <w:t>澄清或者修改的内容，区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政府采购云平台查看）</w:t>
      </w:r>
    </w:p>
    <w:p>
      <w:pPr>
        <w:numPr>
          <w:ilvl w:val="0"/>
          <w:numId w:val="16"/>
        </w:numPr>
        <w:tabs>
          <w:tab w:val="left" w:pos="142"/>
          <w:tab w:val="left" w:pos="1134"/>
        </w:tabs>
        <w:spacing w:line="360" w:lineRule="auto"/>
        <w:ind w:left="0" w:firstLine="560"/>
        <w:rPr>
          <w:rFonts w:ascii="宋体" w:hAnsi="宋体"/>
          <w:sz w:val="28"/>
          <w:szCs w:val="28"/>
        </w:rPr>
      </w:pPr>
      <w:r>
        <w:rPr>
          <w:rFonts w:hint="eastAsia" w:ascii="宋体" w:hAnsi="宋体"/>
          <w:sz w:val="28"/>
          <w:szCs w:val="28"/>
        </w:rPr>
        <w:t>澄清或者修改的内容可能影响投标文件编制的，区公资交易中心应当在投标截止时间至少15日前，通过云平台通知所有获取招标文件的潜在投标人；不足15日的，采购人或区公资交易中心应当顺延提交投标文件的截止时间。</w:t>
      </w:r>
    </w:p>
    <w:p>
      <w:pPr>
        <w:keepNext/>
        <w:keepLines/>
        <w:numPr>
          <w:ilvl w:val="1"/>
          <w:numId w:val="5"/>
        </w:numPr>
        <w:spacing w:line="360" w:lineRule="auto"/>
        <w:jc w:val="left"/>
        <w:outlineLvl w:val="1"/>
        <w:rPr>
          <w:rFonts w:ascii="宋体" w:hAnsi="宋体"/>
          <w:b/>
          <w:bCs/>
          <w:sz w:val="28"/>
          <w:szCs w:val="28"/>
        </w:rPr>
      </w:pPr>
      <w:bookmarkStart w:id="39" w:name="_Toc85657297"/>
      <w:r>
        <w:rPr>
          <w:rFonts w:hint="eastAsia" w:ascii="宋体" w:hAnsi="宋体"/>
          <w:b/>
          <w:bCs/>
          <w:sz w:val="28"/>
          <w:szCs w:val="28"/>
        </w:rPr>
        <w:t>投标文件</w:t>
      </w:r>
      <w:bookmarkEnd w:id="34"/>
      <w:bookmarkEnd w:id="35"/>
      <w:bookmarkEnd w:id="36"/>
      <w:bookmarkEnd w:id="37"/>
      <w:bookmarkEnd w:id="38"/>
      <w:bookmarkEnd w:id="39"/>
    </w:p>
    <w:p>
      <w:pPr>
        <w:keepNext/>
        <w:keepLines/>
        <w:numPr>
          <w:ilvl w:val="2"/>
          <w:numId w:val="5"/>
        </w:numPr>
        <w:spacing w:line="360" w:lineRule="auto"/>
        <w:ind w:left="0" w:firstLine="0"/>
        <w:outlineLvl w:val="2"/>
        <w:rPr>
          <w:rFonts w:ascii="宋体" w:hAnsi="宋体"/>
          <w:b/>
          <w:bCs/>
          <w:sz w:val="28"/>
          <w:szCs w:val="28"/>
        </w:rPr>
      </w:pPr>
      <w:bookmarkStart w:id="40" w:name="_Toc217446043"/>
      <w:bookmarkStart w:id="41" w:name="_Toc183582215"/>
      <w:bookmarkStart w:id="42" w:name="_Toc183682352"/>
      <w:r>
        <w:rPr>
          <w:rFonts w:hint="eastAsia" w:ascii="宋体" w:hAnsi="宋体"/>
          <w:b/>
          <w:bCs/>
          <w:sz w:val="28"/>
          <w:szCs w:val="28"/>
        </w:rPr>
        <w:t>投标文件的语言</w:t>
      </w:r>
      <w:bookmarkEnd w:id="40"/>
      <w:bookmarkEnd w:id="41"/>
      <w:bookmarkEnd w:id="42"/>
    </w:p>
    <w:p>
      <w:pPr>
        <w:numPr>
          <w:ilvl w:val="0"/>
          <w:numId w:val="17"/>
        </w:numPr>
        <w:tabs>
          <w:tab w:val="left" w:pos="1134"/>
        </w:tabs>
        <w:spacing w:line="360" w:lineRule="auto"/>
        <w:ind w:left="0" w:firstLine="560"/>
        <w:rPr>
          <w:rFonts w:ascii="宋体" w:hAnsi="宋体"/>
          <w:sz w:val="28"/>
          <w:szCs w:val="28"/>
        </w:rPr>
      </w:pPr>
      <w:r>
        <w:rPr>
          <w:rFonts w:hint="eastAsia" w:ascii="宋体" w:hAnsi="宋体"/>
          <w:sz w:val="28"/>
          <w:szCs w:val="28"/>
        </w:rPr>
        <w:t>投标人提交的投标文件以及投标人与采购人或</w:t>
      </w:r>
      <w:r>
        <w:rPr>
          <w:rFonts w:hint="eastAsia" w:cs="Arial"/>
          <w:sz w:val="28"/>
          <w:szCs w:val="28"/>
        </w:rPr>
        <w:t>区公资交易中心</w:t>
      </w:r>
      <w:r>
        <w:rPr>
          <w:rFonts w:hint="eastAsia" w:ascii="宋体" w:hAnsi="宋体"/>
          <w:sz w:val="28"/>
          <w:szCs w:val="28"/>
        </w:rPr>
        <w:t>就有关投标的所有来往书面文件均须使用中文，投标文件中所附或引用的外文资料，应翻译成中文附在相关外文资料后面。（</w:t>
      </w:r>
      <w:r>
        <w:rPr>
          <w:rFonts w:hint="eastAsia" w:ascii="宋体" w:hAnsi="宋体"/>
          <w:b/>
          <w:bCs/>
          <w:sz w:val="28"/>
          <w:szCs w:val="28"/>
        </w:rPr>
        <w:t>说明：</w:t>
      </w:r>
      <w:r>
        <w:rPr>
          <w:rFonts w:hint="eastAsia" w:ascii="宋体" w:hAnsi="宋体"/>
          <w:sz w:val="28"/>
          <w:szCs w:val="28"/>
        </w:rPr>
        <w:t>投标人的法定代表人为外籍人士的，则法定代表人的签字和护照除外）。</w:t>
      </w:r>
    </w:p>
    <w:p>
      <w:pPr>
        <w:numPr>
          <w:ilvl w:val="0"/>
          <w:numId w:val="17"/>
        </w:numPr>
        <w:tabs>
          <w:tab w:val="left" w:pos="1134"/>
        </w:tabs>
        <w:spacing w:line="360" w:lineRule="auto"/>
        <w:ind w:left="0" w:firstLine="560"/>
        <w:rPr>
          <w:rFonts w:ascii="宋体" w:hAnsi="宋体"/>
          <w:sz w:val="28"/>
          <w:szCs w:val="28"/>
        </w:rPr>
      </w:pPr>
      <w:r>
        <w:rPr>
          <w:rFonts w:hint="eastAsia" w:ascii="宋体" w:hAnsi="宋体"/>
          <w:sz w:val="28"/>
          <w:szCs w:val="28"/>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5"/>
        </w:numPr>
        <w:spacing w:line="360" w:lineRule="auto"/>
        <w:ind w:left="0" w:firstLine="0"/>
        <w:outlineLvl w:val="2"/>
        <w:rPr>
          <w:rFonts w:ascii="宋体" w:hAnsi="宋体"/>
          <w:b/>
          <w:bCs/>
          <w:sz w:val="28"/>
          <w:szCs w:val="28"/>
        </w:rPr>
      </w:pPr>
      <w:bookmarkStart w:id="43" w:name="_Toc183582216"/>
      <w:bookmarkStart w:id="44" w:name="_Toc217446044"/>
      <w:bookmarkStart w:id="45" w:name="_Toc183682353"/>
      <w:r>
        <w:rPr>
          <w:rFonts w:hint="eastAsia" w:ascii="宋体" w:hAnsi="宋体"/>
          <w:b/>
          <w:bCs/>
          <w:sz w:val="28"/>
          <w:szCs w:val="28"/>
        </w:rPr>
        <w:t>计量单位</w:t>
      </w:r>
      <w:bookmarkEnd w:id="43"/>
      <w:bookmarkEnd w:id="44"/>
      <w:bookmarkEnd w:id="45"/>
    </w:p>
    <w:p>
      <w:pPr>
        <w:tabs>
          <w:tab w:val="left" w:pos="7665"/>
        </w:tabs>
        <w:spacing w:line="360" w:lineRule="auto"/>
        <w:ind w:left="13" w:firstLine="554"/>
        <w:rPr>
          <w:rFonts w:ascii="宋体" w:hAnsi="宋体"/>
          <w:sz w:val="28"/>
          <w:szCs w:val="28"/>
        </w:rPr>
      </w:pPr>
      <w:r>
        <w:rPr>
          <w:rFonts w:hint="eastAsia" w:ascii="宋体" w:hAnsi="宋体"/>
          <w:sz w:val="28"/>
          <w:szCs w:val="28"/>
        </w:rPr>
        <w:t>除招标文件中另有规定外，本次采购项目所有合同项下的投标均采用国家法定的计量单位。</w:t>
      </w:r>
    </w:p>
    <w:p>
      <w:pPr>
        <w:keepNext/>
        <w:keepLines/>
        <w:numPr>
          <w:ilvl w:val="2"/>
          <w:numId w:val="5"/>
        </w:numPr>
        <w:spacing w:line="360" w:lineRule="auto"/>
        <w:ind w:left="0" w:firstLine="0"/>
        <w:outlineLvl w:val="2"/>
        <w:rPr>
          <w:rFonts w:ascii="宋体" w:hAnsi="宋体"/>
          <w:b/>
          <w:bCs/>
          <w:sz w:val="28"/>
          <w:szCs w:val="28"/>
        </w:rPr>
      </w:pPr>
      <w:bookmarkStart w:id="46" w:name="_Toc217446045"/>
      <w:r>
        <w:rPr>
          <w:rFonts w:hint="eastAsia" w:ascii="宋体" w:hAnsi="宋体"/>
          <w:b/>
          <w:bCs/>
          <w:sz w:val="28"/>
          <w:szCs w:val="28"/>
        </w:rPr>
        <w:t>投标货币</w:t>
      </w:r>
      <w:bookmarkEnd w:id="46"/>
    </w:p>
    <w:p>
      <w:pPr>
        <w:tabs>
          <w:tab w:val="left" w:pos="7665"/>
        </w:tabs>
        <w:spacing w:line="360" w:lineRule="auto"/>
        <w:ind w:left="13" w:firstLine="554"/>
        <w:rPr>
          <w:rFonts w:ascii="宋体" w:hAnsi="宋体"/>
          <w:sz w:val="28"/>
          <w:szCs w:val="28"/>
        </w:rPr>
      </w:pPr>
      <w:r>
        <w:rPr>
          <w:rFonts w:hint="eastAsia" w:ascii="宋体" w:hAnsi="宋体"/>
          <w:sz w:val="28"/>
          <w:szCs w:val="28"/>
        </w:rPr>
        <w:t>本次招标项目的投标均以人民币报价。</w:t>
      </w:r>
    </w:p>
    <w:p>
      <w:pPr>
        <w:keepNext/>
        <w:keepLines/>
        <w:numPr>
          <w:ilvl w:val="2"/>
          <w:numId w:val="5"/>
        </w:numPr>
        <w:spacing w:line="360" w:lineRule="auto"/>
        <w:ind w:left="0" w:firstLine="0"/>
        <w:outlineLvl w:val="2"/>
        <w:rPr>
          <w:rFonts w:ascii="宋体" w:hAnsi="宋体"/>
          <w:b/>
          <w:bCs/>
          <w:sz w:val="28"/>
          <w:szCs w:val="28"/>
        </w:rPr>
      </w:pPr>
      <w:bookmarkStart w:id="47" w:name="_Toc217446046"/>
      <w:r>
        <w:rPr>
          <w:rFonts w:hint="eastAsia" w:ascii="宋体" w:hAnsi="宋体"/>
          <w:b/>
          <w:bCs/>
          <w:sz w:val="28"/>
          <w:szCs w:val="28"/>
        </w:rPr>
        <w:t>联合体投标</w:t>
      </w:r>
      <w:bookmarkEnd w:id="47"/>
    </w:p>
    <w:p>
      <w:pPr>
        <w:tabs>
          <w:tab w:val="left" w:pos="1134"/>
        </w:tabs>
        <w:spacing w:line="360" w:lineRule="auto"/>
        <w:ind w:left="546"/>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联合体投标。</w:t>
      </w:r>
    </w:p>
    <w:p>
      <w:pPr>
        <w:keepNext/>
        <w:keepLines/>
        <w:numPr>
          <w:ilvl w:val="2"/>
          <w:numId w:val="5"/>
        </w:numPr>
        <w:spacing w:line="360" w:lineRule="auto"/>
        <w:ind w:left="0" w:firstLine="0"/>
        <w:outlineLvl w:val="2"/>
        <w:rPr>
          <w:rFonts w:ascii="宋体" w:hAnsi="宋体"/>
          <w:b/>
          <w:bCs/>
          <w:sz w:val="28"/>
          <w:szCs w:val="28"/>
        </w:rPr>
      </w:pPr>
      <w:bookmarkStart w:id="48" w:name="_Toc217446047"/>
      <w:r>
        <w:rPr>
          <w:rFonts w:hint="eastAsia" w:ascii="宋体" w:hAnsi="宋体"/>
          <w:b/>
          <w:bCs/>
          <w:sz w:val="28"/>
          <w:szCs w:val="28"/>
        </w:rPr>
        <w:t>知识产权</w:t>
      </w:r>
      <w:bookmarkEnd w:id="48"/>
    </w:p>
    <w:p>
      <w:pPr>
        <w:numPr>
          <w:ilvl w:val="0"/>
          <w:numId w:val="18"/>
        </w:numPr>
        <w:tabs>
          <w:tab w:val="left" w:pos="1134"/>
        </w:tabs>
        <w:spacing w:line="360" w:lineRule="auto"/>
        <w:ind w:left="0" w:firstLine="549"/>
        <w:rPr>
          <w:rFonts w:ascii="宋体" w:hAnsi="宋体"/>
          <w:sz w:val="28"/>
          <w:szCs w:val="28"/>
        </w:rPr>
      </w:pPr>
      <w:r>
        <w:rPr>
          <w:rFonts w:hint="eastAsia" w:ascii="宋体" w:hAnsi="宋体"/>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8"/>
        </w:numPr>
        <w:tabs>
          <w:tab w:val="left" w:pos="1134"/>
        </w:tabs>
        <w:spacing w:line="360" w:lineRule="auto"/>
        <w:ind w:left="0" w:firstLine="549"/>
        <w:rPr>
          <w:rFonts w:ascii="宋体" w:hAnsi="宋体"/>
          <w:sz w:val="28"/>
          <w:szCs w:val="28"/>
        </w:rPr>
      </w:pPr>
      <w:r>
        <w:rPr>
          <w:rFonts w:hint="eastAsia" w:ascii="宋体" w:hAnsi="宋体"/>
          <w:sz w:val="28"/>
          <w:szCs w:val="28"/>
        </w:rPr>
        <w:t>采购人享有本项目实施过程中产生的知识成果及知识产权。</w:t>
      </w:r>
    </w:p>
    <w:p>
      <w:pPr>
        <w:numPr>
          <w:ilvl w:val="0"/>
          <w:numId w:val="18"/>
        </w:numPr>
        <w:tabs>
          <w:tab w:val="left" w:pos="1134"/>
        </w:tabs>
        <w:spacing w:line="360" w:lineRule="auto"/>
        <w:ind w:left="0" w:firstLine="549"/>
        <w:rPr>
          <w:rFonts w:ascii="宋体" w:hAnsi="宋体"/>
          <w:sz w:val="28"/>
          <w:szCs w:val="28"/>
        </w:rPr>
      </w:pPr>
      <w:r>
        <w:rPr>
          <w:rFonts w:hint="eastAsia" w:ascii="宋体" w:hAnsi="宋体"/>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8"/>
        </w:numPr>
        <w:tabs>
          <w:tab w:val="left" w:pos="1134"/>
        </w:tabs>
        <w:spacing w:line="360" w:lineRule="auto"/>
        <w:ind w:left="0" w:firstLine="549"/>
        <w:rPr>
          <w:rFonts w:ascii="宋体" w:hAnsi="宋体"/>
          <w:sz w:val="28"/>
          <w:szCs w:val="28"/>
        </w:rPr>
      </w:pPr>
      <w:r>
        <w:rPr>
          <w:rFonts w:hint="eastAsia" w:ascii="宋体" w:hAnsi="宋体"/>
          <w:sz w:val="28"/>
          <w:szCs w:val="28"/>
        </w:rPr>
        <w:t>如采用投标人所不拥有的知识产权，则在投标报价中必须包括合法获取该知识产权的相关费用。</w:t>
      </w:r>
    </w:p>
    <w:p>
      <w:pPr>
        <w:keepNext/>
        <w:keepLines/>
        <w:numPr>
          <w:ilvl w:val="2"/>
          <w:numId w:val="5"/>
        </w:numPr>
        <w:spacing w:line="360" w:lineRule="auto"/>
        <w:ind w:left="0" w:firstLine="0"/>
        <w:outlineLvl w:val="2"/>
        <w:rPr>
          <w:rFonts w:ascii="宋体" w:hAnsi="宋体"/>
          <w:b/>
          <w:bCs/>
          <w:sz w:val="28"/>
          <w:szCs w:val="28"/>
        </w:rPr>
      </w:pPr>
      <w:bookmarkStart w:id="49" w:name="_Toc217446048"/>
      <w:bookmarkStart w:id="50" w:name="_Toc183682354"/>
      <w:bookmarkStart w:id="51" w:name="_Toc183582217"/>
      <w:r>
        <w:rPr>
          <w:rFonts w:hint="eastAsia" w:ascii="宋体" w:hAnsi="宋体"/>
          <w:b/>
          <w:bCs/>
          <w:sz w:val="28"/>
          <w:szCs w:val="28"/>
        </w:rPr>
        <w:t>投标文件的组成</w:t>
      </w:r>
      <w:bookmarkEnd w:id="49"/>
      <w:bookmarkEnd w:id="50"/>
      <w:bookmarkEnd w:id="51"/>
    </w:p>
    <w:p>
      <w:pPr>
        <w:spacing w:line="360" w:lineRule="auto"/>
        <w:ind w:firstLine="548" w:firstLineChars="196"/>
        <w:rPr>
          <w:rFonts w:ascii="宋体" w:hAnsi="宋体"/>
          <w:sz w:val="28"/>
          <w:szCs w:val="28"/>
        </w:rPr>
      </w:pPr>
      <w:r>
        <w:rPr>
          <w:rFonts w:hint="eastAsia" w:ascii="宋体" w:hAnsi="宋体"/>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pStyle w:val="6"/>
        <w:numPr>
          <w:ilvl w:val="3"/>
          <w:numId w:val="19"/>
        </w:numPr>
        <w:rPr>
          <w:rFonts w:ascii="宋体" w:hAnsi="宋体"/>
        </w:rPr>
      </w:pPr>
      <w:r>
        <w:rPr>
          <w:rFonts w:hint="eastAsia" w:ascii="宋体" w:hAnsi="宋体"/>
        </w:rPr>
        <w:t>资格性</w:t>
      </w:r>
      <w:r>
        <w:rPr>
          <w:rFonts w:hint="eastAsia" w:ascii="宋体" w:hAnsi="宋体"/>
          <w:color w:val="000000" w:themeColor="text1"/>
          <w14:textFill>
            <w14:solidFill>
              <w14:schemeClr w14:val="tx1"/>
            </w14:solidFill>
          </w14:textFill>
        </w:rPr>
        <w:t>响应文件</w:t>
      </w:r>
    </w:p>
    <w:p>
      <w:pPr>
        <w:numPr>
          <w:ilvl w:val="0"/>
          <w:numId w:val="20"/>
        </w:numPr>
        <w:tabs>
          <w:tab w:val="left" w:pos="1134"/>
        </w:tabs>
        <w:spacing w:line="360" w:lineRule="auto"/>
        <w:ind w:left="0" w:firstLine="546"/>
        <w:rPr>
          <w:rFonts w:ascii="宋体" w:hAnsi="宋体"/>
          <w:b/>
          <w:sz w:val="28"/>
          <w:szCs w:val="28"/>
        </w:rPr>
      </w:pPr>
      <w:r>
        <w:rPr>
          <w:rFonts w:hint="eastAsia" w:ascii="宋体" w:hAnsi="宋体"/>
          <w:b/>
          <w:sz w:val="28"/>
          <w:szCs w:val="28"/>
        </w:rPr>
        <w:t>关于投标人资格声明的函；</w:t>
      </w:r>
    </w:p>
    <w:p>
      <w:pPr>
        <w:numPr>
          <w:ilvl w:val="0"/>
          <w:numId w:val="20"/>
        </w:numPr>
        <w:tabs>
          <w:tab w:val="left" w:pos="1134"/>
        </w:tabs>
        <w:spacing w:line="360" w:lineRule="auto"/>
        <w:ind w:left="0" w:firstLine="546"/>
        <w:rPr>
          <w:rFonts w:ascii="宋体" w:hAnsi="宋体"/>
          <w:b/>
          <w:sz w:val="28"/>
          <w:szCs w:val="28"/>
        </w:rPr>
      </w:pPr>
      <w:r>
        <w:rPr>
          <w:rFonts w:hint="eastAsia" w:ascii="宋体" w:hAnsi="宋体"/>
          <w:b/>
          <w:sz w:val="28"/>
          <w:szCs w:val="28"/>
        </w:rPr>
        <w:t>声明；</w:t>
      </w:r>
    </w:p>
    <w:p>
      <w:pPr>
        <w:numPr>
          <w:ilvl w:val="0"/>
          <w:numId w:val="20"/>
        </w:numPr>
        <w:tabs>
          <w:tab w:val="left" w:pos="1134"/>
        </w:tabs>
        <w:spacing w:line="360" w:lineRule="auto"/>
        <w:ind w:left="0" w:firstLine="546"/>
        <w:rPr>
          <w:rFonts w:ascii="宋体" w:hAnsi="宋体"/>
          <w:b/>
          <w:sz w:val="28"/>
          <w:szCs w:val="28"/>
        </w:rPr>
      </w:pPr>
      <w:r>
        <w:rPr>
          <w:rFonts w:hint="eastAsia" w:ascii="宋体" w:hAnsi="宋体"/>
          <w:b/>
          <w:sz w:val="28"/>
          <w:szCs w:val="28"/>
        </w:rPr>
        <w:t>投标人应提交的相关资格证明材料：</w:t>
      </w:r>
    </w:p>
    <w:p>
      <w:pPr>
        <w:pStyle w:val="153"/>
        <w:numPr>
          <w:ilvl w:val="0"/>
          <w:numId w:val="21"/>
        </w:numPr>
        <w:tabs>
          <w:tab w:val="left" w:pos="1134"/>
        </w:tabs>
        <w:spacing w:line="360" w:lineRule="auto"/>
        <w:ind w:firstLineChars="0"/>
        <w:rPr>
          <w:rFonts w:ascii="宋体" w:hAnsi="宋体"/>
          <w:b/>
          <w:bCs/>
          <w:sz w:val="28"/>
          <w:szCs w:val="28"/>
        </w:rPr>
      </w:pPr>
      <w:r>
        <w:rPr>
          <w:rFonts w:hint="eastAsia" w:ascii="宋体" w:hAnsi="宋体"/>
          <w:b/>
          <w:bCs/>
          <w:sz w:val="28"/>
          <w:szCs w:val="28"/>
        </w:rPr>
        <w:t>营业执照复印件（正本或副本）或法人证书复印件（正本或副本）；</w:t>
      </w:r>
    </w:p>
    <w:p>
      <w:pPr>
        <w:pStyle w:val="153"/>
        <w:numPr>
          <w:ilvl w:val="0"/>
          <w:numId w:val="21"/>
        </w:numPr>
        <w:tabs>
          <w:tab w:val="left" w:pos="1134"/>
        </w:tabs>
        <w:spacing w:line="360" w:lineRule="auto"/>
        <w:ind w:firstLineChars="0"/>
        <w:rPr>
          <w:rFonts w:ascii="宋体" w:hAnsi="宋体"/>
          <w:b/>
          <w:bCs/>
          <w:sz w:val="28"/>
          <w:szCs w:val="28"/>
        </w:rPr>
      </w:pPr>
      <w:r>
        <w:rPr>
          <w:rFonts w:hint="eastAsia" w:ascii="宋体" w:hAnsi="宋体"/>
          <w:b/>
          <w:bCs/>
          <w:sz w:val="28"/>
          <w:szCs w:val="28"/>
        </w:rPr>
        <w:t>2020会计年度资产负债表复印件【说明：①可提供2020年度经审计的财务报告复印件；②也可提供2020年度供应商内部的财务报表复印件（包括资产负债表、现金流量表、利润表）；③也可提供距文件递交截止日一年内银行出具的资信证明（复印件）；④供应商注册时间至文件递交截止日不足一年的，也可提供在工商备案的公司章程（复印件）；⑤供应商为事业法人或其他组织的提供其具有健全的财务会计制度的承诺函（格式自拟）复印件。】；</w:t>
      </w:r>
    </w:p>
    <w:p>
      <w:pPr>
        <w:pStyle w:val="153"/>
        <w:numPr>
          <w:ilvl w:val="0"/>
          <w:numId w:val="21"/>
        </w:numPr>
        <w:tabs>
          <w:tab w:val="left" w:pos="1134"/>
        </w:tabs>
        <w:spacing w:line="360" w:lineRule="auto"/>
        <w:ind w:firstLineChars="0"/>
        <w:rPr>
          <w:rFonts w:ascii="宋体" w:hAnsi="宋体"/>
          <w:b/>
          <w:bCs/>
          <w:sz w:val="28"/>
          <w:szCs w:val="28"/>
        </w:rPr>
      </w:pPr>
      <w:r>
        <w:rPr>
          <w:rFonts w:hint="eastAsia" w:ascii="宋体" w:hAnsi="宋体"/>
          <w:b/>
          <w:bCs/>
          <w:sz w:val="28"/>
          <w:szCs w:val="28"/>
        </w:rPr>
        <w:t>投标人缴纳2021年任意时段的税收的银行电子回单或者行政部门出具的纳税证明或完税证明复印件或承诺函（格式自拟）复印件（依法免税的供应商，应提供相应文件证明其依法免税）；</w:t>
      </w:r>
    </w:p>
    <w:p>
      <w:pPr>
        <w:pStyle w:val="153"/>
        <w:numPr>
          <w:ilvl w:val="0"/>
          <w:numId w:val="21"/>
        </w:numPr>
        <w:tabs>
          <w:tab w:val="left" w:pos="1134"/>
        </w:tabs>
        <w:spacing w:line="360" w:lineRule="auto"/>
        <w:ind w:firstLineChars="0"/>
        <w:rPr>
          <w:rFonts w:ascii="宋体" w:hAnsi="宋体"/>
          <w:b/>
          <w:bCs/>
          <w:sz w:val="28"/>
          <w:szCs w:val="28"/>
        </w:rPr>
      </w:pPr>
      <w:r>
        <w:rPr>
          <w:rFonts w:hint="eastAsia"/>
          <w:b/>
          <w:bCs/>
          <w:sz w:val="28"/>
          <w:szCs w:val="28"/>
        </w:rPr>
        <w:t>采购人</w:t>
      </w:r>
      <w:r>
        <w:rPr>
          <w:rFonts w:hint="eastAsia" w:ascii="宋体" w:hAnsi="宋体"/>
          <w:b/>
          <w:bCs/>
          <w:kern w:val="0"/>
          <w:sz w:val="28"/>
          <w:szCs w:val="28"/>
        </w:rPr>
        <w:t>对投标人履行合同所必须的设备和专业技术能力无其他特殊要求，投标人具有有效的营业执照或法人证书即可，可不提供其他证明材料；</w:t>
      </w:r>
    </w:p>
    <w:p>
      <w:pPr>
        <w:pStyle w:val="153"/>
        <w:numPr>
          <w:ilvl w:val="0"/>
          <w:numId w:val="21"/>
        </w:numPr>
        <w:tabs>
          <w:tab w:val="left" w:pos="1134"/>
        </w:tabs>
        <w:spacing w:line="360" w:lineRule="auto"/>
        <w:ind w:firstLineChars="0"/>
        <w:rPr>
          <w:rFonts w:ascii="宋体" w:hAnsi="宋体"/>
          <w:b/>
          <w:bCs/>
          <w:sz w:val="28"/>
          <w:szCs w:val="28"/>
        </w:rPr>
      </w:pPr>
      <w:r>
        <w:rPr>
          <w:rFonts w:hint="eastAsia" w:ascii="宋体" w:hAnsi="宋体"/>
          <w:b/>
          <w:bCs/>
          <w:sz w:val="28"/>
          <w:szCs w:val="28"/>
        </w:rPr>
        <w:t>投标人缴纳2021年任意时段的社保的银行电子回单或行政部门出具的社保缴纳证明材料复印件或承诺函（格式自拟）复印件（依法不需要缴纳社保的供应商，应提供相应文件证明其依法不需要缴纳社保）；</w:t>
      </w:r>
    </w:p>
    <w:p>
      <w:pPr>
        <w:pStyle w:val="153"/>
        <w:numPr>
          <w:ilvl w:val="0"/>
          <w:numId w:val="21"/>
        </w:numPr>
        <w:tabs>
          <w:tab w:val="left" w:pos="0"/>
          <w:tab w:val="left" w:pos="1134"/>
        </w:tabs>
        <w:spacing w:line="360" w:lineRule="auto"/>
        <w:ind w:firstLineChars="0"/>
        <w:rPr>
          <w:rFonts w:ascii="宋体" w:hAnsi="宋体" w:cs="宋体"/>
          <w:b/>
          <w:bCs/>
          <w:sz w:val="28"/>
          <w:szCs w:val="28"/>
        </w:rPr>
      </w:pPr>
      <w:r>
        <w:rPr>
          <w:rFonts w:hint="eastAsia" w:ascii="宋体" w:hAnsi="宋体"/>
          <w:b/>
          <w:bCs/>
          <w:sz w:val="28"/>
          <w:szCs w:val="28"/>
        </w:rPr>
        <w:t>采购人对法律、行政法规规定的其他条件无其他特殊要求，投标人具有有效的营业执照或法人证书即可，可不提供其他证明材料。</w:t>
      </w:r>
    </w:p>
    <w:p>
      <w:pPr>
        <w:pStyle w:val="153"/>
        <w:numPr>
          <w:ilvl w:val="0"/>
          <w:numId w:val="21"/>
        </w:numPr>
        <w:tabs>
          <w:tab w:val="left" w:pos="0"/>
          <w:tab w:val="left" w:pos="1134"/>
        </w:tabs>
        <w:spacing w:line="360" w:lineRule="auto"/>
        <w:ind w:firstLineChars="0"/>
        <w:rPr>
          <w:rFonts w:ascii="宋体" w:hAnsi="宋体" w:cs="宋体"/>
          <w:b/>
          <w:bCs/>
          <w:sz w:val="28"/>
          <w:szCs w:val="28"/>
        </w:rPr>
      </w:pPr>
      <w:r>
        <w:rPr>
          <w:rFonts w:hint="eastAsia" w:ascii="宋体" w:hAnsi="宋体" w:cs="宋体"/>
          <w:b/>
          <w:bCs/>
          <w:sz w:val="28"/>
          <w:szCs w:val="28"/>
        </w:rPr>
        <w:t>本项目不接受联合体投标。</w:t>
      </w:r>
    </w:p>
    <w:p>
      <w:pPr>
        <w:pStyle w:val="6"/>
        <w:numPr>
          <w:ilvl w:val="3"/>
          <w:numId w:val="5"/>
        </w:numPr>
        <w:rPr>
          <w:rFonts w:ascii="宋体" w:hAnsi="宋体"/>
        </w:rPr>
      </w:pPr>
      <w:r>
        <w:rPr>
          <w:rFonts w:hint="eastAsia" w:ascii="宋体" w:hAnsi="宋体"/>
        </w:rPr>
        <w:t>商务技术</w:t>
      </w:r>
      <w:r>
        <w:rPr>
          <w:rFonts w:ascii="宋体" w:hAnsi="宋体"/>
        </w:rPr>
        <w:t>响应</w:t>
      </w:r>
      <w:r>
        <w:rPr>
          <w:rFonts w:hint="eastAsia" w:ascii="宋体" w:hAnsi="宋体"/>
        </w:rPr>
        <w:t>文件</w:t>
      </w:r>
    </w:p>
    <w:p>
      <w:pPr>
        <w:numPr>
          <w:ilvl w:val="0"/>
          <w:numId w:val="22"/>
        </w:numPr>
        <w:tabs>
          <w:tab w:val="left" w:pos="1134"/>
        </w:tabs>
        <w:spacing w:line="360" w:lineRule="auto"/>
        <w:jc w:val="left"/>
        <w:rPr>
          <w:rFonts w:ascii="宋体" w:hAnsi="宋体"/>
          <w:b/>
          <w:sz w:val="28"/>
          <w:szCs w:val="28"/>
        </w:rPr>
      </w:pPr>
      <w:r>
        <w:rPr>
          <w:rFonts w:hint="eastAsia" w:ascii="宋体" w:hAnsi="宋体"/>
          <w:b/>
          <w:sz w:val="28"/>
          <w:szCs w:val="28"/>
        </w:rPr>
        <w:t>投标函；</w:t>
      </w:r>
    </w:p>
    <w:p>
      <w:pPr>
        <w:numPr>
          <w:ilvl w:val="0"/>
          <w:numId w:val="22"/>
        </w:numPr>
        <w:tabs>
          <w:tab w:val="left" w:pos="1134"/>
        </w:tabs>
        <w:spacing w:line="360" w:lineRule="auto"/>
        <w:rPr>
          <w:rFonts w:ascii="宋体" w:hAnsi="宋体"/>
          <w:b/>
          <w:sz w:val="28"/>
          <w:szCs w:val="28"/>
        </w:rPr>
      </w:pPr>
      <w:r>
        <w:rPr>
          <w:rFonts w:hint="eastAsia" w:ascii="宋体" w:hAnsi="宋体"/>
          <w:b/>
          <w:sz w:val="28"/>
          <w:szCs w:val="28"/>
        </w:rPr>
        <w:t>法定代表人身份证明书；</w:t>
      </w:r>
    </w:p>
    <w:p>
      <w:pPr>
        <w:pStyle w:val="81"/>
        <w:numPr>
          <w:ilvl w:val="0"/>
          <w:numId w:val="22"/>
        </w:numPr>
        <w:tabs>
          <w:tab w:val="left" w:pos="1134"/>
        </w:tabs>
        <w:spacing w:line="360" w:lineRule="auto"/>
        <w:ind w:firstLineChars="0"/>
        <w:rPr>
          <w:rFonts w:ascii="宋体" w:hAnsi="宋体"/>
          <w:b/>
          <w:sz w:val="28"/>
          <w:szCs w:val="28"/>
        </w:rPr>
      </w:pPr>
      <w:r>
        <w:rPr>
          <w:rFonts w:hint="eastAsia" w:ascii="宋体" w:hAnsi="宋体"/>
          <w:b/>
          <w:sz w:val="28"/>
          <w:szCs w:val="28"/>
        </w:rPr>
        <w:t>投标人基本情况表；</w:t>
      </w:r>
    </w:p>
    <w:p>
      <w:pPr>
        <w:pStyle w:val="81"/>
        <w:numPr>
          <w:ilvl w:val="0"/>
          <w:numId w:val="22"/>
        </w:numPr>
        <w:tabs>
          <w:tab w:val="left" w:pos="1134"/>
        </w:tabs>
        <w:spacing w:line="360" w:lineRule="auto"/>
        <w:ind w:firstLineChars="0"/>
        <w:rPr>
          <w:rFonts w:ascii="宋体" w:hAnsi="宋体"/>
          <w:b/>
          <w:sz w:val="28"/>
          <w:szCs w:val="28"/>
        </w:rPr>
      </w:pPr>
      <w:r>
        <w:rPr>
          <w:rFonts w:hint="eastAsia" w:ascii="宋体" w:hAnsi="宋体"/>
          <w:b/>
          <w:sz w:val="28"/>
          <w:szCs w:val="28"/>
        </w:rPr>
        <w:t>售后服务及承诺；</w:t>
      </w:r>
    </w:p>
    <w:p>
      <w:pPr>
        <w:numPr>
          <w:ilvl w:val="0"/>
          <w:numId w:val="22"/>
        </w:numPr>
        <w:tabs>
          <w:tab w:val="left" w:pos="1134"/>
        </w:tabs>
        <w:spacing w:line="360" w:lineRule="auto"/>
        <w:rPr>
          <w:rFonts w:ascii="宋体" w:hAnsi="宋体"/>
          <w:b/>
          <w:sz w:val="28"/>
          <w:szCs w:val="28"/>
        </w:rPr>
      </w:pPr>
      <w:r>
        <w:rPr>
          <w:rFonts w:hint="eastAsia" w:ascii="宋体" w:hAnsi="宋体"/>
          <w:b/>
          <w:sz w:val="28"/>
          <w:szCs w:val="28"/>
        </w:rPr>
        <w:t>项目实施方案；</w:t>
      </w:r>
    </w:p>
    <w:p>
      <w:pPr>
        <w:numPr>
          <w:ilvl w:val="0"/>
          <w:numId w:val="22"/>
        </w:numPr>
        <w:tabs>
          <w:tab w:val="left" w:pos="1134"/>
        </w:tabs>
        <w:spacing w:line="360" w:lineRule="auto"/>
        <w:rPr>
          <w:rFonts w:ascii="宋体" w:hAnsi="宋体"/>
          <w:b/>
          <w:sz w:val="28"/>
          <w:szCs w:val="28"/>
        </w:rPr>
      </w:pPr>
      <w:r>
        <w:rPr>
          <w:rFonts w:hint="eastAsia" w:ascii="宋体" w:hAnsi="宋体"/>
          <w:b/>
          <w:sz w:val="28"/>
          <w:szCs w:val="28"/>
        </w:rPr>
        <w:t>承诺函；</w:t>
      </w:r>
    </w:p>
    <w:p>
      <w:pPr>
        <w:numPr>
          <w:ilvl w:val="0"/>
          <w:numId w:val="22"/>
        </w:numPr>
        <w:tabs>
          <w:tab w:val="left" w:pos="1134"/>
        </w:tabs>
        <w:spacing w:line="360" w:lineRule="auto"/>
        <w:rPr>
          <w:rFonts w:ascii="宋体" w:hAnsi="宋体"/>
          <w:b/>
          <w:sz w:val="28"/>
          <w:szCs w:val="28"/>
        </w:rPr>
      </w:pPr>
      <w:r>
        <w:rPr>
          <w:rFonts w:hint="eastAsia" w:ascii="宋体" w:hAnsi="宋体"/>
          <w:b/>
          <w:sz w:val="28"/>
          <w:szCs w:val="28"/>
        </w:rPr>
        <w:t>商务应答表；</w:t>
      </w:r>
    </w:p>
    <w:p>
      <w:pPr>
        <w:numPr>
          <w:ilvl w:val="0"/>
          <w:numId w:val="22"/>
        </w:numPr>
        <w:tabs>
          <w:tab w:val="left" w:pos="1134"/>
        </w:tabs>
        <w:spacing w:line="360" w:lineRule="auto"/>
        <w:rPr>
          <w:rFonts w:ascii="宋体" w:hAnsi="宋体"/>
          <w:b/>
          <w:sz w:val="28"/>
          <w:szCs w:val="28"/>
        </w:rPr>
      </w:pPr>
      <w:r>
        <w:rPr>
          <w:rFonts w:hint="eastAsia" w:ascii="宋体" w:hAnsi="宋体"/>
          <w:b/>
          <w:sz w:val="28"/>
          <w:szCs w:val="28"/>
        </w:rPr>
        <w:t>投标产品技术参数表；</w:t>
      </w:r>
    </w:p>
    <w:p>
      <w:pPr>
        <w:numPr>
          <w:ilvl w:val="0"/>
          <w:numId w:val="22"/>
        </w:numPr>
        <w:tabs>
          <w:tab w:val="left" w:pos="1134"/>
        </w:tabs>
        <w:spacing w:line="360" w:lineRule="auto"/>
        <w:rPr>
          <w:rFonts w:ascii="宋体" w:hAnsi="宋体"/>
          <w:b/>
          <w:sz w:val="28"/>
          <w:szCs w:val="28"/>
        </w:rPr>
      </w:pPr>
      <w:r>
        <w:rPr>
          <w:rFonts w:hint="eastAsia" w:ascii="宋体" w:hAnsi="宋体"/>
          <w:b/>
          <w:sz w:val="28"/>
          <w:szCs w:val="28"/>
        </w:rPr>
        <w:t>项目管理、技术、服务人员情况表；</w:t>
      </w:r>
    </w:p>
    <w:p>
      <w:pPr>
        <w:numPr>
          <w:ilvl w:val="0"/>
          <w:numId w:val="22"/>
        </w:numPr>
        <w:tabs>
          <w:tab w:val="left" w:pos="1134"/>
        </w:tabs>
        <w:spacing w:line="360" w:lineRule="auto"/>
        <w:rPr>
          <w:rFonts w:ascii="宋体" w:hAnsi="宋体"/>
          <w:b/>
          <w:sz w:val="28"/>
          <w:szCs w:val="28"/>
        </w:rPr>
      </w:pPr>
      <w:r>
        <w:rPr>
          <w:rFonts w:hint="eastAsia" w:ascii="宋体" w:hAnsi="宋体"/>
          <w:b/>
          <w:sz w:val="28"/>
          <w:szCs w:val="28"/>
        </w:rPr>
        <w:t>投标人认为需要提供的其他文件和资料。</w:t>
      </w:r>
    </w:p>
    <w:p>
      <w:pPr>
        <w:pStyle w:val="6"/>
        <w:numPr>
          <w:ilvl w:val="3"/>
          <w:numId w:val="5"/>
        </w:numPr>
        <w:rPr>
          <w:rFonts w:ascii="宋体" w:hAnsi="宋体"/>
        </w:rPr>
      </w:pPr>
      <w:r>
        <w:rPr>
          <w:rFonts w:hint="eastAsia" w:ascii="宋体" w:hAnsi="宋体"/>
        </w:rPr>
        <w:t>报价</w:t>
      </w:r>
      <w:r>
        <w:rPr>
          <w:rFonts w:ascii="宋体" w:hAnsi="宋体"/>
        </w:rPr>
        <w:t>要求响应文件</w:t>
      </w:r>
    </w:p>
    <w:p>
      <w:pPr>
        <w:pStyle w:val="81"/>
        <w:numPr>
          <w:ilvl w:val="0"/>
          <w:numId w:val="23"/>
        </w:numPr>
        <w:tabs>
          <w:tab w:val="left" w:pos="1134"/>
        </w:tabs>
        <w:spacing w:line="360" w:lineRule="auto"/>
        <w:ind w:firstLineChars="0"/>
        <w:rPr>
          <w:rFonts w:ascii="宋体" w:hAnsi="宋体"/>
          <w:b/>
          <w:sz w:val="28"/>
          <w:szCs w:val="28"/>
        </w:rPr>
      </w:pPr>
      <w:r>
        <w:rPr>
          <w:rFonts w:hint="eastAsia" w:ascii="宋体" w:hAnsi="宋体"/>
          <w:b/>
          <w:sz w:val="28"/>
          <w:szCs w:val="28"/>
        </w:rPr>
        <w:t>开标一览表；</w:t>
      </w:r>
    </w:p>
    <w:p>
      <w:pPr>
        <w:pStyle w:val="81"/>
        <w:numPr>
          <w:ilvl w:val="0"/>
          <w:numId w:val="23"/>
        </w:numPr>
        <w:tabs>
          <w:tab w:val="left" w:pos="1134"/>
        </w:tabs>
        <w:spacing w:line="360" w:lineRule="auto"/>
        <w:ind w:firstLineChars="0"/>
        <w:rPr>
          <w:rFonts w:ascii="宋体" w:hAnsi="宋体"/>
          <w:b/>
          <w:sz w:val="28"/>
          <w:szCs w:val="28"/>
        </w:rPr>
      </w:pPr>
      <w:r>
        <w:rPr>
          <w:rFonts w:hint="eastAsia" w:ascii="宋体" w:hAnsi="宋体"/>
          <w:b/>
          <w:sz w:val="28"/>
          <w:szCs w:val="28"/>
        </w:rPr>
        <w:t>分项报价明细表；</w:t>
      </w:r>
    </w:p>
    <w:p>
      <w:pPr>
        <w:pStyle w:val="81"/>
        <w:numPr>
          <w:ilvl w:val="0"/>
          <w:numId w:val="23"/>
        </w:numPr>
        <w:tabs>
          <w:tab w:val="left" w:pos="1134"/>
        </w:tabs>
        <w:spacing w:line="360" w:lineRule="auto"/>
        <w:ind w:left="0" w:firstLine="546" w:firstLineChars="0"/>
        <w:rPr>
          <w:rFonts w:ascii="宋体" w:hAnsi="宋体"/>
          <w:b/>
          <w:sz w:val="28"/>
          <w:szCs w:val="28"/>
        </w:rPr>
      </w:pPr>
      <w:bookmarkStart w:id="52" w:name="_Toc316291396"/>
      <w:bookmarkEnd w:id="52"/>
      <w:bookmarkStart w:id="53" w:name="_Toc316292019"/>
      <w:bookmarkEnd w:id="53"/>
      <w:bookmarkStart w:id="54" w:name="_Toc316291395"/>
      <w:bookmarkEnd w:id="54"/>
      <w:bookmarkStart w:id="55" w:name="_Toc316292020"/>
      <w:bookmarkEnd w:id="55"/>
      <w:bookmarkStart w:id="56" w:name="_Toc183582218"/>
      <w:bookmarkStart w:id="57" w:name="_Toc217446049"/>
      <w:bookmarkStart w:id="58" w:name="_Toc183682355"/>
      <w:r>
        <w:rPr>
          <w:rFonts w:hint="eastAsia" w:ascii="宋体" w:hAnsi="宋体"/>
          <w:b/>
          <w:sz w:val="28"/>
          <w:szCs w:val="28"/>
        </w:rPr>
        <w:t>中小企业声明函（</w:t>
      </w:r>
      <w:r>
        <w:rPr>
          <w:rFonts w:hint="eastAsia" w:ascii="宋体" w:hAnsi="宋体" w:cs="宋体"/>
          <w:b/>
          <w:sz w:val="28"/>
          <w:szCs w:val="28"/>
        </w:rPr>
        <w:t>提供了《残疾人福利性单位声明函》或监狱企业证明文件的，可不提供；如未提供《中小企业声明函》或《残疾人福利性单位声明函》或监狱企业证明文件，不能享受招标文件规定的价格扣除，但不影响投标人投标文件的有效性</w:t>
      </w:r>
      <w:r>
        <w:rPr>
          <w:rFonts w:hint="eastAsia" w:ascii="宋体" w:hAnsi="宋体"/>
          <w:b/>
          <w:sz w:val="28"/>
          <w:szCs w:val="28"/>
        </w:rPr>
        <w:t>）；</w:t>
      </w:r>
    </w:p>
    <w:p>
      <w:pPr>
        <w:pStyle w:val="81"/>
        <w:numPr>
          <w:ilvl w:val="0"/>
          <w:numId w:val="23"/>
        </w:numPr>
        <w:tabs>
          <w:tab w:val="left" w:pos="1134"/>
        </w:tabs>
        <w:spacing w:line="360" w:lineRule="auto"/>
        <w:ind w:left="0" w:firstLine="546" w:firstLineChars="0"/>
        <w:rPr>
          <w:rFonts w:ascii="宋体" w:hAnsi="宋体"/>
          <w:b/>
          <w:sz w:val="28"/>
          <w:szCs w:val="28"/>
        </w:rPr>
      </w:pPr>
      <w:r>
        <w:rPr>
          <w:rFonts w:hint="eastAsia" w:ascii="宋体" w:hAnsi="宋体"/>
          <w:b/>
          <w:kern w:val="0"/>
          <w:sz w:val="28"/>
          <w:szCs w:val="28"/>
        </w:rPr>
        <w:t>残疾人福利性单位声明函</w:t>
      </w:r>
      <w:r>
        <w:rPr>
          <w:rFonts w:hint="eastAsia" w:ascii="宋体" w:hAnsi="宋体" w:cs="宋体"/>
          <w:b/>
          <w:sz w:val="28"/>
          <w:szCs w:val="28"/>
        </w:rPr>
        <w:t>（提供了《中小企业声明函》或监狱企业证明文件的，可不提供；如未提供《中小企业声明函》或《残疾人福利性单位声明函》或监狱企业证明文件，不能享受招标文件规定的价格扣除，但不影响投标人投标文件的有效性）</w:t>
      </w:r>
      <w:r>
        <w:rPr>
          <w:rFonts w:hint="eastAsia" w:ascii="宋体" w:hAnsi="宋体"/>
          <w:b/>
          <w:kern w:val="0"/>
          <w:sz w:val="28"/>
          <w:szCs w:val="28"/>
        </w:rPr>
        <w:t>；</w:t>
      </w:r>
    </w:p>
    <w:p>
      <w:pPr>
        <w:pStyle w:val="81"/>
        <w:numPr>
          <w:ilvl w:val="0"/>
          <w:numId w:val="23"/>
        </w:numPr>
        <w:tabs>
          <w:tab w:val="left" w:pos="1134"/>
        </w:tabs>
        <w:spacing w:line="360" w:lineRule="auto"/>
        <w:ind w:left="0" w:firstLine="546" w:firstLineChars="0"/>
        <w:rPr>
          <w:rFonts w:ascii="宋体" w:hAnsi="宋体"/>
          <w:b/>
          <w:sz w:val="28"/>
          <w:szCs w:val="28"/>
        </w:rPr>
      </w:pPr>
      <w:r>
        <w:rPr>
          <w:rFonts w:hint="eastAsia" w:ascii="宋体" w:hAnsi="宋体"/>
          <w:b/>
          <w:sz w:val="28"/>
          <w:szCs w:val="28"/>
        </w:rPr>
        <w:t>投标产品</w:t>
      </w:r>
      <w:r>
        <w:rPr>
          <w:rFonts w:ascii="宋体" w:hAnsi="宋体"/>
          <w:b/>
          <w:sz w:val="28"/>
          <w:szCs w:val="28"/>
        </w:rPr>
        <w:t>制造商</w:t>
      </w:r>
      <w:r>
        <w:rPr>
          <w:rFonts w:hint="eastAsia" w:ascii="宋体" w:hAnsi="宋体" w:eastAsia="宋体"/>
          <w:b/>
          <w:kern w:val="0"/>
          <w:sz w:val="28"/>
          <w:szCs w:val="28"/>
        </w:rPr>
        <w:t>属于监狱企业的证明文件复印件（投标人属于监狱企业的应提供由省级以上监狱管理局、戒毒管理局（含新疆生产建设兵团）出具的制造商属于监狱企业的证明文件复印件；（提供了《中小企业声明函》或《残疾人福利性单位声明函》的，可不提供；如未提供《中小企业声明函》或《残疾人福利性单位声明函》或监狱企业证明文件，不能享受招标文件规定的价格扣除，但不影响投标人投标文件的有效性）</w:t>
      </w:r>
      <w:r>
        <w:rPr>
          <w:rFonts w:hint="eastAsia" w:ascii="宋体" w:hAnsi="宋体"/>
          <w:b/>
          <w:sz w:val="28"/>
          <w:szCs w:val="28"/>
        </w:rPr>
        <w:t>；</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投标文件格式</w:t>
      </w:r>
      <w:bookmarkEnd w:id="56"/>
      <w:bookmarkEnd w:id="57"/>
      <w:bookmarkEnd w:id="58"/>
      <w:r>
        <w:rPr>
          <w:rFonts w:hint="eastAsia" w:ascii="宋体" w:hAnsi="宋体"/>
          <w:b/>
          <w:bCs/>
          <w:sz w:val="28"/>
          <w:szCs w:val="28"/>
        </w:rPr>
        <w:tab/>
      </w:r>
    </w:p>
    <w:p>
      <w:pPr>
        <w:numPr>
          <w:ilvl w:val="0"/>
          <w:numId w:val="24"/>
        </w:numPr>
        <w:tabs>
          <w:tab w:val="left" w:pos="1134"/>
        </w:tabs>
        <w:spacing w:line="360" w:lineRule="auto"/>
        <w:ind w:left="0" w:firstLine="567"/>
        <w:rPr>
          <w:rFonts w:ascii="宋体" w:hAnsi="宋体"/>
          <w:sz w:val="28"/>
          <w:szCs w:val="28"/>
        </w:rPr>
      </w:pPr>
      <w:r>
        <w:rPr>
          <w:rFonts w:hint="eastAsia" w:ascii="宋体" w:hAnsi="宋体"/>
          <w:sz w:val="28"/>
          <w:szCs w:val="28"/>
        </w:rPr>
        <w:t>投标人应按照招标文件第3章中提供的“投标文件格式”填写相关内容。</w:t>
      </w:r>
    </w:p>
    <w:p>
      <w:pPr>
        <w:numPr>
          <w:ilvl w:val="0"/>
          <w:numId w:val="24"/>
        </w:numPr>
        <w:tabs>
          <w:tab w:val="left" w:pos="1134"/>
        </w:tabs>
        <w:spacing w:line="360" w:lineRule="auto"/>
        <w:ind w:left="0" w:firstLine="567"/>
        <w:rPr>
          <w:rFonts w:ascii="宋体" w:hAnsi="宋体"/>
          <w:sz w:val="28"/>
          <w:szCs w:val="28"/>
        </w:rPr>
      </w:pPr>
      <w:r>
        <w:rPr>
          <w:rFonts w:hint="eastAsia" w:ascii="宋体" w:hAnsi="宋体"/>
          <w:sz w:val="28"/>
          <w:szCs w:val="28"/>
        </w:rPr>
        <w:t>对于没有格式要求的投标文件由投标人自行编写。</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投标报价</w:t>
      </w:r>
    </w:p>
    <w:p>
      <w:pPr>
        <w:numPr>
          <w:ilvl w:val="0"/>
          <w:numId w:val="25"/>
        </w:numPr>
        <w:tabs>
          <w:tab w:val="left" w:pos="1134"/>
        </w:tabs>
        <w:spacing w:line="360" w:lineRule="auto"/>
        <w:ind w:left="0" w:firstLine="560"/>
        <w:rPr>
          <w:rFonts w:ascii="宋体" w:hAnsi="宋体"/>
          <w:sz w:val="28"/>
          <w:szCs w:val="28"/>
        </w:rPr>
      </w:pPr>
      <w:r>
        <w:rPr>
          <w:rFonts w:hint="eastAsia" w:ascii="宋体" w:hAnsi="宋体"/>
          <w:sz w:val="28"/>
          <w:szCs w:val="28"/>
        </w:rPr>
        <w:t>投标人的报价是投标人响应招标项目要求的全部工作内容的价格体现，包括投标人完成本项目所需的一切费用。</w:t>
      </w:r>
    </w:p>
    <w:p>
      <w:pPr>
        <w:numPr>
          <w:ilvl w:val="0"/>
          <w:numId w:val="25"/>
        </w:numPr>
        <w:tabs>
          <w:tab w:val="left" w:pos="1134"/>
        </w:tabs>
        <w:spacing w:line="360" w:lineRule="auto"/>
        <w:ind w:left="0" w:firstLine="560"/>
        <w:rPr>
          <w:rFonts w:ascii="宋体" w:hAnsi="宋体"/>
          <w:sz w:val="28"/>
          <w:szCs w:val="28"/>
        </w:rPr>
      </w:pPr>
      <w:r>
        <w:rPr>
          <w:rFonts w:hint="eastAsia" w:ascii="宋体" w:hAnsi="宋体"/>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sz w:val="28"/>
          <w:szCs w:val="28"/>
        </w:rPr>
      </w:pPr>
      <w:bookmarkStart w:id="59" w:name="_Toc217446050"/>
      <w:bookmarkStart w:id="60" w:name="_Toc183582223"/>
      <w:bookmarkStart w:id="61" w:name="_Toc183682360"/>
      <w:r>
        <w:rPr>
          <w:rFonts w:hint="eastAsia" w:ascii="宋体" w:hAnsi="宋体"/>
          <w:sz w:val="28"/>
          <w:szCs w:val="28"/>
        </w:rPr>
        <w:t>三、投标文件报价出现前后不一致的，按照下列规定修正：（1）开标现场宣读的投标报价与投标文件中的投标报价不一致的，以投标人在“电子投标辅助制作软件”中填写的投标报价为准;（2）大写金额和小写金额不一致的，以大写金额为准，但大写金额出现文字错误，导致金额无法判断的除外；（3）单价金额小数点或者百分比有明显错位的，应以总价为准，并修改单价；（4）总价金额与按单价汇总金额不一致的，以单价金额计算结果为准。</w:t>
      </w:r>
    </w:p>
    <w:p>
      <w:pPr>
        <w:tabs>
          <w:tab w:val="left" w:pos="1134"/>
        </w:tabs>
        <w:spacing w:line="360" w:lineRule="auto"/>
        <w:ind w:firstLine="565" w:firstLineChars="202"/>
        <w:rPr>
          <w:rFonts w:ascii="宋体" w:hAnsi="宋体"/>
          <w:sz w:val="28"/>
          <w:szCs w:val="28"/>
        </w:rPr>
      </w:pPr>
      <w:r>
        <w:rPr>
          <w:rFonts w:hint="eastAsia" w:ascii="宋体" w:hAnsi="宋体"/>
          <w:sz w:val="28"/>
          <w:szCs w:val="28"/>
        </w:rPr>
        <w:t>同时出现两种以上不一致的，按照前款规定的顺序修正。修正后的报价经投标人以书面形式通过云平台进行确认，并加盖投标人（法定名称）电子签章，投标人逾时确认的，其投标无效。如因断电、断网、系统故障或其他不可抗力等因素，导致系统无法使用的，由投标人按评标委员会的要求进行澄清或者说明。</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投标保证金</w:t>
      </w:r>
      <w:bookmarkEnd w:id="59"/>
      <w:bookmarkEnd w:id="60"/>
      <w:bookmarkEnd w:id="61"/>
    </w:p>
    <w:p>
      <w:pPr>
        <w:spacing w:line="360" w:lineRule="auto"/>
        <w:ind w:firstLine="560" w:firstLineChars="200"/>
        <w:rPr>
          <w:rFonts w:ascii="宋体" w:hAnsi="宋体"/>
          <w:sz w:val="28"/>
          <w:szCs w:val="28"/>
        </w:rPr>
      </w:pPr>
      <w:r>
        <w:rPr>
          <w:rFonts w:hint="eastAsia" w:cs="Arial"/>
          <w:sz w:val="28"/>
          <w:szCs w:val="28"/>
        </w:rPr>
        <w:t>本项目</w:t>
      </w:r>
      <w:r>
        <w:rPr>
          <w:rFonts w:hint="eastAsia" w:cs="Arial"/>
          <w:b/>
          <w:bCs/>
          <w:sz w:val="28"/>
          <w:szCs w:val="28"/>
        </w:rPr>
        <w:t>不收取</w:t>
      </w:r>
      <w:r>
        <w:rPr>
          <w:rFonts w:hint="eastAsia" w:cs="Arial"/>
          <w:sz w:val="28"/>
          <w:szCs w:val="28"/>
        </w:rPr>
        <w:t>投标保证金。</w:t>
      </w:r>
    </w:p>
    <w:p>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1400"/>
      <w:bookmarkEnd w:id="62"/>
      <w:bookmarkStart w:id="63" w:name="_Toc316292024"/>
      <w:bookmarkEnd w:id="63"/>
      <w:bookmarkStart w:id="64" w:name="_Toc217446051"/>
      <w:bookmarkStart w:id="65" w:name="_Toc183582224"/>
      <w:bookmarkStart w:id="66" w:name="_Toc183682361"/>
      <w:r>
        <w:rPr>
          <w:rFonts w:hint="eastAsia" w:ascii="宋体" w:hAnsi="宋体"/>
          <w:b/>
          <w:bCs/>
          <w:sz w:val="28"/>
          <w:szCs w:val="28"/>
        </w:rPr>
        <w:t>投标有效期</w:t>
      </w:r>
      <w:bookmarkEnd w:id="64"/>
      <w:bookmarkEnd w:id="65"/>
      <w:bookmarkEnd w:id="66"/>
    </w:p>
    <w:p>
      <w:pPr>
        <w:numPr>
          <w:ilvl w:val="0"/>
          <w:numId w:val="26"/>
        </w:numPr>
        <w:tabs>
          <w:tab w:val="left" w:pos="1134"/>
        </w:tabs>
        <w:spacing w:line="360" w:lineRule="auto"/>
        <w:ind w:left="0" w:firstLine="567"/>
        <w:rPr>
          <w:rFonts w:ascii="宋体" w:hAnsi="宋体"/>
          <w:sz w:val="28"/>
          <w:szCs w:val="28"/>
        </w:rPr>
      </w:pPr>
      <w:r>
        <w:rPr>
          <w:rFonts w:hint="eastAsia" w:ascii="宋体" w:hAnsi="宋体"/>
          <w:sz w:val="28"/>
          <w:szCs w:val="28"/>
        </w:rPr>
        <w:t>投标有效期为</w:t>
      </w:r>
      <w:r>
        <w:rPr>
          <w:rFonts w:hint="eastAsia" w:ascii="Helvetica" w:hAnsi="Helvetica" w:cs="Helvetica"/>
          <w:sz w:val="28"/>
          <w:szCs w:val="28"/>
        </w:rPr>
        <w:t>提交投标文件的截止之日起</w:t>
      </w:r>
      <w:r>
        <w:rPr>
          <w:rFonts w:hint="eastAsia" w:ascii="宋体" w:hAnsi="宋体"/>
          <w:sz w:val="28"/>
          <w:szCs w:val="28"/>
          <w:u w:val="single"/>
        </w:rPr>
        <w:t>120</w:t>
      </w:r>
      <w:r>
        <w:rPr>
          <w:rFonts w:hint="eastAsia" w:ascii="宋体" w:hAnsi="宋体"/>
          <w:sz w:val="28"/>
          <w:szCs w:val="28"/>
        </w:rPr>
        <w:t>天。投标有效期短于此规定期限的或不作响应的，则其投标文件将按无效投标文件处理。</w:t>
      </w:r>
    </w:p>
    <w:p>
      <w:pPr>
        <w:numPr>
          <w:ilvl w:val="0"/>
          <w:numId w:val="26"/>
        </w:numPr>
        <w:tabs>
          <w:tab w:val="left" w:pos="1134"/>
        </w:tabs>
        <w:spacing w:line="360" w:lineRule="auto"/>
        <w:ind w:left="0" w:firstLine="567"/>
        <w:rPr>
          <w:rFonts w:ascii="宋体" w:hAnsi="宋体"/>
          <w:sz w:val="28"/>
          <w:szCs w:val="28"/>
        </w:rPr>
      </w:pPr>
      <w:r>
        <w:rPr>
          <w:rFonts w:hint="eastAsia" w:ascii="宋体" w:hAnsi="宋体"/>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keepNext/>
        <w:keepLines/>
        <w:numPr>
          <w:ilvl w:val="2"/>
          <w:numId w:val="5"/>
        </w:numPr>
        <w:tabs>
          <w:tab w:val="left" w:pos="851"/>
        </w:tabs>
        <w:spacing w:line="360" w:lineRule="auto"/>
        <w:ind w:left="0" w:firstLine="0"/>
        <w:outlineLvl w:val="2"/>
        <w:rPr>
          <w:rFonts w:ascii="宋体" w:hAnsi="宋体"/>
          <w:b/>
          <w:bCs/>
          <w:sz w:val="28"/>
          <w:szCs w:val="28"/>
        </w:rPr>
      </w:pPr>
      <w:bookmarkStart w:id="67" w:name="_Toc183582227"/>
      <w:bookmarkStart w:id="68" w:name="_Toc183682364"/>
      <w:bookmarkStart w:id="69" w:name="_Toc217446054"/>
      <w:r>
        <w:rPr>
          <w:rFonts w:hint="eastAsia" w:ascii="宋体" w:hAnsi="宋体"/>
          <w:b/>
          <w:bCs/>
          <w:sz w:val="28"/>
          <w:szCs w:val="28"/>
        </w:rPr>
        <w:t>投标文件的制作和签章、加密</w:t>
      </w:r>
    </w:p>
    <w:p>
      <w:pPr>
        <w:spacing w:line="360" w:lineRule="auto"/>
        <w:ind w:firstLine="562" w:firstLineChars="200"/>
        <w:rPr>
          <w:rFonts w:ascii="宋体" w:hAnsi="宋体"/>
          <w:sz w:val="28"/>
          <w:szCs w:val="28"/>
        </w:rPr>
      </w:pPr>
      <w:r>
        <w:rPr>
          <w:rFonts w:hint="eastAsia" w:ascii="宋体" w:hAnsi="宋体"/>
          <w:b/>
          <w:sz w:val="28"/>
          <w:szCs w:val="28"/>
        </w:rPr>
        <w:t>一、投标文件应根据招标文件的要求进行制作。</w:t>
      </w:r>
      <w:r>
        <w:rPr>
          <w:rFonts w:hint="eastAsia" w:ascii="宋体" w:hAnsi="宋体"/>
          <w:b/>
          <w:bCs/>
          <w:sz w:val="28"/>
          <w:szCs w:val="28"/>
        </w:rPr>
        <w:t>（说明：1、招标文件中要求提供复印件证明材料的，包含提供原件的影印件或复印件。2、要求提供复印件的证明材料须清晰可辨，如因投标人上传的图片清晰度使评审专家无法辨别、不予认可，由投标人自行承担可能产生的一切后果。）</w:t>
      </w:r>
    </w:p>
    <w:p>
      <w:pPr>
        <w:spacing w:line="360" w:lineRule="auto"/>
        <w:ind w:firstLine="560" w:firstLineChars="200"/>
        <w:rPr>
          <w:rFonts w:ascii="宋体" w:hAnsi="宋体"/>
          <w:sz w:val="28"/>
          <w:szCs w:val="28"/>
        </w:rPr>
      </w:pPr>
      <w:r>
        <w:rPr>
          <w:rFonts w:hint="eastAsia" w:ascii="宋体" w:hAnsi="宋体"/>
          <w:sz w:val="28"/>
          <w:szCs w:val="28"/>
        </w:rPr>
        <w:t>二、投标文件制作详情：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w:t>
      </w:r>
      <w:r>
        <w:rPr>
          <w:rFonts w:hint="eastAsia" w:ascii="宋体" w:hAnsi="宋体"/>
          <w:b/>
          <w:sz w:val="28"/>
          <w:szCs w:val="28"/>
        </w:rPr>
        <w:t>投标人应按招标文件要求，通过“政采云投标客户端”制作、加密并提交投标文件。</w:t>
      </w:r>
    </w:p>
    <w:p>
      <w:pPr>
        <w:spacing w:line="360" w:lineRule="auto"/>
        <w:ind w:firstLine="562" w:firstLineChars="200"/>
        <w:rPr>
          <w:rFonts w:ascii="宋体" w:hAnsi="宋体"/>
          <w:b/>
          <w:sz w:val="28"/>
          <w:szCs w:val="28"/>
        </w:rPr>
      </w:pPr>
      <w:r>
        <w:rPr>
          <w:rFonts w:hint="eastAsia" w:ascii="宋体" w:hAnsi="宋体"/>
          <w:b/>
          <w:sz w:val="28"/>
          <w:szCs w:val="28"/>
        </w:rPr>
        <w:t>2、投标文件应加盖投标人（法定名称）电子签章，不得使用投标人专用章（如经济合同章、投标专用章等）或下属单位印章代替。</w:t>
      </w:r>
    </w:p>
    <w:p>
      <w:pPr>
        <w:spacing w:line="360" w:lineRule="auto"/>
        <w:ind w:firstLine="562" w:firstLineChars="200"/>
        <w:rPr>
          <w:rFonts w:ascii="宋体" w:hAnsi="宋体"/>
          <w:b/>
          <w:sz w:val="28"/>
          <w:szCs w:val="28"/>
        </w:rPr>
      </w:pPr>
      <w:r>
        <w:rPr>
          <w:rFonts w:hint="eastAsia" w:ascii="宋体" w:hAnsi="宋体"/>
          <w:b/>
          <w:sz w:val="28"/>
          <w:szCs w:val="28"/>
        </w:rPr>
        <w:t>3、投标人应使用本企业CA数字证书对投标文件进行加密。</w:t>
      </w:r>
    </w:p>
    <w:p>
      <w:pPr>
        <w:spacing w:line="360" w:lineRule="auto"/>
        <w:ind w:firstLine="562" w:firstLineChars="200"/>
        <w:rPr>
          <w:rFonts w:ascii="宋体" w:hAnsi="宋体"/>
          <w:b/>
          <w:sz w:val="28"/>
          <w:szCs w:val="28"/>
        </w:rPr>
      </w:pPr>
      <w:r>
        <w:rPr>
          <w:rFonts w:hint="eastAsia" w:ascii="宋体" w:hAnsi="宋体"/>
          <w:b/>
          <w:sz w:val="28"/>
          <w:szCs w:val="28"/>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sz w:val="28"/>
          <w:szCs w:val="28"/>
        </w:rPr>
      </w:pPr>
      <w:r>
        <w:rPr>
          <w:rFonts w:hint="eastAsia" w:ascii="宋体" w:hAnsi="宋体"/>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keepNext/>
        <w:keepLines/>
        <w:numPr>
          <w:ilvl w:val="2"/>
          <w:numId w:val="5"/>
        </w:numPr>
        <w:tabs>
          <w:tab w:val="left" w:pos="851"/>
        </w:tabs>
        <w:spacing w:line="360" w:lineRule="auto"/>
        <w:ind w:left="0" w:firstLine="0"/>
        <w:outlineLvl w:val="2"/>
        <w:rPr>
          <w:rFonts w:ascii="宋体" w:hAnsi="宋体"/>
          <w:b/>
          <w:bCs/>
          <w:sz w:val="28"/>
          <w:szCs w:val="28"/>
        </w:rPr>
      </w:pPr>
      <w:r>
        <w:rPr>
          <w:rFonts w:hint="eastAsia" w:ascii="宋体" w:hAnsi="宋体"/>
          <w:b/>
          <w:bCs/>
          <w:sz w:val="28"/>
          <w:szCs w:val="28"/>
        </w:rPr>
        <w:t>投标文件的</w:t>
      </w:r>
      <w:bookmarkEnd w:id="67"/>
      <w:bookmarkEnd w:id="68"/>
      <w:r>
        <w:rPr>
          <w:rFonts w:hint="eastAsia" w:ascii="宋体" w:hAnsi="宋体"/>
          <w:b/>
          <w:bCs/>
          <w:sz w:val="28"/>
          <w:szCs w:val="28"/>
        </w:rPr>
        <w:t>递交</w:t>
      </w:r>
      <w:bookmarkEnd w:id="69"/>
    </w:p>
    <w:p>
      <w:pPr>
        <w:tabs>
          <w:tab w:val="left" w:pos="0"/>
        </w:tabs>
        <w:spacing w:line="360" w:lineRule="auto"/>
        <w:ind w:firstLine="420" w:firstLineChars="150"/>
        <w:rPr>
          <w:rFonts w:ascii="宋体" w:hAnsi="宋体" w:eastAsiaTheme="minorEastAsia" w:cstheme="minorBidi"/>
          <w:bCs/>
          <w:sz w:val="28"/>
          <w:szCs w:val="28"/>
        </w:rPr>
      </w:pPr>
      <w:r>
        <w:rPr>
          <w:rFonts w:hint="eastAsia" w:ascii="宋体" w:hAnsi="宋体" w:eastAsiaTheme="minorEastAsia" w:cstheme="minorBidi"/>
          <w:bCs/>
          <w:sz w:val="28"/>
          <w:szCs w:val="28"/>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Theme="minorEastAsia" w:cstheme="minorBidi"/>
          <w:bCs/>
          <w:sz w:val="28"/>
          <w:szCs w:val="28"/>
        </w:rPr>
      </w:pPr>
      <w:r>
        <w:rPr>
          <w:rFonts w:hint="eastAsia" w:ascii="宋体" w:hAnsi="宋体" w:eastAsiaTheme="minorEastAsia" w:cstheme="minorBidi"/>
          <w:bCs/>
          <w:sz w:val="28"/>
          <w:szCs w:val="28"/>
        </w:rPr>
        <w:t>二、因招标文件的修改推迟投标截止日期的，投标人按区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bCs/>
          <w:sz w:val="28"/>
          <w:szCs w:val="28"/>
        </w:rPr>
      </w:pPr>
      <w:r>
        <w:rPr>
          <w:rFonts w:hint="eastAsia" w:ascii="宋体" w:hAnsi="宋体" w:eastAsiaTheme="minorEastAsia" w:cstheme="minorBidi"/>
          <w:bCs/>
          <w:sz w:val="28"/>
          <w:szCs w:val="28"/>
        </w:rPr>
        <w:t>三、投标人应充分考虑递交文件的不可预见因素，未在投标截止时间前完成递交的，在投标截止时间后将无法递交</w:t>
      </w:r>
      <w:r>
        <w:rPr>
          <w:rFonts w:hint="eastAsia" w:ascii="宋体" w:hAnsi="宋体"/>
          <w:bCs/>
          <w:sz w:val="28"/>
          <w:szCs w:val="28"/>
        </w:rPr>
        <w:t>。</w:t>
      </w:r>
    </w:p>
    <w:p>
      <w:pPr>
        <w:keepNext/>
        <w:keepLines/>
        <w:numPr>
          <w:ilvl w:val="2"/>
          <w:numId w:val="5"/>
        </w:numPr>
        <w:tabs>
          <w:tab w:val="left" w:pos="851"/>
        </w:tabs>
        <w:spacing w:line="360" w:lineRule="auto"/>
        <w:ind w:left="0" w:firstLine="0"/>
        <w:outlineLvl w:val="2"/>
        <w:rPr>
          <w:rFonts w:ascii="宋体" w:hAnsi="宋体"/>
          <w:b/>
          <w:bCs/>
          <w:sz w:val="28"/>
          <w:szCs w:val="28"/>
        </w:rPr>
      </w:pPr>
      <w:r>
        <w:rPr>
          <w:rFonts w:hint="eastAsia" w:ascii="宋体" w:hAnsi="宋体"/>
          <w:b/>
          <w:bCs/>
          <w:sz w:val="28"/>
          <w:szCs w:val="28"/>
        </w:rPr>
        <w:t>投标文件的补充、修改</w:t>
      </w:r>
    </w:p>
    <w:p>
      <w:pPr>
        <w:numPr>
          <w:ilvl w:val="0"/>
          <w:numId w:val="27"/>
        </w:numPr>
        <w:tabs>
          <w:tab w:val="left" w:pos="1134"/>
        </w:tabs>
        <w:spacing w:line="360" w:lineRule="auto"/>
        <w:ind w:left="0" w:firstLine="567"/>
        <w:rPr>
          <w:rFonts w:ascii="宋体" w:hAnsi="宋体"/>
          <w:sz w:val="28"/>
          <w:szCs w:val="28"/>
        </w:rPr>
      </w:pPr>
      <w:r>
        <w:rPr>
          <w:rFonts w:hint="eastAsia" w:ascii="宋体" w:hAnsi="宋体"/>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7"/>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在投标截止时间之后，投标人不得对其递交的投标文件做任何补充、修改。</w:t>
      </w:r>
    </w:p>
    <w:p>
      <w:pPr>
        <w:keepNext/>
        <w:keepLines/>
        <w:numPr>
          <w:ilvl w:val="2"/>
          <w:numId w:val="5"/>
        </w:numPr>
        <w:tabs>
          <w:tab w:val="left" w:pos="851"/>
        </w:tabs>
        <w:spacing w:line="360" w:lineRule="auto"/>
        <w:ind w:left="0" w:firstLine="0"/>
        <w:outlineLvl w:val="2"/>
        <w:rPr>
          <w:rFonts w:ascii="宋体" w:hAnsi="宋体"/>
          <w:b/>
          <w:bCs/>
          <w:sz w:val="28"/>
          <w:szCs w:val="28"/>
        </w:rPr>
      </w:pPr>
      <w:bookmarkStart w:id="70" w:name="_Toc316475586"/>
      <w:bookmarkEnd w:id="70"/>
      <w:bookmarkStart w:id="71" w:name="_Toc316475587"/>
      <w:bookmarkEnd w:id="71"/>
      <w:bookmarkStart w:id="72" w:name="_Toc217446055"/>
      <w:bookmarkStart w:id="73" w:name="_Toc183582228"/>
      <w:bookmarkStart w:id="74" w:name="_Toc183682365"/>
      <w:r>
        <w:rPr>
          <w:rFonts w:hint="eastAsia" w:ascii="宋体" w:hAnsi="宋体"/>
          <w:b/>
          <w:bCs/>
          <w:sz w:val="28"/>
          <w:szCs w:val="28"/>
        </w:rPr>
        <w:t>投标文件的</w:t>
      </w:r>
      <w:bookmarkEnd w:id="72"/>
      <w:bookmarkEnd w:id="73"/>
      <w:bookmarkEnd w:id="74"/>
      <w:r>
        <w:rPr>
          <w:rFonts w:hint="eastAsia" w:ascii="宋体" w:hAnsi="宋体"/>
          <w:b/>
          <w:bCs/>
          <w:sz w:val="28"/>
          <w:szCs w:val="28"/>
        </w:rPr>
        <w:t>撤回</w:t>
      </w:r>
    </w:p>
    <w:p>
      <w:pPr>
        <w:spacing w:line="360" w:lineRule="auto"/>
        <w:ind w:firstLine="560" w:firstLineChars="200"/>
        <w:rPr>
          <w:rFonts w:ascii="宋体" w:hAnsi="宋体"/>
          <w:bCs/>
          <w:sz w:val="28"/>
          <w:szCs w:val="28"/>
        </w:rPr>
      </w:pPr>
      <w:r>
        <w:rPr>
          <w:rFonts w:hint="eastAsia" w:ascii="宋体" w:hAnsi="宋体"/>
          <w:bCs/>
          <w:sz w:val="28"/>
          <w:szCs w:val="28"/>
        </w:rPr>
        <w:t>在投标截止时间之前，投标人可对已递交的投标文件进行撤回。在投标截止时间之后，投标人不得撤回投标文件。</w:t>
      </w:r>
    </w:p>
    <w:p>
      <w:pPr>
        <w:keepNext/>
        <w:keepLines/>
        <w:numPr>
          <w:ilvl w:val="2"/>
          <w:numId w:val="5"/>
        </w:numPr>
        <w:tabs>
          <w:tab w:val="left" w:pos="851"/>
        </w:tabs>
        <w:spacing w:line="360" w:lineRule="auto"/>
        <w:ind w:left="0" w:firstLine="0"/>
        <w:outlineLvl w:val="2"/>
        <w:rPr>
          <w:rFonts w:ascii="宋体" w:hAnsi="宋体"/>
          <w:b/>
          <w:bCs/>
          <w:sz w:val="28"/>
          <w:szCs w:val="28"/>
        </w:rPr>
      </w:pPr>
      <w:r>
        <w:rPr>
          <w:rFonts w:hint="eastAsia" w:ascii="宋体" w:hAnsi="宋体"/>
          <w:b/>
          <w:bCs/>
          <w:sz w:val="28"/>
          <w:szCs w:val="28"/>
        </w:rPr>
        <w:t>投标文件的解密</w:t>
      </w:r>
    </w:p>
    <w:p>
      <w:pPr>
        <w:tabs>
          <w:tab w:val="left" w:pos="1134"/>
        </w:tabs>
        <w:spacing w:line="360" w:lineRule="auto"/>
        <w:ind w:firstLine="565" w:firstLineChars="202"/>
        <w:rPr>
          <w:rFonts w:ascii="宋体" w:hAnsi="宋体"/>
          <w:bCs/>
          <w:sz w:val="28"/>
          <w:szCs w:val="28"/>
        </w:rPr>
      </w:pPr>
      <w:r>
        <w:rPr>
          <w:rFonts w:hint="eastAsia" w:ascii="宋体" w:hAnsi="宋体"/>
          <w:bCs/>
          <w:sz w:val="28"/>
          <w:szCs w:val="28"/>
        </w:rPr>
        <w:t>投标人</w:t>
      </w:r>
      <w:r>
        <w:rPr>
          <w:rFonts w:hint="eastAsia" w:ascii="宋体" w:hAnsi="宋体"/>
          <w:sz w:val="28"/>
          <w:szCs w:val="28"/>
        </w:rPr>
        <w:t>登录政府采购云平台，点击“项目采购—开标评标”模块，找到对应项目，进入“开标大厅”，等待区公资交易中心开启解密后，进行线上解密。</w:t>
      </w:r>
      <w:r>
        <w:rPr>
          <w:rFonts w:hint="eastAsia" w:ascii="宋体" w:hAnsi="宋体"/>
          <w:bCs/>
          <w:sz w:val="28"/>
          <w:szCs w:val="28"/>
        </w:rPr>
        <w:t>除因</w:t>
      </w:r>
      <w:r>
        <w:rPr>
          <w:rFonts w:hint="eastAsia" w:ascii="宋体" w:hAnsi="宋体"/>
          <w:sz w:val="28"/>
          <w:szCs w:val="28"/>
        </w:rPr>
        <w:t>区公资交易中心</w:t>
      </w:r>
      <w:r>
        <w:rPr>
          <w:rFonts w:hint="eastAsia" w:ascii="宋体" w:hAnsi="宋体"/>
          <w:bCs/>
          <w:sz w:val="28"/>
          <w:szCs w:val="28"/>
        </w:rPr>
        <w:t>断电、断网、系统故障或其他不可抗力等因素，导致系统无法使用外，投标人在规定的解密时间内，未成功解密的投标文件将视为无效投标文件。</w:t>
      </w:r>
    </w:p>
    <w:p>
      <w:pPr>
        <w:keepNext/>
        <w:keepLines/>
        <w:numPr>
          <w:ilvl w:val="1"/>
          <w:numId w:val="5"/>
        </w:numPr>
        <w:spacing w:line="360" w:lineRule="auto"/>
        <w:jc w:val="left"/>
        <w:outlineLvl w:val="1"/>
        <w:rPr>
          <w:rFonts w:ascii="宋体" w:hAnsi="宋体"/>
          <w:b/>
          <w:bCs/>
          <w:sz w:val="28"/>
          <w:szCs w:val="28"/>
        </w:rPr>
      </w:pPr>
      <w:bookmarkStart w:id="75" w:name="_Toc77400782"/>
      <w:bookmarkStart w:id="76" w:name="_Toc89075878"/>
      <w:bookmarkStart w:id="77" w:name="_Toc217446056"/>
      <w:bookmarkStart w:id="78" w:name="_Toc183682368"/>
      <w:bookmarkStart w:id="79" w:name="_Toc183582231"/>
      <w:bookmarkStart w:id="80" w:name="_Toc85657298"/>
      <w:r>
        <w:rPr>
          <w:rFonts w:hint="eastAsia" w:ascii="宋体" w:hAnsi="宋体"/>
          <w:b/>
          <w:bCs/>
          <w:sz w:val="28"/>
          <w:szCs w:val="28"/>
        </w:rPr>
        <w:t>开标、资格审查、评标和中标</w:t>
      </w:r>
      <w:bookmarkEnd w:id="75"/>
      <w:bookmarkEnd w:id="76"/>
      <w:bookmarkEnd w:id="77"/>
      <w:bookmarkEnd w:id="78"/>
      <w:bookmarkEnd w:id="79"/>
      <w:bookmarkEnd w:id="80"/>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开标及开标程序</w:t>
      </w:r>
    </w:p>
    <w:p>
      <w:pPr>
        <w:pStyle w:val="81"/>
        <w:numPr>
          <w:ilvl w:val="0"/>
          <w:numId w:val="28"/>
        </w:numPr>
        <w:tabs>
          <w:tab w:val="left" w:pos="1134"/>
        </w:tabs>
        <w:spacing w:line="360" w:lineRule="auto"/>
        <w:ind w:left="0" w:right="210" w:firstLine="567" w:firstLineChars="0"/>
        <w:rPr>
          <w:rFonts w:ascii="宋体" w:hAnsi="宋体" w:eastAsia="宋体" w:cs="宋体"/>
          <w:sz w:val="28"/>
          <w:szCs w:val="28"/>
        </w:rPr>
      </w:pPr>
      <w:r>
        <w:rPr>
          <w:rFonts w:hint="eastAsia" w:ascii="宋体" w:hAnsi="宋体" w:eastAsia="宋体" w:cs="宋体"/>
          <w:sz w:val="28"/>
          <w:szCs w:val="28"/>
        </w:rPr>
        <w:t>本项目为不见面开标项目。递交投标文件的投标人不足3家的，不予开标。</w:t>
      </w:r>
    </w:p>
    <w:p>
      <w:pPr>
        <w:pStyle w:val="81"/>
        <w:numPr>
          <w:ilvl w:val="0"/>
          <w:numId w:val="28"/>
        </w:numPr>
        <w:tabs>
          <w:tab w:val="left" w:pos="1134"/>
        </w:tabs>
        <w:spacing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81"/>
        <w:numPr>
          <w:ilvl w:val="0"/>
          <w:numId w:val="28"/>
        </w:numPr>
        <w:tabs>
          <w:tab w:val="left" w:pos="1134"/>
        </w:tabs>
        <w:spacing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解密投标文件。等待区公资交易中心开启解密后，投标人进行线上解密。开启解密后，投标人应在60分钟内，使用加密该投标文件的CA数字证书在线完成投标文件的解密。除因区公资交易中心断电、断网、系统故障或其他不可抗力等因素，导致系统无法使用外，投标人在规定的解密时间内，未成功解密的投标文件将视为无效投标文件。</w:t>
      </w:r>
    </w:p>
    <w:p>
      <w:pPr>
        <w:pStyle w:val="81"/>
        <w:numPr>
          <w:ilvl w:val="0"/>
          <w:numId w:val="28"/>
        </w:numPr>
        <w:tabs>
          <w:tab w:val="left" w:pos="1134"/>
        </w:tabs>
        <w:spacing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81"/>
        <w:numPr>
          <w:ilvl w:val="0"/>
          <w:numId w:val="28"/>
        </w:numPr>
        <w:tabs>
          <w:tab w:val="left" w:pos="1134"/>
        </w:tabs>
        <w:spacing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投标人对开标过程和开标记录有疑义，以及认为采购人、区公资交易中心相关工作人员有需要回避的情形的，及时向工作人员提出询问或者回避申请。采购人、区公资交易中心对投标人提出的询问或者回避申请应当及时处理。</w:t>
      </w:r>
    </w:p>
    <w:p>
      <w:pPr>
        <w:pStyle w:val="81"/>
        <w:numPr>
          <w:ilvl w:val="0"/>
          <w:numId w:val="28"/>
        </w:numPr>
        <w:tabs>
          <w:tab w:val="left" w:pos="1134"/>
        </w:tabs>
        <w:spacing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81"/>
        <w:numPr>
          <w:ilvl w:val="0"/>
          <w:numId w:val="28"/>
        </w:numPr>
        <w:tabs>
          <w:tab w:val="left" w:pos="1134"/>
        </w:tabs>
        <w:spacing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因区公资交易中心断电、断网、系统故障或其他不可抗力等因素导致不见面开标系统无法正常运行的，开标活动中止或延迟，待系统恢复正常后继续进行开标活动。</w:t>
      </w:r>
    </w:p>
    <w:p>
      <w:pPr>
        <w:pStyle w:val="81"/>
        <w:numPr>
          <w:ilvl w:val="0"/>
          <w:numId w:val="28"/>
        </w:numPr>
        <w:tabs>
          <w:tab w:val="left" w:pos="1134"/>
        </w:tabs>
        <w:spacing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资格审查</w:t>
      </w:r>
    </w:p>
    <w:p>
      <w:pPr>
        <w:spacing w:line="360" w:lineRule="auto"/>
        <w:ind w:firstLine="495"/>
        <w:rPr>
          <w:rFonts w:ascii="宋体" w:hAnsi="宋体"/>
          <w:sz w:val="28"/>
          <w:szCs w:val="28"/>
        </w:rPr>
      </w:pPr>
      <w:r>
        <w:rPr>
          <w:rFonts w:hint="eastAsia" w:ascii="宋体" w:hAnsi="宋体"/>
          <w:sz w:val="28"/>
          <w:szCs w:val="28"/>
        </w:rPr>
        <w:t>详见招标文件第5章。</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评标</w:t>
      </w:r>
    </w:p>
    <w:p>
      <w:pPr>
        <w:spacing w:line="360" w:lineRule="auto"/>
        <w:ind w:firstLine="495"/>
        <w:rPr>
          <w:rFonts w:ascii="宋体" w:hAnsi="宋体"/>
          <w:sz w:val="28"/>
          <w:szCs w:val="28"/>
        </w:rPr>
      </w:pPr>
      <w:r>
        <w:rPr>
          <w:rFonts w:hint="eastAsia" w:ascii="宋体" w:hAnsi="宋体"/>
          <w:sz w:val="28"/>
          <w:szCs w:val="28"/>
        </w:rPr>
        <w:t>详见招标文件第6章。</w:t>
      </w:r>
    </w:p>
    <w:p>
      <w:pPr>
        <w:keepNext/>
        <w:keepLines/>
        <w:numPr>
          <w:ilvl w:val="2"/>
          <w:numId w:val="5"/>
        </w:numPr>
        <w:spacing w:line="360" w:lineRule="auto"/>
        <w:ind w:left="0" w:firstLine="0"/>
        <w:outlineLvl w:val="2"/>
        <w:rPr>
          <w:rFonts w:ascii="宋体" w:hAnsi="宋体"/>
          <w:b/>
          <w:bCs/>
          <w:sz w:val="28"/>
          <w:szCs w:val="28"/>
        </w:rPr>
      </w:pPr>
      <w:bookmarkStart w:id="81" w:name="_Toc183682375"/>
      <w:bookmarkStart w:id="82" w:name="_Toc183582238"/>
      <w:bookmarkStart w:id="83" w:name="_Toc217446063"/>
      <w:r>
        <w:rPr>
          <w:rFonts w:hint="eastAsia" w:ascii="宋体" w:hAnsi="宋体"/>
          <w:b/>
          <w:bCs/>
          <w:sz w:val="28"/>
          <w:szCs w:val="28"/>
        </w:rPr>
        <w:t>中标通知</w:t>
      </w:r>
      <w:bookmarkEnd w:id="81"/>
      <w:bookmarkEnd w:id="82"/>
      <w:r>
        <w:rPr>
          <w:rFonts w:hint="eastAsia" w:ascii="宋体" w:hAnsi="宋体"/>
          <w:b/>
          <w:bCs/>
          <w:sz w:val="28"/>
          <w:szCs w:val="28"/>
        </w:rPr>
        <w:t>书</w:t>
      </w:r>
      <w:bookmarkEnd w:id="83"/>
    </w:p>
    <w:p>
      <w:pPr>
        <w:spacing w:line="360" w:lineRule="auto"/>
        <w:ind w:right="210" w:firstLine="560" w:firstLineChars="200"/>
        <w:rPr>
          <w:rFonts w:ascii="宋体" w:hAnsi="宋体"/>
          <w:sz w:val="28"/>
          <w:szCs w:val="28"/>
        </w:rPr>
      </w:pPr>
      <w:bookmarkStart w:id="84" w:name="_Toc217446064"/>
      <w:bookmarkStart w:id="85" w:name="_Toc183582240"/>
      <w:bookmarkStart w:id="86" w:name="_Toc183682377"/>
      <w:r>
        <w:rPr>
          <w:rFonts w:hint="eastAsia" w:ascii="宋体" w:hAnsi="宋体"/>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360" w:lineRule="auto"/>
        <w:ind w:firstLine="560" w:firstLineChars="200"/>
        <w:rPr>
          <w:rFonts w:ascii="宋体" w:hAnsi="宋体"/>
          <w:sz w:val="28"/>
          <w:szCs w:val="28"/>
        </w:rPr>
      </w:pPr>
      <w:r>
        <w:rPr>
          <w:rFonts w:hint="eastAsia" w:ascii="宋体" w:hAnsi="宋体"/>
          <w:sz w:val="28"/>
          <w:szCs w:val="28"/>
        </w:rPr>
        <w:t>二、中标通知书对采购人和中标人均具有法律效力。中标通知书发出后，采购人改变中标结果，或者中标人无正当理由放弃中标的，应当承担相应的法律责任。</w:t>
      </w:r>
    </w:p>
    <w:p>
      <w:pPr>
        <w:spacing w:line="360" w:lineRule="auto"/>
        <w:ind w:firstLine="560" w:firstLineChars="200"/>
        <w:rPr>
          <w:rFonts w:ascii="宋体" w:hAnsi="宋体"/>
          <w:sz w:val="28"/>
          <w:szCs w:val="28"/>
        </w:rPr>
      </w:pPr>
      <w:r>
        <w:rPr>
          <w:rFonts w:hint="eastAsia" w:ascii="宋体" w:hAnsi="宋体"/>
          <w:sz w:val="28"/>
          <w:szCs w:val="28"/>
        </w:rPr>
        <w:t>三、中标公告在四川政府采购网上公告后，中标供应商自行登录政府采购云平台下载中标通知书。</w:t>
      </w:r>
    </w:p>
    <w:p>
      <w:pPr>
        <w:keepNext/>
        <w:keepLines/>
        <w:numPr>
          <w:ilvl w:val="1"/>
          <w:numId w:val="5"/>
        </w:numPr>
        <w:spacing w:line="360" w:lineRule="auto"/>
        <w:jc w:val="left"/>
        <w:outlineLvl w:val="1"/>
        <w:rPr>
          <w:rFonts w:ascii="宋体" w:hAnsi="宋体"/>
          <w:b/>
          <w:bCs/>
          <w:sz w:val="28"/>
          <w:szCs w:val="28"/>
        </w:rPr>
      </w:pPr>
      <w:bookmarkStart w:id="87" w:name="_Toc85657299"/>
      <w:r>
        <w:rPr>
          <w:rFonts w:hint="eastAsia" w:ascii="宋体" w:hAnsi="宋体"/>
          <w:b/>
          <w:bCs/>
          <w:sz w:val="28"/>
          <w:szCs w:val="28"/>
        </w:rPr>
        <w:t>签订及履行合同和验收</w:t>
      </w:r>
      <w:bookmarkEnd w:id="84"/>
      <w:bookmarkEnd w:id="87"/>
    </w:p>
    <w:p>
      <w:pPr>
        <w:keepNext/>
        <w:keepLines/>
        <w:numPr>
          <w:ilvl w:val="2"/>
          <w:numId w:val="5"/>
        </w:numPr>
        <w:spacing w:line="360" w:lineRule="auto"/>
        <w:ind w:left="0" w:firstLine="0"/>
        <w:outlineLvl w:val="2"/>
        <w:rPr>
          <w:rFonts w:ascii="宋体" w:hAnsi="宋体"/>
          <w:b/>
          <w:bCs/>
          <w:sz w:val="28"/>
          <w:szCs w:val="28"/>
        </w:rPr>
      </w:pPr>
      <w:bookmarkStart w:id="88" w:name="_Toc217446065"/>
      <w:r>
        <w:rPr>
          <w:rFonts w:hint="eastAsia" w:ascii="宋体" w:hAnsi="宋体"/>
          <w:b/>
          <w:bCs/>
          <w:sz w:val="28"/>
          <w:szCs w:val="28"/>
        </w:rPr>
        <w:t>签订合同</w:t>
      </w:r>
      <w:bookmarkEnd w:id="88"/>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中标人应在中标通知书发出之日起30天内与采购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四、询问或者质疑事项可能影响中标、成交结果的，采购人应当暂停签订合同，已经签订合同的，应当中止履行合同。</w:t>
      </w:r>
    </w:p>
    <w:p>
      <w:pPr>
        <w:keepNext/>
        <w:keepLines/>
        <w:numPr>
          <w:ilvl w:val="2"/>
          <w:numId w:val="5"/>
        </w:numPr>
        <w:spacing w:line="360" w:lineRule="auto"/>
        <w:ind w:left="3119" w:hanging="3119"/>
        <w:outlineLvl w:val="2"/>
        <w:rPr>
          <w:rFonts w:ascii="宋体" w:hAnsi="宋体"/>
          <w:b/>
          <w:bCs/>
          <w:sz w:val="28"/>
          <w:szCs w:val="28"/>
        </w:rPr>
      </w:pPr>
      <w:bookmarkStart w:id="89" w:name="_Toc315871033"/>
      <w:bookmarkEnd w:id="89"/>
      <w:bookmarkStart w:id="90" w:name="_Toc217446066"/>
      <w:r>
        <w:rPr>
          <w:rFonts w:hint="eastAsia" w:ascii="宋体" w:hAnsi="宋体"/>
          <w:b/>
          <w:bCs/>
          <w:sz w:val="28"/>
          <w:szCs w:val="28"/>
        </w:rPr>
        <w:t>合同分包</w:t>
      </w:r>
      <w:bookmarkEnd w:id="90"/>
      <w:r>
        <w:rPr>
          <w:rFonts w:hint="eastAsia" w:ascii="宋体" w:hAnsi="宋体"/>
          <w:b/>
          <w:bCs/>
          <w:sz w:val="28"/>
          <w:szCs w:val="28"/>
        </w:rPr>
        <w:t>和转包</w:t>
      </w:r>
    </w:p>
    <w:p>
      <w:pPr>
        <w:keepNext/>
        <w:keepLines/>
        <w:numPr>
          <w:ilvl w:val="3"/>
          <w:numId w:val="5"/>
        </w:numPr>
        <w:spacing w:line="360" w:lineRule="auto"/>
        <w:ind w:left="1275" w:hanging="1275"/>
        <w:outlineLvl w:val="2"/>
        <w:rPr>
          <w:rFonts w:ascii="宋体" w:hAnsi="宋体"/>
          <w:b/>
          <w:bCs/>
          <w:sz w:val="28"/>
          <w:szCs w:val="28"/>
        </w:rPr>
      </w:pPr>
      <w:r>
        <w:rPr>
          <w:rFonts w:hint="eastAsia" w:ascii="宋体" w:hAnsi="宋体"/>
          <w:b/>
          <w:bCs/>
          <w:sz w:val="28"/>
          <w:szCs w:val="28"/>
        </w:rPr>
        <w:t>合同分包</w:t>
      </w:r>
    </w:p>
    <w:p>
      <w:pPr>
        <w:pStyle w:val="121"/>
        <w:spacing w:line="360" w:lineRule="auto"/>
        <w:ind w:firstLine="560" w:firstLineChars="200"/>
        <w:rPr>
          <w:rFonts w:cs="Times New Roman"/>
          <w:sz w:val="28"/>
          <w:szCs w:val="28"/>
          <w:lang w:val="zh-CN"/>
        </w:rPr>
      </w:pPr>
      <w:r>
        <w:rPr>
          <w:rFonts w:hint="eastAsia" w:cs="Times New Roman"/>
          <w:sz w:val="28"/>
          <w:szCs w:val="28"/>
          <w:lang w:val="zh-CN"/>
        </w:rPr>
        <w:t>本</w:t>
      </w:r>
      <w:r>
        <w:rPr>
          <w:rFonts w:cs="Times New Roman"/>
          <w:sz w:val="28"/>
          <w:szCs w:val="28"/>
          <w:lang w:val="zh-CN"/>
        </w:rPr>
        <w:t>项目</w:t>
      </w:r>
      <w:r>
        <w:rPr>
          <w:rFonts w:cs="Times New Roman"/>
          <w:b/>
          <w:bCs/>
          <w:sz w:val="28"/>
          <w:szCs w:val="28"/>
          <w:lang w:val="zh-CN"/>
        </w:rPr>
        <w:t>不允许</w:t>
      </w:r>
      <w:r>
        <w:rPr>
          <w:rFonts w:cs="Times New Roman"/>
          <w:sz w:val="28"/>
          <w:szCs w:val="28"/>
          <w:lang w:val="zh-CN"/>
        </w:rPr>
        <w:t>分包</w:t>
      </w:r>
      <w:r>
        <w:rPr>
          <w:rFonts w:hint="eastAsia" w:cs="Times New Roman"/>
          <w:sz w:val="28"/>
          <w:szCs w:val="28"/>
          <w:lang w:val="zh-CN"/>
        </w:rPr>
        <w:t>。</w:t>
      </w:r>
    </w:p>
    <w:p>
      <w:pPr>
        <w:keepNext/>
        <w:keepLines/>
        <w:numPr>
          <w:ilvl w:val="3"/>
          <w:numId w:val="5"/>
        </w:numPr>
        <w:spacing w:line="360" w:lineRule="auto"/>
        <w:ind w:left="1275" w:hanging="1275"/>
        <w:outlineLvl w:val="2"/>
        <w:rPr>
          <w:rFonts w:ascii="宋体" w:hAnsi="宋体"/>
          <w:b/>
          <w:bCs/>
          <w:sz w:val="28"/>
          <w:szCs w:val="28"/>
        </w:rPr>
      </w:pPr>
      <w:r>
        <w:rPr>
          <w:rFonts w:hint="eastAsia" w:ascii="宋体" w:hAnsi="宋体"/>
          <w:b/>
          <w:bCs/>
          <w:sz w:val="28"/>
          <w:szCs w:val="28"/>
        </w:rPr>
        <w:t>合同转包</w:t>
      </w:r>
    </w:p>
    <w:p>
      <w:pPr>
        <w:spacing w:line="360" w:lineRule="auto"/>
        <w:ind w:firstLine="560" w:firstLineChars="200"/>
        <w:rPr>
          <w:rFonts w:ascii="宋体" w:hAnsi="宋体" w:cs="宋体"/>
          <w:sz w:val="28"/>
          <w:szCs w:val="28"/>
        </w:rPr>
      </w:pPr>
      <w:r>
        <w:rPr>
          <w:rFonts w:hint="eastAsia" w:ascii="宋体" w:hAnsi="宋体"/>
          <w:sz w:val="28"/>
          <w:szCs w:val="28"/>
        </w:rPr>
        <w:t>一、严禁中标供应商将本项目转包。本项目所称转包，是指</w:t>
      </w:r>
      <w:r>
        <w:rPr>
          <w:rFonts w:hint="eastAsia" w:ascii="宋体" w:hAnsi="宋体" w:cs="宋体"/>
          <w:sz w:val="28"/>
          <w:szCs w:val="28"/>
        </w:rPr>
        <w:t xml:space="preserve">将本项目转给他人或者将本项目全部肢解以后以分包的名义分别转给他人的行为。 </w:t>
      </w:r>
    </w:p>
    <w:p>
      <w:pPr>
        <w:spacing w:line="360" w:lineRule="auto"/>
        <w:ind w:firstLine="495"/>
        <w:rPr>
          <w:rFonts w:ascii="宋体" w:hAnsi="宋体"/>
          <w:sz w:val="28"/>
          <w:szCs w:val="28"/>
        </w:rPr>
      </w:pPr>
      <w:r>
        <w:rPr>
          <w:rFonts w:hint="eastAsia" w:ascii="宋体" w:hAnsi="宋体"/>
          <w:sz w:val="28"/>
          <w:szCs w:val="28"/>
        </w:rPr>
        <w:t>二、中标供应商转包的，视同拒绝履行政府采购合同，将依法追究法律责任。</w:t>
      </w:r>
    </w:p>
    <w:p>
      <w:pPr>
        <w:keepNext/>
        <w:keepLines/>
        <w:numPr>
          <w:ilvl w:val="2"/>
          <w:numId w:val="5"/>
        </w:numPr>
        <w:spacing w:line="360" w:lineRule="auto"/>
        <w:ind w:left="0" w:firstLine="0"/>
        <w:outlineLvl w:val="2"/>
        <w:rPr>
          <w:rFonts w:ascii="宋体" w:hAnsi="宋体"/>
          <w:b/>
          <w:bCs/>
          <w:sz w:val="28"/>
          <w:szCs w:val="28"/>
        </w:rPr>
      </w:pPr>
      <w:bookmarkStart w:id="91" w:name="_Toc217446067"/>
      <w:r>
        <w:rPr>
          <w:rFonts w:hint="eastAsia" w:ascii="宋体" w:hAnsi="宋体"/>
          <w:b/>
          <w:bCs/>
          <w:sz w:val="28"/>
          <w:szCs w:val="28"/>
        </w:rPr>
        <w:t>采购人增加合同标的的权</w:t>
      </w:r>
      <w:bookmarkEnd w:id="91"/>
      <w:r>
        <w:rPr>
          <w:rFonts w:hint="eastAsia" w:ascii="宋体" w:hAnsi="宋体"/>
          <w:b/>
          <w:bCs/>
          <w:sz w:val="28"/>
          <w:szCs w:val="28"/>
        </w:rPr>
        <w:t>利</w:t>
      </w:r>
    </w:p>
    <w:p>
      <w:pPr>
        <w:spacing w:line="360" w:lineRule="auto"/>
        <w:ind w:firstLine="560" w:firstLineChars="200"/>
        <w:rPr>
          <w:rFonts w:ascii="宋体" w:hAnsi="宋体"/>
          <w:sz w:val="28"/>
          <w:szCs w:val="28"/>
        </w:rPr>
      </w:pPr>
      <w:r>
        <w:rPr>
          <w:rFonts w:hint="eastAsia" w:ascii="宋体" w:hAnsi="宋体"/>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5"/>
        </w:numPr>
        <w:spacing w:line="360" w:lineRule="auto"/>
        <w:ind w:left="0" w:firstLine="0"/>
        <w:outlineLvl w:val="2"/>
        <w:rPr>
          <w:rFonts w:ascii="宋体" w:hAnsi="宋体"/>
          <w:b/>
          <w:bCs/>
          <w:sz w:val="28"/>
          <w:szCs w:val="28"/>
        </w:rPr>
      </w:pPr>
      <w:bookmarkStart w:id="92" w:name="_Toc217446068"/>
      <w:r>
        <w:rPr>
          <w:rFonts w:hint="eastAsia" w:ascii="宋体" w:hAnsi="宋体"/>
          <w:b/>
          <w:bCs/>
          <w:sz w:val="28"/>
          <w:szCs w:val="28"/>
        </w:rPr>
        <w:t>履约保证金</w:t>
      </w:r>
      <w:bookmarkEnd w:id="92"/>
    </w:p>
    <w:p>
      <w:pPr>
        <w:spacing w:line="360" w:lineRule="auto"/>
        <w:ind w:firstLine="562" w:firstLineChars="200"/>
        <w:rPr>
          <w:rFonts w:ascii="宋体" w:hAnsi="宋体"/>
          <w:b/>
          <w:sz w:val="28"/>
          <w:szCs w:val="28"/>
        </w:rPr>
      </w:pPr>
      <w:bookmarkStart w:id="93" w:name="_Toc217446069"/>
      <w:r>
        <w:rPr>
          <w:rFonts w:hint="eastAsia" w:ascii="宋体" w:hAnsi="宋体"/>
          <w:b/>
          <w:sz w:val="28"/>
          <w:szCs w:val="28"/>
        </w:rPr>
        <w:t>本项目</w:t>
      </w:r>
      <w:r>
        <w:rPr>
          <w:rFonts w:ascii="宋体" w:hAnsi="宋体"/>
          <w:b/>
          <w:sz w:val="28"/>
          <w:szCs w:val="28"/>
        </w:rPr>
        <w:t>不收取履约保证金</w:t>
      </w:r>
      <w:r>
        <w:rPr>
          <w:rFonts w:hint="eastAsia" w:ascii="宋体" w:hAnsi="宋体"/>
          <w:b/>
          <w:sz w:val="28"/>
          <w:szCs w:val="28"/>
        </w:rPr>
        <w:t>。</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合同公告</w:t>
      </w:r>
    </w:p>
    <w:p>
      <w:pPr>
        <w:spacing w:line="360" w:lineRule="auto"/>
        <w:ind w:firstLine="560" w:firstLineChars="200"/>
        <w:rPr>
          <w:rFonts w:ascii="宋体" w:hAnsi="宋体"/>
          <w:sz w:val="28"/>
          <w:szCs w:val="28"/>
        </w:rPr>
      </w:pPr>
      <w:r>
        <w:rPr>
          <w:rFonts w:hint="eastAsia" w:ascii="宋体" w:hAnsi="宋体"/>
          <w:sz w:val="28"/>
          <w:szCs w:val="28"/>
        </w:rPr>
        <w:t>采购人应当自政府采购合同签订之日起2个工作日内，在四川政府采购网公告，但政府采购合同中涉及国家秘密、商业秘密的内容除外。</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合同备案</w:t>
      </w:r>
    </w:p>
    <w:p>
      <w:pPr>
        <w:spacing w:line="360" w:lineRule="auto"/>
        <w:ind w:firstLine="560" w:firstLineChars="200"/>
        <w:rPr>
          <w:rFonts w:ascii="宋体" w:hAnsi="宋体"/>
          <w:sz w:val="28"/>
          <w:szCs w:val="28"/>
        </w:rPr>
      </w:pPr>
      <w:r>
        <w:rPr>
          <w:rFonts w:hint="eastAsia" w:ascii="宋体" w:hAnsi="宋体"/>
          <w:sz w:val="28"/>
          <w:szCs w:val="28"/>
        </w:rPr>
        <w:t>政府采购合同签订之日起2个工作日内，采购人将在四川政府采购网公告政府采购合同；政府采购合同签订之日起7个工作日内，采购人将向本采购项目同级财政部门，即</w:t>
      </w:r>
      <w:r>
        <w:rPr>
          <w:rFonts w:hint="eastAsia" w:ascii="宋体" w:hAnsi="宋体"/>
          <w:sz w:val="28"/>
          <w:szCs w:val="28"/>
          <w:lang w:val="zh-CN"/>
        </w:rPr>
        <w:t>成都市双流区财政局备</w:t>
      </w:r>
      <w:r>
        <w:rPr>
          <w:rFonts w:hint="eastAsia" w:ascii="宋体" w:hAnsi="宋体"/>
          <w:sz w:val="28"/>
          <w:szCs w:val="28"/>
        </w:rPr>
        <w:t>案</w:t>
      </w:r>
      <w:r>
        <w:rPr>
          <w:rFonts w:hint="eastAsia" w:ascii="宋体" w:hAnsi="宋体"/>
          <w:sz w:val="28"/>
          <w:szCs w:val="28"/>
          <w:lang w:val="zh-CN"/>
        </w:rPr>
        <w:t>。</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履行合同</w:t>
      </w:r>
      <w:bookmarkEnd w:id="93"/>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一、合同一经签订，双方应严格履行合同规定的义务。</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二、在合同履行过程中，如发生合同纠纷，合同双方应按照《中华人民共和国民法典》及合同条款的有关规定进行处理。</w:t>
      </w:r>
    </w:p>
    <w:p>
      <w:pPr>
        <w:keepNext/>
        <w:keepLines/>
        <w:numPr>
          <w:ilvl w:val="2"/>
          <w:numId w:val="5"/>
        </w:numPr>
        <w:spacing w:line="360" w:lineRule="auto"/>
        <w:ind w:left="0" w:firstLine="0"/>
        <w:outlineLvl w:val="2"/>
        <w:rPr>
          <w:rFonts w:ascii="宋体" w:hAnsi="宋体"/>
          <w:b/>
          <w:bCs/>
          <w:sz w:val="28"/>
          <w:szCs w:val="28"/>
        </w:rPr>
      </w:pPr>
      <w:bookmarkStart w:id="94" w:name="_Toc217446070"/>
      <w:r>
        <w:rPr>
          <w:rFonts w:hint="eastAsia" w:ascii="宋体" w:hAnsi="宋体"/>
          <w:b/>
          <w:bCs/>
          <w:sz w:val="28"/>
          <w:szCs w:val="28"/>
        </w:rPr>
        <w:t>验收</w:t>
      </w:r>
      <w:bookmarkEnd w:id="94"/>
      <w:r>
        <w:rPr>
          <w:rFonts w:hint="eastAsia" w:ascii="宋体" w:hAnsi="宋体"/>
          <w:b/>
          <w:bCs/>
          <w:sz w:val="28"/>
          <w:szCs w:val="28"/>
        </w:rPr>
        <w:t>或考核</w:t>
      </w:r>
    </w:p>
    <w:bookmarkEnd w:id="85"/>
    <w:bookmarkEnd w:id="86"/>
    <w:p>
      <w:pPr>
        <w:spacing w:line="360" w:lineRule="auto"/>
        <w:ind w:firstLine="560" w:firstLineChars="200"/>
        <w:rPr>
          <w:rFonts w:ascii="宋体" w:hAnsi="宋体"/>
          <w:sz w:val="28"/>
          <w:szCs w:val="28"/>
        </w:rPr>
      </w:pPr>
      <w:bookmarkStart w:id="95" w:name="_Toc217446074"/>
      <w:bookmarkStart w:id="96" w:name="_Toc183582243"/>
      <w:bookmarkStart w:id="97" w:name="_Toc183682380"/>
      <w:r>
        <w:rPr>
          <w:rFonts w:hint="eastAsia" w:ascii="宋体" w:hAnsi="宋体"/>
          <w:sz w:val="28"/>
          <w:szCs w:val="28"/>
        </w:rPr>
        <w:t>采购人严格按照国家相关法律法规的要求组织验收或考核。</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资金支付</w:t>
      </w:r>
    </w:p>
    <w:p>
      <w:pPr>
        <w:spacing w:line="360" w:lineRule="auto"/>
        <w:ind w:firstLine="570"/>
        <w:rPr>
          <w:rFonts w:ascii="宋体" w:hAnsi="宋体" w:cs="Helvetica"/>
          <w:sz w:val="28"/>
          <w:szCs w:val="28"/>
        </w:rPr>
      </w:pPr>
      <w:r>
        <w:rPr>
          <w:rFonts w:hint="eastAsia" w:ascii="宋体" w:hAnsi="宋体" w:cs="Helvetica"/>
          <w:sz w:val="28"/>
          <w:szCs w:val="28"/>
        </w:rPr>
        <w:t>采购人按财政部门的相关规定及采购合同的约定进行支付。</w:t>
      </w:r>
    </w:p>
    <w:p>
      <w:pPr>
        <w:keepNext/>
        <w:keepLines/>
        <w:numPr>
          <w:ilvl w:val="1"/>
          <w:numId w:val="5"/>
        </w:numPr>
        <w:spacing w:line="360" w:lineRule="auto"/>
        <w:jc w:val="left"/>
        <w:outlineLvl w:val="1"/>
        <w:rPr>
          <w:rFonts w:ascii="宋体" w:hAnsi="宋体"/>
          <w:b/>
          <w:bCs/>
          <w:sz w:val="28"/>
          <w:szCs w:val="28"/>
        </w:rPr>
      </w:pPr>
      <w:bookmarkStart w:id="98" w:name="_Toc85657300"/>
      <w:r>
        <w:rPr>
          <w:rFonts w:hint="eastAsia" w:ascii="宋体" w:hAnsi="宋体"/>
          <w:b/>
          <w:bCs/>
          <w:sz w:val="28"/>
          <w:szCs w:val="28"/>
        </w:rPr>
        <w:t>投标纪律要求</w:t>
      </w:r>
      <w:bookmarkEnd w:id="95"/>
      <w:bookmarkEnd w:id="98"/>
    </w:p>
    <w:p>
      <w:pPr>
        <w:keepNext/>
        <w:keepLines/>
        <w:numPr>
          <w:ilvl w:val="2"/>
          <w:numId w:val="5"/>
        </w:numPr>
        <w:spacing w:line="360" w:lineRule="auto"/>
        <w:ind w:left="0" w:firstLine="0"/>
        <w:outlineLvl w:val="2"/>
        <w:rPr>
          <w:rFonts w:ascii="宋体" w:hAnsi="宋体"/>
          <w:b/>
          <w:bCs/>
          <w:sz w:val="28"/>
          <w:szCs w:val="28"/>
        </w:rPr>
      </w:pPr>
      <w:bookmarkStart w:id="99" w:name="_Toc217446075"/>
      <w:r>
        <w:rPr>
          <w:rFonts w:hint="eastAsia" w:ascii="宋体" w:hAnsi="宋体"/>
          <w:b/>
          <w:bCs/>
          <w:sz w:val="28"/>
          <w:szCs w:val="28"/>
        </w:rPr>
        <w:t>投标人不得具有的情形</w:t>
      </w:r>
      <w:bookmarkEnd w:id="99"/>
    </w:p>
    <w:p>
      <w:pPr>
        <w:spacing w:line="360" w:lineRule="auto"/>
        <w:ind w:firstLine="567"/>
        <w:rPr>
          <w:rFonts w:ascii="宋体" w:hAnsi="宋体"/>
          <w:sz w:val="28"/>
          <w:szCs w:val="28"/>
        </w:rPr>
      </w:pPr>
      <w:r>
        <w:rPr>
          <w:rFonts w:hint="eastAsia" w:ascii="宋体" w:hAnsi="宋体"/>
          <w:sz w:val="28"/>
          <w:szCs w:val="28"/>
        </w:rPr>
        <w:t>投标人参加投标不得有下列情形：</w:t>
      </w:r>
    </w:p>
    <w:p>
      <w:pPr>
        <w:numPr>
          <w:ilvl w:val="1"/>
          <w:numId w:val="29"/>
        </w:numPr>
        <w:tabs>
          <w:tab w:val="left" w:pos="1134"/>
        </w:tabs>
        <w:spacing w:line="360" w:lineRule="auto"/>
        <w:ind w:left="420" w:firstLine="147"/>
        <w:rPr>
          <w:rFonts w:ascii="宋体" w:hAnsi="宋体"/>
          <w:sz w:val="28"/>
          <w:szCs w:val="28"/>
        </w:rPr>
      </w:pPr>
      <w:r>
        <w:rPr>
          <w:rFonts w:hint="eastAsia" w:ascii="宋体" w:hAnsi="宋体"/>
          <w:sz w:val="28"/>
          <w:szCs w:val="28"/>
        </w:rPr>
        <w:t>有下列情形之一的，视为投标人串通投标：</w:t>
      </w:r>
    </w:p>
    <w:p>
      <w:pPr>
        <w:tabs>
          <w:tab w:val="left" w:pos="1134"/>
        </w:tabs>
        <w:spacing w:line="360" w:lineRule="auto"/>
        <w:ind w:left="420"/>
        <w:rPr>
          <w:rFonts w:ascii="宋体" w:hAnsi="宋体"/>
          <w:sz w:val="28"/>
          <w:szCs w:val="28"/>
        </w:rPr>
      </w:pPr>
      <w:r>
        <w:rPr>
          <w:rFonts w:hint="eastAsia" w:ascii="宋体" w:hAnsi="宋体"/>
          <w:sz w:val="28"/>
          <w:szCs w:val="28"/>
        </w:rPr>
        <w:t>（一）不同投标人的投标文件由同一单位或者个人编制；</w:t>
      </w:r>
    </w:p>
    <w:p>
      <w:pPr>
        <w:tabs>
          <w:tab w:val="left" w:pos="1134"/>
        </w:tabs>
        <w:spacing w:line="360" w:lineRule="auto"/>
        <w:ind w:left="420"/>
        <w:rPr>
          <w:rFonts w:ascii="宋体" w:hAnsi="宋体"/>
          <w:sz w:val="28"/>
          <w:szCs w:val="28"/>
        </w:rPr>
      </w:pPr>
      <w:r>
        <w:rPr>
          <w:rFonts w:hint="eastAsia" w:ascii="宋体" w:hAnsi="宋体"/>
          <w:sz w:val="28"/>
          <w:szCs w:val="28"/>
        </w:rPr>
        <w:t>（二）不同投标人委托同一单位或者个人办理投标事宜；</w:t>
      </w:r>
    </w:p>
    <w:p>
      <w:pPr>
        <w:tabs>
          <w:tab w:val="left" w:pos="1134"/>
        </w:tabs>
        <w:spacing w:line="360" w:lineRule="auto"/>
        <w:ind w:left="420"/>
        <w:rPr>
          <w:rFonts w:ascii="宋体" w:hAnsi="宋体"/>
          <w:sz w:val="28"/>
          <w:szCs w:val="28"/>
        </w:rPr>
      </w:pPr>
      <w:r>
        <w:rPr>
          <w:rFonts w:hint="eastAsia" w:ascii="宋体" w:hAnsi="宋体"/>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（四）不同投标人的投标文件异常一致或者投标报价呈规律性差异；</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（五）不同投标人的投标文件相互混装；</w:t>
      </w:r>
    </w:p>
    <w:p>
      <w:pPr>
        <w:tabs>
          <w:tab w:val="left" w:pos="1134"/>
        </w:tabs>
        <w:spacing w:line="360" w:lineRule="auto"/>
        <w:ind w:left="420"/>
        <w:rPr>
          <w:rFonts w:ascii="宋体" w:hAnsi="宋体"/>
          <w:sz w:val="28"/>
          <w:szCs w:val="28"/>
        </w:rPr>
      </w:pPr>
      <w:r>
        <w:rPr>
          <w:rFonts w:hint="eastAsia" w:ascii="宋体" w:hAnsi="宋体"/>
          <w:sz w:val="28"/>
          <w:szCs w:val="28"/>
        </w:rPr>
        <w:t>（六）不同投标人的投标保证金从同一单位或者个人的账户转出；</w:t>
      </w:r>
    </w:p>
    <w:p>
      <w:pPr>
        <w:numPr>
          <w:ilvl w:val="1"/>
          <w:numId w:val="29"/>
        </w:numPr>
        <w:tabs>
          <w:tab w:val="left" w:pos="1134"/>
        </w:tabs>
        <w:spacing w:line="360" w:lineRule="auto"/>
        <w:ind w:left="420" w:firstLine="147"/>
        <w:rPr>
          <w:rFonts w:ascii="宋体" w:hAnsi="宋体"/>
          <w:sz w:val="28"/>
          <w:szCs w:val="28"/>
        </w:rPr>
      </w:pPr>
      <w:r>
        <w:rPr>
          <w:rFonts w:hint="eastAsia" w:ascii="宋体" w:hAnsi="宋体"/>
          <w:sz w:val="28"/>
          <w:szCs w:val="28"/>
        </w:rPr>
        <w:t>提供虚假材料谋取中标；</w:t>
      </w:r>
    </w:p>
    <w:p>
      <w:pPr>
        <w:numPr>
          <w:ilvl w:val="1"/>
          <w:numId w:val="29"/>
        </w:numPr>
        <w:tabs>
          <w:tab w:val="left" w:pos="1134"/>
        </w:tabs>
        <w:spacing w:line="360" w:lineRule="auto"/>
        <w:ind w:left="420" w:firstLine="147"/>
        <w:rPr>
          <w:rFonts w:ascii="宋体" w:hAnsi="宋体"/>
          <w:sz w:val="28"/>
          <w:szCs w:val="28"/>
        </w:rPr>
      </w:pPr>
      <w:r>
        <w:rPr>
          <w:rFonts w:hint="eastAsia" w:ascii="宋体" w:hAnsi="宋体"/>
          <w:sz w:val="28"/>
          <w:szCs w:val="28"/>
        </w:rPr>
        <w:t>采取不正当手段诋毁、排挤其他投标人；</w:t>
      </w:r>
    </w:p>
    <w:p>
      <w:pPr>
        <w:numPr>
          <w:ilvl w:val="1"/>
          <w:numId w:val="29"/>
        </w:numPr>
        <w:tabs>
          <w:tab w:val="left" w:pos="1134"/>
        </w:tabs>
        <w:spacing w:line="360" w:lineRule="auto"/>
        <w:ind w:left="420" w:firstLine="147"/>
        <w:rPr>
          <w:rFonts w:ascii="宋体" w:hAnsi="宋体"/>
          <w:sz w:val="28"/>
          <w:szCs w:val="28"/>
        </w:rPr>
      </w:pPr>
      <w:r>
        <w:rPr>
          <w:rFonts w:hint="eastAsia" w:ascii="宋体" w:hAnsi="宋体"/>
          <w:sz w:val="28"/>
          <w:szCs w:val="28"/>
        </w:rPr>
        <w:t>与采购人或</w:t>
      </w:r>
      <w:r>
        <w:rPr>
          <w:rFonts w:hint="eastAsia" w:cs="Arial"/>
          <w:sz w:val="28"/>
          <w:szCs w:val="28"/>
        </w:rPr>
        <w:t>区公资交易中心</w:t>
      </w:r>
      <w:r>
        <w:rPr>
          <w:rFonts w:hint="eastAsia" w:ascii="宋体" w:hAnsi="宋体"/>
          <w:sz w:val="28"/>
          <w:szCs w:val="28"/>
        </w:rPr>
        <w:t>、其他投标人恶意串通；</w:t>
      </w:r>
    </w:p>
    <w:p>
      <w:pPr>
        <w:numPr>
          <w:ilvl w:val="1"/>
          <w:numId w:val="29"/>
        </w:numPr>
        <w:tabs>
          <w:tab w:val="left" w:pos="1134"/>
        </w:tabs>
        <w:spacing w:line="360" w:lineRule="auto"/>
        <w:ind w:left="0" w:firstLine="567"/>
        <w:rPr>
          <w:rFonts w:ascii="宋体" w:hAnsi="宋体"/>
          <w:sz w:val="28"/>
          <w:szCs w:val="28"/>
        </w:rPr>
      </w:pPr>
      <w:r>
        <w:rPr>
          <w:rFonts w:hint="eastAsia" w:ascii="宋体" w:hAnsi="宋体"/>
          <w:sz w:val="28"/>
          <w:szCs w:val="28"/>
        </w:rPr>
        <w:t>向采购人或</w:t>
      </w:r>
      <w:r>
        <w:rPr>
          <w:rFonts w:hint="eastAsia" w:cs="Arial"/>
          <w:sz w:val="28"/>
          <w:szCs w:val="28"/>
        </w:rPr>
        <w:t>区公资交易中心</w:t>
      </w:r>
      <w:r>
        <w:rPr>
          <w:rFonts w:hint="eastAsia" w:ascii="宋体" w:hAnsi="宋体"/>
          <w:sz w:val="28"/>
          <w:szCs w:val="28"/>
        </w:rPr>
        <w:t>、评标委员会成员行贿或者提供其他不正当利益；</w:t>
      </w:r>
    </w:p>
    <w:p>
      <w:pPr>
        <w:numPr>
          <w:ilvl w:val="1"/>
          <w:numId w:val="29"/>
        </w:numPr>
        <w:tabs>
          <w:tab w:val="left" w:pos="1134"/>
        </w:tabs>
        <w:spacing w:line="360" w:lineRule="auto"/>
        <w:ind w:left="420" w:firstLine="147"/>
        <w:rPr>
          <w:rFonts w:ascii="宋体" w:hAnsi="宋体"/>
          <w:sz w:val="28"/>
          <w:szCs w:val="28"/>
        </w:rPr>
      </w:pPr>
      <w:r>
        <w:rPr>
          <w:rFonts w:hint="eastAsia" w:ascii="宋体" w:hAnsi="宋体"/>
          <w:sz w:val="28"/>
          <w:szCs w:val="28"/>
        </w:rPr>
        <w:t>在招标过程中与采购人或</w:t>
      </w:r>
      <w:r>
        <w:rPr>
          <w:rFonts w:hint="eastAsia" w:cs="Arial"/>
          <w:sz w:val="28"/>
          <w:szCs w:val="28"/>
        </w:rPr>
        <w:t>区公资交易中心</w:t>
      </w:r>
      <w:r>
        <w:rPr>
          <w:rFonts w:hint="eastAsia" w:ascii="宋体" w:hAnsi="宋体"/>
          <w:sz w:val="28"/>
          <w:szCs w:val="28"/>
        </w:rPr>
        <w:t>进行协商谈判；</w:t>
      </w:r>
    </w:p>
    <w:p>
      <w:pPr>
        <w:numPr>
          <w:ilvl w:val="1"/>
          <w:numId w:val="29"/>
        </w:numPr>
        <w:tabs>
          <w:tab w:val="left" w:pos="1134"/>
        </w:tabs>
        <w:spacing w:line="360" w:lineRule="auto"/>
        <w:ind w:left="420" w:firstLine="147"/>
        <w:rPr>
          <w:rFonts w:ascii="宋体" w:hAnsi="宋体"/>
          <w:sz w:val="28"/>
          <w:szCs w:val="28"/>
        </w:rPr>
      </w:pPr>
      <w:r>
        <w:rPr>
          <w:rFonts w:hint="eastAsia" w:ascii="宋体" w:hAnsi="宋体"/>
          <w:sz w:val="28"/>
          <w:szCs w:val="28"/>
        </w:rPr>
        <w:t>中标后无正当理由拒不与采购人签订政府采购合同；</w:t>
      </w:r>
    </w:p>
    <w:p>
      <w:pPr>
        <w:numPr>
          <w:ilvl w:val="1"/>
          <w:numId w:val="29"/>
        </w:numPr>
        <w:tabs>
          <w:tab w:val="left" w:pos="1134"/>
        </w:tabs>
        <w:spacing w:line="360" w:lineRule="auto"/>
        <w:ind w:left="420" w:firstLine="147"/>
        <w:rPr>
          <w:rFonts w:ascii="宋体" w:hAnsi="宋体"/>
          <w:sz w:val="28"/>
          <w:szCs w:val="28"/>
        </w:rPr>
      </w:pPr>
      <w:r>
        <w:rPr>
          <w:rFonts w:hint="eastAsia" w:ascii="宋体" w:hAnsi="宋体"/>
          <w:sz w:val="28"/>
          <w:szCs w:val="28"/>
        </w:rPr>
        <w:t>未按照采购文件确定的事项签订政府采购合同；</w:t>
      </w:r>
    </w:p>
    <w:p>
      <w:pPr>
        <w:numPr>
          <w:ilvl w:val="1"/>
          <w:numId w:val="29"/>
        </w:numPr>
        <w:tabs>
          <w:tab w:val="left" w:pos="1134"/>
        </w:tabs>
        <w:spacing w:line="360" w:lineRule="auto"/>
        <w:ind w:left="420" w:firstLine="147"/>
        <w:rPr>
          <w:rFonts w:ascii="宋体" w:hAnsi="宋体"/>
          <w:sz w:val="28"/>
          <w:szCs w:val="28"/>
        </w:rPr>
      </w:pPr>
      <w:r>
        <w:rPr>
          <w:rFonts w:hint="eastAsia" w:ascii="宋体" w:hAnsi="宋体"/>
          <w:sz w:val="28"/>
          <w:szCs w:val="28"/>
        </w:rPr>
        <w:t>将政府采购合同转包或者违规分包；</w:t>
      </w:r>
    </w:p>
    <w:p>
      <w:pPr>
        <w:numPr>
          <w:ilvl w:val="1"/>
          <w:numId w:val="29"/>
        </w:numPr>
        <w:tabs>
          <w:tab w:val="left" w:pos="1134"/>
        </w:tabs>
        <w:spacing w:line="360" w:lineRule="auto"/>
        <w:ind w:left="420" w:firstLine="147"/>
        <w:rPr>
          <w:rFonts w:ascii="宋体" w:hAnsi="宋体"/>
          <w:sz w:val="28"/>
          <w:szCs w:val="28"/>
        </w:rPr>
      </w:pPr>
      <w:r>
        <w:rPr>
          <w:rFonts w:hint="eastAsia" w:ascii="宋体" w:hAnsi="宋体"/>
          <w:sz w:val="28"/>
          <w:szCs w:val="28"/>
        </w:rPr>
        <w:t>提供假冒伪劣产品；</w:t>
      </w:r>
    </w:p>
    <w:p>
      <w:pPr>
        <w:numPr>
          <w:ilvl w:val="1"/>
          <w:numId w:val="29"/>
        </w:numPr>
        <w:tabs>
          <w:tab w:val="left" w:pos="1134"/>
          <w:tab w:val="left" w:pos="1418"/>
        </w:tabs>
        <w:spacing w:line="360" w:lineRule="auto"/>
        <w:ind w:left="420" w:firstLine="147"/>
        <w:rPr>
          <w:rFonts w:ascii="宋体" w:hAnsi="宋体"/>
          <w:sz w:val="28"/>
          <w:szCs w:val="28"/>
        </w:rPr>
      </w:pPr>
      <w:r>
        <w:rPr>
          <w:rFonts w:hint="eastAsia" w:ascii="宋体" w:hAnsi="宋体"/>
          <w:sz w:val="28"/>
          <w:szCs w:val="28"/>
        </w:rPr>
        <w:t>擅自变更、中止或者终止政府采购合同；</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十四、处于被行政部门禁止参与政府采购活动的期限内；</w:t>
      </w:r>
    </w:p>
    <w:p>
      <w:pPr>
        <w:tabs>
          <w:tab w:val="left" w:pos="1134"/>
        </w:tabs>
        <w:spacing w:line="360" w:lineRule="auto"/>
        <w:ind w:left="7" w:firstLine="560" w:firstLineChars="200"/>
        <w:rPr>
          <w:rFonts w:ascii="宋体" w:hAnsi="宋体"/>
          <w:sz w:val="28"/>
          <w:szCs w:val="28"/>
        </w:rPr>
      </w:pPr>
      <w:r>
        <w:rPr>
          <w:rFonts w:hint="eastAsia" w:ascii="宋体" w:hAnsi="宋体"/>
          <w:sz w:val="28"/>
          <w:szCs w:val="28"/>
        </w:rPr>
        <w:t>十五、拒绝有关部门的监督检查或者向监督检查部门提供虚假情况；</w:t>
      </w:r>
    </w:p>
    <w:p>
      <w:pPr>
        <w:spacing w:line="360" w:lineRule="auto"/>
        <w:ind w:firstLine="565" w:firstLineChars="202"/>
        <w:rPr>
          <w:rFonts w:ascii="宋体" w:hAnsi="宋体"/>
          <w:sz w:val="28"/>
          <w:szCs w:val="28"/>
        </w:rPr>
      </w:pPr>
      <w:r>
        <w:rPr>
          <w:rFonts w:hint="eastAsia" w:ascii="宋体" w:hAnsi="宋体"/>
          <w:sz w:val="28"/>
          <w:szCs w:val="28"/>
        </w:rPr>
        <w:t>十六、法律法规规定的其他情形。</w:t>
      </w:r>
    </w:p>
    <w:p>
      <w:pPr>
        <w:spacing w:line="360" w:lineRule="auto"/>
        <w:ind w:firstLine="568" w:firstLineChars="202"/>
        <w:rPr>
          <w:rFonts w:ascii="宋体" w:hAnsi="宋体"/>
          <w:b/>
          <w:sz w:val="28"/>
          <w:szCs w:val="28"/>
        </w:rPr>
      </w:pPr>
      <w:r>
        <w:rPr>
          <w:rFonts w:hint="eastAsia" w:ascii="宋体" w:hAnsi="宋体"/>
          <w:b/>
          <w:sz w:val="28"/>
          <w:szCs w:val="28"/>
        </w:rPr>
        <w:t>投标人有上述情形的，按照规定追究法律责任，具备一至十四条情形之一的，同时将认定投标人投标无效或不确定其为中标人，或者取消中标资格或认定中标无效。</w:t>
      </w:r>
    </w:p>
    <w:p>
      <w:pPr>
        <w:keepNext/>
        <w:keepLines/>
        <w:numPr>
          <w:ilvl w:val="2"/>
          <w:numId w:val="5"/>
        </w:numPr>
        <w:spacing w:line="360" w:lineRule="auto"/>
        <w:ind w:left="0" w:firstLine="0"/>
        <w:outlineLvl w:val="2"/>
        <w:rPr>
          <w:rFonts w:ascii="宋体" w:hAnsi="宋体"/>
          <w:b/>
          <w:bCs/>
          <w:sz w:val="28"/>
          <w:szCs w:val="28"/>
        </w:rPr>
      </w:pPr>
      <w:bookmarkStart w:id="100" w:name="_Toc314574786"/>
      <w:r>
        <w:rPr>
          <w:rFonts w:hint="eastAsia" w:ascii="宋体" w:hAnsi="宋体"/>
          <w:b/>
          <w:bCs/>
          <w:sz w:val="28"/>
          <w:szCs w:val="28"/>
        </w:rPr>
        <w:t>保密</w:t>
      </w:r>
      <w:bookmarkEnd w:id="100"/>
    </w:p>
    <w:p>
      <w:pPr>
        <w:numPr>
          <w:ilvl w:val="0"/>
          <w:numId w:val="30"/>
        </w:numPr>
        <w:tabs>
          <w:tab w:val="left" w:pos="0"/>
          <w:tab w:val="left" w:pos="1134"/>
        </w:tabs>
        <w:spacing w:line="360" w:lineRule="auto"/>
        <w:ind w:left="0" w:firstLine="567"/>
        <w:rPr>
          <w:rFonts w:ascii="宋体" w:hAnsi="宋体"/>
          <w:sz w:val="28"/>
          <w:szCs w:val="28"/>
        </w:rPr>
      </w:pPr>
      <w:r>
        <w:rPr>
          <w:rFonts w:hint="eastAsia" w:ascii="宋体" w:hAnsi="宋体"/>
          <w:sz w:val="28"/>
          <w:szCs w:val="28"/>
        </w:rPr>
        <w:t>不得透露有关在系统中成功提交《采购文件获取登记表》的潜在投标人的任何情况。</w:t>
      </w:r>
    </w:p>
    <w:p>
      <w:pPr>
        <w:numPr>
          <w:ilvl w:val="0"/>
          <w:numId w:val="30"/>
        </w:numPr>
        <w:tabs>
          <w:tab w:val="left" w:pos="0"/>
          <w:tab w:val="left" w:pos="1134"/>
        </w:tabs>
        <w:spacing w:line="360" w:lineRule="auto"/>
        <w:ind w:left="0" w:firstLine="567"/>
        <w:rPr>
          <w:rFonts w:ascii="宋体" w:hAnsi="宋体"/>
          <w:sz w:val="28"/>
          <w:szCs w:val="28"/>
        </w:rPr>
      </w:pPr>
      <w:r>
        <w:rPr>
          <w:rFonts w:hint="eastAsia" w:ascii="宋体" w:hAnsi="宋体"/>
          <w:sz w:val="28"/>
          <w:szCs w:val="28"/>
        </w:rPr>
        <w:t>有关投标文件的审查、澄清、评估和比较以及合同授予意向等情况都不得对外透露。</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回避</w:t>
      </w:r>
    </w:p>
    <w:p>
      <w:pPr>
        <w:spacing w:line="360" w:lineRule="auto"/>
        <w:ind w:firstLine="560" w:firstLineChars="200"/>
        <w:rPr>
          <w:rFonts w:ascii="宋体" w:hAnsi="宋体"/>
          <w:sz w:val="28"/>
          <w:szCs w:val="28"/>
        </w:rPr>
      </w:pPr>
      <w:r>
        <w:rPr>
          <w:rFonts w:hint="eastAsia" w:ascii="宋体" w:hAnsi="宋体"/>
          <w:sz w:val="28"/>
          <w:szCs w:val="28"/>
        </w:rPr>
        <w:t>在政府采购活动中，采购人员（如采购人内部负责采购项目的具体经办工作人员或直接分管采购项目的负责人、区公资交易中心负责采购项目的具体经办工作人员或直接分管采购活动的负责人等）及相关人员与供应商有下列利害关系之一的，应当回避：</w:t>
      </w:r>
    </w:p>
    <w:p>
      <w:pPr>
        <w:spacing w:line="360" w:lineRule="auto"/>
        <w:ind w:firstLine="560" w:firstLineChars="200"/>
        <w:rPr>
          <w:rFonts w:ascii="宋体" w:hAnsi="宋体"/>
          <w:sz w:val="28"/>
          <w:szCs w:val="28"/>
        </w:rPr>
      </w:pPr>
      <w:r>
        <w:rPr>
          <w:rFonts w:hint="eastAsia" w:ascii="宋体" w:hAnsi="宋体"/>
          <w:sz w:val="28"/>
          <w:szCs w:val="28"/>
        </w:rPr>
        <w:t>（一）参加采购活动前3年内与供应商存在劳动关系；</w:t>
      </w:r>
    </w:p>
    <w:p>
      <w:pPr>
        <w:spacing w:line="360" w:lineRule="auto"/>
        <w:ind w:firstLine="560" w:firstLineChars="200"/>
        <w:rPr>
          <w:rFonts w:ascii="宋体" w:hAnsi="宋体"/>
          <w:sz w:val="28"/>
          <w:szCs w:val="28"/>
        </w:rPr>
      </w:pPr>
      <w:r>
        <w:rPr>
          <w:rFonts w:hint="eastAsia" w:ascii="宋体" w:hAnsi="宋体"/>
          <w:sz w:val="28"/>
          <w:szCs w:val="28"/>
        </w:rPr>
        <w:t>（二）参加采购活动前3年内担任供应商的董事、监事；</w:t>
      </w:r>
    </w:p>
    <w:p>
      <w:pPr>
        <w:spacing w:line="360" w:lineRule="auto"/>
        <w:ind w:firstLine="560" w:firstLineChars="200"/>
        <w:rPr>
          <w:rFonts w:ascii="宋体" w:hAnsi="宋体"/>
          <w:sz w:val="28"/>
          <w:szCs w:val="28"/>
        </w:rPr>
      </w:pPr>
      <w:r>
        <w:rPr>
          <w:rFonts w:hint="eastAsia" w:ascii="宋体" w:hAnsi="宋体"/>
          <w:sz w:val="28"/>
          <w:szCs w:val="28"/>
        </w:rPr>
        <w:t>（三）参加采购活动前3年内是供应商的控股股东或者实际控制人；</w:t>
      </w:r>
    </w:p>
    <w:p>
      <w:pPr>
        <w:spacing w:line="360" w:lineRule="auto"/>
        <w:ind w:firstLine="560" w:firstLineChars="200"/>
        <w:rPr>
          <w:rFonts w:ascii="宋体" w:hAnsi="宋体"/>
          <w:sz w:val="28"/>
          <w:szCs w:val="28"/>
        </w:rPr>
      </w:pPr>
      <w:r>
        <w:rPr>
          <w:rFonts w:hint="eastAsia" w:ascii="宋体" w:hAnsi="宋体"/>
          <w:sz w:val="28"/>
          <w:szCs w:val="28"/>
        </w:rPr>
        <w:t>（四）与供应商的法定代表人或者负责人有夫妻、直系血亲、三代以内旁系血亲或者近姻亲关系；</w:t>
      </w:r>
    </w:p>
    <w:p>
      <w:pPr>
        <w:spacing w:line="360" w:lineRule="auto"/>
        <w:ind w:firstLine="560" w:firstLineChars="200"/>
        <w:rPr>
          <w:rFonts w:ascii="宋体" w:hAnsi="宋体"/>
          <w:sz w:val="28"/>
          <w:szCs w:val="28"/>
        </w:rPr>
      </w:pPr>
      <w:r>
        <w:rPr>
          <w:rFonts w:hint="eastAsia" w:ascii="宋体" w:hAnsi="宋体"/>
          <w:sz w:val="28"/>
          <w:szCs w:val="28"/>
        </w:rPr>
        <w:t>（五）与供应商有其他可能影响政府采购活动公平、公正进行的关系。</w:t>
      </w:r>
    </w:p>
    <w:p>
      <w:pPr>
        <w:spacing w:line="360" w:lineRule="auto"/>
        <w:ind w:firstLine="560" w:firstLineChars="200"/>
        <w:rPr>
          <w:rFonts w:ascii="宋体" w:hAnsi="宋体"/>
          <w:sz w:val="28"/>
          <w:szCs w:val="28"/>
        </w:rPr>
      </w:pPr>
      <w:r>
        <w:rPr>
          <w:rFonts w:hint="eastAsia" w:ascii="宋体" w:hAnsi="宋体"/>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5"/>
        </w:numPr>
        <w:spacing w:line="360" w:lineRule="auto"/>
        <w:jc w:val="left"/>
        <w:outlineLvl w:val="1"/>
        <w:rPr>
          <w:rFonts w:ascii="宋体" w:hAnsi="宋体"/>
          <w:b/>
          <w:bCs/>
          <w:sz w:val="28"/>
          <w:szCs w:val="28"/>
        </w:rPr>
      </w:pPr>
      <w:bookmarkStart w:id="101" w:name="_Toc85657301"/>
      <w:bookmarkStart w:id="102" w:name="_Toc217446078"/>
      <w:r>
        <w:rPr>
          <w:rFonts w:hint="eastAsia" w:ascii="宋体" w:hAnsi="宋体"/>
          <w:b/>
          <w:bCs/>
          <w:sz w:val="28"/>
          <w:szCs w:val="28"/>
        </w:rPr>
        <w:t>询问、质疑和投诉</w:t>
      </w:r>
      <w:bookmarkEnd w:id="101"/>
      <w:bookmarkEnd w:id="102"/>
      <w:bookmarkStart w:id="103" w:name="_Toc217446079"/>
    </w:p>
    <w:bookmarkEnd w:id="96"/>
    <w:bookmarkEnd w:id="97"/>
    <w:bookmarkEnd w:id="103"/>
    <w:p>
      <w:pPr>
        <w:numPr>
          <w:ilvl w:val="0"/>
          <w:numId w:val="31"/>
        </w:numPr>
        <w:spacing w:line="360" w:lineRule="auto"/>
        <w:ind w:left="0" w:firstLine="567"/>
        <w:jc w:val="left"/>
        <w:rPr>
          <w:sz w:val="28"/>
          <w:szCs w:val="28"/>
        </w:rPr>
      </w:pPr>
      <w:r>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Pr>
          <w:sz w:val="28"/>
          <w:szCs w:val="28"/>
        </w:rPr>
        <w:t>87</w:t>
      </w:r>
      <w:r>
        <w:rPr>
          <w:rFonts w:hint="eastAsia"/>
          <w:sz w:val="28"/>
          <w:szCs w:val="28"/>
        </w:rPr>
        <w:t>号令）和《政府采购质疑和投诉办法》（财政部第</w:t>
      </w:r>
      <w:r>
        <w:rPr>
          <w:sz w:val="28"/>
          <w:szCs w:val="28"/>
        </w:rPr>
        <w:t>94</w:t>
      </w:r>
      <w:r>
        <w:rPr>
          <w:rFonts w:hint="eastAsia"/>
          <w:sz w:val="28"/>
          <w:szCs w:val="28"/>
        </w:rPr>
        <w:t>号令）的规定办理。</w:t>
      </w:r>
    </w:p>
    <w:p>
      <w:pPr>
        <w:numPr>
          <w:ilvl w:val="0"/>
          <w:numId w:val="31"/>
        </w:numPr>
        <w:spacing w:line="360" w:lineRule="auto"/>
        <w:ind w:left="0" w:firstLine="567"/>
        <w:jc w:val="left"/>
        <w:rPr>
          <w:sz w:val="28"/>
          <w:szCs w:val="28"/>
        </w:rPr>
      </w:pPr>
      <w:r>
        <w:rPr>
          <w:rFonts w:hint="eastAsia"/>
          <w:sz w:val="28"/>
          <w:szCs w:val="28"/>
        </w:rPr>
        <w:t>供应商</w:t>
      </w:r>
      <w:r>
        <w:rPr>
          <w:rFonts w:hint="eastAsia" w:ascii="宋体" w:hAnsi="宋体"/>
          <w:sz w:val="28"/>
          <w:szCs w:val="28"/>
        </w:rPr>
        <w:t>询问、质疑的对象</w:t>
      </w:r>
    </w:p>
    <w:p>
      <w:pPr>
        <w:pStyle w:val="25"/>
        <w:numPr>
          <w:ilvl w:val="1"/>
          <w:numId w:val="32"/>
        </w:numPr>
        <w:tabs>
          <w:tab w:val="left" w:pos="1134"/>
        </w:tabs>
        <w:spacing w:after="0" w:line="360" w:lineRule="auto"/>
        <w:ind w:left="0" w:leftChars="0" w:firstLine="567"/>
        <w:rPr>
          <w:rFonts w:ascii="宋体" w:hAnsi="宋体"/>
          <w:sz w:val="28"/>
          <w:szCs w:val="28"/>
        </w:rPr>
      </w:pPr>
      <w:r>
        <w:rPr>
          <w:rFonts w:hint="eastAsia" w:ascii="宋体" w:hAnsi="宋体"/>
          <w:sz w:val="28"/>
          <w:szCs w:val="28"/>
        </w:rPr>
        <w:t>供应商对采购文件中供应商参加本次政府采购活动应当具备的条件，项目技术、服务、商务及其他要求，评审办法和标准，</w:t>
      </w:r>
      <w:r>
        <w:rPr>
          <w:rFonts w:hint="eastAsia" w:cs="Helvetica"/>
          <w:sz w:val="28"/>
          <w:szCs w:val="28"/>
        </w:rPr>
        <w:t>采购合同格式以及关于资格审查、中标（成交）结果提出询问或质疑的</w:t>
      </w:r>
      <w:r>
        <w:rPr>
          <w:rFonts w:hint="eastAsia" w:ascii="宋体" w:hAnsi="宋体"/>
          <w:sz w:val="28"/>
          <w:szCs w:val="28"/>
        </w:rPr>
        <w:t>，应通过</w:t>
      </w:r>
      <w:r>
        <w:rPr>
          <w:rFonts w:hint="eastAsia" w:cs="Helvetica"/>
          <w:sz w:val="28"/>
          <w:szCs w:val="28"/>
        </w:rPr>
        <w:t>“政府采购云平台”</w:t>
      </w:r>
      <w:r>
        <w:rPr>
          <w:rFonts w:hint="eastAsia" w:ascii="宋体" w:hAnsi="宋体"/>
          <w:sz w:val="28"/>
          <w:szCs w:val="28"/>
        </w:rPr>
        <w:t>向采购人提出；</w:t>
      </w:r>
    </w:p>
    <w:p>
      <w:pPr>
        <w:pStyle w:val="25"/>
        <w:numPr>
          <w:ilvl w:val="1"/>
          <w:numId w:val="32"/>
        </w:numPr>
        <w:tabs>
          <w:tab w:val="left" w:pos="1134"/>
        </w:tabs>
        <w:spacing w:after="0" w:line="360" w:lineRule="auto"/>
        <w:ind w:left="0" w:leftChars="0" w:firstLine="567"/>
        <w:rPr>
          <w:rFonts w:ascii="宋体" w:hAnsi="宋体"/>
          <w:sz w:val="28"/>
          <w:szCs w:val="28"/>
        </w:rPr>
      </w:pPr>
      <w:r>
        <w:rPr>
          <w:rFonts w:hint="eastAsia" w:ascii="宋体" w:hAnsi="宋体"/>
          <w:sz w:val="28"/>
          <w:szCs w:val="28"/>
        </w:rPr>
        <w:t>供应商对除上述采购文件中的其他内容，</w:t>
      </w:r>
      <w:r>
        <w:rPr>
          <w:rFonts w:hint="eastAsia" w:cs="Helvetica"/>
          <w:sz w:val="28"/>
          <w:szCs w:val="28"/>
        </w:rPr>
        <w:t>采购文件中采购程序、采购文件中供应商须知、响应文件格式、以及开标过程程序提出询问或质疑的，</w:t>
      </w:r>
      <w:r>
        <w:rPr>
          <w:rFonts w:hint="eastAsia" w:ascii="宋体" w:hAnsi="宋体"/>
          <w:sz w:val="28"/>
          <w:szCs w:val="28"/>
        </w:rPr>
        <w:t>应通过</w:t>
      </w:r>
      <w:r>
        <w:rPr>
          <w:rFonts w:hint="eastAsia" w:cs="Helvetica"/>
          <w:sz w:val="28"/>
          <w:szCs w:val="28"/>
        </w:rPr>
        <w:t>“政府采购云平台”</w:t>
      </w:r>
      <w:r>
        <w:rPr>
          <w:rFonts w:hint="eastAsia" w:ascii="宋体" w:hAnsi="宋体"/>
          <w:sz w:val="28"/>
          <w:szCs w:val="28"/>
        </w:rPr>
        <w:t>向区公资交易中心提出。</w:t>
      </w:r>
    </w:p>
    <w:p>
      <w:pPr>
        <w:numPr>
          <w:ilvl w:val="0"/>
          <w:numId w:val="31"/>
        </w:numPr>
        <w:tabs>
          <w:tab w:val="left" w:pos="1134"/>
        </w:tabs>
        <w:spacing w:line="360" w:lineRule="auto"/>
        <w:ind w:left="0" w:firstLine="567"/>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numPr>
          <w:ilvl w:val="0"/>
          <w:numId w:val="31"/>
        </w:numPr>
        <w:tabs>
          <w:tab w:val="left" w:pos="1134"/>
        </w:tabs>
        <w:spacing w:line="360" w:lineRule="auto"/>
        <w:ind w:left="0" w:firstLine="567"/>
        <w:rPr>
          <w:rFonts w:ascii="宋体" w:hAnsi="宋体"/>
          <w:sz w:val="28"/>
          <w:szCs w:val="28"/>
        </w:rPr>
      </w:pPr>
      <w:r>
        <w:rPr>
          <w:rFonts w:hint="eastAsia" w:ascii="宋体" w:hAnsi="宋体"/>
          <w:sz w:val="28"/>
          <w:szCs w:val="28"/>
        </w:rPr>
        <w:t>供应商应在法定质疑期内一次性提出针对同一采购程序环节的质疑。</w:t>
      </w:r>
    </w:p>
    <w:p>
      <w:pPr>
        <w:numPr>
          <w:ilvl w:val="0"/>
          <w:numId w:val="31"/>
        </w:numPr>
        <w:tabs>
          <w:tab w:val="left" w:pos="1134"/>
        </w:tabs>
        <w:spacing w:line="360" w:lineRule="auto"/>
        <w:ind w:left="0" w:firstLine="567"/>
        <w:rPr>
          <w:rFonts w:ascii="宋体" w:hAnsi="宋体"/>
          <w:sz w:val="28"/>
          <w:szCs w:val="28"/>
        </w:rPr>
      </w:pPr>
      <w:r>
        <w:rPr>
          <w:rFonts w:hint="eastAsia" w:ascii="宋体" w:hAnsi="宋体"/>
          <w:sz w:val="28"/>
          <w:szCs w:val="28"/>
        </w:rPr>
        <w:t>供应商提出质疑时应当准备的资料</w:t>
      </w:r>
    </w:p>
    <w:p>
      <w:pPr>
        <w:spacing w:line="360" w:lineRule="auto"/>
        <w:ind w:firstLine="560" w:firstLineChars="200"/>
        <w:rPr>
          <w:rFonts w:ascii="宋体" w:hAnsi="宋体"/>
          <w:sz w:val="28"/>
          <w:szCs w:val="28"/>
        </w:rPr>
      </w:pPr>
      <w:r>
        <w:rPr>
          <w:rFonts w:hint="eastAsia" w:ascii="宋体" w:hAnsi="宋体"/>
          <w:sz w:val="28"/>
          <w:szCs w:val="28"/>
        </w:rPr>
        <w:t>（一）质疑书正本1份；</w:t>
      </w:r>
    </w:p>
    <w:p>
      <w:pPr>
        <w:spacing w:line="360" w:lineRule="auto"/>
        <w:ind w:firstLine="560" w:firstLineChars="200"/>
        <w:rPr>
          <w:rFonts w:ascii="宋体" w:hAnsi="宋体"/>
          <w:sz w:val="28"/>
          <w:szCs w:val="28"/>
        </w:rPr>
      </w:pPr>
      <w:r>
        <w:rPr>
          <w:rFonts w:hint="eastAsia" w:ascii="宋体" w:hAnsi="宋体"/>
          <w:sz w:val="28"/>
          <w:szCs w:val="28"/>
        </w:rPr>
        <w:t>（二）法定代表人授权委托书1份（委托代理人办理质疑事宜的需提供）；</w:t>
      </w:r>
    </w:p>
    <w:p>
      <w:pPr>
        <w:spacing w:line="360" w:lineRule="auto"/>
        <w:ind w:firstLine="560" w:firstLineChars="200"/>
        <w:rPr>
          <w:rFonts w:ascii="宋体" w:hAnsi="宋体"/>
          <w:sz w:val="28"/>
          <w:szCs w:val="28"/>
        </w:rPr>
      </w:pPr>
      <w:r>
        <w:rPr>
          <w:rFonts w:hint="eastAsia" w:ascii="宋体" w:hAnsi="宋体"/>
          <w:sz w:val="28"/>
          <w:szCs w:val="28"/>
        </w:rPr>
        <w:t>（三）营业执照或法人证书复印件1份（加盖公章）；</w:t>
      </w:r>
    </w:p>
    <w:p>
      <w:pPr>
        <w:spacing w:line="360" w:lineRule="auto"/>
        <w:ind w:firstLine="560" w:firstLineChars="200"/>
        <w:rPr>
          <w:rFonts w:ascii="宋体" w:hAnsi="宋体"/>
          <w:sz w:val="28"/>
          <w:szCs w:val="28"/>
        </w:rPr>
      </w:pPr>
      <w:r>
        <w:rPr>
          <w:rFonts w:hint="eastAsia" w:ascii="宋体" w:hAnsi="宋体"/>
          <w:sz w:val="28"/>
          <w:szCs w:val="28"/>
        </w:rPr>
        <w:t>（四）法定代表人身份证复印件1份；</w:t>
      </w:r>
    </w:p>
    <w:p>
      <w:pPr>
        <w:spacing w:line="360" w:lineRule="auto"/>
        <w:ind w:firstLine="560" w:firstLineChars="200"/>
        <w:rPr>
          <w:rFonts w:ascii="宋体" w:hAnsi="宋体"/>
          <w:sz w:val="28"/>
          <w:szCs w:val="28"/>
        </w:rPr>
      </w:pPr>
      <w:r>
        <w:rPr>
          <w:rFonts w:hint="eastAsia" w:ascii="宋体" w:hAnsi="宋体"/>
          <w:sz w:val="28"/>
          <w:szCs w:val="28"/>
        </w:rPr>
        <w:t>（五）委托代理人身份证复印件1份（委托代理人办理质疑事宜的需提供）；</w:t>
      </w:r>
    </w:p>
    <w:p>
      <w:pPr>
        <w:spacing w:line="360" w:lineRule="auto"/>
        <w:ind w:firstLine="560" w:firstLineChars="200"/>
        <w:rPr>
          <w:rFonts w:ascii="宋体" w:hAnsi="宋体"/>
          <w:sz w:val="28"/>
          <w:szCs w:val="28"/>
        </w:rPr>
      </w:pPr>
      <w:r>
        <w:rPr>
          <w:rFonts w:hint="eastAsia" w:ascii="宋体" w:hAnsi="宋体"/>
          <w:sz w:val="28"/>
          <w:szCs w:val="28"/>
        </w:rPr>
        <w:t>（六）针对质疑事项必要的证明材料。</w:t>
      </w:r>
    </w:p>
    <w:p>
      <w:pPr>
        <w:numPr>
          <w:ilvl w:val="0"/>
          <w:numId w:val="31"/>
        </w:numPr>
        <w:tabs>
          <w:tab w:val="left" w:pos="1134"/>
        </w:tabs>
        <w:spacing w:line="360" w:lineRule="auto"/>
        <w:ind w:left="0" w:firstLine="567"/>
        <w:rPr>
          <w:rFonts w:ascii="宋体" w:hAnsi="宋体"/>
          <w:sz w:val="28"/>
          <w:szCs w:val="28"/>
        </w:rPr>
      </w:pPr>
      <w:r>
        <w:rPr>
          <w:rFonts w:hint="eastAsia" w:ascii="宋体" w:hAnsi="宋体"/>
          <w:sz w:val="28"/>
          <w:szCs w:val="28"/>
        </w:rPr>
        <w:t>供应商对区公资交易中心的质疑答复不满意，或者区公资交易中心未在规定期限内作出答复的，供应商可以在答复期满后15个工作日内向同级财政部门提起投诉。</w:t>
      </w:r>
    </w:p>
    <w:p>
      <w:pPr>
        <w:keepNext/>
        <w:keepLines/>
        <w:numPr>
          <w:ilvl w:val="1"/>
          <w:numId w:val="5"/>
        </w:numPr>
        <w:spacing w:line="360" w:lineRule="auto"/>
        <w:jc w:val="left"/>
        <w:outlineLvl w:val="1"/>
        <w:rPr>
          <w:rFonts w:ascii="宋体" w:hAnsi="宋体"/>
          <w:b/>
          <w:bCs/>
          <w:sz w:val="28"/>
          <w:szCs w:val="28"/>
        </w:rPr>
      </w:pPr>
      <w:bookmarkStart w:id="104" w:name="_Toc85657302"/>
      <w:r>
        <w:rPr>
          <w:rFonts w:hint="eastAsia" w:ascii="宋体" w:hAnsi="宋体"/>
          <w:b/>
          <w:bCs/>
          <w:sz w:val="28"/>
          <w:szCs w:val="28"/>
        </w:rPr>
        <w:t>信用融资</w:t>
      </w:r>
      <w:bookmarkEnd w:id="104"/>
    </w:p>
    <w:p>
      <w:pPr>
        <w:tabs>
          <w:tab w:val="left" w:pos="1134"/>
        </w:tabs>
        <w:spacing w:line="360" w:lineRule="auto"/>
        <w:ind w:left="567"/>
        <w:rPr>
          <w:rFonts w:ascii="宋体" w:hAnsi="宋体"/>
          <w:sz w:val="28"/>
          <w:szCs w:val="28"/>
        </w:rPr>
      </w:pPr>
      <w:bookmarkStart w:id="105" w:name="_Toc30583"/>
      <w:bookmarkStart w:id="106" w:name="_Toc4052"/>
      <w:bookmarkStart w:id="107" w:name="_Toc4210"/>
      <w:bookmarkStart w:id="108" w:name="_Toc3437"/>
      <w:bookmarkStart w:id="109" w:name="_Toc26253"/>
      <w:bookmarkStart w:id="110" w:name="_Toc9212"/>
      <w:bookmarkStart w:id="111" w:name="_Toc463"/>
      <w:bookmarkStart w:id="112" w:name="_Toc21629"/>
      <w:bookmarkStart w:id="113" w:name="_Toc20032"/>
      <w:bookmarkStart w:id="114" w:name="_Toc15210"/>
      <w:bookmarkStart w:id="115" w:name="_Toc13269"/>
      <w:r>
        <w:rPr>
          <w:rFonts w:hint="eastAsia" w:ascii="宋体" w:hAnsi="宋体"/>
          <w:sz w:val="28"/>
          <w:szCs w:val="28"/>
        </w:rPr>
        <w:t>本项目属于政府采购信用融资业务项目，融资利率上浮比例不超过</w:t>
      </w:r>
    </w:p>
    <w:p>
      <w:pPr>
        <w:tabs>
          <w:tab w:val="left" w:pos="1134"/>
        </w:tabs>
        <w:spacing w:line="360" w:lineRule="auto"/>
        <w:rPr>
          <w:rFonts w:ascii="宋体" w:hAnsi="宋体"/>
          <w:sz w:val="28"/>
          <w:szCs w:val="28"/>
        </w:rPr>
      </w:pPr>
      <w:r>
        <w:rPr>
          <w:rFonts w:hint="eastAsia" w:ascii="宋体" w:hAnsi="宋体"/>
          <w:sz w:val="28"/>
          <w:szCs w:val="28"/>
        </w:rPr>
        <w:t>人民银行同期贷款基准利率30%，银行机构名单、联系方式见附件1。</w:t>
      </w:r>
      <w:bookmarkEnd w:id="105"/>
      <w:bookmarkEnd w:id="106"/>
      <w:bookmarkEnd w:id="107"/>
      <w:bookmarkEnd w:id="108"/>
      <w:bookmarkEnd w:id="109"/>
      <w:bookmarkEnd w:id="110"/>
      <w:bookmarkEnd w:id="111"/>
      <w:bookmarkEnd w:id="112"/>
      <w:bookmarkEnd w:id="113"/>
      <w:bookmarkEnd w:id="114"/>
      <w:bookmarkEnd w:id="115"/>
    </w:p>
    <w:p>
      <w:pPr>
        <w:tabs>
          <w:tab w:val="left" w:pos="1276"/>
        </w:tabs>
        <w:spacing w:line="360" w:lineRule="auto"/>
        <w:rPr>
          <w:rFonts w:ascii="宋体" w:hAnsi="宋体"/>
          <w:sz w:val="28"/>
          <w:szCs w:val="28"/>
        </w:rPr>
      </w:pPr>
    </w:p>
    <w:p>
      <w:pPr>
        <w:tabs>
          <w:tab w:val="left" w:pos="1276"/>
        </w:tabs>
        <w:spacing w:line="360" w:lineRule="auto"/>
        <w:rPr>
          <w:rFonts w:ascii="宋体" w:hAnsi="宋体"/>
          <w:sz w:val="28"/>
          <w:szCs w:val="28"/>
        </w:rPr>
      </w:pPr>
    </w:p>
    <w:p>
      <w:pPr>
        <w:tabs>
          <w:tab w:val="left" w:pos="1276"/>
        </w:tabs>
        <w:spacing w:line="360" w:lineRule="auto"/>
        <w:rPr>
          <w:rFonts w:ascii="宋体" w:hAnsi="宋体"/>
          <w:sz w:val="28"/>
          <w:szCs w:val="28"/>
        </w:rPr>
      </w:pPr>
    </w:p>
    <w:p>
      <w:pPr>
        <w:pStyle w:val="2"/>
        <w:rPr>
          <w:rFonts w:ascii="宋体" w:hAnsi="宋体"/>
          <w:sz w:val="28"/>
          <w:szCs w:val="28"/>
        </w:rPr>
      </w:pPr>
    </w:p>
    <w:p/>
    <w:p>
      <w:pPr>
        <w:rPr>
          <w:rFonts w:ascii="宋体" w:hAnsi="宋体"/>
          <w:sz w:val="28"/>
          <w:szCs w:val="28"/>
        </w:rPr>
      </w:pPr>
      <w:r>
        <w:rPr>
          <w:rFonts w:ascii="宋体" w:hAnsi="宋体"/>
          <w:sz w:val="28"/>
          <w:szCs w:val="28"/>
        </w:rPr>
        <w:br w:type="page"/>
      </w:r>
      <w:bookmarkStart w:id="116" w:name="_Toc315871049"/>
      <w:bookmarkEnd w:id="116"/>
      <w:bookmarkStart w:id="117" w:name="_Toc316292051"/>
      <w:bookmarkEnd w:id="117"/>
      <w:bookmarkStart w:id="118" w:name="_Toc316292052"/>
      <w:bookmarkEnd w:id="118"/>
      <w:bookmarkStart w:id="119" w:name="_Toc316292050"/>
      <w:bookmarkEnd w:id="119"/>
      <w:bookmarkStart w:id="120" w:name="_Toc315871050"/>
      <w:bookmarkEnd w:id="120"/>
      <w:bookmarkStart w:id="121" w:name="_Toc315871047"/>
      <w:bookmarkEnd w:id="121"/>
      <w:bookmarkStart w:id="122" w:name="_Toc316292048"/>
      <w:bookmarkEnd w:id="122"/>
      <w:bookmarkStart w:id="123" w:name="_Toc315871045"/>
      <w:bookmarkEnd w:id="123"/>
      <w:bookmarkStart w:id="124" w:name="_Toc316292049"/>
      <w:bookmarkEnd w:id="124"/>
      <w:bookmarkStart w:id="125" w:name="_Toc315871046"/>
      <w:bookmarkEnd w:id="125"/>
      <w:bookmarkStart w:id="126" w:name="_Toc315871048"/>
      <w:bookmarkEnd w:id="126"/>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27" w:name="_Toc85657303"/>
      <w:r>
        <w:rPr>
          <w:rFonts w:hint="eastAsia" w:ascii="宋体" w:hAnsi="宋体"/>
          <w:b/>
          <w:bCs/>
          <w:spacing w:val="-20"/>
          <w:kern w:val="44"/>
          <w:sz w:val="32"/>
          <w:szCs w:val="32"/>
        </w:rPr>
        <w:t>投标文件格式</w:t>
      </w:r>
      <w:bookmarkEnd w:id="127"/>
    </w:p>
    <w:p>
      <w:pPr>
        <w:keepNext/>
        <w:keepLines/>
        <w:numPr>
          <w:ilvl w:val="1"/>
          <w:numId w:val="5"/>
        </w:numPr>
        <w:spacing w:before="260" w:after="260" w:line="360" w:lineRule="auto"/>
        <w:jc w:val="left"/>
        <w:outlineLvl w:val="1"/>
        <w:rPr>
          <w:rFonts w:ascii="宋体" w:hAnsi="宋体"/>
          <w:b/>
          <w:bCs/>
          <w:sz w:val="28"/>
          <w:szCs w:val="28"/>
        </w:rPr>
      </w:pPr>
      <w:bookmarkStart w:id="128" w:name="_Toc85657304"/>
      <w:r>
        <w:rPr>
          <w:rFonts w:hint="eastAsia" w:ascii="宋体" w:hAnsi="宋体"/>
          <w:b/>
          <w:bCs/>
          <w:sz w:val="28"/>
          <w:szCs w:val="28"/>
        </w:rPr>
        <w:t>投标文件封面格式</w:t>
      </w:r>
      <w:bookmarkEnd w:id="128"/>
    </w:p>
    <w:p>
      <w:pPr>
        <w:spacing w:line="360" w:lineRule="auto"/>
        <w:rPr>
          <w:rFonts w:ascii="宋体" w:hAnsi="宋体"/>
          <w:bCs/>
          <w:szCs w:val="21"/>
        </w:rPr>
      </w:pPr>
    </w:p>
    <w:p>
      <w:pPr>
        <w:spacing w:line="360" w:lineRule="auto"/>
        <w:jc w:val="right"/>
        <w:rPr>
          <w:rFonts w:ascii="宋体" w:hAnsi="宋体"/>
        </w:rPr>
      </w:pPr>
    </w:p>
    <w:p>
      <w:pPr>
        <w:spacing w:line="360" w:lineRule="auto"/>
        <w:jc w:val="center"/>
        <w:rPr>
          <w:rFonts w:ascii="宋体" w:hAnsi="宋体"/>
          <w:spacing w:val="78"/>
          <w:sz w:val="96"/>
          <w:szCs w:val="120"/>
        </w:rPr>
      </w:pPr>
      <w:r>
        <w:rPr>
          <w:rFonts w:hint="eastAsia" w:ascii="宋体" w:hAnsi="宋体"/>
          <w:spacing w:val="78"/>
          <w:sz w:val="96"/>
          <w:szCs w:val="120"/>
        </w:rPr>
        <w:t>投标文件</w:t>
      </w: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ascii="宋体" w:hAnsi="宋体"/>
          <w:b/>
          <w:bCs/>
          <w:sz w:val="32"/>
          <w:szCs w:val="32"/>
        </w:rPr>
      </w:pPr>
      <w:r>
        <w:rPr>
          <w:rFonts w:hint="eastAsia" w:ascii="宋体" w:hAnsi="宋体"/>
          <w:b/>
          <w:bCs/>
          <w:sz w:val="32"/>
          <w:szCs w:val="32"/>
        </w:rPr>
        <w:t>项目名称：成都市双流区教育技术装备管理中心2021年艺体中学等2校学术厅显示系统采购项目</w:t>
      </w:r>
    </w:p>
    <w:p>
      <w:pPr>
        <w:spacing w:line="360" w:lineRule="auto"/>
        <w:rPr>
          <w:rFonts w:ascii="宋体" w:hAnsi="宋体"/>
          <w:b/>
          <w:sz w:val="32"/>
          <w:szCs w:val="32"/>
          <w:u w:val="single"/>
        </w:rPr>
      </w:pPr>
      <w:r>
        <w:rPr>
          <w:rFonts w:hint="eastAsia" w:ascii="宋体" w:hAnsi="宋体"/>
          <w:b/>
          <w:bCs/>
          <w:sz w:val="32"/>
          <w:szCs w:val="32"/>
        </w:rPr>
        <w:t>项目编号：双流政采（2021）A0066号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投标人名称：XXXX</w:t>
      </w:r>
    </w:p>
    <w:p>
      <w:pPr>
        <w:spacing w:line="360" w:lineRule="auto"/>
        <w:ind w:firstLine="569" w:firstLineChars="177"/>
        <w:rPr>
          <w:rFonts w:ascii="宋体" w:hAnsi="宋体"/>
          <w:b/>
          <w:bCs/>
          <w:sz w:val="32"/>
          <w:szCs w:val="32"/>
        </w:rPr>
      </w:pPr>
      <w:r>
        <w:rPr>
          <w:rFonts w:hint="eastAsia" w:ascii="宋体" w:hAnsi="宋体"/>
          <w:b/>
          <w:bCs/>
          <w:sz w:val="32"/>
          <w:szCs w:val="32"/>
        </w:rPr>
        <w:t>日      期：XXXX年XX月XX日</w:t>
      </w: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keepNext/>
        <w:keepLines/>
        <w:numPr>
          <w:ilvl w:val="1"/>
          <w:numId w:val="19"/>
        </w:numPr>
        <w:spacing w:before="260" w:line="360" w:lineRule="auto"/>
        <w:jc w:val="left"/>
        <w:outlineLvl w:val="1"/>
        <w:rPr>
          <w:rFonts w:ascii="宋体" w:hAnsi="宋体"/>
          <w:b/>
          <w:bCs/>
          <w:color w:val="000000" w:themeColor="text1"/>
          <w:sz w:val="28"/>
          <w:szCs w:val="28"/>
          <w14:textFill>
            <w14:solidFill>
              <w14:schemeClr w14:val="tx1"/>
            </w14:solidFill>
          </w14:textFill>
        </w:rPr>
      </w:pPr>
      <w:bookmarkStart w:id="129" w:name="_Toc85657305"/>
      <w:r>
        <w:rPr>
          <w:rFonts w:hint="eastAsia" w:ascii="宋体" w:hAnsi="宋体"/>
          <w:b/>
          <w:bCs/>
          <w:color w:val="000000" w:themeColor="text1"/>
          <w:sz w:val="28"/>
          <w:szCs w:val="28"/>
          <w14:textFill>
            <w14:solidFill>
              <w14:schemeClr w14:val="tx1"/>
            </w14:solidFill>
          </w14:textFill>
        </w:rPr>
        <w:t>资格性响应文件</w:t>
      </w:r>
      <w:bookmarkEnd w:id="129"/>
    </w:p>
    <w:p>
      <w:pPr>
        <w:keepNext/>
        <w:keepLines/>
        <w:numPr>
          <w:ilvl w:val="2"/>
          <w:numId w:val="33"/>
        </w:numPr>
        <w:spacing w:line="360" w:lineRule="auto"/>
        <w:ind w:left="3119" w:hanging="3119"/>
        <w:outlineLvl w:val="2"/>
        <w:rPr>
          <w:rFonts w:ascii="宋体" w:hAnsi="宋体"/>
          <w:b/>
          <w:bCs/>
          <w:sz w:val="28"/>
          <w:szCs w:val="28"/>
        </w:rPr>
      </w:pPr>
      <w:r>
        <w:rPr>
          <w:rFonts w:hint="eastAsia" w:ascii="宋体" w:hAnsi="宋体"/>
          <w:b/>
          <w:bCs/>
          <w:sz w:val="28"/>
          <w:szCs w:val="28"/>
        </w:rPr>
        <w:t>关于投标人资格声明的函</w:t>
      </w:r>
    </w:p>
    <w:p>
      <w:pPr>
        <w:spacing w:line="360" w:lineRule="auto"/>
        <w:rPr>
          <w:rFonts w:ascii="宋体" w:hAnsi="宋体"/>
          <w:sz w:val="28"/>
          <w:szCs w:val="28"/>
        </w:rPr>
      </w:pPr>
      <w:bookmarkStart w:id="130" w:name="_Toc238581782"/>
      <w:bookmarkStart w:id="131" w:name="_Toc119295087"/>
      <w:bookmarkStart w:id="132" w:name="_Toc119296788"/>
      <w:bookmarkStart w:id="133" w:name="_Toc52184753"/>
      <w:bookmarkStart w:id="134" w:name="_Toc146903609"/>
      <w:bookmarkStart w:id="135" w:name="_Toc119203988"/>
      <w:r>
        <w:rPr>
          <w:rFonts w:hint="eastAsia" w:ascii="宋体" w:hAnsi="宋体"/>
          <w:sz w:val="28"/>
          <w:szCs w:val="28"/>
        </w:rPr>
        <w:t>致：</w:t>
      </w:r>
      <w:bookmarkEnd w:id="130"/>
      <w:r>
        <w:rPr>
          <w:rFonts w:hint="eastAsia" w:ascii="宋体" w:hAnsi="宋体"/>
          <w:sz w:val="28"/>
          <w:szCs w:val="28"/>
        </w:rPr>
        <w:t>成都市双流区公共资源交易服务中心</w:t>
      </w:r>
    </w:p>
    <w:p>
      <w:pPr>
        <w:spacing w:line="360" w:lineRule="auto"/>
        <w:ind w:firstLine="565" w:firstLineChars="202"/>
        <w:rPr>
          <w:rFonts w:ascii="宋体" w:hAnsi="宋体"/>
          <w:sz w:val="28"/>
          <w:szCs w:val="28"/>
        </w:rPr>
      </w:pPr>
      <w:bookmarkStart w:id="136" w:name="_Toc238581783"/>
      <w:r>
        <w:rPr>
          <w:rFonts w:hint="eastAsia" w:ascii="宋体" w:hAnsi="宋体"/>
          <w:sz w:val="28"/>
          <w:szCs w:val="28"/>
        </w:rPr>
        <w:t>关于我方对</w:t>
      </w:r>
      <w:r>
        <w:rPr>
          <w:rFonts w:hint="eastAsia" w:ascii="宋体" w:hAnsi="宋体"/>
          <w:b/>
          <w:sz w:val="28"/>
          <w:szCs w:val="28"/>
          <w:u w:val="single"/>
        </w:rPr>
        <w:t>成都市双流区教育技术装备管理中心2021年艺体中学等2校学术厅显示系统采购项目（项目编号：双流政采（2021）A0066号）</w:t>
      </w:r>
      <w:r>
        <w:rPr>
          <w:rFonts w:hint="eastAsia" w:ascii="宋体" w:hAnsi="宋体"/>
          <w:sz w:val="28"/>
          <w:szCs w:val="28"/>
        </w:rPr>
        <w:t>的公开招标，提交的下列文件和说明是准确的和真实的。</w:t>
      </w:r>
      <w:bookmarkEnd w:id="136"/>
    </w:p>
    <w:p>
      <w:pPr>
        <w:widowControl/>
        <w:numPr>
          <w:ilvl w:val="2"/>
          <w:numId w:val="34"/>
        </w:numPr>
        <w:spacing w:line="360" w:lineRule="auto"/>
        <w:ind w:left="0" w:firstLine="560" w:firstLineChars="200"/>
        <w:rPr>
          <w:rFonts w:ascii="宋体" w:hAnsi="宋体"/>
          <w:sz w:val="28"/>
          <w:szCs w:val="28"/>
        </w:rPr>
      </w:pPr>
      <w:bookmarkStart w:id="137" w:name="_Toc238581784"/>
      <w:r>
        <w:rPr>
          <w:rFonts w:hint="eastAsia" w:ascii="宋体" w:hAnsi="宋体"/>
          <w:sz w:val="28"/>
          <w:szCs w:val="28"/>
        </w:rPr>
        <w:t>投标人名称及概况：</w:t>
      </w:r>
      <w:bookmarkEnd w:id="131"/>
      <w:bookmarkEnd w:id="132"/>
      <w:bookmarkEnd w:id="133"/>
      <w:bookmarkEnd w:id="134"/>
      <w:bookmarkEnd w:id="135"/>
      <w:bookmarkEnd w:id="137"/>
    </w:p>
    <w:p>
      <w:pPr>
        <w:widowControl/>
        <w:numPr>
          <w:ilvl w:val="0"/>
          <w:numId w:val="35"/>
        </w:numPr>
        <w:spacing w:line="360" w:lineRule="auto"/>
        <w:ind w:left="0" w:firstLine="560" w:firstLineChars="200"/>
        <w:jc w:val="left"/>
        <w:rPr>
          <w:rFonts w:ascii="宋体" w:hAnsi="宋体"/>
          <w:sz w:val="28"/>
          <w:szCs w:val="28"/>
        </w:rPr>
      </w:pPr>
      <w:r>
        <w:rPr>
          <w:rFonts w:hint="eastAsia" w:ascii="宋体" w:hAnsi="宋体"/>
          <w:sz w:val="28"/>
          <w:szCs w:val="28"/>
        </w:rPr>
        <w:t>投标人名称：XXXX</w:t>
      </w:r>
    </w:p>
    <w:p>
      <w:pPr>
        <w:widowControl/>
        <w:numPr>
          <w:ilvl w:val="0"/>
          <w:numId w:val="35"/>
        </w:numPr>
        <w:spacing w:line="360" w:lineRule="auto"/>
        <w:ind w:left="0" w:firstLine="560" w:firstLineChars="200"/>
        <w:jc w:val="left"/>
        <w:rPr>
          <w:rFonts w:ascii="宋体" w:hAnsi="宋体"/>
          <w:sz w:val="28"/>
          <w:szCs w:val="28"/>
        </w:rPr>
      </w:pPr>
      <w:r>
        <w:rPr>
          <w:rFonts w:hint="eastAsia" w:ascii="宋体" w:hAnsi="宋体"/>
          <w:sz w:val="28"/>
          <w:szCs w:val="28"/>
        </w:rPr>
        <w:t>地址：XXXX           邮编：XXXX</w:t>
      </w:r>
    </w:p>
    <w:p>
      <w:pPr>
        <w:spacing w:line="360" w:lineRule="auto"/>
        <w:ind w:firstLine="700" w:firstLineChars="250"/>
        <w:rPr>
          <w:rFonts w:ascii="宋体" w:hAnsi="宋体"/>
          <w:sz w:val="28"/>
          <w:szCs w:val="28"/>
          <w:u w:val="single"/>
        </w:rPr>
      </w:pPr>
      <w:r>
        <w:rPr>
          <w:rFonts w:hint="eastAsia" w:ascii="宋体" w:hAnsi="宋体"/>
          <w:sz w:val="28"/>
          <w:szCs w:val="28"/>
        </w:rPr>
        <w:t>传真/电话：XXXX</w:t>
      </w:r>
    </w:p>
    <w:p>
      <w:pPr>
        <w:widowControl/>
        <w:numPr>
          <w:ilvl w:val="0"/>
          <w:numId w:val="35"/>
        </w:numPr>
        <w:spacing w:line="360" w:lineRule="auto"/>
        <w:ind w:left="0" w:firstLine="560" w:firstLineChars="200"/>
        <w:jc w:val="left"/>
        <w:rPr>
          <w:rFonts w:ascii="宋体" w:hAnsi="宋体"/>
          <w:sz w:val="28"/>
          <w:szCs w:val="28"/>
        </w:rPr>
      </w:pPr>
      <w:r>
        <w:rPr>
          <w:rFonts w:hint="eastAsia" w:ascii="宋体" w:hAnsi="宋体"/>
          <w:sz w:val="28"/>
          <w:szCs w:val="28"/>
        </w:rPr>
        <w:t>成立日期或注册日期：XXXX</w:t>
      </w:r>
    </w:p>
    <w:p>
      <w:pPr>
        <w:widowControl/>
        <w:numPr>
          <w:ilvl w:val="0"/>
          <w:numId w:val="35"/>
        </w:numPr>
        <w:spacing w:line="360" w:lineRule="auto"/>
        <w:ind w:left="0" w:firstLine="560" w:firstLineChars="200"/>
        <w:jc w:val="left"/>
        <w:rPr>
          <w:rFonts w:ascii="宋体" w:hAnsi="宋体"/>
          <w:sz w:val="28"/>
          <w:szCs w:val="28"/>
          <w:u w:val="single"/>
        </w:rPr>
      </w:pPr>
      <w:r>
        <w:rPr>
          <w:rFonts w:hint="eastAsia" w:ascii="宋体" w:hAnsi="宋体"/>
          <w:sz w:val="28"/>
          <w:szCs w:val="28"/>
        </w:rPr>
        <w:t>法定代表人姓名：XXXX</w:t>
      </w:r>
    </w:p>
    <w:p>
      <w:pPr>
        <w:widowControl/>
        <w:numPr>
          <w:ilvl w:val="2"/>
          <w:numId w:val="34"/>
        </w:numPr>
        <w:tabs>
          <w:tab w:val="left" w:pos="1276"/>
        </w:tabs>
        <w:spacing w:line="360" w:lineRule="auto"/>
        <w:ind w:left="0" w:firstLine="567"/>
        <w:rPr>
          <w:rFonts w:ascii="宋体" w:hAnsi="宋体"/>
          <w:sz w:val="28"/>
          <w:szCs w:val="28"/>
        </w:rPr>
      </w:pPr>
      <w:r>
        <w:rPr>
          <w:rFonts w:hint="eastAsia" w:ascii="宋体" w:hAnsi="宋体"/>
          <w:sz w:val="28"/>
          <w:szCs w:val="28"/>
        </w:rPr>
        <w:t>开户银行名称：XXXX</w:t>
      </w:r>
    </w:p>
    <w:p>
      <w:pPr>
        <w:spacing w:line="360" w:lineRule="auto"/>
        <w:ind w:firstLine="1260" w:firstLineChars="450"/>
        <w:rPr>
          <w:rFonts w:ascii="宋体" w:hAnsi="宋体"/>
          <w:sz w:val="28"/>
          <w:szCs w:val="28"/>
          <w:u w:val="single"/>
        </w:rPr>
      </w:pPr>
      <w:r>
        <w:rPr>
          <w:rFonts w:hint="eastAsia" w:ascii="宋体" w:hAnsi="宋体"/>
          <w:sz w:val="28"/>
          <w:szCs w:val="28"/>
        </w:rPr>
        <w:t>地址：XXXX</w:t>
      </w:r>
    </w:p>
    <w:p>
      <w:pPr>
        <w:spacing w:line="360" w:lineRule="auto"/>
        <w:ind w:firstLine="1260" w:firstLineChars="450"/>
        <w:rPr>
          <w:rFonts w:ascii="宋体" w:hAnsi="宋体"/>
          <w:sz w:val="28"/>
          <w:szCs w:val="28"/>
        </w:rPr>
      </w:pPr>
      <w:r>
        <w:rPr>
          <w:rFonts w:hint="eastAsia" w:ascii="宋体" w:hAnsi="宋体"/>
          <w:sz w:val="28"/>
          <w:szCs w:val="28"/>
        </w:rPr>
        <w:t>账号：XXXX</w:t>
      </w:r>
    </w:p>
    <w:p>
      <w:pPr>
        <w:spacing w:line="360" w:lineRule="auto"/>
        <w:ind w:left="560"/>
        <w:rPr>
          <w:rFonts w:ascii="宋体" w:hAnsi="宋体"/>
          <w:sz w:val="28"/>
          <w:szCs w:val="28"/>
        </w:rPr>
      </w:pPr>
    </w:p>
    <w:p>
      <w:pPr>
        <w:spacing w:line="360" w:lineRule="auto"/>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spacing w:line="360" w:lineRule="auto"/>
        <w:ind w:left="283" w:leftChars="135" w:firstLine="280" w:firstLineChars="100"/>
        <w:rPr>
          <w:rFonts w:ascii="宋体" w:hAnsi="宋体"/>
          <w:bCs/>
          <w:sz w:val="28"/>
        </w:rPr>
      </w:pPr>
      <w:r>
        <w:rPr>
          <w:rFonts w:hint="eastAsia" w:ascii="宋体" w:hAnsi="宋体"/>
          <w:bCs/>
          <w:sz w:val="28"/>
          <w:szCs w:val="28"/>
        </w:rPr>
        <w:t>日    期：</w:t>
      </w:r>
      <w:r>
        <w:rPr>
          <w:rFonts w:hint="eastAsia" w:ascii="宋体" w:hAnsi="宋体"/>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pacing w:line="360" w:lineRule="auto"/>
        <w:ind w:left="283" w:leftChars="135" w:firstLine="280" w:firstLineChars="100"/>
        <w:rPr>
          <w:rFonts w:ascii="宋体" w:hAnsi="宋体"/>
          <w:sz w:val="28"/>
          <w:szCs w:val="28"/>
          <w:u w:val="single"/>
        </w:rPr>
      </w:pP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声明</w:t>
      </w:r>
    </w:p>
    <w:p>
      <w:pPr>
        <w:tabs>
          <w:tab w:val="left" w:pos="1260"/>
        </w:tabs>
        <w:spacing w:line="560" w:lineRule="exact"/>
        <w:rPr>
          <w:rFonts w:ascii="宋体" w:hAnsi="宋体"/>
          <w:sz w:val="28"/>
          <w:szCs w:val="28"/>
        </w:rPr>
      </w:pPr>
      <w:r>
        <w:rPr>
          <w:rFonts w:hint="eastAsia" w:ascii="宋体" w:hAnsi="宋体"/>
          <w:sz w:val="28"/>
          <w:szCs w:val="28"/>
        </w:rPr>
        <w:t>致：成都市双流区公共资源交易服务中心</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我单位作为</w:t>
      </w:r>
      <w:r>
        <w:rPr>
          <w:rFonts w:hint="eastAsia" w:ascii="宋体" w:hAnsi="宋体"/>
          <w:b/>
          <w:sz w:val="28"/>
          <w:szCs w:val="28"/>
          <w:u w:val="single"/>
        </w:rPr>
        <w:t>成都市双流区教育技术装备管理中心2021年艺体中学等2校学术厅显示系统采购项目</w:t>
      </w:r>
      <w:r>
        <w:rPr>
          <w:rFonts w:hint="eastAsia" w:ascii="宋体" w:hAnsi="宋体"/>
          <w:b/>
          <w:bCs/>
          <w:sz w:val="28"/>
          <w:szCs w:val="28"/>
          <w:u w:val="single"/>
        </w:rPr>
        <w:t>（</w:t>
      </w:r>
      <w:r>
        <w:rPr>
          <w:rFonts w:hint="eastAsia" w:ascii="宋体" w:hAnsi="宋体"/>
          <w:b/>
          <w:sz w:val="28"/>
          <w:szCs w:val="28"/>
          <w:u w:val="single"/>
        </w:rPr>
        <w:t>项目编号：双流政采（2021）A0066号）</w:t>
      </w:r>
      <w:r>
        <w:rPr>
          <w:rFonts w:hint="eastAsia" w:ascii="宋体" w:hAnsi="宋体"/>
          <w:sz w:val="28"/>
          <w:szCs w:val="28"/>
        </w:rPr>
        <w:t>的投标人，在此郑重声明：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一、我单位参加政府采购活动前三年内，在经营活动中</w:t>
      </w:r>
      <w:r>
        <w:rPr>
          <w:rFonts w:hint="eastAsia" w:ascii="宋体" w:hAnsi="宋体"/>
          <w:b/>
          <w:sz w:val="28"/>
          <w:szCs w:val="28"/>
          <w:u w:val="single"/>
        </w:rPr>
        <w:t>（说明：填写“没有”或“有”）</w:t>
      </w:r>
      <w:r>
        <w:rPr>
          <w:rFonts w:hint="eastAsia" w:ascii="宋体" w:hAnsi="宋体"/>
          <w:sz w:val="28"/>
          <w:szCs w:val="28"/>
        </w:rPr>
        <w:t>重大违法记录。</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二、我单位</w:t>
      </w:r>
      <w:r>
        <w:rPr>
          <w:rFonts w:hint="eastAsia" w:ascii="宋体" w:hAnsi="宋体"/>
          <w:b/>
          <w:sz w:val="28"/>
          <w:szCs w:val="28"/>
          <w:u w:val="single"/>
        </w:rPr>
        <w:t>（说明：填写“具有”或“不具有”）</w:t>
      </w:r>
      <w:r>
        <w:rPr>
          <w:rFonts w:hint="eastAsia" w:ascii="宋体" w:hAnsi="宋体"/>
          <w:sz w:val="28"/>
          <w:szCs w:val="28"/>
        </w:rPr>
        <w:t>良好的商业信誉。</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三、与我单位负责人为同一人或者存在直接控股、管理关系的相关供应商：</w:t>
      </w:r>
      <w:r>
        <w:rPr>
          <w:rFonts w:hint="eastAsia" w:ascii="宋体" w:hAnsi="宋体"/>
          <w:b/>
          <w:sz w:val="28"/>
          <w:szCs w:val="28"/>
          <w:u w:val="single"/>
        </w:rPr>
        <w:t>（说明：填写“无”或“（一）供应商名称１；（二）供应商名称２；（三）……”）</w:t>
      </w:r>
      <w:r>
        <w:rPr>
          <w:rFonts w:hint="eastAsia" w:ascii="宋体" w:hAnsi="宋体"/>
          <w:b/>
          <w:sz w:val="28"/>
          <w:szCs w:val="28"/>
        </w:rPr>
        <w:t xml:space="preserve"> </w:t>
      </w:r>
      <w:r>
        <w:rPr>
          <w:rFonts w:hint="eastAsia" w:ascii="宋体" w:hAnsi="宋体"/>
          <w:sz w:val="28"/>
          <w:szCs w:val="28"/>
        </w:rPr>
        <w:t>。</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rPr>
        <w:t>失信被执行人、重大税收违法案件当事人名单。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rPr>
        <w:t>政府采购严重违法失信行为记录名单。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特此声明。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tabs>
          <w:tab w:val="left" w:pos="1260"/>
        </w:tabs>
        <w:spacing w:line="560" w:lineRule="exact"/>
        <w:ind w:firstLine="560" w:firstLineChars="200"/>
        <w:rPr>
          <w:rFonts w:ascii="宋体" w:hAnsi="宋体"/>
          <w:sz w:val="28"/>
          <w:szCs w:val="28"/>
          <w:u w:val="single"/>
        </w:rPr>
      </w:pPr>
      <w:r>
        <w:rPr>
          <w:rFonts w:hint="eastAsia" w:ascii="宋体" w:hAnsi="宋体"/>
          <w:sz w:val="28"/>
          <w:szCs w:val="28"/>
        </w:rPr>
        <w:t>日    期：</w:t>
      </w:r>
      <w:r>
        <w:rPr>
          <w:rFonts w:hint="eastAsia" w:ascii="宋体" w:hAnsi="宋体"/>
          <w:sz w:val="28"/>
          <w:szCs w:val="28"/>
          <w:u w:val="single"/>
        </w:rPr>
        <w:t>XXXX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w:t>
      </w:r>
      <w:r>
        <w:rPr>
          <w:rFonts w:ascii="宋体" w:hAnsi="宋体"/>
          <w:sz w:val="28"/>
          <w:szCs w:val="28"/>
        </w:rPr>
        <w:t xml:space="preserve"> </w:t>
      </w:r>
      <w:r>
        <w:rPr>
          <w:rFonts w:hint="eastAsia" w:ascii="宋体" w:hAnsi="宋体"/>
          <w:sz w:val="28"/>
          <w:szCs w:val="28"/>
        </w:rPr>
        <w:t>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420" w:firstLineChars="200"/>
        <w:rPr>
          <w:rFonts w:ascii="宋体" w:hAnsi="宋体"/>
          <w:szCs w:val="28"/>
        </w:rPr>
      </w:pPr>
    </w:p>
    <w:p>
      <w:pPr>
        <w:pStyle w:val="2"/>
        <w:rPr>
          <w:rFonts w:ascii="宋体" w:hAnsi="宋体"/>
          <w:szCs w:val="28"/>
        </w:rPr>
      </w:pPr>
    </w:p>
    <w:p>
      <w:pPr>
        <w:rPr>
          <w:rFonts w:ascii="宋体" w:hAnsi="宋体"/>
          <w:szCs w:val="28"/>
        </w:rPr>
      </w:pPr>
    </w:p>
    <w:p>
      <w:pPr>
        <w:pStyle w:val="2"/>
        <w:rPr>
          <w:rFonts w:ascii="宋体" w:hAnsi="宋体"/>
          <w:szCs w:val="28"/>
        </w:rPr>
      </w:pPr>
    </w:p>
    <w:p>
      <w:pPr>
        <w:rPr>
          <w:rFonts w:ascii="宋体" w:hAnsi="宋体"/>
          <w:szCs w:val="28"/>
        </w:rPr>
      </w:pPr>
    </w:p>
    <w:p>
      <w:pPr>
        <w:pStyle w:val="2"/>
        <w:rPr>
          <w:rFonts w:ascii="宋体" w:hAnsi="宋体"/>
          <w:szCs w:val="28"/>
        </w:rPr>
      </w:pPr>
    </w:p>
    <w:p>
      <w:pPr>
        <w:rPr>
          <w:rFonts w:ascii="宋体" w:hAnsi="宋体"/>
          <w:szCs w:val="28"/>
        </w:rPr>
      </w:pPr>
    </w:p>
    <w:p>
      <w:pPr>
        <w:pStyle w:val="2"/>
        <w:rPr>
          <w:rFonts w:ascii="宋体" w:hAnsi="宋体"/>
          <w:szCs w:val="28"/>
        </w:rPr>
      </w:pPr>
    </w:p>
    <w:p/>
    <w:p>
      <w:pPr>
        <w:keepNext/>
        <w:keepLines/>
        <w:numPr>
          <w:ilvl w:val="2"/>
          <w:numId w:val="5"/>
        </w:numPr>
        <w:spacing w:line="360" w:lineRule="auto"/>
        <w:ind w:left="0" w:firstLine="0"/>
        <w:outlineLvl w:val="2"/>
        <w:rPr>
          <w:sz w:val="28"/>
          <w:szCs w:val="28"/>
        </w:rPr>
      </w:pPr>
      <w:r>
        <w:rPr>
          <w:rFonts w:hint="eastAsia" w:ascii="宋体" w:hAnsi="宋体"/>
          <w:b/>
          <w:bCs/>
          <w:sz w:val="28"/>
          <w:szCs w:val="28"/>
        </w:rPr>
        <w:t>投标人应提交的相关资格证明材料</w:t>
      </w:r>
    </w:p>
    <w:p>
      <w:pPr>
        <w:spacing w:line="360" w:lineRule="auto"/>
        <w:ind w:firstLine="560" w:firstLineChars="200"/>
        <w:rPr>
          <w:sz w:val="28"/>
          <w:szCs w:val="28"/>
        </w:rPr>
      </w:pPr>
      <w:r>
        <w:rPr>
          <w:rFonts w:hint="eastAsia"/>
          <w:sz w:val="28"/>
          <w:szCs w:val="28"/>
        </w:rPr>
        <w:t>投标人按招标文件要求，应提供以下相关资格证明材料：</w:t>
      </w:r>
    </w:p>
    <w:p>
      <w:pPr>
        <w:pStyle w:val="153"/>
        <w:numPr>
          <w:ilvl w:val="0"/>
          <w:numId w:val="36"/>
        </w:numPr>
        <w:tabs>
          <w:tab w:val="left" w:pos="1134"/>
        </w:tabs>
        <w:spacing w:line="360" w:lineRule="auto"/>
        <w:ind w:firstLine="560"/>
        <w:rPr>
          <w:rFonts w:ascii="宋体" w:hAnsi="宋体"/>
          <w:sz w:val="28"/>
          <w:szCs w:val="28"/>
        </w:rPr>
      </w:pPr>
      <w:r>
        <w:rPr>
          <w:rFonts w:hint="eastAsia" w:ascii="宋体" w:hAnsi="宋体"/>
          <w:sz w:val="28"/>
          <w:szCs w:val="28"/>
        </w:rPr>
        <w:t>营业执照复印件（正本或副本）或法人证书复印件（正本或副本）；</w:t>
      </w:r>
    </w:p>
    <w:p>
      <w:pPr>
        <w:pStyle w:val="153"/>
        <w:numPr>
          <w:ilvl w:val="0"/>
          <w:numId w:val="36"/>
        </w:numPr>
        <w:tabs>
          <w:tab w:val="left" w:pos="1134"/>
        </w:tabs>
        <w:spacing w:line="360" w:lineRule="auto"/>
        <w:ind w:firstLine="560"/>
        <w:rPr>
          <w:rFonts w:ascii="宋体" w:hAnsi="宋体"/>
          <w:sz w:val="28"/>
          <w:szCs w:val="28"/>
        </w:rPr>
      </w:pPr>
      <w:r>
        <w:rPr>
          <w:rFonts w:hint="eastAsia" w:ascii="宋体" w:hAnsi="宋体"/>
          <w:sz w:val="28"/>
          <w:szCs w:val="28"/>
        </w:rPr>
        <w:t>2020会计年度资产负债表复印件【说明：①可提供2020年度经审计的财务报告复印件；②也可提供2020年度供应商内部的财务报表复印件（包括资产负债表、现金流量表、利润表）；③也可提供距文件递交截止日一年内银行出具的资信证明（复印件）；④供应商注册时间至文件递交截止日不足一年的，也可提供在工商备案的公司章程（复印件）；⑤供应商为事业法人或其他组织的提供其具有健全的财务会计制度的承诺函（格式自拟）复印件。】；</w:t>
      </w:r>
    </w:p>
    <w:p>
      <w:pPr>
        <w:pStyle w:val="153"/>
        <w:numPr>
          <w:ilvl w:val="0"/>
          <w:numId w:val="36"/>
        </w:numPr>
        <w:tabs>
          <w:tab w:val="left" w:pos="1134"/>
        </w:tabs>
        <w:spacing w:line="360" w:lineRule="auto"/>
        <w:ind w:firstLine="560"/>
        <w:rPr>
          <w:rFonts w:ascii="宋体" w:hAnsi="宋体"/>
          <w:sz w:val="28"/>
          <w:szCs w:val="28"/>
        </w:rPr>
      </w:pPr>
      <w:r>
        <w:rPr>
          <w:rFonts w:hint="eastAsia" w:ascii="宋体" w:hAnsi="宋体"/>
          <w:sz w:val="28"/>
          <w:szCs w:val="28"/>
        </w:rPr>
        <w:t>投标人缴纳2021年任意时段的税收的银行电子回单或者行政部门出具的纳税证明或完税证明复印件或承诺函（格式自拟）复印件（依法免税的供应商，应提供相应文件证明其依法免税）；</w:t>
      </w:r>
    </w:p>
    <w:p>
      <w:pPr>
        <w:pStyle w:val="153"/>
        <w:numPr>
          <w:ilvl w:val="0"/>
          <w:numId w:val="36"/>
        </w:numPr>
        <w:tabs>
          <w:tab w:val="left" w:pos="1134"/>
        </w:tabs>
        <w:spacing w:line="360" w:lineRule="auto"/>
        <w:ind w:firstLine="560"/>
        <w:rPr>
          <w:rFonts w:ascii="宋体" w:hAnsi="宋体"/>
          <w:sz w:val="28"/>
          <w:szCs w:val="28"/>
        </w:rPr>
      </w:pPr>
      <w:r>
        <w:rPr>
          <w:rFonts w:hint="eastAsia"/>
          <w:sz w:val="28"/>
          <w:szCs w:val="28"/>
        </w:rPr>
        <w:t>采购人</w:t>
      </w:r>
      <w:r>
        <w:rPr>
          <w:rFonts w:hint="eastAsia" w:ascii="宋体" w:hAnsi="宋体"/>
          <w:kern w:val="0"/>
          <w:sz w:val="28"/>
          <w:szCs w:val="28"/>
        </w:rPr>
        <w:t>对投标人履行合同所必须的设备和专业技术能力无其他特殊要求，投标人具有有效的营业执照或法人证书即可，可不提供其他证明材料；</w:t>
      </w:r>
    </w:p>
    <w:p>
      <w:pPr>
        <w:pStyle w:val="153"/>
        <w:numPr>
          <w:ilvl w:val="0"/>
          <w:numId w:val="36"/>
        </w:numPr>
        <w:tabs>
          <w:tab w:val="left" w:pos="1134"/>
        </w:tabs>
        <w:spacing w:line="360" w:lineRule="auto"/>
        <w:ind w:firstLine="560"/>
        <w:rPr>
          <w:rFonts w:ascii="宋体" w:hAnsi="宋体" w:cs="宋体"/>
          <w:sz w:val="28"/>
          <w:szCs w:val="28"/>
        </w:rPr>
      </w:pPr>
      <w:r>
        <w:rPr>
          <w:rFonts w:hint="eastAsia" w:ascii="宋体" w:hAnsi="宋体"/>
          <w:sz w:val="28"/>
          <w:szCs w:val="28"/>
        </w:rPr>
        <w:t>投标人缴纳2021年任意时段的社保的银行电子回单或行政部门出具的社保缴纳证明材料复印件或承诺函（格式自拟）复印件（依法不需要缴纳社保的供应商，应提供相应文件证明其依法不需要缴纳社保）；</w:t>
      </w:r>
    </w:p>
    <w:p>
      <w:pPr>
        <w:pStyle w:val="153"/>
        <w:numPr>
          <w:ilvl w:val="0"/>
          <w:numId w:val="36"/>
        </w:numPr>
        <w:tabs>
          <w:tab w:val="left" w:pos="1134"/>
        </w:tabs>
        <w:spacing w:line="360" w:lineRule="auto"/>
        <w:ind w:firstLine="560"/>
        <w:rPr>
          <w:sz w:val="28"/>
          <w:szCs w:val="28"/>
        </w:rPr>
      </w:pPr>
      <w:r>
        <w:rPr>
          <w:rFonts w:hint="eastAsia" w:ascii="宋体" w:hAnsi="宋体"/>
          <w:sz w:val="28"/>
          <w:szCs w:val="28"/>
        </w:rPr>
        <w:t>采购人对法律、行政法规规定的其他条件无其他特殊要求，投标人具有有效的营业执照或法人证书即可，可不提供其他证明材料。</w:t>
      </w:r>
    </w:p>
    <w:p>
      <w:pPr>
        <w:rPr>
          <w:sz w:val="28"/>
          <w:szCs w:val="28"/>
        </w:rPr>
      </w:pPr>
      <w:r>
        <w:rPr>
          <w:sz w:val="28"/>
          <w:szCs w:val="28"/>
        </w:rPr>
        <w:br w:type="page"/>
      </w:r>
    </w:p>
    <w:p>
      <w:pPr>
        <w:keepNext/>
        <w:keepLines/>
        <w:numPr>
          <w:ilvl w:val="1"/>
          <w:numId w:val="19"/>
        </w:numPr>
        <w:spacing w:line="520" w:lineRule="exact"/>
        <w:jc w:val="left"/>
        <w:outlineLvl w:val="1"/>
        <w:rPr>
          <w:rFonts w:ascii="宋体" w:hAnsi="宋体"/>
          <w:b/>
          <w:bCs/>
          <w:color w:val="000000" w:themeColor="text1"/>
          <w:sz w:val="28"/>
          <w:szCs w:val="28"/>
          <w14:textFill>
            <w14:solidFill>
              <w14:schemeClr w14:val="tx1"/>
            </w14:solidFill>
          </w14:textFill>
        </w:rPr>
      </w:pPr>
      <w:bookmarkStart w:id="138" w:name="_Toc85657306"/>
      <w:r>
        <w:rPr>
          <w:rFonts w:hint="eastAsia" w:ascii="宋体" w:hAnsi="宋体"/>
          <w:b/>
          <w:bCs/>
          <w:color w:val="000000" w:themeColor="text1"/>
          <w:sz w:val="28"/>
          <w:szCs w:val="28"/>
          <w14:textFill>
            <w14:solidFill>
              <w14:schemeClr w14:val="tx1"/>
            </w14:solidFill>
          </w14:textFill>
        </w:rPr>
        <w:t>商务技术响应文件</w:t>
      </w:r>
      <w:bookmarkEnd w:id="138"/>
    </w:p>
    <w:p>
      <w:pPr>
        <w:keepNext/>
        <w:keepLines/>
        <w:numPr>
          <w:ilvl w:val="2"/>
          <w:numId w:val="5"/>
        </w:numPr>
        <w:spacing w:line="520" w:lineRule="exact"/>
        <w:ind w:left="569" w:hanging="569"/>
        <w:outlineLvl w:val="2"/>
        <w:rPr>
          <w:rFonts w:ascii="宋体" w:hAnsi="宋体"/>
          <w:b/>
          <w:bCs/>
          <w:sz w:val="28"/>
          <w:szCs w:val="28"/>
        </w:rPr>
      </w:pPr>
      <w:r>
        <w:rPr>
          <w:rFonts w:hint="eastAsia" w:ascii="宋体" w:hAnsi="宋体"/>
          <w:b/>
          <w:bCs/>
          <w:sz w:val="28"/>
          <w:szCs w:val="28"/>
        </w:rPr>
        <w:t>投标函</w:t>
      </w:r>
    </w:p>
    <w:p>
      <w:pPr>
        <w:spacing w:line="520" w:lineRule="exact"/>
        <w:rPr>
          <w:rFonts w:ascii="宋体" w:hAnsi="宋体"/>
          <w:bCs/>
          <w:sz w:val="28"/>
          <w:szCs w:val="28"/>
        </w:rPr>
      </w:pPr>
      <w:r>
        <w:rPr>
          <w:rFonts w:hint="eastAsia" w:ascii="宋体" w:hAnsi="宋体"/>
          <w:bCs/>
          <w:sz w:val="28"/>
          <w:szCs w:val="28"/>
        </w:rPr>
        <w:t>成都市双流区公共资源交易服务中心：</w:t>
      </w:r>
    </w:p>
    <w:p>
      <w:pPr>
        <w:spacing w:line="520" w:lineRule="exact"/>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bCs/>
          <w:sz w:val="28"/>
          <w:szCs w:val="28"/>
          <w:u w:val="single"/>
        </w:rPr>
        <w:t>成都市双流区教育技术装备管理中心2021年艺体中学等2校学术厅显示系统采购项目（项目编号：双流政采（2021）A0066号）</w:t>
      </w:r>
      <w:r>
        <w:rPr>
          <w:rFonts w:hint="eastAsia" w:ascii="宋体" w:hAnsi="宋体"/>
          <w:bCs/>
          <w:sz w:val="28"/>
          <w:szCs w:val="28"/>
        </w:rPr>
        <w:t>招标文件，决定参加贵单位组织的本项目投标。</w:t>
      </w:r>
    </w:p>
    <w:p>
      <w:pPr>
        <w:numPr>
          <w:ilvl w:val="1"/>
          <w:numId w:val="37"/>
        </w:numPr>
        <w:tabs>
          <w:tab w:val="left" w:pos="1134"/>
        </w:tabs>
        <w:spacing w:line="520" w:lineRule="exact"/>
        <w:ind w:left="0" w:firstLine="567"/>
        <w:rPr>
          <w:rFonts w:ascii="宋体" w:hAnsi="宋体"/>
          <w:sz w:val="28"/>
          <w:szCs w:val="28"/>
        </w:rPr>
      </w:pPr>
      <w:r>
        <w:rPr>
          <w:rFonts w:hint="eastAsia" w:ascii="宋体" w:hAnsi="宋体"/>
          <w:sz w:val="28"/>
          <w:szCs w:val="28"/>
        </w:rPr>
        <w:t>我方自愿按照招标文件规定的各项要求向采购人提供所需货物及服务，</w:t>
      </w:r>
      <w:r>
        <w:rPr>
          <w:rFonts w:hint="eastAsia" w:ascii="宋体" w:hAnsi="宋体"/>
          <w:b/>
          <w:sz w:val="28"/>
          <w:szCs w:val="28"/>
        </w:rPr>
        <w:t>投标报价以《开标一览表》为准</w:t>
      </w:r>
      <w:r>
        <w:rPr>
          <w:rFonts w:hint="eastAsia" w:ascii="宋体" w:hAnsi="宋体"/>
          <w:sz w:val="28"/>
          <w:szCs w:val="28"/>
        </w:rPr>
        <w:t>。</w:t>
      </w:r>
    </w:p>
    <w:p>
      <w:pPr>
        <w:numPr>
          <w:ilvl w:val="1"/>
          <w:numId w:val="37"/>
        </w:numPr>
        <w:tabs>
          <w:tab w:val="left" w:pos="1134"/>
        </w:tabs>
        <w:spacing w:line="520" w:lineRule="exact"/>
        <w:ind w:left="0" w:firstLine="567"/>
        <w:rPr>
          <w:rFonts w:ascii="宋体" w:hAnsi="宋体"/>
          <w:sz w:val="28"/>
          <w:szCs w:val="28"/>
        </w:rPr>
      </w:pPr>
      <w:r>
        <w:rPr>
          <w:rFonts w:hint="eastAsia" w:ascii="宋体" w:hAnsi="宋体"/>
          <w:sz w:val="28"/>
          <w:szCs w:val="28"/>
        </w:rPr>
        <w:t>如果我方中标，我方将严格履行合同规定的责任和义务，否则将承担由此产生的一切责任。</w:t>
      </w:r>
    </w:p>
    <w:p>
      <w:pPr>
        <w:numPr>
          <w:ilvl w:val="1"/>
          <w:numId w:val="37"/>
        </w:numPr>
        <w:tabs>
          <w:tab w:val="left" w:pos="1134"/>
        </w:tabs>
        <w:spacing w:line="520" w:lineRule="exact"/>
        <w:ind w:left="0" w:firstLine="567"/>
        <w:rPr>
          <w:rFonts w:ascii="宋体" w:hAnsi="宋体"/>
          <w:sz w:val="28"/>
          <w:szCs w:val="28"/>
        </w:rPr>
      </w:pPr>
      <w:r>
        <w:rPr>
          <w:rFonts w:hint="eastAsia" w:ascii="宋体" w:hAnsi="宋体"/>
          <w:sz w:val="28"/>
          <w:szCs w:val="28"/>
        </w:rPr>
        <w:t>我方已知晓全部招标文件的内容，包括修改文件（如有）以及全部相关资料和有关附件，并对上述文件均无异议。</w:t>
      </w:r>
    </w:p>
    <w:p>
      <w:pPr>
        <w:numPr>
          <w:ilvl w:val="1"/>
          <w:numId w:val="37"/>
        </w:numPr>
        <w:tabs>
          <w:tab w:val="left" w:pos="1134"/>
        </w:tabs>
        <w:spacing w:line="520" w:lineRule="exact"/>
        <w:ind w:left="0" w:firstLine="567"/>
        <w:rPr>
          <w:rFonts w:ascii="宋体" w:hAnsi="宋体"/>
          <w:sz w:val="28"/>
          <w:szCs w:val="28"/>
        </w:rPr>
      </w:pPr>
      <w:r>
        <w:rPr>
          <w:rFonts w:hint="eastAsia" w:ascii="宋体" w:hAnsi="宋体"/>
          <w:sz w:val="28"/>
          <w:szCs w:val="28"/>
        </w:rPr>
        <w:t>投标有效期为从投标截止之日起120天。</w:t>
      </w:r>
    </w:p>
    <w:p>
      <w:pPr>
        <w:numPr>
          <w:ilvl w:val="1"/>
          <w:numId w:val="37"/>
        </w:numPr>
        <w:tabs>
          <w:tab w:val="left" w:pos="1134"/>
        </w:tabs>
        <w:spacing w:line="520" w:lineRule="exact"/>
        <w:ind w:left="0" w:firstLine="567"/>
        <w:rPr>
          <w:rFonts w:ascii="宋体" w:hAnsi="宋体"/>
          <w:sz w:val="28"/>
          <w:szCs w:val="28"/>
        </w:rPr>
      </w:pPr>
      <w:r>
        <w:rPr>
          <w:rFonts w:hint="eastAsia" w:ascii="宋体" w:hAnsi="宋体"/>
          <w:sz w:val="28"/>
          <w:szCs w:val="28"/>
        </w:rPr>
        <w:t>我方愿意提供贵中心可能另外要求的，与投标有关的文件资料，并保证我方已提供和将要提供的文件资料是真实、准确的，并对此承担一切法律后果。</w:t>
      </w:r>
    </w:p>
    <w:p>
      <w:pPr>
        <w:numPr>
          <w:ilvl w:val="1"/>
          <w:numId w:val="37"/>
        </w:numPr>
        <w:tabs>
          <w:tab w:val="left" w:pos="1134"/>
        </w:tabs>
        <w:spacing w:line="520" w:lineRule="exact"/>
        <w:ind w:left="0" w:firstLine="567"/>
        <w:rPr>
          <w:rFonts w:ascii="宋体" w:hAnsi="宋体"/>
          <w:sz w:val="28"/>
          <w:szCs w:val="28"/>
        </w:rPr>
      </w:pPr>
      <w:r>
        <w:rPr>
          <w:rFonts w:hint="eastAsia" w:ascii="宋体" w:hAnsi="宋体"/>
          <w:sz w:val="28"/>
          <w:szCs w:val="28"/>
        </w:rPr>
        <w:t>我单位联系方式：</w:t>
      </w:r>
      <w:r>
        <w:rPr>
          <w:rFonts w:hint="eastAsia" w:ascii="宋体" w:hAnsi="宋体"/>
          <w:sz w:val="28"/>
          <w:szCs w:val="28"/>
          <w:u w:val="single"/>
        </w:rPr>
        <w:t>XXXX</w:t>
      </w:r>
    </w:p>
    <w:p>
      <w:pPr>
        <w:spacing w:line="520" w:lineRule="exact"/>
        <w:ind w:left="420"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spacing w:line="520" w:lineRule="exact"/>
        <w:ind w:left="420"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spacing w:line="520" w:lineRule="exact"/>
        <w:ind w:left="420"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spacing w:after="120" w:line="520" w:lineRule="exact"/>
        <w:ind w:left="420" w:leftChars="200" w:firstLine="560" w:firstLine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spacing w:line="520" w:lineRule="exact"/>
        <w:ind w:left="283" w:leftChars="135" w:firstLine="700" w:firstLineChars="250"/>
        <w:rPr>
          <w:rFonts w:ascii="宋体" w:hAnsi="宋体"/>
          <w:bCs/>
          <w:sz w:val="28"/>
        </w:rPr>
      </w:pPr>
      <w:r>
        <w:rPr>
          <w:rFonts w:hint="eastAsia" w:ascii="宋体" w:hAnsi="宋体"/>
          <w:bCs/>
          <w:sz w:val="28"/>
          <w:szCs w:val="28"/>
        </w:rPr>
        <w:t>日    期：</w:t>
      </w:r>
      <w:r>
        <w:rPr>
          <w:rFonts w:hint="eastAsia" w:ascii="宋体" w:hAnsi="宋体"/>
          <w:bCs/>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bookmarkStart w:id="139" w:name="_Toc314574804"/>
      <w:bookmarkStart w:id="140" w:name="_Toc239846734"/>
      <w:bookmarkStart w:id="141" w:name="_Toc237145395"/>
      <w:bookmarkStart w:id="142" w:name="_Toc231030275"/>
      <w:bookmarkStart w:id="143" w:name="_Toc229802674"/>
      <w:bookmarkStart w:id="144" w:name="_Toc240367172"/>
      <w:bookmarkStart w:id="145" w:name="_Toc239849853"/>
      <w:bookmarkStart w:id="146" w:name="_Toc240865266"/>
      <w:bookmarkStart w:id="147" w:name="_Toc265494342"/>
    </w:p>
    <w:p>
      <w:pPr>
        <w:pStyle w:val="2"/>
        <w:rPr>
          <w:rFonts w:ascii="宋体" w:hAnsi="宋体"/>
          <w:bCs/>
          <w:sz w:val="28"/>
        </w:rPr>
      </w:pPr>
    </w:p>
    <w:p>
      <w:pPr>
        <w:rPr>
          <w:rFonts w:ascii="宋体" w:hAnsi="宋体"/>
          <w:bCs/>
          <w:sz w:val="28"/>
        </w:rPr>
      </w:pPr>
    </w:p>
    <w:p>
      <w:pPr>
        <w:pStyle w:val="2"/>
      </w:pP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法定代表人身份证明书</w:t>
      </w:r>
    </w:p>
    <w:p>
      <w:pPr>
        <w:tabs>
          <w:tab w:val="left" w:pos="6300"/>
        </w:tabs>
        <w:spacing w:line="360" w:lineRule="auto"/>
        <w:ind w:firstLine="573"/>
        <w:rPr>
          <w:rFonts w:ascii="宋体" w:hAnsi="宋体"/>
          <w:sz w:val="28"/>
          <w:u w:val="single"/>
          <w:lang w:val="zh-CN"/>
        </w:rPr>
      </w:pPr>
    </w:p>
    <w:p>
      <w:pPr>
        <w:tabs>
          <w:tab w:val="left" w:pos="6300"/>
        </w:tabs>
        <w:spacing w:line="360" w:lineRule="auto"/>
        <w:ind w:firstLine="573"/>
        <w:rPr>
          <w:rFonts w:ascii="宋体" w:hAnsi="宋体"/>
          <w:sz w:val="28"/>
          <w:lang w:val="zh-CN"/>
        </w:rPr>
      </w:pPr>
      <w:r>
        <w:rPr>
          <w:rFonts w:hint="eastAsia" w:ascii="宋体" w:hAnsi="宋体"/>
          <w:sz w:val="28"/>
          <w:u w:val="single"/>
          <w:lang w:val="zh-CN"/>
        </w:rPr>
        <w:t>XXXX（法定代表人姓名）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bookmarkStart w:id="148" w:name="_Toc263768866"/>
      <w:r>
        <w:rPr>
          <w:rFonts w:hint="eastAsia" w:ascii="宋体" w:hAnsi="宋体"/>
          <w:sz w:val="28"/>
          <w:lang w:val="zh-CN"/>
        </w:rPr>
        <w:t>特此证明。</w:t>
      </w:r>
      <w:bookmarkEnd w:id="148"/>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spacing w:line="360" w:lineRule="auto"/>
        <w:rPr>
          <w:rFonts w:ascii="宋体" w:hAnsi="宋体"/>
          <w:sz w:val="28"/>
          <w:lang w:val="zh-CN"/>
        </w:rPr>
      </w:pPr>
      <w:r>
        <w:rPr>
          <w:rFonts w:hint="eastAsia" w:ascii="宋体" w:hAnsi="宋体"/>
          <w:sz w:val="28"/>
          <w:lang w:val="zh-CN"/>
        </w:rPr>
        <w:t>投标人名称：</w:t>
      </w:r>
      <w:r>
        <w:rPr>
          <w:rFonts w:hint="eastAsia" w:ascii="宋体" w:hAnsi="宋体"/>
          <w:sz w:val="28"/>
          <w:u w:val="single"/>
          <w:lang w:val="zh-CN"/>
        </w:rPr>
        <w:t>XXXX</w:t>
      </w:r>
    </w:p>
    <w:p>
      <w:pPr>
        <w:spacing w:line="360" w:lineRule="auto"/>
        <w:rPr>
          <w:rFonts w:ascii="宋体" w:hAnsi="宋体"/>
          <w:b/>
          <w:sz w:val="28"/>
          <w:u w:val="single"/>
          <w:lang w:val="zh-CN"/>
        </w:rPr>
      </w:pPr>
      <w:r>
        <w:rPr>
          <w:rFonts w:hint="eastAsia" w:ascii="宋体" w:hAnsi="宋体"/>
          <w:sz w:val="28"/>
        </w:rPr>
        <w:t>日期：</w:t>
      </w:r>
      <w:r>
        <w:rPr>
          <w:rFonts w:hint="eastAsia" w:ascii="宋体" w:hAnsi="宋体"/>
          <w:sz w:val="28"/>
          <w:u w:val="single"/>
          <w:lang w:val="zh-CN"/>
        </w:rPr>
        <w:t>XXXX</w:t>
      </w:r>
      <w:r>
        <w:rPr>
          <w:rFonts w:hint="eastAsia" w:ascii="宋体" w:hAnsi="宋体"/>
          <w:bCs/>
          <w:sz w:val="28"/>
        </w:rPr>
        <w:t>年</w:t>
      </w:r>
      <w:r>
        <w:rPr>
          <w:rFonts w:hint="eastAsia" w:ascii="宋体" w:hAnsi="宋体"/>
          <w:sz w:val="28"/>
          <w:u w:val="single"/>
          <w:lang w:val="zh-CN"/>
        </w:rPr>
        <w:t>XX</w:t>
      </w:r>
      <w:r>
        <w:rPr>
          <w:rFonts w:hint="eastAsia" w:ascii="宋体" w:hAnsi="宋体"/>
          <w:bCs/>
          <w:sz w:val="28"/>
        </w:rPr>
        <w:t>月</w:t>
      </w:r>
      <w:r>
        <w:rPr>
          <w:rFonts w:hint="eastAsia" w:ascii="宋体" w:hAnsi="宋体"/>
          <w:sz w:val="28"/>
          <w:u w:val="single"/>
          <w:lang w:val="zh-CN"/>
        </w:rPr>
        <w:t>XX</w:t>
      </w:r>
      <w:r>
        <w:rPr>
          <w:rFonts w:hint="eastAsia" w:ascii="宋体" w:hAnsi="宋体"/>
          <w:bCs/>
          <w:sz w:val="28"/>
        </w:rPr>
        <w:t>日</w:t>
      </w:r>
    </w:p>
    <w:p>
      <w:pPr>
        <w:spacing w:after="180" w:line="360" w:lineRule="auto"/>
        <w:ind w:firstLine="568" w:firstLineChars="202"/>
        <w:rPr>
          <w:rFonts w:ascii="宋体" w:hAnsi="宋体"/>
          <w:b/>
          <w:sz w:val="28"/>
          <w:szCs w:val="28"/>
        </w:rPr>
      </w:pPr>
    </w:p>
    <w:p>
      <w:pPr>
        <w:pStyle w:val="2"/>
      </w:pPr>
    </w:p>
    <w:p>
      <w:pPr>
        <w:spacing w:after="180" w:line="360" w:lineRule="auto"/>
        <w:ind w:firstLine="568" w:firstLineChars="202"/>
        <w:rPr>
          <w:rFonts w:ascii="宋体" w:hAnsi="宋体"/>
          <w:b/>
          <w:sz w:val="28"/>
          <w:szCs w:val="28"/>
        </w:rPr>
      </w:pPr>
      <w:r>
        <w:rPr>
          <w:rFonts w:hint="eastAsia" w:ascii="宋体" w:hAnsi="宋体"/>
          <w:b/>
          <w:sz w:val="28"/>
          <w:szCs w:val="28"/>
        </w:rPr>
        <w:t>说明：上述证明文件在投标文件中附有法定代表人身份证复印件（身份证两面均应复印）或护照复印件（投标人的法定代表人为外籍人士的，则提供护照复印件）时才能生效。</w:t>
      </w:r>
    </w:p>
    <w:p>
      <w:pPr>
        <w:spacing w:after="180" w:line="360" w:lineRule="auto"/>
        <w:ind w:firstLine="568" w:firstLineChars="202"/>
        <w:rPr>
          <w:rFonts w:ascii="宋体" w:hAnsi="宋体"/>
          <w:b/>
          <w:sz w:val="28"/>
          <w:szCs w:val="28"/>
        </w:rPr>
      </w:pPr>
    </w:p>
    <w:p>
      <w:pPr>
        <w:pStyle w:val="2"/>
      </w:pPr>
    </w:p>
    <w:bookmarkEnd w:id="139"/>
    <w:bookmarkEnd w:id="140"/>
    <w:bookmarkEnd w:id="141"/>
    <w:bookmarkEnd w:id="142"/>
    <w:bookmarkEnd w:id="143"/>
    <w:bookmarkEnd w:id="144"/>
    <w:bookmarkEnd w:id="145"/>
    <w:bookmarkEnd w:id="146"/>
    <w:bookmarkEnd w:id="147"/>
    <w:p>
      <w:pPr>
        <w:keepNext/>
        <w:keepLines/>
        <w:numPr>
          <w:ilvl w:val="2"/>
          <w:numId w:val="5"/>
        </w:numPr>
        <w:spacing w:line="360" w:lineRule="auto"/>
        <w:ind w:left="3119" w:hanging="3119"/>
        <w:outlineLvl w:val="2"/>
        <w:rPr>
          <w:rFonts w:ascii="宋体" w:hAnsi="宋体"/>
          <w:b/>
          <w:bCs/>
          <w:sz w:val="28"/>
          <w:szCs w:val="28"/>
        </w:rPr>
      </w:pPr>
      <w:bookmarkStart w:id="149" w:name="_Toc315871054"/>
      <w:bookmarkEnd w:id="149"/>
      <w:bookmarkStart w:id="150" w:name="_Toc302997926"/>
      <w:bookmarkStart w:id="151" w:name="_Toc220299393"/>
      <w:bookmarkStart w:id="152" w:name="_Toc263753605"/>
      <w:bookmarkStart w:id="153" w:name="_Toc263768870"/>
      <w:bookmarkStart w:id="154" w:name="_Toc217446083"/>
      <w:r>
        <w:rPr>
          <w:rFonts w:hint="eastAsia" w:ascii="宋体" w:hAnsi="宋体"/>
          <w:b/>
          <w:bCs/>
          <w:sz w:val="28"/>
          <w:szCs w:val="28"/>
        </w:rPr>
        <w:t>投标人基本情况表</w:t>
      </w:r>
      <w:bookmarkEnd w:id="150"/>
    </w:p>
    <w:tbl>
      <w:tblPr>
        <w:tblStyle w:val="44"/>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rPr>
                <w:rFonts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szCs w:val="21"/>
              </w:rPr>
            </w:pPr>
          </w:p>
        </w:tc>
      </w:tr>
    </w:tbl>
    <w:p>
      <w:pPr>
        <w:adjustRightInd w:val="0"/>
        <w:spacing w:line="400" w:lineRule="exact"/>
        <w:rPr>
          <w:rFonts w:ascii="宋体" w:hAnsi="宋体"/>
          <w:bCs/>
          <w:sz w:val="28"/>
          <w:szCs w:val="28"/>
        </w:rPr>
      </w:pPr>
    </w:p>
    <w:p>
      <w:pPr>
        <w:spacing w:after="120" w:line="360" w:lineRule="auto"/>
        <w:ind w:left="420" w:leftChars="200" w:firstLine="288" w:firstLineChars="103"/>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ab/>
      </w:r>
      <w:r>
        <w:rPr>
          <w:rFonts w:hint="eastAsia" w:ascii="宋体" w:hAnsi="宋体"/>
          <w:bCs/>
          <w:sz w:val="28"/>
          <w:szCs w:val="28"/>
          <w:u w:val="single"/>
        </w:rPr>
        <w:t>XXXX</w:t>
      </w:r>
    </w:p>
    <w:p>
      <w:pPr>
        <w:adjustRightInd w:val="0"/>
        <w:spacing w:line="400" w:lineRule="exact"/>
        <w:ind w:firstLine="700" w:firstLineChars="250"/>
        <w:rPr>
          <w:rFonts w:ascii="宋体" w:hAnsi="宋体"/>
          <w:bCs/>
          <w:sz w:val="28"/>
        </w:rPr>
      </w:pPr>
      <w:r>
        <w:rPr>
          <w:rFonts w:hint="eastAsia" w:ascii="宋体" w:hAnsi="宋体"/>
          <w:sz w:val="28"/>
        </w:rPr>
        <w:t>日期：</w:t>
      </w:r>
      <w:r>
        <w:rPr>
          <w:rFonts w:hint="eastAsia" w:ascii="宋体" w:hAnsi="宋体"/>
          <w:bCs/>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700" w:firstLineChars="250"/>
        <w:rPr>
          <w:rFonts w:ascii="宋体" w:hAnsi="宋体"/>
          <w:bCs/>
          <w:sz w:val="28"/>
          <w:u w:val="single"/>
        </w:rPr>
      </w:pPr>
    </w:p>
    <w:bookmarkEnd w:id="151"/>
    <w:bookmarkEnd w:id="152"/>
    <w:bookmarkEnd w:id="153"/>
    <w:p>
      <w:pPr>
        <w:keepNext/>
        <w:keepLines/>
        <w:numPr>
          <w:ilvl w:val="2"/>
          <w:numId w:val="5"/>
        </w:numPr>
        <w:spacing w:line="360" w:lineRule="auto"/>
        <w:ind w:left="3119" w:hanging="3119"/>
        <w:outlineLvl w:val="2"/>
        <w:rPr>
          <w:rFonts w:ascii="宋体" w:hAnsi="宋体"/>
          <w:b/>
          <w:bCs/>
          <w:sz w:val="28"/>
          <w:szCs w:val="28"/>
        </w:rPr>
      </w:pPr>
      <w:bookmarkStart w:id="155" w:name="_Toc263768877"/>
      <w:bookmarkStart w:id="156" w:name="_Toc263753619"/>
      <w:bookmarkStart w:id="157" w:name="_Toc302997928"/>
      <w:r>
        <w:rPr>
          <w:rFonts w:hint="eastAsia" w:ascii="宋体" w:hAnsi="宋体"/>
          <w:b/>
          <w:bCs/>
          <w:sz w:val="28"/>
          <w:szCs w:val="28"/>
        </w:rPr>
        <w:t>售后服务及承诺</w:t>
      </w:r>
      <w:bookmarkEnd w:id="155"/>
      <w:bookmarkEnd w:id="156"/>
      <w:bookmarkEnd w:id="157"/>
    </w:p>
    <w:p>
      <w:pPr>
        <w:snapToGrid w:val="0"/>
        <w:spacing w:line="360" w:lineRule="auto"/>
        <w:ind w:left="1405" w:right="-624" w:rightChars="-297" w:hanging="1405" w:hangingChars="500"/>
        <w:rPr>
          <w:rFonts w:ascii="宋体" w:hAnsi="宋体"/>
          <w:b/>
          <w:sz w:val="28"/>
          <w:u w:val="single"/>
        </w:rPr>
      </w:pPr>
      <w:r>
        <w:rPr>
          <w:rFonts w:hint="eastAsia" w:ascii="宋体" w:hAnsi="宋体"/>
          <w:b/>
          <w:sz w:val="28"/>
        </w:rPr>
        <w:t>项目名称：</w:t>
      </w:r>
      <w:r>
        <w:rPr>
          <w:rFonts w:hint="eastAsia" w:ascii="宋体" w:hAnsi="宋体"/>
          <w:b/>
          <w:sz w:val="28"/>
          <w:u w:val="single"/>
        </w:rPr>
        <w:t>成都市双流区教育技术装备管理中心2021年艺体中学等2校学术厅显示系统采购项目</w:t>
      </w:r>
    </w:p>
    <w:p>
      <w:pPr>
        <w:snapToGrid w:val="0"/>
        <w:spacing w:line="360" w:lineRule="auto"/>
        <w:ind w:right="-624" w:rightChars="-297"/>
        <w:rPr>
          <w:rFonts w:ascii="宋体" w:hAnsi="宋体"/>
          <w:b/>
          <w:sz w:val="28"/>
        </w:rPr>
      </w:pPr>
      <w:r>
        <w:rPr>
          <w:rFonts w:hint="eastAsia" w:ascii="宋体" w:hAnsi="宋体"/>
          <w:b/>
          <w:sz w:val="28"/>
        </w:rPr>
        <w:t>项目编号：</w:t>
      </w:r>
      <w:r>
        <w:rPr>
          <w:rFonts w:hint="eastAsia" w:ascii="宋体" w:hAnsi="宋体"/>
          <w:b/>
          <w:sz w:val="28"/>
          <w:u w:val="single"/>
        </w:rPr>
        <w:t>双流政采（2021）A0066号</w:t>
      </w:r>
    </w:p>
    <w:p>
      <w:pPr>
        <w:tabs>
          <w:tab w:val="left" w:pos="720"/>
        </w:tabs>
        <w:spacing w:line="360" w:lineRule="auto"/>
        <w:ind w:firstLine="560" w:firstLineChars="200"/>
        <w:rPr>
          <w:rFonts w:ascii="宋体" w:hAnsi="宋体"/>
          <w:sz w:val="28"/>
        </w:rPr>
      </w:pPr>
      <w:r>
        <w:rPr>
          <w:rFonts w:hint="eastAsia" w:ascii="宋体" w:hAnsi="宋体"/>
          <w:sz w:val="28"/>
        </w:rPr>
        <w:t>一、验收标准</w:t>
      </w:r>
    </w:p>
    <w:p>
      <w:pPr>
        <w:spacing w:line="360" w:lineRule="auto"/>
        <w:ind w:firstLine="565" w:firstLineChars="202"/>
        <w:rPr>
          <w:rFonts w:ascii="宋体" w:hAnsi="宋体"/>
          <w:sz w:val="28"/>
        </w:rPr>
      </w:pPr>
      <w:r>
        <w:rPr>
          <w:rFonts w:hint="eastAsia" w:ascii="宋体" w:hAnsi="宋体"/>
          <w:sz w:val="28"/>
        </w:rPr>
        <w:t xml:space="preserve">    （投标人应提出详细的验收程序和所执行的验收标准）</w:t>
      </w:r>
    </w:p>
    <w:p>
      <w:pPr>
        <w:spacing w:line="360" w:lineRule="auto"/>
        <w:ind w:firstLine="565" w:firstLineChars="202"/>
        <w:rPr>
          <w:rFonts w:ascii="宋体" w:hAnsi="宋体"/>
          <w:sz w:val="28"/>
        </w:rPr>
      </w:pPr>
    </w:p>
    <w:p>
      <w:pPr>
        <w:spacing w:line="360" w:lineRule="auto"/>
        <w:ind w:firstLine="565" w:firstLineChars="202"/>
        <w:rPr>
          <w:rFonts w:ascii="宋体" w:hAnsi="宋体"/>
          <w:sz w:val="28"/>
        </w:rPr>
      </w:pPr>
      <w:r>
        <w:rPr>
          <w:rFonts w:hint="eastAsia" w:ascii="宋体" w:hAnsi="宋体"/>
          <w:sz w:val="28"/>
        </w:rPr>
        <w:t>二、交货进度计划及保障措施</w:t>
      </w:r>
    </w:p>
    <w:p>
      <w:pPr>
        <w:spacing w:line="360" w:lineRule="auto"/>
        <w:ind w:firstLine="565" w:firstLineChars="202"/>
        <w:rPr>
          <w:rFonts w:ascii="宋体" w:hAnsi="宋体"/>
          <w:sz w:val="28"/>
        </w:rPr>
      </w:pPr>
    </w:p>
    <w:p>
      <w:pPr>
        <w:spacing w:line="360" w:lineRule="auto"/>
        <w:ind w:firstLine="565" w:firstLineChars="202"/>
        <w:rPr>
          <w:rFonts w:ascii="宋体" w:hAnsi="宋体"/>
          <w:sz w:val="28"/>
        </w:rPr>
      </w:pPr>
    </w:p>
    <w:p>
      <w:pPr>
        <w:tabs>
          <w:tab w:val="left" w:pos="720"/>
        </w:tabs>
        <w:spacing w:line="360" w:lineRule="auto"/>
        <w:ind w:firstLine="560" w:firstLineChars="200"/>
        <w:rPr>
          <w:rFonts w:ascii="宋体" w:hAnsi="宋体"/>
          <w:sz w:val="28"/>
        </w:rPr>
      </w:pPr>
      <w:r>
        <w:rPr>
          <w:rFonts w:hint="eastAsia" w:ascii="宋体" w:hAnsi="宋体"/>
          <w:sz w:val="28"/>
        </w:rPr>
        <w:t>三、售后服务承诺</w:t>
      </w:r>
    </w:p>
    <w:p>
      <w:pPr>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（售后服务承诺应包括但不限于以下内容）</w:t>
      </w:r>
    </w:p>
    <w:p>
      <w:pPr>
        <w:spacing w:line="40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（一）产品制造厂家或投标人设立的售后服务机构网点清单、服务电话和维修人员名单；</w:t>
      </w:r>
    </w:p>
    <w:p>
      <w:pPr>
        <w:spacing w:line="40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（二）说明投标产品的保修时间、保修期内的保修内容与范围、维修响应时间等；</w:t>
      </w:r>
    </w:p>
    <w:p>
      <w:pPr>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（三）……</w:t>
      </w:r>
    </w:p>
    <w:p>
      <w:pPr>
        <w:ind w:firstLine="565" w:firstLineChars="202"/>
        <w:rPr>
          <w:rFonts w:hint="eastAsia" w:ascii="宋体" w:hAnsi="宋体"/>
          <w:sz w:val="28"/>
        </w:rPr>
      </w:pPr>
    </w:p>
    <w:p>
      <w:pPr>
        <w:ind w:firstLine="565" w:firstLineChars="202"/>
        <w:rPr>
          <w:rFonts w:ascii="宋体" w:hAnsi="宋体"/>
          <w:sz w:val="28"/>
        </w:rPr>
      </w:pPr>
      <w:r>
        <w:rPr>
          <w:rFonts w:hint="eastAsia" w:ascii="宋体" w:hAnsi="宋体"/>
          <w:sz w:val="28"/>
        </w:rPr>
        <w:t>四、技术支持的能力及方案</w:t>
      </w:r>
    </w:p>
    <w:p>
      <w:pPr>
        <w:ind w:firstLine="565" w:firstLineChars="202"/>
        <w:rPr>
          <w:rFonts w:ascii="宋体" w:hAnsi="宋体"/>
          <w:sz w:val="28"/>
        </w:rPr>
      </w:pPr>
    </w:p>
    <w:p>
      <w:pPr>
        <w:ind w:firstLine="565" w:firstLineChars="202"/>
        <w:rPr>
          <w:rFonts w:ascii="宋体" w:hAnsi="宋体"/>
          <w:sz w:val="28"/>
        </w:rPr>
      </w:pPr>
    </w:p>
    <w:p>
      <w:pPr>
        <w:tabs>
          <w:tab w:val="left" w:pos="720"/>
        </w:tabs>
        <w:ind w:firstLine="560" w:firstLineChars="200"/>
        <w:rPr>
          <w:rFonts w:ascii="宋体" w:hAnsi="宋体"/>
          <w:sz w:val="28"/>
        </w:rPr>
      </w:pPr>
      <w:r>
        <w:rPr>
          <w:rFonts w:hint="eastAsia" w:ascii="宋体" w:hAnsi="宋体"/>
          <w:sz w:val="28"/>
        </w:rPr>
        <w:t>五、其他说明的内容</w:t>
      </w:r>
      <w:bookmarkEnd w:id="154"/>
      <w:bookmarkStart w:id="158" w:name="_Toc316475719"/>
    </w:p>
    <w:p>
      <w:pPr>
        <w:ind w:firstLine="565" w:firstLineChars="202"/>
        <w:rPr>
          <w:rFonts w:ascii="宋体" w:hAnsi="宋体"/>
          <w:sz w:val="28"/>
        </w:rPr>
      </w:pPr>
    </w:p>
    <w:p>
      <w:pPr>
        <w:spacing w:after="120" w:line="360" w:lineRule="auto"/>
        <w:ind w:left="420" w:leftChars="200"/>
        <w:jc w:val="right"/>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jc w:val="right"/>
        <w:rPr>
          <w:rFonts w:ascii="宋体" w:hAnsi="宋体"/>
          <w:bCs/>
          <w:sz w:val="28"/>
        </w:rPr>
      </w:pPr>
      <w:r>
        <w:rPr>
          <w:rFonts w:hint="eastAsia" w:ascii="宋体" w:hAnsi="宋体"/>
          <w:sz w:val="28"/>
        </w:rPr>
        <w:t>日期：</w:t>
      </w:r>
      <w:r>
        <w:rPr>
          <w:rFonts w:hint="eastAsia" w:ascii="宋体" w:hAnsi="宋体"/>
          <w:bCs/>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jc w:val="right"/>
        <w:rPr>
          <w:rFonts w:ascii="宋体" w:hAnsi="宋体"/>
          <w:bCs/>
          <w:sz w:val="28"/>
        </w:rPr>
      </w:pPr>
    </w:p>
    <w:p>
      <w:pPr>
        <w:adjustRightInd w:val="0"/>
        <w:spacing w:line="400" w:lineRule="exact"/>
        <w:ind w:firstLine="420" w:firstLineChars="150"/>
        <w:rPr>
          <w:rFonts w:ascii="宋体" w:hAnsi="宋体"/>
          <w:bCs/>
          <w:sz w:val="28"/>
          <w:u w:val="single"/>
        </w:rPr>
      </w:pPr>
    </w:p>
    <w:p>
      <w:pPr>
        <w:rPr>
          <w:rFonts w:ascii="宋体" w:hAnsi="宋体"/>
          <w:bCs/>
          <w:sz w:val="28"/>
          <w:szCs w:val="28"/>
        </w:rPr>
      </w:pPr>
    </w:p>
    <w:p>
      <w:pPr>
        <w:keepNext/>
        <w:keepLines/>
        <w:numPr>
          <w:ilvl w:val="2"/>
          <w:numId w:val="5"/>
        </w:numPr>
        <w:spacing w:line="360" w:lineRule="auto"/>
        <w:outlineLvl w:val="2"/>
        <w:rPr>
          <w:rFonts w:ascii="宋体" w:hAnsi="宋体"/>
          <w:b/>
          <w:bCs/>
          <w:sz w:val="28"/>
          <w:szCs w:val="28"/>
        </w:rPr>
      </w:pPr>
      <w:r>
        <w:rPr>
          <w:rFonts w:hint="eastAsia" w:ascii="宋体" w:hAnsi="宋体"/>
          <w:b/>
          <w:bCs/>
          <w:sz w:val="28"/>
          <w:szCs w:val="28"/>
        </w:rPr>
        <w:t>项目实施方案</w:t>
      </w:r>
    </w:p>
    <w:p>
      <w:pPr>
        <w:snapToGrid w:val="0"/>
        <w:spacing w:line="360" w:lineRule="auto"/>
        <w:ind w:left="1405" w:right="-624" w:rightChars="-297" w:hanging="1405" w:hangingChars="500"/>
        <w:rPr>
          <w:rFonts w:ascii="宋体" w:hAnsi="宋体"/>
          <w:b/>
          <w:sz w:val="28"/>
          <w:u w:val="single"/>
        </w:rPr>
      </w:pPr>
      <w:r>
        <w:rPr>
          <w:rFonts w:hint="eastAsia" w:ascii="宋体" w:hAnsi="宋体"/>
          <w:b/>
          <w:sz w:val="28"/>
          <w:szCs w:val="28"/>
        </w:rPr>
        <w:t>项目名称：</w:t>
      </w:r>
      <w:r>
        <w:rPr>
          <w:rFonts w:hint="eastAsia" w:ascii="宋体" w:hAnsi="宋体"/>
          <w:b/>
          <w:sz w:val="28"/>
          <w:u w:val="single"/>
        </w:rPr>
        <w:t>成都市双流区教育技术装备管理中心2021年艺体中学等2校学术厅显示系统采购项目</w:t>
      </w:r>
    </w:p>
    <w:p>
      <w:pPr>
        <w:snapToGrid w:val="0"/>
        <w:spacing w:line="360" w:lineRule="auto"/>
        <w:rPr>
          <w:rFonts w:ascii="宋体" w:hAnsi="宋体"/>
          <w:b/>
          <w:sz w:val="28"/>
          <w:szCs w:val="28"/>
        </w:rPr>
      </w:pPr>
      <w:r>
        <w:rPr>
          <w:rFonts w:hint="eastAsia" w:ascii="宋体" w:hAnsi="宋体"/>
          <w:b/>
          <w:sz w:val="28"/>
          <w:szCs w:val="28"/>
        </w:rPr>
        <w:t>项目编号：</w:t>
      </w:r>
      <w:r>
        <w:rPr>
          <w:rFonts w:hint="eastAsia" w:ascii="宋体" w:hAnsi="宋体"/>
          <w:b/>
          <w:sz w:val="28"/>
          <w:u w:val="single"/>
        </w:rPr>
        <w:t>双流政采（2021）A0066号</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pacing w:after="120" w:line="360" w:lineRule="auto"/>
        <w:ind w:left="420" w:leftChars="200"/>
        <w:jc w:val="right"/>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jc w:val="right"/>
        <w:rPr>
          <w:rFonts w:ascii="宋体" w:hAnsi="宋体"/>
          <w:bCs/>
          <w:sz w:val="28"/>
        </w:rPr>
      </w:pPr>
      <w:r>
        <w:rPr>
          <w:rFonts w:hint="eastAsia" w:ascii="宋体" w:hAnsi="宋体"/>
          <w:sz w:val="28"/>
        </w:rPr>
        <w:t>日期：</w:t>
      </w:r>
      <w:r>
        <w:rPr>
          <w:rFonts w:hint="eastAsia" w:ascii="宋体" w:hAnsi="宋体"/>
          <w:bCs/>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u w:val="single"/>
        </w:rPr>
      </w:pPr>
    </w:p>
    <w:p>
      <w:pPr>
        <w:adjustRightInd w:val="0"/>
        <w:spacing w:line="400" w:lineRule="exact"/>
        <w:ind w:firstLine="420" w:firstLineChars="150"/>
        <w:rPr>
          <w:rFonts w:ascii="宋体" w:hAnsi="宋体"/>
          <w:bCs/>
          <w:sz w:val="28"/>
          <w:u w:val="single"/>
        </w:rPr>
      </w:pPr>
    </w:p>
    <w:p>
      <w:pPr>
        <w:rPr>
          <w:rFonts w:ascii="宋体" w:hAnsi="宋体"/>
          <w:bCs/>
          <w:sz w:val="28"/>
          <w:szCs w:val="28"/>
        </w:rPr>
      </w:pPr>
    </w:p>
    <w:p>
      <w:pPr>
        <w:keepNext/>
        <w:keepLines/>
        <w:numPr>
          <w:ilvl w:val="2"/>
          <w:numId w:val="5"/>
        </w:numPr>
        <w:spacing w:line="560" w:lineRule="exact"/>
        <w:outlineLvl w:val="2"/>
        <w:rPr>
          <w:rFonts w:ascii="宋体" w:hAnsi="宋体"/>
          <w:b/>
          <w:sz w:val="28"/>
          <w:szCs w:val="28"/>
        </w:rPr>
      </w:pPr>
      <w:r>
        <w:rPr>
          <w:rFonts w:hint="eastAsia" w:ascii="宋体" w:hAnsi="宋体"/>
          <w:b/>
          <w:sz w:val="28"/>
          <w:szCs w:val="28"/>
        </w:rPr>
        <w:t>承诺函</w:t>
      </w:r>
    </w:p>
    <w:p>
      <w:pPr>
        <w:snapToGrid w:val="0"/>
        <w:spacing w:line="560" w:lineRule="exact"/>
        <w:ind w:left="1405" w:hanging="1405" w:hangingChars="500"/>
        <w:rPr>
          <w:rFonts w:ascii="宋体" w:hAnsi="宋体"/>
          <w:b/>
          <w:sz w:val="28"/>
          <w:szCs w:val="28"/>
        </w:rPr>
      </w:pPr>
      <w:r>
        <w:rPr>
          <w:rFonts w:hint="eastAsia" w:ascii="宋体" w:hAnsi="宋体"/>
          <w:b/>
          <w:sz w:val="28"/>
          <w:szCs w:val="28"/>
        </w:rPr>
        <w:t>项目名称：</w:t>
      </w:r>
      <w:r>
        <w:rPr>
          <w:rFonts w:hint="eastAsia" w:ascii="宋体" w:hAnsi="宋体"/>
          <w:b/>
          <w:sz w:val="28"/>
          <w:szCs w:val="28"/>
          <w:u w:val="single"/>
        </w:rPr>
        <w:t>成都市双流区教育技术装备管理中心2021年艺体中学等2校学术厅显示系统采购项目</w:t>
      </w:r>
    </w:p>
    <w:p>
      <w:pPr>
        <w:snapToGrid w:val="0"/>
        <w:spacing w:line="560" w:lineRule="exact"/>
        <w:rPr>
          <w:rFonts w:ascii="宋体" w:hAnsi="宋体"/>
          <w:b/>
          <w:sz w:val="28"/>
          <w:szCs w:val="28"/>
        </w:rPr>
      </w:pPr>
      <w:r>
        <w:rPr>
          <w:rFonts w:hint="eastAsia" w:ascii="宋体" w:hAnsi="宋体"/>
          <w:b/>
          <w:sz w:val="28"/>
          <w:szCs w:val="28"/>
        </w:rPr>
        <w:t>项目编号：</w:t>
      </w:r>
      <w:r>
        <w:rPr>
          <w:rFonts w:hint="eastAsia" w:ascii="宋体" w:hAnsi="宋体"/>
          <w:b/>
          <w:sz w:val="28"/>
          <w:szCs w:val="28"/>
          <w:u w:val="single"/>
        </w:rPr>
        <w:t>双流政采（2021）A0066号</w:t>
      </w:r>
    </w:p>
    <w:p>
      <w:pPr>
        <w:snapToGrid w:val="0"/>
        <w:spacing w:line="560" w:lineRule="exact"/>
        <w:ind w:firstLine="560" w:firstLineChars="200"/>
        <w:rPr>
          <w:rFonts w:ascii="宋体" w:hAnsi="宋体"/>
          <w:sz w:val="28"/>
        </w:rPr>
      </w:pPr>
      <w:r>
        <w:rPr>
          <w:rFonts w:hint="eastAsia" w:ascii="宋体" w:hAnsi="宋体"/>
          <w:sz w:val="28"/>
        </w:rPr>
        <w:t>我公司作为参加本项目的投标人，在此郑重承诺：</w:t>
      </w:r>
    </w:p>
    <w:p>
      <w:pPr>
        <w:pStyle w:val="81"/>
        <w:numPr>
          <w:ilvl w:val="0"/>
          <w:numId w:val="38"/>
        </w:numPr>
        <w:tabs>
          <w:tab w:val="left" w:pos="1134"/>
        </w:tabs>
        <w:snapToGrid w:val="0"/>
        <w:spacing w:line="500" w:lineRule="exact"/>
        <w:ind w:left="0" w:firstLine="562" w:firstLineChars="0"/>
        <w:rPr>
          <w:rFonts w:ascii="宋体" w:hAnsi="宋体"/>
          <w:sz w:val="28"/>
          <w:szCs w:val="28"/>
        </w:rPr>
      </w:pPr>
      <w:r>
        <w:rPr>
          <w:rFonts w:hint="eastAsia" w:ascii="宋体" w:hAnsi="宋体"/>
          <w:sz w:val="28"/>
          <w:szCs w:val="28"/>
        </w:rPr>
        <w:t>为本项目提供的所有产品、辅材中</w:t>
      </w:r>
      <w:r>
        <w:rPr>
          <w:rFonts w:cs="宋体" w:asciiTheme="minorEastAsia" w:hAnsiTheme="minorEastAsia"/>
          <w:sz w:val="28"/>
          <w:szCs w:val="28"/>
        </w:rPr>
        <w:t>属于《国家强制性产品认证目录》范围内产品的，均通过国家强制性产品认证并取得认证证书。</w:t>
      </w:r>
    </w:p>
    <w:p>
      <w:pPr>
        <w:pStyle w:val="81"/>
        <w:numPr>
          <w:ilvl w:val="0"/>
          <w:numId w:val="38"/>
        </w:numPr>
        <w:tabs>
          <w:tab w:val="left" w:pos="1134"/>
        </w:tabs>
        <w:snapToGrid w:val="0"/>
        <w:spacing w:line="500" w:lineRule="exact"/>
        <w:ind w:left="0" w:firstLine="562" w:firstLineChars="0"/>
        <w:rPr>
          <w:rFonts w:ascii="宋体" w:hAnsi="宋体"/>
          <w:b/>
          <w:sz w:val="28"/>
          <w:szCs w:val="28"/>
        </w:rPr>
      </w:pPr>
      <w:r>
        <w:rPr>
          <w:rFonts w:hint="eastAsia"/>
          <w:sz w:val="28"/>
          <w:szCs w:val="28"/>
        </w:rPr>
        <w:t>为本项目提供的所有产品、辅材符合现行的强制性国家相关标准、行业标准。</w:t>
      </w:r>
    </w:p>
    <w:p>
      <w:pPr>
        <w:pStyle w:val="81"/>
        <w:numPr>
          <w:ilvl w:val="0"/>
          <w:numId w:val="38"/>
        </w:numPr>
        <w:tabs>
          <w:tab w:val="left" w:pos="1134"/>
        </w:tabs>
        <w:snapToGrid w:val="0"/>
        <w:spacing w:line="500" w:lineRule="exact"/>
        <w:ind w:left="0" w:firstLine="562" w:firstLineChars="0"/>
        <w:rPr>
          <w:rFonts w:ascii="宋体" w:hAnsi="宋体"/>
          <w:sz w:val="28"/>
          <w:szCs w:val="28"/>
        </w:rPr>
      </w:pPr>
      <w:r>
        <w:rPr>
          <w:rFonts w:hint="eastAsia" w:ascii="宋体" w:hAnsi="宋体"/>
          <w:sz w:val="28"/>
          <w:szCs w:val="28"/>
          <w:lang w:val="zh-CN"/>
        </w:rPr>
        <w:t>为本项目提供的所有产品中属于节能产品政府采购品目清单中的政府强制采购产品的，均具有国家确定的认证机构出具的有效期内的节能产品认证证书。</w:t>
      </w:r>
    </w:p>
    <w:p>
      <w:pPr>
        <w:pStyle w:val="81"/>
        <w:numPr>
          <w:ilvl w:val="0"/>
          <w:numId w:val="38"/>
        </w:numPr>
        <w:tabs>
          <w:tab w:val="left" w:pos="1134"/>
        </w:tabs>
        <w:snapToGrid w:val="0"/>
        <w:spacing w:line="500" w:lineRule="exact"/>
        <w:ind w:left="0" w:firstLine="562" w:firstLineChars="0"/>
        <w:rPr>
          <w:rFonts w:ascii="宋体" w:hAnsi="宋体"/>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为本项目提供的产品涉及商品包装或快递包装的，须严格按照财政部等三部门联合印发《商品包装政府采购需求标准（试行）》、《快递包装政府采购需求标准（试行）》的通知（财办库[2020]123号）要求执行。</w:t>
      </w:r>
    </w:p>
    <w:p>
      <w:pPr>
        <w:pStyle w:val="81"/>
        <w:numPr>
          <w:ilvl w:val="0"/>
          <w:numId w:val="38"/>
        </w:numPr>
        <w:tabs>
          <w:tab w:val="left" w:pos="1134"/>
        </w:tabs>
        <w:snapToGrid w:val="0"/>
        <w:spacing w:line="500" w:lineRule="exact"/>
        <w:ind w:left="0" w:firstLine="562" w:firstLineChars="0"/>
        <w:rPr>
          <w:rFonts w:ascii="宋体" w:hAnsi="宋体"/>
          <w:sz w:val="28"/>
          <w:szCs w:val="28"/>
        </w:rPr>
      </w:pPr>
      <w:bookmarkStart w:id="159" w:name="_Hlk85808059"/>
      <w:r>
        <w:rPr>
          <w:rFonts w:hint="eastAsia" w:ascii="宋体" w:hAnsi="宋体" w:cs="宋体"/>
          <w:sz w:val="28"/>
          <w:szCs w:val="28"/>
          <w:lang w:val="zh-CN"/>
        </w:rPr>
        <w:t>提供全新的货物（含零部件、配件、使用说明书等），表面无划伤、无碰撞痕迹，具有产品合格证，且权属清楚，不存在侵害他人的知识产权；货物符合或优于国家标准，以及本项目招标文件及技术协议的质量要求和技术指标与出厂标准</w:t>
      </w:r>
      <w:r>
        <w:rPr>
          <w:rFonts w:hint="eastAsia" w:ascii="宋体" w:hAnsi="宋体"/>
          <w:sz w:val="28"/>
          <w:szCs w:val="28"/>
          <w:lang w:eastAsia="zh-TW"/>
        </w:rPr>
        <w:t>并且安装调试后能正常使用</w:t>
      </w:r>
      <w:r>
        <w:rPr>
          <w:rFonts w:hint="eastAsia" w:ascii="宋体" w:hAnsi="宋体" w:cs="宋体"/>
          <w:sz w:val="28"/>
          <w:szCs w:val="28"/>
          <w:lang w:val="zh-CN"/>
        </w:rPr>
        <w:t>。</w:t>
      </w:r>
    </w:p>
    <w:p>
      <w:pPr>
        <w:snapToGrid w:val="0"/>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TW"/>
          <w14:textFill>
            <w14:solidFill>
              <w14:schemeClr w14:val="tx1"/>
            </w14:solidFill>
          </w14:textFill>
        </w:rPr>
        <w:t>六、</w:t>
      </w:r>
      <w:bookmarkStart w:id="160" w:name="_Hlk85806605"/>
      <w:r>
        <w:rPr>
          <w:rFonts w:hint="eastAsia" w:ascii="宋体" w:hAnsi="宋体"/>
          <w:color w:val="000000" w:themeColor="text1"/>
          <w:sz w:val="28"/>
          <w:szCs w:val="28"/>
          <w:lang w:eastAsia="zh-TW"/>
          <w14:textFill>
            <w14:solidFill>
              <w14:schemeClr w14:val="tx1"/>
            </w14:solidFill>
          </w14:textFill>
        </w:rPr>
        <w:t>货到现场后，由我公司负责货物保管工作，未安装完全交付前造成的遗失、损坏等问题，均由我公司负责解决</w:t>
      </w:r>
      <w:r>
        <w:rPr>
          <w:rFonts w:hint="eastAsia" w:ascii="宋体" w:hAnsi="宋体"/>
          <w:color w:val="000000" w:themeColor="text1"/>
          <w:sz w:val="28"/>
          <w:szCs w:val="28"/>
          <w14:textFill>
            <w14:solidFill>
              <w14:schemeClr w14:val="tx1"/>
            </w14:solidFill>
          </w14:textFill>
        </w:rPr>
        <w:t>。</w:t>
      </w:r>
      <w:bookmarkEnd w:id="160"/>
    </w:p>
    <w:p>
      <w:pPr>
        <w:snapToGrid w:val="0"/>
        <w:spacing w:line="560" w:lineRule="exact"/>
        <w:ind w:firstLine="560" w:firstLineChars="200"/>
        <w:rPr>
          <w:rFonts w:ascii="宋体" w:hAnsi="宋体"/>
          <w:sz w:val="28"/>
          <w:szCs w:val="28"/>
          <w:lang w:eastAsia="zh-TW"/>
        </w:rPr>
      </w:pPr>
      <w:r>
        <w:rPr>
          <w:rFonts w:hint="eastAsia" w:ascii="宋体" w:hAnsi="宋体"/>
          <w:sz w:val="28"/>
          <w:szCs w:val="28"/>
          <w:lang w:eastAsia="zh-TW"/>
        </w:rPr>
        <w:t>七</w:t>
      </w:r>
      <w:bookmarkStart w:id="161" w:name="_Hlk85806707"/>
      <w:r>
        <w:rPr>
          <w:rFonts w:hint="eastAsia" w:ascii="宋体" w:hAnsi="宋体"/>
          <w:sz w:val="28"/>
          <w:szCs w:val="28"/>
          <w:lang w:eastAsia="zh-TW"/>
        </w:rPr>
        <w:t>、若遇配货包装、运输过程中造成的短缺、差错、丢失、损坏等，我公司无条件调换、补缺</w:t>
      </w:r>
      <w:r>
        <w:rPr>
          <w:rFonts w:hint="eastAsia" w:ascii="宋体" w:hAnsi="宋体"/>
          <w:sz w:val="28"/>
          <w:szCs w:val="28"/>
        </w:rPr>
        <w:t>。</w:t>
      </w:r>
      <w:r>
        <w:rPr>
          <w:rFonts w:hint="eastAsia" w:ascii="宋体" w:hAnsi="宋体"/>
          <w:sz w:val="28"/>
          <w:szCs w:val="28"/>
          <w:lang w:eastAsia="zh-TW"/>
        </w:rPr>
        <w:t xml:space="preserve"> </w:t>
      </w:r>
    </w:p>
    <w:p>
      <w:pPr>
        <w:snapToGrid w:val="0"/>
        <w:spacing w:line="360" w:lineRule="auto"/>
        <w:ind w:firstLine="560" w:firstLineChars="200"/>
        <w:rPr>
          <w:rFonts w:ascii="宋体" w:hAnsi="宋体"/>
          <w:sz w:val="28"/>
          <w:szCs w:val="28"/>
          <w:lang w:eastAsia="zh-TW"/>
        </w:rPr>
      </w:pPr>
      <w:r>
        <w:rPr>
          <w:rFonts w:hint="eastAsia" w:ascii="宋体" w:hAnsi="宋体"/>
          <w:sz w:val="28"/>
          <w:szCs w:val="28"/>
          <w:lang w:eastAsia="zh-TW"/>
        </w:rPr>
        <w:t>八、按照订货的品种、数量配货，送货到校，并附详细的发货清单和签收单，以便验货核对。</w:t>
      </w:r>
    </w:p>
    <w:p>
      <w:pPr>
        <w:pStyle w:val="51"/>
        <w:spacing w:line="360" w:lineRule="auto"/>
        <w:ind w:firstLine="560" w:firstLineChars="200"/>
        <w:rPr>
          <w:rFonts w:ascii="宋体" w:hAnsi="宋体" w:cs="宋体"/>
          <w:bCs/>
          <w:sz w:val="28"/>
          <w:szCs w:val="28"/>
          <w:lang w:val="zh-TW" w:eastAsia="zh-TW" w:bidi="zh-TW"/>
        </w:rPr>
      </w:pPr>
      <w:bookmarkStart w:id="162" w:name="_Hlk85807431"/>
      <w:r>
        <w:rPr>
          <w:rFonts w:hint="eastAsia" w:cs="宋体" w:asciiTheme="minorEastAsia" w:hAnsiTheme="minorEastAsia" w:eastAsiaTheme="minorEastAsia"/>
          <w:bCs/>
          <w:sz w:val="28"/>
          <w:szCs w:val="28"/>
          <w:lang w:val="zh-TW" w:eastAsia="zh-TW" w:bidi="zh-TW"/>
        </w:rPr>
        <w:t>九、</w:t>
      </w:r>
      <w:r>
        <w:rPr>
          <w:rFonts w:hint="eastAsia" w:ascii="宋体" w:hAnsi="宋体" w:cs="宋体"/>
          <w:bCs/>
          <w:sz w:val="28"/>
          <w:szCs w:val="28"/>
          <w:lang w:val="zh-TW" w:eastAsia="zh-TW" w:bidi="zh-TW"/>
        </w:rPr>
        <w:t>所有设备均须由我公司送货上门并安装调试，采购人不再支付任何费用。</w:t>
      </w:r>
    </w:p>
    <w:bookmarkEnd w:id="162"/>
    <w:p>
      <w:pPr>
        <w:pStyle w:val="51"/>
        <w:spacing w:line="360" w:lineRule="auto"/>
        <w:rPr>
          <w:rFonts w:ascii="宋体" w:hAnsi="宋体" w:cs="宋体"/>
          <w:bCs/>
          <w:sz w:val="28"/>
          <w:szCs w:val="28"/>
          <w:lang w:val="zh-TW" w:bidi="zh-TW"/>
        </w:rPr>
      </w:pPr>
      <w:r>
        <w:rPr>
          <w:rFonts w:hint="eastAsia" w:cs="宋体" w:asciiTheme="minorEastAsia" w:hAnsiTheme="minorEastAsia" w:eastAsiaTheme="minorEastAsia"/>
          <w:bCs/>
          <w:sz w:val="28"/>
          <w:szCs w:val="28"/>
          <w:lang w:val="zh-TW" w:eastAsia="zh-TW" w:bidi="zh-TW"/>
        </w:rPr>
        <w:t>十、</w:t>
      </w:r>
      <w:bookmarkStart w:id="163" w:name="_Hlk85807462"/>
      <w:r>
        <w:rPr>
          <w:rFonts w:hint="eastAsia" w:cs="宋体" w:asciiTheme="minorEastAsia" w:hAnsiTheme="minorEastAsia" w:eastAsiaTheme="minorEastAsia"/>
          <w:bCs/>
          <w:sz w:val="28"/>
          <w:szCs w:val="28"/>
          <w:lang w:val="zh-TW" w:eastAsia="zh-TW" w:bidi="zh-TW"/>
        </w:rPr>
        <w:t>负责此次设备安装包含</w:t>
      </w:r>
      <w:r>
        <w:rPr>
          <w:rFonts w:hint="eastAsia" w:ascii="宋体" w:hAnsi="宋体" w:cs="宋体"/>
          <w:bCs/>
          <w:sz w:val="28"/>
          <w:szCs w:val="28"/>
          <w:lang w:val="zh-TW" w:eastAsia="zh-TW" w:bidi="zh-TW"/>
        </w:rPr>
        <w:t>施工辅材、设备安装、调试等事项</w:t>
      </w:r>
      <w:r>
        <w:rPr>
          <w:rFonts w:hint="eastAsia" w:ascii="宋体" w:hAnsi="宋体" w:cs="宋体"/>
          <w:bCs/>
          <w:sz w:val="28"/>
          <w:szCs w:val="28"/>
          <w:lang w:val="zh-TW" w:bidi="zh-TW"/>
        </w:rPr>
        <w:t>。</w:t>
      </w:r>
    </w:p>
    <w:p>
      <w:pPr>
        <w:pStyle w:val="51"/>
        <w:spacing w:line="360" w:lineRule="auto"/>
        <w:rPr>
          <w:rFonts w:ascii="宋体" w:hAnsi="宋体" w:cs="宋体"/>
          <w:bCs/>
          <w:sz w:val="28"/>
          <w:szCs w:val="28"/>
          <w:lang w:val="zh-TW" w:eastAsia="zh-TW" w:bidi="zh-TW"/>
        </w:rPr>
      </w:pPr>
      <w:r>
        <w:rPr>
          <w:rFonts w:hint="eastAsia" w:cs="宋体" w:asciiTheme="minorEastAsia" w:hAnsiTheme="minorEastAsia" w:eastAsiaTheme="minorEastAsia"/>
          <w:bCs/>
          <w:sz w:val="28"/>
          <w:szCs w:val="28"/>
          <w:lang w:val="zh-TW" w:eastAsia="zh-TW" w:bidi="zh-TW"/>
        </w:rPr>
        <w:t>十一、</w:t>
      </w:r>
      <w:r>
        <w:rPr>
          <w:rFonts w:hint="eastAsia" w:ascii="宋体" w:hAnsi="宋体" w:cs="宋体"/>
          <w:bCs/>
          <w:sz w:val="28"/>
          <w:szCs w:val="28"/>
          <w:lang w:val="zh-TW" w:eastAsia="zh-TW" w:bidi="zh-TW"/>
        </w:rPr>
        <w:t>设备的固定安装符合施工要求，安装美观，整体走线符合施工工艺要求，如安装位置是填充材料，我公司将进行加固处理。</w:t>
      </w:r>
    </w:p>
    <w:p>
      <w:pPr>
        <w:pStyle w:val="51"/>
        <w:spacing w:line="360" w:lineRule="auto"/>
        <w:rPr>
          <w:rFonts w:ascii="宋体" w:hAnsi="宋体" w:eastAsia="PMingLiU" w:cs="宋体"/>
          <w:bCs/>
          <w:sz w:val="28"/>
          <w:szCs w:val="28"/>
          <w:lang w:val="zh-TW" w:eastAsia="zh-TW" w:bidi="zh-TW"/>
        </w:rPr>
      </w:pPr>
      <w:r>
        <w:rPr>
          <w:rFonts w:hint="eastAsia" w:cs="宋体" w:asciiTheme="minorEastAsia" w:hAnsiTheme="minorEastAsia" w:eastAsiaTheme="minorEastAsia"/>
          <w:bCs/>
          <w:sz w:val="28"/>
          <w:szCs w:val="28"/>
          <w:lang w:val="zh-TW" w:eastAsia="zh-TW" w:bidi="zh-TW"/>
        </w:rPr>
        <w:t>十二、</w:t>
      </w:r>
      <w:r>
        <w:rPr>
          <w:rFonts w:hint="eastAsia" w:ascii="宋体" w:hAnsi="宋体" w:cs="宋体"/>
          <w:bCs/>
          <w:sz w:val="28"/>
          <w:szCs w:val="28"/>
          <w:lang w:val="zh-TW" w:eastAsia="zh-TW" w:bidi="zh-TW"/>
        </w:rPr>
        <w:t>线材管材、设备间连接线、转接头、电源插座板等均采用经质检合格的产品。</w:t>
      </w:r>
    </w:p>
    <w:bookmarkEnd w:id="161"/>
    <w:bookmarkEnd w:id="163"/>
    <w:p>
      <w:pPr>
        <w:snapToGrid w:val="0"/>
        <w:spacing w:line="560" w:lineRule="exact"/>
        <w:ind w:firstLine="560" w:firstLineChars="200"/>
        <w:rPr>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十三、采购人派出技术专家对投标货物的制造过程进行抽查或监造，以及参与设备的性能检验和试验运行时，我公司提供方便和配合。</w:t>
      </w:r>
    </w:p>
    <w:p>
      <w:pPr>
        <w:snapToGrid w:val="0"/>
        <w:spacing w:line="560" w:lineRule="exact"/>
        <w:ind w:firstLine="560" w:firstLineChars="200"/>
        <w:rPr>
          <w:rFonts w:hint="eastAsia" w:asciiTheme="majorEastAsia" w:hAnsiTheme="majorEastAsia" w:eastAsiaTheme="majorEastAsia" w:cstheme="majorEastAsia"/>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十四、本项目货物质量保证期为自全部货物安装、调试、试运行结束整体项目验收合格之日起</w:t>
      </w:r>
      <w:r>
        <w:rPr>
          <w:rFonts w:hint="eastAsia" w:asciiTheme="majorEastAsia" w:hAnsiTheme="majorEastAsia" w:eastAsiaTheme="majorEastAsia" w:cstheme="majorEastAsia"/>
          <w:bCs/>
          <w:color w:val="000000" w:themeColor="text1"/>
          <w:sz w:val="28"/>
          <w:szCs w:val="28"/>
          <w14:textFill>
            <w14:solidFill>
              <w14:schemeClr w14:val="tx1"/>
            </w14:solidFill>
          </w14:textFill>
        </w:rPr>
        <w:t>3 年。质保期满后为用户提供终身上门服务。</w:t>
      </w:r>
    </w:p>
    <w:p>
      <w:pPr>
        <w:snapToGrid w:val="0"/>
        <w:spacing w:line="560" w:lineRule="exact"/>
        <w:ind w:firstLine="560" w:firstLineChars="200"/>
        <w:rPr>
          <w:rFonts w:ascii="宋体" w:hAnsi="宋体"/>
          <w:sz w:val="28"/>
          <w:szCs w:val="28"/>
        </w:rPr>
      </w:pPr>
      <w:r>
        <w:rPr>
          <w:rFonts w:hint="eastAsia" w:asciiTheme="majorEastAsia" w:hAnsiTheme="majorEastAsia" w:eastAsiaTheme="majorEastAsia" w:cstheme="majorEastAsia"/>
          <w:color w:val="000000" w:themeColor="text1"/>
          <w:sz w:val="28"/>
          <w:szCs w:val="28"/>
          <w14:textFill>
            <w14:solidFill>
              <w14:schemeClr w14:val="tx1"/>
            </w14:solidFill>
          </w14:textFill>
        </w:rPr>
        <w:t>十五、</w:t>
      </w:r>
      <w:r>
        <w:rPr>
          <w:rFonts w:hint="eastAsia" w:asciiTheme="majorEastAsia" w:hAnsiTheme="majorEastAsia" w:eastAsiaTheme="majorEastAsia" w:cstheme="majorEastAsia"/>
          <w:bCs/>
          <w:color w:val="000000" w:themeColor="text1"/>
          <w:sz w:val="28"/>
          <w:szCs w:val="28"/>
          <w14:textFill>
            <w14:solidFill>
              <w14:schemeClr w14:val="tx1"/>
            </w14:solidFill>
          </w14:textFill>
        </w:rPr>
        <w:t>我公司承诺，质量保证期内，提供良好的技术支持。质保期满后为用户提供终身上门服务。</w:t>
      </w:r>
      <w:r>
        <w:rPr>
          <w:rFonts w:hint="eastAsia" w:asciiTheme="majorEastAsia" w:hAnsiTheme="majorEastAsia" w:eastAsiaTheme="majorEastAsia" w:cstheme="majorEastAsia"/>
          <w:bCs/>
          <w:color w:val="000000"/>
          <w:sz w:val="28"/>
          <w:szCs w:val="28"/>
        </w:rPr>
        <w:t>提供7×24 小时热线服务和现场支持服务，设备出现故障后能30 分钟做出响应，2 小时内上门维修，24 小时</w:t>
      </w:r>
      <w:r>
        <w:rPr>
          <w:rFonts w:hint="eastAsia"/>
          <w:bCs/>
          <w:color w:val="000000"/>
          <w:sz w:val="28"/>
          <w:szCs w:val="28"/>
        </w:rPr>
        <w:t>内必须解决问题，若当天无法修复，我公司负责提供解决方案。</w:t>
      </w:r>
    </w:p>
    <w:bookmarkEnd w:id="159"/>
    <w:p>
      <w:pPr>
        <w:snapToGrid w:val="0"/>
        <w:spacing w:line="560" w:lineRule="exact"/>
        <w:ind w:firstLine="560" w:firstLineChars="200"/>
        <w:rPr>
          <w:rFonts w:ascii="宋体" w:hAnsi="宋体"/>
          <w:sz w:val="28"/>
          <w:szCs w:val="28"/>
        </w:rPr>
      </w:pPr>
      <w:r>
        <w:rPr>
          <w:rFonts w:ascii="宋体" w:hAnsi="宋体"/>
          <w:sz w:val="28"/>
          <w:szCs w:val="28"/>
        </w:rPr>
        <w:t>……</w:t>
      </w:r>
    </w:p>
    <w:p>
      <w:pPr>
        <w:snapToGrid w:val="0"/>
        <w:spacing w:line="560" w:lineRule="exact"/>
        <w:ind w:firstLine="560" w:firstLineChars="200"/>
        <w:rPr>
          <w:rFonts w:ascii="宋体" w:hAnsi="宋体"/>
          <w:sz w:val="28"/>
          <w:szCs w:val="28"/>
        </w:rPr>
      </w:pPr>
      <w:r>
        <w:rPr>
          <w:rFonts w:hint="eastAsia" w:ascii="宋体" w:hAnsi="宋体"/>
          <w:sz w:val="28"/>
          <w:szCs w:val="28"/>
        </w:rPr>
        <w:t>特此承诺。</w:t>
      </w:r>
    </w:p>
    <w:p>
      <w:pPr>
        <w:pStyle w:val="2"/>
      </w:pPr>
    </w:p>
    <w:p>
      <w:pPr>
        <w:spacing w:after="120" w:line="560" w:lineRule="exact"/>
        <w:ind w:left="420" w:leftChars="200"/>
        <w:jc w:val="right"/>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560" w:lineRule="exact"/>
        <w:ind w:firstLine="420" w:firstLineChars="150"/>
        <w:jc w:val="right"/>
        <w:rPr>
          <w:rFonts w:ascii="宋体" w:hAnsi="宋体"/>
          <w:bCs/>
          <w:sz w:val="28"/>
        </w:rPr>
      </w:pPr>
      <w:r>
        <w:rPr>
          <w:rFonts w:hint="eastAsia" w:ascii="宋体" w:hAnsi="宋体"/>
          <w:sz w:val="28"/>
        </w:rPr>
        <w:t>日期：</w:t>
      </w:r>
      <w:r>
        <w:rPr>
          <w:rFonts w:hint="eastAsia" w:ascii="宋体" w:hAnsi="宋体"/>
          <w:bCs/>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rPr>
          <w:rFonts w:ascii="宋体" w:hAnsi="宋体"/>
          <w:bCs/>
          <w:sz w:val="28"/>
        </w:rPr>
      </w:pPr>
    </w:p>
    <w:p>
      <w:pPr>
        <w:widowControl/>
        <w:jc w:val="left"/>
        <w:rPr>
          <w:rFonts w:ascii="宋体" w:hAnsi="宋体"/>
          <w:bCs/>
          <w:sz w:val="28"/>
        </w:rPr>
      </w:pPr>
      <w:r>
        <w:rPr>
          <w:rFonts w:ascii="宋体" w:hAnsi="宋体"/>
          <w:bCs/>
          <w:sz w:val="28"/>
        </w:rPr>
        <w:br w:type="page"/>
      </w:r>
    </w:p>
    <w:p>
      <w:pPr>
        <w:keepNext/>
        <w:keepLines/>
        <w:numPr>
          <w:ilvl w:val="2"/>
          <w:numId w:val="5"/>
        </w:numPr>
        <w:spacing w:line="560" w:lineRule="exact"/>
        <w:outlineLvl w:val="2"/>
        <w:rPr>
          <w:rFonts w:ascii="宋体" w:hAnsi="宋体"/>
          <w:b/>
          <w:sz w:val="28"/>
          <w:szCs w:val="28"/>
        </w:rPr>
      </w:pPr>
      <w:r>
        <w:rPr>
          <w:rFonts w:hint="eastAsia" w:ascii="宋体" w:hAnsi="宋体"/>
          <w:b/>
          <w:sz w:val="28"/>
          <w:szCs w:val="28"/>
        </w:rPr>
        <w:t>商务应答表</w:t>
      </w:r>
    </w:p>
    <w:p>
      <w:pPr>
        <w:tabs>
          <w:tab w:val="left" w:pos="3969"/>
        </w:tabs>
        <w:spacing w:line="588" w:lineRule="exact"/>
        <w:ind w:right="-58" w:firstLine="3224" w:firstLineChars="1100"/>
        <w:jc w:val="left"/>
        <w:rPr>
          <w:rFonts w:ascii="宋体" w:hAnsi="宋体"/>
          <w:b/>
          <w:bCs/>
          <w:spacing w:val="6"/>
          <w:sz w:val="28"/>
          <w:szCs w:val="28"/>
        </w:rPr>
      </w:pPr>
      <w:r>
        <w:rPr>
          <w:rFonts w:hint="eastAsia" w:ascii="宋体" w:hAnsi="宋体"/>
          <w:b/>
          <w:bCs/>
          <w:spacing w:val="6"/>
          <w:sz w:val="28"/>
          <w:szCs w:val="28"/>
        </w:rPr>
        <w:t>商务应答表</w:t>
      </w:r>
    </w:p>
    <w:p>
      <w:pPr>
        <w:pStyle w:val="2"/>
      </w:pPr>
    </w:p>
    <w:p>
      <w:pPr>
        <w:snapToGrid w:val="0"/>
        <w:spacing w:line="360" w:lineRule="auto"/>
        <w:ind w:left="1405" w:hanging="1405" w:hangingChars="500"/>
        <w:rPr>
          <w:rFonts w:ascii="宋体" w:hAnsi="宋体"/>
          <w:b/>
          <w:sz w:val="28"/>
          <w:szCs w:val="28"/>
          <w:u w:val="single"/>
        </w:rPr>
      </w:pPr>
      <w:r>
        <w:rPr>
          <w:rFonts w:hint="eastAsia" w:ascii="宋体" w:hAnsi="宋体"/>
          <w:b/>
          <w:sz w:val="28"/>
          <w:szCs w:val="28"/>
        </w:rPr>
        <w:t>项目名称：</w:t>
      </w:r>
      <w:r>
        <w:rPr>
          <w:rFonts w:hint="eastAsia" w:ascii="宋体" w:hAnsi="宋体"/>
          <w:b/>
          <w:sz w:val="28"/>
          <w:szCs w:val="28"/>
          <w:u w:val="single"/>
        </w:rPr>
        <w:t>成都市双流区教育技术装备管理中心2021年艺体中学等2校学术厅显示系统采购项目</w:t>
      </w:r>
    </w:p>
    <w:p>
      <w:pPr>
        <w:snapToGrid w:val="0"/>
        <w:spacing w:line="360" w:lineRule="auto"/>
        <w:rPr>
          <w:rFonts w:ascii="宋体" w:hAnsi="宋体"/>
          <w:b/>
          <w:sz w:val="28"/>
          <w:szCs w:val="28"/>
        </w:rPr>
      </w:pPr>
      <w:r>
        <w:rPr>
          <w:rFonts w:hint="eastAsia" w:ascii="宋体" w:hAnsi="宋体"/>
          <w:b/>
          <w:sz w:val="28"/>
          <w:szCs w:val="28"/>
        </w:rPr>
        <w:t>项目编号：</w:t>
      </w:r>
      <w:r>
        <w:rPr>
          <w:rFonts w:hint="eastAsia" w:ascii="宋体" w:hAnsi="宋体"/>
          <w:b/>
          <w:sz w:val="28"/>
          <w:szCs w:val="28"/>
          <w:u w:val="single"/>
        </w:rPr>
        <w:t>双流政采（2021）A0066号</w:t>
      </w:r>
    </w:p>
    <w:tbl>
      <w:tblPr>
        <w:tblStyle w:val="44"/>
        <w:tblW w:w="85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3660"/>
        <w:gridCol w:w="3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586" w:type="dxa"/>
            <w:vAlign w:val="center"/>
          </w:tcPr>
          <w:p>
            <w:pPr>
              <w:tabs>
                <w:tab w:val="left" w:pos="3969"/>
              </w:tabs>
              <w:spacing w:line="588" w:lineRule="exact"/>
              <w:ind w:right="-58"/>
              <w:jc w:val="left"/>
              <w:rPr>
                <w:rFonts w:ascii="宋体" w:hAnsi="宋体"/>
                <w:spacing w:val="6"/>
                <w:sz w:val="28"/>
                <w:szCs w:val="28"/>
              </w:rPr>
            </w:pPr>
            <w:r>
              <w:rPr>
                <w:rFonts w:hint="eastAsia" w:ascii="宋体" w:hAnsi="宋体"/>
                <w:spacing w:val="6"/>
                <w:sz w:val="28"/>
                <w:szCs w:val="28"/>
              </w:rPr>
              <w:t>序号</w:t>
            </w:r>
          </w:p>
        </w:tc>
        <w:tc>
          <w:tcPr>
            <w:tcW w:w="3660" w:type="dxa"/>
            <w:vAlign w:val="center"/>
          </w:tcPr>
          <w:p>
            <w:pPr>
              <w:tabs>
                <w:tab w:val="left" w:pos="3969"/>
              </w:tabs>
              <w:spacing w:line="588" w:lineRule="exact"/>
              <w:ind w:right="-58"/>
              <w:jc w:val="left"/>
              <w:rPr>
                <w:rFonts w:ascii="宋体" w:hAnsi="宋体"/>
                <w:spacing w:val="6"/>
                <w:sz w:val="28"/>
                <w:szCs w:val="28"/>
              </w:rPr>
            </w:pPr>
            <w:r>
              <w:rPr>
                <w:rFonts w:hint="eastAsia" w:ascii="宋体" w:hAnsi="宋体"/>
                <w:spacing w:val="6"/>
                <w:sz w:val="28"/>
                <w:szCs w:val="28"/>
              </w:rPr>
              <w:t>招标要求</w:t>
            </w:r>
          </w:p>
        </w:tc>
        <w:tc>
          <w:tcPr>
            <w:tcW w:w="3300" w:type="dxa"/>
            <w:vAlign w:val="center"/>
          </w:tcPr>
          <w:p>
            <w:pPr>
              <w:tabs>
                <w:tab w:val="left" w:pos="3969"/>
              </w:tabs>
              <w:spacing w:line="588" w:lineRule="exact"/>
              <w:ind w:right="-58"/>
              <w:jc w:val="left"/>
              <w:rPr>
                <w:rFonts w:ascii="宋体" w:hAnsi="宋体"/>
                <w:spacing w:val="6"/>
                <w:sz w:val="28"/>
                <w:szCs w:val="28"/>
              </w:rPr>
            </w:pPr>
            <w:r>
              <w:rPr>
                <w:rFonts w:hint="eastAsia" w:ascii="宋体" w:hAnsi="宋体"/>
                <w:spacing w:val="6"/>
                <w:sz w:val="28"/>
                <w:szCs w:val="28"/>
              </w:rPr>
              <w:t>投标响应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586" w:type="dxa"/>
          </w:tcPr>
          <w:p>
            <w:pPr>
              <w:tabs>
                <w:tab w:val="left" w:pos="3969"/>
              </w:tabs>
              <w:spacing w:line="588" w:lineRule="exact"/>
              <w:ind w:right="-58"/>
              <w:jc w:val="left"/>
              <w:rPr>
                <w:rFonts w:ascii="宋体" w:hAnsi="宋体"/>
                <w:spacing w:val="6"/>
                <w:sz w:val="28"/>
                <w:szCs w:val="28"/>
              </w:rPr>
            </w:pPr>
          </w:p>
        </w:tc>
        <w:tc>
          <w:tcPr>
            <w:tcW w:w="3660" w:type="dxa"/>
          </w:tcPr>
          <w:p>
            <w:pPr>
              <w:tabs>
                <w:tab w:val="left" w:pos="3969"/>
              </w:tabs>
              <w:spacing w:line="588" w:lineRule="exact"/>
              <w:ind w:right="-58"/>
              <w:jc w:val="left"/>
              <w:rPr>
                <w:rFonts w:ascii="宋体" w:hAnsi="宋体"/>
                <w:spacing w:val="6"/>
                <w:sz w:val="28"/>
                <w:szCs w:val="28"/>
              </w:rPr>
            </w:pPr>
          </w:p>
        </w:tc>
        <w:tc>
          <w:tcPr>
            <w:tcW w:w="3300" w:type="dxa"/>
          </w:tcPr>
          <w:p>
            <w:pPr>
              <w:tabs>
                <w:tab w:val="left" w:pos="3969"/>
              </w:tabs>
              <w:spacing w:line="588" w:lineRule="exact"/>
              <w:ind w:right="-58"/>
              <w:jc w:val="left"/>
              <w:rPr>
                <w:rFonts w:ascii="宋体" w:hAnsi="宋体"/>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586" w:type="dxa"/>
          </w:tcPr>
          <w:p>
            <w:pPr>
              <w:tabs>
                <w:tab w:val="left" w:pos="3969"/>
              </w:tabs>
              <w:spacing w:line="588" w:lineRule="exact"/>
              <w:ind w:right="-58"/>
              <w:jc w:val="left"/>
              <w:rPr>
                <w:rFonts w:ascii="宋体" w:hAnsi="宋体"/>
                <w:spacing w:val="6"/>
                <w:sz w:val="28"/>
                <w:szCs w:val="28"/>
              </w:rPr>
            </w:pPr>
          </w:p>
        </w:tc>
        <w:tc>
          <w:tcPr>
            <w:tcW w:w="3660" w:type="dxa"/>
          </w:tcPr>
          <w:p>
            <w:pPr>
              <w:tabs>
                <w:tab w:val="left" w:pos="3969"/>
              </w:tabs>
              <w:spacing w:line="588" w:lineRule="exact"/>
              <w:ind w:right="-58"/>
              <w:jc w:val="left"/>
              <w:rPr>
                <w:rFonts w:ascii="宋体" w:hAnsi="宋体"/>
                <w:spacing w:val="6"/>
                <w:sz w:val="28"/>
                <w:szCs w:val="28"/>
              </w:rPr>
            </w:pPr>
          </w:p>
        </w:tc>
        <w:tc>
          <w:tcPr>
            <w:tcW w:w="3300" w:type="dxa"/>
          </w:tcPr>
          <w:p>
            <w:pPr>
              <w:tabs>
                <w:tab w:val="left" w:pos="3969"/>
              </w:tabs>
              <w:spacing w:line="588" w:lineRule="exact"/>
              <w:ind w:right="-58"/>
              <w:jc w:val="left"/>
              <w:rPr>
                <w:rFonts w:ascii="宋体" w:hAnsi="宋体"/>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586" w:type="dxa"/>
          </w:tcPr>
          <w:p>
            <w:pPr>
              <w:tabs>
                <w:tab w:val="left" w:pos="3969"/>
              </w:tabs>
              <w:spacing w:line="588" w:lineRule="exact"/>
              <w:ind w:right="-58"/>
              <w:jc w:val="left"/>
              <w:rPr>
                <w:rFonts w:ascii="宋体" w:hAnsi="宋体"/>
                <w:spacing w:val="6"/>
                <w:sz w:val="28"/>
                <w:szCs w:val="28"/>
              </w:rPr>
            </w:pPr>
          </w:p>
        </w:tc>
        <w:tc>
          <w:tcPr>
            <w:tcW w:w="3660" w:type="dxa"/>
          </w:tcPr>
          <w:p>
            <w:pPr>
              <w:tabs>
                <w:tab w:val="left" w:pos="3969"/>
              </w:tabs>
              <w:spacing w:line="588" w:lineRule="exact"/>
              <w:ind w:right="-58"/>
              <w:jc w:val="left"/>
              <w:rPr>
                <w:rFonts w:ascii="宋体" w:hAnsi="宋体"/>
                <w:spacing w:val="6"/>
                <w:sz w:val="28"/>
                <w:szCs w:val="28"/>
              </w:rPr>
            </w:pPr>
          </w:p>
        </w:tc>
        <w:tc>
          <w:tcPr>
            <w:tcW w:w="3300" w:type="dxa"/>
          </w:tcPr>
          <w:p>
            <w:pPr>
              <w:tabs>
                <w:tab w:val="left" w:pos="3969"/>
              </w:tabs>
              <w:spacing w:line="588" w:lineRule="exact"/>
              <w:ind w:right="-58"/>
              <w:jc w:val="left"/>
              <w:rPr>
                <w:rFonts w:ascii="宋体" w:hAnsi="宋体"/>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586" w:type="dxa"/>
          </w:tcPr>
          <w:p>
            <w:pPr>
              <w:tabs>
                <w:tab w:val="left" w:pos="3969"/>
              </w:tabs>
              <w:spacing w:line="588" w:lineRule="exact"/>
              <w:ind w:right="-58"/>
              <w:jc w:val="left"/>
              <w:rPr>
                <w:rFonts w:ascii="宋体" w:hAnsi="宋体"/>
                <w:spacing w:val="6"/>
                <w:sz w:val="28"/>
                <w:szCs w:val="28"/>
              </w:rPr>
            </w:pPr>
          </w:p>
        </w:tc>
        <w:tc>
          <w:tcPr>
            <w:tcW w:w="3660" w:type="dxa"/>
          </w:tcPr>
          <w:p>
            <w:pPr>
              <w:tabs>
                <w:tab w:val="left" w:pos="3969"/>
              </w:tabs>
              <w:spacing w:line="588" w:lineRule="exact"/>
              <w:ind w:right="-58"/>
              <w:jc w:val="left"/>
              <w:rPr>
                <w:rFonts w:ascii="宋体" w:hAnsi="宋体"/>
                <w:spacing w:val="6"/>
                <w:sz w:val="28"/>
                <w:szCs w:val="28"/>
              </w:rPr>
            </w:pPr>
          </w:p>
        </w:tc>
        <w:tc>
          <w:tcPr>
            <w:tcW w:w="3300" w:type="dxa"/>
          </w:tcPr>
          <w:p>
            <w:pPr>
              <w:tabs>
                <w:tab w:val="left" w:pos="3969"/>
              </w:tabs>
              <w:spacing w:line="588" w:lineRule="exact"/>
              <w:ind w:right="-58"/>
              <w:jc w:val="left"/>
              <w:rPr>
                <w:rFonts w:ascii="宋体" w:hAnsi="宋体"/>
                <w:spacing w:val="6"/>
                <w:sz w:val="28"/>
                <w:szCs w:val="28"/>
              </w:rPr>
            </w:pPr>
          </w:p>
        </w:tc>
      </w:tr>
    </w:tbl>
    <w:p>
      <w:pPr>
        <w:tabs>
          <w:tab w:val="left" w:pos="3969"/>
        </w:tabs>
        <w:spacing w:line="588" w:lineRule="exact"/>
        <w:ind w:right="-58"/>
        <w:jc w:val="left"/>
        <w:rPr>
          <w:rFonts w:ascii="宋体" w:hAnsi="宋体"/>
          <w:spacing w:val="6"/>
          <w:sz w:val="28"/>
          <w:szCs w:val="28"/>
        </w:rPr>
      </w:pPr>
      <w:r>
        <w:rPr>
          <w:rFonts w:hint="eastAsia" w:ascii="宋体" w:hAnsi="宋体"/>
          <w:spacing w:val="6"/>
          <w:sz w:val="28"/>
          <w:szCs w:val="28"/>
        </w:rPr>
        <w:t>注：供应商必须据实填写，不得虚假应答，否则将取消其投标或中标资格。</w:t>
      </w:r>
    </w:p>
    <w:p>
      <w:pPr>
        <w:pStyle w:val="43"/>
        <w:ind w:firstLine="0" w:firstLineChars="0"/>
      </w:pPr>
    </w:p>
    <w:p>
      <w:pPr>
        <w:pStyle w:val="2"/>
      </w:pPr>
    </w:p>
    <w:p>
      <w:pPr>
        <w:spacing w:after="120" w:line="360" w:lineRule="auto"/>
        <w:ind w:left="420" w:leftChars="200"/>
        <w:jc w:val="right"/>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jc w:val="right"/>
        <w:rPr>
          <w:rFonts w:ascii="宋体" w:hAnsi="宋体"/>
          <w:bCs/>
          <w:sz w:val="28"/>
        </w:rPr>
      </w:pPr>
      <w:r>
        <w:rPr>
          <w:rFonts w:hint="eastAsia" w:ascii="宋体" w:hAnsi="宋体"/>
          <w:sz w:val="28"/>
        </w:rPr>
        <w:t>日期：</w:t>
      </w:r>
      <w:r>
        <w:rPr>
          <w:rFonts w:hint="eastAsia" w:ascii="宋体" w:hAnsi="宋体"/>
          <w:bCs/>
          <w:sz w:val="28"/>
        </w:rPr>
        <w:t>XXXX年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rPr>
          <w:rFonts w:ascii="宋体" w:hAnsi="宋体"/>
          <w:bCs/>
          <w:sz w:val="28"/>
        </w:rPr>
      </w:pPr>
    </w:p>
    <w:p>
      <w:pPr>
        <w:rPr>
          <w:rFonts w:ascii="宋体" w:hAnsi="宋体"/>
          <w:bCs/>
          <w:sz w:val="28"/>
        </w:rPr>
      </w:pPr>
    </w:p>
    <w:p>
      <w:pPr>
        <w:pStyle w:val="2"/>
      </w:pPr>
    </w:p>
    <w:p>
      <w:pPr>
        <w:keepNext/>
        <w:keepLines/>
        <w:numPr>
          <w:ilvl w:val="2"/>
          <w:numId w:val="5"/>
        </w:numPr>
        <w:spacing w:line="560" w:lineRule="exact"/>
        <w:outlineLvl w:val="2"/>
        <w:rPr>
          <w:rFonts w:ascii="宋体" w:hAnsi="宋体"/>
          <w:b/>
          <w:sz w:val="28"/>
          <w:szCs w:val="28"/>
        </w:rPr>
      </w:pPr>
      <w:r>
        <w:rPr>
          <w:rFonts w:hint="eastAsia" w:ascii="宋体" w:hAnsi="宋体"/>
          <w:b/>
          <w:sz w:val="28"/>
          <w:szCs w:val="28"/>
        </w:rPr>
        <w:t>投标产品技术参数表</w:t>
      </w:r>
    </w:p>
    <w:p>
      <w:pPr>
        <w:pStyle w:val="25"/>
        <w:spacing w:before="120" w:beforeLines="50" w:afterLines="50" w:line="360" w:lineRule="auto"/>
        <w:ind w:left="0" w:leftChars="0"/>
        <w:jc w:val="center"/>
      </w:pPr>
      <w:r>
        <w:rPr>
          <w:rFonts w:hint="eastAsia" w:ascii="宋体" w:hAnsi="宋体"/>
          <w:b/>
          <w:sz w:val="28"/>
          <w:szCs w:val="28"/>
        </w:rPr>
        <w:t>投标产品技术参数表</w:t>
      </w:r>
    </w:p>
    <w:p>
      <w:pPr>
        <w:snapToGrid w:val="0"/>
        <w:spacing w:line="360" w:lineRule="auto"/>
        <w:ind w:left="1405" w:hanging="1405" w:hangingChars="500"/>
        <w:rPr>
          <w:rFonts w:ascii="宋体" w:hAnsi="宋体"/>
          <w:b/>
          <w:sz w:val="28"/>
          <w:szCs w:val="28"/>
          <w:u w:val="single"/>
        </w:rPr>
      </w:pPr>
      <w:r>
        <w:rPr>
          <w:rFonts w:hint="eastAsia" w:ascii="宋体" w:hAnsi="宋体"/>
          <w:b/>
          <w:sz w:val="28"/>
          <w:szCs w:val="28"/>
        </w:rPr>
        <w:t>项目名称：</w:t>
      </w:r>
      <w:r>
        <w:rPr>
          <w:rFonts w:hint="eastAsia" w:ascii="宋体" w:hAnsi="宋体"/>
          <w:b/>
          <w:sz w:val="28"/>
          <w:szCs w:val="28"/>
          <w:u w:val="single"/>
        </w:rPr>
        <w:t>成都市双流区教育技术装备管理中心2021年艺体中学等2校学术厅显示系统采购项目</w:t>
      </w:r>
    </w:p>
    <w:p>
      <w:pPr>
        <w:snapToGrid w:val="0"/>
        <w:spacing w:line="360" w:lineRule="auto"/>
        <w:rPr>
          <w:rFonts w:ascii="宋体" w:hAnsi="宋体"/>
          <w:bCs/>
          <w:sz w:val="28"/>
          <w:szCs w:val="28"/>
        </w:rPr>
      </w:pPr>
      <w:r>
        <w:rPr>
          <w:rFonts w:hint="eastAsia" w:ascii="宋体" w:hAnsi="宋体"/>
          <w:b/>
          <w:sz w:val="28"/>
          <w:szCs w:val="28"/>
        </w:rPr>
        <w:t>项目编号：</w:t>
      </w:r>
      <w:r>
        <w:rPr>
          <w:rFonts w:hint="eastAsia" w:ascii="宋体" w:hAnsi="宋体"/>
          <w:b/>
          <w:sz w:val="28"/>
          <w:szCs w:val="28"/>
          <w:u w:val="single"/>
        </w:rPr>
        <w:t>双流政采（2021）A0066号</w:t>
      </w:r>
      <w:r>
        <w:rPr>
          <w:rFonts w:hint="eastAsia" w:ascii="宋体" w:hAnsi="宋体"/>
          <w:bCs/>
          <w:sz w:val="28"/>
          <w:szCs w:val="28"/>
        </w:rPr>
        <w:t xml:space="preserve"> </w:t>
      </w:r>
    </w:p>
    <w:tbl>
      <w:tblPr>
        <w:tblStyle w:val="44"/>
        <w:tblW w:w="8890" w:type="dxa"/>
        <w:tblInd w:w="-4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240"/>
        <w:gridCol w:w="2241"/>
        <w:gridCol w:w="2229"/>
        <w:gridCol w:w="2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vAlign w:val="center"/>
          </w:tcPr>
          <w:p>
            <w:pPr>
              <w:pStyle w:val="134"/>
              <w:jc w:val="center"/>
              <w:rPr>
                <w:rFonts w:ascii="宋体" w:hAnsi="宋体"/>
                <w:sz w:val="21"/>
                <w:szCs w:val="21"/>
              </w:rPr>
            </w:pPr>
            <w:r>
              <w:rPr>
                <w:rFonts w:hint="eastAsia" w:ascii="宋体" w:hAnsi="宋体"/>
                <w:sz w:val="21"/>
                <w:szCs w:val="21"/>
              </w:rPr>
              <w:t>序号</w:t>
            </w:r>
          </w:p>
        </w:tc>
        <w:tc>
          <w:tcPr>
            <w:tcW w:w="1240" w:type="dxa"/>
            <w:vAlign w:val="center"/>
          </w:tcPr>
          <w:p>
            <w:pPr>
              <w:pStyle w:val="134"/>
              <w:jc w:val="center"/>
              <w:rPr>
                <w:rFonts w:ascii="宋体" w:hAnsi="宋体"/>
                <w:sz w:val="21"/>
                <w:szCs w:val="21"/>
              </w:rPr>
            </w:pPr>
            <w:r>
              <w:rPr>
                <w:rFonts w:hint="eastAsia" w:ascii="宋体" w:hAnsi="宋体"/>
                <w:sz w:val="21"/>
                <w:szCs w:val="21"/>
              </w:rPr>
              <w:t>货物（设备）名称</w:t>
            </w:r>
          </w:p>
        </w:tc>
        <w:tc>
          <w:tcPr>
            <w:tcW w:w="2241" w:type="dxa"/>
            <w:vAlign w:val="center"/>
          </w:tcPr>
          <w:p>
            <w:pPr>
              <w:pStyle w:val="134"/>
              <w:jc w:val="center"/>
              <w:rPr>
                <w:rFonts w:ascii="宋体" w:hAnsi="宋体"/>
                <w:sz w:val="21"/>
                <w:szCs w:val="21"/>
              </w:rPr>
            </w:pPr>
            <w:r>
              <w:rPr>
                <w:rFonts w:hint="eastAsia" w:ascii="宋体" w:hAnsi="宋体"/>
                <w:sz w:val="21"/>
                <w:szCs w:val="21"/>
              </w:rPr>
              <w:t>招标文件要求</w:t>
            </w:r>
          </w:p>
        </w:tc>
        <w:tc>
          <w:tcPr>
            <w:tcW w:w="2229" w:type="dxa"/>
            <w:vAlign w:val="center"/>
          </w:tcPr>
          <w:p>
            <w:pPr>
              <w:pStyle w:val="134"/>
              <w:jc w:val="center"/>
              <w:rPr>
                <w:rFonts w:ascii="宋体" w:hAnsi="宋体"/>
                <w:sz w:val="21"/>
                <w:szCs w:val="21"/>
              </w:rPr>
            </w:pPr>
            <w:r>
              <w:rPr>
                <w:rFonts w:hint="eastAsia" w:ascii="宋体" w:hAnsi="宋体"/>
                <w:sz w:val="21"/>
                <w:szCs w:val="21"/>
              </w:rPr>
              <w:t>投标响应</w:t>
            </w:r>
          </w:p>
        </w:tc>
        <w:tc>
          <w:tcPr>
            <w:tcW w:w="2504" w:type="dxa"/>
            <w:vAlign w:val="center"/>
          </w:tcPr>
          <w:p>
            <w:pPr>
              <w:pStyle w:val="134"/>
              <w:jc w:val="center"/>
              <w:rPr>
                <w:rFonts w:ascii="宋体" w:hAnsi="宋体"/>
                <w:sz w:val="21"/>
                <w:szCs w:val="21"/>
              </w:rPr>
            </w:pPr>
            <w:r>
              <w:rPr>
                <w:rFonts w:hint="eastAsia" w:ascii="宋体" w:hAnsi="宋体"/>
                <w:sz w:val="21"/>
                <w:szCs w:val="21"/>
              </w:rPr>
              <w:t>技术偏离情况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tcPr>
          <w:p>
            <w:pPr>
              <w:pStyle w:val="134"/>
              <w:rPr>
                <w:rFonts w:ascii="宋体" w:hAnsi="宋体"/>
                <w:sz w:val="21"/>
                <w:szCs w:val="21"/>
              </w:rPr>
            </w:pPr>
          </w:p>
        </w:tc>
        <w:tc>
          <w:tcPr>
            <w:tcW w:w="1240" w:type="dxa"/>
          </w:tcPr>
          <w:p>
            <w:pPr>
              <w:pStyle w:val="134"/>
              <w:rPr>
                <w:rFonts w:ascii="宋体" w:hAnsi="宋体"/>
                <w:sz w:val="21"/>
                <w:szCs w:val="21"/>
              </w:rPr>
            </w:pPr>
          </w:p>
        </w:tc>
        <w:tc>
          <w:tcPr>
            <w:tcW w:w="2241" w:type="dxa"/>
          </w:tcPr>
          <w:p>
            <w:pPr>
              <w:pStyle w:val="134"/>
              <w:rPr>
                <w:rFonts w:ascii="宋体" w:hAnsi="宋体"/>
                <w:sz w:val="21"/>
                <w:szCs w:val="21"/>
              </w:rPr>
            </w:pPr>
          </w:p>
        </w:tc>
        <w:tc>
          <w:tcPr>
            <w:tcW w:w="2229" w:type="dxa"/>
          </w:tcPr>
          <w:p>
            <w:pPr>
              <w:pStyle w:val="134"/>
              <w:rPr>
                <w:rFonts w:ascii="宋体" w:hAnsi="宋体"/>
                <w:sz w:val="21"/>
                <w:szCs w:val="21"/>
              </w:rPr>
            </w:pPr>
          </w:p>
        </w:tc>
        <w:tc>
          <w:tcPr>
            <w:tcW w:w="2504" w:type="dxa"/>
          </w:tcPr>
          <w:p>
            <w:pPr>
              <w:pStyle w:val="134"/>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tcPr>
          <w:p>
            <w:pPr>
              <w:pStyle w:val="134"/>
              <w:rPr>
                <w:rFonts w:ascii="宋体" w:hAnsi="宋体"/>
                <w:sz w:val="21"/>
                <w:szCs w:val="21"/>
              </w:rPr>
            </w:pPr>
          </w:p>
        </w:tc>
        <w:tc>
          <w:tcPr>
            <w:tcW w:w="1240" w:type="dxa"/>
          </w:tcPr>
          <w:p>
            <w:pPr>
              <w:pStyle w:val="134"/>
              <w:rPr>
                <w:rFonts w:ascii="宋体" w:hAnsi="宋体"/>
                <w:sz w:val="21"/>
                <w:szCs w:val="21"/>
              </w:rPr>
            </w:pPr>
          </w:p>
        </w:tc>
        <w:tc>
          <w:tcPr>
            <w:tcW w:w="2241" w:type="dxa"/>
          </w:tcPr>
          <w:p>
            <w:pPr>
              <w:pStyle w:val="134"/>
              <w:rPr>
                <w:rFonts w:ascii="宋体" w:hAnsi="宋体"/>
                <w:sz w:val="21"/>
                <w:szCs w:val="21"/>
              </w:rPr>
            </w:pPr>
          </w:p>
        </w:tc>
        <w:tc>
          <w:tcPr>
            <w:tcW w:w="2229" w:type="dxa"/>
          </w:tcPr>
          <w:p>
            <w:pPr>
              <w:pStyle w:val="134"/>
              <w:rPr>
                <w:rFonts w:ascii="宋体" w:hAnsi="宋体"/>
                <w:sz w:val="21"/>
                <w:szCs w:val="21"/>
              </w:rPr>
            </w:pPr>
          </w:p>
        </w:tc>
        <w:tc>
          <w:tcPr>
            <w:tcW w:w="2504" w:type="dxa"/>
          </w:tcPr>
          <w:p>
            <w:pPr>
              <w:pStyle w:val="134"/>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tcBorders>
              <w:top w:val="nil"/>
            </w:tcBorders>
          </w:tcPr>
          <w:p>
            <w:pPr>
              <w:pStyle w:val="134"/>
              <w:rPr>
                <w:rFonts w:ascii="宋体" w:hAnsi="宋体"/>
                <w:sz w:val="21"/>
                <w:szCs w:val="21"/>
              </w:rPr>
            </w:pPr>
          </w:p>
        </w:tc>
        <w:tc>
          <w:tcPr>
            <w:tcW w:w="1240" w:type="dxa"/>
          </w:tcPr>
          <w:p>
            <w:pPr>
              <w:pStyle w:val="134"/>
              <w:rPr>
                <w:rFonts w:ascii="宋体" w:hAnsi="宋体"/>
                <w:sz w:val="21"/>
                <w:szCs w:val="21"/>
              </w:rPr>
            </w:pPr>
          </w:p>
        </w:tc>
        <w:tc>
          <w:tcPr>
            <w:tcW w:w="2241" w:type="dxa"/>
          </w:tcPr>
          <w:p>
            <w:pPr>
              <w:pStyle w:val="134"/>
              <w:rPr>
                <w:rFonts w:ascii="宋体" w:hAnsi="宋体"/>
                <w:sz w:val="21"/>
                <w:szCs w:val="21"/>
              </w:rPr>
            </w:pPr>
          </w:p>
        </w:tc>
        <w:tc>
          <w:tcPr>
            <w:tcW w:w="2229" w:type="dxa"/>
          </w:tcPr>
          <w:p>
            <w:pPr>
              <w:pStyle w:val="134"/>
              <w:rPr>
                <w:rFonts w:ascii="宋体" w:hAnsi="宋体"/>
                <w:sz w:val="21"/>
                <w:szCs w:val="21"/>
              </w:rPr>
            </w:pPr>
          </w:p>
        </w:tc>
        <w:tc>
          <w:tcPr>
            <w:tcW w:w="2504" w:type="dxa"/>
          </w:tcPr>
          <w:p>
            <w:pPr>
              <w:pStyle w:val="134"/>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tcPr>
          <w:p>
            <w:pPr>
              <w:pStyle w:val="134"/>
              <w:rPr>
                <w:rFonts w:ascii="宋体" w:hAnsi="宋体"/>
                <w:sz w:val="21"/>
                <w:szCs w:val="21"/>
              </w:rPr>
            </w:pPr>
          </w:p>
        </w:tc>
        <w:tc>
          <w:tcPr>
            <w:tcW w:w="1240" w:type="dxa"/>
          </w:tcPr>
          <w:p>
            <w:pPr>
              <w:pStyle w:val="134"/>
              <w:rPr>
                <w:rFonts w:ascii="宋体" w:hAnsi="宋体"/>
                <w:sz w:val="21"/>
                <w:szCs w:val="21"/>
              </w:rPr>
            </w:pPr>
          </w:p>
        </w:tc>
        <w:tc>
          <w:tcPr>
            <w:tcW w:w="2241" w:type="dxa"/>
          </w:tcPr>
          <w:p>
            <w:pPr>
              <w:pStyle w:val="134"/>
              <w:rPr>
                <w:rFonts w:ascii="宋体" w:hAnsi="宋体"/>
                <w:sz w:val="21"/>
                <w:szCs w:val="21"/>
              </w:rPr>
            </w:pPr>
          </w:p>
        </w:tc>
        <w:tc>
          <w:tcPr>
            <w:tcW w:w="2229" w:type="dxa"/>
          </w:tcPr>
          <w:p>
            <w:pPr>
              <w:pStyle w:val="134"/>
              <w:rPr>
                <w:rFonts w:ascii="宋体" w:hAnsi="宋体"/>
                <w:sz w:val="21"/>
                <w:szCs w:val="21"/>
              </w:rPr>
            </w:pPr>
          </w:p>
        </w:tc>
        <w:tc>
          <w:tcPr>
            <w:tcW w:w="2504" w:type="dxa"/>
          </w:tcPr>
          <w:p>
            <w:pPr>
              <w:pStyle w:val="134"/>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tcPr>
          <w:p>
            <w:pPr>
              <w:pStyle w:val="134"/>
              <w:rPr>
                <w:rFonts w:ascii="宋体" w:hAnsi="宋体"/>
                <w:sz w:val="21"/>
                <w:szCs w:val="21"/>
              </w:rPr>
            </w:pPr>
          </w:p>
        </w:tc>
        <w:tc>
          <w:tcPr>
            <w:tcW w:w="1240" w:type="dxa"/>
          </w:tcPr>
          <w:p>
            <w:pPr>
              <w:pStyle w:val="134"/>
              <w:rPr>
                <w:rFonts w:ascii="宋体" w:hAnsi="宋体"/>
                <w:sz w:val="21"/>
                <w:szCs w:val="21"/>
              </w:rPr>
            </w:pPr>
          </w:p>
        </w:tc>
        <w:tc>
          <w:tcPr>
            <w:tcW w:w="2241" w:type="dxa"/>
          </w:tcPr>
          <w:p>
            <w:pPr>
              <w:pStyle w:val="134"/>
              <w:rPr>
                <w:rFonts w:ascii="宋体" w:hAnsi="宋体"/>
                <w:sz w:val="21"/>
                <w:szCs w:val="21"/>
              </w:rPr>
            </w:pPr>
          </w:p>
        </w:tc>
        <w:tc>
          <w:tcPr>
            <w:tcW w:w="2229" w:type="dxa"/>
          </w:tcPr>
          <w:p>
            <w:pPr>
              <w:pStyle w:val="134"/>
              <w:rPr>
                <w:rFonts w:ascii="宋体" w:hAnsi="宋体"/>
                <w:sz w:val="21"/>
                <w:szCs w:val="21"/>
              </w:rPr>
            </w:pPr>
          </w:p>
        </w:tc>
        <w:tc>
          <w:tcPr>
            <w:tcW w:w="2504" w:type="dxa"/>
          </w:tcPr>
          <w:p>
            <w:pPr>
              <w:pStyle w:val="134"/>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tcPr>
          <w:p>
            <w:pPr>
              <w:pStyle w:val="134"/>
              <w:rPr>
                <w:rFonts w:ascii="宋体" w:hAnsi="宋体"/>
                <w:sz w:val="21"/>
                <w:szCs w:val="21"/>
              </w:rPr>
            </w:pPr>
          </w:p>
        </w:tc>
        <w:tc>
          <w:tcPr>
            <w:tcW w:w="1240" w:type="dxa"/>
          </w:tcPr>
          <w:p>
            <w:pPr>
              <w:pStyle w:val="134"/>
              <w:rPr>
                <w:rFonts w:ascii="宋体" w:hAnsi="宋体"/>
                <w:sz w:val="21"/>
                <w:szCs w:val="21"/>
              </w:rPr>
            </w:pPr>
          </w:p>
        </w:tc>
        <w:tc>
          <w:tcPr>
            <w:tcW w:w="2241" w:type="dxa"/>
          </w:tcPr>
          <w:p>
            <w:pPr>
              <w:pStyle w:val="134"/>
              <w:rPr>
                <w:rFonts w:ascii="宋体" w:hAnsi="宋体"/>
                <w:sz w:val="21"/>
                <w:szCs w:val="21"/>
              </w:rPr>
            </w:pPr>
          </w:p>
        </w:tc>
        <w:tc>
          <w:tcPr>
            <w:tcW w:w="2229" w:type="dxa"/>
          </w:tcPr>
          <w:p>
            <w:pPr>
              <w:pStyle w:val="134"/>
              <w:rPr>
                <w:rFonts w:ascii="宋体" w:hAnsi="宋体"/>
                <w:sz w:val="21"/>
                <w:szCs w:val="21"/>
              </w:rPr>
            </w:pPr>
          </w:p>
        </w:tc>
        <w:tc>
          <w:tcPr>
            <w:tcW w:w="2504" w:type="dxa"/>
          </w:tcPr>
          <w:p>
            <w:pPr>
              <w:pStyle w:val="134"/>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6" w:type="dxa"/>
          </w:tcPr>
          <w:p>
            <w:pPr>
              <w:pStyle w:val="134"/>
              <w:rPr>
                <w:rFonts w:ascii="宋体" w:hAnsi="宋体"/>
                <w:sz w:val="21"/>
                <w:szCs w:val="21"/>
              </w:rPr>
            </w:pPr>
          </w:p>
        </w:tc>
        <w:tc>
          <w:tcPr>
            <w:tcW w:w="1240" w:type="dxa"/>
          </w:tcPr>
          <w:p>
            <w:pPr>
              <w:pStyle w:val="134"/>
              <w:rPr>
                <w:rFonts w:ascii="宋体" w:hAnsi="宋体"/>
                <w:sz w:val="21"/>
                <w:szCs w:val="21"/>
              </w:rPr>
            </w:pPr>
          </w:p>
        </w:tc>
        <w:tc>
          <w:tcPr>
            <w:tcW w:w="2241" w:type="dxa"/>
          </w:tcPr>
          <w:p>
            <w:pPr>
              <w:pStyle w:val="134"/>
              <w:rPr>
                <w:rFonts w:ascii="宋体" w:hAnsi="宋体"/>
                <w:sz w:val="21"/>
                <w:szCs w:val="21"/>
              </w:rPr>
            </w:pPr>
          </w:p>
        </w:tc>
        <w:tc>
          <w:tcPr>
            <w:tcW w:w="2229" w:type="dxa"/>
          </w:tcPr>
          <w:p>
            <w:pPr>
              <w:pStyle w:val="134"/>
              <w:rPr>
                <w:rFonts w:ascii="宋体" w:hAnsi="宋体"/>
                <w:sz w:val="21"/>
                <w:szCs w:val="21"/>
              </w:rPr>
            </w:pPr>
          </w:p>
        </w:tc>
        <w:tc>
          <w:tcPr>
            <w:tcW w:w="2504" w:type="dxa"/>
          </w:tcPr>
          <w:p>
            <w:pPr>
              <w:pStyle w:val="134"/>
              <w:rPr>
                <w:rFonts w:ascii="宋体" w:hAnsi="宋体"/>
                <w:sz w:val="21"/>
                <w:szCs w:val="21"/>
              </w:rPr>
            </w:pPr>
          </w:p>
        </w:tc>
      </w:tr>
    </w:tbl>
    <w:p>
      <w:pPr>
        <w:spacing w:after="120" w:line="360" w:lineRule="auto"/>
        <w:jc w:val="left"/>
        <w:rPr>
          <w:rFonts w:ascii="宋体" w:hAnsi="宋体"/>
          <w:bCs/>
          <w:sz w:val="28"/>
          <w:szCs w:val="28"/>
        </w:rPr>
      </w:pPr>
      <w:r>
        <w:rPr>
          <w:rFonts w:hint="eastAsia" w:asciiTheme="minorEastAsia" w:hAnsiTheme="minorEastAsia" w:eastAsiaTheme="minorEastAsia" w:cstheme="minorEastAsia"/>
          <w:sz w:val="28"/>
          <w:szCs w:val="28"/>
        </w:rPr>
        <w:t>注</w:t>
      </w:r>
      <w:r>
        <w:rPr>
          <w:rFonts w:hint="eastAsia" w:ascii="宋体" w:hAnsi="宋体"/>
          <w:bCs/>
          <w:sz w:val="28"/>
          <w:szCs w:val="28"/>
        </w:rPr>
        <w:t>：1. 供应商必须把招标项目的全部技术参数列入此表。</w:t>
      </w:r>
    </w:p>
    <w:p>
      <w:pPr>
        <w:spacing w:after="120" w:line="360" w:lineRule="auto"/>
        <w:rPr>
          <w:rFonts w:ascii="宋体" w:hAnsi="宋体"/>
          <w:bCs/>
          <w:sz w:val="28"/>
          <w:szCs w:val="28"/>
        </w:rPr>
      </w:pPr>
      <w:r>
        <w:rPr>
          <w:rFonts w:hint="eastAsia" w:ascii="宋体" w:hAnsi="宋体"/>
          <w:bCs/>
          <w:sz w:val="28"/>
          <w:szCs w:val="28"/>
        </w:rPr>
        <w:t>2．按照招标项目技术要求的顺序对应填写。</w:t>
      </w:r>
    </w:p>
    <w:p>
      <w:pPr>
        <w:spacing w:after="120" w:line="360" w:lineRule="auto"/>
        <w:rPr>
          <w:rFonts w:ascii="宋体" w:hAnsi="宋体"/>
          <w:bCs/>
          <w:sz w:val="28"/>
          <w:szCs w:val="28"/>
        </w:rPr>
      </w:pPr>
      <w:r>
        <w:rPr>
          <w:rFonts w:hint="eastAsia" w:ascii="宋体" w:hAnsi="宋体"/>
          <w:bCs/>
          <w:sz w:val="28"/>
          <w:szCs w:val="28"/>
        </w:rPr>
        <w:t>3．供应商必须据实填写，不得虚假填写，否则将取消其投标或中标资格。</w:t>
      </w:r>
    </w:p>
    <w:p>
      <w:pPr>
        <w:rPr>
          <w:rFonts w:asciiTheme="minorEastAsia" w:hAnsiTheme="minorEastAsia" w:eastAsiaTheme="minorEastAsia" w:cstheme="minorEastAsia"/>
          <w:sz w:val="28"/>
          <w:szCs w:val="28"/>
        </w:rPr>
      </w:pPr>
    </w:p>
    <w:p>
      <w:pPr>
        <w:pStyle w:val="2"/>
      </w:pPr>
    </w:p>
    <w:p>
      <w:pPr>
        <w:spacing w:after="120" w:line="360" w:lineRule="auto"/>
        <w:ind w:left="420" w:leftChars="200"/>
        <w:jc w:val="right"/>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jc w:val="right"/>
        <w:rPr>
          <w:rFonts w:ascii="宋体" w:hAnsi="宋体"/>
          <w:bCs/>
          <w:sz w:val="28"/>
        </w:rPr>
      </w:pPr>
      <w:r>
        <w:rPr>
          <w:rFonts w:hint="eastAsia" w:ascii="宋体" w:hAnsi="宋体"/>
          <w:sz w:val="28"/>
        </w:rPr>
        <w:t>日期：</w:t>
      </w:r>
      <w:r>
        <w:rPr>
          <w:rFonts w:hint="eastAsia" w:ascii="宋体" w:hAnsi="宋体"/>
          <w:bCs/>
          <w:sz w:val="28"/>
        </w:rPr>
        <w:t>XXXX年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rPr>
          <w:rFonts w:ascii="宋体" w:hAnsi="宋体"/>
          <w:bCs/>
          <w:sz w:val="28"/>
        </w:rPr>
      </w:pPr>
    </w:p>
    <w:p>
      <w:pPr>
        <w:rPr>
          <w:rFonts w:ascii="宋体" w:hAnsi="宋体"/>
          <w:bCs/>
          <w:sz w:val="28"/>
        </w:rPr>
      </w:pPr>
    </w:p>
    <w:p>
      <w:pPr>
        <w:pStyle w:val="2"/>
        <w:rPr>
          <w:rFonts w:ascii="宋体" w:hAnsi="宋体"/>
          <w:bCs/>
          <w:sz w:val="28"/>
        </w:rPr>
      </w:pPr>
    </w:p>
    <w:p/>
    <w:p>
      <w:pPr>
        <w:keepNext/>
        <w:keepLines/>
        <w:numPr>
          <w:ilvl w:val="2"/>
          <w:numId w:val="5"/>
        </w:numPr>
        <w:spacing w:line="560" w:lineRule="exact"/>
        <w:outlineLvl w:val="2"/>
        <w:rPr>
          <w:rFonts w:ascii="宋体" w:hAnsi="宋体"/>
          <w:b/>
          <w:sz w:val="28"/>
          <w:szCs w:val="28"/>
        </w:rPr>
      </w:pPr>
      <w:r>
        <w:rPr>
          <w:rFonts w:hint="eastAsia" w:ascii="宋体" w:hAnsi="宋体"/>
          <w:b/>
          <w:sz w:val="28"/>
          <w:szCs w:val="28"/>
        </w:rPr>
        <w:t>投标人本项目管理、技术、服务人员情况表</w:t>
      </w:r>
    </w:p>
    <w:p>
      <w:pPr>
        <w:pStyle w:val="25"/>
        <w:spacing w:before="360" w:beforeLines="150" w:line="360" w:lineRule="auto"/>
        <w:ind w:firstLine="1127" w:firstLineChars="401"/>
        <w:rPr>
          <w:rFonts w:ascii="宋体" w:hAnsi="宋体"/>
          <w:b/>
          <w:sz w:val="28"/>
          <w:szCs w:val="28"/>
        </w:rPr>
      </w:pPr>
      <w:r>
        <w:rPr>
          <w:rFonts w:hint="eastAsia" w:ascii="宋体" w:hAnsi="宋体"/>
          <w:b/>
          <w:sz w:val="28"/>
          <w:szCs w:val="28"/>
        </w:rPr>
        <w:t>投标人本项目管理、技术、服务人员情况表</w:t>
      </w:r>
    </w:p>
    <w:p>
      <w:pPr>
        <w:snapToGrid w:val="0"/>
        <w:spacing w:line="360" w:lineRule="auto"/>
        <w:ind w:left="1405" w:hanging="1405" w:hangingChars="500"/>
        <w:rPr>
          <w:rFonts w:ascii="宋体" w:hAnsi="宋体"/>
          <w:b/>
          <w:sz w:val="28"/>
          <w:szCs w:val="28"/>
          <w:u w:val="single"/>
        </w:rPr>
      </w:pPr>
      <w:r>
        <w:rPr>
          <w:rFonts w:hint="eastAsia" w:ascii="宋体" w:hAnsi="宋体"/>
          <w:b/>
          <w:sz w:val="28"/>
          <w:szCs w:val="28"/>
        </w:rPr>
        <w:t>项目名称：</w:t>
      </w:r>
      <w:r>
        <w:rPr>
          <w:rFonts w:hint="eastAsia" w:ascii="宋体" w:hAnsi="宋体"/>
          <w:b/>
          <w:sz w:val="28"/>
          <w:szCs w:val="28"/>
          <w:u w:val="single"/>
        </w:rPr>
        <w:t>成都市双流区教育技术装备管理中心2021年艺体中学等2校学术厅显示系统采购项目</w:t>
      </w:r>
    </w:p>
    <w:p>
      <w:pPr>
        <w:snapToGrid w:val="0"/>
        <w:spacing w:line="360" w:lineRule="auto"/>
        <w:rPr>
          <w:rFonts w:ascii="宋体" w:hAnsi="宋体" w:cs="Arial"/>
          <w:bCs/>
          <w:color w:val="000000"/>
          <w:sz w:val="24"/>
        </w:rPr>
      </w:pPr>
      <w:r>
        <w:rPr>
          <w:rFonts w:hint="eastAsia" w:ascii="宋体" w:hAnsi="宋体"/>
          <w:b/>
          <w:sz w:val="28"/>
          <w:szCs w:val="28"/>
        </w:rPr>
        <w:t>项目编号：</w:t>
      </w:r>
      <w:r>
        <w:rPr>
          <w:rFonts w:hint="eastAsia" w:ascii="宋体" w:hAnsi="宋体"/>
          <w:b/>
          <w:sz w:val="28"/>
          <w:szCs w:val="28"/>
          <w:u w:val="single"/>
        </w:rPr>
        <w:t>双流政采（2021）A0066号</w:t>
      </w:r>
      <w:r>
        <w:rPr>
          <w:rFonts w:hint="eastAsia" w:ascii="宋体" w:hAnsi="宋体"/>
          <w:bCs/>
          <w:sz w:val="28"/>
          <w:szCs w:val="28"/>
        </w:rPr>
        <w:t xml:space="preserve">            </w:t>
      </w:r>
    </w:p>
    <w:tbl>
      <w:tblPr>
        <w:tblStyle w:val="44"/>
        <w:tblpPr w:leftFromText="180" w:rightFromText="180" w:vertAnchor="text" w:horzAnchor="page" w:tblpX="2016" w:tblpY="58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1033"/>
        <w:gridCol w:w="901"/>
        <w:gridCol w:w="901"/>
        <w:gridCol w:w="901"/>
        <w:gridCol w:w="1205"/>
        <w:gridCol w:w="817"/>
        <w:gridCol w:w="945"/>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restart"/>
            <w:vAlign w:val="center"/>
          </w:tcPr>
          <w:p>
            <w:pPr>
              <w:spacing w:line="400" w:lineRule="exact"/>
              <w:jc w:val="center"/>
              <w:rPr>
                <w:rFonts w:ascii="宋体" w:hAnsi="宋体" w:cs="Arial"/>
                <w:color w:val="000000"/>
              </w:rPr>
            </w:pPr>
            <w:r>
              <w:rPr>
                <w:rFonts w:hint="eastAsia" w:ascii="宋体" w:hAnsi="宋体" w:cs="Arial"/>
                <w:color w:val="000000"/>
              </w:rPr>
              <w:t>类别</w:t>
            </w:r>
          </w:p>
        </w:tc>
        <w:tc>
          <w:tcPr>
            <w:tcW w:w="1033" w:type="dxa"/>
            <w:vMerge w:val="restart"/>
            <w:vAlign w:val="center"/>
          </w:tcPr>
          <w:p>
            <w:pPr>
              <w:spacing w:line="400" w:lineRule="exact"/>
              <w:jc w:val="center"/>
              <w:rPr>
                <w:rFonts w:ascii="宋体" w:hAnsi="宋体" w:cs="Arial"/>
                <w:color w:val="000000"/>
              </w:rPr>
            </w:pPr>
            <w:r>
              <w:rPr>
                <w:rFonts w:hint="eastAsia" w:ascii="宋体" w:hAnsi="宋体" w:cs="Arial"/>
                <w:color w:val="000000"/>
              </w:rPr>
              <w:t>职务</w:t>
            </w:r>
          </w:p>
        </w:tc>
        <w:tc>
          <w:tcPr>
            <w:tcW w:w="901" w:type="dxa"/>
            <w:vMerge w:val="restart"/>
            <w:vAlign w:val="center"/>
          </w:tcPr>
          <w:p>
            <w:pPr>
              <w:spacing w:line="400" w:lineRule="exact"/>
              <w:jc w:val="center"/>
              <w:rPr>
                <w:rFonts w:ascii="宋体" w:hAnsi="宋体" w:cs="Arial"/>
                <w:color w:val="000000"/>
              </w:rPr>
            </w:pPr>
            <w:r>
              <w:rPr>
                <w:rFonts w:hint="eastAsia" w:ascii="宋体" w:hAnsi="宋体" w:cs="Arial"/>
                <w:color w:val="000000"/>
              </w:rPr>
              <w:t>姓名</w:t>
            </w:r>
          </w:p>
        </w:tc>
        <w:tc>
          <w:tcPr>
            <w:tcW w:w="901" w:type="dxa"/>
            <w:vMerge w:val="restart"/>
            <w:vAlign w:val="center"/>
          </w:tcPr>
          <w:p>
            <w:pPr>
              <w:spacing w:line="400" w:lineRule="exact"/>
              <w:jc w:val="center"/>
              <w:rPr>
                <w:rFonts w:ascii="宋体" w:hAnsi="宋体" w:cs="Arial"/>
                <w:color w:val="000000"/>
              </w:rPr>
            </w:pPr>
            <w:r>
              <w:rPr>
                <w:rFonts w:hint="eastAsia" w:ascii="宋体" w:hAnsi="宋体" w:cs="Arial"/>
                <w:color w:val="000000"/>
              </w:rPr>
              <w:t>职称</w:t>
            </w:r>
          </w:p>
        </w:tc>
        <w:tc>
          <w:tcPr>
            <w:tcW w:w="901" w:type="dxa"/>
            <w:vMerge w:val="restart"/>
            <w:vAlign w:val="center"/>
          </w:tcPr>
          <w:p>
            <w:pPr>
              <w:spacing w:line="400" w:lineRule="exact"/>
              <w:jc w:val="center"/>
              <w:rPr>
                <w:rFonts w:ascii="宋体" w:hAnsi="宋体" w:cs="Arial"/>
                <w:color w:val="000000"/>
              </w:rPr>
            </w:pPr>
            <w:r>
              <w:rPr>
                <w:rFonts w:hint="eastAsia" w:ascii="宋体" w:hAnsi="宋体" w:cs="Arial"/>
                <w:color w:val="000000"/>
              </w:rPr>
              <w:t>常住地</w:t>
            </w:r>
          </w:p>
        </w:tc>
        <w:tc>
          <w:tcPr>
            <w:tcW w:w="3784" w:type="dxa"/>
            <w:gridSpan w:val="4"/>
            <w:vAlign w:val="center"/>
          </w:tcPr>
          <w:p>
            <w:pPr>
              <w:spacing w:line="400" w:lineRule="exact"/>
              <w:jc w:val="center"/>
              <w:rPr>
                <w:rFonts w:ascii="宋体" w:hAnsi="宋体" w:cs="Arial"/>
                <w:color w:val="000000"/>
              </w:rPr>
            </w:pPr>
            <w:r>
              <w:rPr>
                <w:rFonts w:hint="eastAsia" w:ascii="宋体" w:hAnsi="宋体" w:cs="Arial"/>
                <w:color w:val="000000"/>
              </w:rPr>
              <w:t>资格证明（附扫描件）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continue"/>
            <w:vAlign w:val="center"/>
          </w:tcPr>
          <w:p>
            <w:pPr>
              <w:spacing w:line="400" w:lineRule="exact"/>
              <w:jc w:val="center"/>
              <w:rPr>
                <w:rFonts w:ascii="宋体" w:hAnsi="宋体" w:cs="Arial"/>
                <w:color w:val="000000"/>
              </w:rPr>
            </w:pPr>
          </w:p>
        </w:tc>
        <w:tc>
          <w:tcPr>
            <w:tcW w:w="1033" w:type="dxa"/>
            <w:vMerge w:val="continue"/>
            <w:vAlign w:val="center"/>
          </w:tcPr>
          <w:p>
            <w:pPr>
              <w:spacing w:line="400" w:lineRule="exact"/>
              <w:jc w:val="center"/>
              <w:rPr>
                <w:rFonts w:ascii="宋体" w:hAnsi="宋体" w:cs="Arial"/>
                <w:color w:val="000000"/>
              </w:rPr>
            </w:pPr>
          </w:p>
        </w:tc>
        <w:tc>
          <w:tcPr>
            <w:tcW w:w="901" w:type="dxa"/>
            <w:vMerge w:val="continue"/>
            <w:vAlign w:val="center"/>
          </w:tcPr>
          <w:p>
            <w:pPr>
              <w:spacing w:line="400" w:lineRule="exact"/>
              <w:jc w:val="center"/>
              <w:rPr>
                <w:rFonts w:ascii="宋体" w:hAnsi="宋体" w:cs="Arial"/>
                <w:color w:val="000000"/>
              </w:rPr>
            </w:pPr>
          </w:p>
        </w:tc>
        <w:tc>
          <w:tcPr>
            <w:tcW w:w="901" w:type="dxa"/>
            <w:vMerge w:val="continue"/>
            <w:vAlign w:val="center"/>
          </w:tcPr>
          <w:p>
            <w:pPr>
              <w:spacing w:line="400" w:lineRule="exact"/>
              <w:jc w:val="center"/>
              <w:rPr>
                <w:rFonts w:ascii="宋体" w:hAnsi="宋体" w:cs="Arial"/>
                <w:color w:val="000000"/>
              </w:rPr>
            </w:pPr>
          </w:p>
        </w:tc>
        <w:tc>
          <w:tcPr>
            <w:tcW w:w="901" w:type="dxa"/>
            <w:vMerge w:val="continue"/>
            <w:vAlign w:val="center"/>
          </w:tcPr>
          <w:p>
            <w:pPr>
              <w:spacing w:line="400" w:lineRule="exact"/>
              <w:jc w:val="center"/>
              <w:rPr>
                <w:rFonts w:ascii="宋体" w:hAnsi="宋体" w:cs="Arial"/>
                <w:color w:val="000000"/>
              </w:rPr>
            </w:pPr>
          </w:p>
        </w:tc>
        <w:tc>
          <w:tcPr>
            <w:tcW w:w="1205" w:type="dxa"/>
            <w:vAlign w:val="center"/>
          </w:tcPr>
          <w:p>
            <w:pPr>
              <w:spacing w:line="400" w:lineRule="exact"/>
              <w:jc w:val="center"/>
              <w:rPr>
                <w:rFonts w:ascii="宋体" w:hAnsi="宋体" w:cs="Arial"/>
                <w:color w:val="000000"/>
              </w:rPr>
            </w:pPr>
            <w:r>
              <w:rPr>
                <w:rFonts w:hint="eastAsia" w:ascii="宋体" w:hAnsi="宋体" w:cs="Arial"/>
                <w:color w:val="000000"/>
              </w:rPr>
              <w:t>证书名称</w:t>
            </w:r>
          </w:p>
        </w:tc>
        <w:tc>
          <w:tcPr>
            <w:tcW w:w="817" w:type="dxa"/>
            <w:vAlign w:val="center"/>
          </w:tcPr>
          <w:p>
            <w:pPr>
              <w:spacing w:line="400" w:lineRule="exact"/>
              <w:jc w:val="center"/>
              <w:rPr>
                <w:rFonts w:ascii="宋体" w:hAnsi="宋体" w:cs="Arial"/>
                <w:color w:val="000000"/>
              </w:rPr>
            </w:pPr>
            <w:r>
              <w:rPr>
                <w:rFonts w:hint="eastAsia" w:ascii="宋体" w:hAnsi="宋体" w:cs="Arial"/>
                <w:color w:val="000000"/>
              </w:rPr>
              <w:t>级别</w:t>
            </w:r>
          </w:p>
        </w:tc>
        <w:tc>
          <w:tcPr>
            <w:tcW w:w="945" w:type="dxa"/>
            <w:vAlign w:val="center"/>
          </w:tcPr>
          <w:p>
            <w:pPr>
              <w:spacing w:line="400" w:lineRule="exact"/>
              <w:jc w:val="center"/>
              <w:rPr>
                <w:rFonts w:ascii="宋体" w:hAnsi="宋体" w:cs="Arial"/>
                <w:color w:val="000000"/>
              </w:rPr>
            </w:pPr>
            <w:r>
              <w:rPr>
                <w:rFonts w:hint="eastAsia" w:ascii="宋体" w:hAnsi="宋体" w:cs="Arial"/>
                <w:color w:val="000000"/>
              </w:rPr>
              <w:t>证号</w:t>
            </w:r>
          </w:p>
        </w:tc>
        <w:tc>
          <w:tcPr>
            <w:tcW w:w="817" w:type="dxa"/>
            <w:vAlign w:val="center"/>
          </w:tcPr>
          <w:p>
            <w:pPr>
              <w:spacing w:line="400" w:lineRule="exact"/>
              <w:jc w:val="center"/>
              <w:rPr>
                <w:rFonts w:ascii="宋体" w:hAnsi="宋体" w:cs="Arial"/>
                <w:color w:val="000000"/>
              </w:rPr>
            </w:pPr>
            <w:r>
              <w:rPr>
                <w:rFonts w:hint="eastAsia" w:ascii="宋体" w:hAnsi="宋体" w:cs="Arial"/>
                <w:color w:val="000000"/>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932" w:type="dxa"/>
            <w:vMerge w:val="restart"/>
          </w:tcPr>
          <w:p>
            <w:pPr>
              <w:spacing w:line="400" w:lineRule="exact"/>
              <w:jc w:val="center"/>
              <w:rPr>
                <w:rFonts w:ascii="宋体" w:hAnsi="宋体" w:cs="Arial"/>
                <w:color w:val="000000"/>
              </w:rPr>
            </w:pPr>
            <w:r>
              <w:rPr>
                <w:rFonts w:hint="eastAsia" w:ascii="宋体" w:hAnsi="宋体" w:cs="Arial"/>
                <w:color w:val="000000"/>
              </w:rPr>
              <w:t>管</w:t>
            </w:r>
          </w:p>
          <w:p>
            <w:pPr>
              <w:spacing w:line="400" w:lineRule="exact"/>
              <w:jc w:val="center"/>
              <w:rPr>
                <w:rFonts w:ascii="宋体" w:hAnsi="宋体" w:cs="Arial"/>
                <w:color w:val="000000"/>
              </w:rPr>
            </w:pPr>
            <w:r>
              <w:rPr>
                <w:rFonts w:hint="eastAsia" w:ascii="宋体" w:hAnsi="宋体" w:cs="Arial"/>
                <w:color w:val="000000"/>
              </w:rPr>
              <w:t>理</w:t>
            </w:r>
          </w:p>
          <w:p>
            <w:pPr>
              <w:spacing w:line="400" w:lineRule="exact"/>
              <w:jc w:val="center"/>
              <w:rPr>
                <w:rFonts w:ascii="宋体" w:hAnsi="宋体" w:cs="Arial"/>
                <w:color w:val="000000"/>
              </w:rPr>
            </w:pPr>
            <w:r>
              <w:rPr>
                <w:rFonts w:hint="eastAsia" w:ascii="宋体" w:hAnsi="宋体" w:cs="Arial"/>
                <w:color w:val="000000"/>
              </w:rPr>
              <w:t>人</w:t>
            </w:r>
          </w:p>
          <w:p>
            <w:pPr>
              <w:spacing w:line="400" w:lineRule="exact"/>
              <w:jc w:val="center"/>
              <w:rPr>
                <w:rFonts w:ascii="宋体" w:hAnsi="宋体" w:cs="Arial"/>
                <w:color w:val="000000"/>
                <w:sz w:val="28"/>
              </w:rPr>
            </w:pPr>
            <w:r>
              <w:rPr>
                <w:rFonts w:hint="eastAsia" w:ascii="宋体" w:hAnsi="宋体" w:cs="Arial"/>
                <w:color w:val="000000"/>
              </w:rPr>
              <w:t>员</w:t>
            </w: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continue"/>
          </w:tcPr>
          <w:p>
            <w:pPr>
              <w:spacing w:line="400" w:lineRule="exact"/>
              <w:jc w:val="center"/>
              <w:rPr>
                <w:rFonts w:ascii="宋体" w:hAnsi="宋体" w:cs="Arial"/>
                <w:color w:val="000000"/>
                <w:sz w:val="28"/>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trPr>
        <w:tc>
          <w:tcPr>
            <w:tcW w:w="932" w:type="dxa"/>
            <w:vMerge w:val="continue"/>
          </w:tcPr>
          <w:p>
            <w:pPr>
              <w:spacing w:line="400" w:lineRule="exact"/>
              <w:jc w:val="center"/>
              <w:rPr>
                <w:rFonts w:ascii="宋体" w:hAnsi="宋体" w:cs="Arial"/>
                <w:color w:val="000000"/>
                <w:sz w:val="28"/>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restart"/>
          </w:tcPr>
          <w:p>
            <w:pPr>
              <w:spacing w:line="400" w:lineRule="exact"/>
              <w:jc w:val="center"/>
              <w:rPr>
                <w:rFonts w:ascii="宋体" w:hAnsi="宋体" w:cs="Arial"/>
                <w:color w:val="000000"/>
              </w:rPr>
            </w:pPr>
            <w:r>
              <w:rPr>
                <w:rFonts w:hint="eastAsia" w:ascii="宋体" w:hAnsi="宋体" w:cs="Arial"/>
                <w:color w:val="000000"/>
              </w:rPr>
              <w:t>技</w:t>
            </w:r>
          </w:p>
          <w:p>
            <w:pPr>
              <w:spacing w:line="400" w:lineRule="exact"/>
              <w:jc w:val="center"/>
              <w:rPr>
                <w:rFonts w:ascii="宋体" w:hAnsi="宋体" w:cs="Arial"/>
                <w:color w:val="000000"/>
              </w:rPr>
            </w:pPr>
            <w:r>
              <w:rPr>
                <w:rFonts w:hint="eastAsia" w:ascii="宋体" w:hAnsi="宋体" w:cs="Arial"/>
                <w:color w:val="000000"/>
              </w:rPr>
              <w:t>术</w:t>
            </w:r>
          </w:p>
          <w:p>
            <w:pPr>
              <w:spacing w:line="400" w:lineRule="exact"/>
              <w:jc w:val="center"/>
              <w:rPr>
                <w:rFonts w:ascii="宋体" w:hAnsi="宋体" w:cs="Arial"/>
                <w:color w:val="000000"/>
              </w:rPr>
            </w:pPr>
            <w:r>
              <w:rPr>
                <w:rFonts w:hint="eastAsia" w:ascii="宋体" w:hAnsi="宋体" w:cs="Arial"/>
                <w:color w:val="000000"/>
              </w:rPr>
              <w:t>人</w:t>
            </w:r>
          </w:p>
          <w:p>
            <w:pPr>
              <w:spacing w:line="400" w:lineRule="exact"/>
              <w:jc w:val="center"/>
              <w:rPr>
                <w:rFonts w:ascii="宋体" w:hAnsi="宋体" w:cs="Arial"/>
                <w:color w:val="000000"/>
              </w:rPr>
            </w:pPr>
            <w:r>
              <w:rPr>
                <w:rFonts w:hint="eastAsia" w:ascii="宋体" w:hAnsi="宋体" w:cs="Arial"/>
                <w:color w:val="000000"/>
              </w:rPr>
              <w:t>员</w:t>
            </w: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932" w:type="dxa"/>
            <w:vMerge w:val="continue"/>
          </w:tcPr>
          <w:p>
            <w:pPr>
              <w:spacing w:line="400" w:lineRule="exact"/>
              <w:jc w:val="center"/>
              <w:rPr>
                <w:rFonts w:ascii="宋体" w:hAnsi="宋体" w:cs="Arial"/>
                <w:color w:val="000000"/>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continue"/>
          </w:tcPr>
          <w:p>
            <w:pPr>
              <w:spacing w:line="400" w:lineRule="exact"/>
              <w:jc w:val="center"/>
              <w:rPr>
                <w:rFonts w:ascii="宋体" w:hAnsi="宋体" w:cs="Arial"/>
                <w:color w:val="000000"/>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932" w:type="dxa"/>
            <w:vMerge w:val="restart"/>
            <w:vAlign w:val="center"/>
          </w:tcPr>
          <w:p>
            <w:pPr>
              <w:spacing w:line="400" w:lineRule="exact"/>
              <w:jc w:val="center"/>
              <w:rPr>
                <w:rFonts w:ascii="宋体" w:hAnsi="宋体" w:cs="Arial"/>
                <w:color w:val="000000"/>
              </w:rPr>
            </w:pPr>
            <w:r>
              <w:rPr>
                <w:rFonts w:hint="eastAsia" w:ascii="宋体" w:hAnsi="宋体" w:cs="Arial"/>
                <w:color w:val="000000"/>
              </w:rPr>
              <w:t>其</w:t>
            </w:r>
          </w:p>
          <w:p>
            <w:pPr>
              <w:spacing w:line="400" w:lineRule="exact"/>
              <w:jc w:val="center"/>
              <w:rPr>
                <w:rFonts w:ascii="宋体" w:hAnsi="宋体" w:cs="Arial"/>
                <w:color w:val="000000"/>
              </w:rPr>
            </w:pPr>
            <w:r>
              <w:rPr>
                <w:rFonts w:hint="eastAsia" w:ascii="宋体" w:hAnsi="宋体" w:cs="Arial"/>
                <w:color w:val="000000"/>
              </w:rPr>
              <w:t>他</w:t>
            </w:r>
          </w:p>
          <w:p>
            <w:pPr>
              <w:spacing w:line="400" w:lineRule="exact"/>
              <w:jc w:val="center"/>
              <w:rPr>
                <w:rFonts w:ascii="宋体" w:hAnsi="宋体" w:cs="Arial"/>
                <w:color w:val="000000"/>
              </w:rPr>
            </w:pPr>
            <w:r>
              <w:rPr>
                <w:rFonts w:hint="eastAsia" w:ascii="宋体" w:hAnsi="宋体" w:cs="Arial"/>
                <w:color w:val="000000"/>
              </w:rPr>
              <w:t>人</w:t>
            </w:r>
          </w:p>
          <w:p>
            <w:pPr>
              <w:spacing w:line="400" w:lineRule="exact"/>
              <w:jc w:val="center"/>
              <w:rPr>
                <w:rFonts w:ascii="宋体" w:hAnsi="宋体" w:cs="Arial"/>
                <w:color w:val="000000"/>
              </w:rPr>
            </w:pPr>
            <w:r>
              <w:rPr>
                <w:rFonts w:hint="eastAsia" w:ascii="宋体" w:hAnsi="宋体" w:cs="Arial"/>
                <w:color w:val="000000"/>
              </w:rPr>
              <w:t>员</w:t>
            </w: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continue"/>
          </w:tcPr>
          <w:p>
            <w:pPr>
              <w:spacing w:line="400" w:lineRule="exact"/>
              <w:jc w:val="center"/>
              <w:rPr>
                <w:rFonts w:ascii="宋体" w:hAnsi="宋体" w:cs="Arial"/>
                <w:color w:val="000000"/>
                <w:sz w:val="28"/>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b/>
                <w:bCs/>
                <w:color w:val="000000"/>
                <w:sz w:val="28"/>
              </w:rPr>
            </w:pPr>
          </w:p>
        </w:tc>
        <w:tc>
          <w:tcPr>
            <w:tcW w:w="901" w:type="dxa"/>
          </w:tcPr>
          <w:p>
            <w:pPr>
              <w:spacing w:line="400" w:lineRule="exact"/>
              <w:jc w:val="center"/>
              <w:rPr>
                <w:rFonts w:ascii="宋体" w:hAnsi="宋体" w:cs="Arial"/>
                <w:b/>
                <w:bCs/>
                <w:color w:val="000000"/>
                <w:sz w:val="28"/>
              </w:rPr>
            </w:pPr>
          </w:p>
        </w:tc>
        <w:tc>
          <w:tcPr>
            <w:tcW w:w="901" w:type="dxa"/>
          </w:tcPr>
          <w:p>
            <w:pPr>
              <w:spacing w:line="400" w:lineRule="exact"/>
              <w:jc w:val="center"/>
              <w:rPr>
                <w:rFonts w:ascii="宋体" w:hAnsi="宋体" w:cs="Arial"/>
                <w:b/>
                <w:bCs/>
                <w:color w:val="000000"/>
                <w:sz w:val="28"/>
              </w:rPr>
            </w:pPr>
          </w:p>
        </w:tc>
        <w:tc>
          <w:tcPr>
            <w:tcW w:w="1205" w:type="dxa"/>
          </w:tcPr>
          <w:p>
            <w:pPr>
              <w:spacing w:line="400" w:lineRule="exact"/>
              <w:jc w:val="center"/>
              <w:rPr>
                <w:rFonts w:ascii="宋体" w:hAnsi="宋体" w:cs="Arial"/>
                <w:b/>
                <w:bCs/>
                <w:color w:val="000000"/>
                <w:sz w:val="28"/>
              </w:rPr>
            </w:pPr>
          </w:p>
        </w:tc>
        <w:tc>
          <w:tcPr>
            <w:tcW w:w="817" w:type="dxa"/>
          </w:tcPr>
          <w:p>
            <w:pPr>
              <w:spacing w:line="400" w:lineRule="exact"/>
              <w:jc w:val="center"/>
              <w:rPr>
                <w:rFonts w:ascii="宋体" w:hAnsi="宋体" w:cs="Arial"/>
                <w:b/>
                <w:bCs/>
                <w:color w:val="000000"/>
                <w:sz w:val="28"/>
              </w:rPr>
            </w:pPr>
          </w:p>
        </w:tc>
        <w:tc>
          <w:tcPr>
            <w:tcW w:w="945" w:type="dxa"/>
          </w:tcPr>
          <w:p>
            <w:pPr>
              <w:spacing w:line="400" w:lineRule="exact"/>
              <w:jc w:val="center"/>
              <w:rPr>
                <w:rFonts w:ascii="宋体" w:hAnsi="宋体" w:cs="Arial"/>
                <w:b/>
                <w:bCs/>
                <w:color w:val="000000"/>
                <w:sz w:val="28"/>
              </w:rPr>
            </w:pPr>
          </w:p>
        </w:tc>
        <w:tc>
          <w:tcPr>
            <w:tcW w:w="817" w:type="dxa"/>
          </w:tcPr>
          <w:p>
            <w:pPr>
              <w:spacing w:line="400" w:lineRule="exact"/>
              <w:jc w:val="center"/>
              <w:rPr>
                <w:rFonts w:ascii="宋体" w:hAnsi="宋体" w:cs="Arial"/>
                <w:b/>
                <w:bCs/>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trPr>
        <w:tc>
          <w:tcPr>
            <w:tcW w:w="932" w:type="dxa"/>
            <w:vMerge w:val="continue"/>
          </w:tcPr>
          <w:p>
            <w:pPr>
              <w:spacing w:line="400" w:lineRule="exact"/>
              <w:jc w:val="center"/>
              <w:rPr>
                <w:rFonts w:ascii="宋体" w:hAnsi="宋体" w:cs="Arial"/>
                <w:color w:val="000000"/>
                <w:sz w:val="28"/>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b/>
                <w:bCs/>
                <w:color w:val="000000"/>
                <w:sz w:val="28"/>
              </w:rPr>
            </w:pPr>
          </w:p>
        </w:tc>
        <w:tc>
          <w:tcPr>
            <w:tcW w:w="901" w:type="dxa"/>
          </w:tcPr>
          <w:p>
            <w:pPr>
              <w:spacing w:line="400" w:lineRule="exact"/>
              <w:jc w:val="center"/>
              <w:rPr>
                <w:rFonts w:ascii="宋体" w:hAnsi="宋体" w:cs="Arial"/>
                <w:b/>
                <w:bCs/>
                <w:color w:val="000000"/>
                <w:sz w:val="28"/>
              </w:rPr>
            </w:pPr>
          </w:p>
        </w:tc>
        <w:tc>
          <w:tcPr>
            <w:tcW w:w="901" w:type="dxa"/>
          </w:tcPr>
          <w:p>
            <w:pPr>
              <w:spacing w:line="400" w:lineRule="exact"/>
              <w:jc w:val="center"/>
              <w:rPr>
                <w:rFonts w:ascii="宋体" w:hAnsi="宋体" w:cs="Arial"/>
                <w:b/>
                <w:bCs/>
                <w:color w:val="000000"/>
                <w:sz w:val="28"/>
              </w:rPr>
            </w:pPr>
          </w:p>
        </w:tc>
        <w:tc>
          <w:tcPr>
            <w:tcW w:w="1205" w:type="dxa"/>
          </w:tcPr>
          <w:p>
            <w:pPr>
              <w:spacing w:line="400" w:lineRule="exact"/>
              <w:jc w:val="center"/>
              <w:rPr>
                <w:rFonts w:ascii="宋体" w:hAnsi="宋体" w:cs="Arial"/>
                <w:b/>
                <w:bCs/>
                <w:color w:val="000000"/>
                <w:sz w:val="28"/>
              </w:rPr>
            </w:pPr>
          </w:p>
        </w:tc>
        <w:tc>
          <w:tcPr>
            <w:tcW w:w="817" w:type="dxa"/>
          </w:tcPr>
          <w:p>
            <w:pPr>
              <w:spacing w:line="400" w:lineRule="exact"/>
              <w:jc w:val="center"/>
              <w:rPr>
                <w:rFonts w:ascii="宋体" w:hAnsi="宋体" w:cs="Arial"/>
                <w:b/>
                <w:bCs/>
                <w:color w:val="000000"/>
                <w:sz w:val="28"/>
              </w:rPr>
            </w:pPr>
          </w:p>
        </w:tc>
        <w:tc>
          <w:tcPr>
            <w:tcW w:w="945" w:type="dxa"/>
          </w:tcPr>
          <w:p>
            <w:pPr>
              <w:spacing w:line="400" w:lineRule="exact"/>
              <w:jc w:val="center"/>
              <w:rPr>
                <w:rFonts w:ascii="宋体" w:hAnsi="宋体" w:cs="Arial"/>
                <w:b/>
                <w:bCs/>
                <w:color w:val="000000"/>
                <w:sz w:val="28"/>
              </w:rPr>
            </w:pPr>
          </w:p>
        </w:tc>
        <w:tc>
          <w:tcPr>
            <w:tcW w:w="817" w:type="dxa"/>
          </w:tcPr>
          <w:p>
            <w:pPr>
              <w:spacing w:line="400" w:lineRule="exact"/>
              <w:jc w:val="center"/>
              <w:rPr>
                <w:rFonts w:ascii="宋体" w:hAnsi="宋体" w:cs="Arial"/>
                <w:b/>
                <w:bCs/>
                <w:color w:val="000000"/>
                <w:sz w:val="28"/>
              </w:rPr>
            </w:pPr>
          </w:p>
        </w:tc>
      </w:tr>
    </w:tbl>
    <w:p>
      <w:pPr>
        <w:spacing w:after="120" w:line="360" w:lineRule="auto"/>
        <w:ind w:left="420" w:leftChars="200"/>
        <w:rPr>
          <w:rFonts w:ascii="宋体" w:hAnsi="宋体"/>
          <w:bCs/>
          <w:sz w:val="28"/>
          <w:szCs w:val="28"/>
        </w:rPr>
      </w:pPr>
    </w:p>
    <w:p>
      <w:pPr>
        <w:spacing w:after="120" w:line="360" w:lineRule="auto"/>
        <w:ind w:left="420" w:leftChars="200"/>
        <w:jc w:val="right"/>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jc w:val="right"/>
        <w:rPr>
          <w:rFonts w:ascii="宋体" w:hAnsi="宋体"/>
          <w:bCs/>
          <w:sz w:val="28"/>
        </w:rPr>
      </w:pPr>
      <w:r>
        <w:rPr>
          <w:rFonts w:hint="eastAsia" w:ascii="宋体" w:hAnsi="宋体"/>
          <w:sz w:val="28"/>
        </w:rPr>
        <w:t>日期：</w:t>
      </w:r>
      <w:r>
        <w:rPr>
          <w:rFonts w:hint="eastAsia" w:ascii="宋体" w:hAnsi="宋体"/>
          <w:bCs/>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jc w:val="right"/>
        <w:rPr>
          <w:rFonts w:ascii="宋体" w:hAnsi="宋体"/>
          <w:bCs/>
          <w:sz w:val="28"/>
        </w:rPr>
      </w:pPr>
    </w:p>
    <w:p>
      <w:pPr>
        <w:widowControl/>
        <w:jc w:val="left"/>
      </w:pPr>
      <w:r>
        <w:br w:type="page"/>
      </w:r>
    </w:p>
    <w:p>
      <w:pPr>
        <w:keepNext/>
        <w:keepLines/>
        <w:numPr>
          <w:ilvl w:val="2"/>
          <w:numId w:val="5"/>
        </w:numPr>
        <w:spacing w:line="560" w:lineRule="exact"/>
        <w:outlineLvl w:val="2"/>
        <w:rPr>
          <w:rFonts w:ascii="宋体" w:hAnsi="宋体"/>
          <w:b/>
          <w:sz w:val="28"/>
          <w:szCs w:val="28"/>
        </w:rPr>
      </w:pPr>
      <w:r>
        <w:rPr>
          <w:rFonts w:hint="eastAsia" w:ascii="宋体" w:hAnsi="宋体"/>
          <w:b/>
          <w:sz w:val="28"/>
          <w:szCs w:val="28"/>
        </w:rPr>
        <w:t>投标人认为需要提供的其他文件和资料</w:t>
      </w:r>
    </w:p>
    <w:p>
      <w:pPr>
        <w:pStyle w:val="2"/>
        <w:rPr>
          <w:rFonts w:ascii="宋体" w:hAnsi="宋体" w:cs="宋体"/>
          <w:b/>
          <w:kern w:val="0"/>
          <w:sz w:val="32"/>
          <w:szCs w:val="28"/>
        </w:rPr>
      </w:pPr>
    </w:p>
    <w:p>
      <w:pPr>
        <w:rPr>
          <w:rFonts w:ascii="宋体" w:hAnsi="宋体" w:cs="宋体"/>
          <w:b/>
          <w:kern w:val="0"/>
          <w:sz w:val="32"/>
          <w:szCs w:val="28"/>
        </w:rPr>
      </w:pPr>
    </w:p>
    <w:p>
      <w:pPr>
        <w:pStyle w:val="2"/>
        <w:rPr>
          <w:rFonts w:ascii="宋体" w:hAnsi="宋体" w:cs="宋体"/>
          <w:b/>
          <w:kern w:val="0"/>
          <w:sz w:val="32"/>
          <w:szCs w:val="28"/>
        </w:rPr>
      </w:pPr>
    </w:p>
    <w:p/>
    <w:p>
      <w:pPr>
        <w:jc w:val="center"/>
        <w:rPr>
          <w:rFonts w:ascii="宋体" w:hAnsi="宋体" w:cs="宋体"/>
          <w:b/>
          <w:kern w:val="0"/>
          <w:sz w:val="28"/>
          <w:szCs w:val="28"/>
        </w:rPr>
      </w:pPr>
      <w:r>
        <w:rPr>
          <w:rFonts w:hint="eastAsia" w:ascii="宋体" w:hAnsi="宋体" w:cs="宋体"/>
          <w:b/>
          <w:kern w:val="0"/>
          <w:sz w:val="28"/>
          <w:szCs w:val="28"/>
        </w:rPr>
        <w:t>关于本项目需要提供的相关证明材料</w:t>
      </w:r>
    </w:p>
    <w:p>
      <w:pPr>
        <w:jc w:val="center"/>
        <w:rPr>
          <w:rFonts w:ascii="宋体" w:hAnsi="宋体" w:cs="宋体"/>
          <w:b/>
          <w:kern w:val="0"/>
          <w:sz w:val="28"/>
          <w:szCs w:val="28"/>
        </w:rPr>
      </w:pPr>
      <w:r>
        <w:rPr>
          <w:rFonts w:hint="eastAsia" w:ascii="宋体" w:hAnsi="宋体" w:cs="宋体"/>
          <w:b/>
          <w:kern w:val="0"/>
          <w:sz w:val="28"/>
          <w:szCs w:val="28"/>
        </w:rPr>
        <w:t>（具体内容、格式由各投标人自拟）</w:t>
      </w: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rPr>
          <w:rFonts w:ascii="宋体" w:hAnsi="宋体"/>
          <w:bCs/>
          <w:sz w:val="28"/>
        </w:rPr>
      </w:pPr>
    </w:p>
    <w:p>
      <w:pPr>
        <w:keepNext/>
        <w:keepLines/>
        <w:numPr>
          <w:ilvl w:val="1"/>
          <w:numId w:val="5"/>
        </w:numPr>
        <w:spacing w:line="360" w:lineRule="auto"/>
        <w:jc w:val="left"/>
        <w:outlineLvl w:val="1"/>
        <w:rPr>
          <w:rFonts w:ascii="宋体" w:hAnsi="宋体"/>
          <w:b/>
          <w:bCs/>
          <w:sz w:val="28"/>
          <w:szCs w:val="28"/>
        </w:rPr>
      </w:pPr>
      <w:r>
        <w:rPr>
          <w:rFonts w:hint="eastAsia" w:ascii="宋体" w:hAnsi="宋体"/>
          <w:b/>
          <w:bCs/>
          <w:sz w:val="28"/>
          <w:szCs w:val="28"/>
        </w:rPr>
        <w:t xml:space="preserve"> </w:t>
      </w:r>
      <w:bookmarkStart w:id="164" w:name="_Toc85657307"/>
      <w:r>
        <w:rPr>
          <w:rFonts w:hint="eastAsia" w:ascii="宋体" w:hAnsi="宋体"/>
          <w:b/>
          <w:bCs/>
          <w:sz w:val="28"/>
          <w:szCs w:val="28"/>
        </w:rPr>
        <w:t>报价</w:t>
      </w:r>
      <w:r>
        <w:rPr>
          <w:rFonts w:ascii="宋体" w:hAnsi="宋体"/>
          <w:b/>
          <w:bCs/>
          <w:sz w:val="28"/>
          <w:szCs w:val="28"/>
        </w:rPr>
        <w:t>要求响应文件</w:t>
      </w:r>
      <w:bookmarkEnd w:id="164"/>
    </w:p>
    <w:p>
      <w:pPr>
        <w:keepNext/>
        <w:keepLines/>
        <w:numPr>
          <w:ilvl w:val="2"/>
          <w:numId w:val="5"/>
        </w:numPr>
        <w:spacing w:line="360" w:lineRule="auto"/>
        <w:outlineLvl w:val="2"/>
        <w:rPr>
          <w:rFonts w:ascii="宋体" w:hAnsi="宋体"/>
          <w:b/>
          <w:bCs/>
          <w:sz w:val="28"/>
          <w:szCs w:val="28"/>
        </w:rPr>
      </w:pPr>
      <w:r>
        <w:rPr>
          <w:rFonts w:hint="eastAsia" w:ascii="宋体" w:hAnsi="宋体"/>
          <w:b/>
          <w:bCs/>
          <w:sz w:val="28"/>
          <w:szCs w:val="28"/>
        </w:rPr>
        <w:t>开标</w:t>
      </w:r>
      <w:r>
        <w:rPr>
          <w:rFonts w:ascii="宋体" w:hAnsi="宋体"/>
          <w:b/>
          <w:bCs/>
          <w:sz w:val="28"/>
          <w:szCs w:val="28"/>
        </w:rPr>
        <w:t>一览表</w:t>
      </w:r>
    </w:p>
    <w:p>
      <w:pPr>
        <w:tabs>
          <w:tab w:val="left" w:pos="1134"/>
        </w:tabs>
        <w:spacing w:line="560" w:lineRule="exact"/>
        <w:ind w:left="1405" w:hanging="1405" w:hangingChars="500"/>
        <w:rPr>
          <w:rFonts w:ascii="宋体" w:hAnsi="宋体"/>
          <w:b/>
          <w:bCs/>
          <w:sz w:val="28"/>
          <w:szCs w:val="28"/>
          <w:u w:val="single"/>
        </w:rPr>
      </w:pPr>
      <w:r>
        <w:rPr>
          <w:rFonts w:hint="eastAsia" w:ascii="宋体" w:hAnsi="宋体"/>
          <w:b/>
          <w:bCs/>
          <w:sz w:val="28"/>
          <w:szCs w:val="28"/>
          <w:u w:val="single"/>
        </w:rPr>
        <w:t>项目名称：成都市双流区教育技术装备管理中心2021年艺体中学等2校学术厅显示系统采购项目</w:t>
      </w:r>
    </w:p>
    <w:p>
      <w:pPr>
        <w:tabs>
          <w:tab w:val="left" w:pos="1134"/>
        </w:tabs>
        <w:spacing w:line="560" w:lineRule="exact"/>
        <w:rPr>
          <w:rFonts w:ascii="宋体" w:hAnsi="宋体"/>
          <w:b/>
          <w:bCs/>
          <w:sz w:val="28"/>
          <w:szCs w:val="28"/>
          <w:u w:val="single"/>
        </w:rPr>
      </w:pPr>
      <w:r>
        <w:rPr>
          <w:rFonts w:hint="eastAsia" w:ascii="宋体" w:hAnsi="宋体"/>
          <w:b/>
          <w:bCs/>
          <w:sz w:val="28"/>
          <w:szCs w:val="28"/>
          <w:u w:val="single"/>
        </w:rPr>
        <w:t>项目编号：双流政采（2021）A0066号</w:t>
      </w:r>
    </w:p>
    <w:p>
      <w:pPr>
        <w:pStyle w:val="2"/>
      </w:pPr>
    </w:p>
    <w:tbl>
      <w:tblPr>
        <w:tblStyle w:val="45"/>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kern w:val="0"/>
                <w:sz w:val="28"/>
                <w:szCs w:val="28"/>
              </w:rPr>
            </w:pPr>
            <w:r>
              <w:rPr>
                <w:rFonts w:hint="eastAsia" w:ascii="宋体" w:hAnsi="宋体"/>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kern w:val="0"/>
                <w:sz w:val="28"/>
                <w:szCs w:val="28"/>
              </w:rPr>
            </w:pPr>
          </w:p>
        </w:tc>
      </w:tr>
    </w:tbl>
    <w:p>
      <w:pPr>
        <w:pStyle w:val="2"/>
        <w:ind w:firstLine="560" w:firstLineChars="200"/>
        <w:rPr>
          <w:rFonts w:ascii="宋体" w:hAnsi="宋体"/>
          <w:sz w:val="28"/>
          <w:szCs w:val="28"/>
        </w:rPr>
      </w:pPr>
    </w:p>
    <w:p>
      <w:pPr>
        <w:pStyle w:val="2"/>
        <w:ind w:firstLine="560" w:firstLineChars="200"/>
      </w:pPr>
      <w:r>
        <w:rPr>
          <w:rFonts w:hint="eastAsia" w:ascii="宋体" w:hAnsi="宋体"/>
          <w:sz w:val="28"/>
          <w:szCs w:val="28"/>
        </w:rPr>
        <w:t>投标报价（大写人民币）：</w:t>
      </w:r>
      <w:r>
        <w:rPr>
          <w:rFonts w:hint="eastAsia" w:ascii="宋体" w:hAnsi="宋体"/>
          <w:sz w:val="28"/>
          <w:szCs w:val="28"/>
          <w:u w:val="single"/>
        </w:rPr>
        <w:t>XXXX（元）</w:t>
      </w:r>
    </w:p>
    <w:p>
      <w:pPr>
        <w:tabs>
          <w:tab w:val="left" w:pos="1134"/>
        </w:tabs>
        <w:spacing w:line="560" w:lineRule="exact"/>
        <w:ind w:firstLine="427" w:firstLineChars="152"/>
        <w:rPr>
          <w:rFonts w:ascii="宋体" w:hAnsi="宋体"/>
          <w:b/>
          <w:sz w:val="28"/>
          <w:szCs w:val="28"/>
        </w:rPr>
      </w:pPr>
    </w:p>
    <w:p>
      <w:pPr>
        <w:tabs>
          <w:tab w:val="left" w:pos="1134"/>
        </w:tabs>
        <w:spacing w:line="560" w:lineRule="exact"/>
        <w:rPr>
          <w:rFonts w:ascii="宋体" w:hAnsi="宋体"/>
          <w:b/>
          <w:sz w:val="28"/>
          <w:szCs w:val="28"/>
        </w:rPr>
      </w:pPr>
    </w:p>
    <w:p>
      <w:pPr>
        <w:tabs>
          <w:tab w:val="left" w:pos="1134"/>
        </w:tabs>
        <w:spacing w:line="560" w:lineRule="exact"/>
        <w:ind w:firstLine="427" w:firstLineChars="152"/>
        <w:rPr>
          <w:rFonts w:ascii="宋体" w:hAnsi="宋体"/>
          <w:b/>
          <w:bCs/>
          <w:sz w:val="28"/>
        </w:rPr>
      </w:pPr>
      <w:r>
        <w:rPr>
          <w:rFonts w:hint="eastAsia" w:ascii="宋体" w:hAnsi="宋体"/>
          <w:b/>
          <w:sz w:val="28"/>
          <w:szCs w:val="28"/>
        </w:rPr>
        <w:t>投标报价以投标人在政府采购云平台开标一览表中填写的报价为准。</w:t>
      </w: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rPr>
          <w:rFonts w:ascii="宋体" w:hAnsi="宋体"/>
          <w:bCs/>
          <w:sz w:val="28"/>
        </w:rPr>
      </w:pP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分项报价明细表</w:t>
      </w:r>
    </w:p>
    <w:p>
      <w:pPr>
        <w:pStyle w:val="2"/>
        <w:spacing w:after="0" w:line="360" w:lineRule="auto"/>
        <w:ind w:left="1405" w:hanging="1405" w:hangingChars="500"/>
        <w:rPr>
          <w:rFonts w:ascii="宋体" w:hAnsi="宋体" w:cs="宋体"/>
          <w:b/>
          <w:bCs/>
          <w:sz w:val="28"/>
          <w:szCs w:val="28"/>
          <w:u w:val="single"/>
        </w:rPr>
      </w:pPr>
      <w:r>
        <w:rPr>
          <w:rFonts w:hint="eastAsia" w:ascii="宋体" w:hAnsi="宋体" w:cs="宋体"/>
          <w:b/>
          <w:bCs/>
          <w:sz w:val="28"/>
          <w:szCs w:val="28"/>
        </w:rPr>
        <w:t>项目名称：</w:t>
      </w:r>
      <w:r>
        <w:rPr>
          <w:rFonts w:hint="eastAsia" w:ascii="宋体" w:hAnsi="宋体" w:cs="宋体"/>
          <w:b/>
          <w:bCs/>
          <w:sz w:val="28"/>
          <w:szCs w:val="28"/>
          <w:u w:val="single"/>
        </w:rPr>
        <w:t>成都市双流区教育技术装备管理中心2021年艺体中学等2校学术厅显示系统采购项目</w:t>
      </w:r>
    </w:p>
    <w:p>
      <w:pPr>
        <w:tabs>
          <w:tab w:val="left" w:pos="7560"/>
        </w:tabs>
        <w:spacing w:line="360" w:lineRule="auto"/>
        <w:rPr>
          <w:rFonts w:ascii="宋体" w:hAnsi="宋体" w:cs="宋体"/>
          <w:b/>
          <w:sz w:val="28"/>
          <w:szCs w:val="20"/>
          <w:u w:val="single"/>
        </w:rPr>
      </w:pPr>
      <w:r>
        <w:rPr>
          <w:rFonts w:hint="eastAsia" w:ascii="宋体" w:hAnsi="宋体" w:cs="宋体"/>
          <w:b/>
          <w:sz w:val="28"/>
          <w:szCs w:val="20"/>
        </w:rPr>
        <w:t>项目编号：</w:t>
      </w:r>
      <w:r>
        <w:rPr>
          <w:rFonts w:hint="eastAsia" w:ascii="宋体" w:hAnsi="宋体" w:cs="宋体"/>
          <w:b/>
          <w:bCs/>
          <w:sz w:val="28"/>
          <w:szCs w:val="28"/>
          <w:u w:val="single"/>
        </w:rPr>
        <w:t>双流政采（2021）A0066号</w:t>
      </w:r>
    </w:p>
    <w:p/>
    <w:p>
      <w:pPr>
        <w:numPr>
          <w:ilvl w:val="0"/>
          <w:numId w:val="39"/>
        </w:numPr>
        <w:tabs>
          <w:tab w:val="left" w:pos="630"/>
          <w:tab w:val="left" w:pos="7560"/>
        </w:tabs>
        <w:spacing w:after="200" w:line="360" w:lineRule="auto"/>
        <w:ind w:firstLine="562" w:firstLineChars="200"/>
        <w:rPr>
          <w:rFonts w:ascii="宋体" w:hAnsi="宋体"/>
          <w:b/>
          <w:sz w:val="28"/>
        </w:rPr>
      </w:pPr>
      <w:r>
        <w:rPr>
          <w:rFonts w:hint="eastAsia" w:ascii="宋体" w:hAnsi="宋体"/>
          <w:b/>
          <w:sz w:val="28"/>
          <w:szCs w:val="28"/>
        </w:rPr>
        <w:t>分项报价明细表（说明：投标人应根据其投标报价的构成提供详</w:t>
      </w:r>
      <w:r>
        <w:rPr>
          <w:rFonts w:hint="eastAsia" w:ascii="宋体" w:hAnsi="宋体"/>
          <w:b/>
          <w:sz w:val="28"/>
        </w:rPr>
        <w:t>细的分项价格明细表。）</w:t>
      </w:r>
    </w:p>
    <w:tbl>
      <w:tblPr>
        <w:tblStyle w:val="44"/>
        <w:tblpPr w:leftFromText="180" w:rightFromText="180" w:vertAnchor="text" w:horzAnchor="margin" w:tblpX="-254" w:tblpY="1"/>
        <w:tblOverlap w:val="never"/>
        <w:tblW w:w="93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465"/>
        <w:gridCol w:w="876"/>
        <w:gridCol w:w="652"/>
        <w:gridCol w:w="876"/>
        <w:gridCol w:w="927"/>
        <w:gridCol w:w="726"/>
        <w:gridCol w:w="701"/>
        <w:gridCol w:w="802"/>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Cs w:val="21"/>
              </w:rPr>
            </w:pPr>
            <w:r>
              <w:rPr>
                <w:rFonts w:hint="eastAsia" w:ascii="宋体" w:hAnsi="宋体"/>
                <w:b/>
                <w:szCs w:val="21"/>
              </w:rPr>
              <w:t>序号</w:t>
            </w:r>
          </w:p>
        </w:tc>
        <w:tc>
          <w:tcPr>
            <w:tcW w:w="14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Cs w:val="21"/>
              </w:rPr>
            </w:pPr>
            <w:r>
              <w:rPr>
                <w:rFonts w:hint="eastAsia" w:ascii="宋体" w:hAnsi="宋体"/>
                <w:b/>
                <w:szCs w:val="21"/>
              </w:rPr>
              <w:t>货物名称</w:t>
            </w:r>
          </w:p>
          <w:p>
            <w:pPr>
              <w:spacing w:line="360" w:lineRule="auto"/>
              <w:jc w:val="center"/>
              <w:rPr>
                <w:rFonts w:ascii="宋体" w:hAnsi="宋体"/>
                <w:b/>
                <w:szCs w:val="21"/>
              </w:rPr>
            </w:pPr>
            <w:r>
              <w:rPr>
                <w:rFonts w:hint="eastAsia" w:ascii="宋体" w:hAnsi="宋体"/>
                <w:b/>
                <w:szCs w:val="21"/>
              </w:rPr>
              <w:t>（标的</w:t>
            </w:r>
            <w:r>
              <w:rPr>
                <w:rFonts w:ascii="宋体" w:hAnsi="宋体"/>
                <w:b/>
                <w:szCs w:val="21"/>
              </w:rPr>
              <w:t>名称</w:t>
            </w:r>
            <w:r>
              <w:rPr>
                <w:rFonts w:hint="eastAsia" w:ascii="宋体" w:hAnsi="宋体"/>
                <w:b/>
                <w:szCs w:val="21"/>
              </w:rPr>
              <w:t>）</w:t>
            </w:r>
          </w:p>
        </w:tc>
        <w:tc>
          <w:tcPr>
            <w:tcW w:w="8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Cs w:val="21"/>
              </w:rPr>
            </w:pPr>
            <w:r>
              <w:rPr>
                <w:rFonts w:hint="eastAsia" w:ascii="宋体" w:hAnsi="宋体"/>
                <w:b/>
                <w:szCs w:val="21"/>
              </w:rPr>
              <w:t>品牌</w:t>
            </w:r>
          </w:p>
        </w:tc>
        <w:tc>
          <w:tcPr>
            <w:tcW w:w="6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Cs w:val="21"/>
              </w:rPr>
            </w:pPr>
            <w:r>
              <w:rPr>
                <w:rFonts w:hint="eastAsia" w:ascii="宋体" w:hAnsi="宋体"/>
                <w:b/>
                <w:szCs w:val="21"/>
              </w:rPr>
              <w:t>规格型号</w:t>
            </w:r>
          </w:p>
        </w:tc>
        <w:tc>
          <w:tcPr>
            <w:tcW w:w="8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Cs w:val="21"/>
              </w:rPr>
            </w:pPr>
            <w:r>
              <w:rPr>
                <w:rFonts w:hint="eastAsia" w:ascii="宋体" w:hAnsi="宋体"/>
                <w:b/>
                <w:szCs w:val="21"/>
              </w:rPr>
              <w:t>制造商</w:t>
            </w:r>
          </w:p>
        </w:tc>
        <w:tc>
          <w:tcPr>
            <w:tcW w:w="9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Cs w:val="21"/>
              </w:rPr>
            </w:pPr>
            <w:r>
              <w:rPr>
                <w:rFonts w:hint="eastAsia" w:ascii="宋体" w:hAnsi="宋体"/>
                <w:b/>
                <w:szCs w:val="21"/>
              </w:rPr>
              <w:t>进口或国产</w:t>
            </w:r>
          </w:p>
        </w:tc>
        <w:tc>
          <w:tcPr>
            <w:tcW w:w="7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Cs w:val="21"/>
              </w:rPr>
            </w:pPr>
            <w:r>
              <w:rPr>
                <w:rFonts w:hint="eastAsia" w:ascii="宋体" w:hAnsi="宋体"/>
                <w:b/>
                <w:szCs w:val="21"/>
              </w:rPr>
              <w:t>数量</w:t>
            </w:r>
          </w:p>
        </w:tc>
        <w:tc>
          <w:tcPr>
            <w:tcW w:w="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Cs w:val="21"/>
              </w:rPr>
            </w:pPr>
            <w:r>
              <w:rPr>
                <w:rFonts w:hint="eastAsia" w:ascii="宋体" w:hAnsi="宋体"/>
                <w:b/>
                <w:szCs w:val="21"/>
              </w:rPr>
              <w:t>单位</w:t>
            </w:r>
          </w:p>
        </w:tc>
        <w:tc>
          <w:tcPr>
            <w:tcW w:w="8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Cs w:val="21"/>
              </w:rPr>
            </w:pPr>
            <w:r>
              <w:rPr>
                <w:rFonts w:hint="eastAsia" w:ascii="宋体" w:hAnsi="宋体"/>
                <w:b/>
                <w:szCs w:val="21"/>
              </w:rPr>
              <w:t>单价</w:t>
            </w: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b/>
                <w:szCs w:val="21"/>
              </w:rPr>
            </w:pPr>
            <w:r>
              <w:rPr>
                <w:rFonts w:hint="eastAsia" w:ascii="宋体" w:hAnsi="宋体"/>
                <w:b/>
                <w:szCs w:val="21"/>
              </w:rPr>
              <w:t>总价（元）</w:t>
            </w:r>
            <w:r>
              <w:rPr>
                <w:rFonts w:hint="eastAsia" w:ascii="宋体" w:hAnsi="宋体"/>
                <w:b/>
                <w:bCs/>
                <w:szCs w:val="21"/>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r>
              <w:rPr>
                <w:rFonts w:hint="eastAsia" w:ascii="宋体" w:hAnsi="宋体"/>
                <w:sz w:val="24"/>
                <w:szCs w:val="24"/>
              </w:rPr>
              <w:t>1</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87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652"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87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92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726"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p>
        </w:tc>
        <w:tc>
          <w:tcPr>
            <w:tcW w:w="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8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24"/>
                <w:szCs w:val="24"/>
                <w:lang w:bidi="ar"/>
              </w:rPr>
            </w:pPr>
          </w:p>
        </w:tc>
        <w:tc>
          <w:tcPr>
            <w:tcW w:w="87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652"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87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92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726"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szCs w:val="24"/>
              </w:rPr>
            </w:pPr>
          </w:p>
        </w:tc>
        <w:tc>
          <w:tcPr>
            <w:tcW w:w="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p>
        </w:tc>
        <w:tc>
          <w:tcPr>
            <w:tcW w:w="8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p>
        </w:tc>
      </w:tr>
    </w:tbl>
    <w:p>
      <w:pPr>
        <w:spacing w:line="360" w:lineRule="auto"/>
        <w:ind w:firstLine="419" w:firstLineChars="149"/>
        <w:rPr>
          <w:rFonts w:ascii="宋体" w:hAnsi="宋体"/>
          <w:b/>
          <w:sz w:val="28"/>
          <w:szCs w:val="28"/>
        </w:rPr>
      </w:pPr>
      <w:r>
        <w:rPr>
          <w:rFonts w:hint="eastAsia" w:ascii="宋体" w:hAnsi="宋体"/>
          <w:b/>
          <w:sz w:val="28"/>
          <w:szCs w:val="28"/>
        </w:rPr>
        <w:t>说明：</w:t>
      </w:r>
    </w:p>
    <w:p>
      <w:pPr>
        <w:spacing w:line="440" w:lineRule="atLeast"/>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440" w:lineRule="atLeast"/>
        <w:ind w:firstLine="419" w:firstLineChars="149"/>
        <w:rPr>
          <w:rFonts w:ascii="宋体" w:hAnsi="宋体"/>
          <w:b/>
          <w:sz w:val="28"/>
          <w:szCs w:val="28"/>
        </w:rPr>
      </w:pPr>
      <w:r>
        <w:rPr>
          <w:rFonts w:hint="eastAsia" w:ascii="宋体" w:hAnsi="宋体"/>
          <w:b/>
          <w:sz w:val="28"/>
          <w:szCs w:val="28"/>
        </w:rPr>
        <w:t>2、分项报价明细表格式中要求填写品牌、规格型号、制造商、进口或国产的，投标人必须载明其投标产品的品牌、规格型号、制造商、进口或国产。</w:t>
      </w:r>
    </w:p>
    <w:p>
      <w:pPr>
        <w:pStyle w:val="2"/>
      </w:pPr>
    </w:p>
    <w:p/>
    <w:p>
      <w:pPr>
        <w:widowControl/>
        <w:jc w:val="left"/>
      </w:pPr>
    </w:p>
    <w:p>
      <w:pPr>
        <w:tabs>
          <w:tab w:val="left" w:pos="1134"/>
        </w:tabs>
        <w:spacing w:after="200" w:line="360" w:lineRule="auto"/>
        <w:ind w:firstLine="562" w:firstLineChars="200"/>
        <w:rPr>
          <w:rFonts w:ascii="宋体" w:hAnsi="宋体"/>
          <w:b/>
          <w:sz w:val="28"/>
        </w:rPr>
      </w:pPr>
      <w:r>
        <w:rPr>
          <w:rFonts w:hint="eastAsia" w:ascii="宋体" w:hAnsi="宋体"/>
          <w:b/>
          <w:sz w:val="28"/>
          <w:szCs w:val="28"/>
        </w:rPr>
        <w:t>二、投标人</w:t>
      </w:r>
      <w:r>
        <w:rPr>
          <w:rFonts w:hint="eastAsia" w:ascii="宋体" w:hAnsi="宋体"/>
          <w:b/>
          <w:sz w:val="28"/>
        </w:rPr>
        <w:t>投标产品中为监狱企业制造的货物清单及价格</w:t>
      </w:r>
    </w:p>
    <w:tbl>
      <w:tblPr>
        <w:tblStyle w:val="44"/>
        <w:tblW w:w="9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204"/>
        <w:gridCol w:w="801"/>
        <w:gridCol w:w="1202"/>
        <w:gridCol w:w="1227"/>
        <w:gridCol w:w="721"/>
        <w:gridCol w:w="100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Align w:val="center"/>
          </w:tcPr>
          <w:p>
            <w:pPr>
              <w:spacing w:before="120" w:beforeLines="50" w:line="360" w:lineRule="auto"/>
              <w:jc w:val="center"/>
              <w:rPr>
                <w:rFonts w:ascii="宋体" w:hAnsi="宋体"/>
                <w:b/>
              </w:rPr>
            </w:pPr>
            <w:r>
              <w:rPr>
                <w:rFonts w:hint="eastAsia" w:ascii="宋体" w:hAnsi="宋体"/>
                <w:b/>
              </w:rPr>
              <w:t>序号</w:t>
            </w:r>
          </w:p>
        </w:tc>
        <w:tc>
          <w:tcPr>
            <w:tcW w:w="2204" w:type="dxa"/>
            <w:vAlign w:val="center"/>
          </w:tcPr>
          <w:p>
            <w:pPr>
              <w:spacing w:before="120" w:beforeLines="50" w:line="360" w:lineRule="auto"/>
              <w:jc w:val="center"/>
              <w:rPr>
                <w:rFonts w:ascii="宋体" w:hAnsi="宋体"/>
                <w:b/>
              </w:rPr>
            </w:pPr>
            <w:r>
              <w:rPr>
                <w:rFonts w:hint="eastAsia" w:ascii="宋体" w:hAnsi="宋体"/>
                <w:b/>
              </w:rPr>
              <w:t>货物名称</w:t>
            </w:r>
          </w:p>
        </w:tc>
        <w:tc>
          <w:tcPr>
            <w:tcW w:w="801" w:type="dxa"/>
            <w:vAlign w:val="center"/>
          </w:tcPr>
          <w:p>
            <w:pPr>
              <w:spacing w:before="120" w:beforeLines="50" w:line="360" w:lineRule="auto"/>
              <w:jc w:val="center"/>
              <w:rPr>
                <w:rFonts w:ascii="宋体" w:hAnsi="宋体"/>
                <w:b/>
              </w:rPr>
            </w:pPr>
            <w:r>
              <w:rPr>
                <w:rFonts w:hint="eastAsia" w:ascii="宋体" w:hAnsi="宋体"/>
                <w:b/>
              </w:rPr>
              <w:t>品牌</w:t>
            </w:r>
          </w:p>
        </w:tc>
        <w:tc>
          <w:tcPr>
            <w:tcW w:w="1202" w:type="dxa"/>
            <w:vAlign w:val="center"/>
          </w:tcPr>
          <w:p>
            <w:pPr>
              <w:spacing w:before="120" w:beforeLines="50" w:line="360" w:lineRule="auto"/>
              <w:jc w:val="center"/>
              <w:rPr>
                <w:rFonts w:ascii="宋体" w:hAnsi="宋体"/>
                <w:b/>
              </w:rPr>
            </w:pPr>
            <w:r>
              <w:rPr>
                <w:rFonts w:hint="eastAsia" w:ascii="宋体" w:hAnsi="宋体"/>
                <w:b/>
              </w:rPr>
              <w:t>规格型号</w:t>
            </w:r>
          </w:p>
        </w:tc>
        <w:tc>
          <w:tcPr>
            <w:tcW w:w="1227" w:type="dxa"/>
            <w:vAlign w:val="center"/>
          </w:tcPr>
          <w:p>
            <w:pPr>
              <w:spacing w:before="120" w:beforeLines="50" w:line="360" w:lineRule="auto"/>
              <w:jc w:val="center"/>
              <w:rPr>
                <w:rFonts w:ascii="宋体" w:hAnsi="宋体"/>
                <w:b/>
              </w:rPr>
            </w:pPr>
            <w:r>
              <w:rPr>
                <w:rFonts w:hint="eastAsia" w:ascii="宋体" w:hAnsi="宋体"/>
                <w:b/>
              </w:rPr>
              <w:t>制造商</w:t>
            </w:r>
          </w:p>
        </w:tc>
        <w:tc>
          <w:tcPr>
            <w:tcW w:w="721" w:type="dxa"/>
            <w:vAlign w:val="center"/>
          </w:tcPr>
          <w:p>
            <w:pPr>
              <w:spacing w:before="120" w:beforeLines="50" w:line="360" w:lineRule="auto"/>
              <w:jc w:val="center"/>
              <w:rPr>
                <w:rFonts w:ascii="宋体" w:hAnsi="宋体"/>
                <w:b/>
              </w:rPr>
            </w:pPr>
            <w:r>
              <w:rPr>
                <w:rFonts w:hint="eastAsia" w:ascii="宋体" w:hAnsi="宋体"/>
                <w:b/>
              </w:rPr>
              <w:t>数量</w:t>
            </w:r>
          </w:p>
        </w:tc>
        <w:tc>
          <w:tcPr>
            <w:tcW w:w="1004" w:type="dxa"/>
            <w:vAlign w:val="center"/>
          </w:tcPr>
          <w:p>
            <w:pPr>
              <w:spacing w:before="120" w:beforeLines="50" w:line="360" w:lineRule="auto"/>
              <w:jc w:val="center"/>
              <w:rPr>
                <w:rFonts w:ascii="宋体" w:hAnsi="宋体"/>
                <w:b/>
              </w:rPr>
            </w:pPr>
            <w:r>
              <w:rPr>
                <w:rFonts w:hint="eastAsia" w:ascii="宋体" w:hAnsi="宋体"/>
                <w:b/>
              </w:rPr>
              <w:t>单价</w:t>
            </w:r>
          </w:p>
        </w:tc>
        <w:tc>
          <w:tcPr>
            <w:tcW w:w="1394" w:type="dxa"/>
            <w:vAlign w:val="center"/>
          </w:tcPr>
          <w:p>
            <w:pPr>
              <w:spacing w:before="120" w:beforeLines="50" w:line="360" w:lineRule="auto"/>
              <w:jc w:val="center"/>
              <w:rPr>
                <w:rFonts w:ascii="宋体" w:hAnsi="宋体"/>
                <w:b/>
              </w:rPr>
            </w:pPr>
            <w:r>
              <w:rPr>
                <w:rFonts w:hint="eastAsia" w:ascii="宋体" w:hAnsi="宋体"/>
                <w:b/>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40" w:type="dxa"/>
            <w:vAlign w:val="center"/>
          </w:tcPr>
          <w:p>
            <w:pPr>
              <w:snapToGrid w:val="0"/>
              <w:spacing w:line="360" w:lineRule="auto"/>
              <w:jc w:val="center"/>
              <w:rPr>
                <w:rFonts w:ascii="宋体" w:hAnsi="宋体"/>
                <w:sz w:val="24"/>
                <w:szCs w:val="24"/>
              </w:rPr>
            </w:pPr>
            <w:r>
              <w:rPr>
                <w:rFonts w:hint="eastAsia" w:ascii="宋体" w:hAnsi="宋体"/>
                <w:sz w:val="24"/>
                <w:szCs w:val="24"/>
              </w:rPr>
              <w:t>1</w:t>
            </w:r>
          </w:p>
        </w:tc>
        <w:tc>
          <w:tcPr>
            <w:tcW w:w="2204" w:type="dxa"/>
            <w:vAlign w:val="center"/>
          </w:tcPr>
          <w:p>
            <w:pPr>
              <w:rPr>
                <w:rFonts w:ascii="宋体" w:hAnsi="宋体"/>
                <w:sz w:val="24"/>
                <w:szCs w:val="24"/>
              </w:rPr>
            </w:pPr>
          </w:p>
        </w:tc>
        <w:tc>
          <w:tcPr>
            <w:tcW w:w="801" w:type="dxa"/>
            <w:vAlign w:val="center"/>
          </w:tcPr>
          <w:p>
            <w:pPr>
              <w:spacing w:line="360" w:lineRule="auto"/>
              <w:jc w:val="center"/>
              <w:rPr>
                <w:rFonts w:ascii="宋体" w:hAnsi="宋体"/>
                <w:sz w:val="24"/>
                <w:szCs w:val="24"/>
              </w:rPr>
            </w:pPr>
          </w:p>
        </w:tc>
        <w:tc>
          <w:tcPr>
            <w:tcW w:w="1202" w:type="dxa"/>
            <w:vAlign w:val="center"/>
          </w:tcPr>
          <w:p>
            <w:pPr>
              <w:spacing w:line="360" w:lineRule="auto"/>
              <w:jc w:val="center"/>
              <w:rPr>
                <w:rFonts w:ascii="宋体" w:hAnsi="宋体"/>
                <w:sz w:val="24"/>
                <w:szCs w:val="24"/>
              </w:rPr>
            </w:pPr>
          </w:p>
        </w:tc>
        <w:tc>
          <w:tcPr>
            <w:tcW w:w="1227" w:type="dxa"/>
            <w:vAlign w:val="center"/>
          </w:tcPr>
          <w:p>
            <w:pPr>
              <w:spacing w:line="360" w:lineRule="auto"/>
              <w:jc w:val="center"/>
              <w:rPr>
                <w:rFonts w:ascii="宋体" w:hAnsi="宋体"/>
                <w:sz w:val="24"/>
                <w:szCs w:val="24"/>
              </w:rPr>
            </w:pPr>
          </w:p>
        </w:tc>
        <w:tc>
          <w:tcPr>
            <w:tcW w:w="721" w:type="dxa"/>
            <w:vAlign w:val="center"/>
          </w:tcPr>
          <w:p>
            <w:pPr>
              <w:spacing w:line="360" w:lineRule="auto"/>
              <w:jc w:val="center"/>
              <w:rPr>
                <w:rFonts w:ascii="宋体" w:hAnsi="宋体"/>
                <w:sz w:val="24"/>
                <w:szCs w:val="24"/>
              </w:rPr>
            </w:pPr>
          </w:p>
        </w:tc>
        <w:tc>
          <w:tcPr>
            <w:tcW w:w="1004" w:type="dxa"/>
            <w:vAlign w:val="center"/>
          </w:tcPr>
          <w:p>
            <w:pPr>
              <w:spacing w:line="360" w:lineRule="auto"/>
              <w:jc w:val="center"/>
              <w:rPr>
                <w:rFonts w:ascii="宋体" w:hAnsi="宋体"/>
                <w:sz w:val="24"/>
                <w:szCs w:val="24"/>
              </w:rPr>
            </w:pPr>
          </w:p>
        </w:tc>
        <w:tc>
          <w:tcPr>
            <w:tcW w:w="1394" w:type="dxa"/>
            <w:vAlign w:val="center"/>
          </w:tcPr>
          <w:p>
            <w:pPr>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40" w:type="dxa"/>
            <w:vAlign w:val="center"/>
          </w:tcPr>
          <w:p>
            <w:pPr>
              <w:snapToGrid w:val="0"/>
              <w:spacing w:line="360" w:lineRule="auto"/>
              <w:jc w:val="center"/>
              <w:rPr>
                <w:rFonts w:ascii="宋体" w:hAnsi="宋体"/>
                <w:sz w:val="24"/>
                <w:szCs w:val="24"/>
              </w:rPr>
            </w:pPr>
            <w:r>
              <w:rPr>
                <w:rFonts w:hint="eastAsia" w:ascii="宋体" w:hAnsi="宋体"/>
                <w:sz w:val="24"/>
                <w:szCs w:val="24"/>
              </w:rPr>
              <w:t>2</w:t>
            </w:r>
          </w:p>
        </w:tc>
        <w:tc>
          <w:tcPr>
            <w:tcW w:w="2204" w:type="dxa"/>
            <w:vAlign w:val="center"/>
          </w:tcPr>
          <w:p>
            <w:pPr>
              <w:rPr>
                <w:rFonts w:ascii="宋体" w:hAnsi="宋体"/>
                <w:sz w:val="24"/>
                <w:szCs w:val="24"/>
              </w:rPr>
            </w:pPr>
          </w:p>
        </w:tc>
        <w:tc>
          <w:tcPr>
            <w:tcW w:w="801" w:type="dxa"/>
            <w:vAlign w:val="center"/>
          </w:tcPr>
          <w:p>
            <w:pPr>
              <w:spacing w:line="360" w:lineRule="auto"/>
              <w:jc w:val="center"/>
              <w:rPr>
                <w:rFonts w:ascii="宋体" w:hAnsi="宋体"/>
                <w:sz w:val="24"/>
                <w:szCs w:val="24"/>
              </w:rPr>
            </w:pPr>
          </w:p>
        </w:tc>
        <w:tc>
          <w:tcPr>
            <w:tcW w:w="1202" w:type="dxa"/>
            <w:vAlign w:val="center"/>
          </w:tcPr>
          <w:p>
            <w:pPr>
              <w:spacing w:line="360" w:lineRule="auto"/>
              <w:jc w:val="center"/>
              <w:rPr>
                <w:rFonts w:ascii="宋体" w:hAnsi="宋体"/>
                <w:sz w:val="24"/>
                <w:szCs w:val="24"/>
              </w:rPr>
            </w:pPr>
          </w:p>
        </w:tc>
        <w:tc>
          <w:tcPr>
            <w:tcW w:w="1227" w:type="dxa"/>
            <w:vAlign w:val="center"/>
          </w:tcPr>
          <w:p>
            <w:pPr>
              <w:spacing w:line="360" w:lineRule="auto"/>
              <w:jc w:val="center"/>
              <w:rPr>
                <w:rFonts w:ascii="宋体" w:hAnsi="宋体"/>
                <w:sz w:val="24"/>
                <w:szCs w:val="24"/>
              </w:rPr>
            </w:pPr>
          </w:p>
        </w:tc>
        <w:tc>
          <w:tcPr>
            <w:tcW w:w="721" w:type="dxa"/>
            <w:vAlign w:val="center"/>
          </w:tcPr>
          <w:p>
            <w:pPr>
              <w:spacing w:line="360" w:lineRule="auto"/>
              <w:jc w:val="center"/>
              <w:rPr>
                <w:rFonts w:ascii="宋体" w:hAnsi="宋体"/>
                <w:sz w:val="24"/>
                <w:szCs w:val="24"/>
              </w:rPr>
            </w:pPr>
          </w:p>
        </w:tc>
        <w:tc>
          <w:tcPr>
            <w:tcW w:w="1004" w:type="dxa"/>
            <w:vAlign w:val="center"/>
          </w:tcPr>
          <w:p>
            <w:pPr>
              <w:spacing w:line="360" w:lineRule="auto"/>
              <w:jc w:val="center"/>
              <w:rPr>
                <w:rFonts w:ascii="宋体" w:hAnsi="宋体"/>
                <w:sz w:val="24"/>
                <w:szCs w:val="24"/>
              </w:rPr>
            </w:pPr>
          </w:p>
        </w:tc>
        <w:tc>
          <w:tcPr>
            <w:tcW w:w="1394" w:type="dxa"/>
            <w:vAlign w:val="center"/>
          </w:tcPr>
          <w:p>
            <w:pPr>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899" w:type="dxa"/>
            <w:gridSpan w:val="7"/>
            <w:vAlign w:val="bottom"/>
          </w:tcPr>
          <w:p>
            <w:pPr>
              <w:spacing w:line="360" w:lineRule="auto"/>
              <w:jc w:val="center"/>
              <w:rPr>
                <w:rFonts w:ascii="宋体" w:hAnsi="宋体"/>
              </w:rPr>
            </w:pPr>
            <w:r>
              <w:rPr>
                <w:rFonts w:hint="eastAsia" w:ascii="宋体" w:hAnsi="宋体" w:cs="宋体"/>
                <w:b/>
              </w:rPr>
              <w:t>监狱企业制造的货物</w:t>
            </w:r>
            <w:r>
              <w:rPr>
                <w:rFonts w:hint="eastAsia" w:ascii="宋体" w:hAnsi="宋体"/>
                <w:b/>
              </w:rPr>
              <w:t>总价合计</w:t>
            </w:r>
          </w:p>
        </w:tc>
        <w:tc>
          <w:tcPr>
            <w:tcW w:w="1394" w:type="dxa"/>
            <w:vAlign w:val="bottom"/>
          </w:tcPr>
          <w:p>
            <w:pPr>
              <w:spacing w:line="360" w:lineRule="auto"/>
              <w:rPr>
                <w:rFonts w:ascii="宋体" w:hAnsi="宋体"/>
              </w:rPr>
            </w:pPr>
            <w:r>
              <w:rPr>
                <w:rFonts w:hint="eastAsia" w:ascii="宋体" w:hAnsi="宋体"/>
              </w:rPr>
              <w:t>￥</w:t>
            </w:r>
          </w:p>
        </w:tc>
      </w:tr>
    </w:tbl>
    <w:p>
      <w:pPr>
        <w:widowControl/>
        <w:jc w:val="left"/>
        <w:rPr>
          <w:rFonts w:ascii="宋体" w:hAnsi="宋体"/>
          <w:b/>
          <w:sz w:val="28"/>
        </w:rPr>
      </w:pPr>
      <w:bookmarkStart w:id="165" w:name="_Hlk85296502"/>
      <w:r>
        <w:rPr>
          <w:rFonts w:hint="eastAsia" w:ascii="宋体" w:hAnsi="宋体"/>
          <w:b/>
          <w:sz w:val="28"/>
        </w:rPr>
        <w:t>说明：</w:t>
      </w:r>
      <w:r>
        <w:rPr>
          <w:rFonts w:ascii="宋体" w:hAnsi="宋体"/>
          <w:b/>
          <w:sz w:val="28"/>
        </w:rPr>
        <w:t>1、提供由省级以上监狱管理局、戒毒管理局（含新疆生产建设兵团）出具的</w:t>
      </w:r>
      <w:r>
        <w:rPr>
          <w:rFonts w:hint="eastAsia" w:ascii="宋体" w:hAnsi="宋体"/>
          <w:b/>
          <w:sz w:val="28"/>
        </w:rPr>
        <w:t>制造</w:t>
      </w:r>
      <w:r>
        <w:rPr>
          <w:rFonts w:ascii="宋体" w:hAnsi="宋体"/>
          <w:b/>
          <w:sz w:val="28"/>
        </w:rPr>
        <w:t>商属于监狱企业的证明文件复印件；</w:t>
      </w:r>
    </w:p>
    <w:p>
      <w:pPr>
        <w:widowControl/>
        <w:jc w:val="left"/>
      </w:pPr>
      <w:r>
        <w:rPr>
          <w:rFonts w:ascii="宋体" w:hAnsi="宋体"/>
          <w:b/>
          <w:sz w:val="28"/>
        </w:rPr>
        <w:t>2、如未提供</w:t>
      </w:r>
      <w:r>
        <w:rPr>
          <w:rFonts w:hint="eastAsia" w:ascii="宋体" w:hAnsi="宋体"/>
          <w:b/>
          <w:sz w:val="28"/>
        </w:rPr>
        <w:t>货物</w:t>
      </w:r>
      <w:r>
        <w:rPr>
          <w:rFonts w:ascii="宋体" w:hAnsi="宋体"/>
          <w:b/>
          <w:sz w:val="28"/>
        </w:rPr>
        <w:t>清单及价格以及相关证明材料复印件，则不能享受对监狱企业</w:t>
      </w:r>
      <w:r>
        <w:rPr>
          <w:rFonts w:hint="eastAsia" w:ascii="宋体" w:hAnsi="宋体"/>
          <w:b/>
          <w:sz w:val="28"/>
        </w:rPr>
        <w:t>制造的货物</w:t>
      </w:r>
      <w:r>
        <w:rPr>
          <w:rFonts w:ascii="宋体" w:hAnsi="宋体"/>
          <w:b/>
          <w:sz w:val="28"/>
        </w:rPr>
        <w:t>的价格扣除，但不影响投标文件的有效性。</w:t>
      </w:r>
    </w:p>
    <w:p>
      <w:pPr>
        <w:widowControl/>
        <w:jc w:val="left"/>
      </w:pPr>
    </w:p>
    <w:bookmarkEnd w:id="165"/>
    <w:p>
      <w:pPr>
        <w:widowControl/>
        <w:jc w:val="left"/>
      </w:pPr>
    </w:p>
    <w:p>
      <w:pPr>
        <w:tabs>
          <w:tab w:val="left" w:pos="630"/>
          <w:tab w:val="left" w:pos="7560"/>
        </w:tabs>
        <w:spacing w:after="200" w:line="360" w:lineRule="auto"/>
        <w:rPr>
          <w:rFonts w:ascii="宋体" w:hAnsi="宋体"/>
          <w:b/>
          <w:sz w:val="28"/>
        </w:rPr>
      </w:pPr>
      <w:r>
        <w:rPr>
          <w:rFonts w:hint="eastAsia" w:ascii="宋体" w:hAnsi="宋体"/>
          <w:b/>
          <w:sz w:val="28"/>
        </w:rPr>
        <w:t>三、投标人投标产品中为残疾人福利性单位制造的货物清单及价格</w:t>
      </w:r>
    </w:p>
    <w:tbl>
      <w:tblPr>
        <w:tblStyle w:val="44"/>
        <w:tblW w:w="9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2178"/>
        <w:gridCol w:w="814"/>
        <w:gridCol w:w="1215"/>
        <w:gridCol w:w="1214"/>
        <w:gridCol w:w="714"/>
        <w:gridCol w:w="1027"/>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pPr>
              <w:spacing w:before="120" w:beforeLines="50" w:line="360" w:lineRule="auto"/>
              <w:jc w:val="center"/>
              <w:rPr>
                <w:rFonts w:ascii="宋体" w:hAnsi="宋体"/>
                <w:b/>
              </w:rPr>
            </w:pPr>
            <w:r>
              <w:rPr>
                <w:rFonts w:hint="eastAsia" w:ascii="宋体" w:hAnsi="宋体"/>
                <w:b/>
              </w:rPr>
              <w:t>序号</w:t>
            </w:r>
          </w:p>
        </w:tc>
        <w:tc>
          <w:tcPr>
            <w:tcW w:w="2178" w:type="dxa"/>
            <w:vAlign w:val="center"/>
          </w:tcPr>
          <w:p>
            <w:pPr>
              <w:spacing w:before="120" w:beforeLines="50" w:line="360" w:lineRule="auto"/>
              <w:jc w:val="center"/>
              <w:rPr>
                <w:rFonts w:ascii="宋体" w:hAnsi="宋体"/>
                <w:b/>
              </w:rPr>
            </w:pPr>
            <w:r>
              <w:rPr>
                <w:rFonts w:hint="eastAsia" w:ascii="宋体" w:hAnsi="宋体"/>
                <w:b/>
              </w:rPr>
              <w:t>货物名称</w:t>
            </w:r>
          </w:p>
        </w:tc>
        <w:tc>
          <w:tcPr>
            <w:tcW w:w="814" w:type="dxa"/>
          </w:tcPr>
          <w:p>
            <w:pPr>
              <w:spacing w:before="120" w:beforeLines="50" w:line="360" w:lineRule="auto"/>
              <w:jc w:val="center"/>
              <w:rPr>
                <w:rFonts w:ascii="宋体" w:hAnsi="宋体"/>
                <w:b/>
              </w:rPr>
            </w:pPr>
            <w:r>
              <w:rPr>
                <w:rFonts w:hint="eastAsia" w:ascii="宋体" w:hAnsi="宋体"/>
                <w:b/>
              </w:rPr>
              <w:t>品牌</w:t>
            </w:r>
          </w:p>
        </w:tc>
        <w:tc>
          <w:tcPr>
            <w:tcW w:w="1215" w:type="dxa"/>
            <w:vAlign w:val="center"/>
          </w:tcPr>
          <w:p>
            <w:pPr>
              <w:spacing w:before="120" w:beforeLines="50" w:line="360" w:lineRule="auto"/>
              <w:jc w:val="center"/>
              <w:rPr>
                <w:rFonts w:ascii="宋体" w:hAnsi="宋体"/>
                <w:b/>
              </w:rPr>
            </w:pPr>
            <w:r>
              <w:rPr>
                <w:rFonts w:hint="eastAsia" w:ascii="宋体" w:hAnsi="宋体"/>
                <w:b/>
              </w:rPr>
              <w:t>规格型号</w:t>
            </w:r>
          </w:p>
        </w:tc>
        <w:tc>
          <w:tcPr>
            <w:tcW w:w="1214" w:type="dxa"/>
            <w:vAlign w:val="center"/>
          </w:tcPr>
          <w:p>
            <w:pPr>
              <w:spacing w:before="120" w:beforeLines="50" w:line="360" w:lineRule="auto"/>
              <w:jc w:val="center"/>
              <w:rPr>
                <w:rFonts w:ascii="宋体" w:hAnsi="宋体"/>
                <w:b/>
              </w:rPr>
            </w:pPr>
            <w:r>
              <w:rPr>
                <w:rFonts w:hint="eastAsia" w:ascii="宋体" w:hAnsi="宋体"/>
                <w:b/>
              </w:rPr>
              <w:t>制造商</w:t>
            </w:r>
          </w:p>
        </w:tc>
        <w:tc>
          <w:tcPr>
            <w:tcW w:w="714" w:type="dxa"/>
            <w:vAlign w:val="center"/>
          </w:tcPr>
          <w:p>
            <w:pPr>
              <w:spacing w:before="120" w:beforeLines="50" w:line="360" w:lineRule="auto"/>
              <w:jc w:val="center"/>
              <w:rPr>
                <w:rFonts w:ascii="宋体" w:hAnsi="宋体"/>
                <w:b/>
              </w:rPr>
            </w:pPr>
            <w:r>
              <w:rPr>
                <w:rFonts w:hint="eastAsia" w:ascii="宋体" w:hAnsi="宋体"/>
                <w:b/>
              </w:rPr>
              <w:t>数量</w:t>
            </w:r>
          </w:p>
        </w:tc>
        <w:tc>
          <w:tcPr>
            <w:tcW w:w="1027" w:type="dxa"/>
            <w:vAlign w:val="center"/>
          </w:tcPr>
          <w:p>
            <w:pPr>
              <w:spacing w:before="120" w:beforeLines="50" w:line="360" w:lineRule="auto"/>
              <w:jc w:val="center"/>
              <w:rPr>
                <w:rFonts w:ascii="宋体" w:hAnsi="宋体"/>
                <w:b/>
              </w:rPr>
            </w:pPr>
            <w:r>
              <w:rPr>
                <w:rFonts w:hint="eastAsia" w:ascii="宋体" w:hAnsi="宋体"/>
                <w:b/>
              </w:rPr>
              <w:t>单价</w:t>
            </w:r>
          </w:p>
        </w:tc>
        <w:tc>
          <w:tcPr>
            <w:tcW w:w="1428" w:type="dxa"/>
            <w:vAlign w:val="center"/>
          </w:tcPr>
          <w:p>
            <w:pPr>
              <w:spacing w:before="120" w:beforeLines="50" w:line="360" w:lineRule="auto"/>
              <w:jc w:val="center"/>
              <w:rPr>
                <w:rFonts w:ascii="宋体" w:hAnsi="宋体"/>
                <w:b/>
              </w:rPr>
            </w:pPr>
            <w:r>
              <w:rPr>
                <w:rFonts w:hint="eastAsia" w:ascii="宋体" w:hAnsi="宋体"/>
                <w:b/>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03" w:type="dxa"/>
            <w:vAlign w:val="center"/>
          </w:tcPr>
          <w:p>
            <w:pPr>
              <w:snapToGrid w:val="0"/>
              <w:spacing w:line="360" w:lineRule="auto"/>
              <w:jc w:val="center"/>
              <w:rPr>
                <w:rFonts w:ascii="宋体" w:hAnsi="宋体"/>
              </w:rPr>
            </w:pPr>
            <w:r>
              <w:rPr>
                <w:rFonts w:hint="eastAsia" w:ascii="宋体" w:hAnsi="宋体"/>
              </w:rPr>
              <w:t>1</w:t>
            </w:r>
          </w:p>
        </w:tc>
        <w:tc>
          <w:tcPr>
            <w:tcW w:w="2178" w:type="dxa"/>
            <w:vAlign w:val="center"/>
          </w:tcPr>
          <w:p>
            <w:pPr>
              <w:rPr>
                <w:rFonts w:ascii="宋体" w:hAnsi="宋体"/>
                <w:szCs w:val="28"/>
              </w:rPr>
            </w:pPr>
          </w:p>
        </w:tc>
        <w:tc>
          <w:tcPr>
            <w:tcW w:w="814" w:type="dxa"/>
          </w:tcPr>
          <w:p>
            <w:pPr>
              <w:spacing w:line="360" w:lineRule="auto"/>
              <w:jc w:val="center"/>
              <w:rPr>
                <w:rFonts w:ascii="宋体" w:hAnsi="宋体"/>
              </w:rPr>
            </w:pPr>
          </w:p>
        </w:tc>
        <w:tc>
          <w:tcPr>
            <w:tcW w:w="1215" w:type="dxa"/>
            <w:vAlign w:val="center"/>
          </w:tcPr>
          <w:p>
            <w:pPr>
              <w:spacing w:line="360" w:lineRule="auto"/>
              <w:jc w:val="center"/>
              <w:rPr>
                <w:rFonts w:ascii="宋体" w:hAnsi="宋体"/>
              </w:rPr>
            </w:pPr>
          </w:p>
        </w:tc>
        <w:tc>
          <w:tcPr>
            <w:tcW w:w="1214" w:type="dxa"/>
            <w:vAlign w:val="center"/>
          </w:tcPr>
          <w:p>
            <w:pPr>
              <w:spacing w:line="360" w:lineRule="auto"/>
              <w:jc w:val="center"/>
              <w:rPr>
                <w:rFonts w:ascii="宋体" w:hAnsi="宋体"/>
              </w:rPr>
            </w:pPr>
          </w:p>
        </w:tc>
        <w:tc>
          <w:tcPr>
            <w:tcW w:w="714" w:type="dxa"/>
            <w:vAlign w:val="center"/>
          </w:tcPr>
          <w:p>
            <w:pPr>
              <w:spacing w:line="360" w:lineRule="auto"/>
              <w:jc w:val="center"/>
              <w:rPr>
                <w:rFonts w:ascii="宋体" w:hAnsi="宋体"/>
              </w:rPr>
            </w:pPr>
          </w:p>
        </w:tc>
        <w:tc>
          <w:tcPr>
            <w:tcW w:w="1027" w:type="dxa"/>
            <w:vAlign w:val="center"/>
          </w:tcPr>
          <w:p>
            <w:pPr>
              <w:spacing w:line="360" w:lineRule="auto"/>
              <w:jc w:val="center"/>
              <w:rPr>
                <w:rFonts w:ascii="宋体" w:hAnsi="宋体"/>
              </w:rPr>
            </w:pPr>
          </w:p>
        </w:tc>
        <w:tc>
          <w:tcPr>
            <w:tcW w:w="1428"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803" w:type="dxa"/>
            <w:vAlign w:val="center"/>
          </w:tcPr>
          <w:p>
            <w:pPr>
              <w:snapToGrid w:val="0"/>
              <w:spacing w:line="360" w:lineRule="auto"/>
              <w:jc w:val="center"/>
              <w:rPr>
                <w:rFonts w:ascii="宋体" w:hAnsi="宋体"/>
              </w:rPr>
            </w:pPr>
            <w:r>
              <w:rPr>
                <w:rFonts w:hint="eastAsia" w:ascii="宋体" w:hAnsi="宋体"/>
              </w:rPr>
              <w:t>2</w:t>
            </w:r>
          </w:p>
        </w:tc>
        <w:tc>
          <w:tcPr>
            <w:tcW w:w="2178" w:type="dxa"/>
            <w:vAlign w:val="center"/>
          </w:tcPr>
          <w:p>
            <w:pPr>
              <w:jc w:val="center"/>
              <w:rPr>
                <w:rFonts w:ascii="宋体" w:hAnsi="宋体"/>
                <w:szCs w:val="28"/>
              </w:rPr>
            </w:pPr>
          </w:p>
        </w:tc>
        <w:tc>
          <w:tcPr>
            <w:tcW w:w="814" w:type="dxa"/>
          </w:tcPr>
          <w:p>
            <w:pPr>
              <w:spacing w:line="360" w:lineRule="auto"/>
              <w:jc w:val="center"/>
              <w:rPr>
                <w:rFonts w:ascii="宋体" w:hAnsi="宋体"/>
              </w:rPr>
            </w:pPr>
          </w:p>
        </w:tc>
        <w:tc>
          <w:tcPr>
            <w:tcW w:w="1215" w:type="dxa"/>
            <w:vAlign w:val="center"/>
          </w:tcPr>
          <w:p>
            <w:pPr>
              <w:spacing w:line="360" w:lineRule="auto"/>
              <w:jc w:val="center"/>
              <w:rPr>
                <w:rFonts w:ascii="宋体" w:hAnsi="宋体"/>
              </w:rPr>
            </w:pPr>
          </w:p>
        </w:tc>
        <w:tc>
          <w:tcPr>
            <w:tcW w:w="1214" w:type="dxa"/>
            <w:vAlign w:val="center"/>
          </w:tcPr>
          <w:p>
            <w:pPr>
              <w:spacing w:line="360" w:lineRule="auto"/>
              <w:jc w:val="center"/>
              <w:rPr>
                <w:rFonts w:ascii="宋体" w:hAnsi="宋体"/>
              </w:rPr>
            </w:pPr>
          </w:p>
        </w:tc>
        <w:tc>
          <w:tcPr>
            <w:tcW w:w="714" w:type="dxa"/>
            <w:vAlign w:val="center"/>
          </w:tcPr>
          <w:p>
            <w:pPr>
              <w:spacing w:line="360" w:lineRule="auto"/>
              <w:jc w:val="center"/>
              <w:rPr>
                <w:rFonts w:ascii="宋体" w:hAnsi="宋体"/>
              </w:rPr>
            </w:pPr>
          </w:p>
        </w:tc>
        <w:tc>
          <w:tcPr>
            <w:tcW w:w="1027" w:type="dxa"/>
            <w:vAlign w:val="center"/>
          </w:tcPr>
          <w:p>
            <w:pPr>
              <w:spacing w:line="360" w:lineRule="auto"/>
              <w:jc w:val="center"/>
              <w:rPr>
                <w:rFonts w:ascii="宋体" w:hAnsi="宋体"/>
              </w:rPr>
            </w:pPr>
          </w:p>
        </w:tc>
        <w:tc>
          <w:tcPr>
            <w:tcW w:w="1428"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965" w:type="dxa"/>
            <w:gridSpan w:val="7"/>
          </w:tcPr>
          <w:p>
            <w:pPr>
              <w:spacing w:line="360" w:lineRule="auto"/>
              <w:jc w:val="center"/>
              <w:rPr>
                <w:rFonts w:ascii="宋体" w:hAnsi="宋体"/>
              </w:rPr>
            </w:pPr>
            <w:r>
              <w:rPr>
                <w:rFonts w:hint="eastAsia" w:ascii="宋体" w:hAnsi="宋体" w:cs="宋体"/>
                <w:b/>
              </w:rPr>
              <w:t>残疾人福利性单位制造的货物总价合计</w:t>
            </w:r>
          </w:p>
        </w:tc>
        <w:tc>
          <w:tcPr>
            <w:tcW w:w="1428" w:type="dxa"/>
            <w:vAlign w:val="center"/>
          </w:tcPr>
          <w:p>
            <w:pPr>
              <w:spacing w:line="360" w:lineRule="auto"/>
              <w:rPr>
                <w:rFonts w:ascii="宋体" w:hAnsi="宋体"/>
              </w:rPr>
            </w:pPr>
            <w:r>
              <w:rPr>
                <w:rFonts w:hint="eastAsia" w:ascii="宋体" w:hAnsi="宋体"/>
              </w:rPr>
              <w:t>￥</w:t>
            </w:r>
          </w:p>
        </w:tc>
      </w:tr>
    </w:tbl>
    <w:p>
      <w:pPr>
        <w:widowControl/>
        <w:jc w:val="left"/>
      </w:pPr>
    </w:p>
    <w:p>
      <w:pPr>
        <w:widowControl/>
        <w:jc w:val="left"/>
      </w:pPr>
      <w:bookmarkStart w:id="166" w:name="_Hlk85296520"/>
      <w:r>
        <w:rPr>
          <w:rFonts w:hint="eastAsia" w:ascii="宋体" w:hAnsi="宋体"/>
          <w:b/>
          <w:sz w:val="28"/>
        </w:rPr>
        <w:t>说明：如未提供则不能享受对残疾人福利性单位制造的货物的价格扣除，</w:t>
      </w:r>
      <w:r>
        <w:rPr>
          <w:rFonts w:ascii="宋体" w:hAnsi="宋体"/>
          <w:b/>
          <w:sz w:val="28"/>
        </w:rPr>
        <w:t>但不影响投标文件的有效性。</w:t>
      </w:r>
    </w:p>
    <w:bookmarkEnd w:id="166"/>
    <w:p>
      <w:pPr>
        <w:widowControl/>
        <w:jc w:val="left"/>
      </w:pPr>
    </w:p>
    <w:p>
      <w:pPr>
        <w:widowControl/>
        <w:jc w:val="left"/>
      </w:pPr>
    </w:p>
    <w:p>
      <w:pPr>
        <w:spacing w:line="360" w:lineRule="auto"/>
        <w:jc w:val="right"/>
        <w:rPr>
          <w:rFonts w:hint="eastAsia" w:ascii="宋体" w:hAnsi="宋体"/>
          <w:sz w:val="28"/>
          <w:lang w:val="zh-CN"/>
        </w:rPr>
      </w:pPr>
    </w:p>
    <w:p>
      <w:pPr>
        <w:spacing w:line="360" w:lineRule="auto"/>
        <w:jc w:val="right"/>
        <w:rPr>
          <w:rFonts w:hint="eastAsia" w:ascii="宋体" w:hAnsi="宋体"/>
          <w:sz w:val="28"/>
          <w:lang w:val="zh-CN"/>
        </w:rPr>
      </w:pPr>
    </w:p>
    <w:p>
      <w:pPr>
        <w:spacing w:line="360" w:lineRule="auto"/>
        <w:jc w:val="right"/>
        <w:rPr>
          <w:rFonts w:hint="eastAsia" w:ascii="宋体" w:hAnsi="宋体"/>
          <w:sz w:val="28"/>
          <w:lang w:val="zh-CN"/>
        </w:rPr>
      </w:pPr>
    </w:p>
    <w:p>
      <w:pPr>
        <w:spacing w:line="360" w:lineRule="auto"/>
        <w:jc w:val="right"/>
        <w:rPr>
          <w:rFonts w:hint="eastAsia" w:ascii="宋体" w:hAnsi="宋体"/>
          <w:sz w:val="28"/>
          <w:lang w:val="zh-CN"/>
        </w:rPr>
      </w:pPr>
    </w:p>
    <w:p>
      <w:pPr>
        <w:spacing w:line="360" w:lineRule="auto"/>
        <w:jc w:val="right"/>
        <w:rPr>
          <w:rFonts w:ascii="宋体" w:hAnsi="宋体"/>
          <w:sz w:val="28"/>
          <w:lang w:val="zh-CN"/>
        </w:rPr>
      </w:pPr>
      <w:r>
        <w:rPr>
          <w:rFonts w:hint="eastAsia" w:ascii="宋体" w:hAnsi="宋体"/>
          <w:sz w:val="28"/>
          <w:lang w:val="zh-CN"/>
        </w:rPr>
        <w:t>投标人名称：</w:t>
      </w:r>
      <w:r>
        <w:rPr>
          <w:rFonts w:ascii="宋体" w:hAnsi="宋体"/>
          <w:sz w:val="28"/>
          <w:u w:val="single"/>
          <w:lang w:val="zh-CN"/>
        </w:rPr>
        <w:t>XXXX</w:t>
      </w:r>
    </w:p>
    <w:p>
      <w:pPr>
        <w:spacing w:line="360" w:lineRule="auto"/>
        <w:jc w:val="right"/>
        <w:rPr>
          <w:rFonts w:ascii="宋体" w:hAnsi="宋体"/>
          <w:bCs/>
          <w:sz w:val="28"/>
        </w:rPr>
      </w:pPr>
      <w:r>
        <w:rPr>
          <w:rFonts w:ascii="宋体" w:hAnsi="宋体"/>
          <w:sz w:val="28"/>
        </w:rPr>
        <w:t>日期：</w:t>
      </w:r>
      <w:r>
        <w:rPr>
          <w:rFonts w:ascii="宋体" w:hAnsi="宋体"/>
          <w:sz w:val="28"/>
          <w:u w:val="single"/>
          <w:lang w:val="zh-CN"/>
        </w:rPr>
        <w:t>XXXX</w:t>
      </w:r>
      <w:r>
        <w:rPr>
          <w:rFonts w:ascii="宋体" w:hAnsi="宋体"/>
          <w:bCs/>
          <w:sz w:val="28"/>
        </w:rPr>
        <w:t>年</w:t>
      </w:r>
      <w:r>
        <w:rPr>
          <w:rFonts w:ascii="宋体" w:hAnsi="宋体"/>
          <w:sz w:val="28"/>
          <w:u w:val="single"/>
          <w:lang w:val="zh-CN"/>
        </w:rPr>
        <w:t>XX</w:t>
      </w:r>
      <w:r>
        <w:rPr>
          <w:rFonts w:ascii="宋体" w:hAnsi="宋体"/>
          <w:bCs/>
          <w:sz w:val="28"/>
        </w:rPr>
        <w:t>月</w:t>
      </w:r>
      <w:r>
        <w:rPr>
          <w:rFonts w:ascii="宋体" w:hAnsi="宋体"/>
          <w:sz w:val="28"/>
          <w:u w:val="single"/>
          <w:lang w:val="zh-CN"/>
        </w:rPr>
        <w:t>XX</w:t>
      </w:r>
      <w:r>
        <w:rPr>
          <w:rFonts w:ascii="宋体" w:hAnsi="宋体"/>
          <w:bCs/>
          <w:sz w:val="28"/>
        </w:rPr>
        <w:t>日</w:t>
      </w:r>
    </w:p>
    <w:p>
      <w:pPr>
        <w:widowControl/>
        <w:jc w:val="left"/>
        <w:rPr>
          <w:rFonts w:ascii="宋体" w:hAnsi="Courier New"/>
          <w:kern w:val="0"/>
          <w:sz w:val="20"/>
          <w:szCs w:val="18"/>
        </w:rPr>
      </w:pPr>
      <w:r>
        <w:br w:type="page"/>
      </w:r>
    </w:p>
    <w:bookmarkEnd w:id="158"/>
    <w:p>
      <w:pPr>
        <w:keepNext/>
        <w:keepLines/>
        <w:numPr>
          <w:ilvl w:val="2"/>
          <w:numId w:val="5"/>
        </w:numPr>
        <w:ind w:left="3118" w:hanging="3118"/>
        <w:outlineLvl w:val="2"/>
        <w:rPr>
          <w:rFonts w:ascii="宋体" w:hAnsi="宋体"/>
          <w:b/>
          <w:bCs/>
          <w:sz w:val="28"/>
          <w:szCs w:val="28"/>
        </w:rPr>
      </w:pPr>
      <w:bookmarkStart w:id="167" w:name="_Toc217446093"/>
      <w:bookmarkStart w:id="168" w:name="_Toc321382057"/>
      <w:bookmarkStart w:id="169" w:name="_Toc316292231"/>
      <w:r>
        <w:rPr>
          <w:rFonts w:hint="eastAsia" w:ascii="宋体" w:hAnsi="宋体"/>
          <w:b/>
          <w:bCs/>
          <w:sz w:val="28"/>
          <w:szCs w:val="28"/>
        </w:rPr>
        <w:t>中小企业声明函</w:t>
      </w:r>
    </w:p>
    <w:p>
      <w:pPr>
        <w:spacing w:line="440" w:lineRule="exact"/>
        <w:ind w:firstLine="574" w:firstLineChars="196"/>
        <w:jc w:val="center"/>
        <w:rPr>
          <w:rFonts w:ascii="宋体" w:hAnsi="宋体"/>
          <w:b/>
          <w:sz w:val="28"/>
          <w:szCs w:val="28"/>
        </w:rPr>
      </w:pPr>
      <w:r>
        <w:rPr>
          <w:rFonts w:hint="eastAsia" w:ascii="宋体" w:hAnsi="宋体"/>
          <w:b/>
          <w:spacing w:val="6"/>
          <w:sz w:val="28"/>
          <w:szCs w:val="28"/>
        </w:rPr>
        <w:t>中小企业声明函</w:t>
      </w:r>
    </w:p>
    <w:p>
      <w:pPr>
        <w:spacing w:line="480" w:lineRule="exact"/>
        <w:ind w:firstLine="561"/>
        <w:rPr>
          <w:rFonts w:ascii="宋体" w:hAnsi="宋体"/>
          <w:sz w:val="26"/>
          <w:szCs w:val="26"/>
        </w:rPr>
      </w:pPr>
      <w:r>
        <w:rPr>
          <w:rFonts w:hint="eastAsia" w:ascii="宋体" w:hAnsi="宋体"/>
          <w:sz w:val="26"/>
          <w:szCs w:val="26"/>
        </w:rPr>
        <w:t>本公司郑重声明，根据《政府采购促进中小企业发展管理办法》（财库﹝2020﹞46 号）的规定，本公司参加</w:t>
      </w:r>
      <w:r>
        <w:rPr>
          <w:rFonts w:hint="eastAsia" w:ascii="宋体" w:hAnsi="宋体" w:cs="宋体"/>
          <w:b/>
          <w:bCs/>
          <w:sz w:val="26"/>
          <w:szCs w:val="26"/>
          <w:u w:val="single"/>
        </w:rPr>
        <w:t>成都市双流区教育技术装备管理中心</w:t>
      </w:r>
      <w:r>
        <w:rPr>
          <w:rFonts w:hint="eastAsia" w:ascii="宋体" w:hAnsi="宋体"/>
          <w:sz w:val="26"/>
          <w:szCs w:val="26"/>
          <w:lang w:eastAsia="zh-CN"/>
        </w:rPr>
        <w:t>的</w:t>
      </w:r>
      <w:r>
        <w:rPr>
          <w:rFonts w:hint="eastAsia" w:ascii="宋体" w:hAnsi="宋体" w:cs="宋体"/>
          <w:b/>
          <w:bCs/>
          <w:sz w:val="26"/>
          <w:szCs w:val="26"/>
          <w:u w:val="single"/>
        </w:rPr>
        <w:t>成都市双流区教育技术装备管理中心2021年艺体中学等2校学术厅显示系统采购项目</w:t>
      </w:r>
      <w:r>
        <w:rPr>
          <w:rFonts w:hint="eastAsia" w:ascii="宋体" w:hAnsi="宋体"/>
          <w:b/>
          <w:bCs/>
          <w:sz w:val="28"/>
          <w:szCs w:val="28"/>
          <w:u w:val="single"/>
        </w:rPr>
        <w:t>（项目编号：双流政采（2021）A0066号）</w:t>
      </w:r>
      <w:r>
        <w:rPr>
          <w:rFonts w:hint="eastAsia" w:ascii="宋体" w:hAnsi="宋体"/>
          <w:sz w:val="26"/>
          <w:szCs w:val="26"/>
        </w:rPr>
        <w:t>采购活动，</w:t>
      </w:r>
      <w:r>
        <w:rPr>
          <w:rFonts w:hint="eastAsia" w:ascii="宋体" w:hAnsi="宋体"/>
          <w:bCs/>
          <w:sz w:val="26"/>
          <w:szCs w:val="26"/>
        </w:rPr>
        <w:t>提供的货物全部由符合政策要求的中小企业制造。</w:t>
      </w:r>
      <w:r>
        <w:rPr>
          <w:rFonts w:hint="eastAsia" w:ascii="宋体" w:hAnsi="宋体"/>
          <w:sz w:val="26"/>
          <w:szCs w:val="26"/>
        </w:rPr>
        <w:t>相关企业的具体情况如下：</w:t>
      </w:r>
    </w:p>
    <w:p>
      <w:pPr>
        <w:spacing w:line="480" w:lineRule="exact"/>
        <w:ind w:firstLine="561"/>
        <w:rPr>
          <w:rFonts w:ascii="宋体" w:hAnsi="宋体" w:cs="宋体"/>
          <w:sz w:val="26"/>
          <w:szCs w:val="26"/>
        </w:rPr>
      </w:pPr>
      <w:r>
        <w:rPr>
          <w:rFonts w:hint="eastAsia" w:ascii="宋体" w:hAnsi="宋体" w:cs="宋体"/>
          <w:sz w:val="26"/>
          <w:szCs w:val="26"/>
        </w:rPr>
        <w:t xml:space="preserve"> 1</w:t>
      </w:r>
      <w:r>
        <w:rPr>
          <w:rFonts w:hint="eastAsia" w:ascii="宋体" w:hAnsi="宋体" w:cs="宋体"/>
          <w:b/>
          <w:bCs/>
          <w:sz w:val="26"/>
          <w:szCs w:val="26"/>
          <w:u w:val="single"/>
        </w:rPr>
        <w:t>.XXXX（</w:t>
      </w:r>
      <w:r>
        <w:rPr>
          <w:rFonts w:hint="eastAsia" w:ascii="宋体" w:hAnsi="宋体" w:cs="宋体"/>
          <w:sz w:val="26"/>
          <w:szCs w:val="26"/>
        </w:rPr>
        <w:t>标的名称），属于</w:t>
      </w:r>
      <w:r>
        <w:rPr>
          <w:rFonts w:hint="eastAsia" w:ascii="宋体" w:hAnsi="宋体" w:cs="宋体"/>
          <w:b/>
          <w:bCs/>
          <w:sz w:val="26"/>
          <w:szCs w:val="26"/>
          <w:u w:val="single"/>
        </w:rPr>
        <w:t>工业</w:t>
      </w:r>
      <w:r>
        <w:rPr>
          <w:rFonts w:hint="eastAsia" w:ascii="宋体" w:hAnsi="宋体" w:cs="宋体"/>
          <w:sz w:val="26"/>
          <w:szCs w:val="26"/>
        </w:rPr>
        <w:t>（采购文件中明确的所属行业）行业；制造商为</w:t>
      </w:r>
      <w:r>
        <w:rPr>
          <w:rFonts w:hint="eastAsia" w:ascii="宋体" w:hAnsi="宋体" w:cs="宋体"/>
          <w:b/>
          <w:bCs/>
          <w:sz w:val="26"/>
          <w:szCs w:val="26"/>
          <w:u w:val="single"/>
        </w:rPr>
        <w:t xml:space="preserve"> XXXX </w:t>
      </w:r>
      <w:r>
        <w:rPr>
          <w:rFonts w:hint="eastAsia" w:ascii="宋体" w:hAnsi="宋体" w:cs="宋体"/>
          <w:sz w:val="26"/>
          <w:szCs w:val="26"/>
        </w:rPr>
        <w:t>（企业名称），从业人员</w:t>
      </w:r>
      <w:r>
        <w:rPr>
          <w:rFonts w:hint="eastAsia" w:ascii="宋体" w:hAnsi="宋体" w:cs="宋体"/>
          <w:b/>
          <w:bCs/>
          <w:sz w:val="26"/>
          <w:szCs w:val="26"/>
          <w:u w:val="single"/>
        </w:rPr>
        <w:t xml:space="preserve"> XXXX </w:t>
      </w:r>
      <w:r>
        <w:rPr>
          <w:rFonts w:hint="eastAsia" w:ascii="宋体" w:hAnsi="宋体" w:cs="宋体"/>
          <w:sz w:val="26"/>
          <w:szCs w:val="26"/>
        </w:rPr>
        <w:t>人，营业收入为</w:t>
      </w:r>
      <w:r>
        <w:rPr>
          <w:rFonts w:hint="eastAsia" w:ascii="宋体" w:hAnsi="宋体" w:cs="宋体"/>
          <w:b/>
          <w:bCs/>
          <w:sz w:val="26"/>
          <w:szCs w:val="26"/>
          <w:u w:val="single"/>
        </w:rPr>
        <w:t xml:space="preserve"> XXXX </w:t>
      </w:r>
      <w:r>
        <w:rPr>
          <w:rFonts w:hint="eastAsia" w:ascii="宋体" w:hAnsi="宋体" w:cs="宋体"/>
          <w:sz w:val="26"/>
          <w:szCs w:val="26"/>
        </w:rPr>
        <w:t>万元，资产总额为</w:t>
      </w:r>
      <w:r>
        <w:rPr>
          <w:rFonts w:hint="eastAsia" w:ascii="宋体" w:hAnsi="宋体" w:cs="宋体"/>
          <w:b/>
          <w:bCs/>
          <w:sz w:val="26"/>
          <w:szCs w:val="26"/>
          <w:u w:val="single"/>
        </w:rPr>
        <w:t xml:space="preserve"> XXXX </w:t>
      </w:r>
      <w:r>
        <w:rPr>
          <w:rFonts w:hint="eastAsia" w:ascii="宋体" w:hAnsi="宋体" w:cs="宋体"/>
          <w:sz w:val="26"/>
          <w:szCs w:val="26"/>
        </w:rPr>
        <w:t>万元，属于</w:t>
      </w:r>
      <w:r>
        <w:rPr>
          <w:rFonts w:hint="eastAsia" w:ascii="宋体" w:hAnsi="宋体" w:cs="宋体"/>
          <w:b/>
          <w:bCs/>
          <w:sz w:val="26"/>
          <w:szCs w:val="26"/>
          <w:u w:val="single"/>
        </w:rPr>
        <w:t xml:space="preserve"> XXXX </w:t>
      </w:r>
      <w:r>
        <w:rPr>
          <w:rFonts w:hint="eastAsia" w:ascii="宋体" w:hAnsi="宋体" w:cs="宋体"/>
          <w:sz w:val="26"/>
          <w:szCs w:val="26"/>
        </w:rPr>
        <w:t>（中型企业、小型企业、微型企业）。</w:t>
      </w:r>
    </w:p>
    <w:p>
      <w:pPr>
        <w:spacing w:line="480" w:lineRule="exact"/>
        <w:ind w:firstLine="561"/>
        <w:rPr>
          <w:rFonts w:ascii="宋体" w:hAnsi="宋体" w:cs="宋体"/>
          <w:sz w:val="26"/>
          <w:szCs w:val="26"/>
        </w:rPr>
      </w:pPr>
      <w:r>
        <w:rPr>
          <w:rFonts w:hint="eastAsia" w:ascii="宋体" w:hAnsi="宋体" w:cs="宋体"/>
          <w:sz w:val="26"/>
          <w:szCs w:val="26"/>
        </w:rPr>
        <w:t xml:space="preserve">2. </w:t>
      </w:r>
      <w:r>
        <w:rPr>
          <w:rFonts w:hint="eastAsia" w:ascii="宋体" w:hAnsi="宋体" w:cs="宋体"/>
          <w:b/>
          <w:bCs/>
          <w:sz w:val="26"/>
          <w:szCs w:val="26"/>
          <w:u w:val="single"/>
        </w:rPr>
        <w:t>XXXX</w:t>
      </w:r>
      <w:r>
        <w:rPr>
          <w:rFonts w:hint="eastAsia" w:ascii="宋体" w:hAnsi="宋体" w:cs="宋体"/>
          <w:sz w:val="26"/>
          <w:szCs w:val="26"/>
        </w:rPr>
        <w:t>（标的名称），属于</w:t>
      </w:r>
      <w:r>
        <w:rPr>
          <w:rFonts w:hint="eastAsia" w:ascii="宋体" w:hAnsi="宋体" w:cs="宋体"/>
          <w:b/>
          <w:bCs/>
          <w:sz w:val="26"/>
          <w:szCs w:val="26"/>
          <w:u w:val="single"/>
        </w:rPr>
        <w:t>工业</w:t>
      </w:r>
      <w:r>
        <w:rPr>
          <w:rFonts w:hint="eastAsia" w:ascii="宋体" w:hAnsi="宋体" w:cs="宋体"/>
          <w:sz w:val="26"/>
          <w:szCs w:val="26"/>
        </w:rPr>
        <w:t>（采购文件中明确的所属行业）行业；制造商为</w:t>
      </w:r>
      <w:r>
        <w:rPr>
          <w:rFonts w:hint="eastAsia" w:ascii="宋体" w:hAnsi="宋体" w:cs="宋体"/>
          <w:b/>
          <w:bCs/>
          <w:sz w:val="26"/>
          <w:szCs w:val="26"/>
          <w:u w:val="single"/>
        </w:rPr>
        <w:t xml:space="preserve"> XXXX </w:t>
      </w:r>
      <w:r>
        <w:rPr>
          <w:rFonts w:hint="eastAsia" w:ascii="宋体" w:hAnsi="宋体" w:cs="宋体"/>
          <w:sz w:val="26"/>
          <w:szCs w:val="26"/>
        </w:rPr>
        <w:t>（企业名称），从业人员</w:t>
      </w:r>
      <w:r>
        <w:rPr>
          <w:rFonts w:hint="eastAsia" w:ascii="宋体" w:hAnsi="宋体" w:cs="宋体"/>
          <w:b/>
          <w:bCs/>
          <w:sz w:val="26"/>
          <w:szCs w:val="26"/>
          <w:u w:val="single"/>
        </w:rPr>
        <w:t xml:space="preserve"> XXXX </w:t>
      </w:r>
      <w:r>
        <w:rPr>
          <w:rFonts w:hint="eastAsia" w:ascii="宋体" w:hAnsi="宋体" w:cs="宋体"/>
          <w:sz w:val="26"/>
          <w:szCs w:val="26"/>
        </w:rPr>
        <w:t>人，营业收入为</w:t>
      </w:r>
      <w:r>
        <w:rPr>
          <w:rFonts w:hint="eastAsia" w:ascii="宋体" w:hAnsi="宋体" w:cs="宋体"/>
          <w:b/>
          <w:bCs/>
          <w:sz w:val="26"/>
          <w:szCs w:val="26"/>
          <w:u w:val="single"/>
        </w:rPr>
        <w:t xml:space="preserve"> XXXX </w:t>
      </w:r>
      <w:r>
        <w:rPr>
          <w:rFonts w:hint="eastAsia" w:ascii="宋体" w:hAnsi="宋体" w:cs="宋体"/>
          <w:sz w:val="26"/>
          <w:szCs w:val="26"/>
        </w:rPr>
        <w:t>万元，资产总额为</w:t>
      </w:r>
      <w:r>
        <w:rPr>
          <w:rFonts w:hint="eastAsia" w:ascii="宋体" w:hAnsi="宋体" w:cs="宋体"/>
          <w:b/>
          <w:bCs/>
          <w:sz w:val="26"/>
          <w:szCs w:val="26"/>
          <w:u w:val="single"/>
        </w:rPr>
        <w:t xml:space="preserve"> XXXX </w:t>
      </w:r>
      <w:r>
        <w:rPr>
          <w:rFonts w:hint="eastAsia" w:ascii="宋体" w:hAnsi="宋体" w:cs="宋体"/>
          <w:sz w:val="26"/>
          <w:szCs w:val="26"/>
        </w:rPr>
        <w:t>万元，属于</w:t>
      </w:r>
      <w:r>
        <w:rPr>
          <w:rFonts w:hint="eastAsia" w:ascii="宋体" w:hAnsi="宋体" w:cs="宋体"/>
          <w:b/>
          <w:bCs/>
          <w:sz w:val="26"/>
          <w:szCs w:val="26"/>
          <w:u w:val="single"/>
        </w:rPr>
        <w:t xml:space="preserve"> XXXX </w:t>
      </w:r>
      <w:r>
        <w:rPr>
          <w:rFonts w:hint="eastAsia" w:ascii="宋体" w:hAnsi="宋体" w:cs="宋体"/>
          <w:sz w:val="26"/>
          <w:szCs w:val="26"/>
        </w:rPr>
        <w:t>（中型企业、小型企业、微型企业）。</w:t>
      </w:r>
    </w:p>
    <w:p>
      <w:pPr>
        <w:spacing w:line="480" w:lineRule="exact"/>
        <w:ind w:firstLine="561"/>
        <w:rPr>
          <w:rFonts w:ascii="宋体" w:hAnsi="宋体"/>
          <w:sz w:val="26"/>
          <w:szCs w:val="26"/>
        </w:rPr>
      </w:pPr>
      <w:r>
        <w:rPr>
          <w:rFonts w:hint="eastAsia" w:ascii="宋体" w:hAnsi="宋体"/>
          <w:sz w:val="26"/>
          <w:szCs w:val="26"/>
        </w:rPr>
        <w:t>以上企业，不属于大企业的分支机构，不存在控股股东 为大企业的情形，也不存在与大企业的负责人为同一人的情形。</w:t>
      </w:r>
    </w:p>
    <w:p>
      <w:pPr>
        <w:spacing w:line="480" w:lineRule="exact"/>
        <w:ind w:firstLine="561"/>
        <w:rPr>
          <w:rFonts w:ascii="宋体" w:hAnsi="宋体"/>
          <w:sz w:val="26"/>
          <w:szCs w:val="26"/>
        </w:rPr>
      </w:pPr>
      <w:r>
        <w:rPr>
          <w:rFonts w:hint="eastAsia" w:ascii="宋体" w:hAnsi="宋体"/>
          <w:sz w:val="26"/>
          <w:szCs w:val="26"/>
        </w:rPr>
        <w:t>本企业对上述声明内容的真实性负责。如有虚假，将依法承担相应责任。</w:t>
      </w:r>
    </w:p>
    <w:p>
      <w:pPr>
        <w:spacing w:after="120" w:line="360" w:lineRule="auto"/>
        <w:ind w:firstLine="560" w:firstLineChars="200"/>
        <w:rPr>
          <w:rFonts w:ascii="宋体" w:hAnsi="宋体"/>
          <w:bCs/>
          <w:sz w:val="28"/>
          <w:szCs w:val="28"/>
        </w:rPr>
      </w:pPr>
    </w:p>
    <w:p>
      <w:pPr>
        <w:spacing w:after="120" w:line="360" w:lineRule="auto"/>
        <w:ind w:firstLine="560" w:firstLine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ab/>
      </w:r>
      <w:r>
        <w:rPr>
          <w:rFonts w:hint="eastAsia" w:ascii="宋体" w:hAnsi="宋体"/>
          <w:bCs/>
          <w:sz w:val="28"/>
          <w:szCs w:val="28"/>
          <w:u w:val="single"/>
        </w:rPr>
        <w:t>XXXX</w:t>
      </w:r>
    </w:p>
    <w:p>
      <w:pPr>
        <w:spacing w:after="120" w:line="360" w:lineRule="auto"/>
        <w:ind w:firstLine="560" w:firstLineChars="200"/>
        <w:rPr>
          <w:rFonts w:ascii="宋体" w:hAnsi="宋体"/>
          <w:bCs/>
          <w:sz w:val="28"/>
        </w:rPr>
      </w:pPr>
      <w:r>
        <w:rPr>
          <w:rFonts w:hint="eastAsia" w:ascii="宋体" w:hAnsi="宋体"/>
          <w:sz w:val="28"/>
        </w:rPr>
        <w:t>日期：</w:t>
      </w:r>
      <w:r>
        <w:rPr>
          <w:rFonts w:hint="eastAsia" w:ascii="宋体" w:hAnsi="宋体"/>
          <w:bCs/>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pacing w:after="120" w:line="360" w:lineRule="auto"/>
        <w:ind w:firstLine="560" w:firstLineChars="200"/>
        <w:rPr>
          <w:rFonts w:ascii="宋体" w:hAnsi="宋体"/>
          <w:bCs/>
          <w:sz w:val="28"/>
          <w:szCs w:val="28"/>
        </w:rPr>
      </w:pPr>
    </w:p>
    <w:p>
      <w:pPr>
        <w:spacing w:line="360" w:lineRule="auto"/>
        <w:ind w:firstLine="562" w:firstLineChars="200"/>
        <w:rPr>
          <w:rFonts w:ascii="宋体" w:hAnsi="宋体" w:cs="宋体"/>
          <w:sz w:val="26"/>
          <w:szCs w:val="26"/>
        </w:rPr>
      </w:pPr>
      <w:r>
        <w:rPr>
          <w:rFonts w:hint="eastAsia" w:ascii="宋体" w:hAnsi="宋体"/>
          <w:b/>
          <w:sz w:val="28"/>
          <w:szCs w:val="28"/>
        </w:rPr>
        <w:t>说明：</w:t>
      </w:r>
      <w:r>
        <w:rPr>
          <w:rFonts w:hint="eastAsia" w:ascii="宋体" w:hAnsi="宋体" w:cs="宋体"/>
          <w:sz w:val="26"/>
          <w:szCs w:val="26"/>
        </w:rPr>
        <w:t>①本项目为非专门面向中小企业采购，提供了《残疾人福利性单位声明函》或监狱企业证明文件的，可不提供；如未提供《中小企业声明函》或《残疾人福利性单位声明函》或监狱企业证明文件，不能享受招标文件规定的价格扣除，但不影响投标人投标文件的有效性。</w:t>
      </w:r>
    </w:p>
    <w:p>
      <w:pPr>
        <w:spacing w:line="360" w:lineRule="auto"/>
        <w:ind w:firstLine="520" w:firstLineChars="200"/>
        <w:rPr>
          <w:rFonts w:ascii="宋体" w:hAnsi="宋体" w:cs="宋体"/>
          <w:sz w:val="26"/>
          <w:szCs w:val="26"/>
        </w:rPr>
      </w:pPr>
      <w:r>
        <w:rPr>
          <w:rFonts w:hint="eastAsia" w:ascii="宋体" w:hAnsi="宋体" w:cs="宋体"/>
          <w:sz w:val="26"/>
          <w:szCs w:val="26"/>
        </w:rPr>
        <w:t>②从业人员、营业收入、资产总额填报上一年度数据，无上一年度数据的新成立的企业可不填报。</w:t>
      </w:r>
    </w:p>
    <w:p>
      <w:pPr>
        <w:spacing w:line="360" w:lineRule="auto"/>
        <w:ind w:firstLine="520" w:firstLineChars="200"/>
        <w:rPr>
          <w:rFonts w:ascii="宋体" w:hAnsi="宋体" w:cs="宋体"/>
          <w:sz w:val="26"/>
          <w:szCs w:val="26"/>
        </w:rPr>
      </w:pPr>
      <w:r>
        <w:rPr>
          <w:rFonts w:hint="eastAsia" w:ascii="宋体" w:hAnsi="宋体" w:cs="宋体"/>
          <w:sz w:val="26"/>
          <w:szCs w:val="26"/>
        </w:rPr>
        <w:t>③投标人参加政府采购活动时，提供虚假中小企业声明函的，以提供虚假材料谋取中标处理。</w:t>
      </w:r>
    </w:p>
    <w:p>
      <w:pPr>
        <w:spacing w:line="360" w:lineRule="auto"/>
        <w:ind w:right="280" w:firstLine="561"/>
        <w:rPr>
          <w:rFonts w:ascii="宋体" w:hAnsi="宋体" w:cs="宋体"/>
          <w:sz w:val="26"/>
          <w:szCs w:val="26"/>
        </w:rPr>
      </w:pPr>
      <w:r>
        <w:rPr>
          <w:rFonts w:hint="eastAsia" w:ascii="宋体" w:hAnsi="宋体" w:cs="宋体"/>
          <w:sz w:val="26"/>
          <w:szCs w:val="26"/>
        </w:rPr>
        <w:t>④投标人为非企业单位的，如民办非企业、基金会、协会、服务中心、农村承包经营户、学会等非工商(市场监管)登记注册的组织均不适用此声明函，不得提供中小企业声明函，提供此声明的，声明无效。</w:t>
      </w:r>
    </w:p>
    <w:p>
      <w:pPr>
        <w:spacing w:line="360" w:lineRule="auto"/>
        <w:ind w:right="280" w:firstLine="561"/>
        <w:rPr>
          <w:rFonts w:ascii="宋体" w:hAnsi="宋体" w:cs="宋体"/>
          <w:sz w:val="26"/>
          <w:szCs w:val="26"/>
        </w:rPr>
      </w:pPr>
      <w:r>
        <w:rPr>
          <w:rFonts w:hint="eastAsia" w:ascii="宋体" w:hAnsi="宋体" w:cs="宋体"/>
          <w:sz w:val="26"/>
          <w:szCs w:val="26"/>
        </w:rPr>
        <w:t>⑤投标人如为分支机构的，则需提供由总公司出具的中小企业声明函复印件。</w:t>
      </w:r>
    </w:p>
    <w:p>
      <w:pPr>
        <w:spacing w:line="360" w:lineRule="auto"/>
        <w:ind w:right="280" w:firstLine="561"/>
        <w:rPr>
          <w:rFonts w:ascii="宋体" w:hAnsi="宋体"/>
          <w:b/>
          <w:sz w:val="28"/>
          <w:szCs w:val="28"/>
        </w:rPr>
      </w:pPr>
      <w:r>
        <w:rPr>
          <w:rFonts w:hint="eastAsia" w:ascii="宋体" w:hAnsi="宋体" w:cs="宋体"/>
          <w:sz w:val="26"/>
          <w:szCs w:val="26"/>
        </w:rPr>
        <w:t>⑥投标人根据《工业和信息化部、国家统计局、国家发展和改革委员会、财政部关于印发中小企业划型标准规定的通知》（工信部联企业[2011]300号）规定的划分标准填写中小企业声明函。</w:t>
      </w:r>
    </w:p>
    <w:p>
      <w:pPr>
        <w:rPr>
          <w:rFonts w:ascii="宋体" w:hAnsi="宋体"/>
          <w:b/>
          <w:bCs/>
          <w:sz w:val="28"/>
          <w:szCs w:val="28"/>
        </w:rPr>
      </w:pPr>
      <w:r>
        <w:rPr>
          <w:rFonts w:hint="eastAsia" w:ascii="宋体" w:hAnsi="宋体"/>
          <w:b/>
          <w:bCs/>
          <w:sz w:val="28"/>
          <w:szCs w:val="28"/>
        </w:rPr>
        <w:br w:type="page"/>
      </w:r>
    </w:p>
    <w:p>
      <w:pPr>
        <w:keepNext/>
        <w:keepLines/>
        <w:numPr>
          <w:ilvl w:val="2"/>
          <w:numId w:val="5"/>
        </w:numPr>
        <w:spacing w:before="240" w:beforeLines="100" w:line="360" w:lineRule="auto"/>
        <w:ind w:left="3118" w:hanging="3118"/>
        <w:outlineLvl w:val="2"/>
        <w:rPr>
          <w:rFonts w:ascii="宋体" w:hAnsi="宋体"/>
          <w:b/>
          <w:bCs/>
          <w:sz w:val="28"/>
          <w:szCs w:val="28"/>
        </w:rPr>
      </w:pPr>
      <w:r>
        <w:rPr>
          <w:rFonts w:hint="eastAsia" w:ascii="宋体" w:hAnsi="宋体"/>
          <w:b/>
          <w:bCs/>
          <w:sz w:val="28"/>
          <w:szCs w:val="28"/>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b/>
          <w:sz w:val="28"/>
          <w:szCs w:val="28"/>
          <w:u w:val="single"/>
        </w:rPr>
        <w:t>成都市双流区教育技术装备管理中心</w:t>
      </w:r>
      <w:r>
        <w:rPr>
          <w:rFonts w:ascii="宋体" w:hAnsi="宋体"/>
          <w:spacing w:val="6"/>
          <w:sz w:val="28"/>
          <w:szCs w:val="28"/>
        </w:rPr>
        <w:t>的</w:t>
      </w:r>
      <w:r>
        <w:rPr>
          <w:rFonts w:hint="eastAsia" w:ascii="宋体" w:hAnsi="宋体"/>
          <w:b/>
          <w:sz w:val="28"/>
          <w:szCs w:val="28"/>
          <w:u w:val="single"/>
        </w:rPr>
        <w:t>成都市双流区教育技术装备管理中心2021年艺体中学等2校学术厅显示系统采购项目（项目编号：双流政采（2021）A0066号）</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tabs>
          <w:tab w:val="left" w:pos="3969"/>
        </w:tabs>
        <w:spacing w:line="588" w:lineRule="exact"/>
        <w:ind w:right="526" w:firstLine="584" w:firstLineChars="200"/>
        <w:rPr>
          <w:rFonts w:ascii="宋体" w:hAnsi="宋体"/>
          <w:spacing w:val="6"/>
          <w:sz w:val="28"/>
          <w:szCs w:val="28"/>
        </w:rPr>
      </w:pPr>
      <w:r>
        <w:rPr>
          <w:rFonts w:hint="eastAsia" w:ascii="宋体" w:hAnsi="宋体"/>
          <w:spacing w:val="6"/>
          <w:sz w:val="28"/>
          <w:szCs w:val="28"/>
        </w:rPr>
        <w:t>投标人名称：</w:t>
      </w:r>
      <w:r>
        <w:rPr>
          <w:rFonts w:hint="eastAsia" w:ascii="宋体" w:hAnsi="宋体"/>
          <w:spacing w:val="6"/>
          <w:sz w:val="28"/>
          <w:szCs w:val="28"/>
          <w:u w:val="single"/>
        </w:rPr>
        <w:t>XXXX</w:t>
      </w:r>
    </w:p>
    <w:p>
      <w:pPr>
        <w:tabs>
          <w:tab w:val="left" w:pos="3969"/>
        </w:tabs>
        <w:spacing w:line="588" w:lineRule="exact"/>
        <w:ind w:right="1110" w:firstLine="584" w:firstLineChars="200"/>
        <w:rPr>
          <w:rFonts w:ascii="宋体" w:hAnsi="宋体"/>
          <w:bCs/>
          <w:sz w:val="28"/>
        </w:rPr>
      </w:pPr>
      <w:r>
        <w:rPr>
          <w:rFonts w:hint="eastAsia" w:ascii="宋体" w:hAnsi="宋体"/>
          <w:spacing w:val="6"/>
          <w:sz w:val="28"/>
          <w:szCs w:val="28"/>
        </w:rPr>
        <w:t>日  期：</w:t>
      </w:r>
      <w:r>
        <w:rPr>
          <w:rFonts w:hint="eastAsia" w:ascii="宋体" w:hAnsi="宋体"/>
          <w:spacing w:val="6"/>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pacing w:line="588" w:lineRule="exact"/>
        <w:ind w:firstLine="563"/>
        <w:rPr>
          <w:rFonts w:ascii="宋体" w:hAnsi="宋体"/>
          <w:b/>
          <w:spacing w:val="6"/>
          <w:sz w:val="28"/>
          <w:szCs w:val="28"/>
        </w:rPr>
      </w:pPr>
    </w:p>
    <w:p>
      <w:pPr>
        <w:spacing w:line="588" w:lineRule="exact"/>
        <w:ind w:firstLine="563"/>
        <w:rPr>
          <w:rFonts w:ascii="宋体" w:hAnsi="宋体"/>
          <w:b/>
          <w:sz w:val="28"/>
          <w:szCs w:val="28"/>
        </w:rPr>
      </w:pPr>
      <w:r>
        <w:rPr>
          <w:rFonts w:hint="eastAsia" w:ascii="宋体" w:hAnsi="宋体"/>
          <w:b/>
          <w:spacing w:val="6"/>
          <w:sz w:val="28"/>
          <w:szCs w:val="28"/>
        </w:rPr>
        <w:t>说明：</w:t>
      </w:r>
      <w:r>
        <w:rPr>
          <w:rFonts w:hint="eastAsia" w:ascii="宋体" w:hAnsi="宋体" w:cs="宋体"/>
          <w:bCs/>
          <w:spacing w:val="6"/>
          <w:sz w:val="28"/>
          <w:szCs w:val="28"/>
        </w:rPr>
        <w:t>提供了《中小企业声明函》或监狱企业证明文件的，可不提供；如未提供《中小企业声明函》或《残疾人福利性单位声明函》或监狱企业证明文件，不能享受招标文件规定的价格扣除，但不影响投标人投标文件的有效性。</w:t>
      </w:r>
    </w:p>
    <w:p>
      <w:pPr>
        <w:pStyle w:val="40"/>
        <w:ind w:left="0" w:firstLine="0"/>
        <w:rPr>
          <w:rFonts w:ascii="宋体" w:hAnsi="宋体"/>
          <w:b/>
          <w:sz w:val="28"/>
          <w:szCs w:val="28"/>
          <w:lang w:eastAsia="zh-CN"/>
        </w:rPr>
      </w:pPr>
    </w:p>
    <w:p>
      <w:pPr>
        <w:rPr>
          <w:rFonts w:ascii="宋体" w:hAnsi="宋体"/>
          <w:spacing w:val="6"/>
          <w:sz w:val="28"/>
          <w:szCs w:val="28"/>
        </w:rPr>
      </w:pPr>
      <w:r>
        <w:rPr>
          <w:rFonts w:hint="eastAsia" w:ascii="宋体" w:hAnsi="宋体"/>
          <w:b/>
          <w:sz w:val="28"/>
          <w:szCs w:val="28"/>
        </w:rPr>
        <w:br w:type="page"/>
      </w:r>
    </w:p>
    <w:p>
      <w:pPr>
        <w:keepNext/>
        <w:keepLines/>
        <w:numPr>
          <w:ilvl w:val="2"/>
          <w:numId w:val="5"/>
        </w:numPr>
        <w:spacing w:line="360" w:lineRule="auto"/>
        <w:ind w:left="3119" w:hanging="3119"/>
        <w:outlineLvl w:val="2"/>
        <w:rPr>
          <w:rFonts w:ascii="宋体" w:hAnsi="宋体"/>
          <w:spacing w:val="6"/>
          <w:sz w:val="28"/>
          <w:szCs w:val="28"/>
        </w:rPr>
      </w:pPr>
      <w:r>
        <w:rPr>
          <w:rFonts w:hint="eastAsia" w:ascii="宋体" w:hAnsi="宋体"/>
          <w:b/>
          <w:sz w:val="28"/>
          <w:szCs w:val="28"/>
        </w:rPr>
        <w:t>投标产品</w:t>
      </w:r>
      <w:r>
        <w:rPr>
          <w:rFonts w:ascii="宋体" w:hAnsi="宋体"/>
          <w:b/>
          <w:sz w:val="28"/>
          <w:szCs w:val="28"/>
        </w:rPr>
        <w:t>制造商属于监狱企业的证明文件复印件</w:t>
      </w:r>
    </w:p>
    <w:p>
      <w:pPr>
        <w:pStyle w:val="51"/>
      </w:pPr>
    </w:p>
    <w:p>
      <w:pPr>
        <w:tabs>
          <w:tab w:val="left" w:pos="3969"/>
        </w:tabs>
        <w:spacing w:line="588" w:lineRule="exact"/>
        <w:ind w:right="-58" w:firstLine="708" w:firstLineChars="253"/>
        <w:rPr>
          <w:rFonts w:ascii="宋体" w:hAnsi="宋体"/>
          <w:spacing w:val="6"/>
          <w:sz w:val="28"/>
          <w:szCs w:val="28"/>
        </w:rPr>
      </w:pPr>
      <w:r>
        <w:rPr>
          <w:rFonts w:hint="eastAsia"/>
          <w:sz w:val="28"/>
          <w:szCs w:val="28"/>
        </w:rPr>
        <w:t>投标</w:t>
      </w:r>
      <w:r>
        <w:rPr>
          <w:sz w:val="28"/>
          <w:szCs w:val="28"/>
        </w:rPr>
        <w:t>产品中为监狱企业制造的货物应提供由省级以上监狱管理局、戒毒管理局（含新疆生产建设兵团）出具的制造商属于监狱企业的证明文件复印件</w:t>
      </w:r>
      <w:r>
        <w:rPr>
          <w:rFonts w:hint="eastAsia"/>
          <w:sz w:val="28"/>
          <w:szCs w:val="28"/>
        </w:rPr>
        <w:t>。</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spacing w:line="588" w:lineRule="exact"/>
        <w:ind w:firstLine="563"/>
        <w:rPr>
          <w:rFonts w:ascii="宋体" w:hAnsi="宋体"/>
          <w:b/>
          <w:sz w:val="28"/>
          <w:szCs w:val="28"/>
        </w:rPr>
      </w:pPr>
      <w:r>
        <w:rPr>
          <w:rFonts w:hint="eastAsia" w:ascii="宋体" w:hAnsi="宋体"/>
          <w:b/>
          <w:spacing w:val="6"/>
          <w:sz w:val="28"/>
          <w:szCs w:val="28"/>
        </w:rPr>
        <w:t>说明：</w:t>
      </w:r>
      <w:r>
        <w:rPr>
          <w:rFonts w:hint="eastAsia" w:ascii="宋体" w:hAnsi="宋体"/>
          <w:sz w:val="28"/>
          <w:szCs w:val="28"/>
        </w:rPr>
        <w:t>提供了《中小企业声明函》或《残疾人福利性单位声明函》的，可不提供；如未提供《中小企业声明函》或《残疾人福利性单位声明函》或监狱企业证明文件，不能享受招标文件规定的价格扣除，但不影响投标人投标文件的有效性。</w:t>
      </w:r>
    </w:p>
    <w:p>
      <w:pPr>
        <w:pStyle w:val="2"/>
        <w:rPr>
          <w:rFonts w:ascii="宋体" w:hAnsi="宋体"/>
          <w:b/>
          <w:sz w:val="28"/>
          <w:szCs w:val="28"/>
        </w:rPr>
      </w:pPr>
    </w:p>
    <w:p>
      <w:pPr>
        <w:rPr>
          <w:rFonts w:ascii="宋体" w:hAnsi="宋体"/>
          <w:b/>
          <w:sz w:val="28"/>
          <w:szCs w:val="28"/>
        </w:rPr>
      </w:pPr>
    </w:p>
    <w:p>
      <w:pPr>
        <w:pStyle w:val="2"/>
      </w:pPr>
    </w:p>
    <w:p/>
    <w:p>
      <w:pPr>
        <w:pStyle w:val="51"/>
      </w:pPr>
    </w:p>
    <w:p/>
    <w:p>
      <w:pPr>
        <w:rPr>
          <w:rFonts w:ascii="宋体" w:hAnsi="宋体"/>
          <w:b/>
          <w:bCs/>
          <w:spacing w:val="-20"/>
          <w:kern w:val="44"/>
          <w:sz w:val="32"/>
          <w:szCs w:val="32"/>
        </w:rPr>
      </w:pPr>
      <w:r>
        <w:rPr>
          <w:rFonts w:hint="eastAsia" w:ascii="宋体" w:hAnsi="宋体"/>
          <w:b/>
          <w:bCs/>
          <w:spacing w:val="-20"/>
          <w:kern w:val="44"/>
          <w:sz w:val="32"/>
          <w:szCs w:val="32"/>
        </w:rPr>
        <w:br w:type="page"/>
      </w:r>
    </w:p>
    <w:p>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70" w:name="_Toc85657308"/>
      <w:r>
        <w:rPr>
          <w:rFonts w:hint="eastAsia" w:ascii="宋体" w:hAnsi="宋体"/>
          <w:b/>
          <w:bCs/>
          <w:spacing w:val="-20"/>
          <w:kern w:val="44"/>
          <w:sz w:val="32"/>
          <w:szCs w:val="32"/>
        </w:rPr>
        <w:t>招标项目技术、服务、商务及其他要求</w:t>
      </w:r>
      <w:bookmarkEnd w:id="167"/>
      <w:bookmarkEnd w:id="170"/>
    </w:p>
    <w:p>
      <w:pPr>
        <w:pStyle w:val="4"/>
        <w:rPr>
          <w:b w:val="0"/>
          <w:bCs w:val="0"/>
        </w:rPr>
      </w:pPr>
      <w:bookmarkStart w:id="171" w:name="_Toc85657309"/>
      <w:r>
        <w:rPr>
          <w:rFonts w:hint="eastAsia"/>
        </w:rPr>
        <w:t>项目概况</w:t>
      </w:r>
      <w:bookmarkEnd w:id="171"/>
    </w:p>
    <w:p>
      <w:pPr>
        <w:widowControl/>
        <w:adjustRightInd w:val="0"/>
        <w:snapToGrid w:val="0"/>
        <w:spacing w:line="360" w:lineRule="auto"/>
        <w:ind w:firstLine="560" w:firstLineChars="200"/>
        <w:jc w:val="left"/>
        <w:rPr>
          <w:rFonts w:ascii="宋体" w:hAnsi="宋体"/>
          <w:sz w:val="28"/>
          <w:szCs w:val="28"/>
        </w:rPr>
      </w:pPr>
      <w:r>
        <w:rPr>
          <w:rFonts w:hint="eastAsia" w:ascii="宋体" w:hAnsi="宋体"/>
          <w:sz w:val="28"/>
          <w:szCs w:val="28"/>
        </w:rPr>
        <w:t>成都市双流区教育技术装备管理中心因工作需要，拟采购一批货物打造艺体中学等2校学术厅显示系统，以满足学校教学需求。</w:t>
      </w:r>
    </w:p>
    <w:p>
      <w:pPr>
        <w:pStyle w:val="4"/>
      </w:pPr>
      <w:bookmarkStart w:id="172" w:name="_Toc85657310"/>
      <w:r>
        <w:rPr>
          <w:rFonts w:hint="eastAsia"/>
        </w:rPr>
        <w:t>采购内容</w:t>
      </w:r>
      <w:bookmarkEnd w:id="172"/>
      <w:bookmarkStart w:id="173" w:name="_Toc533672602"/>
      <w:bookmarkStart w:id="174" w:name="_Toc529173741"/>
    </w:p>
    <w:p>
      <w:pPr>
        <w:pStyle w:val="5"/>
        <w:rPr>
          <w:b w:val="0"/>
          <w:bCs w:val="0"/>
        </w:rPr>
      </w:pPr>
      <w:bookmarkStart w:id="175" w:name="_Toc23819"/>
      <w:bookmarkStart w:id="176" w:name="_Toc11558"/>
      <w:r>
        <w:rPr>
          <w:rFonts w:hint="eastAsia"/>
        </w:rPr>
        <w:t>技术参数及要求</w:t>
      </w:r>
      <w:bookmarkEnd w:id="175"/>
    </w:p>
    <w:tbl>
      <w:tblPr>
        <w:tblStyle w:val="44"/>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270"/>
        <w:gridCol w:w="6161"/>
        <w:gridCol w:w="818"/>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37"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序号</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设备名称</w:t>
            </w:r>
          </w:p>
        </w:tc>
        <w:tc>
          <w:tcPr>
            <w:tcW w:w="6161" w:type="dxa"/>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参数指标</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数量</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1</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数字调音台A</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5英寸触摸屏，≥800x480彩色触摸屏，≥24个单声道输入，≥5个电动推子，≥3个立体声输入，≥4个立体声FX返回；AES数字输出：≥2通道，48kHz采样率；可设置≥100个场景，可使用USB实现调音台之间的场景和库传输；专用对讲话筒输入：可分配到任意混音，12dB/ 倍频程高通滤波；RTA（实时分析器）: 31段1/3 倍频程20-20kHz，跟随PAFL 源，同时可以通过按fn键切换成光谱图界面；信号发生器：可分配至任何混音，正弦/ 白/ 粉红/ 带通噪声；三种不同类型的用户权限：可对所选功能进行保护并禁止用户的访问；全面调用：前级放大器，处理功能，场景，33个电动推子。</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1</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2</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数字调音台B</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1、≥16个单声道麦克风/线路输入（TRS + XLR）；可调用的AnaLOGIQ TM前置放大器；≥3个立体声输入（TRS）；≥12个混音输出（XLR）；≥7个监听混音（4个单声道+ 3个立体声）。</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1</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3</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线阵列音箱A</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低音单元规格：≥2x6寸低音单元，高音单元规格：≥1x1.3寸高音驱动器；频率响应：80Hz-18kHz(±3dB)，灵敏度（1W/1M):94dB，标称阻抗：8Ω；输入功率：≥300W（额定）/≥600W（峰值）；最大声压级：≥128dB，覆盖角度（HxV):90°x10°。</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6</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4</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线阵列音箱B</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低音单元规格：≥2x8寸低音单元，高音单元规格：≥1x3寸高音驱动器；频率响应：70Hz-18kHz(±3dB)，灵敏度（1W/1M):103dB，标称阻抗：8Ω；输入功率：≥600W（额定）/≥1200W（峰值），最大声压级：≥129dB.覆盖角度（HxV):90°x10°。</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12</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5</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线阵列音箱功率放大器</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sz w:val="20"/>
                <w:szCs w:val="20"/>
              </w:rPr>
              <w:t>1、具有短路、过热、过载、过流、输出直流、软启动、电流熔断保护，变压器过热保护；8Ω立体声输出功率≥1000W×4，4Ω立体声输出功率≥1500W×4；频率响应20Hz-20KHz(±0.5dB)，信噪比&gt;105dB，失真度&lt;0.05%@8Ω1KHz，阻尼系数&gt;550，串音&gt;100dB@8Ω1KHzA计权；输入阻抗20KΩ平衡；10KΩ非平衡，输入灵敏度0.775V1.0V1.44V。</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5</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6</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线阵次低音音箱A</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1、低音单元规格：≥1x15寸低音单元；频率响应：45Hz-300Hz(+/-3dB)，灵敏度（1W/1M):98dB，最大声压级：≥134dB，标称阻抗：8Ω；额定功率：≥500W。</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2</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7</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线阵次低音音箱B</w:t>
            </w:r>
          </w:p>
        </w:tc>
        <w:tc>
          <w:tcPr>
            <w:tcW w:w="6161" w:type="dxa"/>
          </w:tcPr>
          <w:p>
            <w:pPr>
              <w:widowControl/>
              <w:jc w:val="left"/>
              <w:rPr>
                <w:rFonts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kern w:val="0"/>
                <w:sz w:val="20"/>
                <w:szCs w:val="20"/>
                <w:lang w:bidi="ar"/>
              </w:rPr>
              <w:t>1、低音单元规格：≥1x18寸低音单元；频率响应：40Hz-300Hz(±3dB)，灵敏度（1W/1M):≥99dB，标称阻抗：8Ω；输入功率：≥600W（额定）/≥1200W（峰值），最大声压级：≥129dB。</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2</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8</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线阵次低音音箱功率放大器</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具有短路、过热、过载、过流、输出直流、软启动、电流熔断保护，变压器过热保护；8Ω立体声输出功率≥1650W×2，4Ω立体声输出功率≥2400W×2；频率响应20Hz-20KHz(±0.5dB)，信噪比&gt;105dB，失真度&lt;0.05%@8Ω1KHz，阻尼系数&gt;550；转换速率40V/μS，串音&gt;100dB@8Ω1KHzA计权，输入灵敏度0.775V1.0V1.44V，输入阻抗20KΩ平衡；10KΩ非平衡。</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2</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9</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超低音音箱</w:t>
            </w:r>
          </w:p>
        </w:tc>
        <w:tc>
          <w:tcPr>
            <w:tcW w:w="6161" w:type="dxa"/>
          </w:tcPr>
          <w:p>
            <w:pPr>
              <w:widowControl/>
              <w:tabs>
                <w:tab w:val="left" w:pos="1185"/>
              </w:tabs>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1、单元组成：≥2x18寸；频率响应：33Hz-1000kHz(-3dB)，灵敏度（1W/1M):98dB，标称阻抗：4Ω；输入功率：≥1200W（额定）/≥2400W（峰值），最大声压级：≥137dB。</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2</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10</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超低音音箱功率放大器</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具有短路、过热、过载、过流、输出直流、软启动、电流熔断保护，变压器过热保护；8Ω立体声输出功率≥1650W×2，4Ω立体声输出功率≥2400W×2；频率响应20Hz-20KHz(±0.5dB)，信噪比&gt;105dB，失真度&lt;0.05%@8Ω1KHz，阻尼系数&gt;550；转换速率40V/μS，串音&gt;100dB@8Ω1KHzA计权，输入灵敏度0.775V1.0V1.44V，输入阻抗20KΩ平衡；10KΩ非平衡。</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1</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11</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补声音箱</w:t>
            </w:r>
          </w:p>
        </w:tc>
        <w:tc>
          <w:tcPr>
            <w:tcW w:w="6161" w:type="dxa"/>
          </w:tcPr>
          <w:p>
            <w:pPr>
              <w:widowControl/>
              <w:tabs>
                <w:tab w:val="left" w:pos="1057"/>
              </w:tabs>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1、低音单元：≥1x10寸低音.高音单元：≥1x1.3寸高音；频率响应：70-20kHz(±3dB)，灵敏度（1W/1M):95dB，最大声压级：≥121dB，阻抗：8Ω；功率：≥200W（额定）/≥400W（峰值）。</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16</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12</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补声功率放大器</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具有短路、过热、过载、过流、输出直流、软启动、电流熔断保护，变压器过热保护；8Ω立体声输出功率≥400W×4，4Ω立体声输出功率≥600W×4；频率响应20Hz-20KHz(±0.5dB)，信噪比&gt;105dB，失真度&lt;0.05%@8Ω1KHz，阻尼系数&gt;550，串音&gt;100dB@8Ω1KHzA计权；输入阻抗20KΩ平衡；10KΩ非平衡，输入灵敏度0.775V1.0V1.44V。</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3</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13</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舞台返听音箱</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1、低音单元：≥1x12寸中低音，高音单元：≥1x1.75寸高音；频率响应：55-20kHz(±3dB)，灵敏度（1W/1M):97dB，最大声压级：≥125dB，阻抗：8Ω；功率：≥350W（额定）/≥700W（峰值）。</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6</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14</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舞台返听音箱功率放大器</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8Ω立体声输出功率≥800W×4，4Ω立体声输出功率≥1200W×4，2Ω立体声输出功率≥1000W×4，4Ω桥接输出功率1400W×21000W×2+1400W×1.8Ω，桥接输出功率2100W×2800W×2+1200W×1；输出电路类型：D类，工作效力达到93%，频率响应20Hz-20KHz(±0.3dB)，信噪比≥109dB，串音衰减≥86dB，阻尼系数≥1000；互调失真≤0.02%，转换速率45V/μS，灵敏度输入信号0.775V，输入阻抗20KΩ（平衡输入）。</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3</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15</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辅助音箱</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1、低音单元：≥1x15寸低音，高音单元：≥1x3寸高音；频率响应：55-18kHz(±3dB)，灵敏度（1W/1M):98dB，最大声压级：≥127dB，阻抗：8Ω；功率：≥450W（额定）/≥900W（峰值）。</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6</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16</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辅助音箱功率放大器</w:t>
            </w:r>
          </w:p>
        </w:tc>
        <w:tc>
          <w:tcPr>
            <w:tcW w:w="6161" w:type="dxa"/>
          </w:tcPr>
          <w:p>
            <w:pPr>
              <w:widowControl/>
              <w:tabs>
                <w:tab w:val="left" w:pos="1914"/>
              </w:tabs>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8Ω立体声输出功率≥800W×4，4Ω立体声输出功率≥1200W×4，2Ω立体声输出功率≥1000W×4，4Ω桥接输出功率1400W×21000W×2+1400W×1.8Ω，桥接输出功率2100W×2800W×2+1200W×1；输出电路类型：D类，工作效力达到93%，频率响应20Hz-20KHz(±0.3dB)，信噪比≥109dB，串音衰减≥86dB，阻尼系数≥1000；互调失真≤0.02%，转换速率45V/μS，灵敏度输入信号0.775V，输入阻抗20KΩ（平衡输入）。</w:t>
            </w:r>
            <w:r>
              <w:rPr>
                <w:rFonts w:hint="eastAsia" w:asciiTheme="minorEastAsia" w:hAnsiTheme="minorEastAsia" w:eastAsiaTheme="minorEastAsia" w:cstheme="minorEastAsia"/>
                <w:kern w:val="0"/>
                <w:sz w:val="20"/>
                <w:szCs w:val="20"/>
              </w:rPr>
              <w:tab/>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2</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17</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音频矩阵</w:t>
            </w:r>
          </w:p>
        </w:tc>
        <w:tc>
          <w:tcPr>
            <w:tcW w:w="6161" w:type="dxa"/>
          </w:tcPr>
          <w:p>
            <w:pPr>
              <w:widowControl/>
              <w:jc w:val="left"/>
              <w:rPr>
                <w:rFonts w:asciiTheme="minorEastAsia" w:hAnsiTheme="minorEastAsia" w:eastAsiaTheme="minorEastAsia" w:cstheme="minorEastAsia"/>
                <w:b/>
                <w:kern w:val="0"/>
                <w:sz w:val="20"/>
                <w:szCs w:val="20"/>
                <w:lang w:bidi="ar"/>
              </w:rPr>
            </w:pPr>
            <w:r>
              <w:rPr>
                <w:rFonts w:hint="eastAsia" w:asciiTheme="minorEastAsia" w:hAnsiTheme="minorEastAsia" w:eastAsiaTheme="minorEastAsia" w:cstheme="minorEastAsia"/>
                <w:kern w:val="0"/>
                <w:sz w:val="20"/>
                <w:szCs w:val="20"/>
                <w:lang w:bidi="ar"/>
              </w:rPr>
              <w:t>▲1、内置信号发生器、自动混音（AM</w:t>
            </w:r>
            <w:r>
              <w:rPr>
                <w:rFonts w:asciiTheme="minorEastAsia" w:hAnsiTheme="minorEastAsia" w:eastAsiaTheme="minorEastAsia" w:cstheme="minorEastAsia"/>
                <w:kern w:val="0"/>
                <w:sz w:val="20"/>
                <w:szCs w:val="20"/>
                <w:lang w:bidi="ar"/>
              </w:rPr>
              <w:t>）</w:t>
            </w:r>
            <w:r>
              <w:rPr>
                <w:rFonts w:hint="eastAsia" w:asciiTheme="minorEastAsia" w:hAnsiTheme="minorEastAsia" w:eastAsiaTheme="minorEastAsia" w:cstheme="minorEastAsia"/>
                <w:kern w:val="0"/>
                <w:sz w:val="20"/>
                <w:szCs w:val="20"/>
                <w:lang w:bidi="ar"/>
              </w:rPr>
              <w:t>、自动增益控制（AGC</w:t>
            </w:r>
            <w:r>
              <w:rPr>
                <w:rFonts w:asciiTheme="minorEastAsia" w:hAnsiTheme="minorEastAsia" w:eastAsiaTheme="minorEastAsia" w:cstheme="minorEastAsia"/>
                <w:kern w:val="0"/>
                <w:sz w:val="20"/>
                <w:szCs w:val="20"/>
                <w:lang w:bidi="ar"/>
              </w:rPr>
              <w:t>）</w:t>
            </w:r>
            <w:r>
              <w:rPr>
                <w:rFonts w:hint="eastAsia" w:asciiTheme="minorEastAsia" w:hAnsiTheme="minorEastAsia" w:eastAsiaTheme="minorEastAsia" w:cstheme="minorEastAsia"/>
                <w:kern w:val="0"/>
                <w:sz w:val="20"/>
                <w:szCs w:val="20"/>
                <w:lang w:bidi="ar"/>
              </w:rPr>
              <w:t>、反馈消除（AFC</w:t>
            </w:r>
            <w:r>
              <w:rPr>
                <w:rFonts w:asciiTheme="minorEastAsia" w:hAnsiTheme="minorEastAsia" w:eastAsiaTheme="minorEastAsia" w:cstheme="minorEastAsia"/>
                <w:kern w:val="0"/>
                <w:sz w:val="20"/>
                <w:szCs w:val="20"/>
                <w:lang w:bidi="ar"/>
              </w:rPr>
              <w:t>）</w:t>
            </w:r>
            <w:r>
              <w:rPr>
                <w:rFonts w:hint="eastAsia" w:asciiTheme="minorEastAsia" w:hAnsiTheme="minorEastAsia" w:eastAsiaTheme="minorEastAsia" w:cstheme="minorEastAsia"/>
                <w:kern w:val="0"/>
                <w:sz w:val="20"/>
                <w:szCs w:val="20"/>
                <w:lang w:bidi="ar"/>
              </w:rPr>
              <w:t>、回声消除（AEC）等主要算法；</w:t>
            </w:r>
            <w:r>
              <w:rPr>
                <w:rFonts w:hint="eastAsia" w:asciiTheme="minorEastAsia" w:hAnsiTheme="minorEastAsia" w:eastAsiaTheme="minorEastAsia" w:cstheme="minorEastAsia"/>
                <w:b/>
                <w:kern w:val="0"/>
                <w:sz w:val="20"/>
                <w:szCs w:val="20"/>
                <w:lang w:bidi="ar"/>
              </w:rPr>
              <w:t>（提供具有CMA或CNAS或ILAC-MRA标识的第三方检测机构出具的</w:t>
            </w:r>
            <w:r>
              <w:rPr>
                <w:rFonts w:hint="eastAsia" w:asciiTheme="minorEastAsia" w:hAnsiTheme="minorEastAsia" w:eastAsiaTheme="minorEastAsia" w:cstheme="minorEastAsia"/>
                <w:b/>
                <w:color w:val="000000" w:themeColor="text1"/>
                <w:kern w:val="0"/>
                <w:sz w:val="20"/>
                <w:szCs w:val="20"/>
                <w:lang w:bidi="ar"/>
                <w14:textFill>
                  <w14:solidFill>
                    <w14:schemeClr w14:val="tx1"/>
                  </w14:solidFill>
                </w14:textFill>
              </w:rPr>
              <w:t>合法</w:t>
            </w:r>
            <w:r>
              <w:rPr>
                <w:rFonts w:hint="eastAsia" w:asciiTheme="minorEastAsia" w:hAnsiTheme="minorEastAsia" w:eastAsiaTheme="minorEastAsia" w:cstheme="minorEastAsia"/>
                <w:b/>
                <w:kern w:val="0"/>
                <w:sz w:val="20"/>
                <w:szCs w:val="20"/>
                <w:lang w:bidi="ar"/>
              </w:rPr>
              <w:t>有效检验报告复印件）</w:t>
            </w:r>
          </w:p>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2、输入每通道具有：前级放大、信号发生器、扩展器、压缩器、5段参量均衡；输出每通道具有： 31段图示均衡、延时器、分频器、限幅器；全功能矩阵混音功能，内置专利性分量式矩阵调节功能；内置自动摄像跟踪功能，轻松实现视频会议：支持场景预设功能；断电自动保护记忆功能，1 U全铝机箱；内置中控代码生成器，无需自行套用公式编辑代码；设备提供了通用可编程/0端口，并设置消防联动等功能；每个输入提供+48V DC 10mA幻象电源；支持≥8路逻辑输入/输出，≥4路电压输入控制（可接继电器或模拟可调电位器）的GPIO控制接口；输入阻抗：平衡20KΩ，非平衡10KΩ，输出阻抗：平衡100Ω，非平衡50Ω，输入共模拟制比：≥78dB(1KHz)，输出动态范围：112dBu；频率响应：20Hz-20KHz(±0.5dB)，信噪比：&gt;90dB@1KHz0dBu，失真度：﹤0.002%OUTPUT=0dBu/1KHz，信道分离度：&gt;100dB（1KHz）。</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3</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18</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音频控制器</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7.0寸TFT液晶电容触摸屏，存储空间：128Mbit；通讯方式：RS232/TTL（出厂默认232电平）或RS485，通讯波特率：RS232:1200～921600bps，典型波特率：115200bps；RS485:1200～115200bps，典型波特率：9600bps；核心处理器：400MSOC处理器。</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3</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19</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音频处理器</w:t>
            </w:r>
          </w:p>
        </w:tc>
        <w:tc>
          <w:tcPr>
            <w:tcW w:w="6161" w:type="dxa"/>
          </w:tcPr>
          <w:p>
            <w:pPr>
              <w:widowControl/>
              <w:jc w:val="left"/>
              <w:rPr>
                <w:rFonts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kern w:val="0"/>
                <w:sz w:val="20"/>
                <w:szCs w:val="20"/>
                <w:lang w:bidi="ar"/>
              </w:rPr>
              <w:t>▲1、LCD蓝色背光显示功能设置，5段LED显示输入/输出的精确数字电平表、哑音及编辑状态；</w:t>
            </w:r>
            <w:r>
              <w:rPr>
                <w:rFonts w:hint="eastAsia" w:asciiTheme="minorEastAsia" w:hAnsiTheme="minorEastAsia" w:eastAsiaTheme="minorEastAsia" w:cstheme="minorEastAsia"/>
                <w:b/>
                <w:kern w:val="0"/>
                <w:sz w:val="20"/>
                <w:szCs w:val="20"/>
                <w:lang w:bidi="ar"/>
              </w:rPr>
              <w:t>（提供具有CMA或CNAS或ILAC-MRA标识的第三方检测机构出具的</w:t>
            </w:r>
            <w:r>
              <w:rPr>
                <w:rFonts w:hint="eastAsia" w:asciiTheme="minorEastAsia" w:hAnsiTheme="minorEastAsia" w:eastAsiaTheme="minorEastAsia" w:cstheme="minorEastAsia"/>
                <w:b/>
                <w:color w:val="000000" w:themeColor="text1"/>
                <w:kern w:val="0"/>
                <w:sz w:val="20"/>
                <w:szCs w:val="20"/>
                <w:lang w:bidi="ar"/>
                <w14:textFill>
                  <w14:solidFill>
                    <w14:schemeClr w14:val="tx1"/>
                  </w14:solidFill>
                </w14:textFill>
              </w:rPr>
              <w:t>合法</w:t>
            </w:r>
            <w:r>
              <w:rPr>
                <w:rFonts w:hint="eastAsia" w:asciiTheme="minorEastAsia" w:hAnsiTheme="minorEastAsia" w:eastAsiaTheme="minorEastAsia" w:cstheme="minorEastAsia"/>
                <w:b/>
                <w:kern w:val="0"/>
                <w:sz w:val="20"/>
                <w:szCs w:val="20"/>
                <w:lang w:bidi="ar"/>
              </w:rPr>
              <w:t>有效检验报告复印件）</w:t>
            </w:r>
          </w:p>
          <w:p>
            <w:pPr>
              <w:widowControl/>
              <w:jc w:val="left"/>
              <w:rPr>
                <w:rFonts w:asciiTheme="minorEastAsia" w:hAnsiTheme="minorEastAsia" w:eastAsiaTheme="minorEastAsia" w:cstheme="minorEastAsia"/>
                <w:b/>
                <w:kern w:val="0"/>
                <w:sz w:val="20"/>
                <w:szCs w:val="20"/>
                <w:lang w:bidi="ar"/>
              </w:rPr>
            </w:pPr>
            <w:r>
              <w:rPr>
                <w:rFonts w:hint="eastAsia" w:asciiTheme="minorEastAsia" w:hAnsiTheme="minorEastAsia" w:eastAsiaTheme="minorEastAsia" w:cstheme="minorEastAsia"/>
                <w:kern w:val="0"/>
                <w:sz w:val="20"/>
                <w:szCs w:val="20"/>
                <w:lang w:bidi="ar"/>
              </w:rPr>
              <w:t>2、设备内每个功能支持单独锁定，可根据现场要求任意开放或锁定某一个单独的功能，防止误操作和实现数据保密；每个输入和输出处理均有6段独立的全参量均衡，调节增益范围可达土20dB，同时还可选择参量、高调、低调、1阶全通、2阶全通5种均衡模式；均有延时和相位控制及哑音设置，延时最长可达1000ms，延时单位可选择毫秒（ms)、米（m)、英尺（ft）三种，延时参数可通过粗调及细调模式进行调节；设备软件内置中控代码生成器，方便用户获取相关设备控制代码更加便捷，另设备控制软件可实现一键中英文切换；输入阻抗：平衡20KΩ，输出阻抗：平衡100Ω，共模拟制比：&gt;73dB(1KHz)，输入范围：≤+19dBu；频率响应：19.7Hz-20KHz(±0.5dB)，信噪比：&gt;110dB@1KHz0dBu，失真度：﹤0.002%OUTPUT=0dBu/1KHz，信道分离度：&gt;106dB（1KHz）。</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4</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20</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反馈抑制器</w:t>
            </w:r>
          </w:p>
        </w:tc>
        <w:tc>
          <w:tcPr>
            <w:tcW w:w="6161" w:type="dxa"/>
          </w:tcPr>
          <w:p>
            <w:pPr>
              <w:widowControl/>
              <w:jc w:val="left"/>
              <w:rPr>
                <w:rFonts w:asciiTheme="minorEastAsia" w:hAnsiTheme="minorEastAsia" w:eastAsiaTheme="minorEastAsia" w:cstheme="minorEastAsia"/>
                <w:color w:val="000000" w:themeColor="text1"/>
                <w:kern w:val="0"/>
                <w:sz w:val="20"/>
                <w:szCs w:val="20"/>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t>▲1、带有压缩，限幅，噪声门功能，具有输入、输出通道路由功能；</w:t>
            </w:r>
            <w:r>
              <w:rPr>
                <w:rFonts w:hint="eastAsia" w:asciiTheme="minorEastAsia" w:hAnsiTheme="minorEastAsia" w:eastAsiaTheme="minorEastAsia" w:cstheme="minorEastAsia"/>
                <w:b/>
                <w:color w:val="000000" w:themeColor="text1"/>
                <w:kern w:val="0"/>
                <w:sz w:val="20"/>
                <w:szCs w:val="20"/>
                <w:lang w:bidi="ar"/>
                <w14:textFill>
                  <w14:solidFill>
                    <w14:schemeClr w14:val="tx1"/>
                  </w14:solidFill>
                </w14:textFill>
              </w:rPr>
              <w:t>（提供具有CMA或CNAS或ILAC-MRA标识的第三方检测机构出具的合法有效检验报告复印件）</w:t>
            </w:r>
          </w:p>
          <w:p>
            <w:pPr>
              <w:widowControl/>
              <w:jc w:val="left"/>
              <w:rPr>
                <w:rFonts w:asciiTheme="minorEastAsia" w:hAnsiTheme="minorEastAsia" w:eastAsiaTheme="minorEastAsia" w:cstheme="minorEastAsia"/>
                <w:b/>
                <w:color w:val="000000" w:themeColor="text1"/>
                <w:kern w:val="0"/>
                <w:sz w:val="20"/>
                <w:szCs w:val="20"/>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t>2、可通过面板的“系统”键来设定密码锁定面板操作的部分或全部功能，以防止非相关人员的.操作破坏机器的工作状态；具备模拟，数字AES3，光纤，同轴输出；每通道独立≥12个固定滤波器和12个动态滤波器，可通过面板的≥48个LED啸叫点指示灯，显示当前嘯叫点个数；可任意编辑固定和动态反馈点数量；输入阻抗：平衡20KΩ.输出阻抗：平衡100Ω.输入共模拟制比：≥70dB(1KHz).输出范围：≤25dBu；频率响应：20Hz-20KHz(-0.3dB)，信噪比：&gt;120dB@1KHz0dBu，失真度：﹤0.01%OUTPUT=0dBu/1KHz，信道分离度：&gt;120dB（1KHz）。</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6</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21</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电源时序器</w:t>
            </w:r>
          </w:p>
        </w:tc>
        <w:tc>
          <w:tcPr>
            <w:tcW w:w="6161" w:type="dxa"/>
          </w:tcPr>
          <w:p>
            <w:pPr>
              <w:widowControl/>
              <w:jc w:val="left"/>
              <w:rPr>
                <w:rFonts w:asciiTheme="minorEastAsia" w:hAnsiTheme="minorEastAsia" w:eastAsiaTheme="minorEastAsia" w:cstheme="minorEastAsia"/>
                <w:color w:val="000000" w:themeColor="text1"/>
                <w:kern w:val="0"/>
                <w:sz w:val="20"/>
                <w:szCs w:val="20"/>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t>▲1、可通过红外学习功能及IO控制功能对第三方设备进行控制；</w:t>
            </w:r>
            <w:r>
              <w:rPr>
                <w:rFonts w:hint="eastAsia" w:asciiTheme="minorEastAsia" w:hAnsiTheme="minorEastAsia" w:eastAsiaTheme="minorEastAsia" w:cstheme="minorEastAsia"/>
                <w:b/>
                <w:color w:val="000000" w:themeColor="text1"/>
                <w:kern w:val="0"/>
                <w:sz w:val="20"/>
                <w:szCs w:val="20"/>
                <w:lang w:bidi="ar"/>
                <w14:textFill>
                  <w14:solidFill>
                    <w14:schemeClr w14:val="tx1"/>
                  </w14:solidFill>
                </w14:textFill>
              </w:rPr>
              <w:t>（提供具有CMA或CNAS或ILAC-MRA标识的第三方检测机构出具的合法有效检验报告复印件）</w:t>
            </w:r>
          </w:p>
          <w:p>
            <w:pPr>
              <w:widowControl/>
              <w:jc w:val="left"/>
              <w:rPr>
                <w:rFonts w:asciiTheme="minorEastAsia" w:hAnsiTheme="minorEastAsia" w:eastAsiaTheme="minorEastAsia" w:cstheme="minorEastAsia"/>
                <w:b/>
                <w:color w:val="000000" w:themeColor="text1"/>
                <w:kern w:val="0"/>
                <w:sz w:val="20"/>
                <w:szCs w:val="20"/>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t>2、设备内置远程控制，让用户能随时随地的对设备进行开启关闭操作；电源输出单相总极限负载的电流为≥40A，在音频负载情况下，每路极限总电流都为≥20A；≥8路通道总承受功率为≥8KW电源，每通道拥有独立高性能的电源滤波器，为用户的设备提供干净而稳定的电源；软件编辑功能，可独立调整通道开机及关机的延时时间；设备受控控制方式多样，TCP/IP、 WIFI、USB、RS485、RS232 联机控制加上外部（远程）控制能控制复杂的电源系统；定时功能：内置万年历，可以对设备进行日、周设备定时，每天可设置定时开关机≥6次；通过抗静电4000V测试，通过耐压5000V测试。</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7</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22</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无线会议话筒</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内置≥4编组叠机频率，一键调取，同一频段可同时轻松叠机四套使用；具有IR红外线自动对频功能，独立式的防误触系统锁键，两通道音量独立可调，两通道各音频音量输出独立可控；提供多种发射器可选，发射器有会议式/手持式/领夹式可以混搭使用；彩色LED显示屏指示了话筒编号与RF和AF信号强度，频率，频率组/频道等工作状态；频率范围：610MHz-670MHz，信道数目：≥200个，信道间隔：300KHz；频率稳定度：±0.005%，动态范围：100db，最大偏移：±45KHz，频率响应：40Hz-18KHz(±2db)，综合信噪比：&gt;105db。</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9</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23</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一拖二无线手持话筒</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真分集接收机，双通道独立AFS频率自动搜索功能；含2只手持麦克风；背光式LED显示屏指示了RF和AF信号强度，电池状态；极好的动态响应.音质极佳；射频传输频率范围：640MHz-690MHz；工作范围：理想条件下≥100米；频率响应：40Hz–18KHz,(+1dB-3dB)，S/N信噪比:&gt;105dB，T.H.D失真：&lt;0.5%；</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8</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24</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一拖二无线头戴话筒</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真分集接收机，双通道独立AFS频率自动搜索功能；含2只头戴麦克风；背光式LED显示屏指示了RF和AF信号强度，电池状态；极好的动态响应.音质极佳；射频传输频率范围：640MHz-690MHz；工作范围：理想条件下≥100米；频率响应：40Hz–18KHz,(+1dB-3dB)，S/N信噪比:&gt;105dB，T.H.D失真：&lt;0.5%；</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5</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25</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乐器拾音话筒</w:t>
            </w:r>
          </w:p>
        </w:tc>
        <w:tc>
          <w:tcPr>
            <w:tcW w:w="6161" w:type="dxa"/>
          </w:tcPr>
          <w:p>
            <w:pPr>
              <w:widowControl/>
              <w:jc w:val="left"/>
              <w:textAlignment w:val="top"/>
              <w:rPr>
                <w:rFonts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kern w:val="0"/>
                <w:sz w:val="20"/>
                <w:szCs w:val="20"/>
                <w:lang w:bidi="ar"/>
              </w:rPr>
              <w:t>1、配有心型和圆形两个独立的纯电容20mm膜片音头，根据使用需求可音头互换，人声、乐器话筒，特别适合于吉他、钢琴等乐器的演奏录音，指向性：心型，圆形可互换；频响：20Hz-20000Hz，-33dB(14.1mV  Pa)±2dB，输出阻抗：150欧姆，等效噪声级：18，供电方式：48V幻像供电。</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4</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26</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报告席话筒</w:t>
            </w:r>
          </w:p>
        </w:tc>
        <w:tc>
          <w:tcPr>
            <w:tcW w:w="6161" w:type="dxa"/>
          </w:tcPr>
          <w:p>
            <w:pPr>
              <w:widowControl/>
              <w:jc w:val="left"/>
              <w:textAlignment w:val="top"/>
              <w:rPr>
                <w:rFonts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kern w:val="0"/>
                <w:sz w:val="20"/>
                <w:szCs w:val="20"/>
                <w:lang w:bidi="ar"/>
              </w:rPr>
              <w:t>▲1、话筒、鹅颈、底座三部分卡侬连接，可根据使用需求拆分或组合使用，底座带有静音开关及工作状态指示灯。底座特殊的设计电路，消除了使用开关时产生的砰砰声。XLRF卡侬母座，XLRM卡侬公座。输入损耗：0.4dB；静音衰减：64dB，3、14mm膜片电容音头。指向性：心型，频率范围：20～20000Hz，灵敏度：-37dB(14mV  Pa)±2dB，输出阻抗：≤200Ω，最大声压级：145dB，等效噪声级：18dB，供电：48V幻象供电。</w:t>
            </w:r>
            <w:r>
              <w:rPr>
                <w:rFonts w:hint="eastAsia" w:asciiTheme="minorEastAsia" w:hAnsiTheme="minorEastAsia" w:eastAsiaTheme="minorEastAsia" w:cstheme="minorEastAsia"/>
                <w:b/>
                <w:bCs/>
                <w:kern w:val="0"/>
                <w:sz w:val="20"/>
                <w:szCs w:val="20"/>
                <w:lang w:bidi="ar"/>
              </w:rPr>
              <w:t>（提供具有检验检测资质机构出具</w:t>
            </w:r>
            <w:r>
              <w:rPr>
                <w:rFonts w:hint="eastAsia" w:asciiTheme="minorEastAsia" w:hAnsiTheme="minorEastAsia" w:eastAsiaTheme="minorEastAsia" w:cstheme="minorEastAsia"/>
                <w:b/>
                <w:bCs/>
                <w:color w:val="000000" w:themeColor="text1"/>
                <w:kern w:val="0"/>
                <w:sz w:val="20"/>
                <w:szCs w:val="20"/>
                <w:lang w:bidi="ar"/>
                <w14:textFill>
                  <w14:solidFill>
                    <w14:schemeClr w14:val="tx1"/>
                  </w14:solidFill>
                </w14:textFill>
              </w:rPr>
              <w:t>的合法有</w:t>
            </w:r>
            <w:r>
              <w:rPr>
                <w:rFonts w:hint="eastAsia" w:asciiTheme="minorEastAsia" w:hAnsiTheme="minorEastAsia" w:eastAsiaTheme="minorEastAsia" w:cstheme="minorEastAsia"/>
                <w:b/>
                <w:bCs/>
                <w:kern w:val="0"/>
                <w:sz w:val="20"/>
                <w:szCs w:val="20"/>
                <w:lang w:bidi="ar"/>
              </w:rPr>
              <w:t>效检验报告复印件（注：报告内检测指标要体现自由场灵敏度级37db（±3db），等效噪声级≤20db，频率响应20Hz-20kHz，指向性0°-180°灵敏度之差≤-15db等指标合格））</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2</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27</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合唱话筒</w:t>
            </w:r>
          </w:p>
        </w:tc>
        <w:tc>
          <w:tcPr>
            <w:tcW w:w="6161" w:type="dxa"/>
          </w:tcPr>
          <w:p>
            <w:pPr>
              <w:widowControl/>
              <w:jc w:val="left"/>
              <w:textAlignment w:val="top"/>
              <w:rPr>
                <w:rFonts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kern w:val="0"/>
                <w:sz w:val="20"/>
                <w:szCs w:val="20"/>
                <w:lang w:bidi="ar"/>
              </w:rPr>
              <w:t>1、具有10dB衰减、低切开关、方便使用，圆型、心型、8字型三种指向可通过开关切换；灵敏度：不低于-35dB(25mV  Pa)±2dB；频率响应：20～20000Hz；输出阻抗：≤200Ω；最大声压：≥135dB；指向性：圆型、心型、8字型；等效噪声级（A计权）：18dB；电源供应：48V幻象供电。</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2</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28</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线阵音箱吊架</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1、架壁厚：≥30mm，承载重量：≥1000kg；高精度焊接，2T吊带一套，U型扣一套。</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4</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29</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话筒落地支架</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1、专业舞台落地话筒支架，合金加重。</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8</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30</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天线放大器</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系统由一台天线分配器、2个天线组成，提供4组电源输入给接收机使用；适用频带范围：500-900MHz，输出/入增益：0dB（频段中心）；输出端绝缘度：20dB，输出/入阻抗：50欧姆；增益：13dBm，频宽：400MHz，接头：TNC插座；电源供应：DC12-18V，消耗电流：170mA。</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5</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31</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操作台</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1、1200mm×600mm×760mm，静电喷塑；含转椅1把。</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2</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32</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设备机柜1</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1、主体采用SPCC优质冷扎钢板制作，尺寸：不小于600MM×600MM×2000MM （按需定制）；表面处理：静电喷塑</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2</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33</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会议系统主机</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3.2"LCD显示屏及五维导航操控按键、具备中英文菜单，采用6芯接口，传输距离达≥150米，可有效避免与防止线路电磁干扰；采用48KHz音频采样频率，频率响应可达20Hz-20KHz，具备一线式、环形及T型/十型连接器等多种连接方式；内置自适应反馈抑制（AFC）、环境噪音消除（AEC）、数字均衡器（EQ）、自动增益控制（AGC）功能；支持通用标准协议及RS-485/RS-232控制，连接高清视频解码盒可与高清矩阵实现高清视频信号自动切换；具备≥1路网口同声传译连接口，可配置4/8/12/16/20/32/64不同语种同声传译系统；可集中设置系统的启动电压、启动延时、静音延时、输出增益、输入/输出音量大小。</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1</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34</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代表单元</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触控玻璃面板，定位精确、控制迅速，采用DSP数字化处理与传输技术，线距可达≥150米；驻极体超心形指向性麦克风，拾音距离可达≥50cm，支持48K音频采样频率，频率响应可达30Hz-20KHz；话筒杆带有指示灯环，可显示正在发言、设置视频、未编ID号、表决按键提示等状态信息；系统具备自动修复功能，支持线路带电“热插拔”功能，让系统的安全性得到更大的保障；配合摄像机，通过会议主机、控制键盘或电脑PC软件预设后，可进行摄像机自动跟踪，支持画面冻结功能；信噪比：&gt;90dB，动态范围：96dB，总谐波失真：&lt;0.05%，通道分离度：102dB，麦克风灵敏度：-37dB±2dB。</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5</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35</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监听音箱</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1、≥5"两分频全频有源监听音箱；≥2 路低音反射式双功放近场工作室监听音箱；频率响应 ≥54Hz - 30kHz ；45W LF 以及 25W HF 双功放系统，高性能70W 功率放大能力。</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1</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36</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音箱壁架</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1、金属，壁挂式安装。</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14</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37</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移动音箱</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1、2只10寸全频音箱+1台前级音频处理器+1台功率放大器+2只音箱带落地支架，单只音箱额定功率：≥200w ，频率响应：70-20kHz(±3dB)，灵敏度（1W/1M):95dB，最大声压级：≥121dB，阻抗：8Ω；1套无线话筒：真分集接收机，双通道独立AFS频率自动搜索功能；背光式LED显示屏指示了RF和AF信号强度，电池状态；射频传输频率范围：640MHz-690MHz；工作距离：无遮挡条件下≥100米；频率响应：40Hz–18KHz,(+1dB-3dB)，S/N信噪比:&gt;105dB，T.H.D失真：&lt;0.5%；含2只手持麦克风。配套航空机柜。</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1</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38</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LED显示屏A</w:t>
            </w:r>
          </w:p>
        </w:tc>
        <w:tc>
          <w:tcPr>
            <w:tcW w:w="6161" w:type="dxa"/>
          </w:tcPr>
          <w:p>
            <w:pPr>
              <w:widowControl/>
              <w:jc w:val="left"/>
              <w:rPr>
                <w:rFonts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kern w:val="0"/>
                <w:sz w:val="20"/>
                <w:szCs w:val="20"/>
                <w:lang w:bidi="ar"/>
              </w:rPr>
              <w:t>1、像素间距：≤3.0mm；整屏分辨率不低于：2720*1520，配套与屏幕尺寸相匹配的开关电源；</w:t>
            </w:r>
          </w:p>
          <w:p>
            <w:pPr>
              <w:widowControl/>
              <w:jc w:val="left"/>
              <w:rPr>
                <w:rFonts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kern w:val="0"/>
                <w:sz w:val="20"/>
                <w:szCs w:val="20"/>
                <w:lang w:bidi="ar"/>
              </w:rPr>
              <w:t>▲2、一体化驱动主板设计，拥有自带驱动控制的LED显示单元及其生产方法；</w:t>
            </w:r>
          </w:p>
          <w:p>
            <w:pPr>
              <w:widowControl/>
              <w:jc w:val="left"/>
              <w:rPr>
                <w:rFonts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kern w:val="0"/>
                <w:sz w:val="20"/>
                <w:szCs w:val="20"/>
                <w:lang w:bidi="ar"/>
              </w:rPr>
              <w:t>▲3、单元尺寸：240mm*240mm；刷新频率≥3840HZ；</w:t>
            </w:r>
          </w:p>
          <w:p>
            <w:pPr>
              <w:widowControl/>
              <w:rPr>
                <w:rFonts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kern w:val="0"/>
                <w:sz w:val="20"/>
                <w:szCs w:val="20"/>
                <w:lang w:bidi="ar"/>
              </w:rPr>
              <w:t>4、产品防尘性能满足IP5Y防护等级要求；产品防护功能：具有防静电、抗震动、防电磁干扰、抗雷击等功能，具有电源过压、过流、断电保护、分布上电措施，具有实时监控温度、故障报警功能；屏幕噪音≤40DB；产品盐雾实验符合盐雾10级要求；EMC等级符合CLASS A级要求；平均重量≤28Kg/㎡，搬运及安装高效快捷；独特的面罩设计，屏幕表面不反射环境光，对比度更高，色彩更柔和。PCB设计焊盘采用沉金工艺处理，充分保证单模块安装的稳定性和抗氧化性。接收卡采用DDR2标准接口，维修更换更加便捷；箱体支持环路备份功能；接收卡与模块之间采用树状连接，无排线设计，单元模组之间不级联，提高了产品稳定性；采用镀金高性能接插件，提高高氧化特性；采用抗消隐设计，无“毛毛虫”“鬼影”跟随现象；单模组采用存储技术，可存储模组参数，元器件信息，LED参数以及校正数据，生产信息；可单模块设置衰减悉数，使维修更换不存在色差；更换模组，自动回读校正数据；视角：水平视角≥165°，垂直视角≥165°；换帧频率：50&amp;60HZ；灰度：16bit；</w:t>
            </w:r>
          </w:p>
          <w:p>
            <w:pPr>
              <w:widowControl/>
              <w:rPr>
                <w:rFonts w:asciiTheme="minorEastAsia" w:hAnsiTheme="minorEastAsia" w:eastAsiaTheme="minorEastAsia" w:cstheme="minorEastAsia"/>
                <w:b/>
                <w:kern w:val="0"/>
                <w:sz w:val="20"/>
                <w:szCs w:val="20"/>
                <w:lang w:bidi="ar"/>
              </w:rPr>
            </w:pPr>
            <w:r>
              <w:rPr>
                <w:rFonts w:hint="eastAsia" w:asciiTheme="minorEastAsia" w:hAnsiTheme="minorEastAsia" w:eastAsiaTheme="minorEastAsia" w:cstheme="minorEastAsia"/>
                <w:kern w:val="0"/>
                <w:sz w:val="20"/>
                <w:szCs w:val="20"/>
                <w:lang w:bidi="ar"/>
              </w:rPr>
              <w:t>▲5、白平衡亮度： 800cd/㎡（6500K，校正后）0-100%可调；PCB阻燃等级满足V-0阻燃等级要求；色温可调范围：3200k~9300k，并可自定义色温值。</w:t>
            </w:r>
          </w:p>
          <w:p>
            <w:pPr>
              <w:widowControl/>
              <w:rPr>
                <w:rFonts w:asciiTheme="minorEastAsia" w:hAnsiTheme="minorEastAsia" w:eastAsiaTheme="minorEastAsia" w:cstheme="minorEastAsia"/>
                <w:b/>
                <w:kern w:val="0"/>
                <w:sz w:val="20"/>
                <w:szCs w:val="20"/>
                <w:lang w:bidi="ar"/>
              </w:rPr>
            </w:pPr>
            <w:r>
              <w:rPr>
                <w:rFonts w:hint="eastAsia" w:asciiTheme="minorEastAsia" w:hAnsiTheme="minorEastAsia" w:eastAsiaTheme="minorEastAsia" w:cstheme="minorEastAsia"/>
                <w:kern w:val="0"/>
                <w:sz w:val="20"/>
                <w:szCs w:val="20"/>
                <w:lang w:bidi="ar"/>
              </w:rPr>
              <w:t>▲6、对比度≥6000:1；</w:t>
            </w:r>
            <w:r>
              <w:rPr>
                <w:rFonts w:asciiTheme="minorEastAsia" w:hAnsiTheme="minorEastAsia" w:eastAsiaTheme="minorEastAsia" w:cstheme="minorEastAsia"/>
                <w:b/>
                <w:kern w:val="0"/>
                <w:sz w:val="20"/>
                <w:szCs w:val="20"/>
                <w:lang w:bidi="ar"/>
              </w:rPr>
              <w:t xml:space="preserve"> </w:t>
            </w:r>
          </w:p>
          <w:p>
            <w:pPr>
              <w:widowControl/>
              <w:rPr>
                <w:rFonts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b/>
                <w:kern w:val="0"/>
                <w:sz w:val="20"/>
                <w:szCs w:val="20"/>
                <w:lang w:bidi="ar"/>
              </w:rPr>
              <w:t>注：以上第5条、第6条需提供具有CMA或CNAS或ILAC-MRA标识的第三方检测机构出具的</w:t>
            </w:r>
            <w:r>
              <w:rPr>
                <w:rFonts w:hint="eastAsia" w:asciiTheme="minorEastAsia" w:hAnsiTheme="minorEastAsia" w:eastAsiaTheme="minorEastAsia" w:cstheme="minorEastAsia"/>
                <w:b/>
                <w:color w:val="000000" w:themeColor="text1"/>
                <w:kern w:val="0"/>
                <w:sz w:val="20"/>
                <w:szCs w:val="20"/>
                <w:lang w:bidi="ar"/>
                <w14:textFill>
                  <w14:solidFill>
                    <w14:schemeClr w14:val="tx1"/>
                  </w14:solidFill>
                </w14:textFill>
              </w:rPr>
              <w:t>合法</w:t>
            </w:r>
            <w:r>
              <w:rPr>
                <w:rFonts w:hint="eastAsia" w:asciiTheme="minorEastAsia" w:hAnsiTheme="minorEastAsia" w:eastAsiaTheme="minorEastAsia" w:cstheme="minorEastAsia"/>
                <w:b/>
                <w:kern w:val="0"/>
                <w:sz w:val="20"/>
                <w:szCs w:val="20"/>
                <w:lang w:bidi="ar"/>
              </w:rPr>
              <w:t>有效检验报告复印件。</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 xml:space="preserve">37.21 </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39</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LED显示屏B</w:t>
            </w:r>
          </w:p>
        </w:tc>
        <w:tc>
          <w:tcPr>
            <w:tcW w:w="6161" w:type="dxa"/>
          </w:tcPr>
          <w:p>
            <w:pPr>
              <w:widowControl/>
              <w:jc w:val="left"/>
              <w:rPr>
                <w:rFonts w:asciiTheme="minorEastAsia" w:hAnsiTheme="minorEastAsia" w:eastAsiaTheme="minorEastAsia" w:cstheme="minorEastAsia"/>
                <w:color w:val="000000" w:themeColor="text1"/>
                <w:kern w:val="0"/>
                <w:sz w:val="20"/>
                <w:szCs w:val="20"/>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t>1、像素间距：≤2.0mm，视角：水平视角≥170°，垂直视角≥155°，刷新频率≥3840HZ, 对比度≥5500:1；</w:t>
            </w:r>
          </w:p>
          <w:p>
            <w:pPr>
              <w:widowControl/>
              <w:jc w:val="left"/>
              <w:rPr>
                <w:rFonts w:asciiTheme="minorEastAsia" w:hAnsiTheme="minorEastAsia" w:eastAsiaTheme="minorEastAsia" w:cstheme="minorEastAsia"/>
                <w:b/>
                <w:color w:val="000000" w:themeColor="text1"/>
                <w:kern w:val="0"/>
                <w:sz w:val="20"/>
                <w:szCs w:val="20"/>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t>▲2、发光点中心距偏差≤0.15%，模组亮度均匀性≥98.8%，色温可调范围：3000k-15000k，SMD表贴三合一LED，模组后方需采用金属后盖进行密封，具备图像降噪、增强、运动补偿、色坐标变化处理、钝化处理、无几何失真和非线性失真现象、消“鬼影”拖尾、无“毛毛虫”、“鬼影”跟随现象，防护标准达到IP6X以上，前方工作噪声≤7dB，后方≤8dB，盐雾等级符合10级标准，模组机械响度：≥5MP，阻燃等级达到UL94 V-0级，抗紫外UV辐射符合5级要求，光生物安全检测：皮肤和眼睛的光化学紫外危害曝辐射值、眼睛的近紫外危害曝辐射值、宽波段的光源对视网膜危害、蓝光对皮肤表面及角膜和视网膜的曝辐射值、眼睛的红外辐射危害曝辐射值、皮肤热危害曝辐射值检测都为无危害，符合中国国家标准委的“人眼视觉舒适度VICO”检测报告：去除100%紫外线，消除80%摩尔纹，通过9级烈度地震震度测试。</w:t>
            </w:r>
            <w:r>
              <w:rPr>
                <w:rFonts w:hint="eastAsia" w:asciiTheme="minorEastAsia" w:hAnsiTheme="minorEastAsia" w:eastAsiaTheme="minorEastAsia" w:cstheme="minorEastAsia"/>
                <w:b/>
                <w:color w:val="000000" w:themeColor="text1"/>
                <w:kern w:val="0"/>
                <w:sz w:val="20"/>
                <w:szCs w:val="20"/>
                <w:lang w:bidi="ar"/>
                <w14:textFill>
                  <w14:solidFill>
                    <w14:schemeClr w14:val="tx1"/>
                  </w14:solidFill>
                </w14:textFill>
              </w:rPr>
              <w:t>（提供具有CMA或CNAS或ILAC-MRA标识的第三方检测机构出具的合法有效检验报告复印件）</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 xml:space="preserve">35.84 </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40</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接收卡</w:t>
            </w:r>
          </w:p>
        </w:tc>
        <w:tc>
          <w:tcPr>
            <w:tcW w:w="6161" w:type="dxa"/>
          </w:tcPr>
          <w:p>
            <w:pPr>
              <w:widowControl/>
              <w:jc w:val="left"/>
              <w:rPr>
                <w:rFonts w:asciiTheme="minorEastAsia" w:hAnsiTheme="minorEastAsia" w:eastAsiaTheme="minorEastAsia" w:cstheme="minorEastAsia"/>
                <w:color w:val="000000" w:themeColor="text1"/>
                <w:kern w:val="0"/>
                <w:sz w:val="20"/>
                <w:szCs w:val="20"/>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t>1、单卡最大带载512×384像素，支持色彩管理、18Bit+、逐点亮色度校正、RGB独立Gamma调节。</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80</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41</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视频处理器</w:t>
            </w:r>
          </w:p>
        </w:tc>
        <w:tc>
          <w:tcPr>
            <w:tcW w:w="6161" w:type="dxa"/>
          </w:tcPr>
          <w:p>
            <w:pPr>
              <w:widowControl/>
              <w:jc w:val="left"/>
              <w:rPr>
                <w:rFonts w:asciiTheme="minorEastAsia" w:hAnsiTheme="minorEastAsia" w:eastAsiaTheme="minorEastAsia" w:cstheme="minorEastAsia"/>
                <w:color w:val="000000" w:themeColor="text1"/>
                <w:kern w:val="0"/>
                <w:sz w:val="20"/>
                <w:szCs w:val="20"/>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t>1、集成视频处理器与发送卡于一体，拥有完备的视频输入接口≥1路HDMI、≥4路DVI、≥1路3G-SDI；支持16路网口和4路光纤输出，带载高达1040万像素；支持HDR输出，支持个性化的画质缩放，多窗口显示，支持预监输出画面，支持智能控制软件NovaLCT进行操作控制，支持场景预设。</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5</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42</w:t>
            </w:r>
          </w:p>
        </w:tc>
        <w:tc>
          <w:tcPr>
            <w:tcW w:w="1270" w:type="dxa"/>
            <w:vAlign w:val="center"/>
          </w:tcPr>
          <w:p>
            <w:pPr>
              <w:widowControl/>
              <w:jc w:val="center"/>
              <w:rPr>
                <w:rFonts w:hint="eastAsia" w:asciiTheme="minorEastAsia" w:hAnsiTheme="minorEastAsia" w:eastAsiaTheme="minorEastAsia" w:cstheme="minorEastAsia"/>
                <w:kern w:val="0"/>
                <w:sz w:val="20"/>
                <w:szCs w:val="20"/>
                <w:lang w:eastAsia="zh-CN"/>
              </w:rPr>
            </w:pPr>
            <w:r>
              <w:rPr>
                <w:rFonts w:hint="eastAsia" w:asciiTheme="minorEastAsia" w:hAnsiTheme="minorEastAsia" w:eastAsiaTheme="minorEastAsia" w:cstheme="minorEastAsia"/>
                <w:kern w:val="0"/>
                <w:sz w:val="20"/>
                <w:szCs w:val="20"/>
              </w:rPr>
              <w:t>移动控制终端</w:t>
            </w:r>
            <w:r>
              <w:rPr>
                <w:rFonts w:hint="eastAsia" w:asciiTheme="minorEastAsia" w:hAnsiTheme="minorEastAsia" w:eastAsiaTheme="minorEastAsia" w:cstheme="minorEastAsia"/>
                <w:kern w:val="0"/>
                <w:sz w:val="20"/>
                <w:szCs w:val="20"/>
                <w:lang w:eastAsia="zh-CN"/>
              </w:rPr>
              <w:t>（便携式计算机）</w:t>
            </w:r>
          </w:p>
        </w:tc>
        <w:tc>
          <w:tcPr>
            <w:tcW w:w="6161" w:type="dxa"/>
          </w:tcPr>
          <w:p>
            <w:pPr>
              <w:widowControl/>
              <w:jc w:val="left"/>
              <w:rPr>
                <w:rFonts w:asciiTheme="minorEastAsia" w:hAnsiTheme="minorEastAsia" w:eastAsiaTheme="minorEastAsia" w:cstheme="minorEastAsia"/>
                <w:color w:val="000000" w:themeColor="text1"/>
                <w:kern w:val="0"/>
                <w:sz w:val="20"/>
                <w:szCs w:val="20"/>
                <w:lang w:bidi="ar"/>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▲1、处理器≥4核，主频2.2G，两个DIMM插槽标，配8GB DDR4内存，支持两条内存扩展，集成显卡，M.2 PCIE NVME SSD全固态硬盘，容量≥256G，电池容量≥65Wh，4个USB3.0；1个Type-C接口；1个10  100  1000自适应以太网口； 1个HDMI接口；1个Combo音频接口，标配802.11a  b  g  n  ac协议，支蓝牙5.0协议以上，尺寸≦14寸液晶显示屏，分辨率1920*1080，整机重量≦1.8Kg，机身厚度≦17.5mm。</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1</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43</w:t>
            </w:r>
          </w:p>
        </w:tc>
        <w:tc>
          <w:tcPr>
            <w:tcW w:w="1270" w:type="dxa"/>
            <w:vAlign w:val="center"/>
          </w:tcPr>
          <w:p>
            <w:pPr>
              <w:widowControl/>
              <w:jc w:val="center"/>
              <w:rPr>
                <w:rFonts w:hint="eastAsia" w:asciiTheme="minorEastAsia" w:hAnsiTheme="minorEastAsia" w:eastAsiaTheme="minorEastAsia" w:cstheme="minorEastAsia"/>
                <w:kern w:val="0"/>
                <w:sz w:val="20"/>
                <w:szCs w:val="20"/>
                <w:lang w:eastAsia="zh-CN"/>
              </w:rPr>
            </w:pPr>
            <w:r>
              <w:rPr>
                <w:rFonts w:hint="eastAsia" w:asciiTheme="minorEastAsia" w:hAnsiTheme="minorEastAsia" w:eastAsiaTheme="minorEastAsia" w:cstheme="minorEastAsia"/>
                <w:kern w:val="0"/>
                <w:sz w:val="20"/>
                <w:szCs w:val="20"/>
              </w:rPr>
              <w:t>控制终端</w:t>
            </w:r>
            <w:r>
              <w:rPr>
                <w:rFonts w:hint="eastAsia" w:asciiTheme="minorEastAsia" w:hAnsiTheme="minorEastAsia" w:eastAsiaTheme="minorEastAsia" w:cstheme="minorEastAsia"/>
                <w:kern w:val="0"/>
                <w:sz w:val="20"/>
                <w:szCs w:val="20"/>
                <w:lang w:eastAsia="zh-CN"/>
              </w:rPr>
              <w:t>（台式计算机）</w:t>
            </w:r>
          </w:p>
        </w:tc>
        <w:tc>
          <w:tcPr>
            <w:tcW w:w="6161" w:type="dxa"/>
          </w:tcPr>
          <w:p>
            <w:pPr>
              <w:widowControl/>
              <w:jc w:val="left"/>
              <w:rPr>
                <w:rFonts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kern w:val="0"/>
                <w:sz w:val="20"/>
                <w:szCs w:val="20"/>
                <w:lang w:bidi="ar"/>
              </w:rPr>
              <w:t>▲1、六核及以上处理器，线程数≥12，主频≥3.6GHz，三级缓存≥32MB；                                                                                                                         2、≥8G DDR4 2666MHz 内存； ≥1T SATA 硬盘+128G固态硬盘； ≥2G独立显卡；支持5.1声道，≥5个音频接口； ≥1个PCI-E*16、≥2个PCI-E*1、≥1个PCI槽位；显示器尺寸≥21英寸，≥10个USB接口（其中前置USB 3.1 G2≥2个）、≥1组PS/2接口、≥1个串口、VGA+HDMI接口；</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5</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44</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播控系统</w:t>
            </w:r>
          </w:p>
        </w:tc>
        <w:tc>
          <w:tcPr>
            <w:tcW w:w="6161" w:type="dxa"/>
          </w:tcPr>
          <w:p>
            <w:pPr>
              <w:widowControl/>
              <w:jc w:val="left"/>
              <w:rPr>
                <w:rFonts w:asciiTheme="minorEastAsia" w:hAnsiTheme="minorEastAsia" w:eastAsiaTheme="minorEastAsia" w:cstheme="minorEastAsia"/>
                <w:b/>
                <w:kern w:val="0"/>
                <w:sz w:val="20"/>
                <w:szCs w:val="20"/>
                <w:lang w:bidi="ar"/>
              </w:rPr>
            </w:pPr>
            <w:r>
              <w:rPr>
                <w:rFonts w:hint="eastAsia" w:asciiTheme="minorEastAsia" w:hAnsiTheme="minorEastAsia" w:eastAsiaTheme="minorEastAsia" w:cstheme="minorEastAsia"/>
                <w:kern w:val="0"/>
                <w:sz w:val="20"/>
                <w:szCs w:val="20"/>
                <w:lang w:bidi="ar"/>
              </w:rPr>
              <w:t>1、支持显示素材多样化，各种视频文件、图片、底图、字幕在设备上同时显示，系统支持对输入信号源预监功能，实现在播放前预览查看的功能，支持对播放预案进行设置，包括定制时间计划设置和轮训计划设置，支持多用户同时登陆客户端，每个用户根据自身不同的权限管理显示屏的功能，支持日志记录和对操作日志进行查询的功能；支持实时监视LED显示屏状态的功能，支持系统对多个显示屏进行独立控制，支持信号在多个显示屏中共享的功能。</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5</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45</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配电柜</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1、配电柜输入电压为交流380V±15%，工频50Hz。具有过压、浪涌、短路、过流、过载、等保护功能；内置避雷器，具有避雷防雷功能，远程通讯，可以实现在控制室计算机上远程操控显示屏的开关。</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5</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46</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远程互动控制系统</w:t>
            </w:r>
          </w:p>
        </w:tc>
        <w:tc>
          <w:tcPr>
            <w:tcW w:w="6161" w:type="dxa"/>
          </w:tcPr>
          <w:p>
            <w:pPr>
              <w:widowControl/>
              <w:jc w:val="left"/>
              <w:rPr>
                <w:rFonts w:asciiTheme="minorEastAsia" w:hAnsiTheme="minorEastAsia" w:eastAsiaTheme="minorEastAsia" w:cstheme="minorEastAsia"/>
                <w:kern w:val="0"/>
                <w:sz w:val="20"/>
                <w:szCs w:val="20"/>
                <w:lang w:bidi="ar"/>
              </w:rPr>
            </w:pPr>
            <w:r>
              <w:rPr>
                <w:rFonts w:hint="eastAsia" w:asciiTheme="minorEastAsia" w:hAnsiTheme="minorEastAsia" w:eastAsiaTheme="minorEastAsia"/>
              </w:rPr>
              <w:t>▲1.支持用于PPT、word等投影讲解，系统支持的文件类型为ppt、doc、docx、xls、xlsx、txt、pdf等文档文件；支持聚光灯突出课程重点，透明度可调，支持聚光大小范围通过手势可调；支持视频无需上传到设备，直接播放；系统自动搜索，支持的音视频格式，支持mp4、rmvb、vob、mpg、mkv、mp3、aac、wav多种格式，可在播放控制区调整播放进度，暂停、停止当前播放视频；在平板录制视频演示及课件等；直播内容同步显示到LED屏。</w:t>
            </w:r>
            <w:r>
              <w:rPr>
                <w:rFonts w:hint="eastAsia" w:asciiTheme="minorEastAsia" w:hAnsiTheme="minorEastAsia" w:eastAsiaTheme="minorEastAsia"/>
                <w:b/>
                <w:bCs/>
              </w:rPr>
              <w:t>（提供具有检测资质的第三方检测机构</w:t>
            </w:r>
            <w:r>
              <w:rPr>
                <w:rFonts w:hint="eastAsia" w:asciiTheme="minorEastAsia" w:hAnsiTheme="minorEastAsia" w:eastAsiaTheme="minorEastAsia"/>
                <w:b/>
                <w:bCs/>
                <w:color w:val="000000" w:themeColor="text1"/>
                <w14:textFill>
                  <w14:solidFill>
                    <w14:schemeClr w14:val="tx1"/>
                  </w14:solidFill>
                </w14:textFill>
              </w:rPr>
              <w:t>出具的合法有效测试报告复印件（测试内容包含：视频演示、摄像</w:t>
            </w:r>
            <w:r>
              <w:rPr>
                <w:rFonts w:hint="eastAsia" w:asciiTheme="minorEastAsia" w:hAnsiTheme="minorEastAsia" w:eastAsiaTheme="minorEastAsia"/>
                <w:b/>
                <w:bCs/>
              </w:rPr>
              <w:t>直播、课件共享））</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5</w:t>
            </w:r>
          </w:p>
        </w:tc>
        <w:tc>
          <w:tcPr>
            <w:tcW w:w="810" w:type="dxa"/>
            <w:noWrap/>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47</w:t>
            </w:r>
          </w:p>
        </w:tc>
        <w:tc>
          <w:tcPr>
            <w:tcW w:w="1270" w:type="dxa"/>
            <w:vAlign w:val="center"/>
          </w:tcPr>
          <w:p>
            <w:pPr>
              <w:widowControl/>
              <w:jc w:val="center"/>
              <w:rPr>
                <w:rFonts w:hint="eastAsia" w:asciiTheme="minorEastAsia" w:hAnsiTheme="minorEastAsia" w:eastAsiaTheme="minorEastAsia" w:cstheme="minorEastAsia"/>
                <w:kern w:val="0"/>
                <w:sz w:val="20"/>
                <w:szCs w:val="20"/>
                <w:lang w:eastAsia="zh-CN"/>
              </w:rPr>
            </w:pPr>
            <w:r>
              <w:rPr>
                <w:rFonts w:hint="eastAsia" w:asciiTheme="minorEastAsia" w:hAnsiTheme="minorEastAsia" w:eastAsiaTheme="minorEastAsia" w:cstheme="minorEastAsia"/>
                <w:kern w:val="0"/>
                <w:sz w:val="20"/>
                <w:szCs w:val="20"/>
              </w:rPr>
              <w:t>远程互动控制终端</w:t>
            </w:r>
            <w:r>
              <w:rPr>
                <w:rFonts w:hint="eastAsia" w:asciiTheme="minorEastAsia" w:hAnsiTheme="minorEastAsia" w:eastAsiaTheme="minorEastAsia" w:cstheme="minorEastAsia"/>
                <w:kern w:val="0"/>
                <w:sz w:val="20"/>
                <w:szCs w:val="20"/>
                <w:lang w:eastAsia="zh-CN"/>
              </w:rPr>
              <w:t>（平板式微型计算机）</w:t>
            </w:r>
          </w:p>
        </w:tc>
        <w:tc>
          <w:tcPr>
            <w:tcW w:w="6161" w:type="dxa"/>
          </w:tcPr>
          <w:p>
            <w:pPr>
              <w:widowControl/>
              <w:jc w:val="left"/>
              <w:rPr>
                <w:rFonts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kern w:val="0"/>
                <w:sz w:val="20"/>
                <w:szCs w:val="20"/>
                <w:lang w:bidi="ar"/>
              </w:rPr>
              <w:t>1、系统：Android；CPU≥八核心处理器；运行内存≥3GB，存储容量≥32GB；屏幕尺寸≥10英寸；屏幕分辨率≥1920×1200。</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5</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48</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LED显示屏配套</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1、LED钢结构支架制作，满足LED屏安装规范；包括LED显示设备以及施工弱电线材（其中网线采用六类及以上）、辅材、综合布线、设备安装、调试、售后服务、运输搬运等；</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5</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49</w:t>
            </w:r>
          </w:p>
        </w:tc>
        <w:tc>
          <w:tcPr>
            <w:tcW w:w="1270"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cs="宋体" w:asciiTheme="minorEastAsia" w:hAnsiTheme="minorEastAsia" w:eastAsiaTheme="minorEastAsia"/>
                <w:kern w:val="0"/>
                <w:sz w:val="20"/>
                <w:szCs w:val="20"/>
                <w:lang w:bidi="ar"/>
              </w:rPr>
              <w:t>LED面光灯</w:t>
            </w:r>
          </w:p>
        </w:tc>
        <w:tc>
          <w:tcPr>
            <w:tcW w:w="6161" w:type="dxa"/>
            <w:vAlign w:val="center"/>
          </w:tcPr>
          <w:p>
            <w:pPr>
              <w:widowControl/>
              <w:jc w:val="left"/>
              <w:textAlignment w:val="center"/>
              <w:rPr>
                <w:rFonts w:asciiTheme="minorEastAsia" w:hAnsiTheme="minorEastAsia" w:eastAsiaTheme="minorEastAsia" w:cstheme="minorEastAsia"/>
                <w:kern w:val="0"/>
                <w:sz w:val="20"/>
                <w:szCs w:val="20"/>
                <w:lang w:bidi="ar"/>
              </w:rPr>
            </w:pPr>
            <w:r>
              <w:rPr>
                <w:rFonts w:hint="eastAsia" w:cs="宋体" w:asciiTheme="minorEastAsia" w:hAnsiTheme="minorEastAsia" w:eastAsiaTheme="minorEastAsia"/>
                <w:kern w:val="0"/>
                <w:sz w:val="20"/>
                <w:szCs w:val="20"/>
                <w:lang w:bidi="ar"/>
              </w:rPr>
              <w:t>1、电压：AC110～240V  50Hz/60Hz，光源：100W ，色温：3200K  ±5%，变焦范围：19和26度可选择。</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10</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50</w:t>
            </w:r>
          </w:p>
        </w:tc>
        <w:tc>
          <w:tcPr>
            <w:tcW w:w="1270"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cs="宋体" w:asciiTheme="minorEastAsia" w:hAnsiTheme="minorEastAsia" w:eastAsiaTheme="minorEastAsia"/>
                <w:kern w:val="0"/>
                <w:sz w:val="20"/>
                <w:szCs w:val="20"/>
                <w:lang w:bidi="ar"/>
              </w:rPr>
              <w:t>LED平板灯</w:t>
            </w:r>
          </w:p>
        </w:tc>
        <w:tc>
          <w:tcPr>
            <w:tcW w:w="6161" w:type="dxa"/>
            <w:vAlign w:val="center"/>
          </w:tcPr>
          <w:p>
            <w:pPr>
              <w:widowControl/>
              <w:jc w:val="left"/>
              <w:textAlignment w:val="center"/>
              <w:rPr>
                <w:rFonts w:asciiTheme="minorEastAsia" w:hAnsiTheme="minorEastAsia" w:eastAsiaTheme="minorEastAsia" w:cstheme="minorEastAsia"/>
                <w:kern w:val="0"/>
                <w:sz w:val="20"/>
                <w:szCs w:val="20"/>
                <w:lang w:bidi="ar"/>
              </w:rPr>
            </w:pPr>
            <w:r>
              <w:rPr>
                <w:rFonts w:hint="eastAsia" w:cs="宋体" w:asciiTheme="minorEastAsia" w:hAnsiTheme="minorEastAsia" w:eastAsiaTheme="minorEastAsia"/>
                <w:color w:val="000000"/>
                <w:kern w:val="0"/>
                <w:sz w:val="20"/>
                <w:szCs w:val="20"/>
                <w:lang w:bidi="ar"/>
              </w:rPr>
              <w:t>1、电压: AC100~240V，50/60Hz，功率: 200W，色温: 3200K/5600K/双色温，控制通道 : 3CH。</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8</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51</w:t>
            </w:r>
          </w:p>
        </w:tc>
        <w:tc>
          <w:tcPr>
            <w:tcW w:w="1270"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cs="宋体" w:asciiTheme="minorEastAsia" w:hAnsiTheme="minorEastAsia" w:eastAsiaTheme="minorEastAsia"/>
                <w:kern w:val="0"/>
                <w:sz w:val="20"/>
                <w:szCs w:val="20"/>
                <w:lang w:bidi="ar"/>
              </w:rPr>
              <w:t>电脑摇头效果灯</w:t>
            </w:r>
          </w:p>
        </w:tc>
        <w:tc>
          <w:tcPr>
            <w:tcW w:w="6161" w:type="dxa"/>
            <w:vAlign w:val="center"/>
          </w:tcPr>
          <w:p>
            <w:pPr>
              <w:widowControl/>
              <w:jc w:val="left"/>
              <w:textAlignment w:val="center"/>
              <w:rPr>
                <w:rFonts w:asciiTheme="minorEastAsia" w:hAnsiTheme="minorEastAsia" w:eastAsiaTheme="minorEastAsia" w:cstheme="minorEastAsia"/>
                <w:kern w:val="0"/>
                <w:sz w:val="20"/>
                <w:szCs w:val="20"/>
                <w:lang w:bidi="ar"/>
              </w:rPr>
            </w:pPr>
            <w:r>
              <w:rPr>
                <w:rFonts w:hint="eastAsia" w:cs="宋体" w:asciiTheme="minorEastAsia" w:hAnsiTheme="minorEastAsia" w:eastAsiaTheme="minorEastAsia"/>
                <w:color w:val="000000"/>
                <w:kern w:val="0"/>
                <w:sz w:val="20"/>
                <w:szCs w:val="20"/>
                <w:lang w:bidi="ar"/>
              </w:rPr>
              <w:t>▲1、采用标称100W LED光源;采用耐高温透光度强的光学镜片（3层镀膜），2组透镜；内置至少11个颜色片+1个白色色盘，速度可调，任意定位功能；内置固定图案盘，至少14个固定图案片+1个白光，速度可调，任意定位功能；内置至少8面旋转里棱镜+4排镜，棱镜正反向旋转，可叠加，速度可调；具有频闪功能，速度可调；内置至少1个独立雾化效果；采用风向引流与温度智能监控技术，内置NTC温度控测功能，当故障导致LED工作过热时，自动降低LED的输出功率；特殊功能：陀螺仪：陀螺仪功能打开，Y轴可自动补偿校准，具有自动对焦功能。</w:t>
            </w:r>
            <w:r>
              <w:rPr>
                <w:rFonts w:hint="eastAsia" w:cs="宋体" w:asciiTheme="minorEastAsia" w:hAnsiTheme="minorEastAsia" w:eastAsiaTheme="minorEastAsia"/>
                <w:b/>
                <w:bCs/>
                <w:color w:val="000000"/>
                <w:kern w:val="0"/>
                <w:sz w:val="20"/>
                <w:szCs w:val="20"/>
                <w:lang w:bidi="ar"/>
              </w:rPr>
              <w:t>（以上技术参数提供具有检测资质的第三方检测机构出具</w:t>
            </w:r>
            <w:r>
              <w:rPr>
                <w:rFonts w:hint="eastAsia" w:cs="宋体" w:asciiTheme="minorEastAsia" w:hAnsiTheme="minorEastAsia" w:eastAsiaTheme="minorEastAsia"/>
                <w:b/>
                <w:bCs/>
                <w:color w:val="000000" w:themeColor="text1"/>
                <w:kern w:val="0"/>
                <w:sz w:val="20"/>
                <w:szCs w:val="20"/>
                <w:lang w:bidi="ar"/>
                <w14:textFill>
                  <w14:solidFill>
                    <w14:schemeClr w14:val="tx1"/>
                  </w14:solidFill>
                </w14:textFill>
              </w:rPr>
              <w:t>的合法</w:t>
            </w:r>
            <w:r>
              <w:rPr>
                <w:rFonts w:hint="eastAsia" w:cs="宋体" w:asciiTheme="minorEastAsia" w:hAnsiTheme="minorEastAsia" w:eastAsiaTheme="minorEastAsia"/>
                <w:b/>
                <w:bCs/>
                <w:color w:val="000000"/>
                <w:kern w:val="0"/>
                <w:sz w:val="20"/>
                <w:szCs w:val="20"/>
                <w:lang w:bidi="ar"/>
              </w:rPr>
              <w:t>有效检验检测报告复印件）</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8</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52</w:t>
            </w:r>
          </w:p>
        </w:tc>
        <w:tc>
          <w:tcPr>
            <w:tcW w:w="1270"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cs="宋体" w:asciiTheme="minorEastAsia" w:hAnsiTheme="minorEastAsia" w:eastAsiaTheme="minorEastAsia"/>
                <w:kern w:val="0"/>
                <w:sz w:val="20"/>
                <w:szCs w:val="20"/>
                <w:lang w:bidi="ar"/>
              </w:rPr>
              <w:t>LED染色帕灯</w:t>
            </w:r>
          </w:p>
        </w:tc>
        <w:tc>
          <w:tcPr>
            <w:tcW w:w="6161" w:type="dxa"/>
            <w:vAlign w:val="center"/>
          </w:tcPr>
          <w:p>
            <w:pPr>
              <w:widowControl/>
              <w:jc w:val="left"/>
              <w:textAlignment w:val="center"/>
              <w:rPr>
                <w:rFonts w:asciiTheme="minorEastAsia" w:hAnsiTheme="minorEastAsia" w:eastAsiaTheme="minorEastAsia" w:cstheme="minorEastAsia"/>
                <w:kern w:val="0"/>
                <w:sz w:val="20"/>
                <w:szCs w:val="20"/>
                <w:lang w:bidi="ar"/>
              </w:rPr>
            </w:pPr>
            <w:r>
              <w:rPr>
                <w:rFonts w:hint="eastAsia" w:cs="宋体" w:asciiTheme="minorEastAsia" w:hAnsiTheme="minorEastAsia" w:eastAsiaTheme="minorEastAsia"/>
                <w:color w:val="000000"/>
                <w:kern w:val="0"/>
                <w:sz w:val="20"/>
                <w:szCs w:val="20"/>
                <w:lang w:bidi="ar"/>
              </w:rPr>
              <w:t>▲1、频闪频率：1-25Hz；光源：54×3W LED（R14G14B14W12）；色温：3200K～7200K；透镜角度：25°（15°、45°可选）；灯具具有RGBW（红绿蓝白）混色；灯具内置宏功能；灯具调光范围0-100%可调；灯具具有主从自走自动同步功能；灯具具有控台正常控制自走永久同步；内置NTC温度控测功能，当故障导致LED工作过热时，降低LED的输出功率；灯具具有声控功能；灯具配备DMX512接口；灯具内置程序自走功能；灯具具有主从联机模式；灯具配备支持RDM协议接口；灯具具有程序在线更新功能；灯具DMX控制通道数量为4/8通道。</w:t>
            </w:r>
            <w:r>
              <w:rPr>
                <w:rFonts w:hint="eastAsia" w:cs="宋体" w:asciiTheme="minorEastAsia" w:hAnsiTheme="minorEastAsia" w:eastAsiaTheme="minorEastAsia"/>
                <w:b/>
                <w:bCs/>
                <w:color w:val="000000"/>
                <w:kern w:val="0"/>
                <w:sz w:val="20"/>
                <w:szCs w:val="20"/>
                <w:lang w:bidi="ar"/>
              </w:rPr>
              <w:t>（以上技术参数提供具有检测资质的第三方检测机构</w:t>
            </w:r>
            <w:r>
              <w:rPr>
                <w:rFonts w:hint="eastAsia" w:cs="宋体" w:asciiTheme="minorEastAsia" w:hAnsiTheme="minorEastAsia" w:eastAsiaTheme="minorEastAsia"/>
                <w:b/>
                <w:bCs/>
                <w:color w:val="000000" w:themeColor="text1"/>
                <w:kern w:val="0"/>
                <w:sz w:val="20"/>
                <w:szCs w:val="20"/>
                <w:lang w:bidi="ar"/>
                <w14:textFill>
                  <w14:solidFill>
                    <w14:schemeClr w14:val="tx1"/>
                  </w14:solidFill>
                </w14:textFill>
              </w:rPr>
              <w:t>出具的合法有效检验检测报告复印件）</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40</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53</w:t>
            </w:r>
          </w:p>
        </w:tc>
        <w:tc>
          <w:tcPr>
            <w:tcW w:w="1270"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cs="宋体" w:asciiTheme="minorEastAsia" w:hAnsiTheme="minorEastAsia" w:eastAsiaTheme="minorEastAsia"/>
                <w:kern w:val="0"/>
                <w:sz w:val="20"/>
                <w:szCs w:val="20"/>
                <w:lang w:bidi="ar"/>
              </w:rPr>
              <w:t xml:space="preserve"> </w:t>
            </w:r>
            <w:r>
              <w:rPr>
                <w:rStyle w:val="231"/>
                <w:rFonts w:hint="default" w:asciiTheme="minorEastAsia" w:hAnsiTheme="minorEastAsia" w:eastAsiaTheme="minorEastAsia"/>
                <w:sz w:val="20"/>
                <w:szCs w:val="20"/>
                <w:lang w:bidi="ar"/>
              </w:rPr>
              <w:t>信号放大器</w:t>
            </w:r>
          </w:p>
        </w:tc>
        <w:tc>
          <w:tcPr>
            <w:tcW w:w="6161" w:type="dxa"/>
            <w:vAlign w:val="center"/>
          </w:tcPr>
          <w:p>
            <w:pPr>
              <w:widowControl/>
              <w:jc w:val="left"/>
              <w:textAlignment w:val="center"/>
              <w:rPr>
                <w:rFonts w:asciiTheme="minorEastAsia" w:hAnsiTheme="minorEastAsia" w:eastAsiaTheme="minorEastAsia" w:cstheme="minorEastAsia"/>
                <w:kern w:val="0"/>
                <w:sz w:val="20"/>
                <w:szCs w:val="20"/>
              </w:rPr>
            </w:pPr>
            <w:r>
              <w:rPr>
                <w:rFonts w:hint="eastAsia" w:cs="宋体" w:asciiTheme="minorEastAsia" w:hAnsiTheme="minorEastAsia" w:eastAsiaTheme="minorEastAsia"/>
                <w:color w:val="000000"/>
                <w:kern w:val="0"/>
                <w:sz w:val="20"/>
                <w:szCs w:val="20"/>
                <w:lang w:bidi="ar"/>
              </w:rPr>
              <w:t>1、接收信号：DMX512信号，1路输入，1路直通输出，8路DMX512信号输出。</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1</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54</w:t>
            </w:r>
          </w:p>
        </w:tc>
        <w:tc>
          <w:tcPr>
            <w:tcW w:w="1270"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cs="宋体" w:asciiTheme="minorEastAsia" w:hAnsiTheme="minorEastAsia" w:eastAsiaTheme="minorEastAsia"/>
                <w:kern w:val="0"/>
                <w:sz w:val="20"/>
                <w:szCs w:val="20"/>
                <w:lang w:bidi="ar"/>
              </w:rPr>
              <w:t>控制器</w:t>
            </w:r>
          </w:p>
        </w:tc>
        <w:tc>
          <w:tcPr>
            <w:tcW w:w="6161" w:type="dxa"/>
            <w:vAlign w:val="center"/>
          </w:tcPr>
          <w:p>
            <w:pPr>
              <w:widowControl/>
              <w:jc w:val="left"/>
              <w:textAlignment w:val="center"/>
              <w:rPr>
                <w:rFonts w:asciiTheme="minorEastAsia" w:hAnsiTheme="minorEastAsia" w:eastAsiaTheme="minorEastAsia" w:cstheme="minorEastAsia"/>
                <w:kern w:val="0"/>
                <w:sz w:val="20"/>
                <w:szCs w:val="20"/>
                <w:lang w:bidi="ar"/>
              </w:rPr>
            </w:pPr>
            <w:r>
              <w:rPr>
                <w:rFonts w:hint="eastAsia" w:cs="宋体" w:asciiTheme="minorEastAsia" w:hAnsiTheme="minorEastAsia" w:eastAsiaTheme="minorEastAsia"/>
                <w:color w:val="000000"/>
                <w:kern w:val="0"/>
                <w:sz w:val="20"/>
                <w:szCs w:val="20"/>
                <w:lang w:bidi="ar"/>
              </w:rPr>
              <w:t>1、带背光的LCD显示屏，首创的中英文显示可切换界面。面板中英文可选，系统自带2048通道控制，可加扩展，支持DMX512协议，带10根集控推杆。按键点控和推杆集控兼容，U盘可备份控台数据，并支持重新导入到控台使用，同型号控台数据可共享。</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1</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55</w:t>
            </w:r>
          </w:p>
        </w:tc>
        <w:tc>
          <w:tcPr>
            <w:tcW w:w="1270"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cs="宋体" w:asciiTheme="minorEastAsia" w:hAnsiTheme="minorEastAsia" w:eastAsiaTheme="minorEastAsia"/>
                <w:kern w:val="0"/>
                <w:sz w:val="20"/>
                <w:szCs w:val="20"/>
                <w:lang w:bidi="ar"/>
              </w:rPr>
              <w:t xml:space="preserve"> </w:t>
            </w:r>
            <w:r>
              <w:rPr>
                <w:rStyle w:val="231"/>
                <w:rFonts w:hint="default" w:asciiTheme="minorEastAsia" w:hAnsiTheme="minorEastAsia" w:eastAsiaTheme="minorEastAsia"/>
                <w:sz w:val="20"/>
                <w:szCs w:val="20"/>
                <w:lang w:bidi="ar"/>
              </w:rPr>
              <w:t>电源直通箱</w:t>
            </w:r>
          </w:p>
        </w:tc>
        <w:tc>
          <w:tcPr>
            <w:tcW w:w="6161" w:type="dxa"/>
            <w:vAlign w:val="center"/>
          </w:tcPr>
          <w:p>
            <w:pPr>
              <w:widowControl/>
              <w:jc w:val="left"/>
              <w:textAlignment w:val="center"/>
              <w:rPr>
                <w:rFonts w:asciiTheme="minorEastAsia" w:hAnsiTheme="minorEastAsia" w:eastAsiaTheme="minorEastAsia" w:cstheme="minorEastAsia"/>
                <w:kern w:val="0"/>
                <w:sz w:val="20"/>
                <w:szCs w:val="20"/>
              </w:rPr>
            </w:pPr>
            <w:r>
              <w:rPr>
                <w:rFonts w:hint="eastAsia" w:cs="宋体" w:asciiTheme="minorEastAsia" w:hAnsiTheme="minorEastAsia" w:eastAsiaTheme="minorEastAsia"/>
                <w:color w:val="000000"/>
                <w:kern w:val="0"/>
                <w:sz w:val="20"/>
                <w:szCs w:val="20"/>
                <w:lang w:bidi="ar"/>
              </w:rPr>
              <w:t>1、供电：三相AC380V±10％，频率50Hz±5％，额定功率：12路×4KW；12路10A。</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3</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56</w:t>
            </w:r>
          </w:p>
        </w:tc>
        <w:tc>
          <w:tcPr>
            <w:tcW w:w="1270"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cs="宋体" w:asciiTheme="minorEastAsia" w:hAnsiTheme="minorEastAsia" w:eastAsiaTheme="minorEastAsia"/>
                <w:kern w:val="0"/>
                <w:sz w:val="20"/>
                <w:szCs w:val="20"/>
                <w:lang w:bidi="ar"/>
              </w:rPr>
              <w:t>追光灯</w:t>
            </w:r>
          </w:p>
        </w:tc>
        <w:tc>
          <w:tcPr>
            <w:tcW w:w="6161" w:type="dxa"/>
            <w:vAlign w:val="center"/>
          </w:tcPr>
          <w:p>
            <w:pPr>
              <w:widowControl/>
              <w:jc w:val="left"/>
              <w:textAlignment w:val="center"/>
              <w:rPr>
                <w:rFonts w:asciiTheme="minorEastAsia" w:hAnsiTheme="minorEastAsia" w:eastAsiaTheme="minorEastAsia" w:cstheme="minorEastAsia"/>
                <w:kern w:val="0"/>
                <w:sz w:val="20"/>
                <w:szCs w:val="20"/>
                <w:lang w:bidi="ar"/>
              </w:rPr>
            </w:pPr>
            <w:r>
              <w:rPr>
                <w:rFonts w:hint="eastAsia" w:cs="宋体" w:asciiTheme="minorEastAsia" w:hAnsiTheme="minorEastAsia" w:eastAsiaTheme="minorEastAsia"/>
                <w:color w:val="000000"/>
                <w:kern w:val="0"/>
                <w:sz w:val="20"/>
                <w:szCs w:val="20"/>
                <w:lang w:bidi="ar"/>
              </w:rPr>
              <w:t>1、电压：AC100-AC240V/50Hz-60Hz，光源：≥ 350w，光圈：手动控制，色盘：4种颜色+白光。</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1</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57</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灯光架</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1、采用外直径50镀锌管，根据现场条件制作。连接效果灯、摇头灯、帕灯各类灯光线缆</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1</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58</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灯光电缆线</w:t>
            </w:r>
          </w:p>
        </w:tc>
        <w:tc>
          <w:tcPr>
            <w:tcW w:w="6161" w:type="dxa"/>
            <w:vAlign w:val="center"/>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1、连接效果灯、摇头灯、帕灯各类灯光线缆</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1</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000000"/>
                <w:kern w:val="0"/>
                <w:sz w:val="20"/>
                <w:szCs w:val="20"/>
                <w:lang w:bidi="ar"/>
              </w:rPr>
              <w:t>59</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设备机柜2</w:t>
            </w:r>
          </w:p>
        </w:tc>
        <w:tc>
          <w:tcPr>
            <w:tcW w:w="6161" w:type="dxa"/>
          </w:tcPr>
          <w:p>
            <w:pPr>
              <w:widowControl/>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1、主体采用SPCC优质冷扎钢板制作，尺寸：不小于600MM×600MM×1200MM （按需定制）；表面处理：静电喷塑。</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5</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widowControl/>
              <w:jc w:val="center"/>
              <w:textAlignment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60</w:t>
            </w:r>
          </w:p>
        </w:tc>
        <w:tc>
          <w:tcPr>
            <w:tcW w:w="127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系统集成</w:t>
            </w:r>
          </w:p>
        </w:tc>
        <w:tc>
          <w:tcPr>
            <w:tcW w:w="6161" w:type="dxa"/>
          </w:tcPr>
          <w:p>
            <w:pPr>
              <w:widowControl/>
              <w:numPr>
                <w:ilvl w:val="0"/>
                <w:numId w:val="40"/>
              </w:numPr>
              <w:jc w:val="left"/>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lang w:bidi="ar"/>
              </w:rPr>
              <w:t>包括所有设备以及施工强弱电线材（其中网线采用六类及以上）、辅材、综合布线、设备安装、调试、售后服务、运输搬运等；设备的固定安装符合施工要求，安装美观，整体走线符合施工工艺要求；线材管材、设备间连接线、转接头等均采用合格产品；如安装位置是填充材料，须进行加固处理。</w:t>
            </w:r>
          </w:p>
        </w:tc>
        <w:tc>
          <w:tcPr>
            <w:tcW w:w="818"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5</w:t>
            </w:r>
          </w:p>
        </w:tc>
        <w:tc>
          <w:tcPr>
            <w:tcW w:w="810" w:type="dxa"/>
            <w:vAlign w:val="center"/>
          </w:tcPr>
          <w:p>
            <w:pPr>
              <w:widowControl/>
              <w:jc w:val="center"/>
              <w:rPr>
                <w:rFonts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项</w:t>
            </w:r>
          </w:p>
        </w:tc>
      </w:tr>
    </w:tbl>
    <w:p>
      <w:pPr>
        <w:widowControl/>
        <w:adjustRightInd w:val="0"/>
        <w:snapToGrid w:val="0"/>
        <w:spacing w:line="360" w:lineRule="auto"/>
        <w:jc w:val="left"/>
        <w:rPr>
          <w:b/>
          <w:color w:val="000000"/>
          <w:sz w:val="28"/>
          <w:szCs w:val="28"/>
        </w:rPr>
      </w:pPr>
      <w:r>
        <w:rPr>
          <w:rFonts w:hint="eastAsia"/>
          <w:b/>
          <w:sz w:val="28"/>
          <w:szCs w:val="28"/>
        </w:rPr>
        <w:t>注：1</w:t>
      </w:r>
      <w:r>
        <w:rPr>
          <w:b/>
          <w:sz w:val="28"/>
          <w:szCs w:val="28"/>
        </w:rPr>
        <w:t>.</w:t>
      </w:r>
      <w:r>
        <w:rPr>
          <w:rFonts w:hint="eastAsia"/>
          <w:b/>
          <w:sz w:val="28"/>
          <w:szCs w:val="28"/>
        </w:rPr>
        <w:t>标注“</w:t>
      </w:r>
      <w:r>
        <w:rPr>
          <w:rFonts w:hint="eastAsia" w:ascii="宋体" w:hAnsi="宋体" w:cs="宋体"/>
          <w:b/>
          <w:kern w:val="0"/>
          <w:sz w:val="28"/>
          <w:szCs w:val="28"/>
        </w:rPr>
        <w:t>*</w:t>
      </w:r>
      <w:r>
        <w:rPr>
          <w:rFonts w:hint="eastAsia"/>
          <w:b/>
          <w:sz w:val="28"/>
          <w:szCs w:val="28"/>
        </w:rPr>
        <w:t>”的条款为本项目的实质性要求条款，供应商应当完全响应；</w:t>
      </w:r>
      <w:r>
        <w:rPr>
          <w:rFonts w:hint="eastAsia"/>
          <w:b/>
          <w:color w:val="000000"/>
          <w:sz w:val="28"/>
          <w:szCs w:val="28"/>
        </w:rPr>
        <w:t>标注“</w:t>
      </w:r>
      <w:r>
        <w:rPr>
          <w:rFonts w:hint="eastAsia" w:ascii="宋体" w:hAnsi="宋体" w:cs="宋体"/>
          <w:b/>
          <w:color w:val="000000"/>
          <w:sz w:val="28"/>
          <w:szCs w:val="28"/>
        </w:rPr>
        <w:t>▲</w:t>
      </w:r>
      <w:r>
        <w:rPr>
          <w:rFonts w:hint="eastAsia"/>
          <w:b/>
          <w:color w:val="000000"/>
          <w:sz w:val="28"/>
          <w:szCs w:val="28"/>
        </w:rPr>
        <w:t>”为重点条款，未标注“</w:t>
      </w:r>
      <w:r>
        <w:rPr>
          <w:rFonts w:hint="eastAsia" w:ascii="宋体" w:hAnsi="宋体" w:cs="宋体"/>
          <w:b/>
          <w:color w:val="000000"/>
          <w:sz w:val="28"/>
          <w:szCs w:val="28"/>
        </w:rPr>
        <w:t>▲</w:t>
      </w:r>
      <w:r>
        <w:rPr>
          <w:rFonts w:hint="eastAsia"/>
          <w:b/>
          <w:color w:val="000000"/>
          <w:sz w:val="28"/>
          <w:szCs w:val="28"/>
        </w:rPr>
        <w:t>”为一般条款，如未满足或有负偏离，则在评分标准会进行扣分。</w:t>
      </w:r>
    </w:p>
    <w:p>
      <w:pPr>
        <w:pStyle w:val="230"/>
        <w:spacing w:after="0" w:line="360" w:lineRule="auto"/>
        <w:ind w:firstLine="562" w:firstLineChars="200"/>
        <w:rPr>
          <w:rFonts w:eastAsia="PMingLiU"/>
          <w:b/>
          <w:kern w:val="0"/>
          <w:sz w:val="24"/>
          <w:lang w:eastAsia="zh-CN"/>
        </w:rPr>
      </w:pPr>
      <w:r>
        <w:rPr>
          <w:rFonts w:hint="eastAsia"/>
          <w:b/>
          <w:color w:val="000000"/>
          <w:sz w:val="28"/>
          <w:szCs w:val="28"/>
          <w:lang w:val="en-US" w:eastAsia="zh-CN"/>
        </w:rPr>
        <w:t>*</w:t>
      </w:r>
      <w:r>
        <w:rPr>
          <w:rFonts w:hint="eastAsia" w:ascii="Calibri" w:hAnsi="Calibri" w:cs="Times New Roman"/>
          <w:b/>
          <w:sz w:val="28"/>
          <w:szCs w:val="28"/>
          <w:lang w:val="en-US" w:eastAsia="zh-CN" w:bidi="ar-SA"/>
        </w:rPr>
        <w:t>2</w:t>
      </w:r>
      <w:r>
        <w:rPr>
          <w:rFonts w:ascii="Calibri" w:hAnsi="Calibri" w:cs="Times New Roman"/>
          <w:b/>
          <w:sz w:val="28"/>
          <w:szCs w:val="28"/>
          <w:lang w:val="en-US" w:eastAsia="zh-CN" w:bidi="ar-SA"/>
        </w:rPr>
        <w:t>.</w:t>
      </w:r>
      <w:r>
        <w:rPr>
          <w:b/>
          <w:color w:val="000000"/>
          <w:sz w:val="28"/>
          <w:szCs w:val="28"/>
        </w:rPr>
        <w:t>本项目拟采购的产品中，凡涉及国家强制认证</w:t>
      </w:r>
      <w:r>
        <w:rPr>
          <w:b/>
          <w:color w:val="000000"/>
          <w:sz w:val="28"/>
          <w:szCs w:val="28"/>
          <w:lang w:val="en-US" w:eastAsia="zh-CN" w:bidi="en-US"/>
        </w:rPr>
        <w:t>（CCC）</w:t>
      </w:r>
      <w:r>
        <w:rPr>
          <w:b/>
          <w:color w:val="000000"/>
          <w:sz w:val="28"/>
          <w:szCs w:val="28"/>
        </w:rPr>
        <w:t>产品的，投标人应在投标文件中提供认证证书复印件或前置许可、认证的证明材料复印件或提供产品承诺函</w:t>
      </w:r>
      <w:r>
        <w:rPr>
          <w:rFonts w:hint="eastAsia"/>
          <w:b/>
          <w:color w:val="000000"/>
          <w:sz w:val="28"/>
          <w:szCs w:val="28"/>
          <w:lang w:eastAsia="zh-CN"/>
        </w:rPr>
        <w:t>（</w:t>
      </w:r>
      <w:r>
        <w:rPr>
          <w:b/>
          <w:color w:val="000000"/>
          <w:sz w:val="28"/>
          <w:szCs w:val="28"/>
        </w:rPr>
        <w:t>格式自拟</w:t>
      </w:r>
      <w:r>
        <w:rPr>
          <w:rFonts w:hint="eastAsia"/>
          <w:b/>
          <w:color w:val="000000"/>
          <w:sz w:val="28"/>
          <w:szCs w:val="28"/>
          <w:lang w:eastAsia="zh-CN"/>
        </w:rPr>
        <w:t>）</w:t>
      </w:r>
      <w:r>
        <w:rPr>
          <w:b/>
          <w:color w:val="000000"/>
          <w:sz w:val="28"/>
          <w:szCs w:val="28"/>
        </w:rPr>
        <w:t>，否则不予认定。</w:t>
      </w:r>
    </w:p>
    <w:p>
      <w:pPr>
        <w:pStyle w:val="5"/>
        <w:rPr>
          <w:b w:val="0"/>
          <w:bCs w:val="0"/>
        </w:rPr>
      </w:pPr>
      <w:bookmarkStart w:id="177" w:name="_Toc13505"/>
      <w:r>
        <w:t>*</w:t>
      </w:r>
      <w:r>
        <w:rPr>
          <w:rFonts w:hint="eastAsia"/>
        </w:rPr>
        <w:t>核心产品</w:t>
      </w:r>
      <w:bookmarkEnd w:id="176"/>
      <w:bookmarkEnd w:id="177"/>
    </w:p>
    <w:p>
      <w:pPr>
        <w:widowControl/>
        <w:adjustRightInd w:val="0"/>
        <w:snapToGrid w:val="0"/>
        <w:spacing w:after="240" w:line="500" w:lineRule="exact"/>
        <w:ind w:firstLine="560" w:firstLineChars="200"/>
        <w:jc w:val="left"/>
        <w:rPr>
          <w:bCs/>
          <w:color w:val="000000"/>
          <w:sz w:val="28"/>
          <w:szCs w:val="28"/>
        </w:rPr>
      </w:pPr>
      <w:r>
        <w:rPr>
          <w:rFonts w:hint="eastAsia"/>
          <w:bCs/>
          <w:color w:val="000000"/>
          <w:sz w:val="28"/>
          <w:szCs w:val="28"/>
        </w:rPr>
        <w:t>本项目核心产品为：LED显示屏A和LED显示屏B。</w:t>
      </w:r>
    </w:p>
    <w:p>
      <w:pPr>
        <w:pStyle w:val="5"/>
        <w:rPr>
          <w:rFonts w:ascii="Times New Roman" w:hAnsi="Times New Roman"/>
          <w:color w:val="000000" w:themeColor="text1"/>
          <w14:textFill>
            <w14:solidFill>
              <w14:schemeClr w14:val="tx1"/>
            </w14:solidFill>
          </w14:textFill>
        </w:rPr>
      </w:pPr>
      <w:r>
        <w:rPr>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政府采购强制节能产品</w:t>
      </w:r>
    </w:p>
    <w:p>
      <w:pPr>
        <w:spacing w:line="360" w:lineRule="auto"/>
        <w:ind w:firstLine="560" w:firstLineChars="200"/>
        <w:rPr>
          <w:rFonts w:ascii="宋体" w:hAnsi="宋体" w:eastAsia="PMingLiU" w:cs="宋体"/>
          <w:bCs/>
          <w:color w:val="000000"/>
          <w:sz w:val="28"/>
          <w:szCs w:val="28"/>
          <w:lang w:val="zh-TW" w:eastAsia="zh-TW" w:bidi="zh-TW"/>
        </w:rPr>
      </w:pPr>
      <w:r>
        <w:rPr>
          <w:rFonts w:hint="eastAsia"/>
          <w:bCs/>
          <w:color w:val="000000"/>
          <w:sz w:val="28"/>
          <w:szCs w:val="28"/>
        </w:rPr>
        <w:t>1</w:t>
      </w:r>
      <w:r>
        <w:rPr>
          <w:bCs/>
          <w:color w:val="000000"/>
          <w:sz w:val="28"/>
          <w:szCs w:val="28"/>
        </w:rPr>
        <w:t>.</w:t>
      </w:r>
      <w:r>
        <w:rPr>
          <w:rFonts w:hint="eastAsia"/>
          <w:bCs/>
          <w:color w:val="000000"/>
          <w:sz w:val="28"/>
          <w:szCs w:val="28"/>
        </w:rPr>
        <w:t>本项目中认定为</w:t>
      </w:r>
      <w:bookmarkStart w:id="178" w:name="_Hlk85291601"/>
      <w:r>
        <w:rPr>
          <w:rFonts w:hint="eastAsia"/>
          <w:bCs/>
          <w:color w:val="000000"/>
          <w:sz w:val="28"/>
          <w:szCs w:val="28"/>
        </w:rPr>
        <w:t>政府采购强制节能产品</w:t>
      </w:r>
      <w:bookmarkEnd w:id="178"/>
      <w:r>
        <w:rPr>
          <w:rFonts w:hint="eastAsia"/>
          <w:bCs/>
          <w:color w:val="000000"/>
          <w:sz w:val="28"/>
          <w:szCs w:val="28"/>
        </w:rPr>
        <w:t>有</w:t>
      </w:r>
      <w:r>
        <w:rPr>
          <w:rFonts w:hint="eastAsia" w:ascii="宋体" w:hAnsi="宋体" w:cs="宋体"/>
          <w:bCs/>
          <w:color w:val="000000"/>
          <w:sz w:val="28"/>
          <w:szCs w:val="28"/>
          <w:lang w:val="zh-TW" w:eastAsia="zh-TW" w:bidi="zh-TW"/>
        </w:rPr>
        <w:t>：移动控制终端、控制终端（含显示器）、远程互动控制终端。</w:t>
      </w:r>
    </w:p>
    <w:p>
      <w:pPr>
        <w:pStyle w:val="51"/>
        <w:spacing w:line="360" w:lineRule="auto"/>
        <w:rPr>
          <w:bCs/>
          <w:sz w:val="28"/>
          <w:szCs w:val="28"/>
        </w:rPr>
      </w:pPr>
      <w:r>
        <w:rPr>
          <w:rFonts w:hint="eastAsia"/>
          <w:bCs/>
          <w:sz w:val="28"/>
          <w:szCs w:val="28"/>
        </w:rPr>
        <w:t>2</w:t>
      </w:r>
      <w:r>
        <w:rPr>
          <w:bCs/>
          <w:sz w:val="28"/>
          <w:szCs w:val="28"/>
        </w:rPr>
        <w:t>.</w:t>
      </w:r>
      <w:r>
        <w:rPr>
          <w:rFonts w:hint="eastAsia"/>
          <w:bCs/>
          <w:sz w:val="28"/>
          <w:szCs w:val="28"/>
        </w:rPr>
        <w:t xml:space="preserve"> 本项目产品清单中涉及强制采购节能产品的，投标人应在投标文件中提供国家确定的认证机构出具的、处于有效期之内的节能、环境标志产品认证证书复印件。</w:t>
      </w:r>
    </w:p>
    <w:p>
      <w:pPr>
        <w:pStyle w:val="4"/>
        <w:rPr>
          <w:b w:val="0"/>
          <w:bCs w:val="0"/>
          <w:kern w:val="0"/>
        </w:rPr>
      </w:pPr>
      <w:bookmarkStart w:id="179" w:name="_Toc85657311"/>
      <w:r>
        <w:rPr>
          <w:rFonts w:hint="eastAsia"/>
          <w:kern w:val="0"/>
        </w:rPr>
        <w:t>服务</w:t>
      </w:r>
      <w:r>
        <w:rPr>
          <w:kern w:val="0"/>
        </w:rPr>
        <w:t>要求</w:t>
      </w:r>
      <w:bookmarkEnd w:id="179"/>
    </w:p>
    <w:p>
      <w:pPr>
        <w:pStyle w:val="5"/>
        <w:rPr>
          <w:b w:val="0"/>
          <w:bCs w:val="0"/>
        </w:rPr>
      </w:pPr>
      <w:r>
        <w:t>*</w:t>
      </w:r>
      <w:bookmarkStart w:id="180" w:name="_Hlk85805631"/>
      <w:r>
        <w:rPr>
          <w:rFonts w:hint="eastAsia"/>
        </w:rPr>
        <w:t>服务标准</w:t>
      </w:r>
    </w:p>
    <w:bookmarkEnd w:id="180"/>
    <w:p>
      <w:pPr>
        <w:widowControl/>
        <w:adjustRightInd w:val="0"/>
        <w:snapToGrid w:val="0"/>
        <w:spacing w:line="360" w:lineRule="auto"/>
        <w:ind w:firstLine="560" w:firstLineChars="200"/>
        <w:rPr>
          <w:rFonts w:ascii="宋体" w:hAnsi="宋体" w:cs="宋体"/>
          <w:bCs/>
          <w:color w:val="000000"/>
          <w:sz w:val="28"/>
          <w:szCs w:val="28"/>
          <w:lang w:val="zh-TW" w:eastAsia="zh-TW" w:bidi="zh-TW"/>
        </w:rPr>
      </w:pPr>
      <w:bookmarkStart w:id="181" w:name="_Hlk85805615"/>
      <w:r>
        <w:rPr>
          <w:rFonts w:ascii="宋体" w:hAnsi="宋体" w:eastAsia="PMingLiU" w:cs="宋体"/>
          <w:bCs/>
          <w:color w:val="000000"/>
          <w:sz w:val="28"/>
          <w:szCs w:val="28"/>
          <w:lang w:val="zh-TW" w:eastAsia="zh-TW" w:bidi="zh-TW"/>
        </w:rPr>
        <w:t>1.</w:t>
      </w:r>
      <w:r>
        <w:rPr>
          <w:rFonts w:hint="eastAsia" w:ascii="宋体" w:hAnsi="宋体" w:cs="宋体"/>
          <w:bCs/>
          <w:color w:val="000000"/>
          <w:sz w:val="28"/>
          <w:szCs w:val="28"/>
          <w:lang w:val="zh-TW" w:eastAsia="zh-TW" w:bidi="zh-TW"/>
        </w:rPr>
        <w:t>中标人提供的货物应为全新的未开封产品，满足本次招标货物的技术要求，具有产品合格证。</w:t>
      </w:r>
    </w:p>
    <w:p>
      <w:pPr>
        <w:widowControl/>
        <w:adjustRightInd w:val="0"/>
        <w:snapToGrid w:val="0"/>
        <w:spacing w:line="360" w:lineRule="auto"/>
        <w:ind w:firstLine="560" w:firstLineChars="200"/>
        <w:rPr>
          <w:rFonts w:ascii="宋体" w:hAnsi="宋体" w:cs="宋体"/>
          <w:bCs/>
          <w:color w:val="000000"/>
          <w:sz w:val="28"/>
          <w:szCs w:val="28"/>
          <w:lang w:val="zh-TW" w:eastAsia="zh-TW" w:bidi="zh-TW"/>
        </w:rPr>
      </w:pPr>
      <w:r>
        <w:rPr>
          <w:rFonts w:ascii="宋体" w:hAnsi="宋体" w:eastAsia="PMingLiU" w:cs="宋体"/>
          <w:bCs/>
          <w:color w:val="000000"/>
          <w:sz w:val="28"/>
          <w:szCs w:val="28"/>
          <w:lang w:val="zh-TW" w:eastAsia="zh-TW" w:bidi="zh-TW"/>
        </w:rPr>
        <w:t>2.</w:t>
      </w:r>
      <w:r>
        <w:rPr>
          <w:rFonts w:hint="eastAsia" w:ascii="宋体" w:hAnsi="宋体" w:cs="宋体"/>
          <w:bCs/>
          <w:color w:val="000000"/>
          <w:sz w:val="28"/>
          <w:szCs w:val="28"/>
          <w:lang w:val="zh-TW" w:eastAsia="zh-TW" w:bidi="zh-TW"/>
        </w:rPr>
        <w:t>中标人提供的产品涉及商品包装或快递包装的，须严格按照财政部等三部门联合印发《商品包装政府采购需求标准（试行）》、《快递包装政府采购需求标准（试行）》的通知（财办库[2020]123号）要求执行。</w:t>
      </w:r>
    </w:p>
    <w:p>
      <w:pPr>
        <w:widowControl/>
        <w:adjustRightInd w:val="0"/>
        <w:snapToGrid w:val="0"/>
        <w:spacing w:line="360" w:lineRule="auto"/>
        <w:ind w:firstLine="560" w:firstLineChars="200"/>
        <w:rPr>
          <w:rFonts w:ascii="宋体" w:hAnsi="宋体" w:cs="宋体"/>
          <w:bCs/>
          <w:color w:val="000000"/>
          <w:sz w:val="28"/>
          <w:szCs w:val="28"/>
          <w:lang w:val="zh-TW" w:eastAsia="zh-TW" w:bidi="zh-TW"/>
        </w:rPr>
      </w:pPr>
      <w:r>
        <w:rPr>
          <w:rFonts w:ascii="宋体" w:hAnsi="宋体" w:eastAsia="PMingLiU" w:cs="宋体"/>
          <w:bCs/>
          <w:color w:val="000000"/>
          <w:sz w:val="28"/>
          <w:szCs w:val="28"/>
          <w:lang w:val="zh-TW" w:eastAsia="zh-TW" w:bidi="zh-TW"/>
        </w:rPr>
        <w:t>3.</w:t>
      </w:r>
      <w:r>
        <w:rPr>
          <w:rFonts w:hint="eastAsia" w:ascii="宋体" w:hAnsi="宋体" w:cs="宋体"/>
          <w:bCs/>
          <w:color w:val="000000"/>
          <w:sz w:val="28"/>
          <w:szCs w:val="28"/>
          <w:lang w:val="zh-TW" w:eastAsia="zh-TW" w:bidi="zh-TW"/>
        </w:rPr>
        <w:t>在送到使用单位之前表面无划伤、碰撞等现象，并且安装调试后能正常使用。</w:t>
      </w:r>
    </w:p>
    <w:p>
      <w:pPr>
        <w:widowControl/>
        <w:adjustRightInd w:val="0"/>
        <w:snapToGrid w:val="0"/>
        <w:spacing w:line="360" w:lineRule="auto"/>
        <w:ind w:firstLine="560" w:firstLineChars="200"/>
        <w:rPr>
          <w:rFonts w:ascii="宋体" w:hAnsi="宋体" w:cs="宋体"/>
          <w:bCs/>
          <w:color w:val="000000"/>
          <w:sz w:val="28"/>
          <w:szCs w:val="28"/>
          <w:lang w:val="zh-TW" w:bidi="zh-TW"/>
        </w:rPr>
      </w:pPr>
      <w:r>
        <w:rPr>
          <w:rFonts w:ascii="宋体" w:hAnsi="宋体" w:eastAsia="PMingLiU" w:cs="宋体"/>
          <w:bCs/>
          <w:color w:val="000000"/>
          <w:sz w:val="28"/>
          <w:szCs w:val="28"/>
          <w:lang w:val="zh-TW" w:eastAsia="zh-TW" w:bidi="zh-TW"/>
        </w:rPr>
        <w:t>4.</w:t>
      </w:r>
      <w:r>
        <w:rPr>
          <w:rFonts w:hint="eastAsia" w:ascii="宋体" w:hAnsi="宋体" w:cs="宋体"/>
          <w:bCs/>
          <w:sz w:val="28"/>
          <w:szCs w:val="28"/>
          <w:lang w:val="zh-TW" w:eastAsia="zh-TW" w:bidi="zh-TW"/>
        </w:rPr>
        <w:t>中标人货到现场</w:t>
      </w:r>
      <w:r>
        <w:rPr>
          <w:rFonts w:hint="eastAsia" w:ascii="宋体" w:hAnsi="宋体" w:cs="宋体"/>
          <w:bCs/>
          <w:sz w:val="28"/>
          <w:szCs w:val="28"/>
          <w:lang w:val="zh-TW" w:eastAsia="zh-CN" w:bidi="zh-TW"/>
        </w:rPr>
        <w:t>采购人</w:t>
      </w:r>
      <w:r>
        <w:rPr>
          <w:rFonts w:hint="eastAsia" w:ascii="宋体" w:hAnsi="宋体" w:cs="宋体"/>
          <w:bCs/>
          <w:sz w:val="28"/>
          <w:szCs w:val="28"/>
          <w:lang w:val="zh-TW" w:eastAsia="zh-TW" w:bidi="zh-TW"/>
        </w:rPr>
        <w:t>不负责提供货物仓储地，</w:t>
      </w:r>
      <w:r>
        <w:rPr>
          <w:rFonts w:hint="eastAsia" w:ascii="宋体" w:hAnsi="宋体" w:cs="宋体"/>
          <w:bCs/>
          <w:color w:val="000000"/>
          <w:sz w:val="28"/>
          <w:szCs w:val="28"/>
          <w:lang w:val="zh-TW" w:eastAsia="zh-TW" w:bidi="zh-TW"/>
        </w:rPr>
        <w:t>由投标人负责货物保管工作，货到现场但未安装完全交付前造成的遗失、损坏等问题，由供应</w:t>
      </w:r>
      <w:r>
        <w:rPr>
          <w:rFonts w:hint="eastAsia" w:ascii="宋体" w:hAnsi="宋体" w:cs="宋体"/>
          <w:bCs/>
          <w:color w:val="000000"/>
          <w:sz w:val="28"/>
          <w:szCs w:val="28"/>
          <w:lang w:val="zh-TW" w:bidi="zh-TW"/>
        </w:rPr>
        <w:t>商</w:t>
      </w:r>
      <w:r>
        <w:rPr>
          <w:rFonts w:hint="eastAsia" w:ascii="宋体" w:hAnsi="宋体" w:cs="宋体"/>
          <w:bCs/>
          <w:color w:val="000000"/>
          <w:sz w:val="28"/>
          <w:szCs w:val="28"/>
          <w:lang w:val="zh-TW" w:eastAsia="zh-TW" w:bidi="zh-TW"/>
        </w:rPr>
        <w:t>承担。</w:t>
      </w:r>
    </w:p>
    <w:p>
      <w:pPr>
        <w:widowControl/>
        <w:adjustRightInd w:val="0"/>
        <w:snapToGrid w:val="0"/>
        <w:spacing w:line="360" w:lineRule="auto"/>
        <w:ind w:firstLine="560" w:firstLineChars="200"/>
        <w:rPr>
          <w:rFonts w:ascii="宋体" w:hAnsi="宋体" w:cs="宋体"/>
          <w:bCs/>
          <w:color w:val="000000"/>
          <w:sz w:val="28"/>
          <w:szCs w:val="28"/>
          <w:lang w:val="zh-TW" w:eastAsia="zh-TW" w:bidi="zh-TW"/>
        </w:rPr>
      </w:pPr>
      <w:r>
        <w:rPr>
          <w:rFonts w:ascii="宋体" w:hAnsi="宋体" w:eastAsia="PMingLiU" w:cs="宋体"/>
          <w:bCs/>
          <w:color w:val="000000"/>
          <w:sz w:val="28"/>
          <w:szCs w:val="28"/>
          <w:lang w:val="zh-TW" w:eastAsia="zh-TW" w:bidi="zh-TW"/>
        </w:rPr>
        <w:t>5.</w:t>
      </w:r>
      <w:r>
        <w:rPr>
          <w:rFonts w:hint="eastAsia" w:ascii="宋体" w:hAnsi="宋体" w:cs="宋体"/>
          <w:bCs/>
          <w:color w:val="000000"/>
          <w:sz w:val="28"/>
          <w:szCs w:val="28"/>
          <w:lang w:val="zh-TW" w:eastAsia="zh-TW" w:bidi="zh-TW"/>
        </w:rPr>
        <w:t xml:space="preserve">若遇配货包装、运输过程中造成的短缺、差错、丢失、损坏等，供应方无条件调换、补缺。 </w:t>
      </w:r>
    </w:p>
    <w:p>
      <w:pPr>
        <w:widowControl/>
        <w:adjustRightInd w:val="0"/>
        <w:snapToGrid w:val="0"/>
        <w:spacing w:line="360" w:lineRule="auto"/>
        <w:ind w:firstLine="560" w:firstLineChars="200"/>
        <w:rPr>
          <w:rFonts w:ascii="宋体" w:hAnsi="宋体" w:eastAsia="PMingLiU" w:cs="宋体"/>
          <w:bCs/>
          <w:color w:val="000000"/>
          <w:sz w:val="28"/>
          <w:szCs w:val="28"/>
          <w:lang w:val="zh-TW" w:eastAsia="zh-TW" w:bidi="zh-TW"/>
        </w:rPr>
      </w:pPr>
      <w:r>
        <w:rPr>
          <w:rFonts w:ascii="宋体" w:hAnsi="宋体" w:eastAsia="PMingLiU" w:cs="宋体"/>
          <w:bCs/>
          <w:color w:val="000000"/>
          <w:sz w:val="28"/>
          <w:szCs w:val="28"/>
          <w:lang w:val="zh-TW" w:eastAsia="zh-TW" w:bidi="zh-TW"/>
        </w:rPr>
        <w:t>6.</w:t>
      </w:r>
      <w:r>
        <w:rPr>
          <w:rFonts w:hint="eastAsia" w:ascii="宋体" w:hAnsi="宋体" w:cs="宋体"/>
          <w:bCs/>
          <w:color w:val="000000"/>
          <w:sz w:val="28"/>
          <w:szCs w:val="28"/>
          <w:lang w:val="zh-TW" w:eastAsia="zh-TW" w:bidi="zh-TW"/>
        </w:rPr>
        <w:t>按订货的品种、数量配货，送货到校，并附详细的发货清单和签收单，以便验货核对。</w:t>
      </w:r>
    </w:p>
    <w:p>
      <w:pPr>
        <w:spacing w:line="360" w:lineRule="auto"/>
        <w:ind w:firstLine="560" w:firstLineChars="200"/>
        <w:rPr>
          <w:bCs/>
          <w:color w:val="000000" w:themeColor="text1"/>
          <w:sz w:val="28"/>
          <w:szCs w:val="28"/>
          <w14:textFill>
            <w14:solidFill>
              <w14:schemeClr w14:val="tx1"/>
            </w14:solidFill>
          </w14:textFill>
        </w:rPr>
      </w:pPr>
      <w:bookmarkStart w:id="182" w:name="_Hlk85807870"/>
      <w:r>
        <w:rPr>
          <w:bCs/>
          <w:color w:val="000000" w:themeColor="text1"/>
          <w:sz w:val="28"/>
          <w:szCs w:val="28"/>
          <w14:textFill>
            <w14:solidFill>
              <w14:schemeClr w14:val="tx1"/>
            </w14:solidFill>
          </w14:textFill>
        </w:rPr>
        <w:t>7.</w:t>
      </w:r>
      <w:r>
        <w:rPr>
          <w:rFonts w:hint="eastAsia"/>
          <w:bCs/>
          <w:color w:val="000000" w:themeColor="text1"/>
          <w:sz w:val="28"/>
          <w:szCs w:val="28"/>
          <w14:textFill>
            <w14:solidFill>
              <w14:schemeClr w14:val="tx1"/>
            </w14:solidFill>
          </w14:textFill>
        </w:rPr>
        <w:t>采购人派出技术专家对投标货物的制造过程进行抽查或监造，以及参与设备的性能检验和试验运行时，我公司提供方便和配合。</w:t>
      </w:r>
    </w:p>
    <w:bookmarkEnd w:id="182"/>
    <w:p>
      <w:pPr>
        <w:widowControl/>
        <w:adjustRightInd w:val="0"/>
        <w:snapToGrid w:val="0"/>
        <w:spacing w:line="360" w:lineRule="auto"/>
        <w:ind w:firstLine="561" w:firstLineChars="200"/>
        <w:jc w:val="left"/>
        <w:rPr>
          <w:rFonts w:ascii="宋体" w:hAnsi="宋体" w:eastAsia="PMingLiU" w:cs="宋体"/>
          <w:b/>
          <w:color w:val="000000" w:themeColor="text1"/>
          <w:sz w:val="28"/>
          <w:szCs w:val="28"/>
          <w:lang w:val="zh-TW" w:eastAsia="zh-TW" w:bidi="zh-TW"/>
          <w14:textFill>
            <w14:solidFill>
              <w14:schemeClr w14:val="tx1"/>
            </w14:solidFill>
          </w14:textFill>
        </w:rPr>
      </w:pPr>
      <w:r>
        <w:rPr>
          <w:rFonts w:ascii="宋体" w:hAnsi="宋体" w:eastAsia="PMingLiU" w:cs="宋体"/>
          <w:b/>
          <w:color w:val="000000" w:themeColor="text1"/>
          <w:sz w:val="28"/>
          <w:szCs w:val="28"/>
          <w:lang w:val="zh-TW" w:eastAsia="zh-TW" w:bidi="zh-TW"/>
          <w14:textFill>
            <w14:solidFill>
              <w14:schemeClr w14:val="tx1"/>
            </w14:solidFill>
          </w14:textFill>
        </w:rPr>
        <w:t>8.</w:t>
      </w:r>
      <w:r>
        <w:rPr>
          <w:rFonts w:hint="eastAsia" w:ascii="宋体" w:hAnsi="宋体" w:cs="宋体"/>
          <w:b/>
          <w:color w:val="000000" w:themeColor="text1"/>
          <w:sz w:val="28"/>
          <w:szCs w:val="28"/>
          <w:lang w:val="zh-TW" w:eastAsia="zh-TW" w:bidi="zh-TW"/>
          <w14:textFill>
            <w14:solidFill>
              <w14:schemeClr w14:val="tx1"/>
            </w14:solidFill>
          </w14:textFill>
        </w:rPr>
        <w:t>以上要求投标人应按照招标文件</w:t>
      </w:r>
      <w:r>
        <w:rPr>
          <w:rFonts w:hint="eastAsia" w:ascii="宋体" w:hAnsi="宋体" w:cs="宋体"/>
          <w:b/>
          <w:color w:val="000000" w:themeColor="text1"/>
          <w:sz w:val="28"/>
          <w:szCs w:val="28"/>
          <w:lang w:val="zh-TW" w:bidi="zh-TW"/>
          <w14:textFill>
            <w14:solidFill>
              <w14:schemeClr w14:val="tx1"/>
            </w14:solidFill>
          </w14:textFill>
        </w:rPr>
        <w:t>3.3.6</w:t>
      </w:r>
      <w:r>
        <w:rPr>
          <w:rFonts w:hint="eastAsia" w:ascii="宋体" w:hAnsi="宋体" w:cs="宋体"/>
          <w:b/>
          <w:color w:val="000000" w:themeColor="text1"/>
          <w:sz w:val="28"/>
          <w:szCs w:val="28"/>
          <w:lang w:val="zh-TW" w:eastAsia="zh-TW" w:bidi="zh-TW"/>
          <w14:textFill>
            <w14:solidFill>
              <w14:schemeClr w14:val="tx1"/>
            </w14:solidFill>
          </w14:textFill>
        </w:rPr>
        <w:t>承诺函的格式及要求提供承诺函。</w:t>
      </w:r>
    </w:p>
    <w:bookmarkEnd w:id="181"/>
    <w:p>
      <w:pPr>
        <w:pStyle w:val="5"/>
        <w:rPr>
          <w:rFonts w:eastAsia="PMingLiU"/>
          <w:color w:val="000000" w:themeColor="text1"/>
          <w:lang w:val="zh-TW" w:eastAsia="zh-TW" w:bidi="zh-TW"/>
          <w14:textFill>
            <w14:solidFill>
              <w14:schemeClr w14:val="tx1"/>
            </w14:solidFill>
          </w14:textFill>
        </w:rPr>
      </w:pPr>
      <w:r>
        <w:rPr>
          <w:color w:val="000000" w:themeColor="text1"/>
          <w14:textFill>
            <w14:solidFill>
              <w14:schemeClr w14:val="tx1"/>
            </w14:solidFill>
          </w14:textFill>
        </w:rPr>
        <w:t>*</w:t>
      </w:r>
      <w:r>
        <w:rPr>
          <w:rFonts w:hint="eastAsia" w:asciiTheme="minorEastAsia" w:hAnsiTheme="minorEastAsia" w:eastAsiaTheme="minorEastAsia"/>
          <w:color w:val="000000" w:themeColor="text1"/>
          <w:lang w:val="zh-TW" w:eastAsia="zh-TW" w:bidi="zh-TW"/>
          <w14:textFill>
            <w14:solidFill>
              <w14:schemeClr w14:val="tx1"/>
            </w14:solidFill>
          </w14:textFill>
        </w:rPr>
        <w:t>安装调试及技术服务要求</w:t>
      </w:r>
    </w:p>
    <w:p>
      <w:pPr>
        <w:pStyle w:val="51"/>
        <w:spacing w:line="360" w:lineRule="auto"/>
        <w:ind w:firstLine="560" w:firstLineChars="200"/>
        <w:rPr>
          <w:rFonts w:ascii="宋体" w:hAnsi="宋体" w:cs="宋体"/>
          <w:bCs/>
          <w:sz w:val="28"/>
          <w:szCs w:val="28"/>
          <w:lang w:val="zh-TW" w:eastAsia="zh-TW" w:bidi="zh-TW"/>
        </w:rPr>
      </w:pPr>
      <w:r>
        <w:rPr>
          <w:rFonts w:ascii="宋体" w:hAnsi="宋体" w:eastAsia="PMingLiU" w:cs="宋体"/>
          <w:bCs/>
          <w:sz w:val="28"/>
          <w:szCs w:val="28"/>
          <w:lang w:val="zh-TW" w:eastAsia="zh-TW" w:bidi="zh-TW"/>
        </w:rPr>
        <w:t>1.</w:t>
      </w:r>
      <w:r>
        <w:rPr>
          <w:rFonts w:hint="eastAsia" w:ascii="宋体" w:hAnsi="宋体" w:cs="宋体"/>
          <w:bCs/>
          <w:sz w:val="28"/>
          <w:szCs w:val="28"/>
          <w:lang w:val="zh-TW" w:eastAsia="zh-TW" w:bidi="zh-TW"/>
        </w:rPr>
        <w:t>所有设备均须由投标人送货上门并安装调试，采购人不再支付任何费用。</w:t>
      </w:r>
    </w:p>
    <w:p>
      <w:pPr>
        <w:pStyle w:val="51"/>
        <w:spacing w:line="360" w:lineRule="auto"/>
        <w:ind w:firstLine="560" w:firstLineChars="200"/>
        <w:rPr>
          <w:rFonts w:ascii="宋体" w:hAnsi="宋体" w:cs="宋体"/>
          <w:bCs/>
          <w:sz w:val="28"/>
          <w:szCs w:val="28"/>
          <w:lang w:bidi="zh-TW"/>
        </w:rPr>
      </w:pPr>
      <w:r>
        <w:rPr>
          <w:rFonts w:ascii="宋体" w:hAnsi="宋体" w:eastAsia="PMingLiU" w:cs="宋体"/>
          <w:bCs/>
          <w:sz w:val="28"/>
          <w:szCs w:val="28"/>
          <w:lang w:val="zh-TW" w:eastAsia="zh-TW" w:bidi="zh-TW"/>
        </w:rPr>
        <w:t>2.</w:t>
      </w:r>
      <w:r>
        <w:rPr>
          <w:rFonts w:hint="eastAsia" w:ascii="宋体" w:hAnsi="宋体" w:cs="宋体"/>
          <w:bCs/>
          <w:sz w:val="28"/>
          <w:szCs w:val="28"/>
          <w:lang w:val="zh-TW" w:eastAsia="zh-TW" w:bidi="zh-TW"/>
        </w:rPr>
        <w:t>投标人负责施工辅材、设备安装、调试等工作。</w:t>
      </w:r>
    </w:p>
    <w:p>
      <w:pPr>
        <w:pStyle w:val="51"/>
        <w:spacing w:line="360" w:lineRule="auto"/>
        <w:ind w:firstLine="560" w:firstLineChars="200"/>
        <w:rPr>
          <w:rFonts w:ascii="宋体" w:hAnsi="宋体" w:cs="宋体"/>
          <w:bCs/>
          <w:sz w:val="28"/>
          <w:szCs w:val="28"/>
          <w:lang w:val="zh-TW" w:bidi="zh-TW"/>
        </w:rPr>
      </w:pPr>
      <w:r>
        <w:rPr>
          <w:rFonts w:ascii="宋体" w:hAnsi="宋体" w:eastAsia="PMingLiU" w:cs="宋体"/>
          <w:bCs/>
          <w:sz w:val="28"/>
          <w:szCs w:val="28"/>
          <w:lang w:val="zh-TW" w:eastAsia="zh-TW" w:bidi="zh-TW"/>
        </w:rPr>
        <w:t>3.</w:t>
      </w:r>
      <w:r>
        <w:rPr>
          <w:rFonts w:hint="eastAsia" w:ascii="宋体" w:hAnsi="宋体" w:cs="宋体"/>
          <w:bCs/>
          <w:sz w:val="28"/>
          <w:szCs w:val="28"/>
          <w:lang w:val="zh-TW" w:eastAsia="zh-TW" w:bidi="zh-TW"/>
        </w:rPr>
        <w:t>设备的固定安装符合施工要求，安装美观，整体走线符合施工工艺要求，如安装位置是填充材料，须进行加固处理</w:t>
      </w:r>
      <w:r>
        <w:rPr>
          <w:rFonts w:hint="eastAsia" w:ascii="宋体" w:hAnsi="宋体" w:cs="宋体"/>
          <w:bCs/>
          <w:sz w:val="28"/>
          <w:szCs w:val="28"/>
          <w:lang w:val="zh-TW" w:bidi="zh-TW"/>
        </w:rPr>
        <w:t>。</w:t>
      </w:r>
    </w:p>
    <w:p>
      <w:pPr>
        <w:pStyle w:val="51"/>
        <w:spacing w:line="360" w:lineRule="auto"/>
        <w:ind w:firstLine="560" w:firstLineChars="200"/>
        <w:rPr>
          <w:rFonts w:ascii="宋体" w:hAnsi="宋体" w:eastAsia="PMingLiU" w:cs="宋体"/>
          <w:bCs/>
          <w:sz w:val="28"/>
          <w:szCs w:val="28"/>
          <w:lang w:val="zh-TW" w:eastAsia="zh-TW" w:bidi="zh-TW"/>
        </w:rPr>
      </w:pPr>
      <w:r>
        <w:rPr>
          <w:rFonts w:ascii="宋体" w:hAnsi="宋体" w:eastAsia="PMingLiU" w:cs="宋体"/>
          <w:bCs/>
          <w:sz w:val="28"/>
          <w:szCs w:val="28"/>
          <w:lang w:val="zh-TW" w:eastAsia="zh-TW" w:bidi="zh-TW"/>
        </w:rPr>
        <w:t>4.</w:t>
      </w:r>
      <w:r>
        <w:rPr>
          <w:rFonts w:hint="eastAsia" w:ascii="宋体" w:hAnsi="宋体" w:cs="宋体"/>
          <w:bCs/>
          <w:sz w:val="28"/>
          <w:szCs w:val="28"/>
          <w:lang w:val="zh-TW" w:eastAsia="zh-TW" w:bidi="zh-TW"/>
        </w:rPr>
        <w:t>线材管材、设备间连接线、转接头、电源插座板等均采用经质检合格的产品。</w:t>
      </w:r>
    </w:p>
    <w:p>
      <w:pPr>
        <w:spacing w:after="240"/>
        <w:ind w:firstLine="562" w:firstLineChars="200"/>
        <w:rPr>
          <w:rFonts w:ascii="宋体" w:hAnsi="宋体" w:eastAsia="PMingLiU" w:cs="宋体"/>
          <w:b/>
          <w:color w:val="000000"/>
          <w:sz w:val="28"/>
          <w:szCs w:val="28"/>
          <w:lang w:val="zh-TW" w:eastAsia="zh-TW" w:bidi="zh-TW"/>
        </w:rPr>
      </w:pPr>
      <w:r>
        <w:rPr>
          <w:rFonts w:hint="eastAsia" w:ascii="宋体" w:hAnsi="宋体" w:cs="宋体"/>
          <w:b/>
          <w:color w:val="000000"/>
          <w:sz w:val="28"/>
          <w:szCs w:val="28"/>
          <w:lang w:val="zh-TW" w:eastAsia="zh-TW" w:bidi="zh-TW"/>
        </w:rPr>
        <w:t>5</w:t>
      </w:r>
      <w:r>
        <w:rPr>
          <w:rFonts w:ascii="宋体" w:hAnsi="宋体" w:cs="宋体"/>
          <w:b/>
          <w:color w:val="000000"/>
          <w:sz w:val="28"/>
          <w:szCs w:val="28"/>
          <w:lang w:val="zh-TW" w:eastAsia="zh-TW" w:bidi="zh-TW"/>
        </w:rPr>
        <w:t>.</w:t>
      </w:r>
      <w:bookmarkStart w:id="183" w:name="_Hlk85297224"/>
      <w:r>
        <w:rPr>
          <w:rFonts w:hint="eastAsia" w:ascii="宋体" w:hAnsi="宋体" w:cs="宋体"/>
          <w:b/>
          <w:color w:val="000000"/>
          <w:sz w:val="28"/>
          <w:szCs w:val="28"/>
          <w:lang w:val="zh-TW" w:eastAsia="zh-TW" w:bidi="zh-TW"/>
        </w:rPr>
        <w:t>以上要求投标人应按照招标文件</w:t>
      </w:r>
      <w:r>
        <w:rPr>
          <w:rFonts w:hint="eastAsia" w:ascii="宋体" w:hAnsi="宋体" w:cs="宋体"/>
          <w:b/>
          <w:color w:val="000000"/>
          <w:sz w:val="28"/>
          <w:szCs w:val="28"/>
          <w:lang w:val="zh-TW" w:bidi="zh-TW"/>
        </w:rPr>
        <w:t>3.3.6</w:t>
      </w:r>
      <w:r>
        <w:rPr>
          <w:rFonts w:hint="eastAsia" w:ascii="宋体" w:hAnsi="宋体" w:cs="宋体"/>
          <w:b/>
          <w:color w:val="000000"/>
          <w:sz w:val="28"/>
          <w:szCs w:val="28"/>
          <w:lang w:val="zh-TW" w:eastAsia="zh-TW" w:bidi="zh-TW"/>
        </w:rPr>
        <w:t>承诺函的格式及要求提供承诺函。</w:t>
      </w:r>
    </w:p>
    <w:bookmarkEnd w:id="183"/>
    <w:p>
      <w:pPr>
        <w:pStyle w:val="4"/>
        <w:rPr>
          <w:rFonts w:eastAsia="PMingLiU"/>
          <w:bCs w:val="0"/>
          <w:color w:val="000000"/>
          <w:lang w:val="zh-TW" w:eastAsia="zh-TW" w:bidi="zh-TW"/>
        </w:rPr>
      </w:pPr>
      <w:bookmarkStart w:id="184" w:name="_Toc85657312"/>
      <w:r>
        <w:rPr>
          <w:rFonts w:hint="eastAsia"/>
          <w:bCs w:val="0"/>
          <w:color w:val="000000"/>
          <w:lang w:val="zh-TW" w:eastAsia="zh-TW" w:bidi="zh-TW"/>
        </w:rPr>
        <w:t>商务要求</w:t>
      </w:r>
      <w:bookmarkEnd w:id="184"/>
    </w:p>
    <w:p>
      <w:pPr>
        <w:pStyle w:val="5"/>
        <w:rPr>
          <w:rFonts w:eastAsia="PMingLiU"/>
          <w:lang w:val="zh-TW" w:eastAsia="zh-TW" w:bidi="zh-TW"/>
        </w:rPr>
      </w:pPr>
      <w:r>
        <w:t>*</w:t>
      </w:r>
      <w:r>
        <w:rPr>
          <w:rFonts w:hint="eastAsia" w:asciiTheme="minorEastAsia" w:hAnsiTheme="minorEastAsia" w:eastAsiaTheme="minorEastAsia"/>
          <w:lang w:val="zh-TW" w:eastAsia="zh-TW" w:bidi="zh-TW"/>
        </w:rPr>
        <w:t>履行合同的时间、地点及方式</w:t>
      </w:r>
    </w:p>
    <w:p>
      <w:pPr>
        <w:spacing w:line="360" w:lineRule="auto"/>
        <w:ind w:firstLine="560" w:firstLineChars="200"/>
        <w:rPr>
          <w:rFonts w:ascii="宋体" w:hAnsi="宋体" w:cs="宋体"/>
          <w:bCs/>
          <w:color w:val="000000"/>
          <w:sz w:val="28"/>
          <w:szCs w:val="28"/>
          <w:lang w:val="zh-TW" w:eastAsia="zh-TW" w:bidi="zh-TW"/>
        </w:rPr>
      </w:pPr>
      <w:r>
        <w:rPr>
          <w:rFonts w:hint="eastAsia"/>
          <w:bCs/>
          <w:color w:val="000000"/>
          <w:sz w:val="28"/>
          <w:szCs w:val="28"/>
        </w:rPr>
        <w:t>1</w:t>
      </w:r>
      <w:r>
        <w:rPr>
          <w:bCs/>
          <w:color w:val="000000"/>
          <w:sz w:val="28"/>
          <w:szCs w:val="28"/>
        </w:rPr>
        <w:t>.</w:t>
      </w:r>
      <w:r>
        <w:rPr>
          <w:rFonts w:hint="eastAsia"/>
          <w:bCs/>
          <w:color w:val="000000"/>
          <w:sz w:val="28"/>
          <w:szCs w:val="28"/>
        </w:rPr>
        <w:t>本项目履行合同时间为</w:t>
      </w:r>
      <w:r>
        <w:rPr>
          <w:rFonts w:hint="eastAsia" w:ascii="宋体" w:hAnsi="宋体" w:cs="宋体"/>
          <w:bCs/>
          <w:color w:val="000000"/>
          <w:sz w:val="28"/>
          <w:szCs w:val="28"/>
          <w:lang w:val="zh-TW" w:eastAsia="zh-TW" w:bidi="zh-TW"/>
        </w:rPr>
        <w:t>：合同签订之日起50 个工作日内送达采购人指定的场地并按照要求完成安装调试工作。</w:t>
      </w:r>
    </w:p>
    <w:p>
      <w:pPr>
        <w:pStyle w:val="51"/>
        <w:spacing w:line="360" w:lineRule="auto"/>
        <w:ind w:firstLine="560" w:firstLineChars="200"/>
        <w:rPr>
          <w:rFonts w:ascii="宋体" w:hAnsi="宋体" w:cs="宋体"/>
          <w:bCs/>
          <w:color w:val="000000" w:themeColor="text1"/>
          <w:sz w:val="28"/>
          <w:szCs w:val="28"/>
          <w:lang w:val="zh-TW" w:bidi="zh-TW"/>
          <w14:textFill>
            <w14:solidFill>
              <w14:schemeClr w14:val="tx1"/>
            </w14:solidFill>
          </w14:textFill>
        </w:rPr>
      </w:pPr>
      <w:r>
        <w:rPr>
          <w:bCs/>
          <w:sz w:val="28"/>
          <w:szCs w:val="28"/>
        </w:rPr>
        <w:t>2.</w:t>
      </w:r>
      <w:r>
        <w:rPr>
          <w:rFonts w:hint="eastAsia"/>
          <w:bCs/>
          <w:sz w:val="28"/>
          <w:szCs w:val="28"/>
        </w:rPr>
        <w:t>本项目履行合同地点为</w:t>
      </w:r>
      <w:r>
        <w:rPr>
          <w:rFonts w:hint="eastAsia" w:ascii="宋体" w:hAnsi="宋体" w:cs="宋体"/>
          <w:bCs/>
          <w:sz w:val="28"/>
          <w:szCs w:val="28"/>
          <w:lang w:val="zh-TW" w:eastAsia="zh-TW" w:bidi="zh-TW"/>
        </w:rPr>
        <w:t>：</w:t>
      </w:r>
      <w:r>
        <w:rPr>
          <w:rFonts w:hint="eastAsia" w:ascii="宋体" w:hAnsi="宋体" w:cs="宋体"/>
          <w:bCs/>
          <w:color w:val="000000" w:themeColor="text1"/>
          <w:sz w:val="28"/>
          <w:szCs w:val="28"/>
          <w:lang w:val="zh-TW" w:bidi="zh-TW"/>
          <w14:textFill>
            <w14:solidFill>
              <w14:schemeClr w14:val="tx1"/>
            </w14:solidFill>
          </w14:textFill>
        </w:rPr>
        <w:t>艺体中学（室内学术报告厅和室内体验馆）、双流中学3间会议室。</w:t>
      </w:r>
    </w:p>
    <w:p>
      <w:pPr>
        <w:spacing w:after="240" w:line="360" w:lineRule="auto"/>
        <w:ind w:firstLine="560" w:firstLineChars="200"/>
        <w:rPr>
          <w:bCs/>
          <w:color w:val="000000"/>
          <w:sz w:val="28"/>
          <w:szCs w:val="28"/>
        </w:rPr>
      </w:pPr>
      <w:r>
        <w:rPr>
          <w:rFonts w:hint="eastAsia"/>
          <w:bCs/>
          <w:color w:val="000000"/>
          <w:sz w:val="28"/>
          <w:szCs w:val="28"/>
        </w:rPr>
        <w:t>3</w:t>
      </w:r>
      <w:r>
        <w:rPr>
          <w:bCs/>
          <w:color w:val="000000"/>
          <w:sz w:val="28"/>
          <w:szCs w:val="28"/>
        </w:rPr>
        <w:t>.</w:t>
      </w:r>
      <w:r>
        <w:rPr>
          <w:rFonts w:hint="eastAsia"/>
          <w:bCs/>
          <w:color w:val="000000"/>
          <w:sz w:val="28"/>
          <w:szCs w:val="28"/>
        </w:rPr>
        <w:t>本项目履行合同方式为</w:t>
      </w:r>
      <w:r>
        <w:rPr>
          <w:rFonts w:hint="eastAsia"/>
          <w:bCs/>
          <w:sz w:val="28"/>
          <w:szCs w:val="28"/>
        </w:rPr>
        <w:t>：</w:t>
      </w:r>
      <w:r>
        <w:rPr>
          <w:rFonts w:hint="eastAsia" w:ascii="宋体" w:hAnsi="宋体" w:cs="宋体"/>
          <w:bCs/>
          <w:color w:val="000000"/>
          <w:sz w:val="28"/>
          <w:szCs w:val="28"/>
          <w:lang w:val="zh-TW" w:eastAsia="zh-TW" w:bidi="zh-TW"/>
        </w:rPr>
        <w:t>中标人按合同的规定，准时提供投标产品和材料并负责所供产品、运输、安装及调试，验收合格并交付使用。</w:t>
      </w:r>
    </w:p>
    <w:p>
      <w:pPr>
        <w:pStyle w:val="5"/>
      </w:pPr>
      <w:r>
        <w:t>*</w:t>
      </w:r>
      <w:r>
        <w:rPr>
          <w:rFonts w:hint="eastAsia"/>
        </w:rPr>
        <w:t>合同价款支付方式和条件</w:t>
      </w:r>
    </w:p>
    <w:p>
      <w:pPr>
        <w:spacing w:line="360" w:lineRule="auto"/>
        <w:ind w:firstLine="560" w:firstLineChars="200"/>
        <w:rPr>
          <w:bCs/>
          <w:color w:val="000000" w:themeColor="text1"/>
          <w:sz w:val="28"/>
          <w:szCs w:val="28"/>
          <w14:textFill>
            <w14:solidFill>
              <w14:schemeClr w14:val="tx1"/>
            </w14:solidFill>
          </w14:textFill>
        </w:rPr>
      </w:pPr>
      <w:r>
        <w:rPr>
          <w:rFonts w:hint="eastAsia"/>
          <w:bCs/>
          <w:color w:val="000000"/>
          <w:sz w:val="28"/>
          <w:szCs w:val="28"/>
        </w:rPr>
        <w:t>1</w:t>
      </w:r>
      <w:r>
        <w:rPr>
          <w:bCs/>
          <w:color w:val="000000"/>
          <w:sz w:val="28"/>
          <w:szCs w:val="28"/>
        </w:rPr>
        <w:t>.</w:t>
      </w:r>
      <w:r>
        <w:rPr>
          <w:rFonts w:hint="eastAsia"/>
          <w:bCs/>
          <w:color w:val="000000" w:themeColor="text1"/>
          <w:sz w:val="28"/>
          <w:szCs w:val="28"/>
          <w14:textFill>
            <w14:solidFill>
              <w14:schemeClr w14:val="tx1"/>
            </w14:solidFill>
          </w14:textFill>
        </w:rPr>
        <w:t>本项目合同价款支付方式和条件为：采购合同签订之日起在5个工作日内支付合同款的30%；全部设备安装、调试、交货完验收合格后，中标人提供真实有效合法票据后10个工作日支付至合同金额的95%，剩余5%运行一年后无质量问题支付。</w:t>
      </w:r>
    </w:p>
    <w:p>
      <w:pPr>
        <w:pStyle w:val="51"/>
        <w:spacing w:line="360" w:lineRule="auto"/>
        <w:rPr>
          <w:bCs/>
          <w:color w:val="000000" w:themeColor="text1"/>
          <w:sz w:val="28"/>
          <w:szCs w:val="28"/>
          <w14:textFill>
            <w14:solidFill>
              <w14:schemeClr w14:val="tx1"/>
            </w14:solidFill>
          </w14:textFill>
        </w:rPr>
      </w:pPr>
      <w:bookmarkStart w:id="185" w:name="_Hlk85293461"/>
      <w:r>
        <w:rPr>
          <w:bCs/>
          <w:color w:val="000000" w:themeColor="text1"/>
          <w:sz w:val="28"/>
          <w:szCs w:val="28"/>
          <w14:textFill>
            <w14:solidFill>
              <w14:schemeClr w14:val="tx1"/>
            </w14:solidFill>
          </w14:textFill>
        </w:rPr>
        <w:t>2.</w:t>
      </w:r>
      <w:r>
        <w:rPr>
          <w:rFonts w:hint="eastAsia"/>
          <w:bCs/>
          <w:color w:val="000000" w:themeColor="text1"/>
          <w:sz w:val="28"/>
          <w:szCs w:val="28"/>
          <w14:textFill>
            <w14:solidFill>
              <w14:schemeClr w14:val="tx1"/>
            </w14:solidFill>
          </w14:textFill>
        </w:rPr>
        <w:t>从采购人付款前，中标人应当向采购人提供等额合法有效的发票，中标人未提供发票导致采购人逾期支付款项的，采购人不承担逾期支付款项的违约责任</w:t>
      </w:r>
      <w:bookmarkEnd w:id="185"/>
      <w:r>
        <w:rPr>
          <w:rFonts w:hint="eastAsia"/>
          <w:bCs/>
          <w:color w:val="000000" w:themeColor="text1"/>
          <w:sz w:val="28"/>
          <w:szCs w:val="28"/>
          <w14:textFill>
            <w14:solidFill>
              <w14:schemeClr w14:val="tx1"/>
            </w14:solidFill>
          </w14:textFill>
        </w:rPr>
        <w:t>。</w:t>
      </w:r>
    </w:p>
    <w:p>
      <w:pPr>
        <w:pStyle w:val="51"/>
        <w:spacing w:line="360" w:lineRule="auto"/>
        <w:rPr>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3.付款方式均采用公对公的银行转账，中标人接受转账的开户信息以采购合同载明的为准。</w:t>
      </w:r>
    </w:p>
    <w:p>
      <w:pPr>
        <w:pStyle w:val="5"/>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质量保证期</w:t>
      </w:r>
    </w:p>
    <w:p>
      <w:pPr>
        <w:spacing w:after="240" w:line="360" w:lineRule="auto"/>
        <w:ind w:firstLine="560" w:firstLineChars="200"/>
        <w:rPr>
          <w:bCs/>
          <w:color w:val="000000" w:themeColor="text1"/>
          <w:sz w:val="28"/>
          <w:szCs w:val="28"/>
          <w14:textFill>
            <w14:solidFill>
              <w14:schemeClr w14:val="tx1"/>
            </w14:solidFill>
          </w14:textFill>
        </w:rPr>
      </w:pPr>
      <w:bookmarkStart w:id="186" w:name="_Hlk85289843"/>
      <w:r>
        <w:rPr>
          <w:rFonts w:hint="eastAsia"/>
          <w:bCs/>
          <w:color w:val="000000" w:themeColor="text1"/>
          <w:sz w:val="28"/>
          <w:szCs w:val="28"/>
          <w14:textFill>
            <w14:solidFill>
              <w14:schemeClr w14:val="tx1"/>
            </w14:solidFill>
          </w14:textFill>
        </w:rPr>
        <w:t>本项目货物质量保证期为自全部货物安装、调试、试运行结束后整体项目验收合格之日起3 年</w:t>
      </w:r>
      <w:bookmarkEnd w:id="186"/>
      <w:bookmarkStart w:id="187" w:name="_Hlk85807786"/>
      <w:r>
        <w:rPr>
          <w:rFonts w:hint="eastAsia"/>
          <w:bCs/>
          <w:color w:val="000000" w:themeColor="text1"/>
          <w:sz w:val="28"/>
          <w:szCs w:val="28"/>
          <w14:textFill>
            <w14:solidFill>
              <w14:schemeClr w14:val="tx1"/>
            </w14:solidFill>
          </w14:textFill>
        </w:rPr>
        <w:t>，质保期满后为用户提供终身上门服务。</w:t>
      </w:r>
      <w:bookmarkEnd w:id="187"/>
      <w:bookmarkStart w:id="188" w:name="_Hlk85807816"/>
      <w:r>
        <w:rPr>
          <w:rFonts w:hint="eastAsia"/>
          <w:b/>
          <w:color w:val="000000" w:themeColor="text1"/>
          <w:sz w:val="28"/>
          <w:szCs w:val="28"/>
          <w14:textFill>
            <w14:solidFill>
              <w14:schemeClr w14:val="tx1"/>
            </w14:solidFill>
          </w14:textFill>
        </w:rPr>
        <w:t>（投标人应按照招标文件3.3.6承诺函的格式及要求提供承诺函）。</w:t>
      </w:r>
      <w:bookmarkEnd w:id="188"/>
    </w:p>
    <w:p>
      <w:pPr>
        <w:pStyle w:val="5"/>
      </w:pPr>
      <w:r>
        <w:t>*</w:t>
      </w:r>
      <w:r>
        <w:rPr>
          <w:rFonts w:hint="eastAsia"/>
        </w:rPr>
        <w:t>响应时间</w:t>
      </w:r>
    </w:p>
    <w:p>
      <w:pPr>
        <w:spacing w:after="240" w:line="360" w:lineRule="auto"/>
        <w:ind w:firstLine="560" w:firstLineChars="200"/>
        <w:rPr>
          <w:bCs/>
          <w:color w:val="000000" w:themeColor="text1"/>
          <w:sz w:val="28"/>
          <w:szCs w:val="28"/>
          <w14:textFill>
            <w14:solidFill>
              <w14:schemeClr w14:val="tx1"/>
            </w14:solidFill>
          </w14:textFill>
        </w:rPr>
      </w:pPr>
      <w:bookmarkStart w:id="189" w:name="_Hlk85802434"/>
      <w:bookmarkStart w:id="190" w:name="_Hlk85802160"/>
      <w:r>
        <w:rPr>
          <w:rFonts w:hint="eastAsia"/>
          <w:bCs/>
          <w:color w:val="000000" w:themeColor="text1"/>
          <w:sz w:val="28"/>
          <w:szCs w:val="28"/>
          <w14:textFill>
            <w14:solidFill>
              <w14:schemeClr w14:val="tx1"/>
            </w14:solidFill>
          </w14:textFill>
        </w:rPr>
        <w:t>质量保证期内，中标人必须提供良好的技术支持。</w:t>
      </w:r>
      <w:bookmarkEnd w:id="189"/>
      <w:r>
        <w:rPr>
          <w:rFonts w:hint="eastAsia"/>
          <w:bCs/>
          <w:color w:val="000000" w:themeColor="text1"/>
          <w:sz w:val="28"/>
          <w:szCs w:val="28"/>
          <w14:textFill>
            <w14:solidFill>
              <w14:schemeClr w14:val="tx1"/>
            </w14:solidFill>
          </w14:textFill>
        </w:rPr>
        <w:t>质保期满后为用户提供终身上门服务。投标人提供7×24小时热线服务和现场支持服务，设备出现故障后能30分钟做出响应，2小时内上门维修，24小时内必须解决问题，若当天无法修复，应提供解决方案</w:t>
      </w:r>
      <w:bookmarkEnd w:id="190"/>
      <w:r>
        <w:rPr>
          <w:rFonts w:hint="eastAsia"/>
          <w:b/>
          <w:color w:val="000000" w:themeColor="text1"/>
          <w:sz w:val="28"/>
          <w:szCs w:val="28"/>
          <w14:textFill>
            <w14:solidFill>
              <w14:schemeClr w14:val="tx1"/>
            </w14:solidFill>
          </w14:textFill>
        </w:rPr>
        <w:t>（投标人应按照招标文件3.3.6承诺函的格式及要求提供承诺函）</w:t>
      </w:r>
      <w:r>
        <w:rPr>
          <w:rFonts w:hint="eastAsia"/>
          <w:bCs/>
          <w:color w:val="000000" w:themeColor="text1"/>
          <w:sz w:val="28"/>
          <w:szCs w:val="28"/>
          <w14:textFill>
            <w14:solidFill>
              <w14:schemeClr w14:val="tx1"/>
            </w14:solidFill>
          </w14:textFill>
        </w:rPr>
        <w:t>。</w:t>
      </w:r>
    </w:p>
    <w:p>
      <w:pPr>
        <w:pStyle w:val="5"/>
      </w:pPr>
      <w:r>
        <w:rPr>
          <w:rFonts w:hint="eastAsia"/>
        </w:rPr>
        <w:t>验收标准和方法</w:t>
      </w:r>
    </w:p>
    <w:p>
      <w:pPr>
        <w:spacing w:line="360" w:lineRule="auto"/>
        <w:ind w:firstLine="560" w:firstLineChars="200"/>
        <w:rPr>
          <w:bCs/>
          <w:color w:val="000000"/>
          <w:sz w:val="28"/>
          <w:szCs w:val="28"/>
        </w:rPr>
      </w:pPr>
      <w:bookmarkStart w:id="191" w:name="_Hlk85293956"/>
      <w:r>
        <w:rPr>
          <w:bCs/>
          <w:color w:val="000000"/>
          <w:sz w:val="28"/>
          <w:szCs w:val="28"/>
        </w:rPr>
        <w:t>1.</w:t>
      </w:r>
      <w:r>
        <w:rPr>
          <w:rFonts w:hint="eastAsia"/>
          <w:bCs/>
          <w:color w:val="000000"/>
          <w:sz w:val="28"/>
          <w:szCs w:val="28"/>
        </w:rPr>
        <w:t xml:space="preserve">中标人与采购人应参照《财政部关于进一步加强政府采购需求和履约验收管理的指导意见》（财库〔2016〕205号）的要求进行验收，采购方有权邀请第三方机构或质检部门共同验收。 </w:t>
      </w:r>
    </w:p>
    <w:p>
      <w:pPr>
        <w:spacing w:line="360" w:lineRule="auto"/>
        <w:ind w:firstLine="560" w:firstLineChars="200"/>
        <w:rPr>
          <w:bCs/>
          <w:color w:val="000000"/>
          <w:sz w:val="28"/>
          <w:szCs w:val="28"/>
        </w:rPr>
      </w:pPr>
      <w:r>
        <w:rPr>
          <w:bCs/>
          <w:color w:val="000000"/>
          <w:sz w:val="28"/>
          <w:szCs w:val="28"/>
        </w:rPr>
        <w:t>2.</w:t>
      </w:r>
      <w:r>
        <w:rPr>
          <w:rFonts w:hint="eastAsia"/>
          <w:bCs/>
          <w:color w:val="000000"/>
          <w:sz w:val="28"/>
          <w:szCs w:val="28"/>
        </w:rPr>
        <w:t xml:space="preserve">整体项目符合国家及行业强制性标准、招标文件要求（或投标文件的响应或承诺）以及合同的要求。 </w:t>
      </w:r>
    </w:p>
    <w:p>
      <w:pPr>
        <w:spacing w:line="360" w:lineRule="auto"/>
        <w:ind w:firstLine="560" w:firstLineChars="200"/>
        <w:rPr>
          <w:bCs/>
          <w:color w:val="000000"/>
          <w:sz w:val="28"/>
          <w:szCs w:val="28"/>
        </w:rPr>
      </w:pPr>
      <w:r>
        <w:rPr>
          <w:bCs/>
          <w:color w:val="000000"/>
          <w:sz w:val="28"/>
          <w:szCs w:val="28"/>
        </w:rPr>
        <w:t>3.</w:t>
      </w:r>
      <w:r>
        <w:rPr>
          <w:rFonts w:hint="eastAsia"/>
          <w:bCs/>
          <w:color w:val="000000"/>
          <w:sz w:val="28"/>
          <w:szCs w:val="28"/>
        </w:rPr>
        <w:t xml:space="preserve">验收程序：项目验收分为中标人出厂自验、安装调试初验及最终验收三个阶段。 </w:t>
      </w:r>
    </w:p>
    <w:p>
      <w:pPr>
        <w:spacing w:line="360" w:lineRule="auto"/>
        <w:ind w:firstLine="560" w:firstLineChars="200"/>
        <w:rPr>
          <w:bCs/>
          <w:color w:val="000000"/>
          <w:sz w:val="28"/>
          <w:szCs w:val="28"/>
        </w:rPr>
      </w:pPr>
      <w:r>
        <w:rPr>
          <w:rFonts w:hint="eastAsia"/>
          <w:bCs/>
          <w:color w:val="000000"/>
          <w:sz w:val="28"/>
          <w:szCs w:val="28"/>
        </w:rPr>
        <w:t>（</w:t>
      </w:r>
      <w:r>
        <w:rPr>
          <w:bCs/>
          <w:color w:val="000000"/>
          <w:sz w:val="28"/>
          <w:szCs w:val="28"/>
        </w:rPr>
        <w:t>1</w:t>
      </w:r>
      <w:r>
        <w:rPr>
          <w:rFonts w:hint="eastAsia"/>
          <w:bCs/>
          <w:color w:val="000000"/>
          <w:sz w:val="28"/>
          <w:szCs w:val="28"/>
        </w:rPr>
        <w:t xml:space="preserve">）出厂自验：中标人在货物出厂前，应按产品技术标准规定的检验项目和试验方法进行全面检验，中标人应随同货物提供产品环保证明、质量合格证书，其结果必须符合本项目验收标准的要求。 </w:t>
      </w:r>
    </w:p>
    <w:p>
      <w:pPr>
        <w:spacing w:line="360" w:lineRule="auto"/>
        <w:ind w:firstLine="560" w:firstLineChars="200"/>
        <w:rPr>
          <w:bCs/>
          <w:color w:val="000000"/>
          <w:sz w:val="28"/>
          <w:szCs w:val="28"/>
        </w:rPr>
      </w:pPr>
      <w:r>
        <w:rPr>
          <w:rFonts w:hint="eastAsia"/>
          <w:bCs/>
          <w:color w:val="000000"/>
          <w:sz w:val="28"/>
          <w:szCs w:val="28"/>
        </w:rPr>
        <w:t>（</w:t>
      </w:r>
      <w:r>
        <w:rPr>
          <w:bCs/>
          <w:color w:val="000000"/>
          <w:sz w:val="28"/>
          <w:szCs w:val="28"/>
        </w:rPr>
        <w:t>2</w:t>
      </w:r>
      <w:r>
        <w:rPr>
          <w:rFonts w:hint="eastAsia"/>
          <w:bCs/>
          <w:color w:val="000000"/>
          <w:sz w:val="28"/>
          <w:szCs w:val="28"/>
        </w:rPr>
        <w:t xml:space="preserve">）安装调试初验：中标人应作详细检验记录。由学校对送货数量和质量对照招、投标文件进行初验。 </w:t>
      </w:r>
    </w:p>
    <w:p>
      <w:pPr>
        <w:spacing w:line="360" w:lineRule="auto"/>
        <w:ind w:firstLine="560" w:firstLineChars="200"/>
        <w:rPr>
          <w:bCs/>
          <w:color w:val="000000"/>
          <w:sz w:val="28"/>
          <w:szCs w:val="28"/>
        </w:rPr>
      </w:pPr>
      <w:r>
        <w:rPr>
          <w:rFonts w:hint="eastAsia"/>
          <w:bCs/>
          <w:color w:val="000000"/>
          <w:sz w:val="28"/>
          <w:szCs w:val="28"/>
        </w:rPr>
        <w:t>（</w:t>
      </w:r>
      <w:r>
        <w:rPr>
          <w:bCs/>
          <w:color w:val="000000"/>
          <w:sz w:val="28"/>
          <w:szCs w:val="28"/>
        </w:rPr>
        <w:t>3</w:t>
      </w:r>
      <w:r>
        <w:rPr>
          <w:rFonts w:hint="eastAsia"/>
          <w:bCs/>
          <w:color w:val="000000"/>
          <w:sz w:val="28"/>
          <w:szCs w:val="28"/>
        </w:rPr>
        <w:t xml:space="preserve">）最终验收：设备安装、调试结束后，由采购人组织按国家规定的标准要求，按本项目验收标准进行验收。 </w:t>
      </w:r>
      <w:bookmarkEnd w:id="191"/>
    </w:p>
    <w:p>
      <w:pPr>
        <w:pStyle w:val="5"/>
      </w:pPr>
      <w:r>
        <w:rPr>
          <w:rFonts w:hint="eastAsia"/>
        </w:rPr>
        <w:t>售后服务要求</w:t>
      </w:r>
    </w:p>
    <w:p>
      <w:pPr>
        <w:spacing w:line="360" w:lineRule="auto"/>
        <w:ind w:firstLine="560" w:firstLineChars="200"/>
        <w:rPr>
          <w:bCs/>
          <w:color w:val="000000"/>
          <w:sz w:val="28"/>
          <w:szCs w:val="28"/>
        </w:rPr>
      </w:pPr>
      <w:r>
        <w:rPr>
          <w:rFonts w:hint="eastAsia"/>
          <w:bCs/>
          <w:color w:val="000000"/>
          <w:sz w:val="28"/>
          <w:szCs w:val="28"/>
        </w:rPr>
        <w:t>1．投标人对本项目整体质保和售后服务进行详细承诺和具体安排，保证产品正常使用，包括以下方面：</w:t>
      </w:r>
    </w:p>
    <w:p>
      <w:pPr>
        <w:spacing w:line="360" w:lineRule="auto"/>
        <w:ind w:firstLine="560" w:firstLineChars="200"/>
        <w:rPr>
          <w:bCs/>
          <w:color w:val="000000"/>
          <w:sz w:val="28"/>
          <w:szCs w:val="28"/>
        </w:rPr>
      </w:pPr>
      <w:r>
        <w:rPr>
          <w:rFonts w:hint="eastAsia"/>
          <w:bCs/>
          <w:color w:val="000000"/>
          <w:sz w:val="28"/>
          <w:szCs w:val="28"/>
        </w:rPr>
        <w:t>（1）售后服务保障措施：投标人对本项目在人员、车辆、资金、售后服务机构等方面采取合理的保障措施，保证本项目售后服务工作正常进行。</w:t>
      </w:r>
    </w:p>
    <w:p>
      <w:pPr>
        <w:spacing w:line="360" w:lineRule="auto"/>
        <w:ind w:firstLine="560" w:firstLineChars="200"/>
        <w:rPr>
          <w:bCs/>
          <w:color w:val="000000"/>
          <w:sz w:val="28"/>
          <w:szCs w:val="28"/>
        </w:rPr>
      </w:pPr>
      <w:r>
        <w:rPr>
          <w:rFonts w:hint="eastAsia"/>
          <w:bCs/>
          <w:color w:val="000000"/>
          <w:sz w:val="28"/>
          <w:szCs w:val="28"/>
        </w:rPr>
        <w:t>（2）响应时间、质保内、质保外等保障措施：在项目质保期内和质保期外，投标人对采购人出现售后服务需求的响应时间、到达现场时间、处理售后服务及时性和保证产品正常运行等方面采取的保障措施，保证产品和整体系统正常运行。</w:t>
      </w:r>
    </w:p>
    <w:p>
      <w:pPr>
        <w:spacing w:line="360" w:lineRule="auto"/>
        <w:ind w:firstLine="560" w:firstLineChars="200"/>
        <w:rPr>
          <w:bCs/>
          <w:color w:val="000000"/>
          <w:sz w:val="28"/>
          <w:szCs w:val="28"/>
        </w:rPr>
      </w:pPr>
      <w:r>
        <w:rPr>
          <w:rFonts w:hint="eastAsia"/>
          <w:bCs/>
          <w:color w:val="000000"/>
          <w:sz w:val="28"/>
          <w:szCs w:val="28"/>
        </w:rPr>
        <w:t>（3）售后服务巡检和现场服务能力保障：在质保期内和质保期外，投标人对产品和系统进行售后服务巡检具体安排。</w:t>
      </w:r>
    </w:p>
    <w:p>
      <w:pPr>
        <w:spacing w:line="360" w:lineRule="auto"/>
        <w:ind w:firstLine="560" w:firstLineChars="200"/>
        <w:rPr>
          <w:bCs/>
          <w:color w:val="000000"/>
          <w:sz w:val="28"/>
          <w:szCs w:val="28"/>
        </w:rPr>
      </w:pPr>
      <w:r>
        <w:rPr>
          <w:rFonts w:hint="eastAsia"/>
          <w:bCs/>
          <w:color w:val="000000"/>
          <w:sz w:val="28"/>
          <w:szCs w:val="28"/>
        </w:rPr>
        <w:t>2</w:t>
      </w:r>
      <w:r>
        <w:rPr>
          <w:bCs/>
          <w:color w:val="000000"/>
          <w:sz w:val="28"/>
          <w:szCs w:val="28"/>
        </w:rPr>
        <w:t>.</w:t>
      </w:r>
      <w:r>
        <w:rPr>
          <w:rFonts w:hint="eastAsia"/>
          <w:bCs/>
          <w:color w:val="000000"/>
          <w:sz w:val="28"/>
          <w:szCs w:val="28"/>
        </w:rPr>
        <w:t xml:space="preserve"> 以上要求投标人应按照招标文件3.3.4售后服务及承诺中的格式及要求提供承诺。</w:t>
      </w:r>
    </w:p>
    <w:p>
      <w:pPr>
        <w:pStyle w:val="5"/>
      </w:pPr>
      <w:r>
        <w:rPr>
          <w:rFonts w:hint="eastAsia"/>
        </w:rPr>
        <w:t>违约责任</w:t>
      </w:r>
    </w:p>
    <w:p>
      <w:pPr>
        <w:spacing w:line="360" w:lineRule="auto"/>
        <w:ind w:firstLine="560" w:firstLineChars="200"/>
        <w:rPr>
          <w:bCs/>
          <w:color w:val="000000"/>
          <w:sz w:val="28"/>
          <w:szCs w:val="28"/>
        </w:rPr>
      </w:pPr>
      <w:r>
        <w:rPr>
          <w:bCs/>
          <w:color w:val="000000"/>
          <w:sz w:val="28"/>
          <w:szCs w:val="28"/>
        </w:rPr>
        <w:t>1.</w:t>
      </w:r>
      <w:r>
        <w:rPr>
          <w:rFonts w:hint="eastAsia"/>
          <w:bCs/>
          <w:color w:val="000000"/>
          <w:sz w:val="28"/>
          <w:szCs w:val="28"/>
        </w:rPr>
        <w:t xml:space="preserve">甲方违约责任 </w:t>
      </w:r>
    </w:p>
    <w:p>
      <w:pPr>
        <w:spacing w:line="360" w:lineRule="auto"/>
        <w:ind w:firstLine="560" w:firstLineChars="200"/>
        <w:rPr>
          <w:rFonts w:hint="eastAsia"/>
          <w:bCs/>
          <w:color w:val="000000"/>
          <w:sz w:val="28"/>
          <w:szCs w:val="28"/>
        </w:rPr>
      </w:pPr>
      <w:r>
        <w:rPr>
          <w:rFonts w:hint="eastAsia"/>
          <w:bCs/>
          <w:color w:val="000000"/>
          <w:sz w:val="28"/>
          <w:szCs w:val="28"/>
        </w:rPr>
        <w:t>（</w:t>
      </w:r>
      <w:r>
        <w:rPr>
          <w:bCs/>
          <w:color w:val="000000"/>
          <w:sz w:val="28"/>
          <w:szCs w:val="28"/>
        </w:rPr>
        <w:t>1</w:t>
      </w:r>
      <w:r>
        <w:rPr>
          <w:rFonts w:hint="eastAsia"/>
          <w:bCs/>
          <w:color w:val="000000"/>
          <w:sz w:val="28"/>
          <w:szCs w:val="28"/>
        </w:rPr>
        <w:t>）甲方无正当理由拒收货物、拒付货款的，甲方应向乙方偿付拒付货款</w:t>
      </w:r>
      <w:r>
        <w:rPr>
          <w:rFonts w:hint="eastAsia" w:asciiTheme="minorEastAsia" w:hAnsiTheme="minorEastAsia" w:eastAsiaTheme="minorEastAsia" w:cstheme="minorEastAsia"/>
          <w:bCs/>
          <w:color w:val="000000"/>
          <w:sz w:val="28"/>
          <w:szCs w:val="28"/>
        </w:rPr>
        <w:t>20 ％</w:t>
      </w:r>
      <w:r>
        <w:rPr>
          <w:rFonts w:hint="eastAsia"/>
          <w:bCs/>
          <w:color w:val="000000"/>
          <w:sz w:val="28"/>
          <w:szCs w:val="28"/>
        </w:rPr>
        <w:t xml:space="preserve">的违约金。 </w:t>
      </w:r>
    </w:p>
    <w:p>
      <w:pPr>
        <w:spacing w:line="360" w:lineRule="auto"/>
        <w:ind w:firstLine="560" w:firstLineChars="200"/>
        <w:rPr>
          <w:rFonts w:hint="eastAsia"/>
          <w:bCs/>
          <w:color w:val="000000"/>
          <w:sz w:val="28"/>
          <w:szCs w:val="28"/>
        </w:rPr>
      </w:pPr>
      <w:r>
        <w:rPr>
          <w:rFonts w:hint="eastAsia" w:ascii="宋体" w:hAnsi="宋体"/>
          <w:bCs/>
          <w:sz w:val="28"/>
          <w:szCs w:val="28"/>
          <w:lang w:val="zh-CN"/>
        </w:rPr>
        <w:t>（2）甲方未按合同规定的期限向乙方支付货款的，每逾期 1日甲方向乙方偿付欠款总额的1‰违约金，但累计违约金总额不超过欠款总额的1％。</w:t>
      </w:r>
    </w:p>
    <w:p>
      <w:pPr>
        <w:spacing w:line="360" w:lineRule="auto"/>
        <w:ind w:firstLine="560" w:firstLineChars="200"/>
        <w:rPr>
          <w:bCs/>
          <w:color w:val="000000"/>
          <w:sz w:val="28"/>
          <w:szCs w:val="28"/>
        </w:rPr>
      </w:pPr>
      <w:r>
        <w:rPr>
          <w:bCs/>
          <w:color w:val="000000"/>
          <w:sz w:val="28"/>
          <w:szCs w:val="28"/>
        </w:rPr>
        <w:t>2.</w:t>
      </w:r>
      <w:r>
        <w:rPr>
          <w:rFonts w:hint="eastAsia"/>
          <w:bCs/>
          <w:color w:val="000000"/>
          <w:sz w:val="28"/>
          <w:szCs w:val="28"/>
        </w:rPr>
        <w:t xml:space="preserve">乙方违约责任 </w:t>
      </w:r>
    </w:p>
    <w:p>
      <w:pPr>
        <w:spacing w:line="360" w:lineRule="auto"/>
        <w:ind w:firstLine="560" w:firstLineChars="200"/>
        <w:rPr>
          <w:rFonts w:hint="eastAsia" w:asciiTheme="minorEastAsia" w:hAnsiTheme="minorEastAsia" w:eastAsiaTheme="minorEastAsia" w:cstheme="minorEastAsia"/>
          <w:bCs/>
          <w:color w:val="000000"/>
          <w:sz w:val="28"/>
          <w:szCs w:val="28"/>
        </w:rPr>
      </w:pPr>
      <w:r>
        <w:rPr>
          <w:rFonts w:hint="eastAsia" w:asciiTheme="minorEastAsia" w:hAnsiTheme="minorEastAsia" w:eastAsiaTheme="minorEastAsia" w:cstheme="minorEastAsia"/>
          <w:bCs/>
          <w:color w:val="000000"/>
          <w:sz w:val="28"/>
          <w:szCs w:val="28"/>
        </w:rPr>
        <w:t xml:space="preserve">（1）乙方所交付的货物不符合合同规定的，甲方有权拒收，同时乙方应向甲方支付合同总价20％的违约金。乙方应在得到甲方通知之日起 10 个工作日内采取补救措施。若乙方上述期限内所提供的货物仍不符合规定，乙方应向甲方另行支付合同总价 20 %的违约金，同时甲方有权单方面无条件解除合同。 </w:t>
      </w:r>
    </w:p>
    <w:p>
      <w:pPr>
        <w:spacing w:line="360" w:lineRule="auto"/>
        <w:ind w:firstLine="560" w:firstLineChars="200"/>
        <w:rPr>
          <w:rFonts w:hint="eastAsia" w:asciiTheme="minorEastAsia" w:hAnsiTheme="minorEastAsia" w:eastAsiaTheme="minorEastAsia" w:cstheme="minorEastAsia"/>
          <w:bCs/>
          <w:color w:val="000000"/>
          <w:sz w:val="28"/>
          <w:szCs w:val="28"/>
        </w:rPr>
      </w:pPr>
      <w:r>
        <w:rPr>
          <w:rFonts w:hint="eastAsia" w:asciiTheme="minorEastAsia" w:hAnsiTheme="minorEastAsia" w:eastAsiaTheme="minorEastAsia" w:cstheme="minorEastAsia"/>
          <w:bCs/>
          <w:color w:val="000000"/>
          <w:sz w:val="28"/>
          <w:szCs w:val="28"/>
        </w:rPr>
        <w:t>（2）乙方无正当理由逾期交付货物的，每逾期1日，乙方向甲方偿付逾期交货部分货款总金额的3%的违约金。如乙方逾期交货达10日，甲方有权解除合同，甲方解除合同的通知自到达乙方时生效。在此情况下，乙方给甲方造成的实际损失高于违约金的，对高出违约金的部分乙方应予以赔偿。</w:t>
      </w:r>
    </w:p>
    <w:p>
      <w:pPr>
        <w:spacing w:line="360" w:lineRule="auto"/>
        <w:ind w:firstLine="560" w:firstLineChars="200"/>
        <w:rPr>
          <w:rFonts w:hint="eastAsia" w:asciiTheme="minorEastAsia" w:hAnsiTheme="minorEastAsia" w:eastAsiaTheme="minorEastAsia" w:cstheme="minorEastAsia"/>
          <w:bCs/>
          <w:color w:val="000000"/>
          <w:sz w:val="28"/>
          <w:szCs w:val="28"/>
        </w:rPr>
      </w:pPr>
      <w:r>
        <w:rPr>
          <w:rFonts w:hint="eastAsia" w:asciiTheme="minorEastAsia" w:hAnsiTheme="minorEastAsia" w:eastAsiaTheme="minorEastAsia" w:cstheme="minorEastAsia"/>
          <w:bCs/>
          <w:color w:val="000000"/>
          <w:sz w:val="28"/>
          <w:szCs w:val="28"/>
        </w:rPr>
        <w:t xml:space="preserve">（3）在乙方承诺的或国家规定的质量保证期内（取两者中最长的期限），如经乙方2次维修，货物仍不能达到合同约定的质量标准、运行效果的，甲方有权要求乙方更换为全新合格货物并按本条第1款处理，同时，乙方还须赔偿甲方因此遭受的损失。 </w:t>
      </w:r>
    </w:p>
    <w:p>
      <w:pPr>
        <w:spacing w:line="360" w:lineRule="auto"/>
        <w:ind w:firstLine="560" w:firstLineChars="200"/>
        <w:rPr>
          <w:bCs/>
          <w:color w:val="000000"/>
          <w:sz w:val="28"/>
          <w:szCs w:val="28"/>
        </w:rPr>
      </w:pPr>
      <w:r>
        <w:rPr>
          <w:rFonts w:hint="eastAsia" w:asciiTheme="minorEastAsia" w:hAnsiTheme="minorEastAsia" w:eastAsiaTheme="minorEastAsia" w:cstheme="minorEastAsia"/>
          <w:bCs/>
          <w:color w:val="000000"/>
          <w:sz w:val="28"/>
          <w:szCs w:val="28"/>
        </w:rPr>
        <w:t>（4）乙方保证本合同货物的权利无瑕疵，包括货物所有权及知识产权等权利无瑕疵。如产生了任何的纠纷、索赔或诉讼等，乙方除应向甲方返还已收款项外，还应另按合同总价的 20 %向甲方</w:t>
      </w:r>
      <w:r>
        <w:rPr>
          <w:rFonts w:hint="eastAsia"/>
          <w:bCs/>
          <w:color w:val="000000"/>
          <w:sz w:val="28"/>
          <w:szCs w:val="28"/>
        </w:rPr>
        <w:t xml:space="preserve">支付违约金并赔偿因此给甲方造成的一切损失。 </w:t>
      </w:r>
    </w:p>
    <w:p>
      <w:pPr>
        <w:spacing w:line="360" w:lineRule="auto"/>
        <w:ind w:firstLine="560" w:firstLineChars="200"/>
        <w:rPr>
          <w:bCs/>
          <w:color w:val="000000"/>
          <w:sz w:val="28"/>
          <w:szCs w:val="28"/>
        </w:rPr>
      </w:pPr>
      <w:r>
        <w:rPr>
          <w:bCs/>
          <w:color w:val="000000"/>
          <w:sz w:val="28"/>
          <w:szCs w:val="28"/>
        </w:rPr>
        <w:t xml:space="preserve">3. </w:t>
      </w:r>
      <w:r>
        <w:rPr>
          <w:rFonts w:hint="eastAsia"/>
          <w:bCs/>
          <w:color w:val="000000"/>
          <w:sz w:val="28"/>
          <w:szCs w:val="28"/>
        </w:rPr>
        <w:t xml:space="preserve">一方偿付的违约金不足以弥补另一方损失的，还应按另一方损失尚未弥补的部分，支付赔偿金给另一方。 </w:t>
      </w:r>
    </w:p>
    <w:p>
      <w:pPr>
        <w:pStyle w:val="5"/>
      </w:pPr>
      <w:r>
        <w:rPr>
          <w:rFonts w:hint="eastAsia"/>
        </w:rPr>
        <w:t>争议解决方式</w:t>
      </w:r>
    </w:p>
    <w:p>
      <w:pPr>
        <w:spacing w:line="360" w:lineRule="auto"/>
        <w:ind w:firstLine="560" w:firstLineChars="200"/>
        <w:rPr>
          <w:bCs/>
          <w:color w:val="000000"/>
          <w:sz w:val="28"/>
          <w:szCs w:val="28"/>
        </w:rPr>
      </w:pPr>
      <w:r>
        <w:rPr>
          <w:bCs/>
          <w:color w:val="000000"/>
          <w:sz w:val="28"/>
          <w:szCs w:val="28"/>
        </w:rPr>
        <w:t xml:space="preserve">1. </w:t>
      </w:r>
      <w:r>
        <w:rPr>
          <w:rFonts w:hint="eastAsia"/>
          <w:bCs/>
          <w:color w:val="000000"/>
          <w:sz w:val="28"/>
          <w:szCs w:val="28"/>
        </w:rPr>
        <w:t xml:space="preserve">因货物的质量问题发生争议的，应当邀请国家认可的质量检测机构对货物质量进行鉴定。货物符合标准的，鉴定费由甲方承担；货物不符合质量标准的，鉴定费由乙方承担。 </w:t>
      </w:r>
    </w:p>
    <w:p>
      <w:pPr>
        <w:spacing w:line="360" w:lineRule="auto"/>
        <w:ind w:firstLine="560" w:firstLineChars="200"/>
        <w:rPr>
          <w:bCs/>
          <w:color w:val="000000"/>
          <w:sz w:val="28"/>
          <w:szCs w:val="28"/>
        </w:rPr>
      </w:pPr>
      <w:r>
        <w:rPr>
          <w:bCs/>
          <w:color w:val="000000"/>
          <w:sz w:val="28"/>
          <w:szCs w:val="28"/>
        </w:rPr>
        <w:t xml:space="preserve">2. </w:t>
      </w:r>
      <w:r>
        <w:rPr>
          <w:rFonts w:hint="eastAsia"/>
          <w:bCs/>
          <w:color w:val="000000"/>
          <w:sz w:val="28"/>
          <w:szCs w:val="28"/>
        </w:rPr>
        <w:t xml:space="preserve">在解释或者执行本合同的过程中发生争议时，双方应通过协商方式解决。 </w:t>
      </w:r>
    </w:p>
    <w:p>
      <w:pPr>
        <w:spacing w:line="360" w:lineRule="auto"/>
        <w:ind w:firstLine="560" w:firstLineChars="200"/>
        <w:rPr>
          <w:bCs/>
          <w:color w:val="000000"/>
          <w:sz w:val="28"/>
          <w:szCs w:val="28"/>
        </w:rPr>
      </w:pPr>
      <w:r>
        <w:rPr>
          <w:bCs/>
          <w:color w:val="000000"/>
          <w:sz w:val="28"/>
          <w:szCs w:val="28"/>
        </w:rPr>
        <w:t xml:space="preserve">3. </w:t>
      </w:r>
      <w:r>
        <w:rPr>
          <w:rFonts w:hint="eastAsia"/>
          <w:bCs/>
          <w:color w:val="000000"/>
          <w:sz w:val="28"/>
          <w:szCs w:val="28"/>
        </w:rPr>
        <w:t>经协商不能解决的争议，双方可选择以下第（</w:t>
      </w:r>
      <w:r>
        <w:rPr>
          <w:bCs/>
          <w:color w:val="000000"/>
          <w:sz w:val="28"/>
          <w:szCs w:val="28"/>
        </w:rPr>
        <w:t>1</w:t>
      </w:r>
      <w:r>
        <w:rPr>
          <w:rFonts w:hint="eastAsia"/>
          <w:bCs/>
          <w:color w:val="000000"/>
          <w:sz w:val="28"/>
          <w:szCs w:val="28"/>
        </w:rPr>
        <w:t xml:space="preserve">）种方式解决： </w:t>
      </w:r>
    </w:p>
    <w:p>
      <w:pPr>
        <w:spacing w:line="360" w:lineRule="auto"/>
        <w:ind w:firstLine="560" w:firstLineChars="200"/>
        <w:rPr>
          <w:bCs/>
          <w:color w:val="000000"/>
          <w:sz w:val="28"/>
          <w:szCs w:val="28"/>
        </w:rPr>
      </w:pPr>
      <w:r>
        <w:rPr>
          <w:rFonts w:hint="eastAsia"/>
          <w:bCs/>
          <w:color w:val="000000"/>
          <w:sz w:val="28"/>
          <w:szCs w:val="28"/>
        </w:rPr>
        <w:t>（</w:t>
      </w:r>
      <w:r>
        <w:rPr>
          <w:bCs/>
          <w:color w:val="000000"/>
          <w:sz w:val="28"/>
          <w:szCs w:val="28"/>
        </w:rPr>
        <w:t>1</w:t>
      </w:r>
      <w:r>
        <w:rPr>
          <w:rFonts w:hint="eastAsia"/>
          <w:bCs/>
          <w:color w:val="000000"/>
          <w:sz w:val="28"/>
          <w:szCs w:val="28"/>
        </w:rPr>
        <w:t xml:space="preserve">）向甲方所在地有管辖权的法院提起诉讼； </w:t>
      </w:r>
    </w:p>
    <w:p>
      <w:pPr>
        <w:spacing w:line="360" w:lineRule="auto"/>
        <w:ind w:firstLine="560" w:firstLineChars="200"/>
        <w:rPr>
          <w:bCs/>
          <w:color w:val="000000"/>
          <w:sz w:val="28"/>
          <w:szCs w:val="28"/>
        </w:rPr>
      </w:pPr>
      <w:r>
        <w:rPr>
          <w:rFonts w:hint="eastAsia"/>
          <w:bCs/>
          <w:color w:val="000000"/>
          <w:sz w:val="28"/>
          <w:szCs w:val="28"/>
        </w:rPr>
        <w:t>（</w:t>
      </w:r>
      <w:r>
        <w:rPr>
          <w:bCs/>
          <w:color w:val="000000"/>
          <w:sz w:val="28"/>
          <w:szCs w:val="28"/>
        </w:rPr>
        <w:t>2</w:t>
      </w:r>
      <w:r>
        <w:rPr>
          <w:rFonts w:hint="eastAsia"/>
          <w:bCs/>
          <w:color w:val="000000"/>
          <w:sz w:val="28"/>
          <w:szCs w:val="28"/>
        </w:rPr>
        <w:t xml:space="preserve">）向成都仲裁委员会提出仲裁。 </w:t>
      </w:r>
    </w:p>
    <w:p>
      <w:pPr>
        <w:spacing w:line="360" w:lineRule="auto"/>
        <w:ind w:firstLine="560" w:firstLineChars="200"/>
        <w:rPr>
          <w:bCs/>
          <w:color w:val="000000"/>
          <w:sz w:val="28"/>
          <w:szCs w:val="28"/>
        </w:rPr>
      </w:pPr>
      <w:r>
        <w:rPr>
          <w:bCs/>
          <w:color w:val="000000"/>
          <w:sz w:val="28"/>
          <w:szCs w:val="28"/>
        </w:rPr>
        <w:t xml:space="preserve">4. </w:t>
      </w:r>
      <w:r>
        <w:rPr>
          <w:rFonts w:hint="eastAsia"/>
          <w:bCs/>
          <w:color w:val="000000"/>
          <w:sz w:val="28"/>
          <w:szCs w:val="28"/>
        </w:rPr>
        <w:t xml:space="preserve">在法院审理和仲裁期间，除有争议部分外，本合同其他部分可以履行的仍应按合同条款继续履行。 </w:t>
      </w:r>
    </w:p>
    <w:p>
      <w:pPr>
        <w:pStyle w:val="5"/>
        <w:rPr>
          <w:rFonts w:eastAsia="PMingLiU"/>
          <w:lang w:val="zh-TW" w:eastAsia="zh-TW" w:bidi="zh-TW"/>
        </w:rPr>
      </w:pPr>
      <w:r>
        <w:rPr>
          <w:rFonts w:hint="eastAsia"/>
        </w:rPr>
        <w:t>*最高限价</w:t>
      </w:r>
    </w:p>
    <w:p>
      <w:pPr>
        <w:pStyle w:val="2"/>
        <w:spacing w:after="0" w:line="360" w:lineRule="auto"/>
        <w:ind w:firstLine="565" w:firstLineChars="201"/>
        <w:rPr>
          <w:rFonts w:ascii="宋体" w:hAnsi="宋体"/>
          <w:b/>
          <w:bCs/>
          <w:sz w:val="28"/>
          <w:szCs w:val="28"/>
        </w:rPr>
      </w:pPr>
      <w:r>
        <w:rPr>
          <w:rFonts w:hint="eastAsia" w:ascii="宋体" w:hAnsi="宋体"/>
          <w:b/>
          <w:bCs/>
          <w:sz w:val="28"/>
          <w:szCs w:val="28"/>
        </w:rPr>
        <w:t>本项目最高限价：2516742.05元，投标人投标报价高于最高限价的则其投标文件将按无效投标文件处理。</w:t>
      </w:r>
    </w:p>
    <w:p>
      <w:pPr>
        <w:pStyle w:val="4"/>
        <w:rPr>
          <w:b w:val="0"/>
          <w:bCs w:val="0"/>
        </w:rPr>
      </w:pPr>
      <w:bookmarkStart w:id="192" w:name="_Toc80084957"/>
      <w:bookmarkStart w:id="193" w:name="_Toc85657313"/>
      <w:bookmarkStart w:id="194" w:name="_Toc61438441"/>
      <w:bookmarkStart w:id="195" w:name="_Toc68703960"/>
      <w:r>
        <w:rPr>
          <w:rFonts w:hint="eastAsia"/>
        </w:rPr>
        <w:t>其他要求</w:t>
      </w:r>
      <w:bookmarkEnd w:id="192"/>
      <w:bookmarkEnd w:id="193"/>
      <w:bookmarkEnd w:id="194"/>
      <w:bookmarkEnd w:id="195"/>
    </w:p>
    <w:bookmarkEnd w:id="173"/>
    <w:bookmarkEnd w:id="174"/>
    <w:p>
      <w:pPr>
        <w:pStyle w:val="81"/>
        <w:tabs>
          <w:tab w:val="left" w:pos="993"/>
          <w:tab w:val="left" w:pos="1134"/>
        </w:tabs>
        <w:spacing w:line="500" w:lineRule="exact"/>
        <w:ind w:firstLine="562"/>
        <w:rPr>
          <w:rFonts w:ascii="宋体" w:hAnsi="宋体" w:eastAsia="宋体"/>
          <w:b/>
          <w:color w:val="000000" w:themeColor="text1"/>
          <w:sz w:val="28"/>
          <w:szCs w:val="28"/>
          <w:lang w:val="zh-CN"/>
          <w14:textFill>
            <w14:solidFill>
              <w14:schemeClr w14:val="tx1"/>
            </w14:solidFill>
          </w14:textFill>
        </w:rPr>
      </w:pPr>
      <w:r>
        <w:rPr>
          <w:rFonts w:hint="eastAsia" w:ascii="宋体" w:hAnsi="宋体" w:eastAsia="宋体" w:cs="宋体"/>
          <w:b/>
          <w:bCs/>
          <w:kern w:val="0"/>
          <w:sz w:val="28"/>
          <w:szCs w:val="28"/>
        </w:rPr>
        <w:t>*一、</w:t>
      </w:r>
      <w:r>
        <w:rPr>
          <w:rFonts w:hint="eastAsia" w:ascii="宋体" w:hAnsi="宋体" w:eastAsia="宋体"/>
          <w:b/>
          <w:color w:val="000000" w:themeColor="text1"/>
          <w:sz w:val="28"/>
          <w:szCs w:val="28"/>
          <w:lang w:val="zh-CN"/>
          <w14:textFill>
            <w14:solidFill>
              <w14:schemeClr w14:val="tx1"/>
            </w14:solidFill>
          </w14:textFill>
        </w:rPr>
        <w:t>在评标过程中，评标委员会认为供应商投标报价明显低于其他通过符合性审查供应商的投标报价，有可能影响产品质量或者不能诚信履约的，评标委员会应当要求其在合理的时间内提供书面说明，必要时提交相关证明材料。供应商提交的书面说明、相关证明材料（如涉及），应当加盖供应商（法定名称）电子签章，在评标委员会要求的时间内通过云平台进行递交，否则无效。如因断电、断网、系统故障或其他不可抗力等因素，导致系统无法使用的，由供应商按评标委员会的要求进行澄清或者说明。供应商不能证明其投标报价合理性的，评标委员会应当将其投标文件作为无效处理。</w:t>
      </w:r>
    </w:p>
    <w:p>
      <w:pPr>
        <w:pStyle w:val="121"/>
        <w:tabs>
          <w:tab w:val="left" w:pos="1134"/>
        </w:tabs>
        <w:spacing w:line="500" w:lineRule="exact"/>
        <w:ind w:right="210" w:firstLine="562" w:firstLineChars="200"/>
        <w:jc w:val="both"/>
        <w:rPr>
          <w:rFonts w:asciiTheme="minorEastAsia" w:hAnsiTheme="minorEastAsia" w:eastAsiaTheme="minorEastAsia"/>
          <w:b/>
          <w:sz w:val="28"/>
          <w:szCs w:val="28"/>
          <w:lang w:val="zh-CN"/>
        </w:rPr>
      </w:pPr>
      <w:r>
        <w:rPr>
          <w:rFonts w:hint="eastAsia" w:asciiTheme="minorEastAsia" w:hAnsiTheme="minorEastAsia" w:eastAsiaTheme="minorEastAsia"/>
          <w:b/>
          <w:sz w:val="28"/>
          <w:szCs w:val="28"/>
        </w:rPr>
        <w:t>*二、</w:t>
      </w:r>
      <w:r>
        <w:rPr>
          <w:rFonts w:hint="eastAsia" w:asciiTheme="minorEastAsia" w:hAnsiTheme="minorEastAsia" w:eastAsiaTheme="minorEastAsia"/>
          <w:b/>
          <w:sz w:val="28"/>
          <w:szCs w:val="28"/>
          <w:lang w:val="zh-CN"/>
        </w:rPr>
        <w:t>投标人</w:t>
      </w:r>
      <w:r>
        <w:rPr>
          <w:rFonts w:asciiTheme="minorEastAsia" w:hAnsiTheme="minorEastAsia" w:eastAsiaTheme="minorEastAsia"/>
          <w:b/>
          <w:sz w:val="28"/>
          <w:szCs w:val="28"/>
          <w:lang w:val="zh-CN"/>
        </w:rPr>
        <w:t>为</w:t>
      </w:r>
      <w:r>
        <w:rPr>
          <w:rFonts w:hint="eastAsia" w:asciiTheme="minorEastAsia" w:hAnsiTheme="minorEastAsia" w:eastAsiaTheme="minorEastAsia"/>
          <w:b/>
          <w:sz w:val="28"/>
          <w:szCs w:val="28"/>
          <w:lang w:val="zh-CN"/>
        </w:rPr>
        <w:t>本</w:t>
      </w:r>
      <w:r>
        <w:rPr>
          <w:rFonts w:asciiTheme="minorEastAsia" w:hAnsiTheme="minorEastAsia" w:eastAsiaTheme="minorEastAsia"/>
          <w:b/>
          <w:sz w:val="28"/>
          <w:szCs w:val="28"/>
          <w:lang w:val="zh-CN"/>
        </w:rPr>
        <w:t>项目提供的所有产品、辅材中属于《国家强制性产品认证目录》范围内产品的，均通过国家强制性产品认证并取得认证证书。（说明：投标人应按招标文件</w:t>
      </w:r>
      <w:r>
        <w:rPr>
          <w:rFonts w:hint="eastAsia" w:ascii="Times New Roman" w:hAnsi="Times New Roman" w:cs="Times New Roman" w:eastAsiaTheme="minorEastAsia"/>
          <w:b/>
          <w:sz w:val="28"/>
          <w:szCs w:val="28"/>
          <w:lang w:val="zh-CN"/>
        </w:rPr>
        <w:t>3.3.6</w:t>
      </w:r>
      <w:r>
        <w:rPr>
          <w:rFonts w:asciiTheme="minorEastAsia" w:hAnsiTheme="minorEastAsia" w:eastAsiaTheme="minorEastAsia"/>
          <w:b/>
          <w:sz w:val="28"/>
          <w:szCs w:val="28"/>
          <w:lang w:val="zh-CN"/>
        </w:rPr>
        <w:t>承诺函的格式及要求提供承诺函。）</w:t>
      </w:r>
    </w:p>
    <w:p>
      <w:pPr>
        <w:pStyle w:val="121"/>
        <w:tabs>
          <w:tab w:val="left" w:pos="1134"/>
        </w:tabs>
        <w:spacing w:line="500" w:lineRule="exact"/>
        <w:ind w:right="210" w:firstLine="562" w:firstLineChars="200"/>
        <w:jc w:val="both"/>
        <w:rPr>
          <w:rFonts w:asciiTheme="minorEastAsia" w:hAnsiTheme="minorEastAsia" w:eastAsiaTheme="minorEastAsia"/>
          <w:b/>
          <w:sz w:val="28"/>
          <w:szCs w:val="28"/>
          <w:lang w:val="zh-CN"/>
        </w:rPr>
      </w:pPr>
      <w:r>
        <w:rPr>
          <w:rFonts w:hint="eastAsia" w:asciiTheme="minorEastAsia" w:hAnsiTheme="minorEastAsia" w:eastAsiaTheme="minorEastAsia"/>
          <w:b/>
          <w:sz w:val="28"/>
          <w:szCs w:val="28"/>
        </w:rPr>
        <w:t>*三、</w:t>
      </w:r>
      <w:r>
        <w:rPr>
          <w:rFonts w:hint="eastAsia" w:asciiTheme="minorEastAsia" w:hAnsiTheme="minorEastAsia" w:eastAsiaTheme="minorEastAsia"/>
          <w:b/>
          <w:sz w:val="28"/>
          <w:szCs w:val="28"/>
          <w:lang w:val="zh-CN"/>
        </w:rPr>
        <w:t>投标人</w:t>
      </w:r>
      <w:r>
        <w:rPr>
          <w:rFonts w:asciiTheme="minorEastAsia" w:hAnsiTheme="minorEastAsia" w:eastAsiaTheme="minorEastAsia"/>
          <w:b/>
          <w:sz w:val="28"/>
          <w:szCs w:val="28"/>
          <w:lang w:val="zh-CN"/>
        </w:rPr>
        <w:t>为</w:t>
      </w:r>
      <w:r>
        <w:rPr>
          <w:rFonts w:hint="eastAsia" w:asciiTheme="minorEastAsia" w:hAnsiTheme="minorEastAsia" w:eastAsiaTheme="minorEastAsia"/>
          <w:b/>
          <w:sz w:val="28"/>
          <w:szCs w:val="28"/>
          <w:lang w:val="zh-CN"/>
        </w:rPr>
        <w:t>本</w:t>
      </w:r>
      <w:r>
        <w:rPr>
          <w:rFonts w:asciiTheme="minorEastAsia" w:hAnsiTheme="minorEastAsia" w:eastAsiaTheme="minorEastAsia"/>
          <w:b/>
          <w:sz w:val="28"/>
          <w:szCs w:val="28"/>
          <w:lang w:val="zh-CN"/>
        </w:rPr>
        <w:t>项目提供的所有产品、辅材</w:t>
      </w:r>
      <w:r>
        <w:rPr>
          <w:rFonts w:hint="eastAsia" w:asciiTheme="minorEastAsia" w:hAnsiTheme="minorEastAsia" w:eastAsiaTheme="minorEastAsia"/>
          <w:b/>
          <w:sz w:val="28"/>
          <w:szCs w:val="28"/>
          <w:lang w:val="zh-CN"/>
        </w:rPr>
        <w:t>符合现行的强制性国家相关标准、行业标准。</w:t>
      </w:r>
      <w:r>
        <w:rPr>
          <w:rFonts w:asciiTheme="minorEastAsia" w:hAnsiTheme="minorEastAsia" w:eastAsiaTheme="minorEastAsia"/>
          <w:b/>
          <w:sz w:val="28"/>
          <w:szCs w:val="28"/>
          <w:lang w:val="zh-CN"/>
        </w:rPr>
        <w:t>（说明：投标人应按招标文件</w:t>
      </w:r>
      <w:r>
        <w:rPr>
          <w:rFonts w:hint="eastAsia" w:ascii="Times New Roman" w:hAnsi="Times New Roman" w:cs="Times New Roman" w:eastAsiaTheme="minorEastAsia"/>
          <w:b/>
          <w:sz w:val="28"/>
          <w:szCs w:val="28"/>
          <w:lang w:val="zh-CN"/>
        </w:rPr>
        <w:t>3.3.6</w:t>
      </w:r>
      <w:r>
        <w:rPr>
          <w:rFonts w:asciiTheme="minorEastAsia" w:hAnsiTheme="minorEastAsia" w:eastAsiaTheme="minorEastAsia"/>
          <w:b/>
          <w:sz w:val="28"/>
          <w:szCs w:val="28"/>
          <w:lang w:val="zh-CN"/>
        </w:rPr>
        <w:t>承诺函的格式及要求提供承诺函。）</w:t>
      </w:r>
    </w:p>
    <w:p>
      <w:pPr>
        <w:pStyle w:val="121"/>
        <w:tabs>
          <w:tab w:val="left" w:pos="1134"/>
        </w:tabs>
        <w:spacing w:line="500" w:lineRule="exact"/>
        <w:ind w:right="210" w:firstLine="562" w:firstLineChars="200"/>
        <w:jc w:val="both"/>
        <w:rPr>
          <w:rFonts w:asciiTheme="minorEastAsia" w:hAnsiTheme="minorEastAsia" w:eastAsiaTheme="minorEastAsia"/>
          <w:b/>
          <w:sz w:val="28"/>
          <w:szCs w:val="28"/>
          <w:lang w:val="zh-CN"/>
        </w:rPr>
      </w:pPr>
      <w:r>
        <w:rPr>
          <w:rFonts w:hint="eastAsia" w:asciiTheme="minorEastAsia" w:hAnsiTheme="minorEastAsia" w:eastAsiaTheme="minorEastAsia"/>
          <w:b/>
          <w:sz w:val="28"/>
          <w:szCs w:val="28"/>
        </w:rPr>
        <w:t>*四、</w:t>
      </w:r>
      <w:r>
        <w:rPr>
          <w:rFonts w:hint="eastAsia" w:asciiTheme="minorEastAsia" w:hAnsiTheme="minorEastAsia" w:eastAsiaTheme="minorEastAsia"/>
          <w:b/>
          <w:sz w:val="28"/>
          <w:szCs w:val="28"/>
          <w:lang w:val="zh-CN"/>
        </w:rPr>
        <w:t>投标人为本项目提供的所有产品中属于节能产品政府采购品目清单中的政府强制采购产品的，均应具有国家确定的认证机构出具的有效期内的节能产品认证证书。</w:t>
      </w:r>
      <w:r>
        <w:rPr>
          <w:rFonts w:asciiTheme="minorEastAsia" w:hAnsiTheme="minorEastAsia" w:eastAsiaTheme="minorEastAsia"/>
          <w:b/>
          <w:sz w:val="28"/>
          <w:szCs w:val="28"/>
          <w:lang w:val="zh-CN"/>
        </w:rPr>
        <w:t>（说明：投标人应按招标文件</w:t>
      </w:r>
      <w:r>
        <w:rPr>
          <w:rFonts w:hint="eastAsia" w:ascii="Times New Roman" w:hAnsi="Times New Roman" w:cs="Times New Roman" w:eastAsiaTheme="minorEastAsia"/>
          <w:b/>
          <w:sz w:val="28"/>
          <w:szCs w:val="28"/>
          <w:lang w:val="zh-CN"/>
        </w:rPr>
        <w:t>3.3.6</w:t>
      </w:r>
      <w:r>
        <w:rPr>
          <w:rFonts w:asciiTheme="minorEastAsia" w:hAnsiTheme="minorEastAsia" w:eastAsiaTheme="minorEastAsia"/>
          <w:b/>
          <w:sz w:val="28"/>
          <w:szCs w:val="28"/>
          <w:lang w:val="zh-CN"/>
        </w:rPr>
        <w:t>承诺函的格式及要求提供承诺函。）</w:t>
      </w:r>
    </w:p>
    <w:p>
      <w:pPr>
        <w:pStyle w:val="121"/>
        <w:tabs>
          <w:tab w:val="left" w:pos="1134"/>
        </w:tabs>
        <w:spacing w:line="500" w:lineRule="exact"/>
        <w:ind w:right="210" w:firstLine="562" w:firstLineChars="200"/>
        <w:jc w:val="both"/>
        <w:rPr>
          <w:rFonts w:asciiTheme="minorEastAsia" w:hAnsiTheme="minorEastAsia" w:eastAsiaTheme="minorEastAsia"/>
          <w:b/>
          <w:sz w:val="28"/>
          <w:szCs w:val="28"/>
          <w:lang w:val="zh-CN"/>
        </w:rPr>
      </w:pPr>
    </w:p>
    <w:p>
      <w:pPr>
        <w:rPr>
          <w:rFonts w:hint="eastAsia"/>
          <w:b/>
          <w:color w:val="000000"/>
          <w:sz w:val="28"/>
          <w:szCs w:val="28"/>
        </w:rPr>
      </w:pPr>
    </w:p>
    <w:p>
      <w:pPr>
        <w:rPr>
          <w:rFonts w:hint="eastAsia"/>
          <w:b/>
          <w:color w:val="000000"/>
          <w:sz w:val="28"/>
          <w:szCs w:val="28"/>
        </w:rPr>
      </w:pPr>
    </w:p>
    <w:p>
      <w:pPr>
        <w:rPr>
          <w:rFonts w:hint="eastAsia"/>
          <w:b/>
          <w:color w:val="000000"/>
          <w:sz w:val="28"/>
          <w:szCs w:val="28"/>
        </w:rPr>
      </w:pPr>
    </w:p>
    <w:p>
      <w:pPr>
        <w:rPr>
          <w:rFonts w:hint="eastAsia"/>
          <w:b/>
          <w:color w:val="000000"/>
          <w:sz w:val="28"/>
          <w:szCs w:val="28"/>
        </w:rPr>
      </w:pPr>
    </w:p>
    <w:p>
      <w:pPr>
        <w:rPr>
          <w:rFonts w:hint="eastAsia"/>
          <w:b/>
          <w:color w:val="000000"/>
          <w:sz w:val="28"/>
          <w:szCs w:val="28"/>
        </w:rPr>
      </w:pPr>
    </w:p>
    <w:p>
      <w:pPr>
        <w:rPr>
          <w:rFonts w:asciiTheme="minorEastAsia" w:hAnsiTheme="minorEastAsia" w:eastAsiaTheme="minorEastAsia"/>
          <w:b/>
          <w:sz w:val="28"/>
          <w:szCs w:val="28"/>
          <w:lang w:val="zh-CN"/>
        </w:rPr>
      </w:pPr>
      <w:r>
        <w:rPr>
          <w:rFonts w:hint="eastAsia"/>
          <w:b/>
          <w:color w:val="000000"/>
          <w:sz w:val="28"/>
          <w:szCs w:val="28"/>
        </w:rPr>
        <w:t>说明：以上</w:t>
      </w:r>
      <w:r>
        <w:rPr>
          <w:rFonts w:hint="eastAsia"/>
          <w:b/>
          <w:sz w:val="28"/>
          <w:szCs w:val="28"/>
        </w:rPr>
        <w:t>标“</w:t>
      </w:r>
      <w:r>
        <w:rPr>
          <w:rFonts w:hint="eastAsia" w:asciiTheme="minorEastAsia" w:hAnsiTheme="minorEastAsia" w:eastAsiaTheme="minorEastAsia"/>
          <w:b/>
          <w:sz w:val="28"/>
          <w:szCs w:val="28"/>
        </w:rPr>
        <w:t>*</w:t>
      </w:r>
      <w:r>
        <w:rPr>
          <w:rFonts w:hint="eastAsia"/>
          <w:b/>
          <w:sz w:val="28"/>
          <w:szCs w:val="28"/>
        </w:rPr>
        <w:t>”号的为本项目的实质性要求条款，不允许有负偏离。</w:t>
      </w:r>
      <w:r>
        <w:rPr>
          <w:rFonts w:asciiTheme="minorEastAsia" w:hAnsiTheme="minorEastAsia" w:eastAsiaTheme="minorEastAsia"/>
          <w:b/>
          <w:sz w:val="28"/>
          <w:szCs w:val="28"/>
          <w:lang w:val="zh-CN"/>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96" w:name="_Toc85657314"/>
      <w:r>
        <w:rPr>
          <w:rFonts w:hint="eastAsia" w:ascii="宋体" w:hAnsi="宋体"/>
          <w:b/>
          <w:bCs/>
          <w:spacing w:val="-20"/>
          <w:kern w:val="44"/>
          <w:sz w:val="32"/>
          <w:szCs w:val="32"/>
        </w:rPr>
        <w:t>资格性审查</w:t>
      </w:r>
      <w:bookmarkEnd w:id="196"/>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资格性审查由采购人组建的资格审查小组依据法律法规和招标文件的规定，对投标保证金（区公资交易中心出具的</w:t>
      </w:r>
      <w:r>
        <w:rPr>
          <w:rFonts w:hint="eastAsia" w:ascii="宋体" w:hAnsi="宋体"/>
          <w:b/>
          <w:sz w:val="28"/>
          <w:szCs w:val="28"/>
        </w:rPr>
        <w:t>《</w:t>
      </w:r>
      <w:r>
        <w:rPr>
          <w:rFonts w:hint="eastAsia" w:ascii="宋体" w:hAnsi="宋体" w:cs="宋体"/>
          <w:b/>
          <w:sz w:val="28"/>
          <w:szCs w:val="28"/>
        </w:rPr>
        <w:t>成都市政府采购项目供应商参与及保证金交纳情况表》</w:t>
      </w:r>
      <w:r>
        <w:rPr>
          <w:rFonts w:hint="eastAsia" w:ascii="宋体" w:hAnsi="宋体"/>
          <w:b/>
          <w:sz w:val="28"/>
          <w:szCs w:val="28"/>
        </w:rPr>
        <w:t>或投标人递交的投标保函）</w:t>
      </w:r>
      <w:r>
        <w:rPr>
          <w:rFonts w:hint="eastAsia" w:ascii="宋体" w:hAnsi="宋体"/>
          <w:sz w:val="28"/>
          <w:szCs w:val="28"/>
        </w:rPr>
        <w:t>、投标文件中的资格证明等进行审查，以确定投标人是否具备投标资格，并出具资格性审查报告。</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时因断电、断网、系统故障或其他不可抗力等因素，导致资格审查小组无法通过系统阅读投标文件进行审查的，待系统恢复后继续审查。出现上述情况时，区公资交易中心将以电子邮件形式通知各投标人。</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资格性审查标准见下表：</w:t>
      </w:r>
    </w:p>
    <w:tbl>
      <w:tblPr>
        <w:tblStyle w:val="44"/>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
        <w:gridCol w:w="426"/>
        <w:gridCol w:w="1715"/>
        <w:gridCol w:w="6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0" w:type="dxa"/>
            <w:gridSpan w:val="3"/>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b/>
                <w:sz w:val="20"/>
              </w:rPr>
            </w:pPr>
            <w:r>
              <w:rPr>
                <w:b/>
                <w:sz w:val="20"/>
              </w:rPr>
              <w:t>资格性审查项</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在中华人民共和国境内依法登记注册，并有效存续具有独立法人资格的供应商</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营业执照复印件（正本或副本）或法人证书复印件（正本或副本）。【说明：</w:t>
            </w:r>
            <w:r>
              <w:rPr>
                <w:rFonts w:hint="eastAsia" w:ascii="宋体" w:hAnsi="宋体"/>
                <w:sz w:val="20"/>
                <w:szCs w:val="28"/>
              </w:rPr>
              <w:t>①</w:t>
            </w:r>
            <w:r>
              <w:rPr>
                <w:rFonts w:hint="eastAsia"/>
                <w:sz w:val="20"/>
              </w:rPr>
              <w:t>营业执照或法人证书载明有期限的，应在有效期限内；</w:t>
            </w:r>
            <w:r>
              <w:rPr>
                <w:rFonts w:hint="eastAsia" w:ascii="宋体" w:hAnsi="宋体"/>
                <w:sz w:val="20"/>
                <w:szCs w:val="28"/>
              </w:rPr>
              <w:t>②</w:t>
            </w:r>
            <w:r>
              <w:rPr>
                <w:rFonts w:hint="eastAsia"/>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sz w:val="20"/>
              </w:rPr>
              <w:t>2</w:t>
            </w:r>
          </w:p>
        </w:tc>
        <w:tc>
          <w:tcPr>
            <w:tcW w:w="426"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书面声明材料</w:t>
            </w: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具有良好的商业信誉的证明材料</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投标人具有良好的商业信誉的书面声明材料。【</w:t>
            </w:r>
            <w:r>
              <w:rPr>
                <w:rFonts w:hint="eastAsia"/>
                <w:sz w:val="20"/>
              </w:rPr>
              <w:t>说明</w:t>
            </w:r>
            <w:r>
              <w:rPr>
                <w:sz w:val="20"/>
              </w:rPr>
              <w:t>：</w:t>
            </w:r>
            <w:r>
              <w:rPr>
                <w:rFonts w:hint="eastAsia" w:ascii="宋体" w:hAnsi="宋体"/>
                <w:sz w:val="20"/>
                <w:szCs w:val="28"/>
              </w:rPr>
              <w:t>①</w:t>
            </w:r>
            <w:r>
              <w:rPr>
                <w:sz w:val="20"/>
              </w:rPr>
              <w:t>按招标文件</w:t>
            </w:r>
            <w:r>
              <w:rPr>
                <w:rFonts w:ascii="Times New Roman" w:hAnsi="Times New Roman" w:eastAsiaTheme="minorEastAsia"/>
                <w:sz w:val="20"/>
              </w:rPr>
              <w:t>3.2.2</w:t>
            </w:r>
            <w:r>
              <w:rPr>
                <w:rFonts w:hint="eastAsia" w:asciiTheme="minorEastAsia" w:hAnsiTheme="minorEastAsia" w:eastAsiaTheme="minorEastAsia"/>
                <w:sz w:val="20"/>
              </w:rPr>
              <w:t>声明</w:t>
            </w:r>
            <w:r>
              <w:rPr>
                <w:sz w:val="20"/>
              </w:rPr>
              <w:t>的</w:t>
            </w:r>
            <w:r>
              <w:rPr>
                <w:rFonts w:hint="eastAsia"/>
                <w:sz w:val="20"/>
              </w:rPr>
              <w:t>内容</w:t>
            </w:r>
            <w:r>
              <w:rPr>
                <w:sz w:val="20"/>
              </w:rPr>
              <w:t>提供书面声明材料</w:t>
            </w:r>
            <w:r>
              <w:rPr>
                <w:rFonts w:hint="eastAsia" w:ascii="宋体" w:hAnsi="宋体"/>
                <w:sz w:val="20"/>
                <w:szCs w:val="28"/>
              </w:rPr>
              <w:t>；②供应商</w:t>
            </w:r>
            <w:r>
              <w:rPr>
                <w:rFonts w:ascii="宋体" w:hAnsi="宋体"/>
                <w:sz w:val="20"/>
                <w:szCs w:val="28"/>
              </w:rPr>
              <w:t>具有良好的商业信誉</w:t>
            </w:r>
            <w:r>
              <w:rPr>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参加政府采购活动前三年内，在经营活动中没有重大违法记录</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1.投标人参加政府采购活动前三年内，在经营活动中没有重大违法记录的书面声明材料</w:t>
            </w:r>
            <w:r>
              <w:rPr>
                <w:rFonts w:hint="eastAsia"/>
                <w:sz w:val="20"/>
              </w:rPr>
              <w:t>。</w:t>
            </w:r>
            <w:r>
              <w:rPr>
                <w:sz w:val="20"/>
              </w:rPr>
              <w:t>【说明：</w:t>
            </w:r>
            <w:r>
              <w:rPr>
                <w:rFonts w:hint="eastAsia" w:ascii="宋体" w:hAnsi="宋体"/>
                <w:sz w:val="20"/>
                <w:szCs w:val="28"/>
              </w:rPr>
              <w:t>①</w:t>
            </w:r>
            <w:r>
              <w:rPr>
                <w:sz w:val="20"/>
              </w:rPr>
              <w:t>按</w:t>
            </w:r>
            <w:r>
              <w:rPr>
                <w:rFonts w:hint="eastAsia"/>
                <w:sz w:val="20"/>
              </w:rPr>
              <w:t>招标文件</w:t>
            </w:r>
            <w:r>
              <w:rPr>
                <w:rFonts w:ascii="Times New Roman" w:hAnsi="Times New Roman" w:eastAsiaTheme="minorEastAsia"/>
                <w:sz w:val="20"/>
              </w:rPr>
              <w:t>3.2.2</w:t>
            </w:r>
            <w:r>
              <w:rPr>
                <w:rFonts w:hint="eastAsia" w:asciiTheme="minorEastAsia" w:hAnsiTheme="minorEastAsia" w:eastAsiaTheme="minorEastAsia"/>
                <w:sz w:val="20"/>
              </w:rPr>
              <w:t>声明</w:t>
            </w:r>
            <w:r>
              <w:rPr>
                <w:sz w:val="20"/>
              </w:rPr>
              <w:t>的</w:t>
            </w:r>
            <w:r>
              <w:rPr>
                <w:rFonts w:hint="eastAsia"/>
                <w:sz w:val="20"/>
              </w:rPr>
              <w:t>内容</w:t>
            </w:r>
            <w:r>
              <w:rPr>
                <w:sz w:val="20"/>
              </w:rPr>
              <w:t>提供书面声明材料</w:t>
            </w:r>
            <w:r>
              <w:rPr>
                <w:rFonts w:hint="eastAsia"/>
                <w:sz w:val="20"/>
              </w:rPr>
              <w:t>；</w:t>
            </w:r>
            <w:r>
              <w:rPr>
                <w:rFonts w:hint="eastAsia" w:ascii="宋体" w:hAnsi="宋体"/>
                <w:sz w:val="20"/>
                <w:szCs w:val="28"/>
              </w:rPr>
              <w:t>②供应商参加政府采购活动前三年内，在经营活动中没有重大违法记录</w:t>
            </w:r>
            <w:r>
              <w:rPr>
                <w:sz w:val="20"/>
              </w:rPr>
              <w:t>。】</w:t>
            </w:r>
          </w:p>
          <w:p>
            <w:pPr>
              <w:tabs>
                <w:tab w:val="left" w:pos="851"/>
              </w:tabs>
              <w:spacing w:line="360" w:lineRule="auto"/>
              <w:rPr>
                <w:sz w:val="20"/>
              </w:rPr>
            </w:pPr>
            <w:r>
              <w:rPr>
                <w:sz w:val="20"/>
              </w:rPr>
              <w:t>2. 资格审查小组根据“信用中国”</w:t>
            </w:r>
            <w:r>
              <w:rPr>
                <w:rFonts w:hint="eastAsia"/>
                <w:sz w:val="20"/>
              </w:rPr>
              <w:t>和</w:t>
            </w:r>
            <w:r>
              <w:rPr>
                <w:sz w:val="20"/>
              </w:rPr>
              <w:t>“中国政府采购网”网站的查询结果，在资格审查期间对投标人在参加政府采购活动前三年内，在经营活动中是否有重大违法记录进行审查</w:t>
            </w:r>
            <w:r>
              <w:rPr>
                <w:rFonts w:hint="eastAsia"/>
                <w:sz w:val="20"/>
              </w:rPr>
              <w:t>。</w:t>
            </w:r>
            <w:r>
              <w:rPr>
                <w:sz w:val="20"/>
              </w:rPr>
              <w:t>【说明：投标人参加政府采购活动前三年内，在经营活动中没有重大违法记录</w:t>
            </w:r>
            <w:r>
              <w:rPr>
                <w:rFonts w:hint="eastAsia"/>
                <w:sz w:val="20"/>
              </w:rPr>
              <w:t>。</w:t>
            </w:r>
            <w:r>
              <w:rPr>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未被列入失信被执行人、重大税收违法案件当事人名单、政府采购严重违法失信行为记录名单</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1.投标人未列入失信被执行人、重大税收违法案件当事人名单、政府采购严重违法失信行为记录名单的书面声明材料</w:t>
            </w:r>
            <w:r>
              <w:rPr>
                <w:rFonts w:hint="eastAsia"/>
                <w:sz w:val="20"/>
              </w:rPr>
              <w:t>。</w:t>
            </w:r>
            <w:r>
              <w:rPr>
                <w:sz w:val="20"/>
              </w:rPr>
              <w:t>【说明：</w:t>
            </w:r>
            <w:r>
              <w:rPr>
                <w:rFonts w:hint="eastAsia" w:ascii="宋体" w:hAnsi="宋体" w:cs="宋体"/>
                <w:sz w:val="20"/>
                <w:lang w:eastAsia="ja-JP"/>
              </w:rPr>
              <w:t>①</w:t>
            </w:r>
            <w:r>
              <w:rPr>
                <w:sz w:val="20"/>
              </w:rPr>
              <w:t>投标人未列入失信被执行人、重大税收违法案件当事人名单、政府采购严重违法失信行为记录名单；</w:t>
            </w:r>
            <w:r>
              <w:rPr>
                <w:rFonts w:hint="eastAsia" w:ascii="宋体" w:hAnsi="宋体"/>
                <w:sz w:val="20"/>
                <w:szCs w:val="28"/>
              </w:rPr>
              <w:t>②</w:t>
            </w:r>
            <w:r>
              <w:rPr>
                <w:sz w:val="20"/>
              </w:rPr>
              <w:t>按</w:t>
            </w:r>
            <w:r>
              <w:rPr>
                <w:rFonts w:hint="eastAsia"/>
                <w:sz w:val="20"/>
              </w:rPr>
              <w:t>招标文件</w:t>
            </w:r>
            <w:r>
              <w:rPr>
                <w:rFonts w:ascii="Times New Roman" w:hAnsi="Times New Roman" w:eastAsiaTheme="minorEastAsia"/>
                <w:sz w:val="20"/>
              </w:rPr>
              <w:t>3.2.2</w:t>
            </w:r>
            <w:r>
              <w:rPr>
                <w:rFonts w:hint="eastAsia" w:asciiTheme="minorEastAsia" w:hAnsiTheme="minorEastAsia" w:eastAsiaTheme="minorEastAsia"/>
                <w:sz w:val="20"/>
              </w:rPr>
              <w:t>声明</w:t>
            </w:r>
            <w:r>
              <w:rPr>
                <w:sz w:val="20"/>
              </w:rPr>
              <w:t>的</w:t>
            </w:r>
            <w:r>
              <w:rPr>
                <w:rFonts w:hint="eastAsia"/>
                <w:sz w:val="20"/>
              </w:rPr>
              <w:t>内容</w:t>
            </w:r>
            <w:r>
              <w:rPr>
                <w:sz w:val="20"/>
              </w:rPr>
              <w:t>提供书面声明材料。】</w:t>
            </w:r>
          </w:p>
          <w:p>
            <w:pPr>
              <w:tabs>
                <w:tab w:val="left" w:pos="851"/>
              </w:tabs>
              <w:spacing w:line="360" w:lineRule="auto"/>
              <w:rPr>
                <w:sz w:val="20"/>
              </w:rPr>
            </w:pPr>
            <w:r>
              <w:rPr>
                <w:sz w:val="20"/>
              </w:rPr>
              <w:t>2. 资格审查小组根据“信用中国”</w:t>
            </w:r>
            <w:r>
              <w:rPr>
                <w:rFonts w:hint="eastAsia"/>
                <w:sz w:val="20"/>
              </w:rPr>
              <w:t>和</w:t>
            </w:r>
            <w:r>
              <w:rPr>
                <w:sz w:val="20"/>
              </w:rPr>
              <w:t>“中国政府采购网”网站的查询结果，在资格审查期间对投标人在经营活动中是否被列入失信被执行人、重大税收违法案件当事人名单、政府采购严重违法失信行为记录名单进行审查</w:t>
            </w:r>
            <w:r>
              <w:rPr>
                <w:rFonts w:hint="eastAsia"/>
                <w:sz w:val="20"/>
              </w:rPr>
              <w:t>。</w:t>
            </w:r>
            <w:r>
              <w:rPr>
                <w:sz w:val="20"/>
              </w:rPr>
              <w:t>【说明：投标人未列入失信被执行人、重大税收违法案件当事人名单、政府采购严重违法失信行为记录名单。】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未处于被行政部门禁止参与政府采购活动的期限内</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投标人未处于被行政部门禁止参与政府采购活动的期限内。【说明：</w:t>
            </w:r>
            <w:r>
              <w:rPr>
                <w:rFonts w:hint="eastAsia"/>
                <w:sz w:val="20"/>
              </w:rPr>
              <w:t>①</w:t>
            </w:r>
            <w:r>
              <w:rPr>
                <w:sz w:val="20"/>
              </w:rPr>
              <w:t>按招标文件</w:t>
            </w:r>
            <w:r>
              <w:rPr>
                <w:rFonts w:ascii="Times New Roman" w:hAnsi="Times New Roman" w:eastAsiaTheme="minorEastAsia"/>
                <w:sz w:val="20"/>
              </w:rPr>
              <w:t>3.2.2</w:t>
            </w:r>
            <w:r>
              <w:rPr>
                <w:rFonts w:hint="eastAsia" w:asciiTheme="minorEastAsia" w:hAnsiTheme="minorEastAsia" w:eastAsiaTheme="minorEastAsia"/>
                <w:sz w:val="20"/>
              </w:rPr>
              <w:t>声明</w:t>
            </w:r>
            <w:r>
              <w:rPr>
                <w:sz w:val="20"/>
              </w:rPr>
              <w:t>的</w:t>
            </w:r>
            <w:r>
              <w:rPr>
                <w:rFonts w:hint="eastAsia"/>
                <w:sz w:val="20"/>
              </w:rPr>
              <w:t>内容</w:t>
            </w:r>
            <w:r>
              <w:rPr>
                <w:sz w:val="20"/>
              </w:rPr>
              <w:t>提供书面声明材料</w:t>
            </w:r>
            <w:r>
              <w:rPr>
                <w:rFonts w:hint="eastAsia" w:ascii="宋体" w:hAnsi="宋体"/>
                <w:sz w:val="20"/>
                <w:szCs w:val="28"/>
              </w:rPr>
              <w:t>；②供应商未处于被行政部门禁止参与政府采购活动的期限内。</w:t>
            </w:r>
            <w:r>
              <w:rPr>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7" w:hRule="atLeast"/>
        </w:trPr>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rPr>
                <w:sz w:val="20"/>
              </w:rPr>
            </w:pPr>
            <w:r>
              <w:rPr>
                <w:sz w:val="20"/>
              </w:rPr>
              <w:t>行贿犯罪记录</w:t>
            </w:r>
          </w:p>
        </w:tc>
        <w:tc>
          <w:tcPr>
            <w:tcW w:w="6426"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rPr>
                <w:sz w:val="20"/>
              </w:rPr>
            </w:pPr>
            <w:r>
              <w:rPr>
                <w:sz w:val="20"/>
              </w:rPr>
              <w:t>在行贿犯罪信息查询期限内，投标人及其现任法定代表人、主要负责人没有行贿犯罪记录的书面声明材料。【说明：</w:t>
            </w:r>
            <w:r>
              <w:rPr>
                <w:rFonts w:hint="eastAsia" w:ascii="宋体" w:hAnsi="宋体" w:cs="宋体"/>
                <w:sz w:val="20"/>
                <w:lang w:eastAsia="ja-JP"/>
              </w:rPr>
              <w:t>①</w:t>
            </w:r>
            <w:r>
              <w:rPr>
                <w:sz w:val="20"/>
              </w:rPr>
              <w:t>按招标文件</w:t>
            </w:r>
            <w:r>
              <w:rPr>
                <w:rFonts w:ascii="Times New Roman" w:hAnsi="Times New Roman" w:eastAsiaTheme="minorEastAsia"/>
                <w:sz w:val="20"/>
              </w:rPr>
              <w:t>3.2.2</w:t>
            </w:r>
            <w:r>
              <w:rPr>
                <w:rFonts w:hint="eastAsia" w:asciiTheme="minorEastAsia" w:hAnsiTheme="minorEastAsia" w:eastAsiaTheme="minorEastAsia"/>
                <w:sz w:val="20"/>
              </w:rPr>
              <w:t>声明</w:t>
            </w:r>
            <w:r>
              <w:rPr>
                <w:sz w:val="20"/>
              </w:rPr>
              <w:t>的</w:t>
            </w:r>
            <w:r>
              <w:rPr>
                <w:rFonts w:hint="eastAsia"/>
                <w:sz w:val="20"/>
              </w:rPr>
              <w:t>内容</w:t>
            </w:r>
            <w:r>
              <w:rPr>
                <w:sz w:val="20"/>
              </w:rPr>
              <w:t>提供书面声明材料，投标文件中不需提供中国裁判文书网（https://wenshu.court.gov.cn）查询结果的证明材料</w:t>
            </w:r>
            <w:r>
              <w:rPr>
                <w:rFonts w:hint="eastAsia"/>
                <w:sz w:val="20"/>
              </w:rPr>
              <w:t>；</w:t>
            </w:r>
            <w:r>
              <w:rPr>
                <w:rFonts w:hint="eastAsia" w:ascii="宋体" w:hAnsi="宋体"/>
                <w:sz w:val="20"/>
                <w:szCs w:val="28"/>
              </w:rPr>
              <w:t>②在行贿犯罪信息查询期限内，供应商及其现任法定代表人、主要负责人没有行贿犯罪记录</w:t>
            </w:r>
            <w:r>
              <w:rPr>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89"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单位负责人为同一人或者存在直接控股、管理关系的不同供应商，不得参加同一项目的投标</w:t>
            </w:r>
          </w:p>
        </w:tc>
        <w:tc>
          <w:tcPr>
            <w:tcW w:w="6426" w:type="dxa"/>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与投标人负责人为同一人或者存在直接控股、管理关系的相关供应商的书面声明材料。</w:t>
            </w:r>
            <w:r>
              <w:rPr>
                <w:sz w:val="20"/>
              </w:rPr>
              <w:t>【说明：</w:t>
            </w:r>
            <w:r>
              <w:rPr>
                <w:rFonts w:hint="eastAsia"/>
                <w:sz w:val="20"/>
              </w:rPr>
              <w:t>①</w:t>
            </w:r>
            <w:r>
              <w:rPr>
                <w:sz w:val="20"/>
              </w:rPr>
              <w:t>按招标文件3.2.2</w:t>
            </w:r>
            <w:r>
              <w:rPr>
                <w:rFonts w:hint="eastAsia"/>
                <w:sz w:val="20"/>
              </w:rPr>
              <w:t>声明</w:t>
            </w:r>
            <w:r>
              <w:rPr>
                <w:sz w:val="20"/>
              </w:rPr>
              <w:t>的</w:t>
            </w:r>
            <w:r>
              <w:rPr>
                <w:rFonts w:hint="eastAsia"/>
                <w:sz w:val="20"/>
              </w:rPr>
              <w:t>内容</w:t>
            </w:r>
            <w:r>
              <w:rPr>
                <w:sz w:val="20"/>
              </w:rPr>
              <w:t>提供书面声明材料</w:t>
            </w:r>
            <w:r>
              <w:rPr>
                <w:rFonts w:hint="eastAsia"/>
                <w:sz w:val="20"/>
              </w:rPr>
              <w:t>；②参加投标的供应商中无与投标人的负责人为同一人或者存在直接控股、管理关系的供应商</w:t>
            </w:r>
            <w:r>
              <w:rPr>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3</w:t>
            </w:r>
          </w:p>
        </w:tc>
        <w:tc>
          <w:tcPr>
            <w:tcW w:w="426"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其他</w:t>
            </w: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不属于其他国家相关法律法规规定的禁止参加投标的供应商</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1、根据招标文件的要求不属于禁止参加投标或投标无效的供应商；</w:t>
            </w:r>
          </w:p>
          <w:p>
            <w:pPr>
              <w:tabs>
                <w:tab w:val="left" w:pos="851"/>
              </w:tabs>
              <w:spacing w:line="360" w:lineRule="auto"/>
              <w:rPr>
                <w:sz w:val="20"/>
              </w:rPr>
            </w:pPr>
            <w:r>
              <w:rPr>
                <w:sz w:val="20"/>
              </w:rPr>
              <w:t>2、资格审查小组未发现或者未知晓投标人存在属于国家相关法律法规规定的禁止参加投标或投标无效的供应商。</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具有履行合同所必须的设备和专业技术能力</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采购人对投标人履行合同所必须的设备和专业技术能力无其他特殊要求，投标人具有有效的营业执照或法人证书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法律、行政法规规定的其他条件</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采购人对法律、行政法规规定的其他条件无其他特殊要求，投标人具有有效的营业执照或法人证书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资质要求</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无</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投标保证金</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无</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right w:val="single" w:color="auto" w:sz="2" w:space="0"/>
            </w:tcBorders>
            <w:vAlign w:val="center"/>
          </w:tcPr>
          <w:p>
            <w:pPr>
              <w:tabs>
                <w:tab w:val="left" w:pos="851"/>
              </w:tabs>
              <w:spacing w:line="360" w:lineRule="auto"/>
              <w:rPr>
                <w:rFonts w:ascii="宋体" w:hAnsi="宋体"/>
                <w:sz w:val="20"/>
                <w:szCs w:val="28"/>
              </w:rPr>
            </w:pPr>
            <w:r>
              <w:rPr>
                <w:sz w:val="20"/>
              </w:rPr>
              <w:t>投标文件解密情况</w:t>
            </w:r>
          </w:p>
        </w:tc>
        <w:tc>
          <w:tcPr>
            <w:tcW w:w="6426" w:type="dxa"/>
            <w:tcBorders>
              <w:top w:val="single" w:color="auto" w:sz="2" w:space="0"/>
              <w:left w:val="single" w:color="auto" w:sz="2" w:space="0"/>
              <w:right w:val="single" w:color="auto" w:sz="2" w:space="0"/>
            </w:tcBorders>
            <w:vAlign w:val="center"/>
          </w:tcPr>
          <w:p>
            <w:pPr>
              <w:tabs>
                <w:tab w:val="left" w:pos="851"/>
              </w:tabs>
              <w:spacing w:line="360" w:lineRule="auto"/>
              <w:rPr>
                <w:rFonts w:ascii="宋体" w:hAnsi="宋体"/>
                <w:sz w:val="20"/>
                <w:szCs w:val="28"/>
              </w:rPr>
            </w:pPr>
            <w:r>
              <w:rPr>
                <w:rFonts w:hint="eastAsia" w:ascii="宋体" w:hAnsi="宋体"/>
                <w:sz w:val="20"/>
                <w:szCs w:val="28"/>
              </w:rPr>
              <w:t>除因断电、断网、系统故障或其他不可抗力等因素，导致系统无法使用外，投标文件已成功解密。</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投标文件签章</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投标文件加盖有投标人（法定名称）电子签章</w:t>
            </w:r>
            <w:r>
              <w:rPr>
                <w:sz w:val="20"/>
              </w:rPr>
              <w:t>。</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投标文件资格性审查部分的语言</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语言符合招标文件的要求。</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4</w:t>
            </w: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投标文件资格性审查部分组成</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0"/>
                <w:szCs w:val="28"/>
              </w:rPr>
            </w:pPr>
            <w:r>
              <w:rPr>
                <w:rFonts w:hint="eastAsia" w:ascii="宋体" w:hAnsi="宋体"/>
                <w:sz w:val="20"/>
                <w:szCs w:val="28"/>
              </w:rPr>
              <w:t>符合招标文件“</w:t>
            </w:r>
            <w:r>
              <w:rPr>
                <w:rFonts w:ascii="宋体" w:hAnsi="宋体"/>
                <w:sz w:val="20"/>
                <w:szCs w:val="28"/>
              </w:rPr>
              <w:t>2.4.</w:t>
            </w:r>
            <w:r>
              <w:rPr>
                <w:rFonts w:hint="eastAsia" w:ascii="宋体" w:hAnsi="宋体"/>
                <w:sz w:val="20"/>
                <w:szCs w:val="28"/>
              </w:rPr>
              <w:t>6投标</w:t>
            </w:r>
            <w:r>
              <w:rPr>
                <w:rFonts w:ascii="宋体" w:hAnsi="宋体"/>
                <w:sz w:val="20"/>
                <w:szCs w:val="28"/>
              </w:rPr>
              <w:t>文件的组成”规定要求。</w:t>
            </w:r>
            <w:r>
              <w:rPr>
                <w:rFonts w:hint="eastAsia" w:ascii="宋体" w:hAnsi="宋体"/>
                <w:sz w:val="20"/>
                <w:szCs w:val="28"/>
              </w:rPr>
              <w:t>【说明：投标人按招标文件3.2.1关于投标人资格声明的</w:t>
            </w:r>
            <w:r>
              <w:rPr>
                <w:rFonts w:hint="eastAsia"/>
                <w:sz w:val="20"/>
              </w:rPr>
              <w:t>内容</w:t>
            </w:r>
            <w:r>
              <w:rPr>
                <w:rFonts w:hint="eastAsia" w:ascii="宋体" w:hAnsi="宋体"/>
                <w:sz w:val="20"/>
                <w:szCs w:val="28"/>
              </w:rPr>
              <w:t>提供关于投标人资格声明的函。】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5</w:t>
            </w: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缴纳</w:t>
            </w:r>
            <w:r>
              <w:rPr>
                <w:rFonts w:hint="eastAsia"/>
                <w:sz w:val="20"/>
              </w:rPr>
              <w:t>社保</w:t>
            </w:r>
            <w:r>
              <w:rPr>
                <w:sz w:val="20"/>
              </w:rPr>
              <w:t>的证明材料</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投标人缴纳2021年任意时段的社保的银行电子回单或行政部门出具的社保缴纳证明材料复印件或承诺函（格式自拟）复印件（依法不需要缴纳社保的供应商，应提供相应文件证明其依法不需要缴纳社保）。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6</w:t>
            </w: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缴纳税收的证明材料</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投标人缴纳2021年任意时段的税收的银行电子回单或者行政部门出具的纳税证明或完税证明复印件或承诺函（格式自拟）复印件（依法免税的供应商，应提供相应文件证明其依法免税）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7</w:t>
            </w: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具有健全的财务会计制度的证明材料</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2020会计年度资产负债表复印件。【说明：①可提供2020年度经审计的财务报告复印件；②也可提供2020年度供应商内部的财务报表复印件（包括资产负债表、现金流量表、利润表）；③也可提供距文件递交截止日一年内银行出具的资信证明（复印件）；④供应商注册时间至文件递交截止日不足一年的，也可提供在工商备案的公司章程（复印件）；⑤供应商为事业法人或其他组织的提供其具有健全的财务会计制度的承诺函（格式自拟）复印件。】；</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投标人的投标文件资格性审查时被判定为无效的，区公资交易中心将通知投标人（以现场公示、电话、短信、市公资交易中心网站等任一方式）。投标人如对资格审查结论有异议的，应及时向区公资交易中心反馈意见。区公资交易中心将及时告知资格审查小组。（</w:t>
      </w:r>
      <w:r>
        <w:rPr>
          <w:rFonts w:hint="eastAsia" w:ascii="宋体" w:hAnsi="宋体"/>
          <w:b/>
          <w:bCs/>
          <w:sz w:val="28"/>
          <w:szCs w:val="28"/>
        </w:rPr>
        <w:t>说明：</w:t>
      </w:r>
      <w:r>
        <w:rPr>
          <w:rFonts w:hint="eastAsia" w:ascii="宋体" w:hAnsi="宋体"/>
          <w:sz w:val="28"/>
          <w:szCs w:val="28"/>
        </w:rPr>
        <w:t>无论投标人是否收到通知或提供反馈意见，均不影响资格审查和评标工作，且区公资交易中心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四、通过资格性审查的供应商＜3名，采购失败。</w:t>
      </w:r>
    </w:p>
    <w:p>
      <w:pPr>
        <w:tabs>
          <w:tab w:val="left" w:pos="851"/>
        </w:tabs>
        <w:spacing w:line="360" w:lineRule="auto"/>
        <w:ind w:firstLine="565" w:firstLineChars="202"/>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r>
        <w:br w:type="page"/>
      </w:r>
    </w:p>
    <w:p>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97" w:name="_Toc85657315"/>
      <w:r>
        <w:rPr>
          <w:rFonts w:hint="eastAsia" w:ascii="宋体" w:hAnsi="宋体"/>
          <w:b/>
          <w:bCs/>
          <w:spacing w:val="-20"/>
          <w:kern w:val="44"/>
          <w:sz w:val="32"/>
          <w:szCs w:val="32"/>
        </w:rPr>
        <w:t>评标办法</w:t>
      </w:r>
      <w:bookmarkEnd w:id="197"/>
    </w:p>
    <w:p>
      <w:pPr>
        <w:keepNext/>
        <w:keepLines/>
        <w:numPr>
          <w:ilvl w:val="1"/>
          <w:numId w:val="5"/>
        </w:numPr>
        <w:spacing w:line="360" w:lineRule="auto"/>
        <w:jc w:val="left"/>
        <w:outlineLvl w:val="1"/>
        <w:rPr>
          <w:rFonts w:ascii="宋体" w:hAnsi="宋体"/>
          <w:b/>
          <w:bCs/>
          <w:sz w:val="28"/>
          <w:szCs w:val="28"/>
        </w:rPr>
      </w:pPr>
      <w:bookmarkStart w:id="198" w:name="_Toc85657316"/>
      <w:r>
        <w:rPr>
          <w:rFonts w:hint="eastAsia" w:ascii="宋体" w:hAnsi="宋体"/>
          <w:b/>
          <w:bCs/>
          <w:sz w:val="28"/>
          <w:szCs w:val="28"/>
        </w:rPr>
        <w:t>总则</w:t>
      </w:r>
      <w:bookmarkEnd w:id="198"/>
    </w:p>
    <w:p>
      <w:pPr>
        <w:numPr>
          <w:ilvl w:val="0"/>
          <w:numId w:val="41"/>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41"/>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评标工作由</w:t>
      </w:r>
      <w:r>
        <w:rPr>
          <w:rFonts w:hint="eastAsia" w:cs="Arial"/>
          <w:sz w:val="28"/>
          <w:szCs w:val="28"/>
        </w:rPr>
        <w:t>区公资交易中心</w:t>
      </w:r>
      <w:r>
        <w:rPr>
          <w:rFonts w:hint="eastAsia" w:ascii="宋体" w:hAnsi="宋体"/>
          <w:sz w:val="28"/>
          <w:szCs w:val="28"/>
        </w:rPr>
        <w:t>负责组织，具体评标事务由采购人或</w:t>
      </w:r>
      <w:r>
        <w:rPr>
          <w:rFonts w:hint="eastAsia" w:cs="Arial"/>
          <w:sz w:val="28"/>
          <w:szCs w:val="28"/>
        </w:rPr>
        <w:t>区公资交易中心</w:t>
      </w:r>
      <w:r>
        <w:rPr>
          <w:rFonts w:hint="eastAsia" w:ascii="宋体" w:hAnsi="宋体"/>
          <w:sz w:val="28"/>
          <w:szCs w:val="28"/>
        </w:rPr>
        <w:t>依法组建的评标委员会负责。评标委员会由采购人代表和评标专家组成。</w:t>
      </w:r>
    </w:p>
    <w:p>
      <w:pPr>
        <w:numPr>
          <w:ilvl w:val="0"/>
          <w:numId w:val="41"/>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评标工作应遵循公平、公正、科学及择优的原则，并以相同的评标程序和标准对待所有的投标人。</w:t>
      </w:r>
    </w:p>
    <w:p>
      <w:pPr>
        <w:numPr>
          <w:ilvl w:val="0"/>
          <w:numId w:val="41"/>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评标委员会按照招标文件规定的评标程序、评标方法和标准进行独立评审，并独立履行下列职责：</w:t>
      </w:r>
    </w:p>
    <w:p>
      <w:pPr>
        <w:numPr>
          <w:ilvl w:val="1"/>
          <w:numId w:val="42"/>
        </w:numPr>
        <w:spacing w:line="360" w:lineRule="auto"/>
        <w:ind w:left="0" w:firstLine="567"/>
        <w:rPr>
          <w:rFonts w:ascii="宋体" w:hAnsi="宋体"/>
          <w:sz w:val="28"/>
          <w:szCs w:val="28"/>
        </w:rPr>
      </w:pPr>
      <w:r>
        <w:rPr>
          <w:rFonts w:hint="eastAsia" w:ascii="宋体" w:hAnsi="宋体"/>
          <w:sz w:val="28"/>
          <w:szCs w:val="28"/>
        </w:rPr>
        <w:t>熟悉和理解招标文件；</w:t>
      </w:r>
    </w:p>
    <w:p>
      <w:pPr>
        <w:numPr>
          <w:ilvl w:val="1"/>
          <w:numId w:val="42"/>
        </w:numPr>
        <w:spacing w:line="360" w:lineRule="auto"/>
        <w:ind w:left="0" w:firstLine="567"/>
        <w:rPr>
          <w:rFonts w:ascii="宋体" w:hAnsi="宋体"/>
          <w:sz w:val="28"/>
          <w:szCs w:val="28"/>
        </w:rPr>
      </w:pPr>
      <w:r>
        <w:rPr>
          <w:rFonts w:hint="eastAsia" w:ascii="宋体" w:hAnsi="宋体"/>
          <w:sz w:val="28"/>
          <w:szCs w:val="28"/>
        </w:rPr>
        <w:t>审查、评价投标文件是否符合招标文件的商务、技术等实质性要求；</w:t>
      </w:r>
    </w:p>
    <w:p>
      <w:pPr>
        <w:numPr>
          <w:ilvl w:val="1"/>
          <w:numId w:val="42"/>
        </w:numPr>
        <w:spacing w:line="360" w:lineRule="auto"/>
        <w:ind w:left="0" w:firstLine="567"/>
        <w:rPr>
          <w:rFonts w:ascii="宋体" w:hAnsi="宋体"/>
          <w:sz w:val="28"/>
          <w:szCs w:val="28"/>
        </w:rPr>
      </w:pPr>
      <w:r>
        <w:rPr>
          <w:rFonts w:hint="eastAsia" w:ascii="宋体" w:hAnsi="宋体"/>
          <w:sz w:val="28"/>
          <w:szCs w:val="28"/>
        </w:rPr>
        <w:t>对投标文件进行比较和评价；</w:t>
      </w:r>
    </w:p>
    <w:p>
      <w:pPr>
        <w:numPr>
          <w:ilvl w:val="1"/>
          <w:numId w:val="42"/>
        </w:numPr>
        <w:spacing w:line="360" w:lineRule="auto"/>
        <w:ind w:left="0" w:firstLine="567"/>
        <w:rPr>
          <w:rFonts w:ascii="宋体" w:hAnsi="宋体"/>
          <w:sz w:val="28"/>
          <w:szCs w:val="28"/>
        </w:rPr>
      </w:pPr>
      <w:r>
        <w:rPr>
          <w:rFonts w:hint="eastAsia" w:ascii="宋体" w:hAnsi="宋体"/>
          <w:sz w:val="28"/>
          <w:szCs w:val="28"/>
        </w:rPr>
        <w:t>根据需要要求采购人对招标文件作出解释；根据需要要求投标人对投标文件有关事项作出解释或者澄清；</w:t>
      </w:r>
    </w:p>
    <w:p>
      <w:pPr>
        <w:numPr>
          <w:ilvl w:val="1"/>
          <w:numId w:val="42"/>
        </w:numPr>
        <w:spacing w:line="360" w:lineRule="auto"/>
        <w:ind w:left="0" w:firstLine="567"/>
        <w:rPr>
          <w:rFonts w:ascii="宋体" w:hAnsi="宋体"/>
          <w:sz w:val="28"/>
          <w:szCs w:val="28"/>
        </w:rPr>
      </w:pPr>
      <w:r>
        <w:rPr>
          <w:rFonts w:hint="eastAsia" w:ascii="宋体" w:hAnsi="宋体"/>
          <w:sz w:val="28"/>
          <w:szCs w:val="28"/>
        </w:rPr>
        <w:t>确定中标候选人名单，以及根据采购人委托直接确定中标人；</w:t>
      </w:r>
    </w:p>
    <w:p>
      <w:pPr>
        <w:numPr>
          <w:ilvl w:val="1"/>
          <w:numId w:val="42"/>
        </w:numPr>
        <w:spacing w:line="360" w:lineRule="auto"/>
        <w:ind w:left="0" w:firstLine="567"/>
        <w:rPr>
          <w:rFonts w:ascii="宋体" w:hAnsi="宋体"/>
          <w:sz w:val="28"/>
          <w:szCs w:val="28"/>
        </w:rPr>
      </w:pPr>
      <w:r>
        <w:rPr>
          <w:rFonts w:hint="eastAsia" w:ascii="宋体" w:hAnsi="宋体"/>
          <w:sz w:val="28"/>
          <w:szCs w:val="28"/>
        </w:rPr>
        <w:t>起草评标报告并进行签署；</w:t>
      </w:r>
    </w:p>
    <w:p>
      <w:pPr>
        <w:numPr>
          <w:ilvl w:val="1"/>
          <w:numId w:val="42"/>
        </w:numPr>
        <w:spacing w:line="360" w:lineRule="auto"/>
        <w:ind w:left="0" w:firstLine="567"/>
        <w:rPr>
          <w:rFonts w:ascii="宋体" w:hAnsi="宋体"/>
          <w:sz w:val="28"/>
          <w:szCs w:val="28"/>
        </w:rPr>
      </w:pPr>
      <w:r>
        <w:rPr>
          <w:rFonts w:hint="eastAsia" w:ascii="宋体" w:hAnsi="宋体"/>
          <w:sz w:val="28"/>
          <w:szCs w:val="28"/>
        </w:rPr>
        <w:t>向采购人、区公资交易中心或者财政、监察等有关部门报告或举报非法干预评标工作的行为；</w:t>
      </w:r>
    </w:p>
    <w:p>
      <w:pPr>
        <w:numPr>
          <w:ilvl w:val="1"/>
          <w:numId w:val="42"/>
        </w:numPr>
        <w:spacing w:line="360" w:lineRule="auto"/>
        <w:ind w:left="0" w:firstLine="567"/>
        <w:rPr>
          <w:rFonts w:ascii="宋体" w:hAnsi="宋体"/>
          <w:sz w:val="28"/>
          <w:szCs w:val="28"/>
        </w:rPr>
      </w:pPr>
      <w:r>
        <w:rPr>
          <w:rFonts w:hint="eastAsia" w:ascii="宋体" w:hAnsi="宋体"/>
          <w:sz w:val="28"/>
          <w:szCs w:val="28"/>
        </w:rPr>
        <w:t>向采购人、</w:t>
      </w:r>
      <w:r>
        <w:rPr>
          <w:rFonts w:hint="eastAsia" w:cs="Arial"/>
          <w:sz w:val="28"/>
          <w:szCs w:val="28"/>
        </w:rPr>
        <w:t>区公资交易中心</w:t>
      </w:r>
      <w:r>
        <w:rPr>
          <w:rFonts w:hint="eastAsia" w:ascii="宋体" w:hAnsi="宋体"/>
          <w:sz w:val="28"/>
          <w:szCs w:val="28"/>
        </w:rPr>
        <w:t>或者有关部门报告评标中发现的违法行为。</w:t>
      </w:r>
    </w:p>
    <w:p>
      <w:pPr>
        <w:numPr>
          <w:ilvl w:val="1"/>
          <w:numId w:val="42"/>
        </w:numPr>
        <w:spacing w:line="360" w:lineRule="auto"/>
        <w:ind w:left="0" w:firstLine="567"/>
        <w:rPr>
          <w:rFonts w:ascii="宋体" w:hAnsi="宋体"/>
          <w:sz w:val="28"/>
          <w:szCs w:val="28"/>
        </w:rPr>
      </w:pPr>
      <w:r>
        <w:rPr>
          <w:rFonts w:hint="eastAsia" w:ascii="宋体" w:hAnsi="宋体"/>
          <w:sz w:val="28"/>
          <w:szCs w:val="28"/>
        </w:rPr>
        <w:t>法律、法规和规章规定的其他职责。</w:t>
      </w:r>
    </w:p>
    <w:p>
      <w:pPr>
        <w:numPr>
          <w:ilvl w:val="0"/>
          <w:numId w:val="41"/>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评标过程独立、保密。投标人非法干预评标过程的行为将导致其投标文件作为无效处理。</w:t>
      </w:r>
    </w:p>
    <w:p>
      <w:pPr>
        <w:numPr>
          <w:ilvl w:val="0"/>
          <w:numId w:val="41"/>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评标委员会决定投标文件的响应性依据投标文件本身的内容，而不寻求外部的证据，招标文件有明确约定的除外。</w:t>
      </w:r>
    </w:p>
    <w:p>
      <w:pPr>
        <w:numPr>
          <w:ilvl w:val="0"/>
          <w:numId w:val="41"/>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评标委员会发现招标文件表述不明确或需要说明的事项，可提请采购人和区公资交易中心书面解释说明。</w:t>
      </w:r>
    </w:p>
    <w:p>
      <w:pPr>
        <w:keepNext/>
        <w:keepLines/>
        <w:numPr>
          <w:ilvl w:val="1"/>
          <w:numId w:val="5"/>
        </w:numPr>
        <w:spacing w:line="360" w:lineRule="auto"/>
        <w:jc w:val="left"/>
        <w:outlineLvl w:val="1"/>
        <w:rPr>
          <w:rFonts w:ascii="宋体" w:hAnsi="宋体"/>
          <w:b/>
          <w:bCs/>
          <w:sz w:val="28"/>
          <w:szCs w:val="28"/>
        </w:rPr>
      </w:pPr>
      <w:bookmarkStart w:id="199" w:name="_Toc85657317"/>
      <w:r>
        <w:rPr>
          <w:rFonts w:hint="eastAsia" w:ascii="宋体" w:hAnsi="宋体"/>
          <w:b/>
          <w:bCs/>
          <w:sz w:val="28"/>
          <w:szCs w:val="28"/>
        </w:rPr>
        <w:t>评标方法</w:t>
      </w:r>
      <w:bookmarkEnd w:id="199"/>
    </w:p>
    <w:p>
      <w:pPr>
        <w:spacing w:line="360" w:lineRule="auto"/>
        <w:ind w:firstLine="565" w:firstLineChars="202"/>
        <w:rPr>
          <w:rFonts w:ascii="宋体" w:hAnsi="宋体"/>
          <w:sz w:val="28"/>
          <w:szCs w:val="28"/>
        </w:rPr>
      </w:pPr>
      <w:r>
        <w:rPr>
          <w:rFonts w:hint="eastAsia" w:ascii="宋体" w:hAnsi="宋体"/>
          <w:sz w:val="28"/>
          <w:szCs w:val="28"/>
        </w:rPr>
        <w:t>综合评分法。</w:t>
      </w:r>
    </w:p>
    <w:p>
      <w:pPr>
        <w:keepNext/>
        <w:keepLines/>
        <w:numPr>
          <w:ilvl w:val="1"/>
          <w:numId w:val="5"/>
        </w:numPr>
        <w:spacing w:line="360" w:lineRule="auto"/>
        <w:jc w:val="left"/>
        <w:outlineLvl w:val="1"/>
        <w:rPr>
          <w:rFonts w:ascii="宋体" w:hAnsi="宋体"/>
          <w:b/>
          <w:bCs/>
          <w:sz w:val="28"/>
          <w:szCs w:val="28"/>
        </w:rPr>
      </w:pPr>
      <w:bookmarkStart w:id="200" w:name="_Toc85657318"/>
      <w:r>
        <w:rPr>
          <w:rFonts w:hint="eastAsia" w:ascii="宋体" w:hAnsi="宋体"/>
          <w:b/>
          <w:bCs/>
          <w:sz w:val="28"/>
          <w:szCs w:val="28"/>
        </w:rPr>
        <w:t>评标程序</w:t>
      </w:r>
      <w:bookmarkEnd w:id="200"/>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符合性审查</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符合性审查标准见下表（按以下顺序审查）：</w:t>
      </w:r>
    </w:p>
    <w:tbl>
      <w:tblPr>
        <w:tblStyle w:val="44"/>
        <w:tblW w:w="5209" w:type="pct"/>
        <w:tblInd w:w="-3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2069"/>
        <w:gridCol w:w="6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400" w:lineRule="exact"/>
              <w:rPr>
                <w:rFonts w:ascii="宋体" w:hAnsi="宋体" w:cs="宋体"/>
                <w:b/>
                <w:sz w:val="26"/>
                <w:szCs w:val="26"/>
              </w:rPr>
            </w:pPr>
            <w:r>
              <w:rPr>
                <w:rFonts w:hint="eastAsia" w:ascii="宋体" w:hAnsi="宋体" w:cs="宋体"/>
                <w:b/>
                <w:sz w:val="24"/>
                <w:szCs w:val="24"/>
              </w:rPr>
              <w:t>序号</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400" w:lineRule="exact"/>
              <w:rPr>
                <w:rFonts w:ascii="宋体" w:hAnsi="宋体" w:cs="宋体"/>
                <w:b/>
                <w:sz w:val="24"/>
                <w:szCs w:val="24"/>
              </w:rPr>
            </w:pPr>
            <w:r>
              <w:rPr>
                <w:rFonts w:hint="eastAsia" w:ascii="宋体" w:hAnsi="宋体" w:cs="宋体"/>
                <w:b/>
                <w:sz w:val="24"/>
                <w:szCs w:val="24"/>
              </w:rPr>
              <w:t>符合性审查项</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400" w:lineRule="exact"/>
              <w:rPr>
                <w:rFonts w:ascii="宋体" w:hAnsi="宋体" w:cs="宋体"/>
                <w:b/>
                <w:sz w:val="24"/>
                <w:szCs w:val="24"/>
              </w:rPr>
            </w:pPr>
            <w:r>
              <w:rPr>
                <w:rFonts w:hint="eastAsia" w:ascii="宋体" w:hAnsi="宋体" w:cs="宋体"/>
                <w:b/>
                <w:sz w:val="24"/>
                <w:szCs w:val="24"/>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s="宋体"/>
                <w:sz w:val="22"/>
              </w:rPr>
            </w:pPr>
            <w:r>
              <w:rPr>
                <w:rFonts w:hint="eastAsia" w:ascii="宋体" w:hAnsi="宋体" w:cs="宋体"/>
                <w:sz w:val="22"/>
              </w:rPr>
              <w:t>1</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商务技术响应文件和报价要求响应文件组成</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s="宋体"/>
                <w:sz w:val="22"/>
              </w:rPr>
            </w:pPr>
            <w:r>
              <w:rPr>
                <w:rFonts w:hint="eastAsia" w:ascii="宋体" w:hAnsi="宋体" w:cs="宋体"/>
                <w:sz w:val="22"/>
              </w:rPr>
              <w:t>2</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商务技术响应文件和报价要求响应文件的计量单位、语言、报价货币、投标有效期</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s="宋体"/>
                <w:sz w:val="22"/>
              </w:rPr>
            </w:pPr>
            <w:r>
              <w:rPr>
                <w:rFonts w:hint="eastAsia" w:ascii="宋体" w:hAnsi="宋体" w:cs="宋体"/>
                <w:sz w:val="22"/>
              </w:rPr>
              <w:t>3</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第4章打</w:t>
            </w:r>
            <w:r>
              <w:rPr>
                <w:rFonts w:hint="eastAsia" w:ascii="宋体" w:hAnsi="宋体" w:cs="宋体"/>
                <w:b/>
                <w:bCs/>
                <w:kern w:val="0"/>
                <w:sz w:val="22"/>
              </w:rPr>
              <w:t>*</w:t>
            </w:r>
            <w:r>
              <w:rPr>
                <w:rFonts w:hint="eastAsia" w:ascii="宋体" w:hAnsi="宋体" w:cs="宋体"/>
                <w:sz w:val="22"/>
              </w:rPr>
              <w:t>号的技术、服务、商务和其他要求</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投标文件均实质性响应招标文件中加</w:t>
            </w:r>
            <w:r>
              <w:rPr>
                <w:rFonts w:hint="eastAsia" w:ascii="宋体" w:hAnsi="宋体" w:cs="宋体"/>
                <w:b/>
                <w:bCs/>
                <w:kern w:val="0"/>
                <w:sz w:val="22"/>
              </w:rPr>
              <w:t>*</w:t>
            </w:r>
            <w:r>
              <w:rPr>
                <w:rFonts w:hint="eastAsia" w:ascii="宋体" w:hAnsi="宋体" w:cs="宋体"/>
                <w:sz w:val="22"/>
              </w:rPr>
              <w:t>号的技术、服务、商务和其他要求。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s="宋体"/>
                <w:sz w:val="22"/>
              </w:rPr>
            </w:pPr>
            <w:r>
              <w:rPr>
                <w:rFonts w:hint="eastAsia" w:ascii="宋体" w:hAnsi="宋体" w:cs="宋体"/>
                <w:sz w:val="22"/>
              </w:rPr>
              <w:t>4</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进口产品</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s="宋体"/>
                <w:sz w:val="22"/>
              </w:rPr>
            </w:pPr>
            <w:r>
              <w:rPr>
                <w:rFonts w:hint="eastAsia" w:ascii="宋体" w:hAnsi="宋体" w:cs="宋体"/>
                <w:sz w:val="22"/>
              </w:rPr>
              <w:t>5</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不属于禁止参加投标或投标无效的供应商</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（1）根据招标文件的要求不属于禁止参加投标或投标无效的供应商；</w:t>
            </w:r>
          </w:p>
          <w:p>
            <w:pPr>
              <w:tabs>
                <w:tab w:val="left" w:pos="851"/>
              </w:tabs>
              <w:spacing w:line="360" w:lineRule="auto"/>
              <w:rPr>
                <w:rFonts w:ascii="宋体" w:hAnsi="宋体" w:cs="宋体"/>
                <w:sz w:val="22"/>
              </w:rPr>
            </w:pPr>
            <w:r>
              <w:rPr>
                <w:rFonts w:hint="eastAsia" w:ascii="宋体" w:hAnsi="宋体" w:cs="宋体"/>
                <w:sz w:val="22"/>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s="宋体"/>
                <w:sz w:val="22"/>
              </w:rPr>
            </w:pPr>
            <w:r>
              <w:rPr>
                <w:rFonts w:hint="eastAsia" w:ascii="宋体" w:hAnsi="宋体" w:cs="宋体"/>
                <w:sz w:val="22"/>
              </w:rPr>
              <w:t>6</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法定代表人身份证复印件或护照复印件</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trPr>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s="宋体"/>
                <w:sz w:val="22"/>
              </w:rPr>
            </w:pPr>
            <w:r>
              <w:rPr>
                <w:rFonts w:hint="eastAsia" w:ascii="宋体" w:hAnsi="宋体" w:cs="宋体"/>
                <w:sz w:val="22"/>
              </w:rPr>
              <w:t>7</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除资格性审查要求的证明材料外，招标文件要求提供的其他证明材料</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满足招标文件的要求。</w:t>
            </w:r>
          </w:p>
          <w:p>
            <w:pPr>
              <w:tabs>
                <w:tab w:val="left" w:pos="851"/>
              </w:tabs>
              <w:spacing w:line="360" w:lineRule="auto"/>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s="宋体"/>
                <w:sz w:val="22"/>
              </w:rPr>
            </w:pPr>
            <w:r>
              <w:rPr>
                <w:rFonts w:hint="eastAsia" w:ascii="宋体" w:hAnsi="宋体" w:cs="宋体"/>
                <w:sz w:val="22"/>
              </w:rPr>
              <w:t>8</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报价要求响应文件的投标报价</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s="宋体"/>
                <w:sz w:val="22"/>
              </w:rPr>
            </w:pPr>
            <w:r>
              <w:rPr>
                <w:rFonts w:hint="eastAsia" w:ascii="宋体" w:hAnsi="宋体" w:cs="宋体"/>
                <w:sz w:val="22"/>
              </w:rPr>
              <w:t>开标一览表、报价明细表、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②单价金额小数点或者百分比有明显错位的，以总价为准，并修改单价；③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5）如因断电、断网、系统故障或其他不可抗力等因素，导致系统无法使用的，由投标人按评标委员会的要求进行澄清或者说明。】</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投标人的投标文件符合性审查时被判定为无效投标文件的，区公资交易中心将通知投标人（以现场公示、电话、短信、市公资交易中心网站等任一方式）。投标人如对评审结论有异议的，应及时向区公资交易中心反馈意见。区公资交易中心在评审结束前将收到的反馈意见及时告知评标委员会。（</w:t>
      </w:r>
      <w:r>
        <w:rPr>
          <w:rFonts w:hint="eastAsia" w:ascii="宋体" w:hAnsi="宋体"/>
          <w:b/>
          <w:bCs/>
          <w:sz w:val="28"/>
          <w:szCs w:val="28"/>
        </w:rPr>
        <w:t>说明：</w:t>
      </w:r>
      <w:r>
        <w:rPr>
          <w:rFonts w:hint="eastAsia" w:ascii="宋体" w:hAnsi="宋体"/>
          <w:sz w:val="28"/>
          <w:szCs w:val="28"/>
        </w:rPr>
        <w:t>无论投标人是否收到通知或提供反馈意见，均不影响评标委员会的评标工作，且区公资交易中心对此将不承担任何的责任。投标人对评审结论有异议的，其反馈意见仅限于评标委员会对评审结论的正确性进行复核，避免出现评审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三、通过符合性审查的供应商＜3名，本项目采购失败。</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解释、澄清有关问题</w:t>
      </w:r>
    </w:p>
    <w:p>
      <w:pPr>
        <w:numPr>
          <w:ilvl w:val="0"/>
          <w:numId w:val="43"/>
        </w:numPr>
        <w:tabs>
          <w:tab w:val="left" w:pos="1134"/>
        </w:tabs>
        <w:spacing w:line="360" w:lineRule="auto"/>
        <w:ind w:left="0" w:firstLine="525"/>
        <w:rPr>
          <w:rFonts w:ascii="宋体" w:hAnsi="宋体"/>
          <w:sz w:val="28"/>
          <w:szCs w:val="28"/>
        </w:rPr>
      </w:pPr>
      <w:r>
        <w:rPr>
          <w:rFonts w:hint="eastAsia" w:ascii="宋体" w:hAnsi="宋体"/>
          <w:sz w:val="28"/>
          <w:szCs w:val="28"/>
        </w:rPr>
        <w:t>评标过程中，评标委员会认为招标文件有关事项表述不明确或需要说明的，可以提请区公资交易中心书面解释。区公资交易中心的解释不得改变招标文件的原义或者影响公平、公正，解释事项如果涉及投标人权益的以有利于投标人的原则进行解释。</w:t>
      </w:r>
    </w:p>
    <w:p>
      <w:pPr>
        <w:numPr>
          <w:ilvl w:val="0"/>
          <w:numId w:val="43"/>
        </w:numPr>
        <w:tabs>
          <w:tab w:val="left" w:pos="1134"/>
        </w:tabs>
        <w:spacing w:line="360" w:lineRule="auto"/>
        <w:ind w:left="0" w:firstLine="527"/>
        <w:rPr>
          <w:rFonts w:ascii="宋体" w:hAnsi="宋体"/>
          <w:sz w:val="28"/>
          <w:szCs w:val="28"/>
        </w:rPr>
      </w:pPr>
      <w:r>
        <w:rPr>
          <w:rFonts w:hint="eastAsia" w:ascii="宋体" w:hAnsi="宋体"/>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43"/>
        </w:numPr>
        <w:tabs>
          <w:tab w:val="left" w:pos="1134"/>
        </w:tabs>
        <w:spacing w:line="360" w:lineRule="auto"/>
        <w:ind w:left="0" w:firstLine="527"/>
        <w:rPr>
          <w:rFonts w:ascii="宋体" w:hAnsi="宋体"/>
          <w:sz w:val="28"/>
          <w:szCs w:val="28"/>
        </w:rPr>
      </w:pPr>
      <w:r>
        <w:rPr>
          <w:rFonts w:hint="eastAsia" w:ascii="宋体" w:hAnsi="宋体"/>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44"/>
        </w:numPr>
        <w:tabs>
          <w:tab w:val="left" w:pos="1260"/>
          <w:tab w:val="clear" w:pos="846"/>
        </w:tabs>
        <w:spacing w:line="360" w:lineRule="auto"/>
        <w:ind w:left="0" w:firstLine="525"/>
        <w:rPr>
          <w:rFonts w:ascii="宋体" w:hAnsi="宋体" w:cstheme="minorBidi"/>
          <w:sz w:val="28"/>
          <w:szCs w:val="28"/>
        </w:rPr>
      </w:pPr>
      <w:r>
        <w:rPr>
          <w:rFonts w:hint="eastAsia" w:ascii="宋体" w:hAnsi="宋体" w:cstheme="minorBidi"/>
          <w:sz w:val="28"/>
          <w:szCs w:val="28"/>
        </w:rPr>
        <w:t>投标人投标文件中不响应招标文件规定的技术参数指标和商务应答；</w:t>
      </w:r>
    </w:p>
    <w:p>
      <w:pPr>
        <w:numPr>
          <w:ilvl w:val="0"/>
          <w:numId w:val="44"/>
        </w:numPr>
        <w:tabs>
          <w:tab w:val="left" w:pos="1260"/>
        </w:tabs>
        <w:spacing w:line="360" w:lineRule="auto"/>
        <w:ind w:left="0" w:firstLine="525"/>
        <w:rPr>
          <w:rFonts w:ascii="宋体" w:hAnsi="宋体" w:cstheme="minorBidi"/>
          <w:sz w:val="28"/>
          <w:szCs w:val="28"/>
        </w:rPr>
      </w:pPr>
      <w:r>
        <w:rPr>
          <w:rFonts w:hint="eastAsia" w:ascii="宋体" w:hAnsi="宋体" w:cstheme="minorBidi"/>
          <w:sz w:val="28"/>
          <w:szCs w:val="28"/>
        </w:rPr>
        <w:t>投标人投标文件中未提供的证明其是否符合招标文件资格性、符合性规定要求的相关材料。</w:t>
      </w:r>
    </w:p>
    <w:p>
      <w:pPr>
        <w:numPr>
          <w:ilvl w:val="0"/>
          <w:numId w:val="44"/>
        </w:numPr>
        <w:tabs>
          <w:tab w:val="left" w:pos="993"/>
          <w:tab w:val="left" w:pos="1260"/>
          <w:tab w:val="clear" w:pos="846"/>
        </w:tabs>
        <w:spacing w:line="360" w:lineRule="auto"/>
        <w:ind w:left="0" w:firstLine="525"/>
        <w:rPr>
          <w:rFonts w:ascii="宋体" w:hAnsi="宋体" w:cstheme="minorBidi"/>
          <w:sz w:val="28"/>
          <w:szCs w:val="28"/>
        </w:rPr>
      </w:pPr>
      <w:r>
        <w:rPr>
          <w:rFonts w:hint="eastAsia" w:ascii="宋体" w:hAnsi="宋体" w:cstheme="minorBidi"/>
          <w:sz w:val="28"/>
          <w:szCs w:val="28"/>
        </w:rPr>
        <w:t>投标人投标文件中的材料因印刷、影印等不清晰而难以辨认的。</w:t>
      </w:r>
    </w:p>
    <w:p>
      <w:pPr>
        <w:numPr>
          <w:ilvl w:val="0"/>
          <w:numId w:val="43"/>
        </w:numPr>
        <w:tabs>
          <w:tab w:val="left" w:pos="1134"/>
        </w:tabs>
        <w:spacing w:line="360" w:lineRule="auto"/>
        <w:ind w:left="0" w:firstLine="525"/>
        <w:rPr>
          <w:rFonts w:ascii="宋体" w:hAnsi="宋体"/>
          <w:sz w:val="28"/>
          <w:szCs w:val="28"/>
        </w:rPr>
      </w:pPr>
      <w:r>
        <w:rPr>
          <w:rFonts w:hint="eastAsia" w:ascii="宋体" w:hAnsi="宋体"/>
          <w:sz w:val="28"/>
          <w:szCs w:val="28"/>
        </w:rPr>
        <w:t>投标文件报价出现下列情况的，不需要投标人澄清，按以下原则处理：</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（一）开标现场宣读的投标报价与投标文件中的投标报价不一致的，以投标人</w:t>
      </w:r>
      <w:r>
        <w:rPr>
          <w:rFonts w:ascii="宋体" w:hAnsi="宋体"/>
          <w:sz w:val="28"/>
          <w:szCs w:val="28"/>
        </w:rPr>
        <w:t>在</w:t>
      </w:r>
      <w:r>
        <w:rPr>
          <w:rFonts w:hint="eastAsia" w:ascii="宋体" w:hAnsi="宋体"/>
          <w:sz w:val="28"/>
          <w:szCs w:val="28"/>
        </w:rPr>
        <w:t>政府采购</w:t>
      </w:r>
      <w:r>
        <w:rPr>
          <w:rFonts w:ascii="宋体" w:hAnsi="宋体"/>
          <w:sz w:val="28"/>
          <w:szCs w:val="28"/>
        </w:rPr>
        <w:t>云平台</w:t>
      </w:r>
      <w:r>
        <w:rPr>
          <w:rFonts w:hint="eastAsia" w:ascii="宋体" w:hAnsi="宋体"/>
          <w:sz w:val="28"/>
          <w:szCs w:val="28"/>
        </w:rPr>
        <w:t>开标</w:t>
      </w:r>
      <w:r>
        <w:rPr>
          <w:rFonts w:ascii="宋体" w:hAnsi="宋体"/>
          <w:sz w:val="28"/>
          <w:szCs w:val="28"/>
        </w:rPr>
        <w:t>一览表中填写的报价为准</w:t>
      </w:r>
      <w:r>
        <w:rPr>
          <w:rFonts w:hint="eastAsia" w:ascii="宋体" w:hAnsi="宋体"/>
          <w:sz w:val="28"/>
          <w:szCs w:val="28"/>
        </w:rPr>
        <w:t>；</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（二）大写金额和小写金额不一致的，以大写金额为准，但大写金额出现文字错误，导致金额无法判断的除外；</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（三）单价金额小数点或者百分比有明显错位的，以总价为准，并修改单价；</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（四）总价金额与按单价汇总金额不一致的，以单价金额计算结果为准。</w:t>
      </w:r>
    </w:p>
    <w:p>
      <w:pPr>
        <w:spacing w:line="360" w:lineRule="auto"/>
        <w:ind w:firstLine="561"/>
        <w:rPr>
          <w:sz w:val="28"/>
          <w:szCs w:val="28"/>
        </w:rPr>
      </w:pPr>
      <w:r>
        <w:rPr>
          <w:rFonts w:hint="eastAsia"/>
          <w:sz w:val="28"/>
          <w:szCs w:val="28"/>
        </w:rPr>
        <w:t>同时出现两种以上不一致的，按照前款规定的顺序修正。修正后的报价经投标人确认后产生约束力，投标人不确认的，其投标无效。</w:t>
      </w:r>
    </w:p>
    <w:p>
      <w:pPr>
        <w:tabs>
          <w:tab w:val="left" w:pos="720"/>
        </w:tabs>
        <w:spacing w:line="360" w:lineRule="auto"/>
        <w:ind w:firstLine="561"/>
        <w:rPr>
          <w:sz w:val="28"/>
          <w:szCs w:val="28"/>
        </w:rPr>
      </w:pPr>
      <w:r>
        <w:rPr>
          <w:rFonts w:hint="eastAsia"/>
          <w:sz w:val="28"/>
          <w:szCs w:val="28"/>
        </w:rPr>
        <w:t>五、对不同语言文本投标文件的解释发生异议的，以中文文本为准。</w:t>
      </w:r>
    </w:p>
    <w:p>
      <w:pPr>
        <w:tabs>
          <w:tab w:val="left" w:pos="720"/>
        </w:tabs>
        <w:spacing w:line="560" w:lineRule="exact"/>
        <w:ind w:firstLine="560" w:firstLineChars="200"/>
        <w:rPr>
          <w:sz w:val="28"/>
          <w:szCs w:val="28"/>
        </w:rPr>
      </w:pPr>
      <w:r>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评标委员会应当积极履行澄清、说明或者更正的职责，不得滥用权力。</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比较与评价</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按招标文件中规定的评标细则及标准，对符合性检查合格的投标文件进行商务和技术评估，综合比较和评价。</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复核</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评分汇总结束后，评标委员会应当进行复核，特别要对拟推荐为中标候选供应商的、报价最低的、投标文件被认定为无效的进行重点复核。</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评标结果汇总完成后，评标委员会拟出具评审报告前，</w:t>
      </w:r>
      <w:r>
        <w:rPr>
          <w:rFonts w:hint="eastAsia" w:cs="Arial"/>
          <w:sz w:val="28"/>
          <w:szCs w:val="28"/>
        </w:rPr>
        <w:t>区公资交易中心</w:t>
      </w:r>
      <w:r>
        <w:rPr>
          <w:rFonts w:hint="eastAsia" w:ascii="宋体" w:hAnsi="宋体"/>
          <w:sz w:val="28"/>
          <w:szCs w:val="28"/>
        </w:rPr>
        <w:t>应当组织2名以上的工作人员，在采购现场监督人员的监督之下，依据有关的法律制度和采购文件对评审结果进行复核，出具复核报告。</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评标结果汇总完成后，除下列情形外，任何人不得修改评标结果：</w:t>
      </w:r>
    </w:p>
    <w:p>
      <w:pPr>
        <w:numPr>
          <w:ilvl w:val="0"/>
          <w:numId w:val="45"/>
        </w:numPr>
        <w:tabs>
          <w:tab w:val="left" w:pos="851"/>
          <w:tab w:val="left" w:pos="1276"/>
        </w:tabs>
        <w:spacing w:line="360" w:lineRule="auto"/>
        <w:ind w:left="0" w:firstLine="424"/>
        <w:rPr>
          <w:rFonts w:ascii="宋体" w:hAnsi="宋体" w:cstheme="minorBidi"/>
          <w:sz w:val="28"/>
          <w:szCs w:val="28"/>
        </w:rPr>
      </w:pPr>
      <w:r>
        <w:rPr>
          <w:rFonts w:hint="eastAsia" w:ascii="宋体" w:hAnsi="宋体" w:cstheme="minorBidi"/>
          <w:sz w:val="28"/>
          <w:szCs w:val="28"/>
        </w:rPr>
        <w:t>分值汇总计算错误的；</w:t>
      </w:r>
    </w:p>
    <w:p>
      <w:pPr>
        <w:numPr>
          <w:ilvl w:val="0"/>
          <w:numId w:val="45"/>
        </w:numPr>
        <w:tabs>
          <w:tab w:val="left" w:pos="851"/>
          <w:tab w:val="left" w:pos="1276"/>
        </w:tabs>
        <w:spacing w:line="360" w:lineRule="auto"/>
        <w:ind w:left="0" w:firstLine="424"/>
        <w:rPr>
          <w:rFonts w:ascii="宋体" w:hAnsi="宋体" w:cstheme="minorBidi"/>
          <w:sz w:val="28"/>
          <w:szCs w:val="28"/>
        </w:rPr>
      </w:pPr>
      <w:r>
        <w:rPr>
          <w:rFonts w:hint="eastAsia" w:ascii="宋体" w:hAnsi="宋体" w:cstheme="minorBidi"/>
          <w:sz w:val="28"/>
          <w:szCs w:val="28"/>
        </w:rPr>
        <w:t>分项评分超出评分标准范围的；</w:t>
      </w:r>
    </w:p>
    <w:p>
      <w:pPr>
        <w:numPr>
          <w:ilvl w:val="0"/>
          <w:numId w:val="45"/>
        </w:numPr>
        <w:tabs>
          <w:tab w:val="left" w:pos="851"/>
          <w:tab w:val="left" w:pos="1276"/>
          <w:tab w:val="left" w:pos="1560"/>
        </w:tabs>
        <w:spacing w:line="360" w:lineRule="auto"/>
        <w:ind w:left="0" w:firstLine="424"/>
        <w:rPr>
          <w:rFonts w:ascii="宋体" w:hAnsi="宋体" w:cstheme="minorBidi"/>
          <w:sz w:val="28"/>
          <w:szCs w:val="28"/>
        </w:rPr>
      </w:pPr>
      <w:r>
        <w:rPr>
          <w:rFonts w:hint="eastAsia" w:ascii="宋体" w:hAnsi="宋体" w:cstheme="minorBidi"/>
          <w:sz w:val="28"/>
          <w:szCs w:val="28"/>
        </w:rPr>
        <w:t>评标委员会成员对客观评审因素评分不一致的；</w:t>
      </w:r>
    </w:p>
    <w:p>
      <w:pPr>
        <w:numPr>
          <w:ilvl w:val="0"/>
          <w:numId w:val="45"/>
        </w:numPr>
        <w:tabs>
          <w:tab w:val="left" w:pos="851"/>
          <w:tab w:val="left" w:pos="1276"/>
        </w:tabs>
        <w:spacing w:line="360" w:lineRule="auto"/>
        <w:ind w:left="0" w:firstLine="426"/>
        <w:rPr>
          <w:rFonts w:ascii="宋体" w:hAnsi="宋体" w:cstheme="minorBidi"/>
          <w:sz w:val="28"/>
          <w:szCs w:val="28"/>
        </w:rPr>
      </w:pPr>
      <w:r>
        <w:rPr>
          <w:rFonts w:hint="eastAsia" w:ascii="宋体" w:hAnsi="宋体" w:cstheme="minorBidi"/>
          <w:sz w:val="28"/>
          <w:szCs w:val="28"/>
        </w:rPr>
        <w:t>经评标委员会认定评分畸高、畸低的。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确定中标候选人名单</w:t>
      </w:r>
    </w:p>
    <w:p>
      <w:pPr>
        <w:tabs>
          <w:tab w:val="left" w:pos="851"/>
        </w:tabs>
        <w:spacing w:line="360" w:lineRule="auto"/>
        <w:ind w:firstLine="565" w:firstLineChars="202"/>
        <w:rPr>
          <w:rFonts w:ascii="Helvetica" w:hAnsi="Helvetica" w:cs="Helvetica"/>
          <w:kern w:val="0"/>
          <w:sz w:val="28"/>
          <w:szCs w:val="28"/>
        </w:rPr>
      </w:pPr>
      <w:r>
        <w:rPr>
          <w:rFonts w:hint="eastAsia" w:ascii="宋体" w:hAnsi="宋体"/>
          <w:sz w:val="28"/>
          <w:szCs w:val="28"/>
        </w:rPr>
        <w:t>按投标人综合得分从高到低进行排序，确定1至3名中标候选人。综合得分相同的，按投标报价由低到高顺序排列，得分且投标报价相同的并列。</w:t>
      </w:r>
      <w:r>
        <w:rPr>
          <w:rFonts w:hint="eastAsia" w:ascii="Helvetica" w:hAnsi="Helvetica" w:cs="Helvetica"/>
          <w:kern w:val="0"/>
          <w:sz w:val="28"/>
          <w:szCs w:val="28"/>
        </w:rPr>
        <w:t>投标文件满足招标文件全部实质性要求，且按照评审因素的量化指标评审得分最高的投标人为排名第一的中标候选人。</w:t>
      </w:r>
    </w:p>
    <w:p>
      <w:pPr>
        <w:tabs>
          <w:tab w:val="left" w:pos="851"/>
        </w:tabs>
        <w:spacing w:line="360" w:lineRule="auto"/>
        <w:ind w:firstLine="565" w:firstLineChars="202"/>
        <w:rPr>
          <w:rFonts w:ascii="宋体" w:hAnsi="宋体"/>
          <w:sz w:val="28"/>
          <w:szCs w:val="28"/>
        </w:rPr>
      </w:pPr>
      <w:r>
        <w:rPr>
          <w:rFonts w:hint="eastAsia" w:ascii="宋体" w:hAnsi="宋体"/>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2"/>
          <w:numId w:val="5"/>
        </w:numPr>
        <w:spacing w:before="240" w:line="360" w:lineRule="auto"/>
        <w:ind w:left="0" w:firstLine="0"/>
        <w:outlineLvl w:val="2"/>
        <w:rPr>
          <w:rFonts w:ascii="宋体" w:hAnsi="宋体"/>
          <w:b/>
          <w:bCs/>
          <w:sz w:val="28"/>
          <w:szCs w:val="28"/>
        </w:rPr>
      </w:pPr>
      <w:r>
        <w:rPr>
          <w:rFonts w:hint="eastAsia" w:ascii="宋体" w:hAnsi="宋体"/>
          <w:b/>
          <w:bCs/>
          <w:sz w:val="28"/>
          <w:szCs w:val="28"/>
        </w:rPr>
        <w:t>编写评标报告</w:t>
      </w:r>
    </w:p>
    <w:p>
      <w:pPr>
        <w:spacing w:line="360" w:lineRule="auto"/>
        <w:ind w:firstLine="560" w:firstLineChars="200"/>
        <w:rPr>
          <w:rFonts w:ascii="宋体" w:hAnsi="宋体"/>
          <w:sz w:val="28"/>
          <w:szCs w:val="28"/>
        </w:rPr>
      </w:pPr>
      <w:r>
        <w:rPr>
          <w:rFonts w:hint="eastAsia" w:ascii="宋体" w:hAnsi="宋体"/>
          <w:sz w:val="28"/>
          <w:szCs w:val="28"/>
        </w:rPr>
        <w:t>评标报告是评标委员会根据全体评标成员签字的原始评标记录和评标结果编写的报告，其主要内容包括：</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招标公告刊登的媒体名称、开标日期和地点；</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投标人名单和评标委员会成员名单；</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评标方法和标准；</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开标记录和评标情况及说明，包括投标无效投标人名单及原因；</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评标结果，确定的中标候选人名单或者经采购人委托直接确定的中标人；</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其他需要说明的情况，包括评标过程中投标人根据评标委员会要求进行的澄清、说明或者补正，评标委员会成员的更换等；</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报价最高的投标人为中标候选人的，评标委员会应当对其报价的合理性予以特别说明。</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5"/>
        </w:numPr>
        <w:spacing w:line="360" w:lineRule="auto"/>
        <w:jc w:val="left"/>
        <w:outlineLvl w:val="1"/>
        <w:rPr>
          <w:rFonts w:ascii="宋体" w:hAnsi="宋体"/>
          <w:b/>
          <w:bCs/>
          <w:sz w:val="28"/>
          <w:szCs w:val="28"/>
        </w:rPr>
      </w:pPr>
      <w:bookmarkStart w:id="201" w:name="_Toc85657319"/>
      <w:r>
        <w:rPr>
          <w:rFonts w:hint="eastAsia" w:ascii="宋体" w:hAnsi="宋体"/>
          <w:b/>
          <w:bCs/>
          <w:sz w:val="28"/>
          <w:szCs w:val="28"/>
        </w:rPr>
        <w:t>评标争议处理规则</w:t>
      </w:r>
      <w:bookmarkEnd w:id="201"/>
    </w:p>
    <w:p>
      <w:pPr>
        <w:tabs>
          <w:tab w:val="left" w:pos="1155"/>
        </w:tabs>
        <w:spacing w:line="360" w:lineRule="auto"/>
        <w:ind w:firstLine="523" w:firstLineChars="187"/>
        <w:rPr>
          <w:rFonts w:ascii="宋体" w:hAnsi="宋体"/>
          <w:sz w:val="28"/>
          <w:szCs w:val="28"/>
        </w:rPr>
      </w:pPr>
      <w:r>
        <w:rPr>
          <w:rFonts w:hint="eastAsia" w:ascii="宋体" w:hAnsi="宋体"/>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sz w:val="28"/>
          <w:szCs w:val="28"/>
        </w:rPr>
        <w:t>持不同意见的评标委员会成员应当在评标报告上签署不同意见及理由，否则视为同意评标报告。</w:t>
      </w:r>
      <w:r>
        <w:rPr>
          <w:rFonts w:hint="eastAsia" w:ascii="宋体" w:hAnsi="宋体"/>
          <w:sz w:val="28"/>
          <w:szCs w:val="28"/>
        </w:rPr>
        <w:t>持不同意见的评标委员会成员认为认定过程和结果不符合法律法规或者招标文件规定的，应当及时向采购人或</w:t>
      </w:r>
      <w:r>
        <w:rPr>
          <w:rFonts w:hint="eastAsia" w:cs="Arial"/>
          <w:sz w:val="28"/>
          <w:szCs w:val="28"/>
        </w:rPr>
        <w:t>区公资交易中心</w:t>
      </w:r>
      <w:r>
        <w:rPr>
          <w:rFonts w:hint="eastAsia" w:ascii="宋体" w:hAnsi="宋体"/>
          <w:sz w:val="28"/>
          <w:szCs w:val="28"/>
        </w:rPr>
        <w:t>书面反映。采购人或</w:t>
      </w:r>
      <w:r>
        <w:rPr>
          <w:rFonts w:hint="eastAsia" w:cs="Arial"/>
          <w:sz w:val="28"/>
          <w:szCs w:val="28"/>
        </w:rPr>
        <w:t>区公资交易中心</w:t>
      </w:r>
      <w:r>
        <w:rPr>
          <w:rFonts w:hint="eastAsia" w:ascii="宋体" w:hAnsi="宋体"/>
          <w:sz w:val="28"/>
          <w:szCs w:val="28"/>
        </w:rPr>
        <w:t>收到书面反映后，应当书面报告采购项目同级财政部门依法处理。</w:t>
      </w:r>
    </w:p>
    <w:p>
      <w:pPr>
        <w:keepNext/>
        <w:keepLines/>
        <w:numPr>
          <w:ilvl w:val="1"/>
          <w:numId w:val="5"/>
        </w:numPr>
        <w:spacing w:line="360" w:lineRule="auto"/>
        <w:jc w:val="left"/>
        <w:outlineLvl w:val="1"/>
        <w:rPr>
          <w:rFonts w:ascii="宋体" w:hAnsi="宋体"/>
          <w:b/>
          <w:bCs/>
          <w:sz w:val="28"/>
          <w:szCs w:val="28"/>
        </w:rPr>
      </w:pPr>
      <w:bookmarkStart w:id="202" w:name="_Toc85657320"/>
      <w:r>
        <w:rPr>
          <w:rFonts w:hint="eastAsia" w:ascii="宋体" w:hAnsi="宋体"/>
          <w:b/>
          <w:bCs/>
          <w:sz w:val="28"/>
          <w:szCs w:val="28"/>
        </w:rPr>
        <w:t>评标细则及标准</w:t>
      </w:r>
      <w:bookmarkEnd w:id="202"/>
    </w:p>
    <w:p>
      <w:pPr>
        <w:numPr>
          <w:ilvl w:val="0"/>
          <w:numId w:val="47"/>
        </w:numPr>
        <w:tabs>
          <w:tab w:val="left" w:pos="1155"/>
        </w:tabs>
        <w:spacing w:line="360" w:lineRule="auto"/>
        <w:ind w:left="0" w:firstLine="567"/>
        <w:rPr>
          <w:rFonts w:ascii="宋体" w:hAnsi="宋体"/>
          <w:sz w:val="28"/>
          <w:szCs w:val="28"/>
        </w:rPr>
      </w:pPr>
      <w:r>
        <w:rPr>
          <w:rFonts w:hint="eastAsia" w:ascii="宋体" w:hAnsi="宋体"/>
          <w:sz w:val="28"/>
          <w:szCs w:val="28"/>
        </w:rPr>
        <w:t>评标委员会只对通过初审的投标文件，根据招标文件的要求采用相同的评标程序、评分办法及标准进行评价和比较。</w:t>
      </w:r>
    </w:p>
    <w:p>
      <w:pPr>
        <w:numPr>
          <w:ilvl w:val="0"/>
          <w:numId w:val="47"/>
        </w:numPr>
        <w:tabs>
          <w:tab w:val="left" w:pos="1155"/>
        </w:tabs>
        <w:spacing w:line="360" w:lineRule="auto"/>
        <w:ind w:left="0" w:firstLine="567"/>
        <w:rPr>
          <w:rFonts w:ascii="宋体" w:hAnsi="宋体"/>
          <w:sz w:val="28"/>
          <w:szCs w:val="28"/>
        </w:rPr>
      </w:pPr>
      <w:r>
        <w:rPr>
          <w:rFonts w:hint="eastAsia" w:ascii="宋体" w:hAnsi="宋体"/>
          <w:sz w:val="28"/>
          <w:szCs w:val="28"/>
        </w:rPr>
        <w:t>本次综合评分的因素是：价格、服务、商务等。</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评标委员会成员应依据招标文件规定的评分标准和方法独立打分。</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评分办法</w:t>
      </w:r>
    </w:p>
    <w:p>
      <w:pPr>
        <w:spacing w:line="360" w:lineRule="auto"/>
        <w:ind w:firstLine="630" w:firstLineChars="225"/>
        <w:rPr>
          <w:rFonts w:ascii="宋体" w:hAnsi="宋体"/>
          <w:sz w:val="28"/>
          <w:szCs w:val="28"/>
        </w:rPr>
      </w:pPr>
      <w:r>
        <w:rPr>
          <w:rFonts w:hint="eastAsia" w:ascii="宋体" w:hAnsi="宋体"/>
          <w:sz w:val="28"/>
          <w:szCs w:val="28"/>
        </w:rPr>
        <w:t xml:space="preserve">本次评标采用综合评分法，由评标委员会各成员独立对通过初审（资格检查和符合性检查）的投标人的投标文件进行评审和打分，    </w:t>
      </w:r>
    </w:p>
    <w:p>
      <w:pPr>
        <w:spacing w:line="360" w:lineRule="auto"/>
        <w:ind w:firstLine="630" w:firstLineChars="225"/>
        <w:rPr>
          <w:rFonts w:ascii="宋体" w:hAnsi="宋体"/>
          <w:sz w:val="28"/>
          <w:szCs w:val="28"/>
        </w:rPr>
      </w:pPr>
      <w:r>
        <w:rPr>
          <w:rFonts w:hint="eastAsia" w:ascii="宋体" w:hAnsi="宋体"/>
          <w:sz w:val="28"/>
          <w:szCs w:val="28"/>
        </w:rPr>
        <w:t>评标得分＝（A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3</w:t>
      </w:r>
    </w:p>
    <w:p>
      <w:pPr>
        <w:widowControl/>
        <w:spacing w:line="360" w:lineRule="auto"/>
        <w:ind w:firstLine="560" w:firstLineChars="200"/>
        <w:rPr>
          <w:rFonts w:ascii="宋体" w:hAnsi="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分别为每个</w:t>
      </w:r>
      <w:r>
        <w:rPr>
          <w:rFonts w:hint="eastAsia" w:ascii="宋体" w:hAnsi="宋体" w:cs="宋体"/>
          <w:kern w:val="0"/>
          <w:sz w:val="28"/>
          <w:szCs w:val="28"/>
        </w:rPr>
        <w:t>经济类</w:t>
      </w:r>
      <w:r>
        <w:rPr>
          <w:rFonts w:hint="eastAsia" w:ascii="宋体" w:hAnsi="宋体"/>
          <w:sz w:val="28"/>
          <w:szCs w:val="28"/>
        </w:rPr>
        <w:t>评委的打分，n</w:t>
      </w:r>
      <w:r>
        <w:rPr>
          <w:rFonts w:hint="eastAsia" w:ascii="宋体" w:hAnsi="宋体"/>
          <w:sz w:val="28"/>
          <w:szCs w:val="28"/>
          <w:vertAlign w:val="subscript"/>
        </w:rPr>
        <w:t>1</w:t>
      </w:r>
      <w:r>
        <w:rPr>
          <w:rFonts w:hint="eastAsia" w:ascii="宋体" w:hAnsi="宋体"/>
          <w:sz w:val="28"/>
          <w:szCs w:val="28"/>
        </w:rPr>
        <w:t>为</w:t>
      </w:r>
      <w:r>
        <w:rPr>
          <w:rFonts w:hint="eastAsia" w:ascii="宋体" w:hAnsi="宋体" w:cs="宋体"/>
          <w:kern w:val="0"/>
          <w:sz w:val="28"/>
          <w:szCs w:val="28"/>
        </w:rPr>
        <w:t>经济类</w:t>
      </w:r>
      <w:r>
        <w:rPr>
          <w:rFonts w:hint="eastAsia" w:ascii="宋体" w:hAnsi="宋体"/>
          <w:sz w:val="28"/>
          <w:szCs w:val="28"/>
        </w:rPr>
        <w:t>评委人数；B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kern w:val="0"/>
          <w:sz w:val="28"/>
          <w:szCs w:val="28"/>
        </w:rPr>
        <w:t>技术类</w:t>
      </w:r>
      <w:r>
        <w:rPr>
          <w:rFonts w:hint="eastAsia" w:ascii="宋体" w:hAnsi="宋体"/>
          <w:sz w:val="28"/>
          <w:szCs w:val="28"/>
        </w:rPr>
        <w:t>评委（含采购人代表）人数；C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xml:space="preserve"> 分别为评审委员会每个成员的打分，n</w:t>
      </w:r>
      <w:r>
        <w:rPr>
          <w:rFonts w:hint="eastAsia" w:ascii="宋体" w:hAnsi="宋体"/>
          <w:sz w:val="28"/>
          <w:szCs w:val="28"/>
          <w:vertAlign w:val="subscript"/>
        </w:rPr>
        <w:t>3</w:t>
      </w:r>
      <w:r>
        <w:rPr>
          <w:rFonts w:hint="eastAsia" w:ascii="宋体" w:hAnsi="宋体"/>
          <w:sz w:val="28"/>
          <w:szCs w:val="28"/>
        </w:rPr>
        <w:t>为评委人数。</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评分标准</w:t>
      </w:r>
    </w:p>
    <w:tbl>
      <w:tblPr>
        <w:tblStyle w:val="44"/>
        <w:tblW w:w="10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211"/>
        <w:gridCol w:w="819"/>
        <w:gridCol w:w="4855"/>
        <w:gridCol w:w="1500"/>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5" w:type="dxa"/>
            <w:vAlign w:val="center"/>
          </w:tcPr>
          <w:p>
            <w:pPr>
              <w:adjustRightInd w:val="0"/>
              <w:snapToGrid w:val="0"/>
              <w:spacing w:line="360" w:lineRule="auto"/>
              <w:jc w:val="center"/>
              <w:rPr>
                <w:rFonts w:ascii="宋体" w:hAnsi="宋体" w:cs="宋体"/>
                <w:b/>
                <w:bCs/>
                <w:sz w:val="20"/>
                <w:szCs w:val="20"/>
              </w:rPr>
            </w:pPr>
            <w:r>
              <w:rPr>
                <w:rFonts w:hint="eastAsia" w:ascii="宋体" w:hAnsi="宋体" w:cs="宋体"/>
                <w:b/>
                <w:sz w:val="20"/>
                <w:szCs w:val="20"/>
              </w:rPr>
              <w:t>序号</w:t>
            </w:r>
          </w:p>
        </w:tc>
        <w:tc>
          <w:tcPr>
            <w:tcW w:w="1211" w:type="dxa"/>
            <w:vAlign w:val="center"/>
          </w:tcPr>
          <w:p>
            <w:pPr>
              <w:adjustRightInd w:val="0"/>
              <w:snapToGrid w:val="0"/>
              <w:spacing w:line="360" w:lineRule="auto"/>
              <w:jc w:val="center"/>
              <w:rPr>
                <w:rFonts w:ascii="宋体" w:hAnsi="宋体" w:cs="宋体"/>
                <w:b/>
                <w:bCs/>
                <w:sz w:val="20"/>
                <w:szCs w:val="20"/>
              </w:rPr>
            </w:pPr>
            <w:r>
              <w:rPr>
                <w:rFonts w:hint="eastAsia" w:ascii="宋体" w:hAnsi="宋体" w:cs="宋体"/>
                <w:b/>
                <w:sz w:val="20"/>
                <w:szCs w:val="20"/>
              </w:rPr>
              <w:t>评分项目及权重</w:t>
            </w:r>
          </w:p>
        </w:tc>
        <w:tc>
          <w:tcPr>
            <w:tcW w:w="819" w:type="dxa"/>
            <w:vAlign w:val="center"/>
          </w:tcPr>
          <w:p>
            <w:pPr>
              <w:adjustRightInd w:val="0"/>
              <w:snapToGrid w:val="0"/>
              <w:spacing w:line="360" w:lineRule="auto"/>
              <w:jc w:val="center"/>
              <w:rPr>
                <w:rFonts w:ascii="宋体" w:hAnsi="宋体" w:cs="宋体"/>
                <w:b/>
                <w:bCs/>
                <w:sz w:val="20"/>
                <w:szCs w:val="20"/>
              </w:rPr>
            </w:pPr>
            <w:r>
              <w:rPr>
                <w:rFonts w:hint="eastAsia" w:ascii="宋体" w:hAnsi="宋体" w:cs="宋体"/>
                <w:b/>
                <w:sz w:val="20"/>
                <w:szCs w:val="20"/>
              </w:rPr>
              <w:t>分值</w:t>
            </w:r>
          </w:p>
        </w:tc>
        <w:tc>
          <w:tcPr>
            <w:tcW w:w="4855" w:type="dxa"/>
            <w:vAlign w:val="center"/>
          </w:tcPr>
          <w:p>
            <w:pPr>
              <w:autoSpaceDE w:val="0"/>
              <w:autoSpaceDN w:val="0"/>
              <w:adjustRightInd w:val="0"/>
              <w:snapToGrid w:val="0"/>
              <w:spacing w:line="360" w:lineRule="auto"/>
              <w:ind w:left="128" w:hanging="129" w:hangingChars="64"/>
              <w:jc w:val="center"/>
              <w:rPr>
                <w:rFonts w:ascii="宋体" w:hAnsi="宋体" w:cs="宋体"/>
                <w:b/>
                <w:bCs/>
                <w:sz w:val="20"/>
                <w:szCs w:val="20"/>
              </w:rPr>
            </w:pPr>
            <w:r>
              <w:rPr>
                <w:rFonts w:hint="eastAsia" w:ascii="宋体" w:hAnsi="宋体" w:cs="宋体"/>
                <w:b/>
                <w:sz w:val="20"/>
                <w:szCs w:val="20"/>
              </w:rPr>
              <w:t>评分标准</w:t>
            </w:r>
          </w:p>
        </w:tc>
        <w:tc>
          <w:tcPr>
            <w:tcW w:w="1500" w:type="dxa"/>
            <w:vAlign w:val="center"/>
          </w:tcPr>
          <w:p>
            <w:pPr>
              <w:adjustRightInd w:val="0"/>
              <w:snapToGrid w:val="0"/>
              <w:spacing w:line="360" w:lineRule="auto"/>
              <w:jc w:val="center"/>
              <w:rPr>
                <w:rFonts w:ascii="宋体" w:hAnsi="宋体" w:cs="宋体"/>
                <w:b/>
                <w:bCs/>
                <w:sz w:val="20"/>
                <w:szCs w:val="20"/>
              </w:rPr>
            </w:pPr>
            <w:r>
              <w:rPr>
                <w:rFonts w:hint="eastAsia" w:ascii="宋体" w:hAnsi="宋体" w:cs="宋体"/>
                <w:b/>
                <w:sz w:val="20"/>
                <w:szCs w:val="20"/>
              </w:rPr>
              <w:t>说明</w:t>
            </w:r>
          </w:p>
        </w:tc>
        <w:tc>
          <w:tcPr>
            <w:tcW w:w="928" w:type="dxa"/>
            <w:vAlign w:val="center"/>
          </w:tcPr>
          <w:p>
            <w:pPr>
              <w:adjustRightInd w:val="0"/>
              <w:snapToGrid w:val="0"/>
              <w:spacing w:line="360" w:lineRule="auto"/>
              <w:jc w:val="center"/>
              <w:rPr>
                <w:rFonts w:ascii="宋体" w:hAnsi="宋体" w:cs="宋体"/>
                <w:b/>
                <w:bCs/>
                <w:kern w:val="0"/>
                <w:sz w:val="20"/>
                <w:szCs w:val="20"/>
                <w:lang w:bidi="ar"/>
              </w:rPr>
            </w:pPr>
            <w:r>
              <w:rPr>
                <w:rFonts w:hint="eastAsia" w:ascii="宋体" w:hAnsi="宋体" w:cs="宋体"/>
                <w:b/>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65" w:type="dxa"/>
            <w:vAlign w:val="center"/>
          </w:tcPr>
          <w:p>
            <w:pPr>
              <w:widowControl/>
              <w:spacing w:line="360" w:lineRule="auto"/>
              <w:jc w:val="center"/>
              <w:textAlignment w:val="center"/>
              <w:rPr>
                <w:rFonts w:ascii="宋体" w:hAnsi="宋体" w:cs="宋体"/>
                <w:sz w:val="20"/>
                <w:szCs w:val="20"/>
              </w:rPr>
            </w:pPr>
            <w:r>
              <w:rPr>
                <w:rFonts w:hint="eastAsia" w:ascii="宋体" w:hAnsi="宋体" w:cs="宋体"/>
                <w:kern w:val="0"/>
                <w:sz w:val="20"/>
                <w:szCs w:val="20"/>
                <w:lang w:bidi="ar"/>
              </w:rPr>
              <w:t>1</w:t>
            </w:r>
          </w:p>
        </w:tc>
        <w:tc>
          <w:tcPr>
            <w:tcW w:w="1211" w:type="dxa"/>
            <w:vAlign w:val="center"/>
          </w:tcPr>
          <w:p>
            <w:pPr>
              <w:widowControl/>
              <w:spacing w:line="360" w:lineRule="auto"/>
              <w:jc w:val="center"/>
              <w:textAlignment w:val="center"/>
              <w:rPr>
                <w:rFonts w:ascii="宋体" w:hAnsi="宋体" w:cs="宋体"/>
                <w:kern w:val="0"/>
                <w:sz w:val="20"/>
                <w:szCs w:val="20"/>
                <w:lang w:bidi="ar"/>
              </w:rPr>
            </w:pPr>
            <w:r>
              <w:rPr>
                <w:rFonts w:hint="eastAsia" w:ascii="宋体" w:hAnsi="宋体" w:cs="宋体"/>
                <w:kern w:val="0"/>
                <w:sz w:val="20"/>
                <w:szCs w:val="20"/>
                <w:lang w:bidi="ar"/>
              </w:rPr>
              <w:t>报价</w:t>
            </w:r>
          </w:p>
          <w:p>
            <w:pPr>
              <w:widowControl/>
              <w:spacing w:line="360" w:lineRule="auto"/>
              <w:jc w:val="center"/>
              <w:textAlignment w:val="center"/>
              <w:rPr>
                <w:rFonts w:ascii="宋体" w:hAnsi="宋体" w:cs="宋体"/>
                <w:sz w:val="20"/>
                <w:szCs w:val="20"/>
              </w:rPr>
            </w:pPr>
            <w:r>
              <w:rPr>
                <w:rFonts w:hint="eastAsia" w:ascii="宋体" w:hAnsi="宋体" w:cs="宋体"/>
                <w:kern w:val="0"/>
                <w:sz w:val="20"/>
                <w:szCs w:val="20"/>
                <w:lang w:bidi="ar"/>
              </w:rPr>
              <w:t>30%</w:t>
            </w:r>
          </w:p>
        </w:tc>
        <w:tc>
          <w:tcPr>
            <w:tcW w:w="819" w:type="dxa"/>
            <w:vAlign w:val="center"/>
          </w:tcPr>
          <w:p>
            <w:pPr>
              <w:widowControl/>
              <w:spacing w:line="360" w:lineRule="auto"/>
              <w:jc w:val="center"/>
              <w:textAlignment w:val="center"/>
              <w:rPr>
                <w:rFonts w:ascii="宋体" w:hAnsi="宋体" w:cs="宋体"/>
                <w:sz w:val="20"/>
                <w:szCs w:val="20"/>
              </w:rPr>
            </w:pPr>
            <w:r>
              <w:rPr>
                <w:rFonts w:hint="eastAsia" w:ascii="宋体" w:hAnsi="宋体" w:cs="宋体"/>
                <w:kern w:val="0"/>
                <w:sz w:val="20"/>
                <w:szCs w:val="20"/>
                <w:lang w:bidi="ar"/>
              </w:rPr>
              <w:t>30分</w:t>
            </w:r>
          </w:p>
        </w:tc>
        <w:tc>
          <w:tcPr>
            <w:tcW w:w="4855" w:type="dxa"/>
            <w:vAlign w:val="center"/>
          </w:tcPr>
          <w:p>
            <w:pPr>
              <w:spacing w:line="360" w:lineRule="auto"/>
              <w:rPr>
                <w:rFonts w:hint="eastAsia" w:ascii="宋体" w:hAnsi="宋体" w:eastAsia="宋体" w:cs="宋体"/>
                <w:bCs/>
                <w:sz w:val="20"/>
                <w:szCs w:val="20"/>
              </w:rPr>
            </w:pPr>
            <w:r>
              <w:rPr>
                <w:rFonts w:hint="eastAsia" w:ascii="宋体" w:hAnsi="宋体" w:eastAsia="宋体" w:cs="宋体"/>
                <w:bCs/>
                <w:sz w:val="20"/>
                <w:szCs w:val="20"/>
              </w:rPr>
              <w:t>1、对小型企业、微型企业、监狱企业、残疾人福利性单位制造的货物的价格（如涉及）给予10%的价格扣除，用扣除后的价格参与评审；[说明：投标人为监狱企业的，提供由省级以上监狱管理局、戒毒管理局（含新疆生产建设兵团）出具的投标人属于监狱企业的证明文件复印件。]</w:t>
            </w:r>
          </w:p>
          <w:p>
            <w:pPr>
              <w:spacing w:line="360" w:lineRule="auto"/>
              <w:ind w:left="-38"/>
              <w:rPr>
                <w:rFonts w:hint="eastAsia" w:ascii="宋体" w:hAnsi="宋体" w:eastAsia="宋体" w:cs="宋体"/>
                <w:bCs/>
                <w:sz w:val="20"/>
                <w:szCs w:val="20"/>
              </w:rPr>
            </w:pPr>
            <w:r>
              <w:rPr>
                <w:rFonts w:hint="eastAsia" w:ascii="宋体" w:hAnsi="宋体" w:eastAsia="宋体" w:cs="宋体"/>
                <w:bCs/>
                <w:sz w:val="20"/>
                <w:szCs w:val="20"/>
              </w:rPr>
              <w:t>2.经评标委员会评审，通过资格性和符合性审查，且投标报价最低的投标人的投标报价作为评标基准价；</w:t>
            </w:r>
          </w:p>
          <w:p>
            <w:pPr>
              <w:spacing w:line="360" w:lineRule="auto"/>
              <w:ind w:left="-38"/>
              <w:rPr>
                <w:rFonts w:hint="eastAsia" w:ascii="宋体" w:hAnsi="宋体" w:eastAsia="宋体" w:cs="宋体"/>
                <w:bCs/>
                <w:sz w:val="20"/>
                <w:szCs w:val="20"/>
              </w:rPr>
            </w:pPr>
            <w:r>
              <w:rPr>
                <w:rFonts w:hint="eastAsia" w:ascii="宋体" w:hAnsi="宋体" w:eastAsia="宋体" w:cs="宋体"/>
                <w:bCs/>
                <w:sz w:val="20"/>
                <w:szCs w:val="20"/>
              </w:rPr>
              <w:t>3.投标报价得分=(评标基准价／投标报价)×</w:t>
            </w:r>
            <w:r>
              <w:rPr>
                <w:rFonts w:hint="eastAsia" w:ascii="宋体" w:hAnsi="宋体" w:eastAsia="宋体" w:cs="宋体"/>
                <w:bCs/>
                <w:sz w:val="20"/>
                <w:szCs w:val="20"/>
                <w:lang w:val="en-US" w:eastAsia="zh-CN"/>
              </w:rPr>
              <w:t>3</w:t>
            </w:r>
            <w:r>
              <w:rPr>
                <w:rFonts w:hint="eastAsia" w:ascii="宋体" w:hAnsi="宋体" w:eastAsia="宋体" w:cs="宋体"/>
                <w:bCs/>
                <w:sz w:val="20"/>
                <w:szCs w:val="20"/>
              </w:rPr>
              <w:t>0。</w:t>
            </w:r>
          </w:p>
          <w:p>
            <w:pPr>
              <w:spacing w:line="360" w:lineRule="auto"/>
              <w:ind w:left="-38"/>
              <w:rPr>
                <w:rFonts w:ascii="宋体" w:hAnsi="宋体" w:cs="宋体"/>
                <w:b/>
                <w:bCs/>
                <w:color w:val="FF0000"/>
                <w:sz w:val="20"/>
                <w:szCs w:val="20"/>
              </w:rPr>
            </w:pPr>
            <w:r>
              <w:rPr>
                <w:rFonts w:hint="eastAsia" w:ascii="宋体" w:hAnsi="宋体" w:eastAsia="宋体" w:cs="宋体"/>
                <w:bCs/>
                <w:sz w:val="20"/>
                <w:szCs w:val="20"/>
              </w:rPr>
              <w:t>4.报价评分的取值按四舍五入法，保留小数点后两位。</w:t>
            </w:r>
          </w:p>
        </w:tc>
        <w:tc>
          <w:tcPr>
            <w:tcW w:w="1500" w:type="dxa"/>
            <w:noWrap/>
            <w:vAlign w:val="center"/>
          </w:tcPr>
          <w:p>
            <w:pPr>
              <w:spacing w:line="360" w:lineRule="auto"/>
              <w:jc w:val="center"/>
              <w:rPr>
                <w:rFonts w:ascii="宋体" w:hAnsi="宋体" w:cs="宋体"/>
                <w:sz w:val="20"/>
                <w:szCs w:val="20"/>
              </w:rPr>
            </w:pPr>
          </w:p>
        </w:tc>
        <w:tc>
          <w:tcPr>
            <w:tcW w:w="928" w:type="dxa"/>
            <w:noWrap/>
            <w:vAlign w:val="center"/>
          </w:tcPr>
          <w:p>
            <w:pPr>
              <w:spacing w:line="360" w:lineRule="auto"/>
              <w:jc w:val="center"/>
              <w:rPr>
                <w:rFonts w:ascii="宋体" w:hAnsi="宋体" w:cs="宋体"/>
                <w:sz w:val="20"/>
                <w:szCs w:val="20"/>
              </w:rPr>
            </w:pPr>
            <w:r>
              <w:rPr>
                <w:rFonts w:hint="eastAsia" w:ascii="宋体" w:hAnsi="宋体" w:cs="宋体"/>
                <w:sz w:val="20"/>
                <w:szCs w:val="20"/>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jc w:val="center"/>
        </w:trPr>
        <w:tc>
          <w:tcPr>
            <w:tcW w:w="765" w:type="dxa"/>
            <w:vAlign w:val="center"/>
          </w:tcPr>
          <w:p>
            <w:pPr>
              <w:widowControl/>
              <w:spacing w:line="360" w:lineRule="auto"/>
              <w:jc w:val="center"/>
              <w:textAlignment w:val="center"/>
              <w:rPr>
                <w:rFonts w:ascii="宋体" w:hAnsi="宋体" w:cs="宋体"/>
                <w:sz w:val="20"/>
                <w:szCs w:val="20"/>
              </w:rPr>
            </w:pPr>
            <w:r>
              <w:rPr>
                <w:rFonts w:hint="eastAsia" w:ascii="宋体" w:hAnsi="宋体" w:cs="宋体"/>
                <w:kern w:val="0"/>
                <w:sz w:val="20"/>
                <w:szCs w:val="20"/>
                <w:lang w:bidi="ar"/>
              </w:rPr>
              <w:t>2</w:t>
            </w:r>
          </w:p>
        </w:tc>
        <w:tc>
          <w:tcPr>
            <w:tcW w:w="1211" w:type="dxa"/>
            <w:vAlign w:val="center"/>
          </w:tcPr>
          <w:p>
            <w:pPr>
              <w:widowControl/>
              <w:spacing w:line="360" w:lineRule="auto"/>
              <w:jc w:val="center"/>
              <w:textAlignment w:val="center"/>
              <w:rPr>
                <w:rFonts w:ascii="宋体" w:hAnsi="宋体" w:cs="宋体"/>
                <w:kern w:val="0"/>
                <w:sz w:val="20"/>
                <w:szCs w:val="20"/>
                <w:lang w:bidi="ar"/>
              </w:rPr>
            </w:pPr>
            <w:r>
              <w:rPr>
                <w:rFonts w:hint="eastAsia" w:ascii="宋体" w:hAnsi="宋体" w:cs="宋体"/>
                <w:kern w:val="0"/>
                <w:sz w:val="20"/>
                <w:szCs w:val="20"/>
                <w:lang w:bidi="ar"/>
              </w:rPr>
              <w:t>技术参数及要求</w:t>
            </w:r>
          </w:p>
          <w:p>
            <w:pPr>
              <w:widowControl/>
              <w:spacing w:line="360" w:lineRule="auto"/>
              <w:jc w:val="center"/>
              <w:textAlignment w:val="center"/>
              <w:rPr>
                <w:rFonts w:ascii="宋体" w:hAnsi="宋体" w:cs="宋体"/>
                <w:sz w:val="20"/>
                <w:szCs w:val="20"/>
              </w:rPr>
            </w:pPr>
            <w:r>
              <w:rPr>
                <w:rFonts w:hint="eastAsia" w:ascii="宋体" w:hAnsi="宋体" w:cs="宋体"/>
                <w:kern w:val="0"/>
                <w:sz w:val="20"/>
                <w:szCs w:val="20"/>
                <w:lang w:bidi="ar"/>
              </w:rPr>
              <w:t>50%</w:t>
            </w:r>
          </w:p>
        </w:tc>
        <w:tc>
          <w:tcPr>
            <w:tcW w:w="819" w:type="dxa"/>
            <w:vAlign w:val="center"/>
          </w:tcPr>
          <w:p>
            <w:pPr>
              <w:widowControl/>
              <w:spacing w:line="360" w:lineRule="auto"/>
              <w:jc w:val="center"/>
              <w:textAlignment w:val="center"/>
              <w:rPr>
                <w:rFonts w:ascii="宋体" w:hAnsi="宋体" w:cs="宋体"/>
                <w:sz w:val="20"/>
                <w:szCs w:val="20"/>
              </w:rPr>
            </w:pPr>
            <w:r>
              <w:rPr>
                <w:rFonts w:hint="eastAsia" w:ascii="宋体" w:hAnsi="宋体" w:cs="宋体"/>
                <w:sz w:val="20"/>
                <w:szCs w:val="20"/>
              </w:rPr>
              <w:t>50分</w:t>
            </w:r>
          </w:p>
        </w:tc>
        <w:tc>
          <w:tcPr>
            <w:tcW w:w="4855" w:type="dxa"/>
            <w:vAlign w:val="center"/>
          </w:tcPr>
          <w:p>
            <w:pPr>
              <w:spacing w:line="360" w:lineRule="auto"/>
              <w:ind w:left="-38"/>
              <w:rPr>
                <w:rFonts w:ascii="宋体" w:hAnsi="宋体" w:cs="宋体"/>
                <w:bCs/>
                <w:sz w:val="20"/>
                <w:szCs w:val="20"/>
              </w:rPr>
            </w:pPr>
            <w:r>
              <w:rPr>
                <w:rFonts w:hint="eastAsia" w:ascii="宋体" w:hAnsi="宋体" w:cs="宋体"/>
                <w:bCs/>
                <w:sz w:val="20"/>
                <w:szCs w:val="20"/>
              </w:rPr>
              <w:t>1.完全满足招标文件“</w:t>
            </w:r>
            <w:r>
              <w:rPr>
                <w:rFonts w:hint="eastAsia" w:ascii="宋体" w:hAnsi="宋体" w:cs="宋体"/>
                <w:b/>
                <w:bCs/>
                <w:kern w:val="0"/>
                <w:sz w:val="20"/>
                <w:szCs w:val="20"/>
              </w:rPr>
              <w:t>技术参数及要求</w:t>
            </w:r>
            <w:r>
              <w:rPr>
                <w:rFonts w:hint="eastAsia" w:ascii="宋体" w:hAnsi="宋体" w:cs="宋体"/>
                <w:bCs/>
                <w:sz w:val="20"/>
                <w:szCs w:val="20"/>
              </w:rPr>
              <w:t>”的，没有负偏离得50分。</w:t>
            </w:r>
          </w:p>
          <w:p>
            <w:pPr>
              <w:spacing w:line="360" w:lineRule="auto"/>
              <w:ind w:left="-38"/>
              <w:rPr>
                <w:rFonts w:ascii="宋体" w:hAnsi="宋体" w:cs="宋体"/>
                <w:bCs/>
                <w:sz w:val="20"/>
                <w:szCs w:val="20"/>
              </w:rPr>
            </w:pPr>
            <w:r>
              <w:rPr>
                <w:rFonts w:hint="eastAsia" w:ascii="宋体" w:hAnsi="宋体" w:cs="宋体"/>
                <w:bCs/>
                <w:sz w:val="20"/>
                <w:szCs w:val="20"/>
              </w:rPr>
              <w:t>2．如有正负偏离，投标人必须逐一列出并应答。</w:t>
            </w:r>
          </w:p>
          <w:p>
            <w:pPr>
              <w:spacing w:line="360" w:lineRule="auto"/>
              <w:ind w:left="-38"/>
              <w:rPr>
                <w:rFonts w:ascii="宋体" w:hAnsi="宋体" w:cs="宋体"/>
                <w:bCs/>
                <w:sz w:val="20"/>
                <w:szCs w:val="20"/>
              </w:rPr>
            </w:pPr>
            <w:r>
              <w:rPr>
                <w:rFonts w:hint="eastAsia" w:ascii="宋体" w:hAnsi="宋体" w:cs="宋体"/>
                <w:bCs/>
                <w:sz w:val="20"/>
                <w:szCs w:val="20"/>
              </w:rPr>
              <w:t>3．投标人针对采购清单中的一般技术参数条款（指未标注 “▲”的条款，共56条）的响应得分规则如下：一般技术参数条款响应得分=（投标人满足一般技术参数条款的数量÷一般技术参数条款的总数量）×</w:t>
            </w:r>
            <w:r>
              <w:rPr>
                <w:rFonts w:hint="eastAsia" w:ascii="宋体" w:hAnsi="宋体" w:cs="宋体"/>
                <w:b/>
                <w:sz w:val="20"/>
                <w:szCs w:val="20"/>
              </w:rPr>
              <w:t>10</w:t>
            </w:r>
            <w:r>
              <w:rPr>
                <w:rFonts w:hint="eastAsia" w:ascii="宋体" w:hAnsi="宋体" w:cs="宋体"/>
                <w:bCs/>
                <w:sz w:val="20"/>
                <w:szCs w:val="20"/>
              </w:rPr>
              <w:t>分。</w:t>
            </w:r>
          </w:p>
          <w:p>
            <w:pPr>
              <w:spacing w:line="360" w:lineRule="auto"/>
              <w:ind w:left="-38"/>
              <w:rPr>
                <w:rFonts w:ascii="宋体" w:hAnsi="宋体" w:cs="宋体"/>
                <w:bCs/>
                <w:sz w:val="20"/>
                <w:szCs w:val="20"/>
              </w:rPr>
            </w:pPr>
            <w:r>
              <w:rPr>
                <w:rFonts w:hint="eastAsia" w:ascii="宋体" w:hAnsi="宋体" w:cs="宋体"/>
                <w:bCs/>
                <w:sz w:val="20"/>
                <w:szCs w:val="20"/>
              </w:rPr>
              <w:t>4．投标人针对采购清单中带“▲”技术参数条款（共15条）的响应得分规则如下：“▲”技术参数条款响应得分=（投标人满足“▲”技术参数条款的数量÷“▲”技术参数条款的总数量）×</w:t>
            </w:r>
            <w:r>
              <w:rPr>
                <w:rFonts w:hint="eastAsia" w:ascii="宋体" w:hAnsi="宋体" w:cs="宋体"/>
                <w:b/>
                <w:sz w:val="20"/>
                <w:szCs w:val="20"/>
              </w:rPr>
              <w:t>40</w:t>
            </w:r>
            <w:r>
              <w:rPr>
                <w:rFonts w:hint="eastAsia" w:ascii="宋体" w:hAnsi="宋体" w:cs="宋体"/>
                <w:bCs/>
                <w:sz w:val="20"/>
                <w:szCs w:val="20"/>
              </w:rPr>
              <w:t>分。</w:t>
            </w:r>
          </w:p>
          <w:p>
            <w:pPr>
              <w:widowControl/>
              <w:spacing w:line="360" w:lineRule="auto"/>
              <w:textAlignment w:val="center"/>
              <w:rPr>
                <w:rFonts w:ascii="宋体" w:hAnsi="宋体" w:cs="宋体"/>
                <w:bCs/>
                <w:sz w:val="20"/>
                <w:szCs w:val="20"/>
              </w:rPr>
            </w:pPr>
            <w:r>
              <w:rPr>
                <w:rFonts w:hint="eastAsia" w:ascii="宋体" w:hAnsi="宋体" w:cs="宋体"/>
                <w:b/>
                <w:bCs/>
                <w:kern w:val="0"/>
                <w:sz w:val="20"/>
                <w:szCs w:val="20"/>
                <w:lang w:bidi="ar"/>
              </w:rPr>
              <w:t>注：</w:t>
            </w:r>
            <w:r>
              <w:rPr>
                <w:rFonts w:hint="eastAsia" w:ascii="宋体" w:hAnsi="宋体" w:cs="宋体"/>
                <w:bCs/>
                <w:sz w:val="20"/>
                <w:szCs w:val="20"/>
              </w:rPr>
              <w:t>①针对带“▲”条款的技术响应，投标人需提供技术参数声明函或产品说明书复印件予以佐证，但招标文件“</w:t>
            </w:r>
            <w:r>
              <w:rPr>
                <w:rFonts w:hint="eastAsia" w:ascii="宋体" w:hAnsi="宋体" w:cs="宋体"/>
                <w:bCs/>
                <w:kern w:val="0"/>
                <w:sz w:val="20"/>
                <w:szCs w:val="20"/>
              </w:rPr>
              <w:t>技术参数及要求</w:t>
            </w:r>
            <w:r>
              <w:rPr>
                <w:rFonts w:hint="eastAsia" w:ascii="宋体" w:hAnsi="宋体" w:cs="宋体"/>
                <w:bCs/>
                <w:sz w:val="20"/>
                <w:szCs w:val="20"/>
              </w:rPr>
              <w:t>”中的“▲”技术条款对技术支撑材料有要求，应按要求提供证明材料，否则对应技术参数条款将视为不满足。</w:t>
            </w:r>
          </w:p>
          <w:p>
            <w:pPr>
              <w:spacing w:line="360" w:lineRule="auto"/>
              <w:ind w:left="-38"/>
              <w:rPr>
                <w:rFonts w:ascii="宋体" w:hAnsi="宋体" w:cs="宋体"/>
                <w:bCs/>
                <w:sz w:val="20"/>
                <w:szCs w:val="20"/>
              </w:rPr>
            </w:pPr>
            <w:r>
              <w:rPr>
                <w:rFonts w:hint="eastAsia" w:ascii="宋体" w:hAnsi="宋体" w:cs="宋体"/>
                <w:bCs/>
                <w:sz w:val="20"/>
                <w:szCs w:val="20"/>
              </w:rPr>
              <w:t>②针对一般条款的技术响应，如果招标文件“</w:t>
            </w:r>
            <w:r>
              <w:rPr>
                <w:rFonts w:hint="eastAsia" w:ascii="宋体" w:hAnsi="宋体" w:cs="宋体"/>
                <w:bCs/>
                <w:kern w:val="0"/>
                <w:sz w:val="20"/>
                <w:szCs w:val="20"/>
              </w:rPr>
              <w:t>技术参数及要求</w:t>
            </w:r>
            <w:r>
              <w:rPr>
                <w:rFonts w:hint="eastAsia" w:ascii="宋体" w:hAnsi="宋体" w:cs="宋体"/>
                <w:bCs/>
                <w:sz w:val="20"/>
                <w:szCs w:val="20"/>
              </w:rPr>
              <w:t>”中技术参数条款对技术支撑材料有要求，应按要求提供，否则对应技术参数条款将视为不满足。</w:t>
            </w:r>
          </w:p>
          <w:p>
            <w:pPr>
              <w:spacing w:line="360" w:lineRule="auto"/>
              <w:ind w:left="-38"/>
              <w:rPr>
                <w:rFonts w:ascii="宋体" w:hAnsi="宋体" w:cs="宋体"/>
                <w:bCs/>
                <w:sz w:val="20"/>
                <w:szCs w:val="20"/>
              </w:rPr>
            </w:pPr>
            <w:r>
              <w:rPr>
                <w:rFonts w:hint="eastAsia" w:ascii="宋体" w:hAnsi="宋体" w:cs="宋体"/>
                <w:bCs/>
                <w:sz w:val="20"/>
                <w:szCs w:val="20"/>
              </w:rPr>
              <w:t>③得分保留小数点后两位小数，四舍五入。</w:t>
            </w:r>
          </w:p>
          <w:p>
            <w:pPr>
              <w:widowControl/>
              <w:spacing w:line="360" w:lineRule="auto"/>
              <w:textAlignment w:val="center"/>
              <w:rPr>
                <w:rFonts w:ascii="宋体" w:hAnsi="宋体" w:cs="宋体"/>
                <w:bCs/>
                <w:sz w:val="20"/>
                <w:szCs w:val="20"/>
              </w:rPr>
            </w:pPr>
            <w:r>
              <w:rPr>
                <w:rFonts w:hint="eastAsia" w:cs="宋体" w:asciiTheme="minorEastAsia" w:hAnsiTheme="minorEastAsia" w:eastAsiaTheme="minorEastAsia"/>
                <w:bCs/>
                <w:color w:val="000000" w:themeColor="text1"/>
                <w:szCs w:val="21"/>
                <w14:textFill>
                  <w14:solidFill>
                    <w14:schemeClr w14:val="tx1"/>
                  </w14:solidFill>
                </w14:textFill>
              </w:rPr>
              <w:t>④技术参数条款是指4</w:t>
            </w:r>
            <w:r>
              <w:rPr>
                <w:rFonts w:cs="宋体" w:asciiTheme="minorEastAsia" w:hAnsiTheme="minorEastAsia" w:eastAsiaTheme="minorEastAsia"/>
                <w:bCs/>
                <w:color w:val="000000" w:themeColor="text1"/>
                <w:szCs w:val="21"/>
                <w14:textFill>
                  <w14:solidFill>
                    <w14:schemeClr w14:val="tx1"/>
                  </w14:solidFill>
                </w14:textFill>
              </w:rPr>
              <w:t>.2.1</w:t>
            </w:r>
            <w:r>
              <w:rPr>
                <w:rFonts w:hint="eastAsia" w:cs="宋体" w:asciiTheme="minorEastAsia" w:hAnsiTheme="minorEastAsia" w:eastAsiaTheme="minorEastAsia"/>
                <w:bCs/>
                <w:color w:val="000000" w:themeColor="text1"/>
                <w:szCs w:val="21"/>
                <w14:textFill>
                  <w14:solidFill>
                    <w14:schemeClr w14:val="tx1"/>
                  </w14:solidFill>
                </w14:textFill>
              </w:rPr>
              <w:t>技术参数表中“参数指标”列中以阿拉伯数字标注的表示为一条。</w:t>
            </w:r>
          </w:p>
        </w:tc>
        <w:tc>
          <w:tcPr>
            <w:tcW w:w="1500" w:type="dxa"/>
            <w:noWrap/>
            <w:vAlign w:val="center"/>
          </w:tcPr>
          <w:p>
            <w:pPr>
              <w:adjustRightInd w:val="0"/>
              <w:snapToGrid w:val="0"/>
              <w:spacing w:line="360" w:lineRule="auto"/>
              <w:jc w:val="center"/>
              <w:rPr>
                <w:rFonts w:ascii="宋体" w:hAnsi="宋体" w:cs="宋体"/>
                <w:sz w:val="20"/>
                <w:szCs w:val="20"/>
              </w:rPr>
            </w:pPr>
            <w:r>
              <w:rPr>
                <w:rFonts w:hint="eastAsia" w:ascii="宋体" w:hAnsi="宋体" w:cs="宋体"/>
                <w:sz w:val="20"/>
                <w:szCs w:val="20"/>
              </w:rPr>
              <w:t>以投标人提供的投标文件为准。</w:t>
            </w:r>
          </w:p>
        </w:tc>
        <w:tc>
          <w:tcPr>
            <w:tcW w:w="928" w:type="dxa"/>
            <w:noWrap/>
            <w:vAlign w:val="center"/>
          </w:tcPr>
          <w:p>
            <w:pPr>
              <w:adjustRightInd w:val="0"/>
              <w:snapToGrid w:val="0"/>
              <w:spacing w:line="360" w:lineRule="auto"/>
              <w:jc w:val="center"/>
              <w:rPr>
                <w:rFonts w:ascii="宋体" w:hAnsi="宋体" w:cs="宋体"/>
                <w:sz w:val="20"/>
                <w:szCs w:val="20"/>
              </w:rPr>
            </w:pPr>
            <w:r>
              <w:rPr>
                <w:rFonts w:hint="eastAsia" w:ascii="宋体" w:hAnsi="宋体" w:cs="宋体"/>
                <w:sz w:val="20"/>
                <w:szCs w:val="20"/>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5" w:type="dxa"/>
            <w:vAlign w:val="center"/>
          </w:tcPr>
          <w:p>
            <w:pPr>
              <w:widowControl/>
              <w:spacing w:line="360" w:lineRule="auto"/>
              <w:jc w:val="center"/>
              <w:textAlignment w:val="center"/>
              <w:rPr>
                <w:rFonts w:ascii="宋体" w:hAnsi="宋体" w:cs="宋体"/>
                <w:sz w:val="20"/>
                <w:szCs w:val="20"/>
              </w:rPr>
            </w:pPr>
            <w:r>
              <w:rPr>
                <w:rFonts w:hint="eastAsia" w:ascii="宋体" w:hAnsi="宋体" w:cs="宋体"/>
                <w:kern w:val="0"/>
                <w:sz w:val="20"/>
                <w:szCs w:val="20"/>
                <w:lang w:bidi="ar"/>
              </w:rPr>
              <w:t>3</w:t>
            </w:r>
          </w:p>
        </w:tc>
        <w:tc>
          <w:tcPr>
            <w:tcW w:w="1211" w:type="dxa"/>
            <w:noWrap/>
            <w:vAlign w:val="center"/>
          </w:tcPr>
          <w:p>
            <w:pPr>
              <w:widowControl/>
              <w:spacing w:line="360" w:lineRule="auto"/>
              <w:jc w:val="center"/>
              <w:textAlignment w:val="center"/>
              <w:rPr>
                <w:rFonts w:ascii="宋体" w:hAnsi="宋体" w:cs="宋体"/>
                <w:kern w:val="0"/>
                <w:sz w:val="20"/>
                <w:szCs w:val="20"/>
                <w:lang w:bidi="ar"/>
              </w:rPr>
            </w:pPr>
            <w:r>
              <w:rPr>
                <w:rFonts w:hint="eastAsia" w:ascii="宋体" w:hAnsi="宋体" w:cs="宋体"/>
                <w:kern w:val="0"/>
                <w:sz w:val="20"/>
                <w:szCs w:val="20"/>
                <w:lang w:bidi="ar"/>
              </w:rPr>
              <w:t>综合实力及产品保障</w:t>
            </w:r>
          </w:p>
          <w:p>
            <w:pPr>
              <w:widowControl/>
              <w:spacing w:line="360" w:lineRule="auto"/>
              <w:jc w:val="center"/>
              <w:textAlignment w:val="center"/>
              <w:rPr>
                <w:rFonts w:ascii="宋体" w:hAnsi="宋体" w:cs="宋体"/>
                <w:sz w:val="20"/>
                <w:szCs w:val="20"/>
              </w:rPr>
            </w:pPr>
            <w:r>
              <w:rPr>
                <w:rFonts w:hint="eastAsia" w:ascii="宋体" w:hAnsi="宋体" w:cs="宋体"/>
                <w:kern w:val="0"/>
                <w:sz w:val="20"/>
                <w:szCs w:val="20"/>
                <w:lang w:bidi="ar"/>
              </w:rPr>
              <w:t>3%</w:t>
            </w:r>
          </w:p>
        </w:tc>
        <w:tc>
          <w:tcPr>
            <w:tcW w:w="819" w:type="dxa"/>
            <w:vAlign w:val="center"/>
          </w:tcPr>
          <w:p>
            <w:pPr>
              <w:widowControl/>
              <w:spacing w:line="360" w:lineRule="auto"/>
              <w:jc w:val="center"/>
              <w:textAlignment w:val="center"/>
              <w:rPr>
                <w:rFonts w:ascii="宋体" w:hAnsi="宋体" w:cs="宋体"/>
                <w:sz w:val="20"/>
                <w:szCs w:val="20"/>
              </w:rPr>
            </w:pPr>
            <w:r>
              <w:rPr>
                <w:rFonts w:hint="eastAsia" w:ascii="宋体" w:hAnsi="宋体" w:cs="宋体"/>
                <w:kern w:val="0"/>
                <w:sz w:val="20"/>
                <w:szCs w:val="20"/>
                <w:lang w:bidi="ar"/>
              </w:rPr>
              <w:t>3分</w:t>
            </w:r>
          </w:p>
        </w:tc>
        <w:tc>
          <w:tcPr>
            <w:tcW w:w="4855" w:type="dxa"/>
            <w:vAlign w:val="center"/>
          </w:tcPr>
          <w:p>
            <w:pPr>
              <w:widowControl/>
              <w:spacing w:line="360" w:lineRule="auto"/>
              <w:jc w:val="left"/>
              <w:textAlignment w:val="center"/>
              <w:rPr>
                <w:rFonts w:ascii="宋体" w:hAnsi="宋体" w:cs="宋体"/>
                <w:kern w:val="0"/>
                <w:sz w:val="20"/>
                <w:szCs w:val="20"/>
                <w:lang w:bidi="ar"/>
              </w:rPr>
            </w:pPr>
            <w:r>
              <w:rPr>
                <w:rFonts w:hint="eastAsia" w:cs="宋体" w:asciiTheme="minorEastAsia" w:hAnsiTheme="minorEastAsia" w:eastAsiaTheme="minorEastAsia"/>
                <w:kern w:val="0"/>
                <w:szCs w:val="21"/>
                <w:lang w:bidi="ar"/>
              </w:rPr>
              <w:t>投标人提供具有认证资质的认证机构颁发的合法且在有效期内的①质量管理体系认证证书；②环境管理体系认证证书；③职业健康安全管理体系认证证书；每提供1项得1分，本项最多得3分。不提供不得分。</w:t>
            </w:r>
          </w:p>
        </w:tc>
        <w:tc>
          <w:tcPr>
            <w:tcW w:w="1500" w:type="dxa"/>
            <w:noWrap/>
            <w:vAlign w:val="center"/>
          </w:tcPr>
          <w:p>
            <w:pPr>
              <w:spacing w:line="360" w:lineRule="auto"/>
              <w:jc w:val="center"/>
              <w:rPr>
                <w:rFonts w:ascii="宋体" w:hAnsi="宋体" w:cs="宋体"/>
                <w:sz w:val="20"/>
                <w:szCs w:val="20"/>
              </w:rPr>
            </w:pPr>
            <w:r>
              <w:rPr>
                <w:rFonts w:hint="eastAsia" w:ascii="宋体" w:hAnsi="宋体" w:cs="宋体"/>
                <w:bCs/>
                <w:sz w:val="20"/>
                <w:szCs w:val="20"/>
              </w:rPr>
              <w:t>提供证书复印件</w:t>
            </w:r>
            <w:r>
              <w:rPr>
                <w:rFonts w:hint="eastAsia" w:ascii="宋体" w:hAnsi="宋体" w:cs="宋体"/>
                <w:kern w:val="0"/>
                <w:sz w:val="20"/>
                <w:szCs w:val="20"/>
                <w:lang w:bidi="ar"/>
              </w:rPr>
              <w:t>或全国认证认可信息公共服务平台查询截图</w:t>
            </w:r>
            <w:r>
              <w:rPr>
                <w:rFonts w:hint="eastAsia" w:ascii="宋体" w:hAnsi="宋体" w:cs="宋体"/>
                <w:sz w:val="20"/>
                <w:szCs w:val="20"/>
              </w:rPr>
              <w:t>。</w:t>
            </w:r>
          </w:p>
        </w:tc>
        <w:tc>
          <w:tcPr>
            <w:tcW w:w="928" w:type="dxa"/>
            <w:noWrap/>
            <w:vAlign w:val="center"/>
          </w:tcPr>
          <w:p>
            <w:pPr>
              <w:spacing w:line="360" w:lineRule="auto"/>
              <w:jc w:val="center"/>
              <w:rPr>
                <w:rFonts w:ascii="宋体" w:hAnsi="宋体" w:cs="宋体"/>
                <w:sz w:val="20"/>
                <w:szCs w:val="20"/>
              </w:rPr>
            </w:pPr>
            <w:r>
              <w:rPr>
                <w:rFonts w:hint="eastAsia" w:ascii="宋体" w:hAnsi="宋体" w:cs="宋体"/>
                <w:sz w:val="20"/>
                <w:szCs w:val="20"/>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65" w:type="dxa"/>
            <w:vAlign w:val="center"/>
          </w:tcPr>
          <w:p>
            <w:pPr>
              <w:widowControl/>
              <w:spacing w:line="360" w:lineRule="auto"/>
              <w:jc w:val="center"/>
              <w:textAlignment w:val="center"/>
              <w:rPr>
                <w:rFonts w:ascii="宋体" w:hAnsi="宋体" w:cs="宋体"/>
                <w:sz w:val="20"/>
                <w:szCs w:val="20"/>
              </w:rPr>
            </w:pPr>
            <w:r>
              <w:rPr>
                <w:rFonts w:hint="eastAsia" w:ascii="宋体" w:hAnsi="宋体" w:cs="宋体"/>
                <w:kern w:val="0"/>
                <w:sz w:val="20"/>
                <w:szCs w:val="20"/>
                <w:lang w:bidi="ar"/>
              </w:rPr>
              <w:t>4</w:t>
            </w:r>
          </w:p>
        </w:tc>
        <w:tc>
          <w:tcPr>
            <w:tcW w:w="1211" w:type="dxa"/>
            <w:noWrap/>
            <w:vAlign w:val="center"/>
          </w:tcPr>
          <w:p>
            <w:pPr>
              <w:widowControl/>
              <w:spacing w:line="360" w:lineRule="auto"/>
              <w:jc w:val="center"/>
              <w:textAlignment w:val="center"/>
              <w:rPr>
                <w:rFonts w:ascii="宋体" w:hAnsi="宋体" w:cs="宋体"/>
                <w:kern w:val="0"/>
                <w:sz w:val="20"/>
                <w:szCs w:val="20"/>
                <w:lang w:bidi="ar"/>
              </w:rPr>
            </w:pPr>
            <w:r>
              <w:rPr>
                <w:rFonts w:hint="eastAsia" w:ascii="宋体" w:hAnsi="宋体" w:cs="宋体"/>
                <w:kern w:val="0"/>
                <w:sz w:val="20"/>
                <w:szCs w:val="20"/>
                <w:lang w:bidi="ar"/>
              </w:rPr>
              <w:t>项目实施方案</w:t>
            </w:r>
          </w:p>
          <w:p>
            <w:pPr>
              <w:widowControl/>
              <w:spacing w:line="360" w:lineRule="auto"/>
              <w:jc w:val="center"/>
              <w:textAlignment w:val="center"/>
              <w:rPr>
                <w:rFonts w:ascii="宋体" w:hAnsi="宋体" w:cs="宋体"/>
                <w:sz w:val="20"/>
                <w:szCs w:val="20"/>
              </w:rPr>
            </w:pPr>
            <w:r>
              <w:rPr>
                <w:rFonts w:hint="eastAsia" w:ascii="宋体" w:hAnsi="宋体" w:cs="宋体"/>
                <w:kern w:val="0"/>
                <w:sz w:val="20"/>
                <w:szCs w:val="20"/>
                <w:lang w:bidi="ar"/>
              </w:rPr>
              <w:t>9%</w:t>
            </w:r>
          </w:p>
        </w:tc>
        <w:tc>
          <w:tcPr>
            <w:tcW w:w="819" w:type="dxa"/>
            <w:vAlign w:val="center"/>
          </w:tcPr>
          <w:p>
            <w:pPr>
              <w:widowControl/>
              <w:spacing w:line="360" w:lineRule="auto"/>
              <w:jc w:val="center"/>
              <w:textAlignment w:val="center"/>
              <w:rPr>
                <w:rFonts w:ascii="宋体" w:hAnsi="宋体" w:cs="宋体"/>
                <w:sz w:val="20"/>
                <w:szCs w:val="20"/>
              </w:rPr>
            </w:pPr>
            <w:r>
              <w:rPr>
                <w:rFonts w:hint="eastAsia" w:ascii="宋体" w:hAnsi="宋体" w:cs="宋体"/>
                <w:kern w:val="0"/>
                <w:sz w:val="20"/>
                <w:szCs w:val="20"/>
                <w:lang w:bidi="ar"/>
              </w:rPr>
              <w:t>9分</w:t>
            </w:r>
          </w:p>
        </w:tc>
        <w:tc>
          <w:tcPr>
            <w:tcW w:w="4855" w:type="dxa"/>
            <w:vAlign w:val="center"/>
          </w:tcPr>
          <w:p>
            <w:pPr>
              <w:widowControl/>
              <w:spacing w:line="360" w:lineRule="auto"/>
              <w:jc w:val="left"/>
              <w:textAlignment w:val="center"/>
              <w:rPr>
                <w:rFonts w:ascii="宋体" w:hAnsi="宋体" w:cs="宋体"/>
                <w:color w:val="000000" w:themeColor="text1"/>
                <w:kern w:val="0"/>
                <w:sz w:val="20"/>
                <w:szCs w:val="20"/>
                <w:lang w:bidi="ar"/>
                <w14:textFill>
                  <w14:solidFill>
                    <w14:schemeClr w14:val="tx1"/>
                  </w14:solidFill>
                </w14:textFill>
              </w:rPr>
            </w:pPr>
            <w:r>
              <w:rPr>
                <w:rFonts w:hint="eastAsia" w:ascii="宋体" w:hAnsi="宋体" w:cs="宋体"/>
                <w:kern w:val="0"/>
                <w:sz w:val="20"/>
                <w:szCs w:val="20"/>
                <w:lang w:bidi="ar"/>
              </w:rPr>
              <w:t>投标人结合对本项目采购需求的理解及采购人实际情况，提供项目实施方案，方案包含但不限于①项目质量方案</w:t>
            </w:r>
            <w:r>
              <w:rPr>
                <w:rFonts w:hint="eastAsia" w:ascii="宋体" w:hAnsi="宋体" w:cs="宋体"/>
                <w:bCs/>
                <w:sz w:val="20"/>
                <w:szCs w:val="20"/>
              </w:rPr>
              <w:t>；②安装进度计划（进度计划、进度内容）；③调试方案（需提供安装调试人员清单、从业经验）；④工期保障方案（针对本项目实际情况制定的工期保障措施）；⑤</w:t>
            </w:r>
            <w:r>
              <w:rPr>
                <w:rFonts w:hint="eastAsia" w:ascii="宋体" w:hAnsi="宋体" w:cs="宋体"/>
                <w:kern w:val="0"/>
                <w:sz w:val="20"/>
                <w:szCs w:val="20"/>
                <w:lang w:bidi="ar"/>
              </w:rPr>
              <w:t>培训计划及验收方案；⑥疫情防范措施及保障方案，提供完整方案的得9分，每缺一项方案的扣1.5分，提供的方案中每有一处</w:t>
            </w:r>
            <w:r>
              <w:rPr>
                <w:rFonts w:hint="eastAsia" w:ascii="宋体" w:hAnsi="宋体" w:cs="宋体"/>
                <w:color w:val="000000" w:themeColor="text1"/>
                <w:kern w:val="0"/>
                <w:sz w:val="20"/>
                <w:szCs w:val="20"/>
                <w:lang w:bidi="ar"/>
                <w14:textFill>
                  <w14:solidFill>
                    <w14:schemeClr w14:val="tx1"/>
                  </w14:solidFill>
                </w14:textFill>
              </w:rPr>
              <w:t>具有缺陷的扣0.5分，扣完为止。不提供不得分。</w:t>
            </w:r>
          </w:p>
          <w:p>
            <w:pPr>
              <w:widowControl/>
              <w:spacing w:line="360" w:lineRule="auto"/>
              <w:jc w:val="left"/>
              <w:textAlignment w:val="center"/>
              <w:rPr>
                <w:rFonts w:ascii="宋体" w:hAnsi="宋体" w:cs="宋体"/>
                <w:sz w:val="20"/>
                <w:szCs w:val="20"/>
              </w:rPr>
            </w:pPr>
            <w:r>
              <w:rPr>
                <w:rFonts w:hint="eastAsia" w:ascii="宋体" w:hAnsi="宋体" w:cs="宋体"/>
                <w:b/>
                <w:bCs/>
                <w:kern w:val="0"/>
                <w:sz w:val="20"/>
                <w:szCs w:val="20"/>
                <w:lang w:bidi="ar"/>
              </w:rPr>
              <w:t>注</w:t>
            </w:r>
            <w:r>
              <w:rPr>
                <w:rFonts w:hint="eastAsia" w:ascii="宋体" w:hAnsi="宋体" w:cs="宋体"/>
                <w:kern w:val="0"/>
                <w:sz w:val="20"/>
                <w:szCs w:val="20"/>
                <w:lang w:bidi="ar"/>
              </w:rPr>
              <w:t>：缺陷是指存在不适用项目实际情况的情形、凭空编造、方案中内容前后不一致、前后逻辑错误、前后矛盾、涉及的规范及标准错误、地点区域错误、内容缺失、不符合采购需求、方案标题与实际内容不相符合、方案不全面。</w:t>
            </w:r>
          </w:p>
        </w:tc>
        <w:tc>
          <w:tcPr>
            <w:tcW w:w="1500" w:type="dxa"/>
            <w:noWrap/>
            <w:vAlign w:val="center"/>
          </w:tcPr>
          <w:p>
            <w:pPr>
              <w:adjustRightInd w:val="0"/>
              <w:snapToGrid w:val="0"/>
              <w:spacing w:line="360" w:lineRule="auto"/>
              <w:jc w:val="center"/>
              <w:rPr>
                <w:rFonts w:ascii="宋体" w:hAnsi="宋体" w:cs="宋体"/>
                <w:sz w:val="20"/>
                <w:szCs w:val="20"/>
              </w:rPr>
            </w:pPr>
            <w:r>
              <w:rPr>
                <w:rFonts w:hint="eastAsia" w:ascii="宋体" w:hAnsi="宋体" w:cs="宋体"/>
                <w:sz w:val="20"/>
                <w:szCs w:val="20"/>
              </w:rPr>
              <w:t>以投标人提供的投标文件为准。</w:t>
            </w:r>
          </w:p>
        </w:tc>
        <w:tc>
          <w:tcPr>
            <w:tcW w:w="928" w:type="dxa"/>
            <w:noWrap/>
            <w:vAlign w:val="center"/>
          </w:tcPr>
          <w:p>
            <w:pPr>
              <w:adjustRightInd w:val="0"/>
              <w:snapToGrid w:val="0"/>
              <w:spacing w:line="360" w:lineRule="auto"/>
              <w:jc w:val="center"/>
              <w:rPr>
                <w:rFonts w:ascii="宋体" w:hAnsi="宋体" w:cs="宋体"/>
                <w:sz w:val="20"/>
                <w:szCs w:val="20"/>
              </w:rPr>
            </w:pPr>
            <w:r>
              <w:rPr>
                <w:rFonts w:hint="eastAsia" w:ascii="宋体" w:hAnsi="宋体" w:cs="宋体"/>
                <w:sz w:val="20"/>
                <w:szCs w:val="20"/>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65" w:type="dxa"/>
            <w:vAlign w:val="center"/>
          </w:tcPr>
          <w:p>
            <w:pPr>
              <w:widowControl/>
              <w:spacing w:line="360" w:lineRule="auto"/>
              <w:jc w:val="center"/>
              <w:textAlignment w:val="center"/>
              <w:rPr>
                <w:rFonts w:ascii="宋体" w:hAnsi="宋体" w:cs="宋体"/>
                <w:kern w:val="0"/>
                <w:sz w:val="20"/>
                <w:szCs w:val="20"/>
                <w:lang w:bidi="ar"/>
              </w:rPr>
            </w:pPr>
            <w:r>
              <w:rPr>
                <w:rFonts w:hint="eastAsia" w:ascii="宋体" w:hAnsi="宋体" w:cs="宋体"/>
                <w:kern w:val="0"/>
                <w:sz w:val="20"/>
                <w:szCs w:val="20"/>
                <w:lang w:bidi="ar"/>
              </w:rPr>
              <w:t>5</w:t>
            </w:r>
          </w:p>
        </w:tc>
        <w:tc>
          <w:tcPr>
            <w:tcW w:w="1211" w:type="dxa"/>
            <w:noWrap/>
            <w:vAlign w:val="center"/>
          </w:tcPr>
          <w:p>
            <w:pPr>
              <w:widowControl/>
              <w:spacing w:line="360" w:lineRule="auto"/>
              <w:jc w:val="center"/>
              <w:textAlignment w:val="center"/>
              <w:rPr>
                <w:rFonts w:ascii="宋体" w:hAnsi="宋体" w:cs="宋体"/>
                <w:kern w:val="0"/>
                <w:sz w:val="20"/>
                <w:szCs w:val="20"/>
                <w:lang w:bidi="ar"/>
              </w:rPr>
            </w:pPr>
            <w:r>
              <w:rPr>
                <w:rFonts w:hint="eastAsia" w:ascii="宋体" w:hAnsi="宋体" w:cs="宋体"/>
                <w:kern w:val="0"/>
                <w:sz w:val="20"/>
                <w:szCs w:val="20"/>
                <w:lang w:bidi="ar"/>
              </w:rPr>
              <w:t>售后服务6%</w:t>
            </w:r>
          </w:p>
        </w:tc>
        <w:tc>
          <w:tcPr>
            <w:tcW w:w="819" w:type="dxa"/>
            <w:vAlign w:val="center"/>
          </w:tcPr>
          <w:p>
            <w:pPr>
              <w:widowControl/>
              <w:spacing w:line="360" w:lineRule="auto"/>
              <w:jc w:val="center"/>
              <w:textAlignment w:val="center"/>
              <w:rPr>
                <w:rFonts w:ascii="宋体" w:hAnsi="宋体" w:cs="宋体"/>
                <w:kern w:val="0"/>
                <w:sz w:val="20"/>
                <w:szCs w:val="20"/>
                <w:lang w:bidi="ar"/>
              </w:rPr>
            </w:pPr>
            <w:r>
              <w:rPr>
                <w:rFonts w:hint="eastAsia" w:ascii="宋体" w:hAnsi="宋体" w:cs="宋体"/>
                <w:kern w:val="0"/>
                <w:sz w:val="20"/>
                <w:szCs w:val="20"/>
                <w:lang w:bidi="ar"/>
              </w:rPr>
              <w:t>6分</w:t>
            </w:r>
          </w:p>
        </w:tc>
        <w:tc>
          <w:tcPr>
            <w:tcW w:w="4855" w:type="dxa"/>
            <w:vAlign w:val="center"/>
          </w:tcPr>
          <w:p>
            <w:pPr>
              <w:widowControl/>
              <w:spacing w:line="360" w:lineRule="auto"/>
              <w:jc w:val="left"/>
              <w:textAlignment w:val="center"/>
              <w:rPr>
                <w:rFonts w:ascii="宋体" w:hAnsi="宋体" w:cs="宋体"/>
                <w:kern w:val="0"/>
                <w:sz w:val="20"/>
                <w:szCs w:val="20"/>
                <w:lang w:bidi="ar"/>
              </w:rPr>
            </w:pPr>
            <w:r>
              <w:rPr>
                <w:rFonts w:hint="eastAsia" w:ascii="宋体" w:hAnsi="宋体" w:cs="宋体"/>
                <w:kern w:val="0"/>
                <w:sz w:val="20"/>
                <w:szCs w:val="20"/>
                <w:lang w:bidi="ar"/>
              </w:rPr>
              <w:t>投标人结合本项目理解提供售后服务方案（内容包括①售后人员配置方案及分工（提供人员清单、售后经验）；</w:t>
            </w:r>
            <w:r>
              <w:rPr>
                <w:rFonts w:hint="eastAsia" w:ascii="宋体" w:hAnsi="宋体" w:cs="宋体"/>
                <w:color w:val="000000" w:themeColor="text1"/>
                <w:kern w:val="0"/>
                <w:sz w:val="20"/>
                <w:szCs w:val="20"/>
                <w:lang w:bidi="ar"/>
                <w14:textFill>
                  <w14:solidFill>
                    <w14:schemeClr w14:val="tx1"/>
                  </w14:solidFill>
                </w14:textFill>
              </w:rPr>
              <w:t>②现场服务支持能力（包括售后服务电话、售后服务网点）；③售后巡检方案及质量保证制度；④紧急维修措施；⑤</w:t>
            </w:r>
            <w:r>
              <w:rPr>
                <w:rFonts w:hint="eastAsia" w:ascii="宋体" w:hAnsi="宋体" w:cs="宋体"/>
                <w:kern w:val="0"/>
                <w:sz w:val="20"/>
                <w:szCs w:val="20"/>
                <w:lang w:bidi="ar"/>
              </w:rPr>
              <w:t>售后培训计划及培训内容；⑥整个项目实施过程涉及到的资料、数据整理及保管方案（包含各环节涉及产品的安装调试记录、验收记录、各流程数据汇总保管处理措施）进行评审：提供完整方案的得6分，每缺一项方案的扣1分，提供的方案中每有一处具有缺</w:t>
            </w:r>
            <w:bookmarkStart w:id="215" w:name="_GoBack"/>
            <w:bookmarkEnd w:id="215"/>
            <w:r>
              <w:rPr>
                <w:rFonts w:hint="eastAsia" w:ascii="宋体" w:hAnsi="宋体" w:cs="宋体"/>
                <w:kern w:val="0"/>
                <w:sz w:val="20"/>
                <w:szCs w:val="20"/>
                <w:lang w:bidi="ar"/>
              </w:rPr>
              <w:t>陷的扣0.5分，扣完为止。不提供不得分。</w:t>
            </w:r>
          </w:p>
          <w:p>
            <w:pPr>
              <w:widowControl/>
              <w:spacing w:line="360" w:lineRule="auto"/>
              <w:jc w:val="left"/>
              <w:textAlignment w:val="center"/>
              <w:rPr>
                <w:rFonts w:ascii="宋体" w:hAnsi="宋体" w:cs="宋体"/>
                <w:kern w:val="0"/>
                <w:sz w:val="20"/>
                <w:szCs w:val="20"/>
                <w:lang w:bidi="ar"/>
              </w:rPr>
            </w:pPr>
            <w:r>
              <w:rPr>
                <w:rFonts w:hint="eastAsia" w:ascii="宋体" w:hAnsi="宋体" w:cs="宋体"/>
                <w:b/>
                <w:bCs/>
                <w:kern w:val="0"/>
                <w:sz w:val="20"/>
                <w:szCs w:val="20"/>
                <w:lang w:bidi="ar"/>
              </w:rPr>
              <w:t>注：</w:t>
            </w:r>
            <w:r>
              <w:rPr>
                <w:rFonts w:hint="eastAsia" w:ascii="宋体" w:hAnsi="宋体" w:cs="宋体"/>
                <w:kern w:val="0"/>
                <w:sz w:val="20"/>
                <w:szCs w:val="20"/>
                <w:lang w:bidi="ar"/>
              </w:rPr>
              <w:t>缺陷是指：存在不适用项目实际情况的情形、凭空编造、方案中内容前后不一致、前后逻辑错误、涉及的规范及标准错误、地点区域错误、内容缺失、不符合采购需求、方案标题与实际内容不相符合、方案不全面。</w:t>
            </w:r>
          </w:p>
        </w:tc>
        <w:tc>
          <w:tcPr>
            <w:tcW w:w="1500" w:type="dxa"/>
            <w:noWrap/>
            <w:vAlign w:val="center"/>
          </w:tcPr>
          <w:p>
            <w:pPr>
              <w:adjustRightInd w:val="0"/>
              <w:snapToGrid w:val="0"/>
              <w:spacing w:line="360" w:lineRule="auto"/>
              <w:jc w:val="center"/>
              <w:rPr>
                <w:rFonts w:ascii="宋体" w:hAnsi="宋体" w:cs="宋体"/>
                <w:sz w:val="20"/>
                <w:szCs w:val="20"/>
              </w:rPr>
            </w:pPr>
            <w:r>
              <w:rPr>
                <w:rFonts w:hint="eastAsia" w:ascii="宋体" w:hAnsi="宋体" w:cs="宋体"/>
                <w:sz w:val="20"/>
                <w:szCs w:val="20"/>
              </w:rPr>
              <w:t xml:space="preserve">  </w:t>
            </w:r>
          </w:p>
        </w:tc>
        <w:tc>
          <w:tcPr>
            <w:tcW w:w="928" w:type="dxa"/>
            <w:noWrap/>
            <w:vAlign w:val="center"/>
          </w:tcPr>
          <w:p>
            <w:pPr>
              <w:adjustRightInd w:val="0"/>
              <w:snapToGrid w:val="0"/>
              <w:spacing w:line="360" w:lineRule="auto"/>
              <w:jc w:val="center"/>
              <w:rPr>
                <w:rFonts w:ascii="宋体" w:hAnsi="宋体" w:cs="宋体"/>
                <w:sz w:val="20"/>
                <w:szCs w:val="20"/>
              </w:rPr>
            </w:pPr>
            <w:r>
              <w:rPr>
                <w:rFonts w:hint="eastAsia" w:ascii="宋体" w:hAnsi="宋体" w:cs="宋体"/>
                <w:sz w:val="20"/>
                <w:szCs w:val="20"/>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65" w:type="dxa"/>
            <w:vAlign w:val="center"/>
          </w:tcPr>
          <w:p>
            <w:pPr>
              <w:widowControl/>
              <w:spacing w:line="360" w:lineRule="auto"/>
              <w:jc w:val="center"/>
              <w:textAlignment w:val="center"/>
              <w:rPr>
                <w:rFonts w:ascii="宋体" w:hAnsi="宋体" w:cs="宋体"/>
                <w:kern w:val="0"/>
                <w:sz w:val="20"/>
                <w:szCs w:val="20"/>
                <w:lang w:bidi="ar"/>
              </w:rPr>
            </w:pPr>
            <w:r>
              <w:rPr>
                <w:rFonts w:hint="eastAsia" w:ascii="宋体" w:hAnsi="宋体" w:cs="宋体"/>
                <w:kern w:val="0"/>
                <w:sz w:val="20"/>
                <w:szCs w:val="20"/>
                <w:lang w:bidi="ar"/>
              </w:rPr>
              <w:t>6</w:t>
            </w:r>
          </w:p>
        </w:tc>
        <w:tc>
          <w:tcPr>
            <w:tcW w:w="1211" w:type="dxa"/>
            <w:vAlign w:val="center"/>
          </w:tcPr>
          <w:p>
            <w:pPr>
              <w:widowControl/>
              <w:spacing w:line="360" w:lineRule="auto"/>
              <w:jc w:val="center"/>
              <w:textAlignment w:val="center"/>
              <w:rPr>
                <w:rFonts w:ascii="宋体" w:hAnsi="宋体" w:cs="宋体"/>
                <w:kern w:val="0"/>
                <w:sz w:val="20"/>
                <w:szCs w:val="20"/>
                <w:lang w:bidi="ar"/>
              </w:rPr>
            </w:pPr>
            <w:r>
              <w:rPr>
                <w:rFonts w:hint="eastAsia" w:ascii="宋体" w:hAnsi="宋体" w:cs="宋体"/>
                <w:kern w:val="0"/>
                <w:sz w:val="20"/>
                <w:szCs w:val="20"/>
                <w:lang w:bidi="ar"/>
              </w:rPr>
              <w:t>履约能力</w:t>
            </w:r>
          </w:p>
          <w:p>
            <w:pPr>
              <w:widowControl/>
              <w:spacing w:line="360" w:lineRule="auto"/>
              <w:jc w:val="center"/>
              <w:textAlignment w:val="center"/>
              <w:rPr>
                <w:rFonts w:ascii="宋体" w:hAnsi="宋体" w:cs="宋体"/>
                <w:kern w:val="0"/>
                <w:sz w:val="20"/>
                <w:szCs w:val="20"/>
                <w:lang w:bidi="ar"/>
              </w:rPr>
            </w:pPr>
            <w:r>
              <w:rPr>
                <w:rFonts w:hint="eastAsia" w:ascii="宋体" w:hAnsi="宋体" w:cs="宋体"/>
                <w:kern w:val="0"/>
                <w:sz w:val="20"/>
                <w:szCs w:val="20"/>
                <w:lang w:bidi="ar"/>
              </w:rPr>
              <w:t>1%</w:t>
            </w:r>
          </w:p>
        </w:tc>
        <w:tc>
          <w:tcPr>
            <w:tcW w:w="819" w:type="dxa"/>
            <w:vAlign w:val="center"/>
          </w:tcPr>
          <w:p>
            <w:pPr>
              <w:widowControl/>
              <w:spacing w:line="360" w:lineRule="auto"/>
              <w:jc w:val="center"/>
              <w:textAlignment w:val="center"/>
              <w:rPr>
                <w:rFonts w:ascii="宋体" w:hAnsi="宋体" w:cs="宋体"/>
                <w:kern w:val="0"/>
                <w:sz w:val="20"/>
                <w:szCs w:val="20"/>
                <w:lang w:bidi="ar"/>
              </w:rPr>
            </w:pPr>
            <w:r>
              <w:rPr>
                <w:rFonts w:hint="eastAsia" w:ascii="宋体" w:hAnsi="宋体" w:cs="宋体"/>
                <w:kern w:val="0"/>
                <w:sz w:val="20"/>
                <w:szCs w:val="20"/>
                <w:lang w:bidi="ar"/>
              </w:rPr>
              <w:t>1分</w:t>
            </w:r>
          </w:p>
        </w:tc>
        <w:tc>
          <w:tcPr>
            <w:tcW w:w="4855" w:type="dxa"/>
            <w:vAlign w:val="center"/>
          </w:tcPr>
          <w:p>
            <w:pPr>
              <w:widowControl/>
              <w:spacing w:line="360" w:lineRule="auto"/>
              <w:jc w:val="left"/>
              <w:textAlignment w:val="center"/>
              <w:rPr>
                <w:rFonts w:ascii="宋体" w:hAnsi="宋体" w:cs="宋体"/>
                <w:kern w:val="0"/>
                <w:sz w:val="20"/>
                <w:szCs w:val="20"/>
                <w:lang w:bidi="ar"/>
              </w:rPr>
            </w:pPr>
            <w:r>
              <w:rPr>
                <w:rFonts w:hint="eastAsia" w:ascii="宋体" w:hAnsi="宋体" w:cs="宋体"/>
                <w:kern w:val="0"/>
                <w:sz w:val="20"/>
                <w:szCs w:val="20"/>
                <w:lang w:bidi="ar"/>
              </w:rPr>
              <w:t>投标人提供自20</w:t>
            </w:r>
            <w:r>
              <w:rPr>
                <w:rFonts w:hint="eastAsia" w:ascii="宋体" w:hAnsi="宋体" w:cs="宋体"/>
                <w:kern w:val="0"/>
                <w:sz w:val="20"/>
                <w:szCs w:val="20"/>
                <w:lang w:val="en-US" w:eastAsia="zh-CN" w:bidi="ar"/>
              </w:rPr>
              <w:t>19</w:t>
            </w:r>
            <w:r>
              <w:rPr>
                <w:rFonts w:hint="eastAsia" w:ascii="宋体" w:hAnsi="宋体" w:cs="宋体"/>
                <w:kern w:val="0"/>
                <w:sz w:val="20"/>
                <w:szCs w:val="20"/>
                <w:lang w:bidi="ar"/>
              </w:rPr>
              <w:t>年1月1日（含）至投标截止之日具有类似项目业绩的每提供一个得0.5分，最多得1分。不提供不得分。</w:t>
            </w:r>
          </w:p>
          <w:p>
            <w:pPr>
              <w:widowControl/>
              <w:spacing w:line="360" w:lineRule="auto"/>
              <w:jc w:val="left"/>
              <w:textAlignment w:val="center"/>
              <w:rPr>
                <w:rFonts w:ascii="宋体" w:hAnsi="宋体" w:cs="宋体"/>
                <w:bCs/>
                <w:sz w:val="20"/>
                <w:szCs w:val="20"/>
              </w:rPr>
            </w:pPr>
            <w:r>
              <w:rPr>
                <w:rFonts w:hint="eastAsia" w:ascii="宋体" w:hAnsi="宋体" w:cs="宋体"/>
                <w:b/>
                <w:bCs/>
                <w:kern w:val="0"/>
                <w:sz w:val="20"/>
                <w:szCs w:val="20"/>
                <w:lang w:bidi="ar"/>
              </w:rPr>
              <w:t>注：</w:t>
            </w:r>
            <w:r>
              <w:rPr>
                <w:rFonts w:hint="eastAsia" w:ascii="宋体" w:hAnsi="宋体" w:cs="宋体"/>
                <w:bCs/>
                <w:sz w:val="20"/>
                <w:szCs w:val="20"/>
              </w:rPr>
              <w:t>1.提供项目合同（协议）复印件或中标(成交)通知书，并提供至少一次合同款项支付凭证复印件。以上证明材料公司名称须与投标人名称完全一致（工商更名的需提供相应证明材料）。</w:t>
            </w:r>
          </w:p>
          <w:p>
            <w:pPr>
              <w:widowControl/>
              <w:spacing w:line="360" w:lineRule="auto"/>
              <w:jc w:val="left"/>
              <w:textAlignment w:val="center"/>
              <w:rPr>
                <w:rFonts w:ascii="宋体" w:hAnsi="宋体" w:cs="宋体"/>
                <w:kern w:val="0"/>
                <w:sz w:val="20"/>
                <w:szCs w:val="20"/>
                <w:lang w:bidi="ar"/>
              </w:rPr>
            </w:pPr>
            <w:r>
              <w:rPr>
                <w:rFonts w:hint="eastAsia" w:ascii="宋体" w:hAnsi="宋体" w:cs="宋体"/>
                <w:bCs/>
                <w:sz w:val="20"/>
                <w:szCs w:val="20"/>
              </w:rPr>
              <w:t>2.同一个项目不同年度签订的合同算一个业绩。</w:t>
            </w:r>
          </w:p>
        </w:tc>
        <w:tc>
          <w:tcPr>
            <w:tcW w:w="1500" w:type="dxa"/>
            <w:noWrap/>
            <w:vAlign w:val="center"/>
          </w:tcPr>
          <w:p>
            <w:pPr>
              <w:spacing w:line="360" w:lineRule="auto"/>
              <w:jc w:val="center"/>
              <w:rPr>
                <w:rFonts w:ascii="宋体" w:hAnsi="宋体" w:cs="宋体"/>
                <w:sz w:val="20"/>
                <w:szCs w:val="20"/>
              </w:rPr>
            </w:pPr>
            <w:r>
              <w:rPr>
                <w:rFonts w:hint="eastAsia" w:ascii="宋体" w:hAnsi="宋体" w:cs="宋体"/>
                <w:sz w:val="20"/>
                <w:szCs w:val="20"/>
              </w:rPr>
              <w:t>以投标人提供的投标文件为准。</w:t>
            </w:r>
          </w:p>
        </w:tc>
        <w:tc>
          <w:tcPr>
            <w:tcW w:w="928" w:type="dxa"/>
            <w:noWrap/>
            <w:vAlign w:val="center"/>
          </w:tcPr>
          <w:p>
            <w:pPr>
              <w:spacing w:line="360" w:lineRule="auto"/>
              <w:jc w:val="center"/>
              <w:rPr>
                <w:rFonts w:ascii="宋体" w:hAnsi="宋体" w:cs="宋体"/>
                <w:sz w:val="20"/>
                <w:szCs w:val="20"/>
              </w:rPr>
            </w:pPr>
            <w:r>
              <w:rPr>
                <w:rFonts w:hint="eastAsia" w:ascii="宋体" w:hAnsi="宋体" w:cs="宋体"/>
                <w:sz w:val="20"/>
                <w:szCs w:val="20"/>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65" w:type="dxa"/>
            <w:vAlign w:val="center"/>
          </w:tcPr>
          <w:p>
            <w:pPr>
              <w:adjustRightInd w:val="0"/>
              <w:snapToGrid w:val="0"/>
              <w:spacing w:line="360" w:lineRule="auto"/>
              <w:jc w:val="center"/>
              <w:rPr>
                <w:rFonts w:ascii="宋体" w:hAnsi="宋体" w:cs="宋体"/>
                <w:sz w:val="20"/>
                <w:szCs w:val="20"/>
              </w:rPr>
            </w:pPr>
            <w:r>
              <w:rPr>
                <w:rFonts w:hint="eastAsia" w:ascii="宋体" w:hAnsi="宋体" w:cs="宋体"/>
                <w:sz w:val="20"/>
                <w:szCs w:val="20"/>
              </w:rPr>
              <w:t>7</w:t>
            </w:r>
          </w:p>
        </w:tc>
        <w:tc>
          <w:tcPr>
            <w:tcW w:w="1211" w:type="dxa"/>
            <w:vAlign w:val="center"/>
          </w:tcPr>
          <w:p>
            <w:pPr>
              <w:adjustRightInd w:val="0"/>
              <w:snapToGrid w:val="0"/>
              <w:spacing w:line="360" w:lineRule="auto"/>
              <w:jc w:val="center"/>
              <w:rPr>
                <w:rFonts w:ascii="宋体" w:hAnsi="宋体" w:cs="宋体"/>
                <w:sz w:val="20"/>
                <w:szCs w:val="20"/>
              </w:rPr>
            </w:pPr>
            <w:r>
              <w:rPr>
                <w:rFonts w:hint="eastAsia" w:ascii="宋体" w:hAnsi="宋体" w:cs="宋体"/>
                <w:sz w:val="20"/>
                <w:szCs w:val="20"/>
              </w:rPr>
              <w:t>政府扶持政策1%</w:t>
            </w:r>
          </w:p>
        </w:tc>
        <w:tc>
          <w:tcPr>
            <w:tcW w:w="819" w:type="dxa"/>
            <w:vAlign w:val="center"/>
          </w:tcPr>
          <w:p>
            <w:pPr>
              <w:widowControl/>
              <w:spacing w:line="360" w:lineRule="auto"/>
              <w:jc w:val="left"/>
              <w:textAlignment w:val="center"/>
              <w:rPr>
                <w:rFonts w:ascii="宋体" w:hAnsi="宋体" w:cs="宋体"/>
                <w:kern w:val="0"/>
                <w:sz w:val="20"/>
                <w:szCs w:val="20"/>
                <w:lang w:bidi="ar"/>
              </w:rPr>
            </w:pPr>
            <w:r>
              <w:rPr>
                <w:rFonts w:hint="eastAsia" w:ascii="宋体" w:hAnsi="宋体" w:cs="宋体"/>
                <w:kern w:val="0"/>
                <w:sz w:val="20"/>
                <w:szCs w:val="20"/>
                <w:lang w:bidi="ar"/>
              </w:rPr>
              <w:t>1分</w:t>
            </w:r>
          </w:p>
        </w:tc>
        <w:tc>
          <w:tcPr>
            <w:tcW w:w="4855" w:type="dxa"/>
            <w:vAlign w:val="center"/>
          </w:tcPr>
          <w:p>
            <w:pPr>
              <w:widowControl/>
              <w:spacing w:line="360" w:lineRule="auto"/>
              <w:jc w:val="left"/>
              <w:textAlignment w:val="center"/>
              <w:rPr>
                <w:rFonts w:ascii="宋体" w:hAnsi="宋体" w:cs="宋体"/>
                <w:kern w:val="0"/>
                <w:sz w:val="20"/>
                <w:szCs w:val="20"/>
                <w:lang w:bidi="ar"/>
              </w:rPr>
            </w:pPr>
            <w:r>
              <w:rPr>
                <w:rFonts w:hint="eastAsia" w:ascii="宋体" w:hAnsi="宋体" w:cs="宋体"/>
                <w:kern w:val="0"/>
                <w:sz w:val="20"/>
                <w:szCs w:val="20"/>
                <w:lang w:bidi="ar"/>
              </w:rPr>
              <w:t>投标产品中属于政府采购优先采购范围的，则每有一项为节能产品或者环境标志产品或者无线局域网产品的得0.25分，非节能、环境标志产品的、无线局域网产品的不得分，本项最多得1分。</w:t>
            </w:r>
          </w:p>
          <w:p>
            <w:pPr>
              <w:widowControl/>
              <w:spacing w:line="360" w:lineRule="auto"/>
              <w:jc w:val="left"/>
              <w:textAlignment w:val="center"/>
              <w:rPr>
                <w:rFonts w:ascii="宋体" w:hAnsi="宋体" w:cs="宋体"/>
                <w:kern w:val="0"/>
                <w:sz w:val="20"/>
                <w:szCs w:val="20"/>
                <w:lang w:bidi="ar"/>
              </w:rPr>
            </w:pPr>
            <w:r>
              <w:rPr>
                <w:rFonts w:hint="eastAsia" w:ascii="宋体" w:hAnsi="宋体" w:cs="宋体"/>
                <w:b/>
                <w:bCs/>
                <w:kern w:val="0"/>
                <w:sz w:val="20"/>
                <w:szCs w:val="20"/>
                <w:lang w:bidi="ar"/>
              </w:rPr>
              <w:t>注：</w:t>
            </w:r>
            <w:r>
              <w:rPr>
                <w:rFonts w:hint="eastAsia" w:ascii="宋体" w:hAnsi="宋体" w:cs="宋体"/>
                <w:kern w:val="0"/>
                <w:sz w:val="20"/>
                <w:szCs w:val="20"/>
                <w:lang w:bidi="ar"/>
              </w:rPr>
              <w:t>①节能产品、环境标志产品优先采购范围以财政部、发展改革委、生态环境部等部门发布的最新品目清单为准。无线局域网产品优先采购范围以中国政府采购网公布的《无线局域网认证产品政府采购清单》为准。</w:t>
            </w:r>
          </w:p>
          <w:p>
            <w:pPr>
              <w:widowControl/>
              <w:spacing w:line="360" w:lineRule="auto"/>
              <w:jc w:val="left"/>
              <w:textAlignment w:val="center"/>
              <w:rPr>
                <w:rFonts w:ascii="宋体" w:hAnsi="宋体" w:cs="宋体"/>
                <w:kern w:val="0"/>
                <w:sz w:val="20"/>
                <w:szCs w:val="20"/>
                <w:lang w:bidi="ar"/>
              </w:rPr>
            </w:pPr>
            <w:r>
              <w:rPr>
                <w:rFonts w:hint="eastAsia" w:ascii="宋体" w:hAnsi="宋体" w:cs="宋体"/>
                <w:kern w:val="0"/>
                <w:sz w:val="20"/>
                <w:szCs w:val="20"/>
                <w:lang w:bidi="ar"/>
              </w:rPr>
              <w:t>②投标产品属于优先采购范围内的节能产品或者环境标志产品的，提供国家确定的认证机构出具的、处于有效期之内的节能产品、环境标志产品认证证书复印件。</w:t>
            </w:r>
          </w:p>
          <w:p>
            <w:pPr>
              <w:widowControl/>
              <w:spacing w:line="360" w:lineRule="auto"/>
              <w:jc w:val="left"/>
              <w:textAlignment w:val="center"/>
              <w:rPr>
                <w:rFonts w:ascii="宋体" w:hAnsi="宋体" w:cs="宋体"/>
                <w:kern w:val="0"/>
                <w:sz w:val="20"/>
                <w:szCs w:val="20"/>
                <w:lang w:bidi="ar"/>
              </w:rPr>
            </w:pPr>
            <w:r>
              <w:rPr>
                <w:rFonts w:hint="eastAsia" w:ascii="宋体" w:hAnsi="宋体" w:cs="宋体"/>
                <w:kern w:val="0"/>
                <w:sz w:val="20"/>
                <w:szCs w:val="20"/>
                <w:lang w:bidi="ar"/>
              </w:rPr>
              <w:t>③投标产品属于优先采购范围内的无线局域网产品的，提供政府采购品目清单对应页。</w:t>
            </w:r>
          </w:p>
        </w:tc>
        <w:tc>
          <w:tcPr>
            <w:tcW w:w="1500" w:type="dxa"/>
            <w:noWrap/>
            <w:vAlign w:val="center"/>
          </w:tcPr>
          <w:p>
            <w:pPr>
              <w:spacing w:line="360" w:lineRule="auto"/>
              <w:jc w:val="center"/>
              <w:rPr>
                <w:rFonts w:ascii="宋体" w:hAnsi="宋体" w:cs="宋体"/>
                <w:sz w:val="20"/>
                <w:szCs w:val="20"/>
              </w:rPr>
            </w:pPr>
            <w:r>
              <w:rPr>
                <w:rFonts w:hint="eastAsia" w:ascii="宋体" w:hAnsi="宋体" w:cs="宋体"/>
                <w:sz w:val="20"/>
                <w:szCs w:val="20"/>
              </w:rPr>
              <w:t>以投标人提供的投标文件为准。</w:t>
            </w:r>
          </w:p>
        </w:tc>
        <w:tc>
          <w:tcPr>
            <w:tcW w:w="928" w:type="dxa"/>
            <w:noWrap/>
            <w:vAlign w:val="center"/>
          </w:tcPr>
          <w:p>
            <w:pPr>
              <w:spacing w:line="360" w:lineRule="auto"/>
              <w:jc w:val="center"/>
              <w:rPr>
                <w:rFonts w:ascii="宋体" w:hAnsi="宋体" w:cs="宋体"/>
                <w:sz w:val="20"/>
                <w:szCs w:val="20"/>
              </w:rPr>
            </w:pPr>
            <w:r>
              <w:rPr>
                <w:rFonts w:hint="eastAsia" w:ascii="宋体" w:hAnsi="宋体" w:cs="宋体"/>
                <w:sz w:val="20"/>
                <w:szCs w:val="20"/>
              </w:rPr>
              <w:t>共同评分因素</w:t>
            </w:r>
          </w:p>
        </w:tc>
      </w:tr>
    </w:tbl>
    <w:p/>
    <w:p>
      <w:pPr>
        <w:spacing w:line="500" w:lineRule="exact"/>
        <w:ind w:firstLine="560" w:firstLineChars="200"/>
        <w:rPr>
          <w:rFonts w:ascii="宋体" w:hAnsi="宋体"/>
          <w:sz w:val="28"/>
        </w:rPr>
      </w:pPr>
      <w:r>
        <w:rPr>
          <w:rFonts w:hint="eastAsia" w:ascii="宋体" w:hAnsi="宋体"/>
          <w:sz w:val="28"/>
        </w:rPr>
        <w:t>说明：</w:t>
      </w:r>
    </w:p>
    <w:p>
      <w:pPr>
        <w:spacing w:line="500" w:lineRule="exact"/>
        <w:ind w:firstLine="560" w:firstLineChars="200"/>
        <w:rPr>
          <w:rFonts w:ascii="宋体" w:hAnsi="宋体"/>
          <w:sz w:val="28"/>
        </w:rPr>
      </w:pPr>
      <w:r>
        <w:rPr>
          <w:rFonts w:hint="eastAsia" w:ascii="宋体" w:hAnsi="宋体"/>
          <w:sz w:val="28"/>
        </w:rPr>
        <w:t>1、评分的取值按四舍五入法，保留小数点后两位；</w:t>
      </w:r>
    </w:p>
    <w:p>
      <w:pPr>
        <w:spacing w:line="500" w:lineRule="exact"/>
        <w:ind w:firstLine="560" w:firstLineChars="200"/>
        <w:rPr>
          <w:rFonts w:ascii="宋体" w:hAnsi="宋体"/>
          <w:b/>
          <w:bCs/>
          <w:sz w:val="28"/>
          <w:szCs w:val="28"/>
        </w:rPr>
      </w:pPr>
      <w:r>
        <w:rPr>
          <w:rFonts w:hint="eastAsia" w:ascii="宋体" w:hAnsi="宋体"/>
          <w:sz w:val="28"/>
        </w:rPr>
        <w:t>2、评分标准中要求提供复印件的证明材料须清晰可辨。</w:t>
      </w:r>
    </w:p>
    <w:p>
      <w:pPr>
        <w:keepNext/>
        <w:keepLines/>
        <w:numPr>
          <w:ilvl w:val="1"/>
          <w:numId w:val="5"/>
        </w:numPr>
        <w:spacing w:line="360" w:lineRule="auto"/>
        <w:jc w:val="left"/>
        <w:outlineLvl w:val="1"/>
        <w:rPr>
          <w:rFonts w:ascii="宋体" w:hAnsi="宋体"/>
          <w:b/>
          <w:bCs/>
          <w:sz w:val="28"/>
          <w:szCs w:val="28"/>
        </w:rPr>
      </w:pPr>
      <w:bookmarkStart w:id="203" w:name="_Toc85657321"/>
      <w:r>
        <w:rPr>
          <w:rFonts w:hint="eastAsia" w:ascii="宋体" w:hAnsi="宋体"/>
          <w:b/>
          <w:bCs/>
          <w:sz w:val="28"/>
          <w:szCs w:val="28"/>
        </w:rPr>
        <w:t>废标</w:t>
      </w:r>
      <w:bookmarkEnd w:id="203"/>
    </w:p>
    <w:p>
      <w:pPr>
        <w:spacing w:line="360" w:lineRule="auto"/>
        <w:ind w:firstLine="560" w:firstLineChars="200"/>
        <w:rPr>
          <w:rFonts w:ascii="宋体" w:hAnsi="宋体"/>
          <w:sz w:val="28"/>
          <w:szCs w:val="28"/>
        </w:rPr>
      </w:pPr>
      <w:r>
        <w:rPr>
          <w:rFonts w:hint="eastAsia" w:ascii="宋体" w:hAnsi="宋体"/>
          <w:sz w:val="28"/>
          <w:szCs w:val="28"/>
        </w:rPr>
        <w:t>本次政府采购活动中，出现下列情形之一的，予以废标：</w:t>
      </w:r>
    </w:p>
    <w:p>
      <w:pPr>
        <w:numPr>
          <w:ilvl w:val="0"/>
          <w:numId w:val="48"/>
        </w:numPr>
        <w:tabs>
          <w:tab w:val="left" w:pos="1155"/>
        </w:tabs>
        <w:spacing w:line="360" w:lineRule="auto"/>
        <w:ind w:left="0" w:firstLine="525"/>
        <w:rPr>
          <w:rFonts w:ascii="宋体" w:hAnsi="宋体"/>
          <w:sz w:val="28"/>
          <w:szCs w:val="28"/>
        </w:rPr>
      </w:pPr>
      <w:r>
        <w:rPr>
          <w:rFonts w:hint="eastAsia" w:ascii="宋体" w:hAnsi="宋体"/>
          <w:sz w:val="28"/>
          <w:szCs w:val="28"/>
        </w:rPr>
        <w:t>符合专业条件的投标人或者对招标文件作实质响应的投标人不足三家的；</w:t>
      </w:r>
    </w:p>
    <w:p>
      <w:pPr>
        <w:numPr>
          <w:ilvl w:val="0"/>
          <w:numId w:val="48"/>
        </w:numPr>
        <w:tabs>
          <w:tab w:val="left" w:pos="1155"/>
        </w:tabs>
        <w:spacing w:line="360" w:lineRule="auto"/>
        <w:ind w:left="0" w:firstLine="525"/>
        <w:rPr>
          <w:rFonts w:ascii="宋体" w:hAnsi="宋体"/>
          <w:sz w:val="28"/>
          <w:szCs w:val="28"/>
        </w:rPr>
      </w:pPr>
      <w:r>
        <w:rPr>
          <w:rFonts w:hint="eastAsia" w:ascii="宋体" w:hAnsi="宋体"/>
          <w:sz w:val="28"/>
          <w:szCs w:val="28"/>
        </w:rPr>
        <w:t>出现影响采购公正的违法、违规行为的；</w:t>
      </w:r>
    </w:p>
    <w:p>
      <w:pPr>
        <w:numPr>
          <w:ilvl w:val="0"/>
          <w:numId w:val="48"/>
        </w:numPr>
        <w:tabs>
          <w:tab w:val="left" w:pos="1155"/>
        </w:tabs>
        <w:spacing w:line="360" w:lineRule="auto"/>
        <w:ind w:left="0" w:firstLine="525"/>
        <w:rPr>
          <w:rFonts w:ascii="宋体" w:hAnsi="宋体"/>
          <w:sz w:val="28"/>
          <w:szCs w:val="28"/>
        </w:rPr>
      </w:pPr>
      <w:r>
        <w:rPr>
          <w:rFonts w:hint="eastAsia" w:ascii="宋体" w:hAnsi="宋体"/>
          <w:sz w:val="28"/>
          <w:szCs w:val="28"/>
        </w:rPr>
        <w:t>投标人的报价均超过了采购预算，采购人不能支付的；</w:t>
      </w:r>
    </w:p>
    <w:p>
      <w:pPr>
        <w:numPr>
          <w:ilvl w:val="0"/>
          <w:numId w:val="48"/>
        </w:numPr>
        <w:tabs>
          <w:tab w:val="left" w:pos="1155"/>
        </w:tabs>
        <w:spacing w:line="360" w:lineRule="auto"/>
        <w:ind w:left="0" w:firstLine="525"/>
        <w:rPr>
          <w:rFonts w:ascii="宋体" w:hAnsi="宋体"/>
          <w:sz w:val="28"/>
          <w:szCs w:val="28"/>
        </w:rPr>
      </w:pPr>
      <w:r>
        <w:rPr>
          <w:rFonts w:hint="eastAsia" w:ascii="宋体" w:hAnsi="宋体"/>
          <w:sz w:val="28"/>
          <w:szCs w:val="28"/>
        </w:rPr>
        <w:t>因重大变故，采购任务取消的；</w:t>
      </w:r>
    </w:p>
    <w:p>
      <w:pPr>
        <w:numPr>
          <w:ilvl w:val="0"/>
          <w:numId w:val="48"/>
        </w:numPr>
        <w:tabs>
          <w:tab w:val="left" w:pos="1155"/>
        </w:tabs>
        <w:spacing w:line="360" w:lineRule="auto"/>
        <w:ind w:left="0" w:firstLine="525"/>
        <w:rPr>
          <w:rFonts w:ascii="宋体" w:hAnsi="宋体"/>
          <w:sz w:val="28"/>
          <w:szCs w:val="28"/>
        </w:rPr>
      </w:pPr>
      <w:r>
        <w:rPr>
          <w:rFonts w:hint="eastAsia" w:ascii="宋体" w:hAnsi="宋体"/>
          <w:sz w:val="28"/>
          <w:szCs w:val="28"/>
        </w:rPr>
        <w:t>废标后，区公资交易中心将在“四川政府采购网”和“成都市公共资源交易服务中心”网站上公告。</w:t>
      </w:r>
    </w:p>
    <w:p>
      <w:pPr>
        <w:keepNext/>
        <w:keepLines/>
        <w:numPr>
          <w:ilvl w:val="1"/>
          <w:numId w:val="5"/>
        </w:numPr>
        <w:spacing w:line="360" w:lineRule="auto"/>
        <w:jc w:val="left"/>
        <w:outlineLvl w:val="1"/>
        <w:rPr>
          <w:rFonts w:ascii="宋体" w:hAnsi="宋体"/>
          <w:b/>
          <w:bCs/>
          <w:sz w:val="28"/>
          <w:szCs w:val="28"/>
        </w:rPr>
      </w:pPr>
      <w:bookmarkStart w:id="204" w:name="_Toc85657322"/>
      <w:r>
        <w:rPr>
          <w:rFonts w:hint="eastAsia" w:ascii="宋体" w:hAnsi="宋体"/>
          <w:b/>
          <w:bCs/>
          <w:sz w:val="28"/>
          <w:szCs w:val="28"/>
        </w:rPr>
        <w:t>定标</w:t>
      </w:r>
      <w:bookmarkEnd w:id="204"/>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定标原则</w:t>
      </w:r>
    </w:p>
    <w:p>
      <w:pPr>
        <w:spacing w:line="360" w:lineRule="auto"/>
        <w:ind w:firstLine="560" w:firstLineChars="200"/>
        <w:rPr>
          <w:rFonts w:ascii="宋体" w:hAnsi="宋体"/>
          <w:sz w:val="28"/>
          <w:szCs w:val="28"/>
        </w:rPr>
      </w:pPr>
      <w:r>
        <w:rPr>
          <w:rFonts w:hint="eastAsia" w:ascii="宋体" w:hAnsi="宋体"/>
          <w:sz w:val="28"/>
          <w:szCs w:val="28"/>
        </w:rPr>
        <w:t>本项目根据评标委员会确定的中标候选人名单，采购人按顺序确定1名中标人。中标候选供应商并列的，</w:t>
      </w:r>
      <w:r>
        <w:rPr>
          <w:rFonts w:hint="eastAsia" w:ascii="宋体"/>
          <w:sz w:val="28"/>
          <w:szCs w:val="28"/>
        </w:rPr>
        <w:t>由采购人采取随机抽取的方式确定中标人</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cs="Helvetica" w:asciiTheme="minorEastAsia" w:hAnsiTheme="minorEastAsia" w:eastAsiaTheme="minorEastAsia"/>
          <w:kern w:val="0"/>
          <w:sz w:val="28"/>
          <w:szCs w:val="28"/>
        </w:rPr>
        <w:t>采购人在收到评标报告</w:t>
      </w:r>
      <w:r>
        <w:rPr>
          <w:rFonts w:hint="eastAsia" w:cs="宋体" w:asciiTheme="minorEastAsia" w:hAnsiTheme="minorEastAsia" w:eastAsiaTheme="minorEastAsia"/>
          <w:kern w:val="0"/>
          <w:sz w:val="28"/>
          <w:szCs w:val="28"/>
        </w:rPr>
        <w:t>5</w:t>
      </w:r>
      <w:r>
        <w:rPr>
          <w:rFonts w:hint="eastAsia" w:cs="Helvetica" w:asciiTheme="minorEastAsia" w:hAnsiTheme="minorEastAsia" w:eastAsiaTheme="minorEastAsia"/>
          <w:kern w:val="0"/>
          <w:sz w:val="28"/>
          <w:szCs w:val="28"/>
        </w:rPr>
        <w:t>个工作日内未按评标报告推荐的中标候选人顺序确定中标人，又不能说明合法理由的，视同按评标报告推荐的顺序确定排名第一的中标候选人为中标人。</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定标程序</w:t>
      </w:r>
    </w:p>
    <w:p>
      <w:pPr>
        <w:spacing w:line="360" w:lineRule="auto"/>
        <w:ind w:firstLine="560" w:firstLineChars="200"/>
        <w:rPr>
          <w:rFonts w:ascii="宋体" w:hAnsi="宋体" w:cs="Helvetica"/>
          <w:sz w:val="28"/>
          <w:szCs w:val="28"/>
        </w:rPr>
      </w:pPr>
      <w:r>
        <w:rPr>
          <w:rFonts w:hint="eastAsia" w:ascii="宋体" w:hAnsi="宋体" w:cs="Helvetica"/>
          <w:sz w:val="28"/>
          <w:szCs w:val="28"/>
        </w:rPr>
        <w:t>一、评审委员会将评审情况写出书面报告。</w:t>
      </w:r>
    </w:p>
    <w:p>
      <w:pPr>
        <w:spacing w:line="360" w:lineRule="auto"/>
        <w:ind w:firstLine="560" w:firstLineChars="200"/>
        <w:rPr>
          <w:rFonts w:ascii="宋体" w:hAnsi="宋体" w:cs="Helvetica"/>
          <w:sz w:val="28"/>
          <w:szCs w:val="28"/>
        </w:rPr>
      </w:pPr>
      <w:r>
        <w:rPr>
          <w:rFonts w:hint="eastAsia" w:ascii="宋体" w:hAnsi="宋体" w:cs="Helvetica"/>
          <w:sz w:val="28"/>
          <w:szCs w:val="28"/>
        </w:rPr>
        <w:t>二、区公资交易中心在评审结束之日起2个工作日内将评审报告送采购人。</w:t>
      </w:r>
    </w:p>
    <w:p>
      <w:pPr>
        <w:spacing w:line="360" w:lineRule="auto"/>
        <w:ind w:firstLine="560" w:firstLineChars="200"/>
        <w:rPr>
          <w:rFonts w:ascii="宋体" w:hAnsi="宋体" w:cs="Helvetica"/>
          <w:sz w:val="28"/>
          <w:szCs w:val="28"/>
        </w:rPr>
      </w:pPr>
      <w:r>
        <w:rPr>
          <w:rFonts w:hint="eastAsia" w:ascii="宋体" w:hAnsi="宋体" w:cs="Helvetic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cs="Helvetica"/>
          <w:sz w:val="28"/>
          <w:szCs w:val="28"/>
        </w:rPr>
      </w:pPr>
      <w:r>
        <w:rPr>
          <w:rFonts w:hint="eastAsia" w:ascii="宋体" w:hAnsi="宋体" w:cs="Helvetica"/>
          <w:sz w:val="28"/>
          <w:szCs w:val="28"/>
        </w:rPr>
        <w:t>四、根据采购人确定的中标（成交）人，区公资交易中心在“四川政府采购网”和“成都市公共资源交易服务中心”网站上发布中标（成交）公告，同时向中标（成交）人发出中标（成交）通知书。</w:t>
      </w:r>
    </w:p>
    <w:p>
      <w:pPr>
        <w:spacing w:line="360" w:lineRule="auto"/>
        <w:ind w:firstLine="560" w:firstLineChars="200"/>
        <w:rPr>
          <w:rFonts w:ascii="宋体" w:hAnsi="宋体" w:cs="Helvetica"/>
          <w:sz w:val="28"/>
          <w:szCs w:val="28"/>
        </w:rPr>
      </w:pPr>
      <w:r>
        <w:rPr>
          <w:rFonts w:hint="eastAsia" w:ascii="宋体" w:hAnsi="宋体" w:cs="Helvetica"/>
          <w:sz w:val="28"/>
          <w:szCs w:val="28"/>
        </w:rPr>
        <w:t>五、采购人、区公资交易中心不解释中标（成交）或未中标（成交）原因，不退回投标文件和其他投标资料。</w:t>
      </w:r>
    </w:p>
    <w:p>
      <w:pPr>
        <w:keepNext/>
        <w:keepLines/>
        <w:numPr>
          <w:ilvl w:val="1"/>
          <w:numId w:val="5"/>
        </w:numPr>
        <w:spacing w:line="360" w:lineRule="auto"/>
        <w:jc w:val="left"/>
        <w:outlineLvl w:val="1"/>
        <w:rPr>
          <w:rFonts w:ascii="宋体" w:hAnsi="宋体"/>
          <w:b/>
          <w:bCs/>
          <w:sz w:val="28"/>
          <w:szCs w:val="28"/>
        </w:rPr>
      </w:pPr>
      <w:bookmarkStart w:id="205" w:name="_Toc85657323"/>
      <w:r>
        <w:rPr>
          <w:rFonts w:hint="eastAsia" w:ascii="宋体" w:hAnsi="宋体"/>
          <w:b/>
          <w:bCs/>
          <w:sz w:val="28"/>
          <w:szCs w:val="28"/>
        </w:rPr>
        <w:t>评标专家在政府采购活动中承担以下义务</w:t>
      </w:r>
      <w:bookmarkEnd w:id="205"/>
    </w:p>
    <w:p>
      <w:pPr>
        <w:numPr>
          <w:ilvl w:val="0"/>
          <w:numId w:val="49"/>
        </w:numPr>
        <w:tabs>
          <w:tab w:val="left" w:pos="1155"/>
        </w:tabs>
        <w:spacing w:line="360" w:lineRule="auto"/>
        <w:ind w:left="0" w:firstLine="525"/>
        <w:rPr>
          <w:rFonts w:ascii="宋体" w:hAnsi="宋体"/>
          <w:sz w:val="28"/>
          <w:szCs w:val="28"/>
        </w:rPr>
      </w:pPr>
      <w:r>
        <w:rPr>
          <w:rFonts w:hint="eastAsia" w:ascii="宋体" w:hAnsi="宋体"/>
          <w:sz w:val="28"/>
          <w:szCs w:val="28"/>
        </w:rPr>
        <w:t>遵纪守法，客观、公正、廉洁地履行职责。</w:t>
      </w:r>
    </w:p>
    <w:p>
      <w:pPr>
        <w:numPr>
          <w:ilvl w:val="0"/>
          <w:numId w:val="49"/>
        </w:numPr>
        <w:tabs>
          <w:tab w:val="left" w:pos="1155"/>
        </w:tabs>
        <w:spacing w:line="360" w:lineRule="auto"/>
        <w:ind w:left="0" w:firstLine="525"/>
        <w:rPr>
          <w:rFonts w:ascii="宋体" w:hAnsi="宋体"/>
          <w:sz w:val="28"/>
          <w:szCs w:val="28"/>
        </w:rPr>
      </w:pPr>
      <w:r>
        <w:rPr>
          <w:rFonts w:hint="eastAsia" w:ascii="宋体" w:hAnsi="宋体"/>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9"/>
        </w:numPr>
        <w:tabs>
          <w:tab w:val="left" w:pos="1155"/>
        </w:tabs>
        <w:spacing w:line="360" w:lineRule="auto"/>
        <w:ind w:left="0" w:firstLine="525"/>
        <w:rPr>
          <w:rFonts w:ascii="宋体" w:hAnsi="宋体"/>
          <w:sz w:val="28"/>
          <w:szCs w:val="28"/>
        </w:rPr>
      </w:pPr>
      <w:r>
        <w:rPr>
          <w:rFonts w:hint="eastAsia" w:ascii="宋体" w:hAnsi="宋体"/>
          <w:sz w:val="28"/>
          <w:szCs w:val="28"/>
        </w:rPr>
        <w:t>保守秘密。不得泄露投标人的投标文件及知悉的商业秘密，不得向投标人透露评审情况。</w:t>
      </w:r>
    </w:p>
    <w:p>
      <w:pPr>
        <w:numPr>
          <w:ilvl w:val="0"/>
          <w:numId w:val="49"/>
        </w:numPr>
        <w:tabs>
          <w:tab w:val="left" w:pos="1155"/>
        </w:tabs>
        <w:spacing w:line="360" w:lineRule="auto"/>
        <w:ind w:left="0" w:firstLine="525"/>
        <w:rPr>
          <w:rFonts w:ascii="宋体" w:hAnsi="宋体"/>
          <w:sz w:val="28"/>
          <w:szCs w:val="28"/>
        </w:rPr>
      </w:pPr>
      <w:r>
        <w:rPr>
          <w:rFonts w:hint="eastAsia" w:ascii="宋体" w:hAnsi="宋体"/>
          <w:sz w:val="28"/>
          <w:szCs w:val="28"/>
        </w:rPr>
        <w:t>发现投标人在政府采购活动中有不正当竞争或恶意串通等违规行为，及时向政府采购评审工作的组织者或财政部门报告并加以制止。</w:t>
      </w:r>
    </w:p>
    <w:p>
      <w:pPr>
        <w:numPr>
          <w:ilvl w:val="0"/>
          <w:numId w:val="49"/>
        </w:numPr>
        <w:tabs>
          <w:tab w:val="left" w:pos="1155"/>
        </w:tabs>
        <w:spacing w:line="360" w:lineRule="auto"/>
        <w:ind w:left="0" w:firstLine="525"/>
        <w:rPr>
          <w:rFonts w:ascii="宋体" w:hAnsi="宋体"/>
          <w:sz w:val="28"/>
          <w:szCs w:val="28"/>
        </w:rPr>
      </w:pPr>
      <w:r>
        <w:rPr>
          <w:rFonts w:hint="eastAsia" w:ascii="宋体" w:hAnsi="宋体"/>
          <w:sz w:val="28"/>
          <w:szCs w:val="28"/>
        </w:rPr>
        <w:t>发现采购人、区公资交易中心及其工作人员在政府采购活动中有干预评审、发表倾向性和歧视性言论、受贿或者接受投标人的其他好处及其他违法违规行为，及时向财政部门报告。</w:t>
      </w:r>
    </w:p>
    <w:p>
      <w:pPr>
        <w:numPr>
          <w:ilvl w:val="0"/>
          <w:numId w:val="49"/>
        </w:numPr>
        <w:tabs>
          <w:tab w:val="left" w:pos="1155"/>
        </w:tabs>
        <w:spacing w:line="360" w:lineRule="auto"/>
        <w:ind w:left="0" w:firstLine="525"/>
        <w:rPr>
          <w:rFonts w:ascii="宋体" w:hAnsi="宋体"/>
          <w:sz w:val="28"/>
          <w:szCs w:val="28"/>
        </w:rPr>
      </w:pPr>
      <w:r>
        <w:rPr>
          <w:rFonts w:hint="eastAsia" w:ascii="宋体" w:hAnsi="宋体"/>
          <w:sz w:val="28"/>
          <w:szCs w:val="28"/>
        </w:rPr>
        <w:t>解答有关方面对政府采购评审工作中有关问题的询问，配合采购人或者区公资交易中心答复投标人的询问、质疑，配合财政部门的投诉处理工作等事宜。</w:t>
      </w:r>
    </w:p>
    <w:p>
      <w:pPr>
        <w:numPr>
          <w:ilvl w:val="0"/>
          <w:numId w:val="49"/>
        </w:numPr>
        <w:tabs>
          <w:tab w:val="left" w:pos="1155"/>
        </w:tabs>
        <w:spacing w:line="360" w:lineRule="auto"/>
        <w:ind w:left="0" w:firstLine="525"/>
        <w:rPr>
          <w:rFonts w:ascii="宋体" w:hAnsi="宋体"/>
          <w:sz w:val="28"/>
          <w:szCs w:val="28"/>
        </w:rPr>
      </w:pPr>
      <w:r>
        <w:rPr>
          <w:rFonts w:hint="eastAsia" w:ascii="宋体" w:hAnsi="宋体"/>
          <w:sz w:val="28"/>
          <w:szCs w:val="28"/>
        </w:rPr>
        <w:t>法律、法规和规章规定的其他义务。</w:t>
      </w:r>
    </w:p>
    <w:p>
      <w:pPr>
        <w:keepNext/>
        <w:keepLines/>
        <w:numPr>
          <w:ilvl w:val="1"/>
          <w:numId w:val="5"/>
        </w:numPr>
        <w:spacing w:line="360" w:lineRule="auto"/>
        <w:jc w:val="left"/>
        <w:outlineLvl w:val="1"/>
        <w:rPr>
          <w:rFonts w:ascii="宋体" w:hAnsi="宋体"/>
          <w:b/>
          <w:bCs/>
          <w:sz w:val="28"/>
          <w:szCs w:val="28"/>
        </w:rPr>
      </w:pPr>
      <w:bookmarkStart w:id="206" w:name="_Toc85657324"/>
      <w:r>
        <w:rPr>
          <w:rFonts w:hint="eastAsia" w:ascii="宋体" w:hAnsi="宋体"/>
          <w:b/>
          <w:bCs/>
          <w:sz w:val="28"/>
          <w:szCs w:val="28"/>
        </w:rPr>
        <w:t>评标委员会及其成员不得有下列行为</w:t>
      </w:r>
      <w:bookmarkEnd w:id="206"/>
    </w:p>
    <w:p>
      <w:pPr>
        <w:numPr>
          <w:ilvl w:val="0"/>
          <w:numId w:val="50"/>
        </w:numPr>
        <w:tabs>
          <w:tab w:val="left" w:pos="1155"/>
        </w:tabs>
        <w:spacing w:line="360" w:lineRule="auto"/>
        <w:rPr>
          <w:rFonts w:ascii="宋体" w:hAnsi="宋体"/>
          <w:sz w:val="28"/>
          <w:szCs w:val="28"/>
        </w:rPr>
      </w:pPr>
      <w:r>
        <w:rPr>
          <w:rFonts w:hint="eastAsia" w:ascii="宋体" w:hAnsi="宋体"/>
          <w:sz w:val="28"/>
          <w:szCs w:val="28"/>
        </w:rPr>
        <w:t>确定参与评标至评标结束前私自接触投标人；</w:t>
      </w:r>
    </w:p>
    <w:p>
      <w:pPr>
        <w:numPr>
          <w:ilvl w:val="0"/>
          <w:numId w:val="50"/>
        </w:numPr>
        <w:tabs>
          <w:tab w:val="left" w:pos="1155"/>
        </w:tabs>
        <w:spacing w:line="360" w:lineRule="auto"/>
        <w:ind w:left="0" w:firstLine="567"/>
        <w:rPr>
          <w:rFonts w:ascii="宋体" w:hAnsi="宋体"/>
          <w:sz w:val="28"/>
          <w:szCs w:val="28"/>
        </w:rPr>
      </w:pPr>
      <w:r>
        <w:rPr>
          <w:rFonts w:hint="eastAsia" w:ascii="宋体" w:hAnsi="宋体"/>
          <w:sz w:val="28"/>
          <w:szCs w:val="28"/>
        </w:rPr>
        <w:t>接受投标人提出的与投标文件不一致的澄清或者说明，除招标文件明确可以澄清的除外；</w:t>
      </w:r>
    </w:p>
    <w:p>
      <w:pPr>
        <w:numPr>
          <w:ilvl w:val="0"/>
          <w:numId w:val="50"/>
        </w:numPr>
        <w:tabs>
          <w:tab w:val="left" w:pos="1155"/>
        </w:tabs>
        <w:spacing w:line="360" w:lineRule="auto"/>
        <w:ind w:left="0" w:firstLine="567"/>
        <w:rPr>
          <w:rFonts w:ascii="宋体" w:hAnsi="宋体"/>
          <w:sz w:val="28"/>
          <w:szCs w:val="28"/>
        </w:rPr>
      </w:pPr>
      <w:r>
        <w:rPr>
          <w:rFonts w:hint="eastAsia" w:ascii="宋体" w:hAnsi="宋体"/>
          <w:sz w:val="28"/>
          <w:szCs w:val="28"/>
        </w:rPr>
        <w:t>违反评标纪律发表倾向性意见或者征询采购人的倾向性意见；</w:t>
      </w:r>
    </w:p>
    <w:p>
      <w:pPr>
        <w:numPr>
          <w:ilvl w:val="0"/>
          <w:numId w:val="50"/>
        </w:numPr>
        <w:tabs>
          <w:tab w:val="left" w:pos="1155"/>
        </w:tabs>
        <w:spacing w:line="360" w:lineRule="auto"/>
        <w:rPr>
          <w:rFonts w:ascii="宋体" w:hAnsi="宋体"/>
          <w:sz w:val="28"/>
          <w:szCs w:val="28"/>
        </w:rPr>
      </w:pPr>
      <w:r>
        <w:rPr>
          <w:rFonts w:hint="eastAsia" w:ascii="宋体" w:hAnsi="宋体"/>
          <w:sz w:val="28"/>
          <w:szCs w:val="28"/>
        </w:rPr>
        <w:t>对需要专业判断的主观评审因素协商评分；</w:t>
      </w:r>
    </w:p>
    <w:p>
      <w:pPr>
        <w:numPr>
          <w:ilvl w:val="0"/>
          <w:numId w:val="50"/>
        </w:numPr>
        <w:tabs>
          <w:tab w:val="left" w:pos="1155"/>
        </w:tabs>
        <w:spacing w:line="360" w:lineRule="auto"/>
        <w:rPr>
          <w:rFonts w:ascii="宋体" w:hAnsi="宋体"/>
          <w:sz w:val="28"/>
          <w:szCs w:val="28"/>
        </w:rPr>
      </w:pPr>
      <w:r>
        <w:rPr>
          <w:rFonts w:hint="eastAsia" w:ascii="宋体" w:hAnsi="宋体"/>
          <w:sz w:val="28"/>
          <w:szCs w:val="28"/>
        </w:rPr>
        <w:t>在评标过程中擅离职守，影响评标程序正常进行的；</w:t>
      </w:r>
    </w:p>
    <w:p>
      <w:pPr>
        <w:numPr>
          <w:ilvl w:val="0"/>
          <w:numId w:val="50"/>
        </w:numPr>
        <w:tabs>
          <w:tab w:val="left" w:pos="1155"/>
        </w:tabs>
        <w:spacing w:line="360" w:lineRule="auto"/>
        <w:rPr>
          <w:rFonts w:ascii="宋体" w:hAnsi="宋体"/>
          <w:sz w:val="28"/>
          <w:szCs w:val="28"/>
        </w:rPr>
      </w:pPr>
      <w:r>
        <w:rPr>
          <w:rFonts w:hint="eastAsia" w:ascii="宋体" w:hAnsi="宋体"/>
          <w:sz w:val="28"/>
          <w:szCs w:val="28"/>
        </w:rPr>
        <w:t>记录、复制或者带走任何评标资料；</w:t>
      </w:r>
    </w:p>
    <w:p>
      <w:pPr>
        <w:numPr>
          <w:ilvl w:val="0"/>
          <w:numId w:val="50"/>
        </w:numPr>
        <w:tabs>
          <w:tab w:val="left" w:pos="1155"/>
        </w:tabs>
        <w:spacing w:line="360" w:lineRule="auto"/>
        <w:rPr>
          <w:rFonts w:ascii="宋体" w:hAnsi="宋体"/>
          <w:sz w:val="28"/>
          <w:szCs w:val="28"/>
        </w:rPr>
      </w:pPr>
      <w:r>
        <w:rPr>
          <w:rFonts w:hint="eastAsia" w:ascii="宋体" w:hAnsi="宋体"/>
          <w:sz w:val="28"/>
          <w:szCs w:val="28"/>
        </w:rPr>
        <w:t>其他不遵守评标纪律的行为。</w:t>
      </w:r>
    </w:p>
    <w:p>
      <w:pPr>
        <w:spacing w:line="360" w:lineRule="auto"/>
        <w:ind w:firstLine="560" w:firstLineChars="200"/>
        <w:rPr>
          <w:sz w:val="28"/>
          <w:szCs w:val="28"/>
        </w:rPr>
      </w:pPr>
      <w:r>
        <w:rPr>
          <w:rFonts w:hint="eastAsia"/>
          <w:sz w:val="28"/>
          <w:szCs w:val="28"/>
        </w:rPr>
        <w:t>评标委员会成员有前款第一至五项行为之一的，其评审意见无效，并不得获取评审劳务报酬和报销异地评审差旅费。</w:t>
      </w:r>
    </w:p>
    <w:p>
      <w:pPr>
        <w:keepNext/>
        <w:keepLines/>
        <w:numPr>
          <w:ilvl w:val="1"/>
          <w:numId w:val="5"/>
        </w:numPr>
        <w:spacing w:line="360" w:lineRule="auto"/>
        <w:jc w:val="left"/>
        <w:outlineLvl w:val="1"/>
        <w:rPr>
          <w:rFonts w:ascii="宋体" w:hAnsi="宋体"/>
          <w:b/>
          <w:bCs/>
          <w:sz w:val="28"/>
          <w:szCs w:val="28"/>
        </w:rPr>
      </w:pPr>
      <w:bookmarkStart w:id="207" w:name="_Toc85657325"/>
      <w:r>
        <w:rPr>
          <w:rFonts w:hint="eastAsia" w:ascii="宋体" w:hAnsi="宋体"/>
          <w:b/>
          <w:bCs/>
          <w:sz w:val="28"/>
          <w:szCs w:val="28"/>
        </w:rPr>
        <w:t>评标专家在政府采购活动中应当遵守以下工作纪律</w:t>
      </w:r>
      <w:bookmarkEnd w:id="207"/>
    </w:p>
    <w:p>
      <w:pPr>
        <w:numPr>
          <w:ilvl w:val="0"/>
          <w:numId w:val="51"/>
        </w:numPr>
        <w:tabs>
          <w:tab w:val="left" w:pos="1155"/>
        </w:tabs>
        <w:spacing w:line="360" w:lineRule="auto"/>
        <w:ind w:left="0" w:firstLine="527"/>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numPr>
          <w:ilvl w:val="0"/>
          <w:numId w:val="51"/>
        </w:numPr>
        <w:tabs>
          <w:tab w:val="left" w:pos="1155"/>
        </w:tabs>
        <w:spacing w:line="360" w:lineRule="auto"/>
        <w:ind w:left="0" w:firstLine="527"/>
        <w:rPr>
          <w:rFonts w:ascii="宋体" w:hAnsi="宋体"/>
          <w:sz w:val="28"/>
          <w:szCs w:val="28"/>
        </w:rPr>
      </w:pPr>
      <w:r>
        <w:rPr>
          <w:rFonts w:hint="eastAsia" w:ascii="宋体" w:hAnsi="宋体"/>
          <w:sz w:val="28"/>
          <w:szCs w:val="28"/>
        </w:rPr>
        <w:t>应邀按时参加评审和咨询活动，遵守评标区管理规定。</w:t>
      </w:r>
    </w:p>
    <w:p>
      <w:pPr>
        <w:numPr>
          <w:ilvl w:val="0"/>
          <w:numId w:val="51"/>
        </w:numPr>
        <w:tabs>
          <w:tab w:val="left" w:pos="1155"/>
        </w:tabs>
        <w:spacing w:line="360" w:lineRule="auto"/>
        <w:ind w:left="0" w:firstLine="527"/>
        <w:rPr>
          <w:rFonts w:ascii="宋体" w:hAnsi="宋体"/>
          <w:sz w:val="28"/>
          <w:szCs w:val="28"/>
        </w:rPr>
      </w:pPr>
      <w:r>
        <w:rPr>
          <w:rFonts w:hint="eastAsia" w:ascii="宋体" w:hAnsi="宋体"/>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sz w:val="28"/>
          <w:szCs w:val="28"/>
        </w:rPr>
        <w:t>区公资交易中心</w:t>
      </w:r>
      <w:r>
        <w:rPr>
          <w:rFonts w:hint="eastAsia" w:ascii="宋体" w:hAnsi="宋体"/>
          <w:sz w:val="28"/>
          <w:szCs w:val="28"/>
        </w:rPr>
        <w:t>，不得私自转托他人。</w:t>
      </w:r>
    </w:p>
    <w:p>
      <w:pPr>
        <w:numPr>
          <w:ilvl w:val="0"/>
          <w:numId w:val="51"/>
        </w:numPr>
        <w:tabs>
          <w:tab w:val="left" w:pos="1155"/>
        </w:tabs>
        <w:spacing w:line="360" w:lineRule="auto"/>
        <w:ind w:left="0" w:firstLine="527"/>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cs="Arial"/>
          <w:sz w:val="28"/>
          <w:szCs w:val="28"/>
        </w:rPr>
        <w:t>区公资交易中心</w:t>
      </w:r>
      <w:r>
        <w:rPr>
          <w:rFonts w:hint="eastAsia" w:ascii="宋体" w:hAnsi="宋体"/>
          <w:sz w:val="28"/>
          <w:szCs w:val="28"/>
        </w:rPr>
        <w:t>也可要求该评标专家回避。</w:t>
      </w:r>
    </w:p>
    <w:p>
      <w:pPr>
        <w:numPr>
          <w:ilvl w:val="0"/>
          <w:numId w:val="51"/>
        </w:numPr>
        <w:tabs>
          <w:tab w:val="left" w:pos="1155"/>
        </w:tabs>
        <w:spacing w:line="360" w:lineRule="auto"/>
        <w:ind w:left="0" w:firstLine="527"/>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51"/>
        </w:numPr>
        <w:tabs>
          <w:tab w:val="left" w:pos="1155"/>
        </w:tabs>
        <w:spacing w:line="360" w:lineRule="auto"/>
        <w:ind w:left="0" w:firstLine="527"/>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51"/>
        </w:numPr>
        <w:tabs>
          <w:tab w:val="left" w:pos="1155"/>
        </w:tabs>
        <w:spacing w:line="360" w:lineRule="auto"/>
        <w:ind w:left="0" w:firstLine="527"/>
        <w:rPr>
          <w:rFonts w:ascii="宋体" w:hAnsi="宋体"/>
          <w:sz w:val="28"/>
          <w:szCs w:val="28"/>
        </w:rPr>
      </w:pPr>
      <w:r>
        <w:rPr>
          <w:rFonts w:hint="eastAsia" w:ascii="宋体" w:hAnsi="宋体"/>
          <w:sz w:val="28"/>
          <w:szCs w:val="28"/>
        </w:rPr>
        <w:t>在评标过程中和评标结束后，不得记录、复制或带走任何评标资料，除因规定的义务外，不得向外界透露评标内容。</w:t>
      </w:r>
    </w:p>
    <w:p>
      <w:pPr>
        <w:numPr>
          <w:ilvl w:val="0"/>
          <w:numId w:val="51"/>
        </w:numPr>
        <w:tabs>
          <w:tab w:val="left" w:pos="1155"/>
        </w:tabs>
        <w:spacing w:line="360" w:lineRule="auto"/>
        <w:ind w:left="0" w:firstLine="527"/>
        <w:rPr>
          <w:rFonts w:ascii="宋体" w:hAnsi="宋体"/>
          <w:sz w:val="28"/>
          <w:szCs w:val="28"/>
        </w:rPr>
      </w:pPr>
      <w:r>
        <w:rPr>
          <w:rFonts w:hint="eastAsia" w:ascii="宋体" w:hAnsi="宋体"/>
          <w:sz w:val="28"/>
          <w:szCs w:val="28"/>
        </w:rPr>
        <w:t>服从评标现场</w:t>
      </w:r>
      <w:r>
        <w:rPr>
          <w:rFonts w:hint="eastAsia" w:cs="Arial"/>
          <w:sz w:val="28"/>
          <w:szCs w:val="28"/>
        </w:rPr>
        <w:t>区公资交易中心</w:t>
      </w:r>
      <w:r>
        <w:rPr>
          <w:rFonts w:hint="eastAsia" w:ascii="宋体" w:hAnsi="宋体"/>
          <w:sz w:val="28"/>
          <w:szCs w:val="28"/>
        </w:rPr>
        <w:t>的现场秩序管理，接受评标现场监督人员的合法监督。</w:t>
      </w:r>
    </w:p>
    <w:p>
      <w:pPr>
        <w:numPr>
          <w:ilvl w:val="0"/>
          <w:numId w:val="51"/>
        </w:numPr>
        <w:tabs>
          <w:tab w:val="left" w:pos="1155"/>
        </w:tabs>
        <w:spacing w:line="360" w:lineRule="auto"/>
        <w:ind w:left="0" w:firstLine="527"/>
        <w:rPr>
          <w:rFonts w:ascii="宋体" w:hAnsi="宋体"/>
          <w:sz w:val="28"/>
          <w:szCs w:val="28"/>
        </w:rPr>
      </w:pPr>
      <w:r>
        <w:rPr>
          <w:rFonts w:hint="eastAsia" w:ascii="宋体" w:hAnsi="宋体"/>
          <w:sz w:val="28"/>
          <w:szCs w:val="28"/>
        </w:rPr>
        <w:t>遵守有关廉洁自律规定，不得私下接触投标人，不得收受投标人及有关业务单位和个人的财物或好处，不得接受采购组织单位的请托。</w:t>
      </w:r>
    </w:p>
    <w:p>
      <w:pPr>
        <w:numPr>
          <w:ilvl w:val="0"/>
          <w:numId w:val="51"/>
        </w:numPr>
        <w:tabs>
          <w:tab w:val="left" w:pos="1155"/>
        </w:tabs>
        <w:spacing w:line="360" w:lineRule="auto"/>
        <w:ind w:left="0" w:firstLine="527"/>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numPr>
          <w:ilvl w:val="0"/>
          <w:numId w:val="51"/>
        </w:numPr>
        <w:tabs>
          <w:tab w:val="left" w:pos="1155"/>
          <w:tab w:val="left" w:pos="1276"/>
          <w:tab w:val="left" w:pos="1418"/>
        </w:tabs>
        <w:spacing w:line="360" w:lineRule="auto"/>
        <w:ind w:left="527" w:firstLine="40"/>
        <w:rPr>
          <w:rFonts w:ascii="宋体" w:hAnsi="宋体"/>
          <w:sz w:val="28"/>
          <w:szCs w:val="28"/>
        </w:rPr>
      </w:pPr>
      <w:r>
        <w:rPr>
          <w:rFonts w:hint="eastAsia" w:ascii="宋体" w:hAnsi="宋体"/>
          <w:sz w:val="28"/>
          <w:szCs w:val="28"/>
        </w:rPr>
        <w:t>有关部门（机构）制定的其他评审工作纪律。</w:t>
      </w: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pStyle w:val="2"/>
      </w:pPr>
    </w:p>
    <w:p/>
    <w:p>
      <w:pPr>
        <w:pStyle w:val="51"/>
      </w:pPr>
    </w:p>
    <w:p/>
    <w:p>
      <w:pPr>
        <w:pStyle w:val="51"/>
      </w:pPr>
    </w:p>
    <w:p/>
    <w:p>
      <w:pPr>
        <w:pStyle w:val="51"/>
      </w:pPr>
    </w:p>
    <w:p/>
    <w:p>
      <w:pPr>
        <w:pStyle w:val="51"/>
      </w:pPr>
    </w:p>
    <w:p/>
    <w:p>
      <w:pPr>
        <w:pStyle w:val="51"/>
      </w:pPr>
    </w:p>
    <w:p/>
    <w:p>
      <w:pPr>
        <w:pStyle w:val="51"/>
      </w:pPr>
    </w:p>
    <w:p/>
    <w:p>
      <w:pPr>
        <w:pStyle w:val="51"/>
      </w:pPr>
    </w:p>
    <w:p/>
    <w:bookmarkEnd w:id="0"/>
    <w:bookmarkEnd w:id="1"/>
    <w:bookmarkEnd w:id="2"/>
    <w:bookmarkEnd w:id="3"/>
    <w:bookmarkEnd w:id="168"/>
    <w:bookmarkEnd w:id="169"/>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208" w:name="_Toc85657326"/>
      <w:bookmarkStart w:id="209" w:name="_Toc8573798"/>
      <w:bookmarkStart w:id="210" w:name="_Toc217446108"/>
      <w:bookmarkStart w:id="211" w:name="_Toc34729074"/>
      <w:r>
        <w:rPr>
          <w:rFonts w:hint="eastAsia" w:ascii="宋体" w:hAnsi="宋体"/>
          <w:b/>
          <w:bCs/>
          <w:spacing w:val="-20"/>
          <w:kern w:val="44"/>
          <w:sz w:val="32"/>
          <w:szCs w:val="32"/>
        </w:rPr>
        <w:t>政府采购合同</w:t>
      </w:r>
      <w:bookmarkEnd w:id="208"/>
    </w:p>
    <w:bookmarkEnd w:id="209"/>
    <w:bookmarkEnd w:id="210"/>
    <w:bookmarkEnd w:id="211"/>
    <w:p>
      <w:pPr>
        <w:tabs>
          <w:tab w:val="left" w:pos="1134"/>
        </w:tabs>
        <w:spacing w:line="560" w:lineRule="exact"/>
        <w:jc w:val="center"/>
        <w:rPr>
          <w:rFonts w:ascii="宋体" w:hAnsi="宋体"/>
          <w:b/>
          <w:bCs/>
          <w:sz w:val="28"/>
          <w:szCs w:val="28"/>
          <w:u w:val="single"/>
        </w:rPr>
      </w:pPr>
      <w:r>
        <w:rPr>
          <w:rFonts w:hint="eastAsia" w:ascii="宋体" w:hAnsi="宋体"/>
          <w:b/>
          <w:bCs/>
          <w:sz w:val="28"/>
          <w:szCs w:val="28"/>
          <w:u w:val="single"/>
        </w:rPr>
        <w:t>成都市双流区教育技术装备管理中心2021年艺体中学等2校学术厅显示系统采购项目</w:t>
      </w:r>
    </w:p>
    <w:p>
      <w:pPr>
        <w:spacing w:line="360" w:lineRule="auto"/>
        <w:ind w:firstLine="480" w:firstLineChars="200"/>
        <w:rPr>
          <w:rFonts w:ascii="宋体" w:hAnsi="宋体" w:cs="宋体"/>
          <w:sz w:val="24"/>
        </w:rPr>
      </w:pPr>
      <w:r>
        <w:rPr>
          <w:rFonts w:hint="eastAsia" w:ascii="宋体" w:hAnsi="宋体" w:cs="宋体"/>
          <w:sz w:val="24"/>
        </w:rPr>
        <w:t>合同编号：</w:t>
      </w:r>
      <w:r>
        <w:rPr>
          <w:rFonts w:hint="eastAsia" w:ascii="宋体" w:hAnsi="宋体" w:cs="宋体"/>
          <w:szCs w:val="21"/>
        </w:rPr>
        <w:t>XXXX。</w:t>
      </w:r>
    </w:p>
    <w:p>
      <w:pPr>
        <w:spacing w:line="360" w:lineRule="auto"/>
        <w:ind w:firstLine="480" w:firstLineChars="200"/>
        <w:rPr>
          <w:rFonts w:ascii="宋体" w:hAnsi="宋体" w:cs="宋体"/>
          <w:sz w:val="24"/>
        </w:rPr>
      </w:pPr>
      <w:r>
        <w:rPr>
          <w:rFonts w:hint="eastAsia" w:ascii="宋体" w:hAnsi="宋体" w:cs="宋体"/>
          <w:sz w:val="24"/>
        </w:rPr>
        <w:t>签订地点：</w:t>
      </w:r>
      <w:r>
        <w:rPr>
          <w:rFonts w:hint="eastAsia" w:ascii="宋体" w:hAnsi="宋体" w:cs="宋体"/>
          <w:szCs w:val="21"/>
        </w:rPr>
        <w:t>XXXX。</w:t>
      </w:r>
    </w:p>
    <w:p>
      <w:pPr>
        <w:spacing w:line="360" w:lineRule="auto"/>
        <w:ind w:firstLine="480" w:firstLineChars="200"/>
        <w:rPr>
          <w:rFonts w:ascii="宋体" w:hAnsi="宋体" w:cs="宋体"/>
          <w:sz w:val="24"/>
        </w:rPr>
      </w:pPr>
      <w:r>
        <w:rPr>
          <w:rFonts w:hint="eastAsia" w:ascii="宋体" w:hAnsi="宋体" w:cs="宋体"/>
          <w:sz w:val="24"/>
        </w:rPr>
        <w:t>签订时间：</w:t>
      </w:r>
      <w:r>
        <w:rPr>
          <w:rFonts w:hint="eastAsia" w:ascii="宋体" w:hAnsi="宋体" w:cs="宋体"/>
          <w:szCs w:val="21"/>
        </w:rPr>
        <w:t>XXXX</w:t>
      </w:r>
      <w:r>
        <w:rPr>
          <w:rFonts w:hint="eastAsia" w:ascii="宋体" w:hAnsi="宋体" w:cs="宋体"/>
          <w:sz w:val="24"/>
        </w:rPr>
        <w:t>年</w:t>
      </w:r>
      <w:r>
        <w:rPr>
          <w:rFonts w:hint="eastAsia" w:ascii="宋体" w:hAnsi="宋体" w:cs="宋体"/>
          <w:szCs w:val="21"/>
        </w:rPr>
        <w:t>XX</w:t>
      </w:r>
      <w:r>
        <w:rPr>
          <w:rFonts w:hint="eastAsia" w:ascii="宋体" w:hAnsi="宋体" w:cs="宋体"/>
          <w:sz w:val="24"/>
        </w:rPr>
        <w:t>月</w:t>
      </w:r>
      <w:r>
        <w:rPr>
          <w:rFonts w:hint="eastAsia" w:ascii="宋体" w:hAnsi="宋体" w:cs="宋体"/>
          <w:szCs w:val="21"/>
        </w:rPr>
        <w:t>XX</w:t>
      </w:r>
      <w:r>
        <w:rPr>
          <w:rFonts w:hint="eastAsia" w:ascii="宋体" w:hAnsi="宋体" w:cs="宋体"/>
          <w:sz w:val="24"/>
        </w:rPr>
        <w:t>日。</w:t>
      </w:r>
    </w:p>
    <w:p>
      <w:pPr>
        <w:spacing w:line="360" w:lineRule="auto"/>
        <w:ind w:firstLine="480" w:firstLineChars="200"/>
        <w:rPr>
          <w:rFonts w:ascii="宋体" w:hAnsi="宋体" w:cs="宋体"/>
          <w:sz w:val="24"/>
        </w:rPr>
      </w:pPr>
      <w:r>
        <w:rPr>
          <w:rFonts w:hint="eastAsia" w:ascii="宋体" w:hAnsi="宋体" w:cs="宋体"/>
          <w:sz w:val="24"/>
        </w:rPr>
        <w:t>采购人（甲方）：</w:t>
      </w:r>
    </w:p>
    <w:p>
      <w:pPr>
        <w:spacing w:line="360" w:lineRule="auto"/>
        <w:ind w:firstLine="480" w:firstLineChars="200"/>
        <w:rPr>
          <w:rFonts w:ascii="宋体" w:hAnsi="宋体" w:cs="宋体"/>
          <w:sz w:val="24"/>
        </w:rPr>
      </w:pPr>
      <w:r>
        <w:rPr>
          <w:rFonts w:hint="eastAsia" w:ascii="宋体" w:hAnsi="宋体" w:cs="宋体"/>
          <w:sz w:val="24"/>
        </w:rPr>
        <w:t>供应商（乙方）：</w:t>
      </w:r>
    </w:p>
    <w:p>
      <w:pPr>
        <w:spacing w:line="400" w:lineRule="exact"/>
        <w:rPr>
          <w:rFonts w:ascii="宋体" w:hAnsi="宋体" w:cs="宋体"/>
          <w:sz w:val="24"/>
        </w:rPr>
      </w:pPr>
    </w:p>
    <w:p>
      <w:pPr>
        <w:pStyle w:val="104"/>
        <w:spacing w:line="360" w:lineRule="auto"/>
        <w:ind w:firstLine="480"/>
        <w:rPr>
          <w:rFonts w:ascii="宋体" w:hAnsi="宋体"/>
        </w:rPr>
      </w:pPr>
      <w:bookmarkStart w:id="212" w:name="_Toc217446107"/>
      <w:r>
        <w:rPr>
          <w:rFonts w:hint="eastAsia" w:ascii="宋体" w:hAnsi="宋体"/>
        </w:rPr>
        <w:t>根据《中华人民共和国民法典》《中华人民共和国政府采购法》、及</w:t>
      </w:r>
      <w:r>
        <w:rPr>
          <w:rFonts w:hint="eastAsia" w:ascii="宋体" w:hAnsi="宋体"/>
          <w:szCs w:val="21"/>
        </w:rPr>
        <w:t>XXXX</w:t>
      </w:r>
      <w:r>
        <w:rPr>
          <w:rFonts w:hint="eastAsia" w:ascii="宋体" w:hAnsi="宋体"/>
        </w:rPr>
        <w:t>采购项目（项目编号：</w:t>
      </w:r>
      <w:r>
        <w:rPr>
          <w:rFonts w:hint="eastAsia" w:ascii="宋体" w:hAnsi="宋体"/>
          <w:szCs w:val="21"/>
        </w:rPr>
        <w:t>XX</w:t>
      </w:r>
      <w:r>
        <w:rPr>
          <w:rFonts w:hint="eastAsia" w:ascii="宋体" w:hAnsi="宋体"/>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bookmarkEnd w:id="212"/>
    <w:p>
      <w:pPr>
        <w:numPr>
          <w:ilvl w:val="0"/>
          <w:numId w:val="52"/>
        </w:numPr>
        <w:spacing w:line="360" w:lineRule="auto"/>
        <w:ind w:firstLine="482" w:firstLineChars="200"/>
        <w:rPr>
          <w:rFonts w:ascii="宋体" w:hAnsi="宋体" w:cs="宋体"/>
          <w:b/>
          <w:bCs/>
          <w:sz w:val="24"/>
          <w:szCs w:val="24"/>
        </w:rPr>
      </w:pPr>
      <w:r>
        <w:rPr>
          <w:rFonts w:hint="eastAsia" w:ascii="宋体" w:hAnsi="宋体" w:cs="宋体"/>
          <w:b/>
          <w:bCs/>
          <w:sz w:val="24"/>
          <w:szCs w:val="24"/>
        </w:rPr>
        <w:t>合同货物</w:t>
      </w:r>
    </w:p>
    <w:tbl>
      <w:tblPr>
        <w:tblStyle w:val="44"/>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545"/>
        <w:gridCol w:w="1029"/>
        <w:gridCol w:w="705"/>
        <w:gridCol w:w="882"/>
        <w:gridCol w:w="1059"/>
        <w:gridCol w:w="1162"/>
        <w:gridCol w:w="1235"/>
        <w:gridCol w:w="12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83" w:hRule="atLeast"/>
        </w:trPr>
        <w:tc>
          <w:tcPr>
            <w:tcW w:w="872" w:type="pct"/>
            <w:tcBorders>
              <w:top w:val="single" w:color="auto" w:sz="4" w:space="0"/>
              <w:left w:val="single" w:color="auto" w:sz="4" w:space="0"/>
              <w:bottom w:val="single" w:color="auto" w:sz="4" w:space="0"/>
              <w:right w:val="single" w:color="auto" w:sz="4" w:space="0"/>
            </w:tcBorders>
            <w:vAlign w:val="center"/>
          </w:tcPr>
          <w:p>
            <w:pPr>
              <w:spacing w:line="360" w:lineRule="auto"/>
              <w:ind w:firstLine="240" w:firstLineChars="100"/>
              <w:rPr>
                <w:rFonts w:ascii="宋体" w:hAnsi="宋体" w:cs="宋体"/>
                <w:sz w:val="24"/>
              </w:rPr>
            </w:pPr>
            <w:r>
              <w:rPr>
                <w:rFonts w:hint="eastAsia" w:ascii="宋体" w:hAnsi="宋体" w:cs="宋体"/>
                <w:sz w:val="24"/>
              </w:rPr>
              <w:t>货物品名</w:t>
            </w:r>
          </w:p>
        </w:tc>
        <w:tc>
          <w:tcPr>
            <w:tcW w:w="58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规格</w:t>
            </w:r>
          </w:p>
          <w:p>
            <w:pPr>
              <w:spacing w:line="360" w:lineRule="auto"/>
              <w:jc w:val="center"/>
              <w:rPr>
                <w:rFonts w:ascii="宋体" w:hAnsi="宋体" w:cs="宋体"/>
                <w:sz w:val="24"/>
              </w:rPr>
            </w:pPr>
            <w:r>
              <w:rPr>
                <w:rFonts w:hint="eastAsia" w:ascii="宋体" w:hAnsi="宋体" w:cs="宋体"/>
                <w:sz w:val="24"/>
              </w:rPr>
              <w:t>型号</w:t>
            </w:r>
          </w:p>
        </w:tc>
        <w:tc>
          <w:tcPr>
            <w:tcW w:w="398"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r>
              <w:rPr>
                <w:rFonts w:hint="eastAsia" w:ascii="宋体" w:hAnsi="宋体" w:cs="宋体"/>
                <w:sz w:val="24"/>
              </w:rPr>
              <w:t>单位</w:t>
            </w:r>
          </w:p>
        </w:tc>
        <w:tc>
          <w:tcPr>
            <w:tcW w:w="498" w:type="pct"/>
            <w:tcBorders>
              <w:top w:val="single" w:color="auto" w:sz="4" w:space="0"/>
              <w:left w:val="single" w:color="auto" w:sz="4" w:space="0"/>
              <w:bottom w:val="single" w:color="auto" w:sz="4" w:space="0"/>
              <w:right w:val="single" w:color="auto" w:sz="4" w:space="0"/>
            </w:tcBorders>
            <w:vAlign w:val="center"/>
          </w:tcPr>
          <w:p>
            <w:pPr>
              <w:spacing w:line="360" w:lineRule="auto"/>
              <w:ind w:firstLine="120" w:firstLineChars="50"/>
              <w:rPr>
                <w:rFonts w:ascii="宋体" w:hAnsi="宋体" w:cs="宋体"/>
                <w:sz w:val="24"/>
              </w:rPr>
            </w:pPr>
            <w:r>
              <w:rPr>
                <w:rFonts w:hint="eastAsia" w:ascii="宋体" w:hAnsi="宋体" w:cs="宋体"/>
                <w:sz w:val="24"/>
              </w:rPr>
              <w:t>数量</w:t>
            </w:r>
          </w:p>
        </w:tc>
        <w:tc>
          <w:tcPr>
            <w:tcW w:w="598" w:type="pct"/>
            <w:tcBorders>
              <w:top w:val="single" w:color="auto" w:sz="4" w:space="0"/>
              <w:left w:val="single" w:color="auto" w:sz="4" w:space="0"/>
              <w:bottom w:val="single" w:color="auto" w:sz="4" w:space="0"/>
              <w:right w:val="single" w:color="auto" w:sz="4" w:space="0"/>
            </w:tcBorders>
            <w:vAlign w:val="center"/>
          </w:tcPr>
          <w:p>
            <w:pPr>
              <w:spacing w:line="360" w:lineRule="auto"/>
              <w:ind w:firstLine="120" w:firstLineChars="50"/>
              <w:jc w:val="center"/>
              <w:rPr>
                <w:rFonts w:ascii="宋体" w:hAnsi="宋体" w:cs="宋体"/>
                <w:sz w:val="24"/>
              </w:rPr>
            </w:pPr>
            <w:r>
              <w:rPr>
                <w:rFonts w:hint="eastAsia" w:ascii="宋体" w:hAnsi="宋体" w:cs="宋体"/>
                <w:sz w:val="24"/>
              </w:rPr>
              <w:t>单价</w:t>
            </w:r>
          </w:p>
          <w:p>
            <w:pPr>
              <w:spacing w:line="360" w:lineRule="auto"/>
              <w:jc w:val="center"/>
              <w:rPr>
                <w:rFonts w:ascii="宋体" w:hAnsi="宋体" w:cs="宋体"/>
                <w:sz w:val="24"/>
              </w:rPr>
            </w:pPr>
            <w:r>
              <w:rPr>
                <w:rFonts w:hint="eastAsia" w:ascii="宋体" w:hAnsi="宋体" w:cs="宋体"/>
                <w:sz w:val="24"/>
              </w:rPr>
              <w:t>（万元）</w:t>
            </w:r>
          </w:p>
        </w:tc>
        <w:tc>
          <w:tcPr>
            <w:tcW w:w="656" w:type="pct"/>
            <w:tcBorders>
              <w:top w:val="single" w:color="auto" w:sz="4" w:space="0"/>
              <w:left w:val="single" w:color="auto" w:sz="4" w:space="0"/>
              <w:bottom w:val="single" w:color="auto" w:sz="4" w:space="0"/>
              <w:right w:val="single" w:color="auto" w:sz="4" w:space="0"/>
            </w:tcBorders>
            <w:vAlign w:val="center"/>
          </w:tcPr>
          <w:p>
            <w:pPr>
              <w:spacing w:line="360" w:lineRule="auto"/>
              <w:ind w:firstLine="240" w:firstLineChars="100"/>
              <w:rPr>
                <w:rFonts w:ascii="宋体" w:hAnsi="宋体" w:cs="宋体"/>
                <w:sz w:val="24"/>
              </w:rPr>
            </w:pPr>
            <w:r>
              <w:rPr>
                <w:rFonts w:hint="eastAsia" w:ascii="宋体" w:hAnsi="宋体" w:cs="宋体"/>
                <w:sz w:val="24"/>
              </w:rPr>
              <w:t>总价</w:t>
            </w:r>
          </w:p>
          <w:p>
            <w:pPr>
              <w:spacing w:line="360" w:lineRule="auto"/>
              <w:rPr>
                <w:rFonts w:ascii="宋体" w:hAnsi="宋体" w:cs="宋体"/>
                <w:sz w:val="24"/>
              </w:rPr>
            </w:pPr>
            <w:r>
              <w:rPr>
                <w:rFonts w:hint="eastAsia" w:ascii="宋体" w:hAnsi="宋体" w:cs="宋体"/>
                <w:sz w:val="24"/>
              </w:rPr>
              <w:t>（万元）</w:t>
            </w:r>
          </w:p>
        </w:tc>
        <w:tc>
          <w:tcPr>
            <w:tcW w:w="69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随机</w:t>
            </w:r>
          </w:p>
          <w:p>
            <w:pPr>
              <w:spacing w:line="360" w:lineRule="auto"/>
              <w:jc w:val="center"/>
              <w:rPr>
                <w:rFonts w:ascii="宋体" w:hAnsi="宋体" w:cs="宋体"/>
                <w:sz w:val="24"/>
              </w:rPr>
            </w:pPr>
            <w:r>
              <w:rPr>
                <w:rFonts w:hint="eastAsia" w:ascii="宋体" w:hAnsi="宋体" w:cs="宋体"/>
                <w:sz w:val="24"/>
              </w:rPr>
              <w:t>配件</w:t>
            </w:r>
          </w:p>
        </w:tc>
        <w:tc>
          <w:tcPr>
            <w:tcW w:w="697" w:type="pct"/>
            <w:tcBorders>
              <w:top w:val="single" w:color="auto" w:sz="4" w:space="0"/>
              <w:left w:val="single" w:color="auto" w:sz="4" w:space="0"/>
              <w:bottom w:val="single" w:color="auto" w:sz="4" w:space="0"/>
              <w:right w:val="single" w:color="auto" w:sz="4" w:space="0"/>
            </w:tcBorders>
            <w:vAlign w:val="center"/>
          </w:tcPr>
          <w:p>
            <w:pPr>
              <w:spacing w:line="360" w:lineRule="auto"/>
              <w:ind w:firstLine="120" w:firstLineChars="50"/>
              <w:rPr>
                <w:rFonts w:ascii="宋体" w:hAnsi="宋体" w:cs="宋体"/>
                <w:sz w:val="24"/>
              </w:rPr>
            </w:pPr>
            <w:r>
              <w:rPr>
                <w:rFonts w:hint="eastAsia" w:ascii="宋体" w:hAnsi="宋体" w:cs="宋体"/>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87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58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39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49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59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65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69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69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7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58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39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49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59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65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69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69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7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58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39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49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59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65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69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69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bl>
    <w:p>
      <w:pPr>
        <w:spacing w:line="360" w:lineRule="auto"/>
        <w:ind w:firstLine="522" w:firstLineChars="200"/>
        <w:rPr>
          <w:rFonts w:ascii="宋体" w:hAnsi="宋体" w:cs="宋体"/>
          <w:b/>
          <w:bCs/>
          <w:sz w:val="26"/>
          <w:szCs w:val="26"/>
        </w:rPr>
      </w:pPr>
      <w:bookmarkStart w:id="213" w:name="_Toc217446109"/>
      <w:r>
        <w:rPr>
          <w:rFonts w:hint="eastAsia" w:ascii="宋体" w:hAnsi="宋体" w:cs="宋体"/>
          <w:b/>
          <w:bCs/>
          <w:sz w:val="26"/>
          <w:szCs w:val="26"/>
        </w:rPr>
        <w:t>二、合同总价</w:t>
      </w:r>
    </w:p>
    <w:p>
      <w:pPr>
        <w:pStyle w:val="13"/>
        <w:spacing w:after="0" w:line="360" w:lineRule="auto"/>
        <w:ind w:firstLine="455" w:firstLineChars="175"/>
        <w:rPr>
          <w:rFonts w:ascii="宋体" w:hAnsi="宋体" w:eastAsia="宋体" w:cs="宋体"/>
          <w:sz w:val="26"/>
          <w:szCs w:val="26"/>
        </w:rPr>
      </w:pPr>
      <w:r>
        <w:rPr>
          <w:rFonts w:hint="eastAsia" w:ascii="宋体" w:hAnsi="宋体" w:eastAsia="宋体" w:cs="宋体"/>
          <w:sz w:val="26"/>
          <w:szCs w:val="26"/>
        </w:rPr>
        <w:t>合同总价为人民币大写：</w:t>
      </w:r>
      <w:r>
        <w:rPr>
          <w:rFonts w:hint="eastAsia" w:ascii="宋体" w:hAnsi="宋体" w:eastAsia="宋体" w:cs="宋体"/>
          <w:sz w:val="26"/>
          <w:szCs w:val="26"/>
          <w:u w:val="single"/>
        </w:rPr>
        <w:t xml:space="preserve">       </w:t>
      </w:r>
      <w:r>
        <w:rPr>
          <w:rFonts w:hint="eastAsia" w:ascii="宋体" w:hAnsi="宋体" w:eastAsia="宋体" w:cs="宋体"/>
          <w:sz w:val="26"/>
          <w:szCs w:val="26"/>
        </w:rPr>
        <w:t>元，即RMB￥</w:t>
      </w:r>
      <w:r>
        <w:rPr>
          <w:rFonts w:hint="eastAsia" w:ascii="宋体" w:hAnsi="宋体" w:eastAsia="宋体" w:cs="宋体"/>
          <w:sz w:val="26"/>
          <w:szCs w:val="26"/>
          <w:u w:val="single"/>
        </w:rPr>
        <w:t xml:space="preserve">       </w:t>
      </w:r>
      <w:r>
        <w:rPr>
          <w:rFonts w:hint="eastAsia" w:ascii="宋体" w:hAnsi="宋体" w:eastAsia="宋体" w:cs="宋体"/>
          <w:sz w:val="26"/>
          <w:szCs w:val="26"/>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widowControl/>
        <w:adjustRightInd w:val="0"/>
        <w:snapToGrid w:val="0"/>
        <w:spacing w:line="360" w:lineRule="auto"/>
        <w:ind w:firstLine="522" w:firstLineChars="200"/>
        <w:jc w:val="left"/>
        <w:rPr>
          <w:rFonts w:ascii="宋体" w:hAnsi="宋体" w:cs="宋体"/>
          <w:b/>
          <w:bCs/>
          <w:kern w:val="0"/>
          <w:sz w:val="26"/>
          <w:szCs w:val="26"/>
        </w:rPr>
      </w:pPr>
      <w:r>
        <w:rPr>
          <w:rFonts w:hint="eastAsia" w:ascii="宋体" w:hAnsi="宋体" w:cs="宋体"/>
          <w:b/>
          <w:bCs/>
          <w:kern w:val="0"/>
          <w:sz w:val="26"/>
          <w:szCs w:val="26"/>
        </w:rPr>
        <w:t>三、附件及零配件（包括专用工具）、备品备件的要求</w:t>
      </w:r>
    </w:p>
    <w:p>
      <w:pPr>
        <w:widowControl/>
        <w:adjustRightInd w:val="0"/>
        <w:snapToGrid w:val="0"/>
        <w:spacing w:line="360" w:lineRule="auto"/>
        <w:ind w:firstLine="520" w:firstLineChars="200"/>
        <w:jc w:val="left"/>
        <w:rPr>
          <w:rFonts w:ascii="宋体" w:hAnsi="宋体" w:cs="宋体"/>
          <w:kern w:val="0"/>
          <w:sz w:val="26"/>
          <w:szCs w:val="26"/>
        </w:rPr>
      </w:pPr>
      <w:r>
        <w:rPr>
          <w:rFonts w:hint="eastAsia" w:ascii="宋体" w:hAnsi="宋体" w:cs="宋体"/>
          <w:kern w:val="0"/>
          <w:sz w:val="26"/>
          <w:szCs w:val="26"/>
        </w:rPr>
        <w:t>以供应商投标文件为准。</w:t>
      </w:r>
    </w:p>
    <w:p>
      <w:pPr>
        <w:widowControl/>
        <w:adjustRightInd w:val="0"/>
        <w:snapToGrid w:val="0"/>
        <w:spacing w:line="360" w:lineRule="auto"/>
        <w:ind w:firstLine="522" w:firstLineChars="200"/>
        <w:jc w:val="left"/>
        <w:rPr>
          <w:rFonts w:ascii="宋体" w:hAnsi="宋体" w:cs="宋体"/>
          <w:b/>
          <w:bCs/>
          <w:kern w:val="0"/>
          <w:sz w:val="26"/>
          <w:szCs w:val="26"/>
        </w:rPr>
      </w:pPr>
      <w:r>
        <w:rPr>
          <w:rFonts w:hint="eastAsia" w:ascii="宋体" w:hAnsi="宋体" w:cs="宋体"/>
          <w:b/>
          <w:bCs/>
          <w:kern w:val="0"/>
          <w:sz w:val="26"/>
          <w:szCs w:val="26"/>
        </w:rPr>
        <w:t>四、服务标准及范围</w:t>
      </w:r>
    </w:p>
    <w:p>
      <w:pPr>
        <w:widowControl/>
        <w:adjustRightInd w:val="0"/>
        <w:snapToGrid w:val="0"/>
        <w:spacing w:line="360" w:lineRule="auto"/>
        <w:ind w:firstLine="520" w:firstLineChars="200"/>
        <w:jc w:val="left"/>
        <w:rPr>
          <w:rFonts w:ascii="宋体" w:hAnsi="宋体" w:cs="宋体"/>
          <w:kern w:val="0"/>
          <w:sz w:val="26"/>
          <w:szCs w:val="26"/>
        </w:rPr>
      </w:pPr>
      <w:r>
        <w:rPr>
          <w:rFonts w:hint="eastAsia" w:ascii="宋体" w:hAnsi="宋体" w:cs="宋体"/>
          <w:kern w:val="0"/>
          <w:sz w:val="26"/>
          <w:szCs w:val="26"/>
        </w:rPr>
        <w:t>1、供货的货物应为全新的未开封产品，满足本次招标货物的技术要求，具有产品合格证；</w:t>
      </w:r>
    </w:p>
    <w:p>
      <w:pPr>
        <w:widowControl/>
        <w:adjustRightInd w:val="0"/>
        <w:snapToGrid w:val="0"/>
        <w:spacing w:line="360" w:lineRule="auto"/>
        <w:ind w:firstLine="520" w:firstLineChars="200"/>
        <w:jc w:val="left"/>
        <w:rPr>
          <w:rFonts w:ascii="宋体" w:hAnsi="宋体" w:cs="宋体"/>
          <w:kern w:val="0"/>
          <w:sz w:val="26"/>
          <w:szCs w:val="26"/>
        </w:rPr>
      </w:pPr>
      <w:r>
        <w:rPr>
          <w:rFonts w:hint="eastAsia" w:ascii="宋体" w:hAnsi="宋体" w:cs="宋体"/>
          <w:kern w:val="0"/>
          <w:sz w:val="26"/>
          <w:szCs w:val="26"/>
        </w:rPr>
        <w:t>2、供应商提供的产品涉及商品包装或快递包装的，须严格按照财政部等三部门联合印发《商品包装政府采购需求标准（试行）》、《快递包装政府采购需求标准（试行）》的通知（财办库[2020]123号）要求执行。</w:t>
      </w:r>
    </w:p>
    <w:p>
      <w:pPr>
        <w:widowControl/>
        <w:adjustRightInd w:val="0"/>
        <w:snapToGrid w:val="0"/>
        <w:spacing w:line="360" w:lineRule="auto"/>
        <w:ind w:firstLine="520" w:firstLineChars="200"/>
        <w:jc w:val="left"/>
        <w:rPr>
          <w:rFonts w:ascii="宋体" w:hAnsi="宋体" w:cs="宋体"/>
          <w:kern w:val="0"/>
          <w:sz w:val="26"/>
          <w:szCs w:val="26"/>
        </w:rPr>
      </w:pPr>
      <w:r>
        <w:rPr>
          <w:rFonts w:hint="eastAsia" w:ascii="宋体" w:hAnsi="宋体" w:cs="宋体"/>
          <w:kern w:val="0"/>
          <w:sz w:val="26"/>
          <w:szCs w:val="26"/>
        </w:rPr>
        <w:t>3、在送到使用单位之前表面无划伤、碰撞等现象，并且安装调试后能正常使用；</w:t>
      </w:r>
    </w:p>
    <w:p>
      <w:pPr>
        <w:widowControl/>
        <w:adjustRightInd w:val="0"/>
        <w:snapToGrid w:val="0"/>
        <w:spacing w:line="360" w:lineRule="auto"/>
        <w:ind w:firstLine="520" w:firstLineChars="200"/>
        <w:jc w:val="left"/>
        <w:rPr>
          <w:rFonts w:ascii="宋体" w:hAnsi="宋体" w:cs="宋体"/>
          <w:kern w:val="0"/>
          <w:sz w:val="26"/>
          <w:szCs w:val="26"/>
        </w:rPr>
      </w:pPr>
      <w:r>
        <w:rPr>
          <w:rFonts w:hint="eastAsia" w:ascii="宋体" w:hAnsi="宋体" w:cs="宋体"/>
          <w:kern w:val="0"/>
          <w:sz w:val="26"/>
          <w:szCs w:val="26"/>
        </w:rPr>
        <w:t>4、中标人货到现场用户不负责提供货物仓储地，由投标人负责货物保管工作，货到现场但未安装完全交付前造成的遗失、损坏等问题，由供应方承担；</w:t>
      </w:r>
    </w:p>
    <w:p>
      <w:pPr>
        <w:widowControl/>
        <w:adjustRightInd w:val="0"/>
        <w:snapToGrid w:val="0"/>
        <w:spacing w:line="360" w:lineRule="auto"/>
        <w:ind w:firstLine="520" w:firstLineChars="200"/>
        <w:jc w:val="left"/>
        <w:rPr>
          <w:rFonts w:ascii="宋体" w:hAnsi="宋体" w:cs="宋体"/>
          <w:kern w:val="0"/>
          <w:sz w:val="26"/>
          <w:szCs w:val="26"/>
        </w:rPr>
      </w:pPr>
      <w:r>
        <w:rPr>
          <w:rFonts w:hint="eastAsia" w:ascii="宋体" w:hAnsi="宋体" w:cs="宋体"/>
          <w:kern w:val="0"/>
          <w:sz w:val="26"/>
          <w:szCs w:val="26"/>
        </w:rPr>
        <w:t xml:space="preserve">5、若遇配货包装、运输过程中造成的短缺、差错、丢失、损坏等，供应方无条件调换、补缺； </w:t>
      </w:r>
    </w:p>
    <w:p>
      <w:pPr>
        <w:widowControl/>
        <w:adjustRightInd w:val="0"/>
        <w:snapToGrid w:val="0"/>
        <w:spacing w:line="360" w:lineRule="auto"/>
        <w:ind w:firstLine="520" w:firstLineChars="200"/>
        <w:jc w:val="left"/>
      </w:pPr>
      <w:r>
        <w:rPr>
          <w:rFonts w:hint="eastAsia" w:ascii="宋体" w:hAnsi="宋体" w:cs="宋体"/>
          <w:kern w:val="0"/>
          <w:sz w:val="26"/>
          <w:szCs w:val="26"/>
        </w:rPr>
        <w:t>6、按订货的品种、数量配货，送货到校，并附详细的发货清单和签收单，以便验货核对。</w:t>
      </w:r>
    </w:p>
    <w:p>
      <w:pPr>
        <w:widowControl/>
        <w:adjustRightInd w:val="0"/>
        <w:snapToGrid w:val="0"/>
        <w:spacing w:line="360" w:lineRule="auto"/>
        <w:ind w:firstLine="522" w:firstLineChars="200"/>
        <w:jc w:val="left"/>
        <w:rPr>
          <w:rFonts w:ascii="宋体" w:hAnsi="宋体" w:cs="宋体"/>
          <w:b/>
          <w:bCs/>
          <w:kern w:val="0"/>
          <w:sz w:val="26"/>
          <w:szCs w:val="26"/>
        </w:rPr>
      </w:pPr>
      <w:r>
        <w:rPr>
          <w:rFonts w:hint="eastAsia" w:ascii="宋体" w:hAnsi="宋体" w:cs="宋体"/>
          <w:b/>
          <w:bCs/>
          <w:kern w:val="0"/>
          <w:sz w:val="26"/>
          <w:szCs w:val="26"/>
        </w:rPr>
        <w:t>五、验收标准和方法</w:t>
      </w:r>
    </w:p>
    <w:p>
      <w:pPr>
        <w:widowControl/>
        <w:adjustRightInd w:val="0"/>
        <w:snapToGrid w:val="0"/>
        <w:spacing w:line="360" w:lineRule="auto"/>
        <w:ind w:firstLine="520" w:firstLineChars="200"/>
        <w:jc w:val="left"/>
        <w:rPr>
          <w:rFonts w:ascii="宋体" w:hAnsi="宋体" w:cs="宋体"/>
          <w:kern w:val="0"/>
          <w:sz w:val="26"/>
          <w:szCs w:val="26"/>
        </w:rPr>
      </w:pPr>
      <w:r>
        <w:rPr>
          <w:rFonts w:hint="eastAsia" w:ascii="宋体" w:hAnsi="宋体" w:cs="宋体"/>
          <w:kern w:val="0"/>
          <w:sz w:val="26"/>
          <w:szCs w:val="26"/>
        </w:rPr>
        <w:t xml:space="preserve">1、中标人与采购人应参照《财政部关于进一步加强政府采购需求和履约验收管理的指导意见》（财库〔2016〕205号）的要求进行验收，采购方有权邀请第三方机构或质检部门共同验收。 </w:t>
      </w:r>
    </w:p>
    <w:p>
      <w:pPr>
        <w:widowControl/>
        <w:adjustRightInd w:val="0"/>
        <w:snapToGrid w:val="0"/>
        <w:spacing w:line="360" w:lineRule="auto"/>
        <w:ind w:firstLine="520" w:firstLineChars="200"/>
        <w:jc w:val="left"/>
        <w:rPr>
          <w:rFonts w:ascii="宋体" w:hAnsi="宋体" w:cs="宋体"/>
          <w:kern w:val="0"/>
          <w:sz w:val="26"/>
          <w:szCs w:val="26"/>
        </w:rPr>
      </w:pPr>
      <w:r>
        <w:rPr>
          <w:rFonts w:hint="eastAsia" w:ascii="宋体" w:hAnsi="宋体" w:cs="宋体"/>
          <w:kern w:val="0"/>
          <w:sz w:val="26"/>
          <w:szCs w:val="26"/>
        </w:rPr>
        <w:t xml:space="preserve">2、整体项目符合国家及行业强制性标准、招标文件要求（或投标文件的响应或承诺）以及合同的要求。 </w:t>
      </w:r>
    </w:p>
    <w:p>
      <w:pPr>
        <w:widowControl/>
        <w:adjustRightInd w:val="0"/>
        <w:snapToGrid w:val="0"/>
        <w:spacing w:line="360" w:lineRule="auto"/>
        <w:ind w:firstLine="520" w:firstLineChars="200"/>
        <w:jc w:val="left"/>
        <w:rPr>
          <w:rFonts w:ascii="宋体" w:hAnsi="宋体" w:cs="宋体"/>
          <w:kern w:val="0"/>
          <w:sz w:val="26"/>
          <w:szCs w:val="26"/>
        </w:rPr>
      </w:pPr>
      <w:r>
        <w:rPr>
          <w:rFonts w:hint="eastAsia" w:ascii="宋体" w:hAnsi="宋体" w:cs="宋体"/>
          <w:kern w:val="0"/>
          <w:sz w:val="26"/>
          <w:szCs w:val="26"/>
        </w:rPr>
        <w:t xml:space="preserve">3、验收程序：项目验收分中标人出厂自验、安装调试初验及最终验收三个阶段。 </w:t>
      </w:r>
    </w:p>
    <w:p>
      <w:pPr>
        <w:widowControl/>
        <w:adjustRightInd w:val="0"/>
        <w:snapToGrid w:val="0"/>
        <w:spacing w:line="360" w:lineRule="auto"/>
        <w:ind w:firstLine="520" w:firstLineChars="200"/>
        <w:jc w:val="left"/>
        <w:rPr>
          <w:rFonts w:ascii="宋体" w:hAnsi="宋体" w:cs="宋体"/>
          <w:kern w:val="0"/>
          <w:sz w:val="26"/>
          <w:szCs w:val="26"/>
        </w:rPr>
      </w:pPr>
      <w:r>
        <w:rPr>
          <w:rFonts w:hint="eastAsia" w:ascii="宋体" w:hAnsi="宋体" w:cs="宋体"/>
          <w:kern w:val="0"/>
          <w:sz w:val="26"/>
          <w:szCs w:val="26"/>
        </w:rPr>
        <w:t xml:space="preserve">（1）出厂自验：中标人在货物出厂前，应按产品技术标准规定的检验项目和试验方法进行全面检验，中标人应随同货物提供产品环保证明、质量合格证书，其结果必须符合本项目验收标准的要求。 </w:t>
      </w:r>
    </w:p>
    <w:p>
      <w:pPr>
        <w:widowControl/>
        <w:adjustRightInd w:val="0"/>
        <w:snapToGrid w:val="0"/>
        <w:spacing w:line="360" w:lineRule="auto"/>
        <w:ind w:firstLine="520" w:firstLineChars="200"/>
        <w:jc w:val="left"/>
        <w:rPr>
          <w:rFonts w:ascii="宋体" w:hAnsi="宋体" w:cs="宋体"/>
          <w:kern w:val="0"/>
          <w:sz w:val="26"/>
          <w:szCs w:val="26"/>
        </w:rPr>
      </w:pPr>
      <w:r>
        <w:rPr>
          <w:rFonts w:hint="eastAsia" w:ascii="宋体" w:hAnsi="宋体" w:cs="宋体"/>
          <w:kern w:val="0"/>
          <w:sz w:val="26"/>
          <w:szCs w:val="26"/>
        </w:rPr>
        <w:t xml:space="preserve">（2）安装调试初验：中标人应作详细检验记录。由学校对送货数量和质量对照招、投标文件进行初验。 </w:t>
      </w:r>
    </w:p>
    <w:p>
      <w:pPr>
        <w:widowControl/>
        <w:adjustRightInd w:val="0"/>
        <w:snapToGrid w:val="0"/>
        <w:spacing w:line="360" w:lineRule="auto"/>
        <w:ind w:firstLine="520" w:firstLineChars="200"/>
        <w:jc w:val="left"/>
      </w:pPr>
      <w:r>
        <w:rPr>
          <w:rFonts w:hint="eastAsia" w:ascii="宋体" w:hAnsi="宋体" w:cs="宋体"/>
          <w:kern w:val="0"/>
          <w:sz w:val="26"/>
          <w:szCs w:val="26"/>
        </w:rPr>
        <w:t xml:space="preserve">（3）最终验收：设备安装、调试结束后，由采购人组织按国家规定的标准要求，按本项目验收标准进行验收。 </w:t>
      </w:r>
    </w:p>
    <w:p>
      <w:pPr>
        <w:widowControl/>
        <w:adjustRightInd w:val="0"/>
        <w:snapToGrid w:val="0"/>
        <w:spacing w:line="360" w:lineRule="auto"/>
        <w:ind w:firstLine="522" w:firstLineChars="200"/>
        <w:jc w:val="left"/>
        <w:rPr>
          <w:rFonts w:ascii="宋体" w:hAnsi="宋体" w:cs="宋体"/>
          <w:b/>
          <w:bCs/>
          <w:kern w:val="0"/>
          <w:sz w:val="26"/>
          <w:szCs w:val="26"/>
        </w:rPr>
      </w:pPr>
      <w:r>
        <w:rPr>
          <w:rFonts w:hint="eastAsia" w:ascii="宋体" w:hAnsi="宋体" w:cs="宋体"/>
          <w:b/>
          <w:bCs/>
          <w:kern w:val="0"/>
          <w:sz w:val="26"/>
          <w:szCs w:val="26"/>
        </w:rPr>
        <w:t>六、安装调试及技术服务（含培训）要求</w:t>
      </w:r>
    </w:p>
    <w:p>
      <w:pPr>
        <w:widowControl/>
        <w:adjustRightInd w:val="0"/>
        <w:snapToGrid w:val="0"/>
        <w:spacing w:line="360" w:lineRule="auto"/>
        <w:ind w:firstLine="520" w:firstLineChars="200"/>
        <w:jc w:val="left"/>
        <w:rPr>
          <w:rFonts w:ascii="宋体" w:hAnsi="宋体" w:cs="宋体"/>
          <w:kern w:val="0"/>
          <w:sz w:val="26"/>
          <w:szCs w:val="26"/>
          <w:lang w:val="zh-CN"/>
        </w:rPr>
      </w:pPr>
      <w:r>
        <w:rPr>
          <w:rFonts w:hint="eastAsia" w:ascii="宋体" w:hAnsi="宋体" w:cs="宋体"/>
          <w:kern w:val="0"/>
          <w:sz w:val="26"/>
          <w:szCs w:val="26"/>
          <w:lang w:val="zh-CN"/>
        </w:rPr>
        <w:t>1、所有设备均须由投标人送货上门并安装调试，采购人不再支付任何费用。</w:t>
      </w:r>
    </w:p>
    <w:p>
      <w:pPr>
        <w:widowControl/>
        <w:adjustRightInd w:val="0"/>
        <w:snapToGrid w:val="0"/>
        <w:spacing w:line="360" w:lineRule="auto"/>
        <w:ind w:left="517" w:leftChars="246"/>
        <w:jc w:val="left"/>
        <w:rPr>
          <w:rFonts w:ascii="宋体" w:hAnsi="宋体" w:cs="宋体"/>
          <w:kern w:val="0"/>
          <w:sz w:val="26"/>
          <w:szCs w:val="26"/>
          <w:lang w:val="zh-CN"/>
        </w:rPr>
      </w:pPr>
      <w:r>
        <w:rPr>
          <w:rFonts w:hint="eastAsia" w:ascii="宋体" w:hAnsi="宋体" w:cs="宋体"/>
          <w:kern w:val="0"/>
          <w:sz w:val="26"/>
          <w:szCs w:val="26"/>
          <w:lang w:val="zh-CN"/>
        </w:rPr>
        <w:t>2、含施工辅材、设备安装、调试等；</w:t>
      </w:r>
    </w:p>
    <w:p>
      <w:pPr>
        <w:widowControl/>
        <w:adjustRightInd w:val="0"/>
        <w:snapToGrid w:val="0"/>
        <w:spacing w:line="360" w:lineRule="auto"/>
        <w:ind w:firstLine="520" w:firstLineChars="200"/>
        <w:jc w:val="left"/>
        <w:rPr>
          <w:rFonts w:ascii="宋体" w:hAnsi="宋体" w:cs="宋体"/>
          <w:kern w:val="0"/>
          <w:sz w:val="26"/>
          <w:szCs w:val="26"/>
          <w:lang w:val="zh-CN"/>
        </w:rPr>
      </w:pPr>
      <w:r>
        <w:rPr>
          <w:rFonts w:hint="eastAsia" w:ascii="宋体" w:hAnsi="宋体" w:cs="宋体"/>
          <w:kern w:val="0"/>
          <w:sz w:val="26"/>
          <w:szCs w:val="26"/>
          <w:lang w:val="zh-CN"/>
        </w:rPr>
        <w:t>3、设备的固定安装符合施工要求，安装美观，整体走线符合施工工艺要求，如安装位置是填充材料，须进行加固处理；</w:t>
      </w:r>
    </w:p>
    <w:p>
      <w:pPr>
        <w:widowControl/>
        <w:adjustRightInd w:val="0"/>
        <w:snapToGrid w:val="0"/>
        <w:spacing w:line="360" w:lineRule="auto"/>
        <w:ind w:firstLine="520" w:firstLineChars="200"/>
        <w:jc w:val="left"/>
        <w:rPr>
          <w:rFonts w:ascii="宋体" w:hAnsi="宋体" w:cs="宋体"/>
          <w:kern w:val="0"/>
          <w:sz w:val="26"/>
          <w:szCs w:val="26"/>
          <w:lang w:val="zh-CN"/>
        </w:rPr>
      </w:pPr>
      <w:r>
        <w:rPr>
          <w:rFonts w:hint="eastAsia" w:ascii="宋体" w:hAnsi="宋体" w:cs="宋体"/>
          <w:kern w:val="0"/>
          <w:sz w:val="26"/>
          <w:szCs w:val="26"/>
          <w:lang w:val="zh-CN"/>
        </w:rPr>
        <w:t>4、线材管材、设备间连接线、转接头、电源插座板等均采用经质检合格的产品。</w:t>
      </w:r>
    </w:p>
    <w:p>
      <w:pPr>
        <w:widowControl/>
        <w:adjustRightInd w:val="0"/>
        <w:snapToGrid w:val="0"/>
        <w:spacing w:line="360" w:lineRule="auto"/>
        <w:ind w:firstLine="522" w:firstLineChars="200"/>
        <w:jc w:val="left"/>
        <w:rPr>
          <w:rFonts w:ascii="宋体" w:hAnsi="宋体" w:cs="宋体"/>
          <w:b/>
          <w:bCs/>
          <w:kern w:val="0"/>
          <w:sz w:val="26"/>
          <w:szCs w:val="26"/>
        </w:rPr>
      </w:pPr>
      <w:r>
        <w:rPr>
          <w:rFonts w:hint="eastAsia" w:ascii="宋体" w:hAnsi="宋体" w:cs="宋体"/>
          <w:b/>
          <w:bCs/>
          <w:kern w:val="0"/>
          <w:sz w:val="26"/>
          <w:szCs w:val="26"/>
        </w:rPr>
        <w:t>七、售后服务的要求</w:t>
      </w:r>
    </w:p>
    <w:p>
      <w:pPr>
        <w:spacing w:line="360" w:lineRule="auto"/>
        <w:ind w:firstLine="520" w:firstLineChars="200"/>
        <w:rPr>
          <w:rFonts w:ascii="宋体" w:hAnsi="宋体" w:cs="宋体"/>
          <w:sz w:val="26"/>
          <w:szCs w:val="26"/>
        </w:rPr>
      </w:pPr>
      <w:r>
        <w:rPr>
          <w:rFonts w:hint="eastAsia" w:ascii="宋体" w:hAnsi="宋体" w:cs="宋体"/>
          <w:kern w:val="0"/>
          <w:sz w:val="26"/>
          <w:szCs w:val="26"/>
          <w:lang w:val="zh-CN"/>
        </w:rPr>
        <w:t>投标人为该项目提供3 年质保，质保期满后为用户提供终身上门服务。投标人提供7×24 小时热线服务和现场支持服务，设备出现故障后能30 分钟做出响应，2 小时内上门维修，24 小时内必须解决问题，若当天无法修复，应提供解决方案。</w:t>
      </w:r>
    </w:p>
    <w:p>
      <w:pPr>
        <w:widowControl/>
        <w:adjustRightInd w:val="0"/>
        <w:snapToGrid w:val="0"/>
        <w:spacing w:line="360" w:lineRule="auto"/>
        <w:ind w:firstLine="522" w:firstLineChars="200"/>
        <w:jc w:val="left"/>
        <w:rPr>
          <w:rFonts w:ascii="宋体" w:hAnsi="宋体" w:cs="宋体"/>
          <w:b/>
          <w:bCs/>
          <w:kern w:val="0"/>
          <w:sz w:val="26"/>
          <w:szCs w:val="26"/>
        </w:rPr>
      </w:pPr>
      <w:r>
        <w:rPr>
          <w:rFonts w:hint="eastAsia" w:ascii="宋体" w:hAnsi="宋体" w:cs="宋体"/>
          <w:b/>
          <w:bCs/>
          <w:kern w:val="0"/>
          <w:sz w:val="26"/>
          <w:szCs w:val="26"/>
        </w:rPr>
        <w:t>八、项目现场</w:t>
      </w:r>
    </w:p>
    <w:p>
      <w:pPr>
        <w:pStyle w:val="51"/>
        <w:spacing w:line="360" w:lineRule="auto"/>
        <w:ind w:firstLine="560" w:firstLineChars="200"/>
        <w:rPr>
          <w:rFonts w:ascii="宋体" w:hAnsi="宋体"/>
          <w:kern w:val="0"/>
          <w:sz w:val="26"/>
          <w:szCs w:val="26"/>
          <w:lang w:val="zh-CN"/>
        </w:rPr>
      </w:pPr>
      <w:r>
        <w:rPr>
          <w:rFonts w:hint="eastAsia" w:ascii="宋体" w:hAnsi="宋体" w:cs="宋体"/>
          <w:bCs/>
          <w:color w:val="000000" w:themeColor="text1"/>
          <w:sz w:val="28"/>
          <w:szCs w:val="28"/>
          <w:lang w:val="zh-TW" w:bidi="zh-TW"/>
          <w14:textFill>
            <w14:solidFill>
              <w14:schemeClr w14:val="tx1"/>
            </w14:solidFill>
          </w14:textFill>
        </w:rPr>
        <w:t>艺体中学（室内学术报告厅和室内体验馆）、双流中学3间会议室。</w:t>
      </w:r>
    </w:p>
    <w:p>
      <w:pPr>
        <w:widowControl/>
        <w:numPr>
          <w:ilvl w:val="0"/>
          <w:numId w:val="53"/>
        </w:numPr>
        <w:adjustRightInd w:val="0"/>
        <w:snapToGrid w:val="0"/>
        <w:spacing w:line="360" w:lineRule="auto"/>
        <w:ind w:firstLine="522" w:firstLineChars="200"/>
        <w:jc w:val="left"/>
        <w:rPr>
          <w:rFonts w:ascii="宋体" w:hAnsi="宋体" w:cs="宋体"/>
          <w:b/>
          <w:bCs/>
          <w:kern w:val="0"/>
          <w:sz w:val="26"/>
          <w:szCs w:val="26"/>
        </w:rPr>
      </w:pPr>
      <w:r>
        <w:rPr>
          <w:rFonts w:hint="eastAsia" w:ascii="宋体" w:hAnsi="宋体" w:cs="宋体"/>
          <w:b/>
          <w:bCs/>
          <w:kern w:val="0"/>
          <w:sz w:val="26"/>
          <w:szCs w:val="26"/>
        </w:rPr>
        <w:t>履行合同的时间、地点及方式</w:t>
      </w:r>
    </w:p>
    <w:p>
      <w:pPr>
        <w:spacing w:line="360" w:lineRule="auto"/>
        <w:ind w:firstLine="520" w:firstLineChars="200"/>
        <w:rPr>
          <w:rFonts w:ascii="宋体" w:hAnsi="宋体" w:cs="宋体"/>
          <w:kern w:val="0"/>
          <w:sz w:val="26"/>
          <w:szCs w:val="26"/>
          <w:lang w:val="zh-CN"/>
        </w:rPr>
      </w:pPr>
      <w:r>
        <w:rPr>
          <w:rFonts w:hint="eastAsia" w:ascii="宋体" w:hAnsi="宋体" w:cs="宋体"/>
          <w:kern w:val="0"/>
          <w:sz w:val="26"/>
          <w:szCs w:val="26"/>
          <w:lang w:val="zh-CN"/>
        </w:rPr>
        <w:t>1、交货期限：合同签订之日起50 个工作日内送达采购人指定的场地并按照要求完成安装调试工作。中标人必须按合同的规定，准时提供投标产品和材料并负责所供产品、运输、安装及调试，验收合格并交付使用。</w:t>
      </w:r>
    </w:p>
    <w:p>
      <w:pPr>
        <w:spacing w:line="360" w:lineRule="auto"/>
        <w:ind w:firstLine="520" w:firstLineChars="200"/>
        <w:rPr>
          <w:rFonts w:ascii="宋体" w:hAnsi="宋体" w:cs="宋体"/>
          <w:kern w:val="0"/>
          <w:sz w:val="26"/>
          <w:szCs w:val="26"/>
        </w:rPr>
      </w:pPr>
      <w:r>
        <w:rPr>
          <w:rFonts w:hint="eastAsia" w:ascii="宋体" w:hAnsi="宋体" w:cs="宋体"/>
          <w:kern w:val="0"/>
          <w:sz w:val="26"/>
          <w:szCs w:val="26"/>
          <w:lang w:val="zh-CN"/>
        </w:rPr>
        <w:t>2、交货地点：采购人指定地点。</w:t>
      </w:r>
    </w:p>
    <w:p>
      <w:pPr>
        <w:widowControl/>
        <w:numPr>
          <w:ilvl w:val="0"/>
          <w:numId w:val="54"/>
        </w:numPr>
        <w:adjustRightInd w:val="0"/>
        <w:snapToGrid w:val="0"/>
        <w:spacing w:line="360" w:lineRule="auto"/>
        <w:ind w:firstLine="522" w:firstLineChars="200"/>
        <w:jc w:val="left"/>
        <w:rPr>
          <w:rFonts w:ascii="宋体" w:hAnsi="宋体" w:cs="宋体"/>
          <w:b/>
          <w:bCs/>
          <w:kern w:val="0"/>
          <w:sz w:val="26"/>
          <w:szCs w:val="26"/>
        </w:rPr>
      </w:pPr>
      <w:r>
        <w:rPr>
          <w:rFonts w:hint="eastAsia" w:ascii="宋体" w:hAnsi="宋体" w:cs="宋体"/>
          <w:b/>
          <w:bCs/>
          <w:kern w:val="0"/>
          <w:sz w:val="26"/>
          <w:szCs w:val="26"/>
        </w:rPr>
        <w:t>质量保证期</w:t>
      </w:r>
    </w:p>
    <w:p>
      <w:pPr>
        <w:pStyle w:val="51"/>
        <w:spacing w:line="360" w:lineRule="auto"/>
        <w:rPr>
          <w:rFonts w:ascii="宋体" w:hAnsi="宋体" w:cs="宋体"/>
          <w:color w:val="auto"/>
          <w:kern w:val="0"/>
          <w:sz w:val="26"/>
          <w:szCs w:val="26"/>
          <w:lang w:val="zh-CN"/>
        </w:rPr>
      </w:pPr>
      <w:r>
        <w:rPr>
          <w:rFonts w:hint="eastAsia" w:ascii="宋体" w:hAnsi="宋体" w:cs="宋体"/>
          <w:color w:val="auto"/>
          <w:kern w:val="0"/>
          <w:sz w:val="26"/>
          <w:szCs w:val="26"/>
          <w:lang w:val="zh-CN"/>
        </w:rPr>
        <w:t>提供3 年免费质保</w:t>
      </w:r>
    </w:p>
    <w:p>
      <w:pPr>
        <w:widowControl/>
        <w:numPr>
          <w:ilvl w:val="0"/>
          <w:numId w:val="54"/>
        </w:numPr>
        <w:adjustRightInd w:val="0"/>
        <w:snapToGrid w:val="0"/>
        <w:spacing w:line="360" w:lineRule="auto"/>
        <w:ind w:firstLine="522" w:firstLineChars="200"/>
        <w:jc w:val="left"/>
        <w:rPr>
          <w:rFonts w:ascii="宋体" w:hAnsi="宋体" w:cs="宋体"/>
          <w:b/>
          <w:bCs/>
          <w:kern w:val="0"/>
          <w:sz w:val="26"/>
          <w:szCs w:val="26"/>
        </w:rPr>
      </w:pPr>
      <w:r>
        <w:rPr>
          <w:rFonts w:hint="eastAsia" w:ascii="宋体" w:hAnsi="宋体" w:cs="宋体"/>
          <w:b/>
          <w:bCs/>
          <w:kern w:val="0"/>
          <w:sz w:val="26"/>
          <w:szCs w:val="26"/>
        </w:rPr>
        <w:t>合同价款支付方式和条件</w:t>
      </w:r>
    </w:p>
    <w:p>
      <w:pPr>
        <w:spacing w:line="360" w:lineRule="auto"/>
        <w:ind w:firstLine="520" w:firstLineChars="200"/>
        <w:rPr>
          <w:rFonts w:ascii="宋体" w:hAnsi="宋体" w:cs="宋体"/>
          <w:kern w:val="0"/>
          <w:sz w:val="26"/>
          <w:szCs w:val="26"/>
          <w:lang w:val="zh-CN"/>
        </w:rPr>
      </w:pPr>
      <w:r>
        <w:rPr>
          <w:rFonts w:hint="eastAsia" w:ascii="宋体" w:hAnsi="宋体" w:cs="宋体"/>
          <w:kern w:val="0"/>
          <w:sz w:val="26"/>
          <w:szCs w:val="26"/>
          <w:lang w:val="zh-CN"/>
        </w:rPr>
        <w:t xml:space="preserve">付款方式：合同签订生效后，采购人在 20 个工作日内向供应商支付合同总金额的 30%的预付款，安装完成验收合格后支付合同总金额的65%，剩余5%在验收通过之日起一年后无质量问题再支付。 </w:t>
      </w:r>
    </w:p>
    <w:p>
      <w:pPr>
        <w:spacing w:line="360" w:lineRule="auto"/>
        <w:ind w:firstLine="520" w:firstLineChars="200"/>
      </w:pPr>
      <w:r>
        <w:rPr>
          <w:rFonts w:hint="eastAsia" w:ascii="宋体" w:hAnsi="宋体" w:cs="宋体"/>
          <w:kern w:val="0"/>
          <w:sz w:val="26"/>
          <w:szCs w:val="26"/>
          <w:lang w:val="zh-CN"/>
        </w:rPr>
        <w:t xml:space="preserve">中标人须向采购人出具合法有效完整的发票及凭证资料后进行支付结算，付款方式均采用公对公的银行转账，中标人接受转账的开户信息以采购合同载明的为准。 </w:t>
      </w:r>
    </w:p>
    <w:p>
      <w:pPr>
        <w:widowControl/>
        <w:numPr>
          <w:ilvl w:val="0"/>
          <w:numId w:val="54"/>
        </w:numPr>
        <w:adjustRightInd w:val="0"/>
        <w:snapToGrid w:val="0"/>
        <w:spacing w:line="360" w:lineRule="auto"/>
        <w:ind w:firstLine="522" w:firstLineChars="200"/>
        <w:jc w:val="left"/>
        <w:rPr>
          <w:rFonts w:ascii="宋体" w:hAnsi="宋体" w:cs="宋体"/>
          <w:b/>
          <w:bCs/>
          <w:kern w:val="0"/>
          <w:sz w:val="26"/>
          <w:szCs w:val="26"/>
        </w:rPr>
      </w:pPr>
      <w:r>
        <w:rPr>
          <w:rFonts w:hint="eastAsia" w:ascii="宋体" w:hAnsi="宋体" w:cs="宋体"/>
          <w:b/>
          <w:bCs/>
          <w:kern w:val="0"/>
          <w:sz w:val="26"/>
          <w:szCs w:val="26"/>
        </w:rPr>
        <w:t>违约责任：</w:t>
      </w:r>
    </w:p>
    <w:p>
      <w:pPr>
        <w:spacing w:line="360" w:lineRule="auto"/>
        <w:ind w:firstLine="520" w:firstLineChars="200"/>
        <w:rPr>
          <w:rFonts w:ascii="宋体" w:hAnsi="宋体" w:cs="宋体"/>
          <w:kern w:val="0"/>
          <w:sz w:val="26"/>
          <w:szCs w:val="26"/>
          <w:lang w:val="zh-CN"/>
        </w:rPr>
      </w:pPr>
      <w:r>
        <w:rPr>
          <w:rFonts w:hint="eastAsia" w:ascii="宋体" w:hAnsi="宋体" w:cs="宋体"/>
          <w:kern w:val="0"/>
          <w:sz w:val="26"/>
          <w:szCs w:val="26"/>
          <w:lang w:val="zh-CN"/>
        </w:rPr>
        <w:t xml:space="preserve">1. 甲方违约责任 </w:t>
      </w:r>
    </w:p>
    <w:p>
      <w:pPr>
        <w:spacing w:line="360" w:lineRule="auto"/>
        <w:ind w:firstLine="520" w:firstLineChars="200"/>
        <w:rPr>
          <w:rFonts w:ascii="宋体" w:hAnsi="宋体" w:cs="宋体"/>
          <w:kern w:val="0"/>
          <w:sz w:val="26"/>
          <w:szCs w:val="26"/>
          <w:lang w:val="zh-CN"/>
        </w:rPr>
      </w:pPr>
      <w:r>
        <w:rPr>
          <w:rFonts w:hint="eastAsia" w:ascii="宋体" w:hAnsi="宋体" w:cs="宋体"/>
          <w:kern w:val="0"/>
          <w:sz w:val="26"/>
          <w:szCs w:val="26"/>
          <w:lang w:val="zh-CN"/>
        </w:rPr>
        <w:t xml:space="preserve">（1）甲方无正当理由拒收货物、拒付货款的，甲方应向乙方偿付拒付货款20 ％的违约金。 </w:t>
      </w:r>
    </w:p>
    <w:p>
      <w:pPr>
        <w:spacing w:line="360" w:lineRule="auto"/>
        <w:ind w:firstLine="520" w:firstLineChars="200"/>
        <w:rPr>
          <w:rFonts w:ascii="宋体" w:hAnsi="宋体" w:cs="宋体"/>
          <w:kern w:val="0"/>
          <w:sz w:val="26"/>
          <w:szCs w:val="26"/>
          <w:lang w:val="zh-CN"/>
        </w:rPr>
      </w:pPr>
      <w:r>
        <w:rPr>
          <w:rFonts w:hint="eastAsia" w:ascii="宋体" w:hAnsi="宋体" w:cs="宋体"/>
          <w:kern w:val="0"/>
          <w:sz w:val="26"/>
          <w:szCs w:val="26"/>
          <w:lang w:val="zh-CN"/>
        </w:rPr>
        <w:t xml:space="preserve">（2）甲方未按合同规定的期限向乙方支付货款的，每逾期 1 天甲方向乙方偿付欠款总额的 1 ‰违约金，但累计违约金总额不超过欠款总额的 1 ％。 </w:t>
      </w:r>
    </w:p>
    <w:p>
      <w:pPr>
        <w:spacing w:line="360" w:lineRule="auto"/>
        <w:ind w:firstLine="520" w:firstLineChars="200"/>
        <w:rPr>
          <w:rFonts w:ascii="宋体" w:hAnsi="宋体" w:cs="宋体"/>
          <w:kern w:val="0"/>
          <w:sz w:val="26"/>
          <w:szCs w:val="26"/>
          <w:lang w:val="zh-CN"/>
        </w:rPr>
      </w:pPr>
      <w:r>
        <w:rPr>
          <w:rFonts w:hint="eastAsia" w:ascii="宋体" w:hAnsi="宋体" w:cs="宋体"/>
          <w:kern w:val="0"/>
          <w:sz w:val="26"/>
          <w:szCs w:val="26"/>
          <w:lang w:val="zh-CN"/>
        </w:rPr>
        <w:t xml:space="preserve">2. 乙方违约责任 </w:t>
      </w:r>
    </w:p>
    <w:p>
      <w:pPr>
        <w:spacing w:line="360" w:lineRule="auto"/>
        <w:ind w:firstLine="520" w:firstLineChars="200"/>
        <w:rPr>
          <w:rFonts w:ascii="宋体" w:hAnsi="宋体" w:cs="宋体"/>
          <w:kern w:val="0"/>
          <w:sz w:val="26"/>
          <w:szCs w:val="26"/>
          <w:lang w:val="zh-CN"/>
        </w:rPr>
      </w:pPr>
      <w:r>
        <w:rPr>
          <w:rFonts w:hint="eastAsia" w:ascii="宋体" w:hAnsi="宋体" w:cs="宋体"/>
          <w:kern w:val="0"/>
          <w:sz w:val="26"/>
          <w:szCs w:val="26"/>
          <w:lang w:val="zh-CN"/>
        </w:rPr>
        <w:t xml:space="preserve">（1）乙方所交付的货物不符合本合同规定的，甲方有权拒收，同时乙方应向甲方支付合同总价 20 ％的违约金。乙方应在得到甲方通知之日起 10 个工作日内采取补救措施。若乙方上述期限内所提供的货物仍不符合规定，乙方应向甲方另行支付合同总价 20 %的违约金，同时甲方有权单方面无条件解除合同。 </w:t>
      </w:r>
    </w:p>
    <w:p>
      <w:pPr>
        <w:spacing w:line="360" w:lineRule="auto"/>
        <w:ind w:firstLine="520" w:firstLineChars="200"/>
        <w:rPr>
          <w:rFonts w:ascii="宋体" w:hAnsi="宋体" w:cs="宋体"/>
          <w:kern w:val="0"/>
          <w:sz w:val="26"/>
          <w:szCs w:val="26"/>
          <w:lang w:val="zh-CN"/>
        </w:rPr>
      </w:pPr>
      <w:r>
        <w:rPr>
          <w:rFonts w:hint="eastAsia" w:ascii="宋体" w:hAnsi="宋体" w:cs="宋体"/>
          <w:kern w:val="0"/>
          <w:sz w:val="26"/>
          <w:szCs w:val="26"/>
          <w:lang w:val="zh-CN"/>
        </w:rPr>
        <w:t xml:space="preserve">（2）乙方无正当理由逾期交付货物的，每逾期 1天，乙方向甲方偿付逾期交货部分货款总金额的 3 %的违约金。如乙方逾期交货达10 天，甲方有权解除合同，甲方解除合同的通知自到达乙方时生效。在此情况下，乙方给甲方造成的实际损失高于违约金的，对高出违约金的部分乙方应予以赔偿。 </w:t>
      </w:r>
    </w:p>
    <w:p>
      <w:pPr>
        <w:spacing w:line="360" w:lineRule="auto"/>
        <w:ind w:firstLine="520" w:firstLineChars="200"/>
        <w:rPr>
          <w:rFonts w:ascii="宋体" w:hAnsi="宋体" w:cs="宋体"/>
          <w:kern w:val="0"/>
          <w:sz w:val="26"/>
          <w:szCs w:val="26"/>
          <w:lang w:val="zh-CN"/>
        </w:rPr>
      </w:pPr>
      <w:r>
        <w:rPr>
          <w:rFonts w:hint="eastAsia" w:ascii="宋体" w:hAnsi="宋体" w:cs="宋体"/>
          <w:kern w:val="0"/>
          <w:sz w:val="26"/>
          <w:szCs w:val="26"/>
          <w:lang w:val="zh-CN"/>
        </w:rPr>
        <w:t xml:space="preserve">（3）在乙方承诺的或国家规定的质量保证期内（取两者中最长的期限），如经乙方 2 次维修，货物仍不能达到合同约定的质量标准、运行效果的，甲方有权要求乙方更换为全新合格货物并按本条第 1 款处理，同时，乙方还须赔偿甲方因此遭受的损失。 </w:t>
      </w:r>
    </w:p>
    <w:p>
      <w:pPr>
        <w:spacing w:line="360" w:lineRule="auto"/>
        <w:ind w:firstLine="520" w:firstLineChars="200"/>
        <w:rPr>
          <w:rFonts w:ascii="宋体" w:hAnsi="宋体" w:cs="宋体"/>
          <w:kern w:val="0"/>
          <w:sz w:val="26"/>
          <w:szCs w:val="26"/>
          <w:lang w:val="zh-CN"/>
        </w:rPr>
      </w:pPr>
      <w:r>
        <w:rPr>
          <w:rFonts w:hint="eastAsia" w:ascii="宋体" w:hAnsi="宋体" w:cs="宋体"/>
          <w:kern w:val="0"/>
          <w:sz w:val="26"/>
          <w:szCs w:val="26"/>
          <w:lang w:val="zh-CN"/>
        </w:rPr>
        <w:t xml:space="preserve">（4）乙方保证本合同货物的权利无瑕疵，包括货物所有权及知识产权等权利无瑕疵。如产生了任何的纠纷、索赔或诉讼等，乙方除应向甲方返还已收款项外，还应另按合同总价的 20 %向甲方支付违约金并赔偿因此给甲方造成的一切损失。 </w:t>
      </w:r>
    </w:p>
    <w:p>
      <w:pPr>
        <w:spacing w:line="360" w:lineRule="auto"/>
        <w:ind w:firstLine="520" w:firstLineChars="200"/>
      </w:pPr>
      <w:r>
        <w:rPr>
          <w:rFonts w:hint="eastAsia" w:ascii="宋体" w:hAnsi="宋体" w:cs="宋体"/>
          <w:kern w:val="0"/>
          <w:sz w:val="26"/>
          <w:szCs w:val="26"/>
          <w:lang w:val="zh-CN"/>
        </w:rPr>
        <w:t xml:space="preserve">3. 一方偿付的违约金不足以弥补另一方损失的，还应按另一方损失尚未弥补的部分，支付赔偿金给另一方。 </w:t>
      </w:r>
    </w:p>
    <w:p>
      <w:pPr>
        <w:pStyle w:val="2"/>
        <w:spacing w:after="0" w:line="360" w:lineRule="auto"/>
        <w:ind w:firstLine="522" w:firstLineChars="200"/>
        <w:rPr>
          <w:rFonts w:ascii="宋体" w:hAnsi="宋体" w:cs="宋体"/>
          <w:b/>
          <w:bCs/>
          <w:kern w:val="0"/>
          <w:sz w:val="26"/>
          <w:szCs w:val="26"/>
        </w:rPr>
      </w:pPr>
      <w:r>
        <w:rPr>
          <w:rFonts w:hint="eastAsia" w:ascii="宋体" w:hAnsi="宋体" w:cs="宋体"/>
          <w:b/>
          <w:bCs/>
          <w:kern w:val="0"/>
          <w:sz w:val="26"/>
          <w:szCs w:val="26"/>
        </w:rPr>
        <w:t>十三、解决争议的方式</w:t>
      </w:r>
    </w:p>
    <w:p>
      <w:pPr>
        <w:spacing w:line="360" w:lineRule="auto"/>
        <w:ind w:firstLine="520" w:firstLineChars="200"/>
        <w:rPr>
          <w:rFonts w:ascii="宋体" w:hAnsi="宋体" w:cs="宋体"/>
          <w:kern w:val="0"/>
          <w:sz w:val="26"/>
          <w:szCs w:val="26"/>
          <w:lang w:val="zh-CN"/>
        </w:rPr>
      </w:pPr>
      <w:r>
        <w:rPr>
          <w:rFonts w:hint="eastAsia" w:ascii="宋体" w:hAnsi="宋体" w:cs="宋体"/>
          <w:kern w:val="0"/>
          <w:sz w:val="26"/>
          <w:szCs w:val="26"/>
          <w:lang w:val="zh-CN"/>
        </w:rPr>
        <w:t xml:space="preserve">1. 因货物的质量问题发生争议的，应当邀请国家认可的质量检测机构对货物质量进行鉴定。货物符合标准的，鉴定费由甲方承担；货物不符合质量标准的，鉴定费由乙方承担。 </w:t>
      </w:r>
    </w:p>
    <w:p>
      <w:pPr>
        <w:spacing w:line="360" w:lineRule="auto"/>
        <w:ind w:firstLine="520" w:firstLineChars="200"/>
        <w:rPr>
          <w:rFonts w:ascii="宋体" w:hAnsi="宋体" w:cs="宋体"/>
          <w:kern w:val="0"/>
          <w:sz w:val="26"/>
          <w:szCs w:val="26"/>
          <w:lang w:val="zh-CN"/>
        </w:rPr>
      </w:pPr>
      <w:r>
        <w:rPr>
          <w:rFonts w:hint="eastAsia" w:ascii="宋体" w:hAnsi="宋体" w:cs="宋体"/>
          <w:kern w:val="0"/>
          <w:sz w:val="26"/>
          <w:szCs w:val="26"/>
          <w:lang w:val="zh-CN"/>
        </w:rPr>
        <w:t xml:space="preserve">2. 在解释或者执行本合同的过程中发生争议时，双方应通过协商方式解决。 </w:t>
      </w:r>
    </w:p>
    <w:p>
      <w:pPr>
        <w:spacing w:line="360" w:lineRule="auto"/>
        <w:ind w:firstLine="520" w:firstLineChars="200"/>
        <w:rPr>
          <w:rFonts w:ascii="宋体" w:hAnsi="宋体" w:cs="宋体"/>
          <w:kern w:val="0"/>
          <w:sz w:val="26"/>
          <w:szCs w:val="26"/>
          <w:lang w:val="zh-CN"/>
        </w:rPr>
      </w:pPr>
      <w:r>
        <w:rPr>
          <w:rFonts w:hint="eastAsia" w:ascii="宋体" w:hAnsi="宋体" w:cs="宋体"/>
          <w:kern w:val="0"/>
          <w:sz w:val="26"/>
          <w:szCs w:val="26"/>
          <w:lang w:val="zh-CN"/>
        </w:rPr>
        <w:t xml:space="preserve">3. 经协商不能解决的争议，双方可选择以下第（1）种方式解决： </w:t>
      </w:r>
    </w:p>
    <w:p>
      <w:pPr>
        <w:spacing w:line="360" w:lineRule="auto"/>
        <w:ind w:firstLine="520" w:firstLineChars="200"/>
        <w:rPr>
          <w:rFonts w:ascii="宋体" w:hAnsi="宋体" w:cs="宋体"/>
          <w:kern w:val="0"/>
          <w:sz w:val="26"/>
          <w:szCs w:val="26"/>
          <w:lang w:val="zh-CN"/>
        </w:rPr>
      </w:pPr>
      <w:r>
        <w:rPr>
          <w:rFonts w:hint="eastAsia" w:ascii="宋体" w:hAnsi="宋体" w:cs="宋体"/>
          <w:kern w:val="0"/>
          <w:sz w:val="26"/>
          <w:szCs w:val="26"/>
          <w:lang w:val="zh-CN"/>
        </w:rPr>
        <w:t xml:space="preserve">（1）向甲方所在地有管辖权的法院提起诉讼； </w:t>
      </w:r>
    </w:p>
    <w:p>
      <w:pPr>
        <w:spacing w:line="360" w:lineRule="auto"/>
        <w:ind w:firstLine="520" w:firstLineChars="200"/>
        <w:rPr>
          <w:rFonts w:ascii="宋体" w:hAnsi="宋体" w:cs="宋体"/>
          <w:kern w:val="0"/>
          <w:sz w:val="26"/>
          <w:szCs w:val="26"/>
          <w:lang w:val="zh-CN"/>
        </w:rPr>
      </w:pPr>
      <w:r>
        <w:rPr>
          <w:rFonts w:hint="eastAsia" w:ascii="宋体" w:hAnsi="宋体" w:cs="宋体"/>
          <w:kern w:val="0"/>
          <w:sz w:val="26"/>
          <w:szCs w:val="26"/>
          <w:lang w:val="zh-CN"/>
        </w:rPr>
        <w:t xml:space="preserve">（2）向成都仲裁委员会提出仲裁。 </w:t>
      </w:r>
    </w:p>
    <w:p>
      <w:pPr>
        <w:spacing w:line="360" w:lineRule="auto"/>
        <w:ind w:firstLine="520" w:firstLineChars="200"/>
      </w:pPr>
      <w:r>
        <w:rPr>
          <w:rFonts w:hint="eastAsia" w:ascii="宋体" w:hAnsi="宋体" w:cs="宋体"/>
          <w:kern w:val="0"/>
          <w:sz w:val="26"/>
          <w:szCs w:val="26"/>
          <w:lang w:val="zh-CN"/>
        </w:rPr>
        <w:t xml:space="preserve">4. 在法院审理和仲裁期间，除有争议部分外，本合同其他部分可以履行的仍应按合同条款继续履行。 </w:t>
      </w:r>
    </w:p>
    <w:p>
      <w:pPr>
        <w:spacing w:line="360" w:lineRule="auto"/>
        <w:ind w:firstLine="522" w:firstLineChars="200"/>
        <w:rPr>
          <w:rFonts w:ascii="宋体" w:hAnsi="宋体" w:cs="宋体"/>
          <w:b/>
          <w:bCs/>
          <w:sz w:val="26"/>
          <w:szCs w:val="26"/>
        </w:rPr>
      </w:pPr>
      <w:bookmarkStart w:id="214" w:name="_Toc217446115"/>
      <w:r>
        <w:rPr>
          <w:rFonts w:hint="eastAsia" w:ascii="宋体" w:hAnsi="宋体" w:cs="宋体"/>
          <w:b/>
          <w:bCs/>
          <w:sz w:val="26"/>
          <w:szCs w:val="26"/>
        </w:rPr>
        <w:t>十四、其他</w:t>
      </w:r>
      <w:bookmarkEnd w:id="214"/>
    </w:p>
    <w:p>
      <w:pPr>
        <w:spacing w:line="360" w:lineRule="auto"/>
        <w:ind w:firstLine="520" w:firstLineChars="200"/>
        <w:rPr>
          <w:rFonts w:ascii="宋体" w:hAnsi="宋体" w:cs="宋体"/>
          <w:kern w:val="0"/>
          <w:sz w:val="26"/>
          <w:szCs w:val="26"/>
          <w:lang w:val="zh-CN"/>
        </w:rPr>
      </w:pPr>
      <w:r>
        <w:rPr>
          <w:rFonts w:hint="eastAsia" w:ascii="宋体" w:hAnsi="宋体" w:cs="宋体"/>
          <w:kern w:val="0"/>
          <w:sz w:val="26"/>
          <w:szCs w:val="26"/>
          <w:lang w:val="zh-CN"/>
        </w:rPr>
        <w:t>1、本项目为交钥匙项目，投标报价为全部完工项目内容的总费用，包括货物运输、安装、调式、服务等所产生的所有费用。</w:t>
      </w:r>
    </w:p>
    <w:p>
      <w:pPr>
        <w:spacing w:line="360" w:lineRule="auto"/>
        <w:ind w:firstLine="520" w:firstLineChars="200"/>
        <w:rPr>
          <w:rFonts w:ascii="宋体" w:hAnsi="宋体" w:cs="宋体"/>
          <w:kern w:val="0"/>
          <w:sz w:val="26"/>
          <w:szCs w:val="26"/>
          <w:lang w:val="zh-CN"/>
        </w:rPr>
      </w:pPr>
      <w:r>
        <w:rPr>
          <w:rFonts w:hint="eastAsia" w:ascii="宋体" w:hAnsi="宋体" w:cs="宋体"/>
          <w:kern w:val="0"/>
          <w:sz w:val="26"/>
          <w:szCs w:val="26"/>
          <w:lang w:val="zh-CN"/>
        </w:rPr>
        <w:t>2、“LED显示屏</w:t>
      </w:r>
      <w:r>
        <w:rPr>
          <w:rFonts w:hint="eastAsia" w:ascii="宋体" w:hAnsi="宋体" w:cs="宋体"/>
          <w:kern w:val="0"/>
          <w:sz w:val="26"/>
          <w:szCs w:val="26"/>
        </w:rPr>
        <w:t>B</w:t>
      </w:r>
      <w:r>
        <w:rPr>
          <w:rFonts w:hint="eastAsia" w:ascii="宋体" w:hAnsi="宋体" w:cs="宋体"/>
          <w:kern w:val="0"/>
          <w:sz w:val="26"/>
          <w:szCs w:val="26"/>
          <w:lang w:val="zh-CN"/>
        </w:rPr>
        <w:t>”为本采购项目核心产品。</w:t>
      </w:r>
    </w:p>
    <w:p>
      <w:pPr>
        <w:spacing w:line="360" w:lineRule="auto"/>
        <w:ind w:firstLine="520" w:firstLineChars="200"/>
        <w:rPr>
          <w:rFonts w:ascii="宋体" w:hAnsi="宋体" w:cs="宋体"/>
          <w:kern w:val="0"/>
          <w:sz w:val="26"/>
          <w:szCs w:val="26"/>
          <w:lang w:val="zh-CN"/>
        </w:rPr>
      </w:pPr>
      <w:r>
        <w:rPr>
          <w:rFonts w:hint="eastAsia" w:ascii="宋体" w:hAnsi="宋体" w:cs="宋体"/>
          <w:kern w:val="0"/>
          <w:sz w:val="26"/>
          <w:szCs w:val="26"/>
          <w:lang w:val="zh-CN"/>
        </w:rPr>
        <w:t>政府采购政策要求：</w:t>
      </w:r>
    </w:p>
    <w:p>
      <w:pPr>
        <w:spacing w:line="360" w:lineRule="auto"/>
        <w:ind w:firstLine="520" w:firstLineChars="200"/>
        <w:rPr>
          <w:rFonts w:ascii="宋体" w:hAnsi="宋体" w:cs="宋体"/>
          <w:kern w:val="0"/>
          <w:sz w:val="26"/>
          <w:szCs w:val="26"/>
          <w:lang w:val="zh-CN"/>
        </w:rPr>
      </w:pPr>
      <w:r>
        <w:rPr>
          <w:rFonts w:hint="eastAsia" w:ascii="宋体" w:hAnsi="宋体" w:cs="宋体"/>
          <w:kern w:val="0"/>
          <w:sz w:val="26"/>
          <w:szCs w:val="26"/>
          <w:lang w:val="en-US" w:eastAsia="zh-CN"/>
        </w:rPr>
        <w:t>*</w:t>
      </w:r>
      <w:r>
        <w:rPr>
          <w:rFonts w:hint="eastAsia" w:ascii="宋体" w:hAnsi="宋体" w:cs="宋体"/>
          <w:kern w:val="0"/>
          <w:sz w:val="26"/>
          <w:szCs w:val="26"/>
          <w:lang w:val="zh-CN"/>
        </w:rPr>
        <w:t>1、本项目产品清单中涉及强制采购节能产品的，投标人应在投标文件中提供国家确定的认证机构出具的、处于有效期之内的节能、环境标志产品认证证书复印件。</w:t>
      </w:r>
    </w:p>
    <w:p>
      <w:pPr>
        <w:spacing w:line="360" w:lineRule="auto"/>
        <w:ind w:firstLine="520" w:firstLineChars="200"/>
        <w:rPr>
          <w:rFonts w:ascii="宋体" w:hAnsi="宋体" w:cs="宋体"/>
          <w:sz w:val="24"/>
          <w:szCs w:val="24"/>
        </w:rPr>
      </w:pPr>
      <w:r>
        <w:rPr>
          <w:rFonts w:hint="eastAsia" w:ascii="宋体" w:hAnsi="宋体" w:cs="宋体"/>
          <w:kern w:val="0"/>
          <w:sz w:val="26"/>
          <w:szCs w:val="26"/>
          <w:lang w:val="en-US" w:eastAsia="zh-CN"/>
        </w:rPr>
        <w:t>*</w:t>
      </w:r>
      <w:r>
        <w:rPr>
          <w:rFonts w:hint="eastAsia" w:ascii="宋体" w:hAnsi="宋体" w:cs="宋体"/>
          <w:kern w:val="0"/>
          <w:sz w:val="26"/>
          <w:szCs w:val="26"/>
          <w:lang w:val="zh-CN"/>
        </w:rPr>
        <w:t>2、本项目产品清单中涉及国家强制认证（CCC）产品的，投标人应在投标文件中提供符合国家强制认证（CCC）或前置许可、认证的证明材料复印件或承诺函原件，否则不予认定。</w:t>
      </w:r>
    </w:p>
    <w:p>
      <w:pPr>
        <w:pStyle w:val="51"/>
      </w:pPr>
    </w:p>
    <w:bookmarkEnd w:id="213"/>
    <w:tbl>
      <w:tblPr>
        <w:tblStyle w:val="44"/>
        <w:tblW w:w="499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506"/>
        <w:gridCol w:w="434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7" w:hRule="atLeast"/>
        </w:trPr>
        <w:tc>
          <w:tcPr>
            <w:tcW w:w="2544" w:type="pct"/>
            <w:tcBorders>
              <w:top w:val="single" w:color="auto" w:sz="4" w:space="0"/>
              <w:left w:val="single" w:color="auto" w:sz="4" w:space="0"/>
              <w:bottom w:val="single" w:color="auto" w:sz="4" w:space="0"/>
              <w:right w:val="single" w:color="auto" w:sz="4" w:space="0"/>
            </w:tcBorders>
          </w:tcPr>
          <w:p>
            <w:pPr>
              <w:spacing w:line="400" w:lineRule="exact"/>
              <w:rPr>
                <w:rFonts w:ascii="宋体" w:hAnsi="宋体" w:cs="宋体"/>
                <w:sz w:val="24"/>
                <w:szCs w:val="24"/>
              </w:rPr>
            </w:pPr>
            <w:r>
              <w:rPr>
                <w:rFonts w:hint="eastAsia" w:ascii="宋体" w:hAnsi="宋体" w:cs="宋体"/>
                <w:sz w:val="24"/>
                <w:szCs w:val="24"/>
              </w:rPr>
              <w:t>甲方（盖章）：</w:t>
            </w:r>
          </w:p>
          <w:p>
            <w:pPr>
              <w:spacing w:line="400" w:lineRule="exact"/>
              <w:rPr>
                <w:rFonts w:ascii="宋体" w:hAnsi="宋体" w:cs="宋体"/>
                <w:sz w:val="24"/>
                <w:szCs w:val="24"/>
              </w:rPr>
            </w:pPr>
            <w:r>
              <w:rPr>
                <w:rFonts w:hint="eastAsia" w:ascii="宋体" w:hAnsi="宋体" w:cs="宋体"/>
                <w:sz w:val="24"/>
                <w:szCs w:val="24"/>
              </w:rPr>
              <w:t>甲方代表（签字）：</w:t>
            </w:r>
          </w:p>
          <w:p>
            <w:pPr>
              <w:spacing w:line="400" w:lineRule="exact"/>
              <w:rPr>
                <w:rFonts w:ascii="宋体" w:hAnsi="宋体" w:cs="宋体"/>
                <w:sz w:val="24"/>
                <w:szCs w:val="24"/>
              </w:rPr>
            </w:pPr>
            <w:r>
              <w:rPr>
                <w:rFonts w:hint="eastAsia" w:ascii="宋体" w:hAnsi="宋体" w:cs="宋体"/>
                <w:sz w:val="24"/>
                <w:szCs w:val="24"/>
              </w:rPr>
              <w:t>地址：</w:t>
            </w:r>
          </w:p>
          <w:p>
            <w:pPr>
              <w:spacing w:line="400" w:lineRule="exact"/>
              <w:rPr>
                <w:rFonts w:ascii="宋体" w:hAnsi="宋体" w:cs="宋体"/>
                <w:sz w:val="24"/>
                <w:szCs w:val="24"/>
              </w:rPr>
            </w:pPr>
            <w:r>
              <w:rPr>
                <w:rFonts w:hint="eastAsia" w:ascii="宋体" w:hAnsi="宋体" w:cs="宋体"/>
                <w:sz w:val="24"/>
                <w:szCs w:val="24"/>
              </w:rPr>
              <w:t>电话：</w:t>
            </w:r>
          </w:p>
          <w:p>
            <w:pPr>
              <w:spacing w:line="400" w:lineRule="exact"/>
              <w:rPr>
                <w:rFonts w:ascii="宋体" w:hAnsi="宋体" w:cs="宋体"/>
                <w:sz w:val="24"/>
                <w:szCs w:val="24"/>
              </w:rPr>
            </w:pPr>
          </w:p>
          <w:p>
            <w:pPr>
              <w:spacing w:line="400" w:lineRule="exact"/>
              <w:rPr>
                <w:rFonts w:ascii="宋体" w:hAnsi="宋体" w:cs="宋体"/>
                <w:sz w:val="24"/>
                <w:szCs w:val="24"/>
              </w:rPr>
            </w:pPr>
          </w:p>
          <w:p>
            <w:pPr>
              <w:spacing w:line="400" w:lineRule="exact"/>
              <w:rPr>
                <w:rFonts w:ascii="宋体" w:hAnsi="宋体" w:cs="宋体"/>
                <w:sz w:val="24"/>
                <w:szCs w:val="24"/>
              </w:rPr>
            </w:pPr>
            <w:r>
              <w:rPr>
                <w:rFonts w:hint="eastAsia" w:ascii="宋体" w:hAnsi="宋体" w:cs="宋体"/>
                <w:sz w:val="24"/>
                <w:szCs w:val="24"/>
              </w:rPr>
              <w:t>日期：    年    月    日</w:t>
            </w:r>
          </w:p>
        </w:tc>
        <w:tc>
          <w:tcPr>
            <w:tcW w:w="2455" w:type="pct"/>
            <w:tcBorders>
              <w:top w:val="single" w:color="auto" w:sz="4" w:space="0"/>
              <w:left w:val="single" w:color="auto" w:sz="4" w:space="0"/>
              <w:bottom w:val="single" w:color="auto" w:sz="4" w:space="0"/>
              <w:right w:val="single" w:color="auto" w:sz="4" w:space="0"/>
            </w:tcBorders>
          </w:tcPr>
          <w:p>
            <w:pPr>
              <w:spacing w:line="400" w:lineRule="exact"/>
              <w:rPr>
                <w:rFonts w:ascii="宋体" w:hAnsi="宋体" w:cs="宋体"/>
                <w:sz w:val="24"/>
                <w:szCs w:val="24"/>
              </w:rPr>
            </w:pPr>
            <w:r>
              <w:rPr>
                <w:rFonts w:hint="eastAsia" w:ascii="宋体" w:hAnsi="宋体" w:cs="宋体"/>
                <w:sz w:val="24"/>
                <w:szCs w:val="24"/>
              </w:rPr>
              <w:t xml:space="preserve">乙方（盖章）：  </w:t>
            </w:r>
          </w:p>
          <w:p>
            <w:pPr>
              <w:spacing w:line="400" w:lineRule="exact"/>
              <w:rPr>
                <w:rFonts w:ascii="宋体" w:hAnsi="宋体" w:cs="宋体"/>
                <w:sz w:val="24"/>
                <w:szCs w:val="24"/>
              </w:rPr>
            </w:pPr>
            <w:r>
              <w:rPr>
                <w:rFonts w:hint="eastAsia" w:ascii="宋体" w:hAnsi="宋体" w:cs="宋体"/>
                <w:sz w:val="24"/>
                <w:szCs w:val="24"/>
              </w:rPr>
              <w:t>乙方代表（签字）：</w:t>
            </w:r>
          </w:p>
          <w:p>
            <w:pPr>
              <w:spacing w:line="400" w:lineRule="exact"/>
              <w:rPr>
                <w:rFonts w:ascii="宋体" w:hAnsi="宋体" w:cs="宋体"/>
                <w:sz w:val="24"/>
                <w:szCs w:val="24"/>
              </w:rPr>
            </w:pPr>
            <w:r>
              <w:rPr>
                <w:rFonts w:hint="eastAsia" w:ascii="宋体" w:hAnsi="宋体" w:cs="宋体"/>
                <w:sz w:val="24"/>
                <w:szCs w:val="24"/>
              </w:rPr>
              <w:t xml:space="preserve">地址： </w:t>
            </w:r>
          </w:p>
          <w:p>
            <w:pPr>
              <w:spacing w:line="400" w:lineRule="exact"/>
              <w:rPr>
                <w:rFonts w:ascii="宋体" w:hAnsi="宋体" w:cs="宋体"/>
                <w:sz w:val="24"/>
                <w:szCs w:val="24"/>
              </w:rPr>
            </w:pPr>
            <w:r>
              <w:rPr>
                <w:rFonts w:hint="eastAsia" w:ascii="宋体" w:hAnsi="宋体" w:cs="宋体"/>
                <w:sz w:val="24"/>
                <w:szCs w:val="24"/>
              </w:rPr>
              <w:t>电话：</w:t>
            </w:r>
          </w:p>
          <w:p>
            <w:pPr>
              <w:spacing w:line="400" w:lineRule="exact"/>
              <w:rPr>
                <w:rFonts w:ascii="宋体" w:hAnsi="宋体" w:cs="宋体"/>
                <w:sz w:val="24"/>
                <w:szCs w:val="24"/>
              </w:rPr>
            </w:pPr>
            <w:r>
              <w:rPr>
                <w:rFonts w:hint="eastAsia" w:ascii="宋体" w:hAnsi="宋体" w:cs="宋体"/>
                <w:sz w:val="24"/>
                <w:szCs w:val="24"/>
              </w:rPr>
              <w:t>开户银行：</w:t>
            </w:r>
          </w:p>
          <w:p>
            <w:pPr>
              <w:spacing w:line="400" w:lineRule="exact"/>
              <w:rPr>
                <w:rFonts w:ascii="宋体" w:hAnsi="宋体" w:cs="宋体"/>
                <w:sz w:val="24"/>
                <w:szCs w:val="24"/>
              </w:rPr>
            </w:pPr>
            <w:r>
              <w:rPr>
                <w:rFonts w:hint="eastAsia" w:ascii="宋体" w:hAnsi="宋体" w:cs="宋体"/>
                <w:sz w:val="24"/>
                <w:szCs w:val="24"/>
              </w:rPr>
              <w:t>开户账号：</w:t>
            </w:r>
          </w:p>
          <w:p>
            <w:pPr>
              <w:spacing w:line="400" w:lineRule="exact"/>
              <w:rPr>
                <w:rFonts w:ascii="宋体" w:hAnsi="宋体" w:cs="宋体"/>
                <w:sz w:val="24"/>
                <w:szCs w:val="24"/>
              </w:rPr>
            </w:pPr>
            <w:r>
              <w:rPr>
                <w:rFonts w:hint="eastAsia" w:ascii="宋体" w:hAnsi="宋体" w:cs="宋体"/>
                <w:sz w:val="24"/>
                <w:szCs w:val="24"/>
              </w:rPr>
              <w:t>日期：    年    月    日</w:t>
            </w:r>
          </w:p>
        </w:tc>
      </w:tr>
    </w:tbl>
    <w:p/>
    <w:p>
      <w:pPr>
        <w:rPr>
          <w:rFonts w:ascii="宋体" w:hAnsi="宋体" w:cs="宋体"/>
          <w:b/>
          <w:bCs/>
          <w:sz w:val="24"/>
          <w:szCs w:val="24"/>
        </w:rPr>
      </w:pPr>
      <w:r>
        <w:rPr>
          <w:rFonts w:hint="eastAsia" w:ascii="宋体" w:hAnsi="宋体" w:cs="宋体"/>
          <w:b/>
          <w:bCs/>
          <w:sz w:val="24"/>
          <w:szCs w:val="24"/>
        </w:rPr>
        <w:br w:type="page"/>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附件1：</w:t>
      </w:r>
    </w:p>
    <w:p>
      <w:r>
        <w:drawing>
          <wp:inline distT="0" distB="0" distL="0" distR="0">
            <wp:extent cx="5267325" cy="74580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67325" cy="74580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76850" cy="74580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67325" cy="7458075"/>
            <wp:effectExtent l="0" t="0" r="317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76850" cy="74580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67325" cy="74580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76850" cy="74580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67325" cy="74580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67325" cy="74580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67325" cy="74580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76850" cy="74580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67325" cy="74580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67325" cy="74580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p/>
    <w:p>
      <w:r>
        <w:drawing>
          <wp:inline distT="0" distB="0" distL="0" distR="0">
            <wp:extent cx="5267325" cy="74580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p/>
    <w:p/>
    <w:p/>
    <w:p/>
    <w:p/>
    <w:p/>
    <w:p>
      <w:r>
        <w:drawing>
          <wp:inline distT="0" distB="0" distL="0" distR="0">
            <wp:extent cx="4905375" cy="68008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05375" cy="6800850"/>
                    </a:xfrm>
                    <a:prstGeom prst="rect">
                      <a:avLst/>
                    </a:prstGeom>
                    <a:noFill/>
                    <a:ln>
                      <a:noFill/>
                    </a:ln>
                  </pic:spPr>
                </pic:pic>
              </a:graphicData>
            </a:graphic>
          </wp:inline>
        </w:drawing>
      </w:r>
    </w:p>
    <w:p/>
    <w:p/>
    <w:p/>
    <w:p/>
    <w:p/>
    <w:p/>
    <w:p/>
    <w:p>
      <w:r>
        <w:drawing>
          <wp:inline distT="0" distB="0" distL="0" distR="0">
            <wp:extent cx="4991100" cy="66770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4991100" cy="6677025"/>
                    </a:xfrm>
                    <a:prstGeom prst="rect">
                      <a:avLst/>
                    </a:prstGeom>
                    <a:noFill/>
                    <a:ln>
                      <a:noFill/>
                    </a:ln>
                  </pic:spPr>
                </pic:pic>
              </a:graphicData>
            </a:graphic>
          </wp:inline>
        </w:drawing>
      </w:r>
    </w:p>
    <w:p/>
    <w:p/>
    <w:p/>
    <w:p/>
    <w:p/>
    <w:p/>
    <w:p>
      <w:r>
        <w:drawing>
          <wp:inline distT="0" distB="0" distL="0" distR="0">
            <wp:extent cx="7562850" cy="4876800"/>
            <wp:effectExtent l="0" t="1352550" r="0" b="133350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rot="5400000">
                      <a:off x="0" y="0"/>
                      <a:ext cx="7562850" cy="4876800"/>
                    </a:xfrm>
                    <a:prstGeom prst="rect">
                      <a:avLst/>
                    </a:prstGeom>
                    <a:noFill/>
                    <a:ln>
                      <a:noFill/>
                    </a:ln>
                  </pic:spPr>
                </pic:pic>
              </a:graphicData>
            </a:graphic>
          </wp:inline>
        </w:drawing>
      </w:r>
    </w:p>
    <w:p/>
    <w:p/>
    <w:p/>
    <w:p/>
    <w:p/>
    <w:p>
      <w:r>
        <w:drawing>
          <wp:inline distT="0" distB="0" distL="0" distR="0">
            <wp:extent cx="5105400" cy="65246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105400" cy="6524625"/>
                    </a:xfrm>
                    <a:prstGeom prst="rect">
                      <a:avLst/>
                    </a:prstGeom>
                    <a:noFill/>
                    <a:ln>
                      <a:noFill/>
                    </a:ln>
                  </pic:spPr>
                </pic:pic>
              </a:graphicData>
            </a:graphic>
          </wp:inline>
        </w:drawing>
      </w:r>
    </w:p>
    <w:p/>
    <w:p/>
    <w:p/>
    <w:p/>
    <w:p/>
    <w:p/>
    <w:p/>
    <w:p/>
    <w:p/>
    <w:p/>
    <w:p/>
    <w:p>
      <w:r>
        <w:drawing>
          <wp:inline distT="0" distB="0" distL="0" distR="0">
            <wp:extent cx="5219700" cy="64484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700" cy="6448425"/>
                    </a:xfrm>
                    <a:prstGeom prst="rect">
                      <a:avLst/>
                    </a:prstGeom>
                    <a:noFill/>
                    <a:ln>
                      <a:noFill/>
                    </a:ln>
                  </pic:spPr>
                </pic:pic>
              </a:graphicData>
            </a:graphic>
          </wp:inline>
        </w:drawing>
      </w:r>
    </w:p>
    <w:p>
      <w:r>
        <w:drawing>
          <wp:inline distT="0" distB="0" distL="0" distR="0">
            <wp:extent cx="5219700" cy="63817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19700" cy="6381750"/>
                    </a:xfrm>
                    <a:prstGeom prst="rect">
                      <a:avLst/>
                    </a:prstGeom>
                    <a:noFill/>
                    <a:ln>
                      <a:noFill/>
                    </a:ln>
                  </pic:spPr>
                </pic:pic>
              </a:graphicData>
            </a:graphic>
          </wp:inline>
        </w:drawing>
      </w:r>
    </w:p>
    <w:p>
      <w:r>
        <w:drawing>
          <wp:inline distT="0" distB="0" distL="0" distR="0">
            <wp:extent cx="7439025" cy="5248275"/>
            <wp:effectExtent l="0" t="1104900" r="0" b="10763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rot="5400000">
                      <a:off x="0" y="0"/>
                      <a:ext cx="7439025" cy="5248275"/>
                    </a:xfrm>
                    <a:prstGeom prst="rect">
                      <a:avLst/>
                    </a:prstGeom>
                    <a:noFill/>
                    <a:ln>
                      <a:noFill/>
                    </a:ln>
                  </pic:spPr>
                </pic:pic>
              </a:graphicData>
            </a:graphic>
          </wp:inline>
        </w:drawing>
      </w:r>
    </w:p>
    <w:p>
      <w:r>
        <w:drawing>
          <wp:inline distT="0" distB="0" distL="0" distR="0">
            <wp:extent cx="5276850" cy="57816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276850" cy="5781675"/>
                    </a:xfrm>
                    <a:prstGeom prst="rect">
                      <a:avLst/>
                    </a:prstGeom>
                    <a:noFill/>
                    <a:ln>
                      <a:noFill/>
                    </a:ln>
                  </pic:spPr>
                </pic:pic>
              </a:graphicData>
            </a:graphic>
          </wp:inline>
        </w:drawing>
      </w:r>
    </w:p>
    <w:p/>
    <w:p>
      <w:pPr>
        <w:pStyle w:val="40"/>
        <w:ind w:left="0" w:firstLine="0"/>
      </w:pPr>
    </w:p>
    <w:p>
      <w:pPr>
        <w:pStyle w:val="40"/>
        <w:ind w:left="0" w:firstLine="0"/>
      </w:pPr>
    </w:p>
    <w:p>
      <w:pPr>
        <w:pStyle w:val="40"/>
        <w:ind w:left="0" w:firstLine="0"/>
      </w:pPr>
    </w:p>
    <w:p>
      <w:pPr>
        <w:pStyle w:val="40"/>
        <w:ind w:left="0" w:firstLine="0"/>
      </w:pPr>
    </w:p>
    <w:p>
      <w:pPr>
        <w:pStyle w:val="40"/>
        <w:ind w:left="0" w:firstLine="0"/>
      </w:pPr>
    </w:p>
    <w:p>
      <w:pPr>
        <w:pStyle w:val="40"/>
        <w:ind w:left="0" w:firstLine="0"/>
      </w:pPr>
    </w:p>
    <w:p>
      <w:pPr>
        <w:pStyle w:val="40"/>
        <w:ind w:left="0" w:firstLine="0"/>
      </w:pPr>
    </w:p>
    <w:p>
      <w:pPr>
        <w:pStyle w:val="40"/>
        <w:ind w:left="0" w:firstLine="0"/>
      </w:pPr>
    </w:p>
    <w:tbl>
      <w:tblPr>
        <w:tblStyle w:val="44"/>
        <w:tblpPr w:leftFromText="180" w:rightFromText="180" w:vertAnchor="text" w:horzAnchor="page" w:tblpX="1786" w:tblpY="302"/>
        <w:tblOverlap w:val="never"/>
        <w:tblW w:w="8352" w:type="dxa"/>
        <w:tblInd w:w="0" w:type="dxa"/>
        <w:tblLayout w:type="fixed"/>
        <w:tblCellMar>
          <w:top w:w="0" w:type="dxa"/>
          <w:left w:w="0" w:type="dxa"/>
          <w:bottom w:w="0" w:type="dxa"/>
          <w:right w:w="0" w:type="dxa"/>
        </w:tblCellMar>
      </w:tblPr>
      <w:tblGrid>
        <w:gridCol w:w="652"/>
        <w:gridCol w:w="2992"/>
        <w:gridCol w:w="1440"/>
        <w:gridCol w:w="3268"/>
      </w:tblGrid>
      <w:tr>
        <w:tblPrEx>
          <w:tblCellMar>
            <w:top w:w="0" w:type="dxa"/>
            <w:left w:w="0" w:type="dxa"/>
            <w:bottom w:w="0" w:type="dxa"/>
            <w:right w:w="0" w:type="dxa"/>
          </w:tblCellMar>
        </w:tblPrEx>
        <w:trPr>
          <w:trHeight w:val="615" w:hRule="atLeast"/>
        </w:trPr>
        <w:tc>
          <w:tcPr>
            <w:tcW w:w="8352" w:type="dxa"/>
            <w:gridSpan w:val="4"/>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b/>
                <w:color w:val="000000"/>
                <w:sz w:val="36"/>
                <w:szCs w:val="36"/>
              </w:rPr>
            </w:pPr>
            <w:r>
              <w:rPr>
                <w:rFonts w:hint="eastAsia" w:ascii="宋体" w:hAnsi="宋体" w:cs="宋体"/>
                <w:b/>
                <w:color w:val="000000"/>
                <w:kern w:val="0"/>
                <w:sz w:val="28"/>
                <w:szCs w:val="28"/>
              </w:rPr>
              <w:t>成都市双流区首批开展政府采购信用融资业务银行联系方式</w:t>
            </w:r>
          </w:p>
        </w:tc>
      </w:tr>
      <w:tr>
        <w:tblPrEx>
          <w:tblCellMar>
            <w:top w:w="0" w:type="dxa"/>
            <w:left w:w="0" w:type="dxa"/>
            <w:bottom w:w="0" w:type="dxa"/>
            <w:right w:w="0" w:type="dxa"/>
          </w:tblCellMar>
        </w:tblPrEx>
        <w:trPr>
          <w:trHeight w:val="491" w:hRule="atLeast"/>
        </w:trPr>
        <w:tc>
          <w:tcPr>
            <w:tcW w:w="652"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序号</w:t>
            </w:r>
          </w:p>
        </w:tc>
        <w:tc>
          <w:tcPr>
            <w:tcW w:w="2992"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银行名称</w:t>
            </w:r>
          </w:p>
        </w:tc>
        <w:tc>
          <w:tcPr>
            <w:tcW w:w="1440"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联系人</w:t>
            </w:r>
          </w:p>
        </w:tc>
        <w:tc>
          <w:tcPr>
            <w:tcW w:w="3268"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联系电话</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成都银行双流支行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周慧</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18108267808</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胡恒彬</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18190896900 </w:t>
            </w:r>
          </w:p>
        </w:tc>
      </w:tr>
      <w:tr>
        <w:tblPrEx>
          <w:tblCellMar>
            <w:top w:w="0" w:type="dxa"/>
            <w:left w:w="0" w:type="dxa"/>
            <w:bottom w:w="0" w:type="dxa"/>
            <w:right w:w="0" w:type="dxa"/>
          </w:tblCellMar>
        </w:tblPrEx>
        <w:trPr>
          <w:trHeight w:val="549" w:hRule="atLeast"/>
        </w:trPr>
        <w:tc>
          <w:tcPr>
            <w:tcW w:w="6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w:t>
            </w:r>
          </w:p>
        </w:tc>
        <w:tc>
          <w:tcPr>
            <w:tcW w:w="2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中国建设银行双流分行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袁俊辉</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13688076753</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交通银行双流分行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吴旭睿</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18980585584</w:t>
            </w:r>
          </w:p>
        </w:tc>
      </w:tr>
      <w:tr>
        <w:tblPrEx>
          <w:tblCellMar>
            <w:top w:w="0" w:type="dxa"/>
            <w:left w:w="0" w:type="dxa"/>
            <w:bottom w:w="0" w:type="dxa"/>
            <w:right w:w="0" w:type="dxa"/>
          </w:tblCellMar>
        </w:tblPrEx>
        <w:trPr>
          <w:trHeight w:val="542"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席梦娇</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18284529669 </w:t>
            </w:r>
          </w:p>
        </w:tc>
      </w:tr>
      <w:tr>
        <w:tblPrEx>
          <w:tblCellMar>
            <w:top w:w="0" w:type="dxa"/>
            <w:left w:w="0" w:type="dxa"/>
            <w:bottom w:w="0" w:type="dxa"/>
            <w:right w:w="0" w:type="dxa"/>
          </w:tblCellMar>
        </w:tblPrEx>
        <w:trPr>
          <w:trHeight w:val="549" w:hRule="atLeast"/>
        </w:trPr>
        <w:tc>
          <w:tcPr>
            <w:tcW w:w="6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2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中国农业银行双流支行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徐丽</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13981781800</w:t>
            </w:r>
          </w:p>
        </w:tc>
      </w:tr>
      <w:tr>
        <w:tblPrEx>
          <w:tblCellMar>
            <w:top w:w="0" w:type="dxa"/>
            <w:left w:w="0" w:type="dxa"/>
            <w:bottom w:w="0" w:type="dxa"/>
            <w:right w:w="0" w:type="dxa"/>
          </w:tblCellMar>
        </w:tblPrEx>
        <w:trPr>
          <w:trHeight w:val="549" w:hRule="atLeast"/>
        </w:trPr>
        <w:tc>
          <w:tcPr>
            <w:tcW w:w="6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5</w:t>
            </w:r>
          </w:p>
        </w:tc>
        <w:tc>
          <w:tcPr>
            <w:tcW w:w="2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成都农商银行双流支行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谢薇</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18581896869</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6</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中国银行双流支行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方讼之</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18684003573</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彭洋</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13540664856</w:t>
            </w:r>
          </w:p>
        </w:tc>
      </w:tr>
      <w:tr>
        <w:tblPrEx>
          <w:tblCellMar>
            <w:top w:w="0" w:type="dxa"/>
            <w:left w:w="0" w:type="dxa"/>
            <w:bottom w:w="0" w:type="dxa"/>
            <w:right w:w="0" w:type="dxa"/>
          </w:tblCellMar>
        </w:tblPrEx>
        <w:trPr>
          <w:trHeight w:val="549" w:hRule="atLeast"/>
        </w:trPr>
        <w:tc>
          <w:tcPr>
            <w:tcW w:w="65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7</w:t>
            </w:r>
          </w:p>
        </w:tc>
        <w:tc>
          <w:tcPr>
            <w:tcW w:w="299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上海银行成都双流支行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马欢</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028-67087516  17761260901</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8</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浙商银行成都双流支行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唐城</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13540090509</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艾燕</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13308183763</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9</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中国工商银行成都双流支行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邓经理</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028-62580231</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肖经理</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028-85895995</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10</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中国邮政储蓄银行成都双流支行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杨建华</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13981895940</w:t>
            </w:r>
          </w:p>
        </w:tc>
      </w:tr>
      <w:tr>
        <w:tblPrEx>
          <w:tblCellMar>
            <w:top w:w="0" w:type="dxa"/>
            <w:left w:w="0" w:type="dxa"/>
            <w:bottom w:w="0" w:type="dxa"/>
            <w:right w:w="0" w:type="dxa"/>
          </w:tblCellMar>
        </w:tblPrEx>
        <w:trPr>
          <w:trHeight w:val="568"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王宇飞</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13540385980</w:t>
            </w:r>
          </w:p>
        </w:tc>
      </w:tr>
    </w:tbl>
    <w:p/>
    <w:p/>
    <w:p/>
    <w:p/>
    <w:sectPr>
      <w:footerReference r:id="rId3" w:type="default"/>
      <w:pgSz w:w="12240" w:h="15840"/>
      <w:pgMar w:top="1440" w:right="1800" w:bottom="1440" w:left="1800" w:header="708" w:footer="708" w:gutter="0"/>
      <w:pgNumType w:fmt="decimal"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0AFF" w:usb1="00007843" w:usb2="00000001" w:usb3="00000000" w:csb0="400001BF" w:csb1="DFF7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楷体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Segoe Print"/>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altName w:val="微软雅黑"/>
    <w:panose1 w:val="02010509060101010101"/>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PMingLiU">
    <w:panose1 w:val="02020500000000000000"/>
    <w:charset w:val="88"/>
    <w:family w:val="roma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48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64514241"/>
                          </w:sdtPr>
                          <w:sdtContent>
                            <w:p>
                              <w:pPr>
                                <w:pStyle w:val="27"/>
                                <w:ind w:firstLine="480"/>
                                <w:jc w:val="center"/>
                              </w:pPr>
                              <w:r>
                                <w:fldChar w:fldCharType="begin"/>
                              </w:r>
                              <w:r>
                                <w:instrText xml:space="preserve">PAGE   \* MERGEFORMAT</w:instrText>
                              </w:r>
                              <w:r>
                                <w:fldChar w:fldCharType="separate"/>
                              </w:r>
                              <w:r>
                                <w:rPr>
                                  <w:lang w:val="zh-CN"/>
                                </w:rPr>
                                <w:t>60</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sdt>
                    <w:sdtPr>
                      <w:id w:val="264514241"/>
                    </w:sdtPr>
                    <w:sdtContent>
                      <w:p>
                        <w:pPr>
                          <w:pStyle w:val="27"/>
                          <w:ind w:firstLine="480"/>
                          <w:jc w:val="center"/>
                        </w:pPr>
                        <w:r>
                          <w:fldChar w:fldCharType="begin"/>
                        </w:r>
                        <w:r>
                          <w:instrText xml:space="preserve">PAGE   \* MERGEFORMAT</w:instrText>
                        </w:r>
                        <w:r>
                          <w:fldChar w:fldCharType="separate"/>
                        </w:r>
                        <w:r>
                          <w:rPr>
                            <w:lang w:val="zh-CN"/>
                          </w:rPr>
                          <w:t>60</w:t>
                        </w:r>
                        <w:r>
                          <w:fldChar w:fldCharType="end"/>
                        </w:r>
                      </w:p>
                    </w:sdtContent>
                  </w:sdt>
                  <w:p/>
                </w:txbxContent>
              </v:textbox>
            </v:shape>
          </w:pict>
        </mc:Fallback>
      </mc:AlternateContent>
    </w:r>
  </w:p>
  <w:p>
    <w:pPr>
      <w:pStyle w:val="2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DDC5C2"/>
    <w:multiLevelType w:val="singleLevel"/>
    <w:tmpl w:val="8BDDC5C2"/>
    <w:lvl w:ilvl="0" w:tentative="0">
      <w:start w:val="1"/>
      <w:numFmt w:val="chineseCounting"/>
      <w:suff w:val="nothing"/>
      <w:lvlText w:val="（%1）"/>
      <w:lvlJc w:val="left"/>
      <w:pPr>
        <w:ind w:left="0" w:firstLine="420"/>
      </w:pPr>
      <w:rPr>
        <w:rFonts w:hint="eastAsia"/>
      </w:rPr>
    </w:lvl>
  </w:abstractNum>
  <w:abstractNum w:abstractNumId="1">
    <w:nsid w:val="8BEF6B6B"/>
    <w:multiLevelType w:val="singleLevel"/>
    <w:tmpl w:val="8BEF6B6B"/>
    <w:lvl w:ilvl="0" w:tentative="0">
      <w:start w:val="1"/>
      <w:numFmt w:val="decimal"/>
      <w:suff w:val="nothing"/>
      <w:lvlText w:val="%1、"/>
      <w:lvlJc w:val="left"/>
    </w:lvl>
  </w:abstractNum>
  <w:abstractNum w:abstractNumId="2">
    <w:nsid w:val="AE611504"/>
    <w:multiLevelType w:val="singleLevel"/>
    <w:tmpl w:val="AE611504"/>
    <w:lvl w:ilvl="0" w:tentative="0">
      <w:start w:val="1"/>
      <w:numFmt w:val="chineseCounting"/>
      <w:suff w:val="nothing"/>
      <w:lvlText w:val="%1、"/>
      <w:lvlJc w:val="left"/>
      <w:pPr>
        <w:ind w:left="0" w:firstLine="420"/>
      </w:pPr>
      <w:rPr>
        <w:rFonts w:hint="eastAsia"/>
      </w:rPr>
    </w:lvl>
  </w:abstractNum>
  <w:abstractNum w:abstractNumId="3">
    <w:nsid w:val="BFFFF083"/>
    <w:multiLevelType w:val="singleLevel"/>
    <w:tmpl w:val="BFFFF083"/>
    <w:lvl w:ilvl="0" w:tentative="0">
      <w:start w:val="10"/>
      <w:numFmt w:val="chineseCounting"/>
      <w:suff w:val="nothing"/>
      <w:lvlText w:val="%1、"/>
      <w:lvlJc w:val="left"/>
      <w:rPr>
        <w:rFonts w:hint="eastAsia"/>
      </w:rPr>
    </w:lvl>
  </w:abstractNum>
  <w:abstractNum w:abstractNumId="4">
    <w:nsid w:val="CE481707"/>
    <w:multiLevelType w:val="singleLevel"/>
    <w:tmpl w:val="CE481707"/>
    <w:lvl w:ilvl="0" w:tentative="0">
      <w:start w:val="1"/>
      <w:numFmt w:val="chineseCounting"/>
      <w:suff w:val="nothing"/>
      <w:lvlText w:val="%1、"/>
      <w:lvlJc w:val="left"/>
      <w:rPr>
        <w:rFonts w:hint="eastAsia"/>
      </w:rPr>
    </w:lvl>
  </w:abstractNum>
  <w:abstractNum w:abstractNumId="5">
    <w:nsid w:val="CE4DFAFE"/>
    <w:multiLevelType w:val="singleLevel"/>
    <w:tmpl w:val="CE4DFAFE"/>
    <w:lvl w:ilvl="0" w:tentative="0">
      <w:start w:val="1"/>
      <w:numFmt w:val="chineseCounting"/>
      <w:suff w:val="nothing"/>
      <w:lvlText w:val="（%1）"/>
      <w:lvlJc w:val="left"/>
      <w:rPr>
        <w:rFonts w:hint="eastAsia"/>
      </w:rPr>
    </w:lvl>
  </w:abstractNum>
  <w:abstractNum w:abstractNumId="6">
    <w:nsid w:val="F08F37E8"/>
    <w:multiLevelType w:val="singleLevel"/>
    <w:tmpl w:val="F08F37E8"/>
    <w:lvl w:ilvl="0" w:tentative="0">
      <w:start w:val="9"/>
      <w:numFmt w:val="chineseCounting"/>
      <w:suff w:val="nothing"/>
      <w:lvlText w:val="%1、"/>
      <w:lvlJc w:val="left"/>
      <w:rPr>
        <w:rFonts w:hint="eastAsia"/>
      </w:rPr>
    </w:lvl>
  </w:abstractNum>
  <w:abstractNum w:abstractNumId="7">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8">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2"/>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10">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11">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14">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5">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00000029"/>
    <w:multiLevelType w:val="multilevel"/>
    <w:tmpl w:val="00000029"/>
    <w:lvl w:ilvl="0" w:tentative="0">
      <w:start w:val="1"/>
      <w:numFmt w:val="decimal"/>
      <w:lvlText w:val="%1."/>
      <w:lvlJc w:val="left"/>
      <w:pPr>
        <w:ind w:left="1271"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000002B"/>
    <w:multiLevelType w:val="multilevel"/>
    <w:tmpl w:val="0000002B"/>
    <w:lvl w:ilvl="0" w:tentative="0">
      <w:start w:val="1"/>
      <w:numFmt w:val="chineseCountingThousand"/>
      <w:lvlText w:val="%1、"/>
      <w:lvlJc w:val="left"/>
      <w:pPr>
        <w:ind w:left="988"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18">
    <w:nsid w:val="0000002E"/>
    <w:multiLevelType w:val="multilevel"/>
    <w:tmpl w:val="0000002E"/>
    <w:lvl w:ilvl="0" w:tentative="0">
      <w:start w:val="1"/>
      <w:numFmt w:val="decimal"/>
      <w:pStyle w:val="3"/>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9">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0">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21">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0000003E"/>
    <w:multiLevelType w:val="multilevel"/>
    <w:tmpl w:val="0000003E"/>
    <w:lvl w:ilvl="0" w:tentative="0">
      <w:start w:val="1"/>
      <w:numFmt w:val="chineseCountingThousand"/>
      <w:suff w:val="nothing"/>
      <w:lvlText w:val="%1、"/>
      <w:lvlJc w:val="left"/>
      <w:pPr>
        <w:ind w:left="2126" w:hanging="420"/>
      </w:pPr>
      <w:rPr>
        <w:b/>
        <w:i w:val="0"/>
        <w:lang w:val="en-US"/>
      </w:rPr>
    </w:lvl>
    <w:lvl w:ilvl="1" w:tentative="0">
      <w:start w:val="1"/>
      <w:numFmt w:val="decimal"/>
      <w:lvlText w:val="%2、"/>
      <w:lvlJc w:val="left"/>
      <w:pPr>
        <w:ind w:left="2122" w:hanging="1125"/>
      </w:pPr>
    </w:lvl>
    <w:lvl w:ilvl="2" w:tentative="0">
      <w:start w:val="1"/>
      <w:numFmt w:val="lowerRoman"/>
      <w:lvlText w:val="%3."/>
      <w:lvlJc w:val="right"/>
      <w:pPr>
        <w:ind w:left="2400" w:hanging="420"/>
      </w:pPr>
    </w:lvl>
    <w:lvl w:ilvl="3" w:tentative="0">
      <w:start w:val="1"/>
      <w:numFmt w:val="decimal"/>
      <w:lvlText w:val="%4."/>
      <w:lvlJc w:val="left"/>
      <w:pPr>
        <w:ind w:left="2820" w:hanging="420"/>
      </w:pPr>
    </w:lvl>
    <w:lvl w:ilvl="4" w:tentative="0">
      <w:start w:val="1"/>
      <w:numFmt w:val="lowerLetter"/>
      <w:lvlText w:val="%5)"/>
      <w:lvlJc w:val="left"/>
      <w:pPr>
        <w:ind w:left="3240" w:hanging="420"/>
      </w:pPr>
    </w:lvl>
    <w:lvl w:ilvl="5" w:tentative="0">
      <w:start w:val="1"/>
      <w:numFmt w:val="lowerRoman"/>
      <w:lvlText w:val="%6."/>
      <w:lvlJc w:val="right"/>
      <w:pPr>
        <w:ind w:left="3660" w:hanging="420"/>
      </w:pPr>
    </w:lvl>
    <w:lvl w:ilvl="6" w:tentative="0">
      <w:start w:val="1"/>
      <w:numFmt w:val="decimal"/>
      <w:lvlText w:val="%7."/>
      <w:lvlJc w:val="left"/>
      <w:pPr>
        <w:ind w:left="4080" w:hanging="420"/>
      </w:pPr>
    </w:lvl>
    <w:lvl w:ilvl="7" w:tentative="0">
      <w:start w:val="1"/>
      <w:numFmt w:val="lowerLetter"/>
      <w:lvlText w:val="%8)"/>
      <w:lvlJc w:val="left"/>
      <w:pPr>
        <w:ind w:left="4500" w:hanging="420"/>
      </w:pPr>
    </w:lvl>
    <w:lvl w:ilvl="8" w:tentative="0">
      <w:start w:val="1"/>
      <w:numFmt w:val="lowerRoman"/>
      <w:lvlText w:val="%9."/>
      <w:lvlJc w:val="right"/>
      <w:pPr>
        <w:ind w:left="4920" w:hanging="420"/>
      </w:pPr>
    </w:lvl>
  </w:abstractNum>
  <w:abstractNum w:abstractNumId="23">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00000043"/>
    <w:multiLevelType w:val="multilevel"/>
    <w:tmpl w:val="00000043"/>
    <w:lvl w:ilvl="0" w:tentative="0">
      <w:start w:val="1"/>
      <w:numFmt w:val="chineseCountingThousand"/>
      <w:lvlText w:val="%1、"/>
      <w:lvlJc w:val="left"/>
      <w:pPr>
        <w:ind w:left="1413" w:hanging="420"/>
      </w:pPr>
      <w:rPr>
        <w:color w:val="auto"/>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25">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6">
    <w:nsid w:val="0B7C44A9"/>
    <w:multiLevelType w:val="multilevel"/>
    <w:tmpl w:val="0B7C44A9"/>
    <w:lvl w:ilvl="0" w:tentative="0">
      <w:start w:val="1"/>
      <w:numFmt w:val="japaneseCounting"/>
      <w:lvlText w:val="%1、"/>
      <w:lvlJc w:val="left"/>
      <w:pPr>
        <w:ind w:left="1288" w:hanging="720"/>
      </w:pPr>
      <w:rPr>
        <w:rFonts w:hint="eastAsia"/>
        <w:color w:val="auto"/>
      </w:r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27">
    <w:nsid w:val="0CCCB574"/>
    <w:multiLevelType w:val="singleLevel"/>
    <w:tmpl w:val="0CCCB574"/>
    <w:lvl w:ilvl="0" w:tentative="0">
      <w:start w:val="1"/>
      <w:numFmt w:val="chineseCounting"/>
      <w:suff w:val="nothing"/>
      <w:lvlText w:val="%1、"/>
      <w:lvlJc w:val="left"/>
      <w:rPr>
        <w:rFonts w:hint="eastAsia"/>
      </w:rPr>
    </w:lvl>
  </w:abstractNum>
  <w:abstractNum w:abstractNumId="28">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9">
    <w:nsid w:val="18FC8657"/>
    <w:multiLevelType w:val="singleLevel"/>
    <w:tmpl w:val="18FC8657"/>
    <w:lvl w:ilvl="0" w:tentative="0">
      <w:start w:val="1"/>
      <w:numFmt w:val="chineseCounting"/>
      <w:suff w:val="nothing"/>
      <w:lvlText w:val="%1、"/>
      <w:lvlJc w:val="left"/>
      <w:rPr>
        <w:rFonts w:hint="eastAsia"/>
      </w:rPr>
    </w:lvl>
  </w:abstractNum>
  <w:abstractNum w:abstractNumId="30">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31">
    <w:nsid w:val="1B246E06"/>
    <w:multiLevelType w:val="multilevel"/>
    <w:tmpl w:val="1B246E06"/>
    <w:lvl w:ilvl="0" w:tentative="0">
      <w:start w:val="1"/>
      <w:numFmt w:val="japaneseCounting"/>
      <w:lvlText w:val="%1、"/>
      <w:lvlJc w:val="left"/>
      <w:pPr>
        <w:ind w:left="1288" w:hanging="720"/>
      </w:pPr>
      <w:rPr>
        <w:rFonts w:hint="default"/>
        <w:b w:val="0"/>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32">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33">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2C5917C3"/>
    <w:multiLevelType w:val="multilevel"/>
    <w:tmpl w:val="2C5917C3"/>
    <w:lvl w:ilvl="0" w:tentative="0">
      <w:start w:val="1"/>
      <w:numFmt w:val="none"/>
      <w:pStyle w:val="158"/>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35">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6">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37">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8">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9">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1">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2">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3">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4">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5">
    <w:nsid w:val="638064AA"/>
    <w:multiLevelType w:val="multilevel"/>
    <w:tmpl w:val="638064A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6">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7">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8">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9">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50">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8"/>
  </w:num>
  <w:num w:numId="2">
    <w:abstractNumId w:val="13"/>
  </w:num>
  <w:num w:numId="3">
    <w:abstractNumId w:val="9"/>
  </w:num>
  <w:num w:numId="4">
    <w:abstractNumId w:val="3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
  </w:num>
  <w:num w:numId="23">
    <w:abstractNumId w:val="26"/>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4"/>
  </w:num>
  <w:num w:numId="40">
    <w:abstractNumId w:val="1"/>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num>
  <w:num w:numId="53">
    <w:abstractNumId w:val="6"/>
  </w:num>
  <w:num w:numId="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6D4"/>
    <w:rsid w:val="00001186"/>
    <w:rsid w:val="000014AD"/>
    <w:rsid w:val="00001B71"/>
    <w:rsid w:val="000115D7"/>
    <w:rsid w:val="00012151"/>
    <w:rsid w:val="000141F6"/>
    <w:rsid w:val="0001708B"/>
    <w:rsid w:val="000175B6"/>
    <w:rsid w:val="000243B4"/>
    <w:rsid w:val="00027377"/>
    <w:rsid w:val="00030E31"/>
    <w:rsid w:val="0003441E"/>
    <w:rsid w:val="00034B6E"/>
    <w:rsid w:val="000352C7"/>
    <w:rsid w:val="00037CCE"/>
    <w:rsid w:val="0004003F"/>
    <w:rsid w:val="000403DE"/>
    <w:rsid w:val="000451DB"/>
    <w:rsid w:val="00046560"/>
    <w:rsid w:val="00046A45"/>
    <w:rsid w:val="00050FF2"/>
    <w:rsid w:val="000514D3"/>
    <w:rsid w:val="000518B7"/>
    <w:rsid w:val="00051C10"/>
    <w:rsid w:val="000556AE"/>
    <w:rsid w:val="00060FCD"/>
    <w:rsid w:val="00061B1F"/>
    <w:rsid w:val="00064CC8"/>
    <w:rsid w:val="00065918"/>
    <w:rsid w:val="00071C77"/>
    <w:rsid w:val="00072223"/>
    <w:rsid w:val="0007245D"/>
    <w:rsid w:val="00072790"/>
    <w:rsid w:val="0007322B"/>
    <w:rsid w:val="000740B8"/>
    <w:rsid w:val="00075226"/>
    <w:rsid w:val="00076637"/>
    <w:rsid w:val="00080AB2"/>
    <w:rsid w:val="0008183B"/>
    <w:rsid w:val="0008396B"/>
    <w:rsid w:val="00090CEC"/>
    <w:rsid w:val="000930EB"/>
    <w:rsid w:val="00093A13"/>
    <w:rsid w:val="00094004"/>
    <w:rsid w:val="00094BF4"/>
    <w:rsid w:val="00096E03"/>
    <w:rsid w:val="00097F27"/>
    <w:rsid w:val="000A04C0"/>
    <w:rsid w:val="000A0A88"/>
    <w:rsid w:val="000A0DBC"/>
    <w:rsid w:val="000A1D1F"/>
    <w:rsid w:val="000A2F7D"/>
    <w:rsid w:val="000A6A86"/>
    <w:rsid w:val="000A7ED1"/>
    <w:rsid w:val="000B0566"/>
    <w:rsid w:val="000B3687"/>
    <w:rsid w:val="000B6BFA"/>
    <w:rsid w:val="000C156C"/>
    <w:rsid w:val="000C52E5"/>
    <w:rsid w:val="000C78CD"/>
    <w:rsid w:val="000D15BC"/>
    <w:rsid w:val="000D18C0"/>
    <w:rsid w:val="000D261C"/>
    <w:rsid w:val="000D28CC"/>
    <w:rsid w:val="000D4993"/>
    <w:rsid w:val="000E3744"/>
    <w:rsid w:val="000E7E9D"/>
    <w:rsid w:val="000F0E67"/>
    <w:rsid w:val="000F2CCF"/>
    <w:rsid w:val="000F574A"/>
    <w:rsid w:val="000F60AD"/>
    <w:rsid w:val="0010100C"/>
    <w:rsid w:val="001032A8"/>
    <w:rsid w:val="0010588D"/>
    <w:rsid w:val="00105E67"/>
    <w:rsid w:val="0010662C"/>
    <w:rsid w:val="001073E5"/>
    <w:rsid w:val="00107411"/>
    <w:rsid w:val="00111388"/>
    <w:rsid w:val="00111D9C"/>
    <w:rsid w:val="0011368F"/>
    <w:rsid w:val="00121DB8"/>
    <w:rsid w:val="00122BD7"/>
    <w:rsid w:val="00122D97"/>
    <w:rsid w:val="001237A6"/>
    <w:rsid w:val="00123A95"/>
    <w:rsid w:val="00124F44"/>
    <w:rsid w:val="001262A7"/>
    <w:rsid w:val="001268B8"/>
    <w:rsid w:val="00127207"/>
    <w:rsid w:val="00132C64"/>
    <w:rsid w:val="00133D0A"/>
    <w:rsid w:val="00134996"/>
    <w:rsid w:val="00134BA8"/>
    <w:rsid w:val="001366BE"/>
    <w:rsid w:val="001408B7"/>
    <w:rsid w:val="00143673"/>
    <w:rsid w:val="00144F09"/>
    <w:rsid w:val="00144FDB"/>
    <w:rsid w:val="001471FF"/>
    <w:rsid w:val="00153CE6"/>
    <w:rsid w:val="00155145"/>
    <w:rsid w:val="001554BE"/>
    <w:rsid w:val="00163AF9"/>
    <w:rsid w:val="00167216"/>
    <w:rsid w:val="001712B3"/>
    <w:rsid w:val="00185817"/>
    <w:rsid w:val="001861B9"/>
    <w:rsid w:val="001902FC"/>
    <w:rsid w:val="00192DEE"/>
    <w:rsid w:val="00194A61"/>
    <w:rsid w:val="001A11CD"/>
    <w:rsid w:val="001A16D4"/>
    <w:rsid w:val="001A268E"/>
    <w:rsid w:val="001A7C04"/>
    <w:rsid w:val="001B0B26"/>
    <w:rsid w:val="001B2561"/>
    <w:rsid w:val="001B33BD"/>
    <w:rsid w:val="001B59CE"/>
    <w:rsid w:val="001B6694"/>
    <w:rsid w:val="001C0C42"/>
    <w:rsid w:val="001C2195"/>
    <w:rsid w:val="001C299D"/>
    <w:rsid w:val="001C6504"/>
    <w:rsid w:val="001C7B91"/>
    <w:rsid w:val="001D0739"/>
    <w:rsid w:val="001D4279"/>
    <w:rsid w:val="001D57E6"/>
    <w:rsid w:val="001D6719"/>
    <w:rsid w:val="001E2114"/>
    <w:rsid w:val="001E369C"/>
    <w:rsid w:val="001E3E2B"/>
    <w:rsid w:val="001F412D"/>
    <w:rsid w:val="001F5DE0"/>
    <w:rsid w:val="00200370"/>
    <w:rsid w:val="00201F03"/>
    <w:rsid w:val="002023C7"/>
    <w:rsid w:val="0020244C"/>
    <w:rsid w:val="0021283D"/>
    <w:rsid w:val="00216EA3"/>
    <w:rsid w:val="00222AEF"/>
    <w:rsid w:val="002258B8"/>
    <w:rsid w:val="0023546D"/>
    <w:rsid w:val="002359E9"/>
    <w:rsid w:val="00236E6B"/>
    <w:rsid w:val="0024454D"/>
    <w:rsid w:val="00250119"/>
    <w:rsid w:val="00250F2D"/>
    <w:rsid w:val="0025426D"/>
    <w:rsid w:val="00257C0B"/>
    <w:rsid w:val="0026057E"/>
    <w:rsid w:val="00266214"/>
    <w:rsid w:val="002670EF"/>
    <w:rsid w:val="00267499"/>
    <w:rsid w:val="00271713"/>
    <w:rsid w:val="00277630"/>
    <w:rsid w:val="00281AF2"/>
    <w:rsid w:val="0028299F"/>
    <w:rsid w:val="00287268"/>
    <w:rsid w:val="00290A5C"/>
    <w:rsid w:val="00290E1D"/>
    <w:rsid w:val="002923EA"/>
    <w:rsid w:val="0029432D"/>
    <w:rsid w:val="00297F9A"/>
    <w:rsid w:val="002A0908"/>
    <w:rsid w:val="002A0FC0"/>
    <w:rsid w:val="002A35F1"/>
    <w:rsid w:val="002A4E91"/>
    <w:rsid w:val="002A6C35"/>
    <w:rsid w:val="002A734D"/>
    <w:rsid w:val="002B1ABE"/>
    <w:rsid w:val="002B2087"/>
    <w:rsid w:val="002B2470"/>
    <w:rsid w:val="002B3BBD"/>
    <w:rsid w:val="002B46A8"/>
    <w:rsid w:val="002B5F08"/>
    <w:rsid w:val="002B6C18"/>
    <w:rsid w:val="002B6FA3"/>
    <w:rsid w:val="002B729A"/>
    <w:rsid w:val="002B7FDA"/>
    <w:rsid w:val="002C022D"/>
    <w:rsid w:val="002C184B"/>
    <w:rsid w:val="002C758B"/>
    <w:rsid w:val="002D1454"/>
    <w:rsid w:val="002D219C"/>
    <w:rsid w:val="002D23E6"/>
    <w:rsid w:val="002D631B"/>
    <w:rsid w:val="002E373F"/>
    <w:rsid w:val="002F2C78"/>
    <w:rsid w:val="002F2EFE"/>
    <w:rsid w:val="00301581"/>
    <w:rsid w:val="003048DB"/>
    <w:rsid w:val="00305022"/>
    <w:rsid w:val="003059F1"/>
    <w:rsid w:val="00305EB7"/>
    <w:rsid w:val="00306F8F"/>
    <w:rsid w:val="00310E45"/>
    <w:rsid w:val="003136FF"/>
    <w:rsid w:val="00315FD1"/>
    <w:rsid w:val="00317FDF"/>
    <w:rsid w:val="00321B72"/>
    <w:rsid w:val="00325363"/>
    <w:rsid w:val="003259DB"/>
    <w:rsid w:val="00325D4A"/>
    <w:rsid w:val="003270B5"/>
    <w:rsid w:val="003309D6"/>
    <w:rsid w:val="00344D07"/>
    <w:rsid w:val="00345ACC"/>
    <w:rsid w:val="0035095F"/>
    <w:rsid w:val="00351C5C"/>
    <w:rsid w:val="00352B15"/>
    <w:rsid w:val="00352CC6"/>
    <w:rsid w:val="00362A5C"/>
    <w:rsid w:val="0036589D"/>
    <w:rsid w:val="003671A2"/>
    <w:rsid w:val="00367A2C"/>
    <w:rsid w:val="0037347A"/>
    <w:rsid w:val="00376071"/>
    <w:rsid w:val="003772F0"/>
    <w:rsid w:val="0037775B"/>
    <w:rsid w:val="00377878"/>
    <w:rsid w:val="00380680"/>
    <w:rsid w:val="00381D40"/>
    <w:rsid w:val="003826D1"/>
    <w:rsid w:val="00383DEC"/>
    <w:rsid w:val="003854BD"/>
    <w:rsid w:val="00385B50"/>
    <w:rsid w:val="003872B9"/>
    <w:rsid w:val="00396342"/>
    <w:rsid w:val="003973AA"/>
    <w:rsid w:val="003A344E"/>
    <w:rsid w:val="003A464B"/>
    <w:rsid w:val="003A60C7"/>
    <w:rsid w:val="003B1C76"/>
    <w:rsid w:val="003B254C"/>
    <w:rsid w:val="003B3D08"/>
    <w:rsid w:val="003B4E95"/>
    <w:rsid w:val="003C04C7"/>
    <w:rsid w:val="003C1E77"/>
    <w:rsid w:val="003C22B2"/>
    <w:rsid w:val="003C237F"/>
    <w:rsid w:val="003C2DEB"/>
    <w:rsid w:val="003C6893"/>
    <w:rsid w:val="003D2F39"/>
    <w:rsid w:val="003D6914"/>
    <w:rsid w:val="003D6E2D"/>
    <w:rsid w:val="003D736D"/>
    <w:rsid w:val="003E0EC4"/>
    <w:rsid w:val="003E439D"/>
    <w:rsid w:val="003E62C8"/>
    <w:rsid w:val="003F0B99"/>
    <w:rsid w:val="003F17D5"/>
    <w:rsid w:val="003F19C0"/>
    <w:rsid w:val="003F231B"/>
    <w:rsid w:val="003F2B24"/>
    <w:rsid w:val="003F4855"/>
    <w:rsid w:val="004023F4"/>
    <w:rsid w:val="004030C8"/>
    <w:rsid w:val="004044F7"/>
    <w:rsid w:val="0040550B"/>
    <w:rsid w:val="00406F30"/>
    <w:rsid w:val="004110CF"/>
    <w:rsid w:val="0041137C"/>
    <w:rsid w:val="004132E6"/>
    <w:rsid w:val="00413FE1"/>
    <w:rsid w:val="00414D00"/>
    <w:rsid w:val="00415846"/>
    <w:rsid w:val="004165C0"/>
    <w:rsid w:val="0041672F"/>
    <w:rsid w:val="00416DD9"/>
    <w:rsid w:val="0041744F"/>
    <w:rsid w:val="00421A24"/>
    <w:rsid w:val="00437153"/>
    <w:rsid w:val="004417D5"/>
    <w:rsid w:val="00444A4E"/>
    <w:rsid w:val="00450758"/>
    <w:rsid w:val="00451D9F"/>
    <w:rsid w:val="00453351"/>
    <w:rsid w:val="004539B0"/>
    <w:rsid w:val="00453E3D"/>
    <w:rsid w:val="00454540"/>
    <w:rsid w:val="00454B38"/>
    <w:rsid w:val="00455E6A"/>
    <w:rsid w:val="00455ED6"/>
    <w:rsid w:val="00461D47"/>
    <w:rsid w:val="004642AB"/>
    <w:rsid w:val="00473B52"/>
    <w:rsid w:val="00480E1E"/>
    <w:rsid w:val="00481271"/>
    <w:rsid w:val="00482461"/>
    <w:rsid w:val="00485D6A"/>
    <w:rsid w:val="00490EB1"/>
    <w:rsid w:val="00492416"/>
    <w:rsid w:val="004937FB"/>
    <w:rsid w:val="00496BF2"/>
    <w:rsid w:val="004A33F2"/>
    <w:rsid w:val="004A46B7"/>
    <w:rsid w:val="004A7164"/>
    <w:rsid w:val="004B488F"/>
    <w:rsid w:val="004C0629"/>
    <w:rsid w:val="004C1903"/>
    <w:rsid w:val="004C21C1"/>
    <w:rsid w:val="004D1459"/>
    <w:rsid w:val="004D5161"/>
    <w:rsid w:val="004D51B2"/>
    <w:rsid w:val="004D57C1"/>
    <w:rsid w:val="004E629C"/>
    <w:rsid w:val="004E69F1"/>
    <w:rsid w:val="004F1E70"/>
    <w:rsid w:val="004F3155"/>
    <w:rsid w:val="004F5C26"/>
    <w:rsid w:val="004F7332"/>
    <w:rsid w:val="004F77EB"/>
    <w:rsid w:val="0050142B"/>
    <w:rsid w:val="00503FAD"/>
    <w:rsid w:val="0050629D"/>
    <w:rsid w:val="005106FC"/>
    <w:rsid w:val="00512A0A"/>
    <w:rsid w:val="00516E36"/>
    <w:rsid w:val="00516FA0"/>
    <w:rsid w:val="00520369"/>
    <w:rsid w:val="005211D0"/>
    <w:rsid w:val="00521CCA"/>
    <w:rsid w:val="00525240"/>
    <w:rsid w:val="005267BB"/>
    <w:rsid w:val="0053002C"/>
    <w:rsid w:val="00540B6F"/>
    <w:rsid w:val="0054101C"/>
    <w:rsid w:val="00541095"/>
    <w:rsid w:val="005416D4"/>
    <w:rsid w:val="005416FA"/>
    <w:rsid w:val="00541F64"/>
    <w:rsid w:val="00542208"/>
    <w:rsid w:val="00543239"/>
    <w:rsid w:val="00543F8F"/>
    <w:rsid w:val="0054431E"/>
    <w:rsid w:val="00545310"/>
    <w:rsid w:val="00550941"/>
    <w:rsid w:val="00550D84"/>
    <w:rsid w:val="00552345"/>
    <w:rsid w:val="0055261B"/>
    <w:rsid w:val="00553FA1"/>
    <w:rsid w:val="00554CC2"/>
    <w:rsid w:val="005551E8"/>
    <w:rsid w:val="00555A3D"/>
    <w:rsid w:val="0055787D"/>
    <w:rsid w:val="00557F72"/>
    <w:rsid w:val="00562493"/>
    <w:rsid w:val="005629A7"/>
    <w:rsid w:val="00563AC3"/>
    <w:rsid w:val="00565538"/>
    <w:rsid w:val="00565BEE"/>
    <w:rsid w:val="0056629C"/>
    <w:rsid w:val="00570B90"/>
    <w:rsid w:val="00576208"/>
    <w:rsid w:val="005862F0"/>
    <w:rsid w:val="00586D5F"/>
    <w:rsid w:val="0059252D"/>
    <w:rsid w:val="005970AA"/>
    <w:rsid w:val="005A0A72"/>
    <w:rsid w:val="005A0D32"/>
    <w:rsid w:val="005A13C1"/>
    <w:rsid w:val="005A635F"/>
    <w:rsid w:val="005A70E8"/>
    <w:rsid w:val="005B4FC8"/>
    <w:rsid w:val="005B6F63"/>
    <w:rsid w:val="005B754F"/>
    <w:rsid w:val="005C0053"/>
    <w:rsid w:val="005C0EE2"/>
    <w:rsid w:val="005C2371"/>
    <w:rsid w:val="005C405D"/>
    <w:rsid w:val="005C6364"/>
    <w:rsid w:val="005C7D3A"/>
    <w:rsid w:val="005D2B6B"/>
    <w:rsid w:val="005D7B85"/>
    <w:rsid w:val="005E091E"/>
    <w:rsid w:val="005E16D8"/>
    <w:rsid w:val="005E19F0"/>
    <w:rsid w:val="005E295C"/>
    <w:rsid w:val="005F120B"/>
    <w:rsid w:val="005F321A"/>
    <w:rsid w:val="005F6D42"/>
    <w:rsid w:val="00602082"/>
    <w:rsid w:val="006026DE"/>
    <w:rsid w:val="00602ADE"/>
    <w:rsid w:val="006065F6"/>
    <w:rsid w:val="0061094A"/>
    <w:rsid w:val="00612ABE"/>
    <w:rsid w:val="00625F41"/>
    <w:rsid w:val="00626FA7"/>
    <w:rsid w:val="00627080"/>
    <w:rsid w:val="006272D6"/>
    <w:rsid w:val="006308A5"/>
    <w:rsid w:val="00631D06"/>
    <w:rsid w:val="006320B8"/>
    <w:rsid w:val="00636B9B"/>
    <w:rsid w:val="006378C1"/>
    <w:rsid w:val="00642C40"/>
    <w:rsid w:val="00645645"/>
    <w:rsid w:val="00646905"/>
    <w:rsid w:val="0064767E"/>
    <w:rsid w:val="00647A70"/>
    <w:rsid w:val="00647AC9"/>
    <w:rsid w:val="0065074A"/>
    <w:rsid w:val="00651B7B"/>
    <w:rsid w:val="00653F0D"/>
    <w:rsid w:val="006548AC"/>
    <w:rsid w:val="00654DD5"/>
    <w:rsid w:val="006551E5"/>
    <w:rsid w:val="006557AD"/>
    <w:rsid w:val="00656604"/>
    <w:rsid w:val="0066243E"/>
    <w:rsid w:val="006646FC"/>
    <w:rsid w:val="00666707"/>
    <w:rsid w:val="0066674E"/>
    <w:rsid w:val="006670AD"/>
    <w:rsid w:val="00671E18"/>
    <w:rsid w:val="00673782"/>
    <w:rsid w:val="00673AF4"/>
    <w:rsid w:val="00675258"/>
    <w:rsid w:val="0067654C"/>
    <w:rsid w:val="00676662"/>
    <w:rsid w:val="00680AEF"/>
    <w:rsid w:val="0068137A"/>
    <w:rsid w:val="006823F9"/>
    <w:rsid w:val="0068568B"/>
    <w:rsid w:val="00685F5A"/>
    <w:rsid w:val="006871D3"/>
    <w:rsid w:val="006872FD"/>
    <w:rsid w:val="0068756E"/>
    <w:rsid w:val="0069224F"/>
    <w:rsid w:val="00693F9D"/>
    <w:rsid w:val="00696759"/>
    <w:rsid w:val="006A39DB"/>
    <w:rsid w:val="006A601C"/>
    <w:rsid w:val="006A7EF3"/>
    <w:rsid w:val="006B0CD6"/>
    <w:rsid w:val="006B3608"/>
    <w:rsid w:val="006B5446"/>
    <w:rsid w:val="006B6DBF"/>
    <w:rsid w:val="006C0470"/>
    <w:rsid w:val="006C0C79"/>
    <w:rsid w:val="006C352A"/>
    <w:rsid w:val="006C4859"/>
    <w:rsid w:val="006C49AC"/>
    <w:rsid w:val="006C5F89"/>
    <w:rsid w:val="006D0175"/>
    <w:rsid w:val="006D43AA"/>
    <w:rsid w:val="006D4825"/>
    <w:rsid w:val="006D5C8D"/>
    <w:rsid w:val="006D5D19"/>
    <w:rsid w:val="006D60F6"/>
    <w:rsid w:val="006E3106"/>
    <w:rsid w:val="006E3F62"/>
    <w:rsid w:val="006E4F22"/>
    <w:rsid w:val="006E7141"/>
    <w:rsid w:val="006F02B4"/>
    <w:rsid w:val="006F0597"/>
    <w:rsid w:val="006F5AC6"/>
    <w:rsid w:val="006F6EA6"/>
    <w:rsid w:val="006F7414"/>
    <w:rsid w:val="00700B80"/>
    <w:rsid w:val="00703B01"/>
    <w:rsid w:val="00703DFF"/>
    <w:rsid w:val="00704D6E"/>
    <w:rsid w:val="00705675"/>
    <w:rsid w:val="00705EED"/>
    <w:rsid w:val="007101E0"/>
    <w:rsid w:val="00712E30"/>
    <w:rsid w:val="007131E9"/>
    <w:rsid w:val="00713C61"/>
    <w:rsid w:val="007149A8"/>
    <w:rsid w:val="00714C95"/>
    <w:rsid w:val="00715456"/>
    <w:rsid w:val="00717BA9"/>
    <w:rsid w:val="00717DA5"/>
    <w:rsid w:val="00721DCC"/>
    <w:rsid w:val="00723CC8"/>
    <w:rsid w:val="00726D1D"/>
    <w:rsid w:val="00730EE6"/>
    <w:rsid w:val="0073298A"/>
    <w:rsid w:val="00740A2F"/>
    <w:rsid w:val="0074638D"/>
    <w:rsid w:val="007477AD"/>
    <w:rsid w:val="0075057C"/>
    <w:rsid w:val="007513A7"/>
    <w:rsid w:val="00751480"/>
    <w:rsid w:val="00751FD4"/>
    <w:rsid w:val="0075340E"/>
    <w:rsid w:val="00754D3F"/>
    <w:rsid w:val="007560BF"/>
    <w:rsid w:val="007571C9"/>
    <w:rsid w:val="00757DEB"/>
    <w:rsid w:val="00764320"/>
    <w:rsid w:val="0076642E"/>
    <w:rsid w:val="00767EFE"/>
    <w:rsid w:val="00770A0A"/>
    <w:rsid w:val="007712B8"/>
    <w:rsid w:val="007715F6"/>
    <w:rsid w:val="007719E0"/>
    <w:rsid w:val="00772FE7"/>
    <w:rsid w:val="007736FB"/>
    <w:rsid w:val="00773D82"/>
    <w:rsid w:val="00776951"/>
    <w:rsid w:val="00780C5B"/>
    <w:rsid w:val="00783451"/>
    <w:rsid w:val="00786497"/>
    <w:rsid w:val="00793530"/>
    <w:rsid w:val="00795F4E"/>
    <w:rsid w:val="007A0A96"/>
    <w:rsid w:val="007A26C1"/>
    <w:rsid w:val="007A4A3A"/>
    <w:rsid w:val="007A6EF2"/>
    <w:rsid w:val="007B038E"/>
    <w:rsid w:val="007B0CFC"/>
    <w:rsid w:val="007B1777"/>
    <w:rsid w:val="007B5FB7"/>
    <w:rsid w:val="007B6E0E"/>
    <w:rsid w:val="007C034B"/>
    <w:rsid w:val="007C19CF"/>
    <w:rsid w:val="007C638E"/>
    <w:rsid w:val="007C7BFC"/>
    <w:rsid w:val="007C7CBC"/>
    <w:rsid w:val="007D0A52"/>
    <w:rsid w:val="007D2305"/>
    <w:rsid w:val="007D2E1D"/>
    <w:rsid w:val="007D3F68"/>
    <w:rsid w:val="007D4EB4"/>
    <w:rsid w:val="007D5868"/>
    <w:rsid w:val="007D5C21"/>
    <w:rsid w:val="007D6D58"/>
    <w:rsid w:val="007D7265"/>
    <w:rsid w:val="007D7BDB"/>
    <w:rsid w:val="007E2A9E"/>
    <w:rsid w:val="007E3C82"/>
    <w:rsid w:val="007E45B9"/>
    <w:rsid w:val="007E54C8"/>
    <w:rsid w:val="007E5548"/>
    <w:rsid w:val="007F07FA"/>
    <w:rsid w:val="007F090E"/>
    <w:rsid w:val="007F3076"/>
    <w:rsid w:val="007F77C7"/>
    <w:rsid w:val="00801531"/>
    <w:rsid w:val="00802C18"/>
    <w:rsid w:val="00805C26"/>
    <w:rsid w:val="00806E5E"/>
    <w:rsid w:val="008079EB"/>
    <w:rsid w:val="00807CC4"/>
    <w:rsid w:val="00815525"/>
    <w:rsid w:val="00816B68"/>
    <w:rsid w:val="008175E0"/>
    <w:rsid w:val="00821EFD"/>
    <w:rsid w:val="00822688"/>
    <w:rsid w:val="0082604D"/>
    <w:rsid w:val="00827354"/>
    <w:rsid w:val="00827831"/>
    <w:rsid w:val="0083164D"/>
    <w:rsid w:val="008318C0"/>
    <w:rsid w:val="008344E1"/>
    <w:rsid w:val="00836A82"/>
    <w:rsid w:val="00836B86"/>
    <w:rsid w:val="008409EE"/>
    <w:rsid w:val="008435B2"/>
    <w:rsid w:val="008439C6"/>
    <w:rsid w:val="0084516F"/>
    <w:rsid w:val="008465E3"/>
    <w:rsid w:val="00846A31"/>
    <w:rsid w:val="00851A19"/>
    <w:rsid w:val="0085377B"/>
    <w:rsid w:val="008553D1"/>
    <w:rsid w:val="00855A14"/>
    <w:rsid w:val="00855DF8"/>
    <w:rsid w:val="008602E5"/>
    <w:rsid w:val="00863FFA"/>
    <w:rsid w:val="00864846"/>
    <w:rsid w:val="00865690"/>
    <w:rsid w:val="00867148"/>
    <w:rsid w:val="0087013A"/>
    <w:rsid w:val="00877F22"/>
    <w:rsid w:val="00881614"/>
    <w:rsid w:val="00881FD7"/>
    <w:rsid w:val="00884A57"/>
    <w:rsid w:val="008868F4"/>
    <w:rsid w:val="00887597"/>
    <w:rsid w:val="00890872"/>
    <w:rsid w:val="00894014"/>
    <w:rsid w:val="00894C03"/>
    <w:rsid w:val="00894FD9"/>
    <w:rsid w:val="00895FBF"/>
    <w:rsid w:val="008A0693"/>
    <w:rsid w:val="008A1AFF"/>
    <w:rsid w:val="008A2288"/>
    <w:rsid w:val="008A26CA"/>
    <w:rsid w:val="008A31B9"/>
    <w:rsid w:val="008A491C"/>
    <w:rsid w:val="008A50AC"/>
    <w:rsid w:val="008A59B4"/>
    <w:rsid w:val="008B6096"/>
    <w:rsid w:val="008B6379"/>
    <w:rsid w:val="008C269A"/>
    <w:rsid w:val="008C2BE7"/>
    <w:rsid w:val="008C411C"/>
    <w:rsid w:val="008C48AE"/>
    <w:rsid w:val="008C7E4C"/>
    <w:rsid w:val="008D0437"/>
    <w:rsid w:val="008D2A3B"/>
    <w:rsid w:val="008D3722"/>
    <w:rsid w:val="008D3F9F"/>
    <w:rsid w:val="008D464D"/>
    <w:rsid w:val="008E1246"/>
    <w:rsid w:val="008E21A9"/>
    <w:rsid w:val="008E258A"/>
    <w:rsid w:val="008E53F9"/>
    <w:rsid w:val="008E7EAE"/>
    <w:rsid w:val="008F254C"/>
    <w:rsid w:val="008F2A0D"/>
    <w:rsid w:val="008F38AF"/>
    <w:rsid w:val="008F5E19"/>
    <w:rsid w:val="008F6FA3"/>
    <w:rsid w:val="009018B3"/>
    <w:rsid w:val="00901ECD"/>
    <w:rsid w:val="009035B3"/>
    <w:rsid w:val="00905839"/>
    <w:rsid w:val="009065A8"/>
    <w:rsid w:val="00907431"/>
    <w:rsid w:val="0091012C"/>
    <w:rsid w:val="009108B0"/>
    <w:rsid w:val="00911362"/>
    <w:rsid w:val="009147A4"/>
    <w:rsid w:val="00915485"/>
    <w:rsid w:val="00916E2D"/>
    <w:rsid w:val="00917355"/>
    <w:rsid w:val="0092029D"/>
    <w:rsid w:val="009248FC"/>
    <w:rsid w:val="00925230"/>
    <w:rsid w:val="0092585C"/>
    <w:rsid w:val="00926676"/>
    <w:rsid w:val="0092720F"/>
    <w:rsid w:val="0093403E"/>
    <w:rsid w:val="009364CF"/>
    <w:rsid w:val="009378BF"/>
    <w:rsid w:val="00937E20"/>
    <w:rsid w:val="0094201C"/>
    <w:rsid w:val="00946CAF"/>
    <w:rsid w:val="009511AB"/>
    <w:rsid w:val="00951219"/>
    <w:rsid w:val="0095172F"/>
    <w:rsid w:val="00952677"/>
    <w:rsid w:val="00954712"/>
    <w:rsid w:val="00955FB3"/>
    <w:rsid w:val="0096104E"/>
    <w:rsid w:val="009613B3"/>
    <w:rsid w:val="00962C7D"/>
    <w:rsid w:val="00963F27"/>
    <w:rsid w:val="00965E96"/>
    <w:rsid w:val="00966327"/>
    <w:rsid w:val="00970DEA"/>
    <w:rsid w:val="00971325"/>
    <w:rsid w:val="009725D8"/>
    <w:rsid w:val="00977951"/>
    <w:rsid w:val="00982626"/>
    <w:rsid w:val="00982CD5"/>
    <w:rsid w:val="009872DB"/>
    <w:rsid w:val="009903DE"/>
    <w:rsid w:val="00992CD9"/>
    <w:rsid w:val="00994398"/>
    <w:rsid w:val="00995C7B"/>
    <w:rsid w:val="009971B8"/>
    <w:rsid w:val="009A053C"/>
    <w:rsid w:val="009A248F"/>
    <w:rsid w:val="009A501D"/>
    <w:rsid w:val="009A5678"/>
    <w:rsid w:val="009A68F5"/>
    <w:rsid w:val="009B1675"/>
    <w:rsid w:val="009B58AF"/>
    <w:rsid w:val="009B6798"/>
    <w:rsid w:val="009C1154"/>
    <w:rsid w:val="009C37CA"/>
    <w:rsid w:val="009C3BA2"/>
    <w:rsid w:val="009C63C3"/>
    <w:rsid w:val="009C746B"/>
    <w:rsid w:val="009D10AD"/>
    <w:rsid w:val="009D2E78"/>
    <w:rsid w:val="009D6AF5"/>
    <w:rsid w:val="009D6D5B"/>
    <w:rsid w:val="009E01C8"/>
    <w:rsid w:val="009E0372"/>
    <w:rsid w:val="009E19A0"/>
    <w:rsid w:val="009E1EF6"/>
    <w:rsid w:val="009E6146"/>
    <w:rsid w:val="009E63B9"/>
    <w:rsid w:val="009F089F"/>
    <w:rsid w:val="009F496E"/>
    <w:rsid w:val="009F6780"/>
    <w:rsid w:val="00A0119E"/>
    <w:rsid w:val="00A020EB"/>
    <w:rsid w:val="00A06B09"/>
    <w:rsid w:val="00A10B6D"/>
    <w:rsid w:val="00A1129D"/>
    <w:rsid w:val="00A1339A"/>
    <w:rsid w:val="00A1574E"/>
    <w:rsid w:val="00A16AA7"/>
    <w:rsid w:val="00A17799"/>
    <w:rsid w:val="00A2013E"/>
    <w:rsid w:val="00A23726"/>
    <w:rsid w:val="00A25B6F"/>
    <w:rsid w:val="00A2615C"/>
    <w:rsid w:val="00A301C6"/>
    <w:rsid w:val="00A31667"/>
    <w:rsid w:val="00A3426A"/>
    <w:rsid w:val="00A35765"/>
    <w:rsid w:val="00A36E25"/>
    <w:rsid w:val="00A37352"/>
    <w:rsid w:val="00A37E17"/>
    <w:rsid w:val="00A420B4"/>
    <w:rsid w:val="00A44395"/>
    <w:rsid w:val="00A4562E"/>
    <w:rsid w:val="00A4725E"/>
    <w:rsid w:val="00A5327E"/>
    <w:rsid w:val="00A56FA5"/>
    <w:rsid w:val="00A60A57"/>
    <w:rsid w:val="00A70590"/>
    <w:rsid w:val="00A7094C"/>
    <w:rsid w:val="00A70B4C"/>
    <w:rsid w:val="00A71E38"/>
    <w:rsid w:val="00A75058"/>
    <w:rsid w:val="00A861B6"/>
    <w:rsid w:val="00A86A02"/>
    <w:rsid w:val="00A86BED"/>
    <w:rsid w:val="00A9077D"/>
    <w:rsid w:val="00A92024"/>
    <w:rsid w:val="00A92071"/>
    <w:rsid w:val="00A93303"/>
    <w:rsid w:val="00AA09CA"/>
    <w:rsid w:val="00AA0E63"/>
    <w:rsid w:val="00AA408C"/>
    <w:rsid w:val="00AA5229"/>
    <w:rsid w:val="00AA660C"/>
    <w:rsid w:val="00AB1127"/>
    <w:rsid w:val="00AB2105"/>
    <w:rsid w:val="00AC0ED3"/>
    <w:rsid w:val="00AC5977"/>
    <w:rsid w:val="00AD2FF1"/>
    <w:rsid w:val="00AD4F5A"/>
    <w:rsid w:val="00AD7551"/>
    <w:rsid w:val="00AE18E6"/>
    <w:rsid w:val="00AE1F28"/>
    <w:rsid w:val="00AE5199"/>
    <w:rsid w:val="00AE5F10"/>
    <w:rsid w:val="00AF20A5"/>
    <w:rsid w:val="00AF2422"/>
    <w:rsid w:val="00AF54C6"/>
    <w:rsid w:val="00B0162A"/>
    <w:rsid w:val="00B02E10"/>
    <w:rsid w:val="00B04827"/>
    <w:rsid w:val="00B0526D"/>
    <w:rsid w:val="00B05831"/>
    <w:rsid w:val="00B06C4F"/>
    <w:rsid w:val="00B0755F"/>
    <w:rsid w:val="00B11DC8"/>
    <w:rsid w:val="00B128C8"/>
    <w:rsid w:val="00B14099"/>
    <w:rsid w:val="00B14EC8"/>
    <w:rsid w:val="00B14F90"/>
    <w:rsid w:val="00B164D0"/>
    <w:rsid w:val="00B17AB6"/>
    <w:rsid w:val="00B204D2"/>
    <w:rsid w:val="00B22954"/>
    <w:rsid w:val="00B23123"/>
    <w:rsid w:val="00B25536"/>
    <w:rsid w:val="00B25CE7"/>
    <w:rsid w:val="00B25E6E"/>
    <w:rsid w:val="00B26012"/>
    <w:rsid w:val="00B302DC"/>
    <w:rsid w:val="00B32191"/>
    <w:rsid w:val="00B37BCF"/>
    <w:rsid w:val="00B37D0A"/>
    <w:rsid w:val="00B41E9C"/>
    <w:rsid w:val="00B42AB8"/>
    <w:rsid w:val="00B4520A"/>
    <w:rsid w:val="00B45CDC"/>
    <w:rsid w:val="00B51908"/>
    <w:rsid w:val="00B5326F"/>
    <w:rsid w:val="00B560A1"/>
    <w:rsid w:val="00B56739"/>
    <w:rsid w:val="00B572D0"/>
    <w:rsid w:val="00B668E1"/>
    <w:rsid w:val="00B673F4"/>
    <w:rsid w:val="00B7027E"/>
    <w:rsid w:val="00B71718"/>
    <w:rsid w:val="00B74D61"/>
    <w:rsid w:val="00B75EE4"/>
    <w:rsid w:val="00B76730"/>
    <w:rsid w:val="00B772FA"/>
    <w:rsid w:val="00B8140B"/>
    <w:rsid w:val="00B82721"/>
    <w:rsid w:val="00B82C8D"/>
    <w:rsid w:val="00B847D6"/>
    <w:rsid w:val="00B8500A"/>
    <w:rsid w:val="00B85368"/>
    <w:rsid w:val="00B9180C"/>
    <w:rsid w:val="00B93639"/>
    <w:rsid w:val="00B93DEB"/>
    <w:rsid w:val="00B950DF"/>
    <w:rsid w:val="00B958F4"/>
    <w:rsid w:val="00B95A28"/>
    <w:rsid w:val="00B96FF3"/>
    <w:rsid w:val="00BB0E10"/>
    <w:rsid w:val="00BB2867"/>
    <w:rsid w:val="00BB6E19"/>
    <w:rsid w:val="00BB7C5D"/>
    <w:rsid w:val="00BC0A36"/>
    <w:rsid w:val="00BC541F"/>
    <w:rsid w:val="00BD2D6B"/>
    <w:rsid w:val="00BD3681"/>
    <w:rsid w:val="00BD3F1F"/>
    <w:rsid w:val="00BD454B"/>
    <w:rsid w:val="00BE69B4"/>
    <w:rsid w:val="00BE74CE"/>
    <w:rsid w:val="00BF4B00"/>
    <w:rsid w:val="00BF5604"/>
    <w:rsid w:val="00BF6056"/>
    <w:rsid w:val="00C0374B"/>
    <w:rsid w:val="00C03BB4"/>
    <w:rsid w:val="00C04B7B"/>
    <w:rsid w:val="00C056BB"/>
    <w:rsid w:val="00C06829"/>
    <w:rsid w:val="00C07C25"/>
    <w:rsid w:val="00C11711"/>
    <w:rsid w:val="00C12B05"/>
    <w:rsid w:val="00C162BA"/>
    <w:rsid w:val="00C179CA"/>
    <w:rsid w:val="00C25C2B"/>
    <w:rsid w:val="00C276A7"/>
    <w:rsid w:val="00C303AD"/>
    <w:rsid w:val="00C30B81"/>
    <w:rsid w:val="00C30D53"/>
    <w:rsid w:val="00C30FA1"/>
    <w:rsid w:val="00C33E04"/>
    <w:rsid w:val="00C34EB0"/>
    <w:rsid w:val="00C36913"/>
    <w:rsid w:val="00C36B4E"/>
    <w:rsid w:val="00C4016E"/>
    <w:rsid w:val="00C4116C"/>
    <w:rsid w:val="00C51EC3"/>
    <w:rsid w:val="00C53932"/>
    <w:rsid w:val="00C54448"/>
    <w:rsid w:val="00C575C5"/>
    <w:rsid w:val="00C60C21"/>
    <w:rsid w:val="00C61592"/>
    <w:rsid w:val="00C63AC3"/>
    <w:rsid w:val="00C63DAA"/>
    <w:rsid w:val="00C640C6"/>
    <w:rsid w:val="00C6423C"/>
    <w:rsid w:val="00C65ED0"/>
    <w:rsid w:val="00C66306"/>
    <w:rsid w:val="00C6761E"/>
    <w:rsid w:val="00C70E74"/>
    <w:rsid w:val="00C7192F"/>
    <w:rsid w:val="00C737F6"/>
    <w:rsid w:val="00C75791"/>
    <w:rsid w:val="00C75E07"/>
    <w:rsid w:val="00C76A2E"/>
    <w:rsid w:val="00C77569"/>
    <w:rsid w:val="00C80668"/>
    <w:rsid w:val="00C905A4"/>
    <w:rsid w:val="00C91820"/>
    <w:rsid w:val="00C9549E"/>
    <w:rsid w:val="00C956B1"/>
    <w:rsid w:val="00C9599A"/>
    <w:rsid w:val="00C9618B"/>
    <w:rsid w:val="00CA06D6"/>
    <w:rsid w:val="00CA07B5"/>
    <w:rsid w:val="00CA51D8"/>
    <w:rsid w:val="00CA74BE"/>
    <w:rsid w:val="00CB041D"/>
    <w:rsid w:val="00CB1CD9"/>
    <w:rsid w:val="00CB466B"/>
    <w:rsid w:val="00CB4B67"/>
    <w:rsid w:val="00CB5AF7"/>
    <w:rsid w:val="00CB5F88"/>
    <w:rsid w:val="00CB66A1"/>
    <w:rsid w:val="00CC0110"/>
    <w:rsid w:val="00CC18DF"/>
    <w:rsid w:val="00CC4EBE"/>
    <w:rsid w:val="00CD3CBF"/>
    <w:rsid w:val="00CD7AFB"/>
    <w:rsid w:val="00CE0807"/>
    <w:rsid w:val="00CE0967"/>
    <w:rsid w:val="00CE147B"/>
    <w:rsid w:val="00CE3AC4"/>
    <w:rsid w:val="00CE448D"/>
    <w:rsid w:val="00CE44CF"/>
    <w:rsid w:val="00CE76DC"/>
    <w:rsid w:val="00CE7A61"/>
    <w:rsid w:val="00CF0E3B"/>
    <w:rsid w:val="00CF1907"/>
    <w:rsid w:val="00CF5368"/>
    <w:rsid w:val="00CF77E0"/>
    <w:rsid w:val="00D026F0"/>
    <w:rsid w:val="00D043F0"/>
    <w:rsid w:val="00D0518C"/>
    <w:rsid w:val="00D05262"/>
    <w:rsid w:val="00D06718"/>
    <w:rsid w:val="00D07B57"/>
    <w:rsid w:val="00D11B23"/>
    <w:rsid w:val="00D15C2D"/>
    <w:rsid w:val="00D160C4"/>
    <w:rsid w:val="00D174F9"/>
    <w:rsid w:val="00D2197A"/>
    <w:rsid w:val="00D23120"/>
    <w:rsid w:val="00D238EE"/>
    <w:rsid w:val="00D26E08"/>
    <w:rsid w:val="00D312B2"/>
    <w:rsid w:val="00D337A0"/>
    <w:rsid w:val="00D36479"/>
    <w:rsid w:val="00D3706A"/>
    <w:rsid w:val="00D37995"/>
    <w:rsid w:val="00D4311A"/>
    <w:rsid w:val="00D43DE9"/>
    <w:rsid w:val="00D44390"/>
    <w:rsid w:val="00D44F4E"/>
    <w:rsid w:val="00D51B77"/>
    <w:rsid w:val="00D53F4E"/>
    <w:rsid w:val="00D547DC"/>
    <w:rsid w:val="00D55190"/>
    <w:rsid w:val="00D55433"/>
    <w:rsid w:val="00D56AEA"/>
    <w:rsid w:val="00D60811"/>
    <w:rsid w:val="00D62941"/>
    <w:rsid w:val="00D6306E"/>
    <w:rsid w:val="00D65C74"/>
    <w:rsid w:val="00D66060"/>
    <w:rsid w:val="00D67E2D"/>
    <w:rsid w:val="00D73F77"/>
    <w:rsid w:val="00D7670A"/>
    <w:rsid w:val="00D82056"/>
    <w:rsid w:val="00D8576D"/>
    <w:rsid w:val="00D90D1E"/>
    <w:rsid w:val="00D917DE"/>
    <w:rsid w:val="00D966C9"/>
    <w:rsid w:val="00D96BE0"/>
    <w:rsid w:val="00DA0594"/>
    <w:rsid w:val="00DA15E2"/>
    <w:rsid w:val="00DA21FB"/>
    <w:rsid w:val="00DA5A85"/>
    <w:rsid w:val="00DA6808"/>
    <w:rsid w:val="00DB01BF"/>
    <w:rsid w:val="00DB04A7"/>
    <w:rsid w:val="00DB0F4C"/>
    <w:rsid w:val="00DB23B4"/>
    <w:rsid w:val="00DB2A92"/>
    <w:rsid w:val="00DB3FD6"/>
    <w:rsid w:val="00DB41AF"/>
    <w:rsid w:val="00DB7E76"/>
    <w:rsid w:val="00DC1525"/>
    <w:rsid w:val="00DC2865"/>
    <w:rsid w:val="00DC6537"/>
    <w:rsid w:val="00DD0BC6"/>
    <w:rsid w:val="00DD433A"/>
    <w:rsid w:val="00DD517A"/>
    <w:rsid w:val="00DD56D5"/>
    <w:rsid w:val="00DD5D55"/>
    <w:rsid w:val="00DD7A21"/>
    <w:rsid w:val="00DD7C85"/>
    <w:rsid w:val="00DE02EF"/>
    <w:rsid w:val="00DE1E00"/>
    <w:rsid w:val="00DE2A7B"/>
    <w:rsid w:val="00DE56DF"/>
    <w:rsid w:val="00DF0935"/>
    <w:rsid w:val="00DF186F"/>
    <w:rsid w:val="00DF1C26"/>
    <w:rsid w:val="00DF24D2"/>
    <w:rsid w:val="00DF4D5A"/>
    <w:rsid w:val="00E075CA"/>
    <w:rsid w:val="00E12BCD"/>
    <w:rsid w:val="00E14F25"/>
    <w:rsid w:val="00E20E5A"/>
    <w:rsid w:val="00E21A0D"/>
    <w:rsid w:val="00E22362"/>
    <w:rsid w:val="00E223ED"/>
    <w:rsid w:val="00E24A6A"/>
    <w:rsid w:val="00E254E0"/>
    <w:rsid w:val="00E26769"/>
    <w:rsid w:val="00E278A6"/>
    <w:rsid w:val="00E30E70"/>
    <w:rsid w:val="00E32899"/>
    <w:rsid w:val="00E32EC7"/>
    <w:rsid w:val="00E33B64"/>
    <w:rsid w:val="00E34E1F"/>
    <w:rsid w:val="00E403D2"/>
    <w:rsid w:val="00E41B13"/>
    <w:rsid w:val="00E4569B"/>
    <w:rsid w:val="00E46B93"/>
    <w:rsid w:val="00E47DFE"/>
    <w:rsid w:val="00E52228"/>
    <w:rsid w:val="00E537F6"/>
    <w:rsid w:val="00E55917"/>
    <w:rsid w:val="00E62515"/>
    <w:rsid w:val="00E659CF"/>
    <w:rsid w:val="00E70AEA"/>
    <w:rsid w:val="00E731B9"/>
    <w:rsid w:val="00E803F1"/>
    <w:rsid w:val="00E80555"/>
    <w:rsid w:val="00E83A59"/>
    <w:rsid w:val="00E879F0"/>
    <w:rsid w:val="00E9016E"/>
    <w:rsid w:val="00E91619"/>
    <w:rsid w:val="00E942EE"/>
    <w:rsid w:val="00E967CD"/>
    <w:rsid w:val="00E96C70"/>
    <w:rsid w:val="00E97716"/>
    <w:rsid w:val="00EA21BC"/>
    <w:rsid w:val="00EA35CE"/>
    <w:rsid w:val="00EA478D"/>
    <w:rsid w:val="00EA55D7"/>
    <w:rsid w:val="00EB5195"/>
    <w:rsid w:val="00EB5D94"/>
    <w:rsid w:val="00EC0B24"/>
    <w:rsid w:val="00EC2852"/>
    <w:rsid w:val="00EC49FF"/>
    <w:rsid w:val="00EC66DD"/>
    <w:rsid w:val="00EC6CA9"/>
    <w:rsid w:val="00EC7450"/>
    <w:rsid w:val="00ED2F68"/>
    <w:rsid w:val="00ED3AF5"/>
    <w:rsid w:val="00ED3BC1"/>
    <w:rsid w:val="00ED3E86"/>
    <w:rsid w:val="00ED5404"/>
    <w:rsid w:val="00ED6272"/>
    <w:rsid w:val="00EE04B8"/>
    <w:rsid w:val="00EE04F6"/>
    <w:rsid w:val="00EE359C"/>
    <w:rsid w:val="00EE42A3"/>
    <w:rsid w:val="00EF0045"/>
    <w:rsid w:val="00EF130A"/>
    <w:rsid w:val="00EF22E3"/>
    <w:rsid w:val="00EF3B3F"/>
    <w:rsid w:val="00EF4C3C"/>
    <w:rsid w:val="00EF6688"/>
    <w:rsid w:val="00EF6DFF"/>
    <w:rsid w:val="00F05E20"/>
    <w:rsid w:val="00F1035A"/>
    <w:rsid w:val="00F153C7"/>
    <w:rsid w:val="00F20531"/>
    <w:rsid w:val="00F23178"/>
    <w:rsid w:val="00F23671"/>
    <w:rsid w:val="00F244AE"/>
    <w:rsid w:val="00F25130"/>
    <w:rsid w:val="00F25E5A"/>
    <w:rsid w:val="00F31C7C"/>
    <w:rsid w:val="00F33887"/>
    <w:rsid w:val="00F400F6"/>
    <w:rsid w:val="00F419CF"/>
    <w:rsid w:val="00F41AEA"/>
    <w:rsid w:val="00F42C83"/>
    <w:rsid w:val="00F47CDF"/>
    <w:rsid w:val="00F50729"/>
    <w:rsid w:val="00F545BB"/>
    <w:rsid w:val="00F62B66"/>
    <w:rsid w:val="00F67ACB"/>
    <w:rsid w:val="00F70261"/>
    <w:rsid w:val="00F81C60"/>
    <w:rsid w:val="00F8328F"/>
    <w:rsid w:val="00F90655"/>
    <w:rsid w:val="00F96652"/>
    <w:rsid w:val="00F96D6F"/>
    <w:rsid w:val="00F970C9"/>
    <w:rsid w:val="00FA01CE"/>
    <w:rsid w:val="00FA03F9"/>
    <w:rsid w:val="00FA2CAE"/>
    <w:rsid w:val="00FA6039"/>
    <w:rsid w:val="00FA639C"/>
    <w:rsid w:val="00FB2B3C"/>
    <w:rsid w:val="00FB2C5D"/>
    <w:rsid w:val="00FB3DE3"/>
    <w:rsid w:val="00FB63F2"/>
    <w:rsid w:val="00FB6571"/>
    <w:rsid w:val="00FB750D"/>
    <w:rsid w:val="00FC27FC"/>
    <w:rsid w:val="00FC3E65"/>
    <w:rsid w:val="00FC554B"/>
    <w:rsid w:val="00FC6936"/>
    <w:rsid w:val="00FC6C3D"/>
    <w:rsid w:val="00FD4714"/>
    <w:rsid w:val="00FD5FB7"/>
    <w:rsid w:val="00FD6888"/>
    <w:rsid w:val="00FD74A2"/>
    <w:rsid w:val="00FE02F4"/>
    <w:rsid w:val="00FE47B2"/>
    <w:rsid w:val="00FF23A4"/>
    <w:rsid w:val="00FF72E9"/>
    <w:rsid w:val="00FF75D6"/>
    <w:rsid w:val="012B1D35"/>
    <w:rsid w:val="023E6137"/>
    <w:rsid w:val="028A33A6"/>
    <w:rsid w:val="02EB6B63"/>
    <w:rsid w:val="03990517"/>
    <w:rsid w:val="044D6370"/>
    <w:rsid w:val="04BC75F1"/>
    <w:rsid w:val="050C0020"/>
    <w:rsid w:val="053E1AEE"/>
    <w:rsid w:val="057E5AAB"/>
    <w:rsid w:val="05F03EF1"/>
    <w:rsid w:val="06307916"/>
    <w:rsid w:val="07F03C8E"/>
    <w:rsid w:val="087B0E71"/>
    <w:rsid w:val="08FA0AF6"/>
    <w:rsid w:val="098F752A"/>
    <w:rsid w:val="09B34328"/>
    <w:rsid w:val="0A4F3C9D"/>
    <w:rsid w:val="0A961813"/>
    <w:rsid w:val="0CE658B5"/>
    <w:rsid w:val="0DD92CED"/>
    <w:rsid w:val="0E6E27E7"/>
    <w:rsid w:val="0F46548B"/>
    <w:rsid w:val="11DD6313"/>
    <w:rsid w:val="13645C85"/>
    <w:rsid w:val="13943D33"/>
    <w:rsid w:val="13CB23D2"/>
    <w:rsid w:val="14193348"/>
    <w:rsid w:val="14207237"/>
    <w:rsid w:val="146E3E1D"/>
    <w:rsid w:val="163A04A7"/>
    <w:rsid w:val="16BC7CC8"/>
    <w:rsid w:val="17D50195"/>
    <w:rsid w:val="1849709B"/>
    <w:rsid w:val="1874440D"/>
    <w:rsid w:val="18962C75"/>
    <w:rsid w:val="18F30AF5"/>
    <w:rsid w:val="1BD51DB6"/>
    <w:rsid w:val="1C9A4B81"/>
    <w:rsid w:val="1CE00318"/>
    <w:rsid w:val="1D1844C1"/>
    <w:rsid w:val="1DFB5D27"/>
    <w:rsid w:val="1EA633D1"/>
    <w:rsid w:val="1F76119C"/>
    <w:rsid w:val="21103C57"/>
    <w:rsid w:val="22282B0F"/>
    <w:rsid w:val="22F1625E"/>
    <w:rsid w:val="23E511C4"/>
    <w:rsid w:val="244D2058"/>
    <w:rsid w:val="24EC5C9B"/>
    <w:rsid w:val="25AF2BAE"/>
    <w:rsid w:val="271E484C"/>
    <w:rsid w:val="274A7413"/>
    <w:rsid w:val="282E2508"/>
    <w:rsid w:val="28CA20DC"/>
    <w:rsid w:val="29AE0FC8"/>
    <w:rsid w:val="2A5814B9"/>
    <w:rsid w:val="2A8157C1"/>
    <w:rsid w:val="2AC64D78"/>
    <w:rsid w:val="2C04415C"/>
    <w:rsid w:val="2C0D5999"/>
    <w:rsid w:val="2C273A60"/>
    <w:rsid w:val="2D2B60EA"/>
    <w:rsid w:val="2EB8070C"/>
    <w:rsid w:val="2F6D1BE2"/>
    <w:rsid w:val="314C558C"/>
    <w:rsid w:val="31D74624"/>
    <w:rsid w:val="33C75737"/>
    <w:rsid w:val="34BC4D20"/>
    <w:rsid w:val="34CE6B89"/>
    <w:rsid w:val="351F33D1"/>
    <w:rsid w:val="353379ED"/>
    <w:rsid w:val="36273778"/>
    <w:rsid w:val="36B22AFB"/>
    <w:rsid w:val="37523916"/>
    <w:rsid w:val="37E31DCF"/>
    <w:rsid w:val="383B2933"/>
    <w:rsid w:val="395913D8"/>
    <w:rsid w:val="399E0A08"/>
    <w:rsid w:val="39F3108A"/>
    <w:rsid w:val="3B1274BC"/>
    <w:rsid w:val="3BDD32A8"/>
    <w:rsid w:val="3C9E54A4"/>
    <w:rsid w:val="3D593337"/>
    <w:rsid w:val="3DAE7B06"/>
    <w:rsid w:val="3EDB1666"/>
    <w:rsid w:val="3F2E7A58"/>
    <w:rsid w:val="3F7548BB"/>
    <w:rsid w:val="40522AD3"/>
    <w:rsid w:val="415A27B2"/>
    <w:rsid w:val="42362E67"/>
    <w:rsid w:val="42911525"/>
    <w:rsid w:val="43CA27A2"/>
    <w:rsid w:val="43FD1A8F"/>
    <w:rsid w:val="449E684B"/>
    <w:rsid w:val="45207C6D"/>
    <w:rsid w:val="456A2D0D"/>
    <w:rsid w:val="45B064D5"/>
    <w:rsid w:val="463E3FCA"/>
    <w:rsid w:val="476E443D"/>
    <w:rsid w:val="495D0607"/>
    <w:rsid w:val="495E2989"/>
    <w:rsid w:val="4C046923"/>
    <w:rsid w:val="4CA546DE"/>
    <w:rsid w:val="4EDE6E17"/>
    <w:rsid w:val="50562ABB"/>
    <w:rsid w:val="520855C2"/>
    <w:rsid w:val="527331D4"/>
    <w:rsid w:val="53235644"/>
    <w:rsid w:val="53610703"/>
    <w:rsid w:val="5444406A"/>
    <w:rsid w:val="54AA2306"/>
    <w:rsid w:val="55A52517"/>
    <w:rsid w:val="5659222A"/>
    <w:rsid w:val="57536BEE"/>
    <w:rsid w:val="5963688F"/>
    <w:rsid w:val="5AE9660C"/>
    <w:rsid w:val="5B1A5A7A"/>
    <w:rsid w:val="5B932F89"/>
    <w:rsid w:val="5DB263ED"/>
    <w:rsid w:val="5FAD4456"/>
    <w:rsid w:val="60BF58A1"/>
    <w:rsid w:val="610F481D"/>
    <w:rsid w:val="613D6AA6"/>
    <w:rsid w:val="61647571"/>
    <w:rsid w:val="61F318DC"/>
    <w:rsid w:val="62E3213B"/>
    <w:rsid w:val="65AF2AB8"/>
    <w:rsid w:val="68B63D83"/>
    <w:rsid w:val="69C35705"/>
    <w:rsid w:val="6B2A5FE5"/>
    <w:rsid w:val="6C0B6905"/>
    <w:rsid w:val="6EC61438"/>
    <w:rsid w:val="6F385474"/>
    <w:rsid w:val="6F762077"/>
    <w:rsid w:val="70A93B2E"/>
    <w:rsid w:val="71946B83"/>
    <w:rsid w:val="71977471"/>
    <w:rsid w:val="71D560A2"/>
    <w:rsid w:val="72671C7C"/>
    <w:rsid w:val="73251F61"/>
    <w:rsid w:val="73427C7C"/>
    <w:rsid w:val="74B512FE"/>
    <w:rsid w:val="753A50E0"/>
    <w:rsid w:val="75E77BF0"/>
    <w:rsid w:val="7866113E"/>
    <w:rsid w:val="78EB7DB7"/>
    <w:rsid w:val="796C7784"/>
    <w:rsid w:val="79942F7B"/>
    <w:rsid w:val="7BE65EFE"/>
    <w:rsid w:val="7D785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name="caption"/>
    <w:lsdException w:qFormat="1" w:uiPriority="99" w:semiHidden="0" w:name="table of figures"/>
    <w:lsdException w:uiPriority="99" w:name="envelope address"/>
    <w:lsdException w:uiPriority="99" w:name="envelope return"/>
    <w:lsdException w:qFormat="1" w:uiPriority="0" w:semiHidden="0"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0" w:semiHidden="0" w:name="Subtitle"/>
    <w:lsdException w:uiPriority="99" w:name="Salutation"/>
    <w:lsdException w:qFormat="1" w:uiPriority="0" w:semiHidden="0" w:name="Date"/>
    <w:lsdException w:qFormat="1" w:uiPriority="0" w:semiHidden="0" w:name="Body Text First Indent"/>
    <w:lsdException w:uiPriority="99" w:name="Body Text First Indent 2"/>
    <w:lsdException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2"/>
    <w:qFormat/>
    <w:uiPriority w:val="9"/>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3"/>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link w:val="54"/>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55"/>
    <w:unhideWhenUsed/>
    <w:qFormat/>
    <w:uiPriority w:val="0"/>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56"/>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8">
    <w:name w:val="heading 6"/>
    <w:basedOn w:val="1"/>
    <w:next w:val="1"/>
    <w:link w:val="57"/>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9">
    <w:name w:val="heading 7"/>
    <w:basedOn w:val="1"/>
    <w:next w:val="1"/>
    <w:link w:val="58"/>
    <w:semiHidden/>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59"/>
    <w:semiHidden/>
    <w:unhideWhenUsed/>
    <w:qFormat/>
    <w:uiPriority w:val="0"/>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60"/>
    <w:semiHidden/>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87"/>
    <w:unhideWhenUsed/>
    <w:qFormat/>
    <w:uiPriority w:val="99"/>
    <w:pPr>
      <w:spacing w:after="120"/>
    </w:pPr>
  </w:style>
  <w:style w:type="paragraph" w:styleId="12">
    <w:name w:val="toc 7"/>
    <w:basedOn w:val="1"/>
    <w:next w:val="1"/>
    <w:unhideWhenUsed/>
    <w:qFormat/>
    <w:uiPriority w:val="0"/>
    <w:pPr>
      <w:ind w:left="2520" w:leftChars="1200"/>
    </w:pPr>
    <w:rPr>
      <w:rFonts w:ascii="Times New Roman" w:hAnsi="Times New Roman"/>
      <w:szCs w:val="24"/>
    </w:rPr>
  </w:style>
  <w:style w:type="paragraph" w:styleId="13">
    <w:name w:val="Normal Indent"/>
    <w:basedOn w:val="1"/>
    <w:link w:val="61"/>
    <w:unhideWhenUsed/>
    <w:qFormat/>
    <w:uiPriority w:val="0"/>
    <w:pPr>
      <w:spacing w:after="180" w:line="307" w:lineRule="auto"/>
      <w:ind w:firstLine="420"/>
    </w:pPr>
    <w:rPr>
      <w:rFonts w:asciiTheme="minorHAnsi" w:hAnsiTheme="minorHAnsi" w:eastAsiaTheme="minorEastAsia" w:cstheme="minorBidi"/>
    </w:rPr>
  </w:style>
  <w:style w:type="paragraph" w:styleId="14">
    <w:name w:val="caption"/>
    <w:basedOn w:val="1"/>
    <w:next w:val="1"/>
    <w:semiHidden/>
    <w:unhideWhenUsed/>
    <w:qFormat/>
    <w:uiPriority w:val="0"/>
    <w:pPr>
      <w:spacing w:before="152" w:after="160" w:line="360" w:lineRule="auto"/>
    </w:pPr>
    <w:rPr>
      <w:rFonts w:ascii="Arial" w:hAnsi="Arial" w:eastAsia="黑体" w:cs="Arial"/>
      <w:sz w:val="20"/>
      <w:szCs w:val="20"/>
    </w:rPr>
  </w:style>
  <w:style w:type="paragraph" w:styleId="15">
    <w:name w:val="Document Map"/>
    <w:basedOn w:val="1"/>
    <w:link w:val="75"/>
    <w:unhideWhenUsed/>
    <w:qFormat/>
    <w:uiPriority w:val="0"/>
    <w:pPr>
      <w:shd w:val="clear" w:color="auto" w:fill="000080"/>
    </w:pPr>
    <w:rPr>
      <w:rFonts w:ascii="Times New Roman" w:hAnsi="Times New Roman"/>
      <w:kern w:val="0"/>
      <w:sz w:val="18"/>
      <w:szCs w:val="18"/>
    </w:rPr>
  </w:style>
  <w:style w:type="paragraph" w:styleId="16">
    <w:name w:val="annotation text"/>
    <w:basedOn w:val="1"/>
    <w:link w:val="63"/>
    <w:unhideWhenUsed/>
    <w:qFormat/>
    <w:uiPriority w:val="0"/>
    <w:pPr>
      <w:jc w:val="left"/>
    </w:pPr>
    <w:rPr>
      <w:rFonts w:ascii="Times New Roman" w:hAnsi="Times New Roman"/>
      <w:kern w:val="0"/>
      <w:sz w:val="18"/>
      <w:szCs w:val="18"/>
    </w:rPr>
  </w:style>
  <w:style w:type="paragraph" w:styleId="17">
    <w:name w:val="Body Text 3"/>
    <w:basedOn w:val="1"/>
    <w:link w:val="72"/>
    <w:unhideWhenUsed/>
    <w:qFormat/>
    <w:uiPriority w:val="0"/>
    <w:pPr>
      <w:jc w:val="center"/>
    </w:pPr>
    <w:rPr>
      <w:rFonts w:ascii="Times New Roman" w:hAnsi="Times New Roman" w:eastAsia="黑体"/>
      <w:sz w:val="44"/>
      <w:szCs w:val="24"/>
    </w:rPr>
  </w:style>
  <w:style w:type="paragraph" w:styleId="18">
    <w:name w:val="Body Text Indent"/>
    <w:basedOn w:val="1"/>
    <w:link w:val="67"/>
    <w:unhideWhenUsed/>
    <w:qFormat/>
    <w:uiPriority w:val="0"/>
    <w:pPr>
      <w:spacing w:after="120"/>
      <w:ind w:left="420" w:leftChars="200"/>
    </w:pPr>
    <w:rPr>
      <w:rFonts w:ascii="Times New Roman" w:hAnsi="Times New Roman"/>
      <w:kern w:val="0"/>
      <w:sz w:val="20"/>
      <w:szCs w:val="24"/>
    </w:rPr>
  </w:style>
  <w:style w:type="paragraph" w:styleId="19">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0">
    <w:name w:val="toc 5"/>
    <w:basedOn w:val="1"/>
    <w:next w:val="1"/>
    <w:unhideWhenUsed/>
    <w:qFormat/>
    <w:uiPriority w:val="0"/>
    <w:pPr>
      <w:ind w:left="1680" w:leftChars="800"/>
    </w:pPr>
    <w:rPr>
      <w:rFonts w:ascii="Times New Roman" w:hAnsi="Times New Roman"/>
      <w:sz w:val="18"/>
      <w:szCs w:val="18"/>
    </w:rPr>
  </w:style>
  <w:style w:type="paragraph" w:styleId="21">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2">
    <w:name w:val="Plain Text"/>
    <w:basedOn w:val="1"/>
    <w:link w:val="192"/>
    <w:unhideWhenUsed/>
    <w:qFormat/>
    <w:uiPriority w:val="0"/>
    <w:rPr>
      <w:rFonts w:ascii="宋体" w:hAnsi="Courier New"/>
      <w:kern w:val="0"/>
      <w:sz w:val="20"/>
      <w:szCs w:val="18"/>
    </w:rPr>
  </w:style>
  <w:style w:type="paragraph" w:styleId="23">
    <w:name w:val="toc 8"/>
    <w:basedOn w:val="1"/>
    <w:next w:val="1"/>
    <w:unhideWhenUsed/>
    <w:qFormat/>
    <w:uiPriority w:val="0"/>
    <w:pPr>
      <w:ind w:left="2940" w:leftChars="1400"/>
    </w:pPr>
    <w:rPr>
      <w:rFonts w:ascii="Times New Roman" w:hAnsi="Times New Roman"/>
      <w:szCs w:val="24"/>
    </w:rPr>
  </w:style>
  <w:style w:type="paragraph" w:styleId="24">
    <w:name w:val="Date"/>
    <w:basedOn w:val="1"/>
    <w:next w:val="1"/>
    <w:link w:val="69"/>
    <w:unhideWhenUsed/>
    <w:qFormat/>
    <w:uiPriority w:val="0"/>
    <w:pPr>
      <w:ind w:left="100" w:leftChars="2500"/>
    </w:pPr>
    <w:rPr>
      <w:rFonts w:ascii="Times New Roman" w:hAnsi="Times New Roman"/>
      <w:kern w:val="0"/>
      <w:sz w:val="24"/>
      <w:szCs w:val="24"/>
    </w:rPr>
  </w:style>
  <w:style w:type="paragraph" w:styleId="25">
    <w:name w:val="Body Text Indent 2"/>
    <w:basedOn w:val="1"/>
    <w:link w:val="73"/>
    <w:unhideWhenUsed/>
    <w:qFormat/>
    <w:uiPriority w:val="0"/>
    <w:pPr>
      <w:spacing w:after="120" w:line="480" w:lineRule="auto"/>
      <w:ind w:left="420" w:leftChars="200"/>
    </w:pPr>
  </w:style>
  <w:style w:type="paragraph" w:styleId="26">
    <w:name w:val="Balloon Text"/>
    <w:basedOn w:val="1"/>
    <w:link w:val="78"/>
    <w:unhideWhenUsed/>
    <w:qFormat/>
    <w:uiPriority w:val="99"/>
    <w:rPr>
      <w:rFonts w:ascii="Times New Roman" w:hAnsi="Times New Roman"/>
      <w:kern w:val="0"/>
      <w:sz w:val="18"/>
      <w:szCs w:val="18"/>
    </w:rPr>
  </w:style>
  <w:style w:type="paragraph" w:styleId="27">
    <w:name w:val="footer"/>
    <w:basedOn w:val="1"/>
    <w:link w:val="65"/>
    <w:unhideWhenUsed/>
    <w:qFormat/>
    <w:uiPriority w:val="99"/>
    <w:pPr>
      <w:tabs>
        <w:tab w:val="center" w:pos="4153"/>
        <w:tab w:val="right" w:pos="8306"/>
      </w:tabs>
      <w:snapToGrid w:val="0"/>
      <w:jc w:val="left"/>
    </w:pPr>
    <w:rPr>
      <w:kern w:val="0"/>
      <w:sz w:val="18"/>
      <w:szCs w:val="18"/>
    </w:rPr>
  </w:style>
  <w:style w:type="paragraph" w:styleId="28">
    <w:name w:val="header"/>
    <w:basedOn w:val="1"/>
    <w:link w:val="64"/>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unhideWhenUsed/>
    <w:qFormat/>
    <w:uiPriority w:val="0"/>
    <w:pPr>
      <w:ind w:left="1260" w:leftChars="600"/>
    </w:pPr>
    <w:rPr>
      <w:rFonts w:ascii="Times New Roman" w:hAnsi="Times New Roman"/>
      <w:sz w:val="18"/>
      <w:szCs w:val="18"/>
    </w:rPr>
  </w:style>
  <w:style w:type="paragraph" w:styleId="31">
    <w:name w:val="Subtitle"/>
    <w:basedOn w:val="1"/>
    <w:next w:val="1"/>
    <w:link w:val="68"/>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link w:val="62"/>
    <w:unhideWhenUsed/>
    <w:qFormat/>
    <w:uiPriority w:val="0"/>
    <w:pPr>
      <w:snapToGrid w:val="0"/>
      <w:jc w:val="left"/>
    </w:pPr>
    <w:rPr>
      <w:sz w:val="18"/>
      <w:szCs w:val="18"/>
    </w:rPr>
  </w:style>
  <w:style w:type="paragraph" w:styleId="33">
    <w:name w:val="toc 6"/>
    <w:basedOn w:val="1"/>
    <w:next w:val="1"/>
    <w:unhideWhenUsed/>
    <w:qFormat/>
    <w:uiPriority w:val="0"/>
    <w:pPr>
      <w:ind w:left="2100" w:leftChars="1000"/>
    </w:pPr>
    <w:rPr>
      <w:rFonts w:ascii="Times New Roman" w:hAnsi="Times New Roman"/>
      <w:szCs w:val="24"/>
    </w:rPr>
  </w:style>
  <w:style w:type="paragraph" w:styleId="34">
    <w:name w:val="Body Text Indent 3"/>
    <w:basedOn w:val="1"/>
    <w:link w:val="74"/>
    <w:unhideWhenUsed/>
    <w:qFormat/>
    <w:uiPriority w:val="0"/>
    <w:pPr>
      <w:spacing w:line="360" w:lineRule="auto"/>
      <w:ind w:left="153" w:leftChars="85" w:firstLine="560" w:firstLineChars="200"/>
    </w:pPr>
    <w:rPr>
      <w:rFonts w:ascii="宋体" w:hAnsi="宋体"/>
      <w:kern w:val="0"/>
      <w:sz w:val="28"/>
      <w:szCs w:val="28"/>
    </w:rPr>
  </w:style>
  <w:style w:type="paragraph" w:styleId="35">
    <w:name w:val="table of figures"/>
    <w:basedOn w:val="1"/>
    <w:next w:val="1"/>
    <w:unhideWhenUsed/>
    <w:qFormat/>
    <w:uiPriority w:val="99"/>
    <w:pPr>
      <w:ind w:left="420" w:hanging="420"/>
    </w:pPr>
  </w:style>
  <w:style w:type="paragraph" w:styleId="36">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7">
    <w:name w:val="toc 9"/>
    <w:basedOn w:val="1"/>
    <w:next w:val="1"/>
    <w:unhideWhenUsed/>
    <w:qFormat/>
    <w:uiPriority w:val="0"/>
    <w:pPr>
      <w:ind w:left="3360" w:leftChars="1600"/>
    </w:pPr>
    <w:rPr>
      <w:rFonts w:ascii="Times New Roman" w:hAnsi="Times New Roman"/>
      <w:szCs w:val="24"/>
    </w:rPr>
  </w:style>
  <w:style w:type="paragraph" w:styleId="38">
    <w:name w:val="Body Text 2"/>
    <w:basedOn w:val="1"/>
    <w:link w:val="71"/>
    <w:unhideWhenUsed/>
    <w:qFormat/>
    <w:uiPriority w:val="0"/>
    <w:pPr>
      <w:spacing w:after="120" w:line="480" w:lineRule="auto"/>
    </w:pPr>
    <w:rPr>
      <w:rFonts w:ascii="Times New Roman" w:hAnsi="Times New Roman"/>
      <w:kern w:val="0"/>
      <w:sz w:val="18"/>
      <w:szCs w:val="18"/>
    </w:rPr>
  </w:style>
  <w:style w:type="paragraph" w:styleId="39">
    <w:name w:val="Message Header"/>
    <w:basedOn w:val="1"/>
    <w:next w:val="40"/>
    <w:unhideWhenUsed/>
    <w:qFormat/>
    <w:uiPriority w:val="99"/>
    <w:pPr>
      <w:shd w:val="pct20" w:color="auto" w:fill="auto"/>
      <w:ind w:left="500" w:leftChars="500" w:hanging="1080" w:hangingChars="500"/>
    </w:pPr>
    <w:rPr>
      <w:rFonts w:ascii="Arial" w:hAnsi="Arial" w:cs="Arial"/>
      <w:sz w:val="24"/>
      <w:szCs w:val="24"/>
    </w:rPr>
  </w:style>
  <w:style w:type="paragraph" w:customStyle="1" w:styleId="40">
    <w:name w:val="Bullet 2"/>
    <w:qFormat/>
    <w:uiPriority w:val="0"/>
    <w:pPr>
      <w:tabs>
        <w:tab w:val="left" w:pos="360"/>
      </w:tabs>
      <w:spacing w:after="120"/>
      <w:ind w:left="360" w:hanging="360"/>
      <w:jc w:val="both"/>
    </w:pPr>
    <w:rPr>
      <w:rFonts w:ascii="Times New Roman" w:hAnsi="Times New Roman" w:eastAsia="宋体" w:cs="Times New Roman"/>
      <w:color w:val="000000"/>
      <w:sz w:val="24"/>
      <w:lang w:val="en-US" w:eastAsia="en-US" w:bidi="ar-SA"/>
    </w:rPr>
  </w:style>
  <w:style w:type="paragraph" w:styleId="41">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2">
    <w:name w:val="annotation subject"/>
    <w:basedOn w:val="16"/>
    <w:next w:val="16"/>
    <w:link w:val="77"/>
    <w:unhideWhenUsed/>
    <w:qFormat/>
    <w:uiPriority w:val="99"/>
    <w:rPr>
      <w:rFonts w:ascii="Calibri" w:hAnsi="Calibri"/>
      <w:b/>
      <w:bCs/>
      <w:kern w:val="2"/>
      <w:sz w:val="21"/>
      <w:szCs w:val="22"/>
    </w:rPr>
  </w:style>
  <w:style w:type="paragraph" w:styleId="43">
    <w:name w:val="Body Text First Indent"/>
    <w:basedOn w:val="2"/>
    <w:link w:val="70"/>
    <w:unhideWhenUsed/>
    <w:qFormat/>
    <w:uiPriority w:val="0"/>
    <w:pPr>
      <w:ind w:firstLine="420" w:firstLineChars="100"/>
    </w:pPr>
    <w:rPr>
      <w:rFonts w:ascii="Times New Roman" w:hAnsi="Times New Roman"/>
      <w:kern w:val="0"/>
      <w:sz w:val="18"/>
      <w:szCs w:val="18"/>
    </w:rPr>
  </w:style>
  <w:style w:type="table" w:styleId="45">
    <w:name w:val="Table Grid"/>
    <w:basedOn w:val="4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FollowedHyperlink"/>
    <w:basedOn w:val="46"/>
    <w:unhideWhenUsed/>
    <w:qFormat/>
    <w:uiPriority w:val="99"/>
    <w:rPr>
      <w:color w:val="800080" w:themeColor="followedHyperlink"/>
      <w:u w:val="single"/>
      <w14:textFill>
        <w14:solidFill>
          <w14:schemeClr w14:val="folHlink"/>
        </w14:solidFill>
      </w14:textFill>
    </w:rPr>
  </w:style>
  <w:style w:type="character" w:styleId="48">
    <w:name w:val="Hyperlink"/>
    <w:unhideWhenUsed/>
    <w:qFormat/>
    <w:uiPriority w:val="99"/>
    <w:rPr>
      <w:color w:val="0000FF"/>
      <w:u w:val="single"/>
    </w:rPr>
  </w:style>
  <w:style w:type="character" w:styleId="49">
    <w:name w:val="annotation reference"/>
    <w:unhideWhenUsed/>
    <w:qFormat/>
    <w:uiPriority w:val="0"/>
    <w:rPr>
      <w:sz w:val="21"/>
      <w:szCs w:val="21"/>
    </w:rPr>
  </w:style>
  <w:style w:type="character" w:styleId="50">
    <w:name w:val="footnote reference"/>
    <w:unhideWhenUsed/>
    <w:qFormat/>
    <w:uiPriority w:val="0"/>
    <w:rPr>
      <w:vertAlign w:val="superscript"/>
    </w:rPr>
  </w:style>
  <w:style w:type="paragraph" w:customStyle="1" w:styleId="51">
    <w:name w:val="正文缩进1"/>
    <w:basedOn w:val="1"/>
    <w:next w:val="1"/>
    <w:qFormat/>
    <w:uiPriority w:val="0"/>
    <w:pPr>
      <w:widowControl/>
      <w:ind w:firstLine="420"/>
    </w:pPr>
    <w:rPr>
      <w:color w:val="000000"/>
    </w:rPr>
  </w:style>
  <w:style w:type="character" w:customStyle="1" w:styleId="52">
    <w:name w:val="标题 1 字符"/>
    <w:basedOn w:val="46"/>
    <w:link w:val="3"/>
    <w:qFormat/>
    <w:uiPriority w:val="9"/>
    <w:rPr>
      <w:rFonts w:ascii="宋体" w:hAnsi="宋体" w:cs="宋体"/>
      <w:b/>
      <w:bCs/>
      <w:spacing w:val="-20"/>
      <w:kern w:val="44"/>
      <w:sz w:val="32"/>
      <w:szCs w:val="32"/>
    </w:rPr>
  </w:style>
  <w:style w:type="character" w:customStyle="1" w:styleId="53">
    <w:name w:val="标题 2 字符"/>
    <w:basedOn w:val="46"/>
    <w:link w:val="4"/>
    <w:qFormat/>
    <w:uiPriority w:val="0"/>
    <w:rPr>
      <w:rFonts w:ascii="宋体" w:hAnsi="宋体" w:cs="宋体"/>
      <w:b/>
      <w:bCs/>
      <w:kern w:val="2"/>
      <w:sz w:val="28"/>
      <w:szCs w:val="28"/>
    </w:rPr>
  </w:style>
  <w:style w:type="character" w:customStyle="1" w:styleId="54">
    <w:name w:val="标题 3 字符"/>
    <w:basedOn w:val="46"/>
    <w:link w:val="5"/>
    <w:qFormat/>
    <w:uiPriority w:val="0"/>
    <w:rPr>
      <w:rFonts w:ascii="宋体" w:hAnsi="宋体" w:cs="宋体"/>
      <w:b/>
      <w:bCs/>
      <w:color w:val="000000"/>
      <w:sz w:val="28"/>
      <w:szCs w:val="28"/>
    </w:rPr>
  </w:style>
  <w:style w:type="character" w:customStyle="1" w:styleId="55">
    <w:name w:val="标题 4 字符"/>
    <w:basedOn w:val="46"/>
    <w:link w:val="6"/>
    <w:qFormat/>
    <w:uiPriority w:val="0"/>
    <w:rPr>
      <w:rFonts w:ascii="Arial" w:hAnsi="Arial"/>
      <w:b/>
      <w:bCs/>
      <w:sz w:val="28"/>
      <w:szCs w:val="28"/>
    </w:rPr>
  </w:style>
  <w:style w:type="character" w:customStyle="1" w:styleId="56">
    <w:name w:val="标题 5 字符"/>
    <w:basedOn w:val="46"/>
    <w:link w:val="7"/>
    <w:qFormat/>
    <w:uiPriority w:val="0"/>
    <w:rPr>
      <w:rFonts w:ascii="Calibri" w:hAnsi="Calibri" w:cs="宋体"/>
      <w:b/>
      <w:bCs/>
      <w:sz w:val="28"/>
      <w:szCs w:val="28"/>
    </w:rPr>
  </w:style>
  <w:style w:type="character" w:customStyle="1" w:styleId="57">
    <w:name w:val="标题 6 字符"/>
    <w:basedOn w:val="46"/>
    <w:link w:val="8"/>
    <w:qFormat/>
    <w:uiPriority w:val="0"/>
    <w:rPr>
      <w:rFonts w:ascii="Arial" w:hAnsi="Arial"/>
      <w:b/>
      <w:bCs/>
      <w:sz w:val="28"/>
      <w:szCs w:val="18"/>
    </w:rPr>
  </w:style>
  <w:style w:type="character" w:customStyle="1" w:styleId="58">
    <w:name w:val="标题 7 字符"/>
    <w:basedOn w:val="46"/>
    <w:link w:val="9"/>
    <w:semiHidden/>
    <w:qFormat/>
    <w:uiPriority w:val="0"/>
    <w:rPr>
      <w:rFonts w:ascii="Arial Narrow" w:hAnsi="Arial Narrow" w:eastAsia="宋体" w:cs="Times New Roman"/>
      <w:b/>
      <w:bCs/>
      <w:iCs/>
      <w:kern w:val="0"/>
      <w:sz w:val="20"/>
      <w:szCs w:val="24"/>
      <w:lang w:eastAsia="en-US"/>
    </w:rPr>
  </w:style>
  <w:style w:type="character" w:customStyle="1" w:styleId="59">
    <w:name w:val="标题 8 字符"/>
    <w:basedOn w:val="46"/>
    <w:link w:val="10"/>
    <w:semiHidden/>
    <w:qFormat/>
    <w:uiPriority w:val="0"/>
    <w:rPr>
      <w:rFonts w:ascii="Arial" w:hAnsi="Arial" w:eastAsia="黑体" w:cs="Times New Roman"/>
      <w:kern w:val="0"/>
      <w:sz w:val="24"/>
      <w:szCs w:val="24"/>
    </w:rPr>
  </w:style>
  <w:style w:type="character" w:customStyle="1" w:styleId="60">
    <w:name w:val="标题 9 字符"/>
    <w:basedOn w:val="46"/>
    <w:link w:val="11"/>
    <w:semiHidden/>
    <w:qFormat/>
    <w:uiPriority w:val="0"/>
    <w:rPr>
      <w:rFonts w:ascii="Arial" w:hAnsi="Arial" w:eastAsia="黑体" w:cs="Times New Roman"/>
      <w:kern w:val="0"/>
      <w:sz w:val="20"/>
      <w:szCs w:val="21"/>
    </w:rPr>
  </w:style>
  <w:style w:type="character" w:customStyle="1" w:styleId="61">
    <w:name w:val="正文缩进 字符"/>
    <w:link w:val="13"/>
    <w:qFormat/>
    <w:locked/>
    <w:uiPriority w:val="0"/>
  </w:style>
  <w:style w:type="character" w:customStyle="1" w:styleId="62">
    <w:name w:val="脚注文本 字符"/>
    <w:basedOn w:val="46"/>
    <w:link w:val="32"/>
    <w:qFormat/>
    <w:uiPriority w:val="0"/>
    <w:rPr>
      <w:rFonts w:ascii="Calibri" w:hAnsi="Calibri" w:eastAsia="宋体" w:cs="Times New Roman"/>
      <w:sz w:val="18"/>
      <w:szCs w:val="18"/>
    </w:rPr>
  </w:style>
  <w:style w:type="character" w:customStyle="1" w:styleId="63">
    <w:name w:val="批注文字 字符"/>
    <w:basedOn w:val="46"/>
    <w:link w:val="16"/>
    <w:qFormat/>
    <w:uiPriority w:val="99"/>
    <w:rPr>
      <w:rFonts w:ascii="Times New Roman" w:hAnsi="Times New Roman" w:eastAsia="宋体" w:cs="Times New Roman"/>
      <w:kern w:val="0"/>
      <w:sz w:val="18"/>
      <w:szCs w:val="18"/>
    </w:rPr>
  </w:style>
  <w:style w:type="character" w:customStyle="1" w:styleId="64">
    <w:name w:val="页眉 字符"/>
    <w:basedOn w:val="46"/>
    <w:link w:val="28"/>
    <w:qFormat/>
    <w:uiPriority w:val="99"/>
    <w:rPr>
      <w:rFonts w:ascii="Calibri" w:hAnsi="Calibri" w:eastAsia="宋体" w:cs="Times New Roman"/>
      <w:kern w:val="0"/>
      <w:sz w:val="18"/>
      <w:szCs w:val="18"/>
    </w:rPr>
  </w:style>
  <w:style w:type="character" w:customStyle="1" w:styleId="65">
    <w:name w:val="页脚 字符"/>
    <w:basedOn w:val="46"/>
    <w:link w:val="27"/>
    <w:qFormat/>
    <w:uiPriority w:val="99"/>
    <w:rPr>
      <w:rFonts w:ascii="Calibri" w:hAnsi="Calibri" w:eastAsia="宋体" w:cs="Times New Roman"/>
      <w:kern w:val="0"/>
      <w:sz w:val="18"/>
      <w:szCs w:val="18"/>
    </w:rPr>
  </w:style>
  <w:style w:type="character" w:customStyle="1" w:styleId="66">
    <w:name w:val="正文文本 Char"/>
    <w:basedOn w:val="46"/>
    <w:qFormat/>
    <w:uiPriority w:val="0"/>
    <w:rPr>
      <w:rFonts w:ascii="Calibri" w:hAnsi="Calibri" w:eastAsia="宋体" w:cs="Times New Roman"/>
    </w:rPr>
  </w:style>
  <w:style w:type="character" w:customStyle="1" w:styleId="67">
    <w:name w:val="正文文本缩进 字符"/>
    <w:basedOn w:val="46"/>
    <w:link w:val="18"/>
    <w:qFormat/>
    <w:uiPriority w:val="0"/>
    <w:rPr>
      <w:rFonts w:ascii="Times New Roman" w:hAnsi="Times New Roman" w:eastAsia="宋体" w:cs="Times New Roman"/>
      <w:kern w:val="0"/>
      <w:sz w:val="20"/>
      <w:szCs w:val="24"/>
    </w:rPr>
  </w:style>
  <w:style w:type="character" w:customStyle="1" w:styleId="68">
    <w:name w:val="副标题 字符"/>
    <w:basedOn w:val="46"/>
    <w:link w:val="31"/>
    <w:qFormat/>
    <w:uiPriority w:val="0"/>
    <w:rPr>
      <w:rFonts w:ascii="Cambria" w:hAnsi="Cambria" w:eastAsia="宋体" w:cs="Times New Roman"/>
      <w:b/>
      <w:bCs/>
      <w:kern w:val="28"/>
      <w:sz w:val="32"/>
      <w:szCs w:val="32"/>
    </w:rPr>
  </w:style>
  <w:style w:type="character" w:customStyle="1" w:styleId="69">
    <w:name w:val="日期 字符"/>
    <w:basedOn w:val="46"/>
    <w:link w:val="24"/>
    <w:qFormat/>
    <w:uiPriority w:val="0"/>
    <w:rPr>
      <w:rFonts w:ascii="Times New Roman" w:hAnsi="Times New Roman" w:eastAsia="宋体" w:cs="Times New Roman"/>
      <w:kern w:val="0"/>
      <w:sz w:val="24"/>
      <w:szCs w:val="24"/>
    </w:rPr>
  </w:style>
  <w:style w:type="character" w:customStyle="1" w:styleId="70">
    <w:name w:val="正文文本首行缩进 字符"/>
    <w:basedOn w:val="66"/>
    <w:link w:val="43"/>
    <w:qFormat/>
    <w:uiPriority w:val="0"/>
    <w:rPr>
      <w:rFonts w:ascii="Times New Roman" w:hAnsi="Times New Roman" w:eastAsia="宋体" w:cs="Times New Roman"/>
      <w:kern w:val="0"/>
      <w:sz w:val="18"/>
      <w:szCs w:val="18"/>
    </w:rPr>
  </w:style>
  <w:style w:type="character" w:customStyle="1" w:styleId="71">
    <w:name w:val="正文文本 2 字符"/>
    <w:basedOn w:val="46"/>
    <w:link w:val="38"/>
    <w:qFormat/>
    <w:uiPriority w:val="0"/>
    <w:rPr>
      <w:rFonts w:ascii="Times New Roman" w:hAnsi="Times New Roman" w:eastAsia="宋体" w:cs="Times New Roman"/>
      <w:kern w:val="0"/>
      <w:sz w:val="18"/>
      <w:szCs w:val="18"/>
    </w:rPr>
  </w:style>
  <w:style w:type="character" w:customStyle="1" w:styleId="72">
    <w:name w:val="正文文本 3 字符"/>
    <w:basedOn w:val="46"/>
    <w:link w:val="17"/>
    <w:qFormat/>
    <w:uiPriority w:val="0"/>
    <w:rPr>
      <w:rFonts w:ascii="Times New Roman" w:hAnsi="Times New Roman" w:eastAsia="黑体" w:cs="Times New Roman"/>
      <w:sz w:val="44"/>
      <w:szCs w:val="24"/>
    </w:rPr>
  </w:style>
  <w:style w:type="character" w:customStyle="1" w:styleId="73">
    <w:name w:val="正文文本缩进 2 字符"/>
    <w:basedOn w:val="46"/>
    <w:link w:val="25"/>
    <w:qFormat/>
    <w:uiPriority w:val="0"/>
    <w:rPr>
      <w:rFonts w:ascii="Calibri" w:hAnsi="Calibri" w:eastAsia="宋体" w:cs="Times New Roman"/>
    </w:rPr>
  </w:style>
  <w:style w:type="character" w:customStyle="1" w:styleId="74">
    <w:name w:val="正文文本缩进 3 字符"/>
    <w:basedOn w:val="46"/>
    <w:link w:val="34"/>
    <w:qFormat/>
    <w:uiPriority w:val="0"/>
    <w:rPr>
      <w:rFonts w:ascii="宋体" w:hAnsi="宋体" w:eastAsia="宋体" w:cs="Times New Roman"/>
      <w:kern w:val="0"/>
      <w:sz w:val="28"/>
      <w:szCs w:val="28"/>
    </w:rPr>
  </w:style>
  <w:style w:type="character" w:customStyle="1" w:styleId="75">
    <w:name w:val="文档结构图 字符"/>
    <w:basedOn w:val="46"/>
    <w:link w:val="15"/>
    <w:qFormat/>
    <w:uiPriority w:val="0"/>
    <w:rPr>
      <w:rFonts w:ascii="Times New Roman" w:hAnsi="Times New Roman" w:eastAsia="宋体" w:cs="Times New Roman"/>
      <w:kern w:val="0"/>
      <w:sz w:val="18"/>
      <w:szCs w:val="18"/>
      <w:shd w:val="clear" w:color="auto" w:fill="000080"/>
    </w:rPr>
  </w:style>
  <w:style w:type="character" w:customStyle="1" w:styleId="76">
    <w:name w:val="纯文本 Char"/>
    <w:basedOn w:val="46"/>
    <w:qFormat/>
    <w:uiPriority w:val="0"/>
    <w:rPr>
      <w:rFonts w:ascii="宋体" w:hAnsi="Courier New" w:eastAsia="宋体" w:cs="Courier New"/>
      <w:szCs w:val="21"/>
    </w:rPr>
  </w:style>
  <w:style w:type="character" w:customStyle="1" w:styleId="77">
    <w:name w:val="批注主题 字符"/>
    <w:basedOn w:val="63"/>
    <w:link w:val="42"/>
    <w:qFormat/>
    <w:uiPriority w:val="99"/>
    <w:rPr>
      <w:rFonts w:ascii="Calibri" w:hAnsi="Calibri" w:eastAsia="宋体" w:cs="Times New Roman"/>
      <w:b/>
      <w:bCs/>
      <w:kern w:val="0"/>
      <w:sz w:val="18"/>
      <w:szCs w:val="18"/>
    </w:rPr>
  </w:style>
  <w:style w:type="character" w:customStyle="1" w:styleId="78">
    <w:name w:val="批注框文本 字符"/>
    <w:basedOn w:val="46"/>
    <w:link w:val="26"/>
    <w:qFormat/>
    <w:uiPriority w:val="99"/>
    <w:rPr>
      <w:rFonts w:ascii="Times New Roman" w:hAnsi="Times New Roman" w:eastAsia="宋体" w:cs="Times New Roman"/>
      <w:kern w:val="0"/>
      <w:sz w:val="18"/>
      <w:szCs w:val="18"/>
    </w:rPr>
  </w:style>
  <w:style w:type="paragraph" w:styleId="79">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0">
    <w:name w:val="列表段落 字符"/>
    <w:link w:val="81"/>
    <w:qFormat/>
    <w:locked/>
    <w:uiPriority w:val="34"/>
    <w:rPr>
      <w:rFonts w:ascii="Calibri" w:hAnsi="Calibri"/>
    </w:rPr>
  </w:style>
  <w:style w:type="paragraph" w:styleId="81">
    <w:name w:val="List Paragraph"/>
    <w:basedOn w:val="1"/>
    <w:link w:val="80"/>
    <w:qFormat/>
    <w:uiPriority w:val="34"/>
    <w:pPr>
      <w:ind w:firstLine="420" w:firstLineChars="200"/>
    </w:pPr>
    <w:rPr>
      <w:rFonts w:eastAsiaTheme="minorEastAsia" w:cstheme="minorBidi"/>
    </w:rPr>
  </w:style>
  <w:style w:type="character" w:customStyle="1" w:styleId="82">
    <w:name w:val="彩色列表 - 强调文字颜色 1 Char"/>
    <w:link w:val="83"/>
    <w:qFormat/>
    <w:locked/>
    <w:uiPriority w:val="0"/>
    <w:rPr>
      <w:rFonts w:ascii="Calibri" w:hAnsi="Calibri"/>
    </w:rPr>
  </w:style>
  <w:style w:type="paragraph" w:customStyle="1" w:styleId="83">
    <w:name w:val="彩色列表 - 强调文字颜色 11"/>
    <w:basedOn w:val="1"/>
    <w:link w:val="82"/>
    <w:qFormat/>
    <w:uiPriority w:val="0"/>
    <w:pPr>
      <w:ind w:firstLine="420" w:firstLineChars="200"/>
    </w:pPr>
    <w:rPr>
      <w:rFonts w:eastAsiaTheme="minorEastAsia" w:cstheme="minorBidi"/>
    </w:rPr>
  </w:style>
  <w:style w:type="paragraph" w:customStyle="1" w:styleId="84">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5">
    <w:name w:val="MM Title"/>
    <w:basedOn w:val="1"/>
    <w:qFormat/>
    <w:uiPriority w:val="0"/>
    <w:pPr>
      <w:spacing w:before="240" w:after="60"/>
      <w:jc w:val="center"/>
      <w:outlineLvl w:val="0"/>
    </w:pPr>
    <w:rPr>
      <w:rFonts w:ascii="Arial" w:hAnsi="Arial" w:cs="Arial"/>
      <w:b/>
      <w:bCs/>
      <w:sz w:val="32"/>
      <w:szCs w:val="32"/>
    </w:rPr>
  </w:style>
  <w:style w:type="paragraph" w:customStyle="1" w:styleId="86">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7">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8">
    <w:name w:val="gb_master正文"/>
    <w:basedOn w:val="1"/>
    <w:qFormat/>
    <w:uiPriority w:val="0"/>
    <w:pPr>
      <w:ind w:firstLine="200" w:firstLineChars="200"/>
    </w:pPr>
    <w:rPr>
      <w:rFonts w:ascii="Times New Roman" w:hAnsi="Times New Roman"/>
      <w:szCs w:val="24"/>
    </w:rPr>
  </w:style>
  <w:style w:type="paragraph" w:customStyle="1" w:styleId="89">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0">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1">
    <w:name w:val="Char2 Char Char Char"/>
    <w:basedOn w:val="1"/>
    <w:qFormat/>
    <w:uiPriority w:val="0"/>
    <w:rPr>
      <w:rFonts w:ascii="仿宋_GB2312" w:hAnsi="Times New Roman"/>
      <w:b/>
      <w:sz w:val="30"/>
      <w:szCs w:val="32"/>
    </w:rPr>
  </w:style>
  <w:style w:type="paragraph" w:customStyle="1" w:styleId="92">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3">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4">
    <w:name w:val="默认段落字体 Para Char"/>
    <w:basedOn w:val="1"/>
    <w:qFormat/>
    <w:uiPriority w:val="0"/>
    <w:rPr>
      <w:rFonts w:ascii="Tahoma" w:hAnsi="Tahoma"/>
      <w:sz w:val="24"/>
      <w:szCs w:val="20"/>
    </w:rPr>
  </w:style>
  <w:style w:type="paragraph" w:customStyle="1" w:styleId="95">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6">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7">
    <w:name w:val="样式 正文缩进 + (中文) 仿宋_GB2312 小四 Char"/>
    <w:basedOn w:val="13"/>
    <w:qFormat/>
    <w:uiPriority w:val="0"/>
    <w:pPr>
      <w:spacing w:after="0" w:line="360" w:lineRule="auto"/>
      <w:ind w:firstLine="480" w:firstLineChars="200"/>
    </w:pPr>
    <w:rPr>
      <w:rFonts w:ascii="宋体" w:hAnsi="宋体"/>
      <w:sz w:val="24"/>
      <w:szCs w:val="24"/>
    </w:rPr>
  </w:style>
  <w:style w:type="paragraph" w:customStyle="1" w:styleId="98">
    <w:name w:val="表格文字"/>
    <w:basedOn w:val="1"/>
    <w:qFormat/>
    <w:uiPriority w:val="0"/>
    <w:pPr>
      <w:spacing w:beforeLines="25"/>
    </w:pPr>
    <w:rPr>
      <w:rFonts w:ascii="Times New (W1)" w:hAnsi="Times New (W1)"/>
      <w:spacing w:val="10"/>
      <w:szCs w:val="24"/>
    </w:rPr>
  </w:style>
  <w:style w:type="paragraph" w:customStyle="1" w:styleId="99">
    <w:name w:val="文章正文"/>
    <w:basedOn w:val="1"/>
    <w:qFormat/>
    <w:uiPriority w:val="0"/>
    <w:pPr>
      <w:spacing w:line="360" w:lineRule="auto"/>
      <w:ind w:firstLine="420"/>
    </w:pPr>
    <w:rPr>
      <w:rFonts w:ascii="Times New Roman" w:hAnsi="Times New Roman"/>
      <w:sz w:val="24"/>
      <w:szCs w:val="24"/>
    </w:rPr>
  </w:style>
  <w:style w:type="paragraph" w:customStyle="1" w:styleId="100">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1">
    <w:name w:val="默认段落字体 Para Char Char"/>
    <w:basedOn w:val="1"/>
    <w:qFormat/>
    <w:uiPriority w:val="0"/>
    <w:rPr>
      <w:rFonts w:ascii="Times New Roman" w:hAnsi="Times New Roman"/>
      <w:szCs w:val="24"/>
    </w:rPr>
  </w:style>
  <w:style w:type="paragraph" w:customStyle="1" w:styleId="102">
    <w:name w:val="MM Topic 6"/>
    <w:basedOn w:val="8"/>
    <w:qFormat/>
    <w:uiPriority w:val="0"/>
    <w:pPr>
      <w:tabs>
        <w:tab w:val="left" w:pos="3260"/>
        <w:tab w:val="clear" w:pos="1702"/>
      </w:tabs>
      <w:ind w:left="0" w:firstLine="0"/>
    </w:pPr>
    <w:rPr>
      <w:rFonts w:eastAsia="黑体"/>
    </w:rPr>
  </w:style>
  <w:style w:type="paragraph" w:customStyle="1" w:styleId="103">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4">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5">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6">
    <w:name w:val="标题 5 + 首行缩进:  2 字符"/>
    <w:basedOn w:val="7"/>
    <w:next w:val="18"/>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7">
    <w:name w:val="Char2 Char Char Char Char Char Char"/>
    <w:basedOn w:val="1"/>
    <w:qFormat/>
    <w:uiPriority w:val="0"/>
    <w:rPr>
      <w:rFonts w:ascii="仿宋_GB2312" w:hAnsi="Times New Roman"/>
      <w:b/>
      <w:sz w:val="30"/>
      <w:szCs w:val="32"/>
    </w:rPr>
  </w:style>
  <w:style w:type="paragraph" w:customStyle="1" w:styleId="108">
    <w:name w:val="MM Topic 2"/>
    <w:basedOn w:val="4"/>
    <w:qFormat/>
    <w:uiPriority w:val="0"/>
    <w:pPr>
      <w:numPr>
        <w:ilvl w:val="0"/>
        <w:numId w:val="0"/>
      </w:numPr>
      <w:tabs>
        <w:tab w:val="left" w:pos="992"/>
      </w:tabs>
    </w:pPr>
    <w:rPr>
      <w:rFonts w:cs="Times New Roman"/>
    </w:rPr>
  </w:style>
  <w:style w:type="paragraph" w:customStyle="1" w:styleId="109">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10">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1">
    <w:name w:val="MM Topic 8"/>
    <w:basedOn w:val="10"/>
    <w:qFormat/>
    <w:uiPriority w:val="0"/>
    <w:pPr>
      <w:tabs>
        <w:tab w:val="left" w:pos="4394"/>
      </w:tabs>
    </w:pPr>
  </w:style>
  <w:style w:type="paragraph" w:customStyle="1" w:styleId="112">
    <w:name w:val="Char1 Char Char Char Char Char Char"/>
    <w:basedOn w:val="1"/>
    <w:qFormat/>
    <w:uiPriority w:val="0"/>
    <w:rPr>
      <w:rFonts w:ascii="Tahoma" w:hAnsi="Tahoma"/>
      <w:sz w:val="24"/>
      <w:szCs w:val="20"/>
    </w:rPr>
  </w:style>
  <w:style w:type="paragraph" w:customStyle="1" w:styleId="113">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4">
    <w:name w:val="样式 小四2"/>
    <w:basedOn w:val="1"/>
    <w:qFormat/>
    <w:uiPriority w:val="0"/>
    <w:rPr>
      <w:rFonts w:ascii="宋体" w:hAnsi="宋体"/>
      <w:sz w:val="24"/>
      <w:szCs w:val="24"/>
    </w:rPr>
  </w:style>
  <w:style w:type="paragraph" w:customStyle="1" w:styleId="115">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6">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7">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9">
    <w:name w:val="文章正文 Char Char1"/>
    <w:basedOn w:val="1"/>
    <w:qFormat/>
    <w:uiPriority w:val="0"/>
    <w:pPr>
      <w:spacing w:line="360" w:lineRule="auto"/>
      <w:ind w:firstLine="420"/>
    </w:pPr>
    <w:rPr>
      <w:rFonts w:ascii="Times New Roman" w:hAnsi="Times New Roman"/>
      <w:sz w:val="24"/>
      <w:szCs w:val="24"/>
    </w:rPr>
  </w:style>
  <w:style w:type="paragraph" w:customStyle="1" w:styleId="120">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1">
    <w:name w:val="样式"/>
    <w:link w:val="225"/>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2">
    <w:name w:val="图"/>
    <w:basedOn w:val="1"/>
    <w:qFormat/>
    <w:uiPriority w:val="0"/>
    <w:pPr>
      <w:widowControl/>
      <w:adjustRightInd w:val="0"/>
      <w:snapToGrid w:val="0"/>
      <w:jc w:val="center"/>
    </w:pPr>
    <w:rPr>
      <w:rFonts w:ascii="宋体" w:hAnsi="宋体"/>
      <w:bCs/>
      <w:szCs w:val="24"/>
    </w:rPr>
  </w:style>
  <w:style w:type="paragraph" w:customStyle="1" w:styleId="123">
    <w:name w:val="Char1 Char Char Char Char Char Char1"/>
    <w:basedOn w:val="1"/>
    <w:qFormat/>
    <w:uiPriority w:val="0"/>
    <w:rPr>
      <w:rFonts w:ascii="Tahoma" w:hAnsi="Tahoma"/>
      <w:sz w:val="24"/>
      <w:szCs w:val="20"/>
    </w:rPr>
  </w:style>
  <w:style w:type="paragraph" w:customStyle="1" w:styleId="124">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5">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6">
    <w:name w:val="MM Topic 1"/>
    <w:basedOn w:val="3"/>
    <w:qFormat/>
    <w:uiPriority w:val="0"/>
    <w:pPr>
      <w:tabs>
        <w:tab w:val="left" w:pos="425"/>
      </w:tabs>
    </w:pPr>
    <w:rPr>
      <w:rFonts w:cs="Times New Roman"/>
      <w:sz w:val="44"/>
    </w:rPr>
  </w:style>
  <w:style w:type="paragraph" w:customStyle="1" w:styleId="127">
    <w:name w:val="样式 标题 5 + 倾斜"/>
    <w:basedOn w:val="7"/>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8">
    <w:name w:val="我的正文"/>
    <w:basedOn w:val="1"/>
    <w:qFormat/>
    <w:uiPriority w:val="0"/>
    <w:pPr>
      <w:spacing w:line="360" w:lineRule="auto"/>
      <w:ind w:firstLine="420" w:firstLineChars="200"/>
    </w:pPr>
    <w:rPr>
      <w:rFonts w:ascii="宋体" w:hAnsi="宋体"/>
      <w:szCs w:val="24"/>
    </w:rPr>
  </w:style>
  <w:style w:type="paragraph" w:customStyle="1" w:styleId="129">
    <w:name w:val="MM Topic 7"/>
    <w:basedOn w:val="9"/>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0">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1">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2">
    <w:name w:val="论文正文"/>
    <w:basedOn w:val="1"/>
    <w:qFormat/>
    <w:uiPriority w:val="0"/>
    <w:pPr>
      <w:spacing w:line="360" w:lineRule="auto"/>
      <w:ind w:firstLine="700" w:firstLineChars="250"/>
    </w:pPr>
    <w:rPr>
      <w:rFonts w:ascii="宋体" w:hAnsi="宋体"/>
      <w:bCs/>
      <w:sz w:val="28"/>
      <w:szCs w:val="28"/>
    </w:rPr>
  </w:style>
  <w:style w:type="paragraph" w:customStyle="1" w:styleId="133">
    <w:name w:val="样式1"/>
    <w:basedOn w:val="1"/>
    <w:qFormat/>
    <w:uiPriority w:val="0"/>
    <w:rPr>
      <w:rFonts w:ascii="Times New Roman" w:hAnsi="Times New Roman" w:eastAsia="隶书"/>
      <w:i/>
      <w:dstrike/>
      <w:sz w:val="28"/>
      <w:szCs w:val="18"/>
    </w:rPr>
  </w:style>
  <w:style w:type="paragraph" w:customStyle="1" w:styleId="134">
    <w:name w:val="表格"/>
    <w:basedOn w:val="1"/>
    <w:qFormat/>
    <w:uiPriority w:val="0"/>
    <w:pPr>
      <w:spacing w:line="400" w:lineRule="exact"/>
    </w:pPr>
    <w:rPr>
      <w:rFonts w:ascii="Times New Roman" w:hAnsi="Times New Roman"/>
      <w:sz w:val="24"/>
      <w:szCs w:val="24"/>
    </w:rPr>
  </w:style>
  <w:style w:type="paragraph" w:customStyle="1" w:styleId="135">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6">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7">
    <w:name w:val="Char Char Char Char Char Char Char Char Char Char Char Char Char"/>
    <w:basedOn w:val="15"/>
    <w:qFormat/>
    <w:uiPriority w:val="0"/>
    <w:rPr>
      <w:rFonts w:ascii="Tahoma" w:hAnsi="Tahoma"/>
      <w:sz w:val="24"/>
      <w:szCs w:val="24"/>
    </w:rPr>
  </w:style>
  <w:style w:type="paragraph" w:customStyle="1" w:styleId="138">
    <w:name w:val="MM Topic 3"/>
    <w:basedOn w:val="5"/>
    <w:qFormat/>
    <w:uiPriority w:val="0"/>
    <w:pPr>
      <w:numPr>
        <w:ilvl w:val="0"/>
        <w:numId w:val="0"/>
      </w:numPr>
      <w:tabs>
        <w:tab w:val="left" w:pos="1418"/>
      </w:tabs>
    </w:pPr>
    <w:rPr>
      <w:rFonts w:cs="Times New Roman"/>
    </w:rPr>
  </w:style>
  <w:style w:type="paragraph" w:customStyle="1" w:styleId="139">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0">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1">
    <w:name w:val="Char Char Char Char"/>
    <w:basedOn w:val="1"/>
    <w:qFormat/>
    <w:uiPriority w:val="0"/>
    <w:rPr>
      <w:rFonts w:ascii="Tahoma" w:hAnsi="Tahoma"/>
      <w:sz w:val="24"/>
      <w:szCs w:val="20"/>
    </w:rPr>
  </w:style>
  <w:style w:type="paragraph" w:customStyle="1" w:styleId="142">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3">
    <w:name w:val="MM Topic 9"/>
    <w:basedOn w:val="11"/>
    <w:qFormat/>
    <w:uiPriority w:val="0"/>
    <w:pPr>
      <w:tabs>
        <w:tab w:val="left" w:pos="5102"/>
      </w:tabs>
    </w:pPr>
  </w:style>
  <w:style w:type="paragraph" w:customStyle="1" w:styleId="144">
    <w:name w:val="MM Topic 5"/>
    <w:basedOn w:val="7"/>
    <w:qFormat/>
    <w:uiPriority w:val="0"/>
    <w:pPr>
      <w:tabs>
        <w:tab w:val="left" w:pos="2551"/>
        <w:tab w:val="clear" w:pos="1134"/>
        <w:tab w:val="clear" w:pos="1560"/>
      </w:tabs>
      <w:ind w:left="0" w:firstLine="0"/>
    </w:pPr>
    <w:rPr>
      <w:rFonts w:cs="Times New Roman"/>
    </w:rPr>
  </w:style>
  <w:style w:type="paragraph" w:customStyle="1" w:styleId="145">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6">
    <w:name w:val="MM Topic 4"/>
    <w:basedOn w:val="6"/>
    <w:qFormat/>
    <w:uiPriority w:val="0"/>
    <w:pPr>
      <w:tabs>
        <w:tab w:val="left" w:pos="1984"/>
      </w:tabs>
      <w:ind w:left="0" w:firstLine="0"/>
    </w:pPr>
  </w:style>
  <w:style w:type="paragraph" w:customStyle="1" w:styleId="14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8">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49">
    <w:name w:val="样式 标题 2H2第一章 标题 2Heading 2 HiddenHeading 2 CCBSheading 2h2..."/>
    <w:basedOn w:val="4"/>
    <w:qFormat/>
    <w:uiPriority w:val="0"/>
    <w:pPr>
      <w:tabs>
        <w:tab w:val="left" w:pos="-2493"/>
      </w:tabs>
    </w:pPr>
    <w:rPr>
      <w:rFonts w:cs="Times New Roman"/>
      <w:szCs w:val="20"/>
    </w:rPr>
  </w:style>
  <w:style w:type="paragraph" w:customStyle="1" w:styleId="150">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1">
    <w:name w:val="列出段落2"/>
    <w:basedOn w:val="1"/>
    <w:qFormat/>
    <w:uiPriority w:val="0"/>
    <w:pPr>
      <w:ind w:firstLine="420" w:firstLineChars="200"/>
    </w:pPr>
  </w:style>
  <w:style w:type="paragraph" w:customStyle="1" w:styleId="152">
    <w:name w:val="列出段落4"/>
    <w:basedOn w:val="1"/>
    <w:qFormat/>
    <w:uiPriority w:val="34"/>
    <w:pPr>
      <w:ind w:firstLine="420" w:firstLineChars="200"/>
    </w:pPr>
    <w:rPr>
      <w:rFonts w:ascii="Times New Roman" w:hAnsi="Times New Roman"/>
      <w:szCs w:val="24"/>
    </w:rPr>
  </w:style>
  <w:style w:type="paragraph" w:customStyle="1" w:styleId="153">
    <w:name w:val="列出段落1"/>
    <w:basedOn w:val="1"/>
    <w:qFormat/>
    <w:uiPriority w:val="0"/>
    <w:pPr>
      <w:ind w:firstLine="420" w:firstLineChars="200"/>
    </w:pPr>
  </w:style>
  <w:style w:type="paragraph" w:customStyle="1" w:styleId="154">
    <w:name w:val="修订1"/>
    <w:qFormat/>
    <w:uiPriority w:val="99"/>
    <w:rPr>
      <w:rFonts w:ascii="Calibri" w:hAnsi="Calibri" w:eastAsia="宋体" w:cs="Times New Roman"/>
      <w:kern w:val="2"/>
      <w:sz w:val="21"/>
      <w:szCs w:val="22"/>
      <w:lang w:val="en-US" w:eastAsia="zh-CN" w:bidi="ar-SA"/>
    </w:rPr>
  </w:style>
  <w:style w:type="paragraph" w:customStyle="1" w:styleId="155">
    <w:name w:val="彩色列表 - 强调文字颜色 12"/>
    <w:basedOn w:val="1"/>
    <w:qFormat/>
    <w:uiPriority w:val="0"/>
    <w:pPr>
      <w:ind w:firstLine="420" w:firstLineChars="200"/>
    </w:pPr>
  </w:style>
  <w:style w:type="paragraph" w:customStyle="1" w:styleId="156">
    <w:name w:val="Default"/>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7">
    <w:name w:val="列出段落3"/>
    <w:basedOn w:val="1"/>
    <w:qFormat/>
    <w:uiPriority w:val="34"/>
    <w:pPr>
      <w:widowControl/>
      <w:ind w:firstLine="420" w:firstLineChars="200"/>
      <w:jc w:val="left"/>
    </w:pPr>
    <w:rPr>
      <w:rFonts w:ascii="Times New Roman" w:hAnsi="Times New Roman"/>
      <w:kern w:val="0"/>
      <w:sz w:val="24"/>
      <w:szCs w:val="24"/>
    </w:rPr>
  </w:style>
  <w:style w:type="paragraph" w:customStyle="1" w:styleId="158">
    <w:name w:val="列项——（一级）"/>
    <w:qFormat/>
    <w:uiPriority w:val="0"/>
    <w:pPr>
      <w:widowControl w:val="0"/>
      <w:numPr>
        <w:ilvl w:val="0"/>
        <w:numId w:val="4"/>
      </w:numPr>
      <w:jc w:val="both"/>
    </w:pPr>
    <w:rPr>
      <w:rFonts w:ascii="宋体" w:hAnsi="Times New Roman" w:eastAsia="宋体" w:cs="Times New Roman"/>
      <w:sz w:val="21"/>
      <w:lang w:val="en-US" w:eastAsia="zh-CN" w:bidi="ar-SA"/>
    </w:rPr>
  </w:style>
  <w:style w:type="character" w:customStyle="1" w:styleId="159">
    <w:name w:val="0-CD Char"/>
    <w:link w:val="160"/>
    <w:qFormat/>
    <w:locked/>
    <w:uiPriority w:val="0"/>
    <w:rPr>
      <w:rFonts w:ascii="宋体" w:hAnsi="宋体" w:eastAsia="宋体"/>
      <w:sz w:val="28"/>
      <w:szCs w:val="24"/>
    </w:rPr>
  </w:style>
  <w:style w:type="paragraph" w:customStyle="1" w:styleId="160">
    <w:name w:val="0-CD"/>
    <w:basedOn w:val="1"/>
    <w:link w:val="159"/>
    <w:qFormat/>
    <w:uiPriority w:val="0"/>
    <w:pPr>
      <w:spacing w:line="360" w:lineRule="auto"/>
      <w:ind w:firstLine="708" w:firstLineChars="253"/>
      <w:jc w:val="left"/>
    </w:pPr>
    <w:rPr>
      <w:rFonts w:ascii="宋体" w:hAnsi="宋体" w:cstheme="minorBidi"/>
      <w:sz w:val="28"/>
      <w:szCs w:val="24"/>
    </w:rPr>
  </w:style>
  <w:style w:type="character" w:customStyle="1" w:styleId="161">
    <w:name w:val="Char Char8"/>
    <w:qFormat/>
    <w:uiPriority w:val="0"/>
    <w:rPr>
      <w:rFonts w:hint="eastAsia" w:ascii="宋体" w:hAnsi="宋体" w:eastAsia="宋体"/>
      <w:kern w:val="2"/>
      <w:sz w:val="28"/>
      <w:szCs w:val="28"/>
    </w:rPr>
  </w:style>
  <w:style w:type="character" w:customStyle="1" w:styleId="162">
    <w:name w:val="Char Char5"/>
    <w:qFormat/>
    <w:uiPriority w:val="0"/>
    <w:rPr>
      <w:kern w:val="2"/>
      <w:sz w:val="21"/>
      <w:szCs w:val="24"/>
    </w:rPr>
  </w:style>
  <w:style w:type="character" w:customStyle="1" w:styleId="163">
    <w:name w:val="列出段落 Char Char"/>
    <w:qFormat/>
    <w:uiPriority w:val="0"/>
    <w:rPr>
      <w:rFonts w:hint="default" w:ascii="Calibri" w:hAnsi="Calibri" w:cs="Calibri"/>
      <w:kern w:val="2"/>
      <w:sz w:val="21"/>
      <w:szCs w:val="22"/>
    </w:rPr>
  </w:style>
  <w:style w:type="character" w:customStyle="1" w:styleId="164">
    <w:name w:val="正文文本 Char Char"/>
    <w:qFormat/>
    <w:uiPriority w:val="0"/>
    <w:rPr>
      <w:kern w:val="2"/>
      <w:sz w:val="21"/>
      <w:szCs w:val="24"/>
    </w:rPr>
  </w:style>
  <w:style w:type="character" w:customStyle="1" w:styleId="165">
    <w:name w:val="Char Char11"/>
    <w:qFormat/>
    <w:uiPriority w:val="0"/>
    <w:rPr>
      <w:rFonts w:hint="default" w:ascii="Arial Narrow" w:hAnsi="Arial Narrow"/>
      <w:b/>
      <w:bCs/>
      <w:iCs/>
      <w:szCs w:val="24"/>
      <w:lang w:eastAsia="en-US"/>
    </w:rPr>
  </w:style>
  <w:style w:type="character" w:customStyle="1" w:styleId="166">
    <w:name w:val="标书（正文） Char Char"/>
    <w:qFormat/>
    <w:uiPriority w:val="0"/>
    <w:rPr>
      <w:rFonts w:hint="eastAsia" w:ascii="宋体" w:hAnsi="宋体" w:eastAsia="宋体"/>
      <w:b/>
      <w:kern w:val="10"/>
      <w:sz w:val="21"/>
      <w:szCs w:val="21"/>
      <w:lang w:val="en-US" w:eastAsia="zh-CN" w:bidi="ar-SA"/>
    </w:rPr>
  </w:style>
  <w:style w:type="character" w:customStyle="1" w:styleId="167">
    <w:name w:val="line2"/>
    <w:basedOn w:val="46"/>
    <w:qFormat/>
    <w:uiPriority w:val="0"/>
  </w:style>
  <w:style w:type="character" w:customStyle="1" w:styleId="168">
    <w:name w:val="Char Char10"/>
    <w:qFormat/>
    <w:uiPriority w:val="0"/>
    <w:rPr>
      <w:kern w:val="2"/>
      <w:sz w:val="24"/>
      <w:szCs w:val="24"/>
    </w:rPr>
  </w:style>
  <w:style w:type="character" w:customStyle="1" w:styleId="169">
    <w:name w:val="MM Topic 4 Char Char"/>
    <w:qFormat/>
    <w:uiPriority w:val="0"/>
    <w:rPr>
      <w:rFonts w:hint="default" w:ascii="Arial" w:hAnsi="Arial" w:cs="Arial"/>
      <w:b/>
      <w:bCs/>
      <w:kern w:val="2"/>
      <w:sz w:val="28"/>
      <w:szCs w:val="28"/>
    </w:rPr>
  </w:style>
  <w:style w:type="character" w:customStyle="1" w:styleId="170">
    <w:name w:val="标书正文:  0.74 厘米 Char Char"/>
    <w:qFormat/>
    <w:uiPriority w:val="0"/>
    <w:rPr>
      <w:kern w:val="2"/>
      <w:sz w:val="24"/>
    </w:rPr>
  </w:style>
  <w:style w:type="character" w:customStyle="1" w:styleId="171">
    <w:name w:val="访问过的超链接1"/>
    <w:qFormat/>
    <w:uiPriority w:val="99"/>
    <w:rPr>
      <w:color w:val="800080"/>
      <w:u w:val="single"/>
    </w:rPr>
  </w:style>
  <w:style w:type="character" w:customStyle="1" w:styleId="172">
    <w:name w:val="标题 3 Char Char Char"/>
    <w:qFormat/>
    <w:uiPriority w:val="0"/>
    <w:rPr>
      <w:rFonts w:hint="eastAsia" w:ascii="宋体" w:hAnsi="宋体" w:eastAsia="宋体"/>
      <w:b/>
      <w:kern w:val="2"/>
      <w:sz w:val="32"/>
      <w:lang w:val="en-US" w:eastAsia="zh-CN" w:bidi="ar-SA"/>
    </w:rPr>
  </w:style>
  <w:style w:type="character" w:customStyle="1" w:styleId="173">
    <w:name w:val="（符号）邀请函中一、"/>
    <w:qFormat/>
    <w:uiPriority w:val="0"/>
    <w:rPr>
      <w:rFonts w:hint="eastAsia" w:ascii="黑体" w:hAnsi="黑体" w:eastAsia="黑体"/>
      <w:b/>
      <w:bCs/>
      <w:sz w:val="24"/>
    </w:rPr>
  </w:style>
  <w:style w:type="character" w:customStyle="1" w:styleId="174">
    <w:name w:val="tt Char"/>
    <w:qFormat/>
    <w:uiPriority w:val="0"/>
    <w:rPr>
      <w:rFonts w:hint="default" w:ascii="Arial" w:hAnsi="Arial" w:eastAsia="黑体" w:cs="Arial"/>
      <w:kern w:val="2"/>
      <w:sz w:val="21"/>
      <w:szCs w:val="21"/>
    </w:rPr>
  </w:style>
  <w:style w:type="character" w:customStyle="1" w:styleId="175">
    <w:name w:val="Char Char9"/>
    <w:qFormat/>
    <w:uiPriority w:val="0"/>
    <w:rPr>
      <w:kern w:val="2"/>
      <w:sz w:val="18"/>
      <w:szCs w:val="18"/>
    </w:rPr>
  </w:style>
  <w:style w:type="character" w:customStyle="1" w:styleId="176">
    <w:name w:val="MM Topic 3 Char Char"/>
    <w:qFormat/>
    <w:uiPriority w:val="0"/>
    <w:rPr>
      <w:rFonts w:hint="eastAsia" w:ascii="宋体" w:hAnsi="宋体" w:eastAsia="宋体"/>
      <w:b/>
      <w:bCs/>
      <w:color w:val="000000"/>
      <w:kern w:val="2"/>
      <w:sz w:val="28"/>
      <w:szCs w:val="28"/>
    </w:rPr>
  </w:style>
  <w:style w:type="character" w:customStyle="1" w:styleId="177">
    <w:name w:val="样式 小四2 Char Char"/>
    <w:qFormat/>
    <w:uiPriority w:val="0"/>
    <w:rPr>
      <w:rFonts w:hint="eastAsia" w:ascii="宋体" w:hAnsi="宋体" w:eastAsia="宋体"/>
      <w:kern w:val="2"/>
      <w:sz w:val="24"/>
      <w:szCs w:val="24"/>
    </w:rPr>
  </w:style>
  <w:style w:type="character" w:customStyle="1" w:styleId="178">
    <w:name w:val="Char Char7"/>
    <w:qFormat/>
    <w:uiPriority w:val="0"/>
    <w:rPr>
      <w:kern w:val="2"/>
      <w:sz w:val="18"/>
      <w:szCs w:val="18"/>
    </w:rPr>
  </w:style>
  <w:style w:type="character" w:customStyle="1" w:styleId="179">
    <w:name w:val="Char Char3"/>
    <w:qFormat/>
    <w:uiPriority w:val="0"/>
    <w:rPr>
      <w:b/>
      <w:bCs/>
      <w:kern w:val="2"/>
      <w:sz w:val="18"/>
      <w:szCs w:val="18"/>
    </w:rPr>
  </w:style>
  <w:style w:type="character" w:customStyle="1" w:styleId="180">
    <w:name w:val="apple-style-span"/>
    <w:basedOn w:val="46"/>
    <w:qFormat/>
    <w:uiPriority w:val="0"/>
  </w:style>
  <w:style w:type="character" w:customStyle="1" w:styleId="181">
    <w:name w:val="Char Char4"/>
    <w:qFormat/>
    <w:uiPriority w:val="0"/>
    <w:rPr>
      <w:kern w:val="2"/>
      <w:sz w:val="18"/>
      <w:szCs w:val="18"/>
    </w:rPr>
  </w:style>
  <w:style w:type="character" w:customStyle="1" w:styleId="182">
    <w:name w:val="副标题 Char1"/>
    <w:qFormat/>
    <w:uiPriority w:val="11"/>
    <w:rPr>
      <w:rFonts w:hint="default" w:ascii="Cambria" w:hAnsi="Cambria" w:cs="Times New Roman"/>
      <w:b/>
      <w:bCs/>
      <w:kern w:val="28"/>
      <w:sz w:val="32"/>
      <w:szCs w:val="32"/>
    </w:rPr>
  </w:style>
  <w:style w:type="character" w:customStyle="1" w:styleId="183">
    <w:name w:val="small"/>
    <w:basedOn w:val="46"/>
    <w:qFormat/>
    <w:uiPriority w:val="0"/>
  </w:style>
  <w:style w:type="character" w:customStyle="1" w:styleId="184">
    <w:name w:val="Legal Level 1.1.1. Char"/>
    <w:qFormat/>
    <w:uiPriority w:val="0"/>
    <w:rPr>
      <w:rFonts w:hint="default" w:ascii="Arial" w:hAnsi="Arial" w:eastAsia="黑体" w:cs="Arial"/>
      <w:kern w:val="2"/>
      <w:sz w:val="24"/>
      <w:szCs w:val="24"/>
    </w:rPr>
  </w:style>
  <w:style w:type="character" w:customStyle="1" w:styleId="185">
    <w:name w:val="文章正文 Char Char"/>
    <w:qFormat/>
    <w:uiPriority w:val="0"/>
    <w:rPr>
      <w:rFonts w:hint="eastAsia" w:ascii="宋体" w:hAnsi="宋体" w:eastAsia="宋体"/>
      <w:kern w:val="2"/>
      <w:sz w:val="24"/>
      <w:szCs w:val="24"/>
      <w:lang w:val="en-US" w:eastAsia="zh-CN" w:bidi="ar-SA"/>
    </w:rPr>
  </w:style>
  <w:style w:type="character" w:customStyle="1" w:styleId="186">
    <w:name w:val="正文文本 Char1"/>
    <w:qFormat/>
    <w:uiPriority w:val="0"/>
    <w:rPr>
      <w:rFonts w:hint="default" w:ascii="Times New Roman" w:hAnsi="Times New Roman" w:eastAsia="宋体" w:cs="Times New Roman"/>
      <w:kern w:val="0"/>
      <w:sz w:val="18"/>
      <w:szCs w:val="18"/>
    </w:rPr>
  </w:style>
  <w:style w:type="character" w:customStyle="1" w:styleId="187">
    <w:name w:val="正文文本 字符"/>
    <w:basedOn w:val="46"/>
    <w:link w:val="2"/>
    <w:qFormat/>
    <w:locked/>
    <w:uiPriority w:val="0"/>
    <w:rPr>
      <w:rFonts w:ascii="Calibri" w:hAnsi="Calibri" w:eastAsia="宋体" w:cs="Times New Roman"/>
    </w:rPr>
  </w:style>
  <w:style w:type="character" w:customStyle="1" w:styleId="188">
    <w:name w:val="CD正文 Char Char"/>
    <w:qFormat/>
    <w:uiPriority w:val="0"/>
    <w:rPr>
      <w:rFonts w:hint="eastAsia" w:ascii="宋体" w:hAnsi="宋体" w:eastAsia="宋体"/>
      <w:kern w:val="2"/>
      <w:sz w:val="30"/>
      <w:szCs w:val="28"/>
      <w:lang w:val="en-US" w:eastAsia="zh-CN" w:bidi="ar-SA"/>
    </w:rPr>
  </w:style>
  <w:style w:type="character" w:customStyle="1" w:styleId="189">
    <w:name w:val="Char Char2"/>
    <w:qFormat/>
    <w:uiPriority w:val="0"/>
    <w:rPr>
      <w:kern w:val="2"/>
      <w:sz w:val="18"/>
      <w:szCs w:val="18"/>
    </w:rPr>
  </w:style>
  <w:style w:type="character" w:customStyle="1" w:styleId="190">
    <w:name w:val="标题 1 Char1"/>
    <w:qFormat/>
    <w:uiPriority w:val="0"/>
    <w:rPr>
      <w:b/>
      <w:bCs/>
      <w:kern w:val="44"/>
      <w:sz w:val="44"/>
      <w:szCs w:val="44"/>
    </w:rPr>
  </w:style>
  <w:style w:type="character" w:customStyle="1" w:styleId="191">
    <w:name w:val="表正文 Char1"/>
    <w:qFormat/>
    <w:uiPriority w:val="0"/>
    <w:rPr>
      <w:rFonts w:hint="eastAsia" w:ascii="宋体" w:hAnsi="宋体" w:eastAsia="宋体"/>
      <w:kern w:val="2"/>
      <w:sz w:val="21"/>
      <w:lang w:val="en-US" w:eastAsia="zh-CN" w:bidi="ar-SA"/>
    </w:rPr>
  </w:style>
  <w:style w:type="character" w:customStyle="1" w:styleId="192">
    <w:name w:val="纯文本 字符"/>
    <w:link w:val="22"/>
    <w:qFormat/>
    <w:locked/>
    <w:uiPriority w:val="0"/>
    <w:rPr>
      <w:rFonts w:ascii="宋体" w:hAnsi="Courier New" w:eastAsia="宋体" w:cs="Times New Roman"/>
      <w:kern w:val="0"/>
      <w:sz w:val="20"/>
      <w:szCs w:val="18"/>
    </w:rPr>
  </w:style>
  <w:style w:type="character" w:customStyle="1" w:styleId="193">
    <w:name w:val="Char Char Char"/>
    <w:qFormat/>
    <w:uiPriority w:val="0"/>
    <w:rPr>
      <w:rFonts w:hint="eastAsia" w:ascii="宋体" w:hAnsi="宋体" w:eastAsia="宋体"/>
      <w:kern w:val="2"/>
      <w:sz w:val="18"/>
      <w:szCs w:val="18"/>
      <w:lang w:val="en-US" w:eastAsia="zh-CN" w:bidi="ar-SA"/>
    </w:rPr>
  </w:style>
  <w:style w:type="character" w:customStyle="1" w:styleId="194">
    <w:name w:val="Char Char6"/>
    <w:qFormat/>
    <w:uiPriority w:val="0"/>
    <w:rPr>
      <w:kern w:val="2"/>
      <w:sz w:val="21"/>
      <w:szCs w:val="24"/>
    </w:rPr>
  </w:style>
  <w:style w:type="character" w:customStyle="1" w:styleId="195">
    <w:name w:val="正文缩进 Char"/>
    <w:qFormat/>
    <w:uiPriority w:val="0"/>
    <w:rPr>
      <w:kern w:val="2"/>
      <w:sz w:val="21"/>
      <w:lang w:val="zh-CN" w:eastAsia="zh-CN"/>
    </w:rPr>
  </w:style>
  <w:style w:type="character" w:customStyle="1" w:styleId="196">
    <w:name w:val="font11"/>
    <w:basedOn w:val="46"/>
    <w:qFormat/>
    <w:uiPriority w:val="0"/>
    <w:rPr>
      <w:rFonts w:hint="eastAsia" w:ascii="宋体" w:hAnsi="宋体" w:eastAsia="宋体" w:cs="宋体"/>
      <w:b/>
      <w:color w:val="000000"/>
      <w:sz w:val="22"/>
      <w:szCs w:val="22"/>
      <w:u w:val="none"/>
    </w:rPr>
  </w:style>
  <w:style w:type="character" w:customStyle="1" w:styleId="197">
    <w:name w:val="font01"/>
    <w:basedOn w:val="46"/>
    <w:qFormat/>
    <w:uiPriority w:val="0"/>
    <w:rPr>
      <w:rFonts w:hint="eastAsia" w:ascii="宋体" w:hAnsi="宋体" w:eastAsia="宋体" w:cs="宋体"/>
      <w:color w:val="000000"/>
      <w:sz w:val="22"/>
      <w:szCs w:val="22"/>
      <w:u w:val="none"/>
    </w:rPr>
  </w:style>
  <w:style w:type="character" w:customStyle="1" w:styleId="198">
    <w:name w:val="页脚 Char1"/>
    <w:basedOn w:val="46"/>
    <w:qFormat/>
    <w:uiPriority w:val="99"/>
    <w:rPr>
      <w:sz w:val="18"/>
      <w:szCs w:val="18"/>
    </w:rPr>
  </w:style>
  <w:style w:type="character" w:customStyle="1" w:styleId="199">
    <w:name w:val="批注文字 Char2"/>
    <w:qFormat/>
    <w:uiPriority w:val="0"/>
    <w:rPr>
      <w:rFonts w:hint="eastAsia" w:ascii="宋体" w:hAnsi="宋体" w:eastAsia="宋体"/>
      <w:sz w:val="18"/>
      <w:szCs w:val="18"/>
    </w:rPr>
  </w:style>
  <w:style w:type="character" w:customStyle="1" w:styleId="200">
    <w:name w:val="列出段落 Char1"/>
    <w:qFormat/>
    <w:uiPriority w:val="34"/>
    <w:rPr>
      <w:rFonts w:hint="default" w:ascii="Calibri" w:hAnsi="Calibri"/>
      <w:kern w:val="2"/>
      <w:sz w:val="21"/>
      <w:szCs w:val="22"/>
    </w:rPr>
  </w:style>
  <w:style w:type="paragraph" w:customStyle="1" w:styleId="201">
    <w:name w:val="CD正文"/>
    <w:basedOn w:val="99"/>
    <w:qFormat/>
    <w:uiPriority w:val="0"/>
  </w:style>
  <w:style w:type="paragraph" w:customStyle="1" w:styleId="202">
    <w:name w:val="项目符号：一级"/>
    <w:basedOn w:val="86"/>
    <w:next w:val="86"/>
    <w:qFormat/>
    <w:uiPriority w:val="0"/>
  </w:style>
  <w:style w:type="paragraph" w:customStyle="1" w:styleId="203">
    <w:name w:val="修订2"/>
    <w:semiHidden/>
    <w:qFormat/>
    <w:uiPriority w:val="99"/>
    <w:rPr>
      <w:rFonts w:ascii="Calibri" w:hAnsi="Calibri" w:eastAsia="宋体" w:cs="Times New Roman"/>
      <w:kern w:val="2"/>
      <w:sz w:val="21"/>
      <w:szCs w:val="22"/>
      <w:lang w:val="en-US" w:eastAsia="zh-CN" w:bidi="ar-SA"/>
    </w:rPr>
  </w:style>
  <w:style w:type="paragraph" w:customStyle="1" w:styleId="204">
    <w:name w:val="修订21"/>
    <w:semiHidden/>
    <w:qFormat/>
    <w:uiPriority w:val="99"/>
    <w:rPr>
      <w:rFonts w:ascii="Calibri" w:hAnsi="Calibri" w:eastAsia="宋体" w:cs="Times New Roman"/>
      <w:kern w:val="2"/>
      <w:sz w:val="21"/>
      <w:szCs w:val="22"/>
      <w:lang w:val="en-US" w:eastAsia="zh-CN" w:bidi="ar-SA"/>
    </w:rPr>
  </w:style>
  <w:style w:type="paragraph" w:customStyle="1" w:styleId="205">
    <w:name w:val="List Paragraph1"/>
    <w:basedOn w:val="1"/>
    <w:semiHidden/>
    <w:qFormat/>
    <w:uiPriority w:val="0"/>
    <w:pPr>
      <w:ind w:firstLine="420" w:firstLineChars="200"/>
    </w:pPr>
    <w:rPr>
      <w:rFonts w:ascii="Times New Roman" w:hAnsi="Times New Roman"/>
      <w:szCs w:val="24"/>
    </w:rPr>
  </w:style>
  <w:style w:type="paragraph" w:customStyle="1" w:styleId="206">
    <w:name w:val="修订3"/>
    <w:semiHidden/>
    <w:qFormat/>
    <w:uiPriority w:val="99"/>
    <w:rPr>
      <w:rFonts w:ascii="Calibri" w:hAnsi="Calibri" w:eastAsia="宋体" w:cs="Times New Roman"/>
      <w:kern w:val="2"/>
      <w:sz w:val="21"/>
      <w:szCs w:val="22"/>
      <w:lang w:val="en-US" w:eastAsia="zh-CN" w:bidi="ar-SA"/>
    </w:rPr>
  </w:style>
  <w:style w:type="paragraph" w:customStyle="1" w:styleId="207">
    <w:name w:val="Normal Indent1"/>
    <w:basedOn w:val="1"/>
    <w:semiHidden/>
    <w:qFormat/>
    <w:uiPriority w:val="99"/>
    <w:pPr>
      <w:spacing w:line="360" w:lineRule="auto"/>
      <w:ind w:firstLine="200" w:firstLineChars="200"/>
    </w:pPr>
    <w:rPr>
      <w:sz w:val="24"/>
      <w:szCs w:val="24"/>
    </w:rPr>
  </w:style>
  <w:style w:type="character" w:styleId="208">
    <w:name w:val="Placeholder Text"/>
    <w:basedOn w:val="46"/>
    <w:semiHidden/>
    <w:qFormat/>
    <w:uiPriority w:val="99"/>
    <w:rPr>
      <w:color w:val="808080"/>
    </w:rPr>
  </w:style>
  <w:style w:type="character" w:customStyle="1" w:styleId="209">
    <w:name w:val="font61"/>
    <w:qFormat/>
    <w:uiPriority w:val="0"/>
    <w:rPr>
      <w:rFonts w:hint="eastAsia" w:ascii="仿宋_GB2312" w:eastAsia="仿宋_GB2312" w:cs="仿宋_GB2312"/>
      <w:color w:val="000000"/>
      <w:sz w:val="24"/>
      <w:szCs w:val="24"/>
      <w:u w:val="none"/>
    </w:rPr>
  </w:style>
  <w:style w:type="character" w:customStyle="1" w:styleId="210">
    <w:name w:val="日期 Char1"/>
    <w:basedOn w:val="46"/>
    <w:semiHidden/>
    <w:qFormat/>
    <w:uiPriority w:val="99"/>
    <w:rPr>
      <w:rFonts w:hint="default" w:ascii="Calibri" w:hAnsi="Calibri" w:eastAsia="宋体" w:cs="Times New Roman"/>
    </w:rPr>
  </w:style>
  <w:style w:type="character" w:customStyle="1" w:styleId="211">
    <w:name w:val="副标题 Char2"/>
    <w:basedOn w:val="46"/>
    <w:qFormat/>
    <w:uiPriority w:val="11"/>
    <w:rPr>
      <w:rFonts w:hint="default" w:eastAsia="宋体" w:asciiTheme="majorHAnsi" w:hAnsiTheme="majorHAnsi" w:cstheme="majorBidi"/>
      <w:b/>
      <w:bCs/>
      <w:kern w:val="28"/>
      <w:sz w:val="32"/>
      <w:szCs w:val="32"/>
    </w:rPr>
  </w:style>
  <w:style w:type="character" w:customStyle="1" w:styleId="212">
    <w:name w:val="正文文本缩进 3 Char1"/>
    <w:basedOn w:val="46"/>
    <w:semiHidden/>
    <w:qFormat/>
    <w:uiPriority w:val="99"/>
    <w:rPr>
      <w:rFonts w:hint="default" w:ascii="Calibri" w:hAnsi="Calibri" w:eastAsia="宋体" w:cs="Times New Roman"/>
      <w:sz w:val="16"/>
      <w:szCs w:val="16"/>
    </w:rPr>
  </w:style>
  <w:style w:type="character" w:customStyle="1" w:styleId="213">
    <w:name w:val="批注框文本 Char1"/>
    <w:basedOn w:val="46"/>
    <w:semiHidden/>
    <w:qFormat/>
    <w:uiPriority w:val="99"/>
    <w:rPr>
      <w:rFonts w:hint="default" w:ascii="Calibri" w:hAnsi="Calibri" w:eastAsia="宋体" w:cs="Times New Roman"/>
      <w:sz w:val="18"/>
      <w:szCs w:val="18"/>
    </w:rPr>
  </w:style>
  <w:style w:type="character" w:customStyle="1" w:styleId="214">
    <w:name w:val="纯文本 Char2"/>
    <w:basedOn w:val="46"/>
    <w:qFormat/>
    <w:uiPriority w:val="99"/>
    <w:rPr>
      <w:rFonts w:hint="eastAsia" w:ascii="宋体" w:hAnsi="Courier New" w:eastAsia="宋体" w:cs="Courier New"/>
      <w:szCs w:val="21"/>
    </w:rPr>
  </w:style>
  <w:style w:type="character" w:customStyle="1" w:styleId="215">
    <w:name w:val="正文文本缩进 2 Char1"/>
    <w:basedOn w:val="46"/>
    <w:semiHidden/>
    <w:qFormat/>
    <w:uiPriority w:val="99"/>
    <w:rPr>
      <w:rFonts w:hint="default" w:ascii="Calibri" w:hAnsi="Calibri" w:eastAsia="宋体" w:cs="Times New Roman"/>
    </w:rPr>
  </w:style>
  <w:style w:type="character" w:customStyle="1" w:styleId="216">
    <w:name w:val="正文文本缩进 Char1"/>
    <w:basedOn w:val="46"/>
    <w:semiHidden/>
    <w:qFormat/>
    <w:uiPriority w:val="99"/>
    <w:rPr>
      <w:rFonts w:hint="default" w:ascii="Calibri" w:hAnsi="Calibri" w:eastAsia="宋体" w:cs="Times New Roman"/>
    </w:rPr>
  </w:style>
  <w:style w:type="character" w:customStyle="1" w:styleId="217">
    <w:name w:val="正文文本 2 Char1"/>
    <w:basedOn w:val="46"/>
    <w:semiHidden/>
    <w:qFormat/>
    <w:uiPriority w:val="99"/>
    <w:rPr>
      <w:rFonts w:hint="default" w:ascii="Calibri" w:hAnsi="Calibri" w:eastAsia="宋体" w:cs="Times New Roman"/>
    </w:rPr>
  </w:style>
  <w:style w:type="character" w:customStyle="1" w:styleId="218">
    <w:name w:val="正文文本 Char3"/>
    <w:basedOn w:val="46"/>
    <w:qFormat/>
    <w:locked/>
    <w:uiPriority w:val="0"/>
    <w:rPr>
      <w:rFonts w:ascii="Calibri" w:hAnsi="Calibri" w:eastAsia="宋体"/>
      <w:kern w:val="2"/>
      <w:sz w:val="21"/>
      <w:szCs w:val="22"/>
    </w:rPr>
  </w:style>
  <w:style w:type="character" w:customStyle="1" w:styleId="219">
    <w:name w:val="正文首行缩进 Char1"/>
    <w:basedOn w:val="218"/>
    <w:semiHidden/>
    <w:qFormat/>
    <w:uiPriority w:val="99"/>
    <w:rPr>
      <w:rFonts w:ascii="Calibri" w:hAnsi="Calibri" w:eastAsia="宋体"/>
      <w:kern w:val="2"/>
      <w:sz w:val="21"/>
      <w:szCs w:val="22"/>
    </w:rPr>
  </w:style>
  <w:style w:type="character" w:customStyle="1" w:styleId="220">
    <w:name w:val="批注文字 Char1"/>
    <w:basedOn w:val="46"/>
    <w:semiHidden/>
    <w:qFormat/>
    <w:uiPriority w:val="0"/>
    <w:rPr>
      <w:rFonts w:hint="default" w:ascii="Calibri" w:hAnsi="Calibri" w:eastAsia="宋体" w:cs="Times New Roman"/>
    </w:rPr>
  </w:style>
  <w:style w:type="character" w:customStyle="1" w:styleId="221">
    <w:name w:val="正文文本 3 Char1"/>
    <w:basedOn w:val="46"/>
    <w:semiHidden/>
    <w:qFormat/>
    <w:uiPriority w:val="99"/>
    <w:rPr>
      <w:rFonts w:hint="default" w:ascii="Calibri" w:hAnsi="Calibri" w:eastAsia="宋体" w:cs="Times New Roman"/>
      <w:sz w:val="16"/>
      <w:szCs w:val="16"/>
    </w:rPr>
  </w:style>
  <w:style w:type="character" w:customStyle="1" w:styleId="222">
    <w:name w:val="文档结构图 Char1"/>
    <w:basedOn w:val="46"/>
    <w:semiHidden/>
    <w:qFormat/>
    <w:uiPriority w:val="99"/>
    <w:rPr>
      <w:rFonts w:hint="eastAsia" w:ascii="宋体" w:hAnsi="Calibri" w:eastAsia="宋体" w:cs="Times New Roman"/>
      <w:sz w:val="18"/>
      <w:szCs w:val="18"/>
    </w:rPr>
  </w:style>
  <w:style w:type="character" w:customStyle="1" w:styleId="223">
    <w:name w:val="font21"/>
    <w:qFormat/>
    <w:uiPriority w:val="0"/>
    <w:rPr>
      <w:rFonts w:hint="eastAsia" w:ascii="仿宋_GB2312" w:eastAsia="仿宋_GB2312" w:cs="仿宋_GB2312"/>
      <w:color w:val="000000"/>
      <w:sz w:val="24"/>
      <w:szCs w:val="24"/>
      <w:u w:val="none"/>
    </w:rPr>
  </w:style>
  <w:style w:type="paragraph" w:customStyle="1" w:styleId="224">
    <w:name w:val="正文_58"/>
    <w:qFormat/>
    <w:uiPriority w:val="0"/>
    <w:pPr>
      <w:widowControl w:val="0"/>
      <w:jc w:val="both"/>
    </w:pPr>
    <w:rPr>
      <w:rFonts w:ascii="Calibri" w:hAnsi="Calibri" w:eastAsia="宋体" w:cs="Times New Roman"/>
      <w:kern w:val="2"/>
      <w:sz w:val="21"/>
      <w:szCs w:val="22"/>
      <w:lang w:val="en-US" w:eastAsia="zh-CN" w:bidi="ar-SA"/>
    </w:rPr>
  </w:style>
  <w:style w:type="character" w:customStyle="1" w:styleId="225">
    <w:name w:val="样式 Char Char"/>
    <w:link w:val="121"/>
    <w:qFormat/>
    <w:locked/>
    <w:uiPriority w:val="0"/>
    <w:rPr>
      <w:rFonts w:ascii="宋体" w:hAnsi="宋体" w:eastAsia="宋体" w:cs="宋体"/>
      <w:kern w:val="0"/>
      <w:sz w:val="24"/>
      <w:szCs w:val="24"/>
    </w:rPr>
  </w:style>
  <w:style w:type="paragraph" w:customStyle="1" w:styleId="226">
    <w:name w:val="Table Paragraph"/>
    <w:basedOn w:val="1"/>
    <w:qFormat/>
    <w:uiPriority w:val="1"/>
    <w:rPr>
      <w:rFonts w:ascii="宋体" w:hAnsi="宋体" w:cs="宋体"/>
      <w:lang w:eastAsia="en-US" w:bidi="en-US"/>
    </w:rPr>
  </w:style>
  <w:style w:type="character" w:customStyle="1" w:styleId="227">
    <w:name w:val="font41"/>
    <w:qFormat/>
    <w:uiPriority w:val="0"/>
    <w:rPr>
      <w:rFonts w:hint="default" w:ascii="Calibri" w:hAnsi="Calibri" w:cs="Calibri"/>
      <w:color w:val="000000"/>
      <w:sz w:val="20"/>
      <w:szCs w:val="20"/>
      <w:u w:val="none"/>
    </w:rPr>
  </w:style>
  <w:style w:type="paragraph" w:customStyle="1" w:styleId="228">
    <w:name w:val="Other|1"/>
    <w:basedOn w:val="1"/>
    <w:qFormat/>
    <w:uiPriority w:val="0"/>
    <w:pPr>
      <w:spacing w:after="200"/>
    </w:pPr>
    <w:rPr>
      <w:rFonts w:ascii="宋体" w:hAnsi="宋体" w:cs="宋体"/>
      <w:sz w:val="22"/>
      <w:lang w:val="zh-TW" w:eastAsia="zh-TW" w:bidi="zh-TW"/>
    </w:rPr>
  </w:style>
  <w:style w:type="paragraph" w:customStyle="1" w:styleId="229">
    <w:name w:val="Header or footer|1"/>
    <w:basedOn w:val="1"/>
    <w:qFormat/>
    <w:uiPriority w:val="0"/>
    <w:rPr>
      <w:sz w:val="20"/>
      <w:szCs w:val="20"/>
      <w:lang w:val="zh-TW" w:eastAsia="zh-TW" w:bidi="zh-TW"/>
    </w:rPr>
  </w:style>
  <w:style w:type="paragraph" w:customStyle="1" w:styleId="230">
    <w:name w:val="Body text|1"/>
    <w:basedOn w:val="1"/>
    <w:qFormat/>
    <w:uiPriority w:val="0"/>
    <w:pPr>
      <w:spacing w:after="200"/>
    </w:pPr>
    <w:rPr>
      <w:rFonts w:ascii="宋体" w:hAnsi="宋体" w:cs="宋体"/>
      <w:sz w:val="22"/>
      <w:lang w:val="zh-TW" w:eastAsia="zh-TW" w:bidi="zh-TW"/>
    </w:rPr>
  </w:style>
  <w:style w:type="character" w:customStyle="1" w:styleId="231">
    <w:name w:val="font31"/>
    <w:basedOn w:val="46"/>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E7866F-55A5-E046-B8D1-CBDA6CBFD9B7}">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119</Pages>
  <Words>8391</Words>
  <Characters>47835</Characters>
  <Lines>398</Lines>
  <Paragraphs>112</Paragraphs>
  <TotalTime>34</TotalTime>
  <ScaleCrop>false</ScaleCrop>
  <LinksUpToDate>false</LinksUpToDate>
  <CharactersWithSpaces>56114</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2021-10-20T11:27:00Z</dcterms:created>
  <dc:creator>高文豪</dc:creator>
  <cp:lastModifiedBy>刘刚</cp:lastModifiedBy>
  <cp:lastPrinted>2021-10-28T07:41:00Z</cp:lastPrinted>
  <dcterms:modified xsi:type="dcterms:W3CDTF">2021-11-01T03:29:36Z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F3CC084825D34FBE993786FF5273F5BC</vt:lpwstr>
  </property>
</Properties>
</file>