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spacing w:val="42"/>
          <w:sz w:val="84"/>
        </w:rPr>
      </w:pPr>
    </w:p>
    <w:p>
      <w:pPr>
        <w:spacing w:line="360" w:lineRule="auto"/>
        <w:jc w:val="center"/>
        <w:rPr>
          <w:rFonts w:ascii="华文中宋" w:hAnsi="华文中宋" w:eastAsia="华文中宋"/>
          <w:spacing w:val="42"/>
          <w:sz w:val="130"/>
          <w:szCs w:val="130"/>
        </w:rPr>
      </w:pPr>
      <w:r>
        <w:rPr>
          <w:rFonts w:hint="eastAsia" w:ascii="华文中宋" w:hAnsi="华文中宋" w:eastAsia="华文中宋"/>
          <w:spacing w:val="42"/>
          <w:sz w:val="130"/>
          <w:szCs w:val="130"/>
        </w:rPr>
        <w:t>招 标 文 件</w:t>
      </w:r>
    </w:p>
    <w:p>
      <w:pPr>
        <w:spacing w:line="360" w:lineRule="auto"/>
        <w:jc w:val="center"/>
        <w:rPr>
          <w:rFonts w:ascii="华文中宋" w:hAnsi="华文中宋" w:eastAsia="华文中宋"/>
          <w:sz w:val="32"/>
          <w:szCs w:val="32"/>
        </w:rPr>
      </w:pPr>
    </w:p>
    <w:p>
      <w:pPr>
        <w:spacing w:line="360" w:lineRule="auto"/>
        <w:rPr>
          <w:rFonts w:ascii="华文中宋" w:hAnsi="华文中宋" w:eastAsia="华文中宋"/>
        </w:rPr>
      </w:pPr>
    </w:p>
    <w:p>
      <w:pPr>
        <w:spacing w:line="360" w:lineRule="auto"/>
        <w:ind w:left="1600" w:hanging="1600" w:hangingChars="500"/>
        <w:rPr>
          <w:rFonts w:ascii="华文中宋" w:hAnsi="华文中宋" w:eastAsia="华文中宋"/>
          <w:sz w:val="32"/>
          <w:szCs w:val="32"/>
        </w:rPr>
      </w:pPr>
      <w:r>
        <w:rPr>
          <w:rFonts w:hint="eastAsia" w:ascii="华文中宋" w:hAnsi="华文中宋" w:eastAsia="华文中宋"/>
          <w:sz w:val="32"/>
          <w:szCs w:val="32"/>
        </w:rPr>
        <w:t>项目名称：成都市双流区教育技术装备管理中心2021年彭镇小学等2校多功能厅LED、音箱和灯光系统采购项目</w:t>
      </w:r>
    </w:p>
    <w:p>
      <w:pPr>
        <w:spacing w:line="360" w:lineRule="auto"/>
        <w:rPr>
          <w:rFonts w:ascii="华文中宋" w:hAnsi="华文中宋" w:eastAsia="华文中宋"/>
          <w:sz w:val="32"/>
          <w:szCs w:val="32"/>
        </w:rPr>
      </w:pPr>
      <w:r>
        <w:rPr>
          <w:rFonts w:hint="eastAsia" w:ascii="华文中宋" w:hAnsi="华文中宋" w:eastAsia="华文中宋"/>
          <w:sz w:val="32"/>
          <w:szCs w:val="32"/>
        </w:rPr>
        <w:t>项目编号：双流政采（2021）A0065号</w:t>
      </w:r>
    </w:p>
    <w:p>
      <w:pPr>
        <w:pStyle w:val="2"/>
      </w:pPr>
    </w:p>
    <w:p/>
    <w:p>
      <w:pPr>
        <w:pStyle w:val="2"/>
      </w:pPr>
    </w:p>
    <w:p/>
    <w:p>
      <w:pPr>
        <w:pStyle w:val="2"/>
      </w:pPr>
    </w:p>
    <w:p/>
    <w:p>
      <w:pPr>
        <w:pStyle w:val="2"/>
      </w:pPr>
    </w:p>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成都市双流区教育技术装备管理中心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成都市双流区公共资源交易服务中心</w:t>
      </w:r>
    </w:p>
    <w:p>
      <w:pPr>
        <w:pStyle w:val="2"/>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二〇二一年十月</w:t>
      </w:r>
    </w:p>
    <w:p/>
    <w:p>
      <w:pPr>
        <w:spacing w:line="360" w:lineRule="auto"/>
        <w:jc w:val="center"/>
        <w:rPr>
          <w:rFonts w:hint="eastAsia" w:ascii="宋体" w:hAnsi="宋体"/>
          <w:b/>
          <w:sz w:val="32"/>
          <w:szCs w:val="32"/>
        </w:rPr>
        <w:sectPr>
          <w:pgSz w:w="12240" w:h="15840"/>
          <w:pgMar w:top="1440" w:right="1800" w:bottom="1440" w:left="1800" w:header="708" w:footer="708" w:gutter="0"/>
          <w:cols w:space="708" w:num="1"/>
          <w:docGrid w:linePitch="360" w:charSpace="0"/>
        </w:sectPr>
      </w:pPr>
      <w:bookmarkStart w:id="0" w:name="_Toc148505181"/>
      <w:bookmarkStart w:id="1" w:name="_Toc101247312"/>
      <w:bookmarkStart w:id="2" w:name="_Toc101234248"/>
      <w:bookmarkStart w:id="3" w:name="_Toc101328520"/>
    </w:p>
    <w:p>
      <w:pPr>
        <w:spacing w:line="360" w:lineRule="auto"/>
        <w:jc w:val="center"/>
        <w:rPr>
          <w:rFonts w:ascii="宋体" w:hAnsi="宋体"/>
          <w:b/>
          <w:sz w:val="36"/>
        </w:rPr>
      </w:pPr>
      <w:r>
        <w:rPr>
          <w:rFonts w:hint="eastAsia" w:ascii="宋体" w:hAnsi="宋体"/>
          <w:b/>
          <w:sz w:val="32"/>
          <w:szCs w:val="32"/>
        </w:rPr>
        <w:t>目 录</w:t>
      </w:r>
    </w:p>
    <w:p>
      <w:pPr>
        <w:pStyle w:val="29"/>
        <w:tabs>
          <w:tab w:val="right" w:leader="dot" w:pos="8640"/>
          <w:tab w:val="clear" w:pos="709"/>
          <w:tab w:val="clear" w:pos="8364"/>
        </w:tabs>
      </w:pPr>
      <w:r>
        <w:rPr>
          <w:rFonts w:hint="eastAsia"/>
          <w:b/>
          <w:bCs w:val="0"/>
        </w:rPr>
        <w:fldChar w:fldCharType="begin"/>
      </w:r>
      <w:r>
        <w:rPr>
          <w:rFonts w:hint="eastAsia" w:ascii="宋体" w:hAnsi="宋体"/>
          <w:b/>
          <w:bCs w:val="0"/>
          <w:smallCaps/>
        </w:rPr>
        <w:instrText xml:space="preserve"> TOC \o "1-2" \h \z \u </w:instrText>
      </w:r>
      <w:r>
        <w:rPr>
          <w:rFonts w:hint="eastAsia"/>
          <w:b/>
          <w:bCs w:val="0"/>
        </w:rPr>
        <w:fldChar w:fldCharType="separate"/>
      </w:r>
      <w:r>
        <w:rPr>
          <w:rFonts w:hint="eastAsia"/>
          <w:bCs w:val="0"/>
        </w:rPr>
        <w:fldChar w:fldCharType="begin"/>
      </w:r>
      <w:r>
        <w:rPr>
          <w:rFonts w:hint="eastAsia"/>
          <w:bCs w:val="0"/>
        </w:rPr>
        <w:instrText xml:space="preserve"> HYPERLINK \l _Toc17575 </w:instrText>
      </w:r>
      <w:r>
        <w:rPr>
          <w:rFonts w:hint="eastAsia"/>
          <w:bCs w:val="0"/>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rPr>
        <w:t>投标邀请</w:t>
      </w:r>
      <w:r>
        <w:tab/>
      </w:r>
      <w:r>
        <w:fldChar w:fldCharType="begin"/>
      </w:r>
      <w:r>
        <w:instrText xml:space="preserve"> PAGEREF _Toc17575 \h </w:instrText>
      </w:r>
      <w:r>
        <w:fldChar w:fldCharType="separate"/>
      </w:r>
      <w:r>
        <w:t>2</w:t>
      </w:r>
      <w:r>
        <w:fldChar w:fldCharType="end"/>
      </w:r>
      <w:r>
        <w:rPr>
          <w:rFonts w:hint="eastAsia"/>
          <w:bCs w:val="0"/>
        </w:rPr>
        <w:fldChar w:fldCharType="end"/>
      </w:r>
    </w:p>
    <w:p>
      <w:pPr>
        <w:pStyle w:val="29"/>
        <w:tabs>
          <w:tab w:val="right" w:leader="dot" w:pos="8640"/>
          <w:tab w:val="clear" w:pos="709"/>
          <w:tab w:val="clear" w:pos="8364"/>
        </w:tabs>
      </w:pPr>
      <w:r>
        <w:rPr>
          <w:rFonts w:hint="eastAsia"/>
        </w:rPr>
        <w:fldChar w:fldCharType="begin"/>
      </w:r>
      <w:r>
        <w:rPr>
          <w:rFonts w:hint="eastAsia"/>
        </w:rPr>
        <w:instrText xml:space="preserve"> HYPERLINK \l _Toc27131 </w:instrText>
      </w:r>
      <w:r>
        <w:rPr>
          <w:rFonts w:hint="eastAsia"/>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rPr>
        <w:t>投标人须知</w:t>
      </w:r>
      <w:r>
        <w:tab/>
      </w:r>
      <w:r>
        <w:fldChar w:fldCharType="begin"/>
      </w:r>
      <w:r>
        <w:instrText xml:space="preserve"> PAGEREF _Toc27131 \h </w:instrText>
      </w:r>
      <w:r>
        <w:fldChar w:fldCharType="separate"/>
      </w:r>
      <w:r>
        <w:t>6</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_Toc14888 </w:instrText>
      </w:r>
      <w:r>
        <w:rPr>
          <w:rFonts w:hint="eastAsia"/>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rPr>
        <w:t>投标人须知前附表</w:t>
      </w:r>
      <w:r>
        <w:tab/>
      </w:r>
      <w:r>
        <w:fldChar w:fldCharType="begin"/>
      </w:r>
      <w:r>
        <w:instrText xml:space="preserve"> PAGEREF _Toc14888 \h </w:instrText>
      </w:r>
      <w:r>
        <w:fldChar w:fldCharType="separate"/>
      </w:r>
      <w:r>
        <w:t>6</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_Toc28627 </w:instrText>
      </w:r>
      <w:r>
        <w:rPr>
          <w:rFonts w:hint="eastAsia"/>
        </w:rPr>
        <w:fldChar w:fldCharType="separate"/>
      </w:r>
      <w:r>
        <w:rPr>
          <w:rFonts w:hint="default" w:ascii="Times New Roman" w:hAnsi="Times New Roman" w:eastAsia="宋体" w:cs="Times New Roman"/>
          <w:bCs/>
          <w:i w:val="0"/>
          <w:szCs w:val="28"/>
        </w:rPr>
        <w:t xml:space="preserve">2.2 </w:t>
      </w:r>
      <w:r>
        <w:rPr>
          <w:rFonts w:hint="eastAsia" w:ascii="宋体" w:hAnsi="宋体"/>
          <w:bCs/>
          <w:szCs w:val="28"/>
        </w:rPr>
        <w:t>总则</w:t>
      </w:r>
      <w:r>
        <w:tab/>
      </w:r>
      <w:r>
        <w:fldChar w:fldCharType="begin"/>
      </w:r>
      <w:r>
        <w:instrText xml:space="preserve"> PAGEREF _Toc28627 \h </w:instrText>
      </w:r>
      <w:r>
        <w:fldChar w:fldCharType="separate"/>
      </w:r>
      <w:r>
        <w:t>9</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_Toc26667 </w:instrText>
      </w:r>
      <w:r>
        <w:rPr>
          <w:rFonts w:hint="eastAsia"/>
        </w:rPr>
        <w:fldChar w:fldCharType="separate"/>
      </w:r>
      <w:r>
        <w:rPr>
          <w:rFonts w:hint="default" w:ascii="Times New Roman" w:hAnsi="Times New Roman" w:eastAsia="宋体" w:cs="Times New Roman"/>
          <w:bCs/>
          <w:i w:val="0"/>
          <w:szCs w:val="28"/>
        </w:rPr>
        <w:t xml:space="preserve">2.3 </w:t>
      </w:r>
      <w:r>
        <w:rPr>
          <w:rFonts w:hint="eastAsia" w:ascii="宋体" w:hAnsi="宋体"/>
          <w:bCs/>
          <w:szCs w:val="28"/>
        </w:rPr>
        <w:t>招标文件</w:t>
      </w:r>
      <w:r>
        <w:tab/>
      </w:r>
      <w:r>
        <w:fldChar w:fldCharType="begin"/>
      </w:r>
      <w:r>
        <w:instrText xml:space="preserve"> PAGEREF _Toc26667 \h </w:instrText>
      </w:r>
      <w:r>
        <w:fldChar w:fldCharType="separate"/>
      </w:r>
      <w:r>
        <w:t>11</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_Toc20295 </w:instrText>
      </w:r>
      <w:r>
        <w:rPr>
          <w:rFonts w:hint="eastAsia"/>
        </w:rPr>
        <w:fldChar w:fldCharType="separate"/>
      </w:r>
      <w:r>
        <w:rPr>
          <w:rFonts w:hint="default" w:ascii="Times New Roman" w:hAnsi="Times New Roman" w:eastAsia="宋体" w:cs="Times New Roman"/>
          <w:bCs/>
          <w:i w:val="0"/>
          <w:szCs w:val="28"/>
        </w:rPr>
        <w:t xml:space="preserve">2.4 </w:t>
      </w:r>
      <w:r>
        <w:rPr>
          <w:rFonts w:hint="eastAsia" w:ascii="宋体" w:hAnsi="宋体"/>
          <w:bCs/>
          <w:szCs w:val="28"/>
        </w:rPr>
        <w:t>投标文件</w:t>
      </w:r>
      <w:r>
        <w:tab/>
      </w:r>
      <w:r>
        <w:fldChar w:fldCharType="begin"/>
      </w:r>
      <w:r>
        <w:instrText xml:space="preserve"> PAGEREF _Toc20295 \h </w:instrText>
      </w:r>
      <w:r>
        <w:fldChar w:fldCharType="separate"/>
      </w:r>
      <w:r>
        <w:t>12</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_Toc5368 </w:instrText>
      </w:r>
      <w:r>
        <w:rPr>
          <w:rFonts w:hint="eastAsia"/>
        </w:rPr>
        <w:fldChar w:fldCharType="separate"/>
      </w:r>
      <w:r>
        <w:rPr>
          <w:rFonts w:hint="default" w:ascii="Times New Roman" w:hAnsi="Times New Roman" w:eastAsia="宋体" w:cs="Times New Roman"/>
          <w:bCs/>
          <w:i w:val="0"/>
          <w:szCs w:val="28"/>
        </w:rPr>
        <w:t xml:space="preserve">2.5 </w:t>
      </w:r>
      <w:r>
        <w:rPr>
          <w:rFonts w:hint="eastAsia" w:ascii="宋体" w:hAnsi="宋体"/>
          <w:bCs/>
          <w:szCs w:val="28"/>
        </w:rPr>
        <w:t>开标、资格审查、评标和中标</w:t>
      </w:r>
      <w:r>
        <w:tab/>
      </w:r>
      <w:r>
        <w:fldChar w:fldCharType="begin"/>
      </w:r>
      <w:r>
        <w:instrText xml:space="preserve"> PAGEREF _Toc5368 \h </w:instrText>
      </w:r>
      <w:r>
        <w:fldChar w:fldCharType="separate"/>
      </w:r>
      <w:r>
        <w:t>19</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_Toc20619 </w:instrText>
      </w:r>
      <w:r>
        <w:rPr>
          <w:rFonts w:hint="eastAsia"/>
        </w:rPr>
        <w:fldChar w:fldCharType="separate"/>
      </w:r>
      <w:r>
        <w:rPr>
          <w:rFonts w:hint="default" w:ascii="Times New Roman" w:hAnsi="Times New Roman" w:eastAsia="宋体" w:cs="Times New Roman"/>
          <w:bCs/>
          <w:i w:val="0"/>
          <w:szCs w:val="28"/>
        </w:rPr>
        <w:t xml:space="preserve">2.6 </w:t>
      </w:r>
      <w:r>
        <w:rPr>
          <w:rFonts w:hint="eastAsia" w:ascii="宋体" w:hAnsi="宋体"/>
          <w:bCs/>
          <w:szCs w:val="28"/>
        </w:rPr>
        <w:t>签订及履行合同和验收</w:t>
      </w:r>
      <w:r>
        <w:tab/>
      </w:r>
      <w:r>
        <w:fldChar w:fldCharType="begin"/>
      </w:r>
      <w:r>
        <w:instrText xml:space="preserve"> PAGEREF _Toc20619 \h </w:instrText>
      </w:r>
      <w:r>
        <w:fldChar w:fldCharType="separate"/>
      </w:r>
      <w:r>
        <w:t>22</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_Toc16082 </w:instrText>
      </w:r>
      <w:r>
        <w:rPr>
          <w:rFonts w:hint="eastAsia"/>
        </w:rPr>
        <w:fldChar w:fldCharType="separate"/>
      </w:r>
      <w:r>
        <w:rPr>
          <w:rFonts w:hint="default" w:ascii="Times New Roman" w:hAnsi="Times New Roman" w:eastAsia="宋体" w:cs="Times New Roman"/>
          <w:bCs/>
          <w:i w:val="0"/>
          <w:szCs w:val="28"/>
        </w:rPr>
        <w:t xml:space="preserve">2.7 </w:t>
      </w:r>
      <w:r>
        <w:rPr>
          <w:rFonts w:hint="eastAsia" w:ascii="宋体" w:hAnsi="宋体"/>
          <w:bCs/>
          <w:szCs w:val="28"/>
        </w:rPr>
        <w:t>投标纪律要求</w:t>
      </w:r>
      <w:r>
        <w:tab/>
      </w:r>
      <w:r>
        <w:fldChar w:fldCharType="begin"/>
      </w:r>
      <w:r>
        <w:instrText xml:space="preserve"> PAGEREF _Toc16082 \h </w:instrText>
      </w:r>
      <w:r>
        <w:fldChar w:fldCharType="separate"/>
      </w:r>
      <w:r>
        <w:t>24</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_Toc31786 </w:instrText>
      </w:r>
      <w:r>
        <w:rPr>
          <w:rFonts w:hint="eastAsia"/>
        </w:rPr>
        <w:fldChar w:fldCharType="separate"/>
      </w:r>
      <w:r>
        <w:rPr>
          <w:rFonts w:hint="default" w:ascii="Times New Roman" w:hAnsi="Times New Roman" w:eastAsia="宋体" w:cs="Times New Roman"/>
          <w:bCs/>
          <w:i w:val="0"/>
          <w:szCs w:val="28"/>
        </w:rPr>
        <w:t xml:space="preserve">2.8 </w:t>
      </w:r>
      <w:r>
        <w:rPr>
          <w:rFonts w:hint="eastAsia" w:ascii="宋体" w:hAnsi="宋体"/>
          <w:bCs/>
          <w:szCs w:val="28"/>
        </w:rPr>
        <w:t>询问、质疑和投诉</w:t>
      </w:r>
      <w:r>
        <w:tab/>
      </w:r>
      <w:r>
        <w:fldChar w:fldCharType="begin"/>
      </w:r>
      <w:r>
        <w:instrText xml:space="preserve"> PAGEREF _Toc31786 \h </w:instrText>
      </w:r>
      <w:r>
        <w:fldChar w:fldCharType="separate"/>
      </w:r>
      <w:r>
        <w:t>26</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_Toc10764 </w:instrText>
      </w:r>
      <w:r>
        <w:rPr>
          <w:rFonts w:hint="eastAsia"/>
        </w:rPr>
        <w:fldChar w:fldCharType="separate"/>
      </w:r>
      <w:r>
        <w:rPr>
          <w:rFonts w:hint="default" w:ascii="Times New Roman" w:hAnsi="Times New Roman" w:eastAsia="宋体" w:cs="Times New Roman"/>
          <w:bCs/>
          <w:i w:val="0"/>
          <w:szCs w:val="28"/>
        </w:rPr>
        <w:t xml:space="preserve">2.9 </w:t>
      </w:r>
      <w:r>
        <w:rPr>
          <w:rFonts w:hint="eastAsia" w:ascii="宋体" w:hAnsi="宋体"/>
          <w:bCs/>
          <w:szCs w:val="28"/>
        </w:rPr>
        <w:t>信用融资</w:t>
      </w:r>
      <w:r>
        <w:tab/>
      </w:r>
      <w:r>
        <w:fldChar w:fldCharType="begin"/>
      </w:r>
      <w:r>
        <w:instrText xml:space="preserve"> PAGEREF _Toc10764 \h </w:instrText>
      </w:r>
      <w:r>
        <w:fldChar w:fldCharType="separate"/>
      </w:r>
      <w:r>
        <w:t>27</w:t>
      </w:r>
      <w:r>
        <w:fldChar w:fldCharType="end"/>
      </w:r>
      <w:r>
        <w:rPr>
          <w:rFonts w:hint="eastAsia"/>
        </w:rPr>
        <w:fldChar w:fldCharType="end"/>
      </w:r>
    </w:p>
    <w:p>
      <w:pPr>
        <w:pStyle w:val="29"/>
        <w:tabs>
          <w:tab w:val="right" w:leader="dot" w:pos="8640"/>
          <w:tab w:val="clear" w:pos="709"/>
          <w:tab w:val="clear" w:pos="8364"/>
        </w:tabs>
      </w:pPr>
      <w:r>
        <w:rPr>
          <w:rFonts w:hint="eastAsia"/>
        </w:rPr>
        <w:fldChar w:fldCharType="begin"/>
      </w:r>
      <w:r>
        <w:rPr>
          <w:rFonts w:hint="eastAsia"/>
        </w:rPr>
        <w:instrText xml:space="preserve"> HYPERLINK \l _Toc13145 </w:instrText>
      </w:r>
      <w:r>
        <w:rPr>
          <w:rFonts w:hint="eastAsia"/>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rPr>
        <w:t>投标文件格式</w:t>
      </w:r>
      <w:r>
        <w:tab/>
      </w:r>
      <w:r>
        <w:fldChar w:fldCharType="begin"/>
      </w:r>
      <w:r>
        <w:instrText xml:space="preserve"> PAGEREF _Toc13145 \h </w:instrText>
      </w:r>
      <w:r>
        <w:fldChar w:fldCharType="separate"/>
      </w:r>
      <w:r>
        <w:t>28</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_Toc20615 </w:instrText>
      </w:r>
      <w:r>
        <w:rPr>
          <w:rFonts w:hint="eastAsia"/>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rPr>
        <w:t>投标文件封面格式</w:t>
      </w:r>
      <w:r>
        <w:tab/>
      </w:r>
      <w:r>
        <w:fldChar w:fldCharType="begin"/>
      </w:r>
      <w:r>
        <w:instrText xml:space="preserve"> PAGEREF _Toc20615 \h </w:instrText>
      </w:r>
      <w:r>
        <w:fldChar w:fldCharType="separate"/>
      </w:r>
      <w:r>
        <w:t>28</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_Toc14317 </w:instrText>
      </w:r>
      <w:r>
        <w:rPr>
          <w:rFonts w:hint="eastAsia"/>
        </w:rPr>
        <w:fldChar w:fldCharType="separate"/>
      </w:r>
      <w:r>
        <w:rPr>
          <w:rFonts w:hint="default" w:ascii="Times New Roman" w:hAnsi="Times New Roman" w:eastAsia="宋体" w:cs="Times New Roman"/>
          <w:bCs/>
          <w:i w:val="0"/>
          <w:szCs w:val="28"/>
        </w:rPr>
        <w:t xml:space="preserve">3.2 </w:t>
      </w:r>
      <w:r>
        <w:rPr>
          <w:rFonts w:hint="eastAsia" w:ascii="宋体" w:hAnsi="宋体"/>
          <w:bCs/>
          <w:szCs w:val="28"/>
        </w:rPr>
        <w:t>资格性响应文件</w:t>
      </w:r>
      <w:r>
        <w:tab/>
      </w:r>
      <w:r>
        <w:fldChar w:fldCharType="begin"/>
      </w:r>
      <w:r>
        <w:instrText xml:space="preserve"> PAGEREF _Toc14317 \h </w:instrText>
      </w:r>
      <w:r>
        <w:fldChar w:fldCharType="separate"/>
      </w:r>
      <w:r>
        <w:t>29</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_Toc18006 </w:instrText>
      </w:r>
      <w:r>
        <w:rPr>
          <w:rFonts w:hint="eastAsia"/>
        </w:rPr>
        <w:fldChar w:fldCharType="separate"/>
      </w:r>
      <w:r>
        <w:rPr>
          <w:rFonts w:hint="default" w:ascii="Times New Roman" w:hAnsi="Times New Roman" w:eastAsia="宋体" w:cs="Times New Roman"/>
          <w:bCs/>
          <w:i w:val="0"/>
          <w:szCs w:val="28"/>
        </w:rPr>
        <w:t xml:space="preserve">3.3 </w:t>
      </w:r>
      <w:r>
        <w:rPr>
          <w:rFonts w:hint="eastAsia" w:ascii="宋体" w:hAnsi="宋体"/>
          <w:bCs/>
          <w:szCs w:val="28"/>
        </w:rPr>
        <w:t>服务、商务技术及其他要求</w:t>
      </w:r>
      <w:r>
        <w:rPr>
          <w:rFonts w:ascii="宋体" w:hAnsi="宋体"/>
          <w:bCs/>
          <w:szCs w:val="28"/>
        </w:rPr>
        <w:t>响应</w:t>
      </w:r>
      <w:r>
        <w:rPr>
          <w:rFonts w:hint="eastAsia" w:ascii="宋体" w:hAnsi="宋体"/>
          <w:bCs/>
          <w:szCs w:val="28"/>
        </w:rPr>
        <w:t>部分</w:t>
      </w:r>
      <w:r>
        <w:tab/>
      </w:r>
      <w:r>
        <w:fldChar w:fldCharType="begin"/>
      </w:r>
      <w:r>
        <w:instrText xml:space="preserve"> PAGEREF _Toc18006 \h </w:instrText>
      </w:r>
      <w:r>
        <w:fldChar w:fldCharType="separate"/>
      </w:r>
      <w:r>
        <w:t>33</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_Toc2299 </w:instrText>
      </w:r>
      <w:r>
        <w:rPr>
          <w:rFonts w:hint="eastAsia"/>
        </w:rPr>
        <w:fldChar w:fldCharType="separate"/>
      </w:r>
      <w:r>
        <w:rPr>
          <w:rFonts w:hint="default" w:ascii="Times New Roman" w:hAnsi="Times New Roman" w:eastAsia="宋体" w:cs="Times New Roman"/>
          <w:bCs/>
          <w:i w:val="0"/>
          <w:szCs w:val="28"/>
        </w:rPr>
        <w:t xml:space="preserve">3.4 </w:t>
      </w:r>
      <w:r>
        <w:rPr>
          <w:rFonts w:hint="eastAsia" w:ascii="宋体" w:hAnsi="宋体"/>
          <w:bCs/>
          <w:szCs w:val="28"/>
        </w:rPr>
        <w:t>报价</w:t>
      </w:r>
      <w:r>
        <w:rPr>
          <w:rFonts w:ascii="宋体" w:hAnsi="宋体"/>
          <w:bCs/>
          <w:szCs w:val="28"/>
        </w:rPr>
        <w:t>要求响应文件</w:t>
      </w:r>
      <w:r>
        <w:tab/>
      </w:r>
      <w:r>
        <w:fldChar w:fldCharType="begin"/>
      </w:r>
      <w:r>
        <w:instrText xml:space="preserve"> PAGEREF _Toc2299 \h </w:instrText>
      </w:r>
      <w:r>
        <w:fldChar w:fldCharType="separate"/>
      </w:r>
      <w:r>
        <w:t>45</w:t>
      </w:r>
      <w:r>
        <w:fldChar w:fldCharType="end"/>
      </w:r>
      <w:r>
        <w:rPr>
          <w:rFonts w:hint="eastAsia"/>
        </w:rPr>
        <w:fldChar w:fldCharType="end"/>
      </w:r>
    </w:p>
    <w:p>
      <w:pPr>
        <w:pStyle w:val="29"/>
        <w:tabs>
          <w:tab w:val="right" w:leader="dot" w:pos="8640"/>
          <w:tab w:val="clear" w:pos="709"/>
          <w:tab w:val="clear" w:pos="8364"/>
        </w:tabs>
      </w:pPr>
      <w:r>
        <w:rPr>
          <w:rFonts w:hint="eastAsia"/>
        </w:rPr>
        <w:fldChar w:fldCharType="begin"/>
      </w:r>
      <w:r>
        <w:rPr>
          <w:rFonts w:hint="eastAsia"/>
        </w:rPr>
        <w:instrText xml:space="preserve"> HYPERLINK \l _Toc1121 </w:instrText>
      </w:r>
      <w:r>
        <w:rPr>
          <w:rFonts w:hint="eastAsia"/>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rPr>
        <w:t>招标项目技术、服务、商务及其他要求</w:t>
      </w:r>
      <w:r>
        <w:tab/>
      </w:r>
      <w:r>
        <w:fldChar w:fldCharType="begin"/>
      </w:r>
      <w:r>
        <w:instrText xml:space="preserve"> PAGEREF _Toc1121 \h </w:instrText>
      </w:r>
      <w:r>
        <w:fldChar w:fldCharType="separate"/>
      </w:r>
      <w:r>
        <w:t>52</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_Toc24929 </w:instrText>
      </w:r>
      <w:r>
        <w:rPr>
          <w:rFonts w:hint="eastAsia"/>
        </w:rPr>
        <w:fldChar w:fldCharType="separate"/>
      </w:r>
      <w:r>
        <w:rPr>
          <w:rFonts w:hint="default" w:ascii="Times New Roman" w:hAnsi="Times New Roman" w:eastAsia="宋体" w:cs="Times New Roman"/>
          <w:bCs w:val="0"/>
          <w:i w:val="0"/>
          <w:szCs w:val="28"/>
        </w:rPr>
        <w:t xml:space="preserve">4.1 </w:t>
      </w:r>
      <w:r>
        <w:rPr>
          <w:rFonts w:hint="eastAsia"/>
        </w:rPr>
        <w:t>项目概况</w:t>
      </w:r>
      <w:r>
        <w:tab/>
      </w:r>
      <w:r>
        <w:fldChar w:fldCharType="begin"/>
      </w:r>
      <w:r>
        <w:instrText xml:space="preserve"> PAGEREF _Toc24929 \h </w:instrText>
      </w:r>
      <w:r>
        <w:fldChar w:fldCharType="separate"/>
      </w:r>
      <w:r>
        <w:t>52</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_Toc20793 </w:instrText>
      </w:r>
      <w:r>
        <w:rPr>
          <w:rFonts w:hint="eastAsia"/>
        </w:rPr>
        <w:fldChar w:fldCharType="separate"/>
      </w:r>
      <w:r>
        <w:rPr>
          <w:rFonts w:hint="default" w:ascii="Times New Roman" w:hAnsi="Times New Roman" w:eastAsia="宋体" w:cs="Times New Roman"/>
          <w:i w:val="0"/>
          <w:szCs w:val="28"/>
        </w:rPr>
        <w:t xml:space="preserve">4.2 </w:t>
      </w:r>
      <w:r>
        <w:rPr>
          <w:rFonts w:hint="eastAsia" w:ascii="Times New Roman" w:hAnsi="Times New Roman"/>
        </w:rPr>
        <w:t>采购内容</w:t>
      </w:r>
      <w:r>
        <w:tab/>
      </w:r>
      <w:r>
        <w:fldChar w:fldCharType="begin"/>
      </w:r>
      <w:r>
        <w:instrText xml:space="preserve"> PAGEREF _Toc20793 \h </w:instrText>
      </w:r>
      <w:r>
        <w:fldChar w:fldCharType="separate"/>
      </w:r>
      <w:r>
        <w:t>52</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_Toc20437 </w:instrText>
      </w:r>
      <w:r>
        <w:rPr>
          <w:rFonts w:hint="eastAsia"/>
        </w:rPr>
        <w:fldChar w:fldCharType="separate"/>
      </w:r>
      <w:r>
        <w:rPr>
          <w:rFonts w:hint="default" w:ascii="Times New Roman" w:hAnsi="Times New Roman" w:eastAsia="宋体" w:cs="Times New Roman"/>
          <w:i w:val="0"/>
          <w:szCs w:val="28"/>
        </w:rPr>
        <w:t xml:space="preserve">4.3 </w:t>
      </w:r>
      <w:r>
        <w:rPr>
          <w:rFonts w:hint="eastAsia"/>
        </w:rPr>
        <w:t>服务要求</w:t>
      </w:r>
      <w:r>
        <w:tab/>
      </w:r>
      <w:r>
        <w:fldChar w:fldCharType="begin"/>
      </w:r>
      <w:r>
        <w:instrText xml:space="preserve"> PAGEREF _Toc20437 \h </w:instrText>
      </w:r>
      <w:r>
        <w:fldChar w:fldCharType="separate"/>
      </w:r>
      <w:r>
        <w:t>64</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_Toc386 </w:instrText>
      </w:r>
      <w:r>
        <w:rPr>
          <w:rFonts w:hint="eastAsia"/>
        </w:rPr>
        <w:fldChar w:fldCharType="separate"/>
      </w:r>
      <w:r>
        <w:rPr>
          <w:rFonts w:hint="default" w:ascii="Times New Roman" w:hAnsi="Times New Roman" w:eastAsia="宋体" w:cs="Times New Roman"/>
          <w:bCs w:val="0"/>
          <w:i w:val="0"/>
          <w:kern w:val="0"/>
          <w:szCs w:val="28"/>
        </w:rPr>
        <w:t xml:space="preserve">4.4 </w:t>
      </w:r>
      <w:r>
        <w:rPr>
          <w:rFonts w:hint="eastAsia" w:ascii="Calibri" w:hAnsi="Calibri" w:cs="Times New Roman"/>
          <w:bCs w:val="0"/>
        </w:rPr>
        <w:t>商务</w:t>
      </w:r>
      <w:r>
        <w:rPr>
          <w:bCs w:val="0"/>
          <w:kern w:val="0"/>
        </w:rPr>
        <w:t>要求</w:t>
      </w:r>
      <w:r>
        <w:tab/>
      </w:r>
      <w:r>
        <w:fldChar w:fldCharType="begin"/>
      </w:r>
      <w:r>
        <w:instrText xml:space="preserve"> PAGEREF _Toc386 \h </w:instrText>
      </w:r>
      <w:r>
        <w:fldChar w:fldCharType="separate"/>
      </w:r>
      <w:r>
        <w:t>66</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_Toc23595 </w:instrText>
      </w:r>
      <w:r>
        <w:rPr>
          <w:rFonts w:hint="eastAsia"/>
        </w:rPr>
        <w:fldChar w:fldCharType="separate"/>
      </w:r>
      <w:r>
        <w:rPr>
          <w:rFonts w:hint="default" w:ascii="Times New Roman" w:hAnsi="Times New Roman" w:eastAsia="宋体" w:cs="Times New Roman"/>
          <w:i w:val="0"/>
          <w:szCs w:val="28"/>
        </w:rPr>
        <w:t xml:space="preserve">4.5 </w:t>
      </w:r>
      <w:r>
        <w:rPr>
          <w:rFonts w:hint="eastAsia"/>
        </w:rPr>
        <w:t>其他要求</w:t>
      </w:r>
      <w:r>
        <w:tab/>
      </w:r>
      <w:r>
        <w:fldChar w:fldCharType="begin"/>
      </w:r>
      <w:r>
        <w:instrText xml:space="preserve"> PAGEREF _Toc23595 \h </w:instrText>
      </w:r>
      <w:r>
        <w:fldChar w:fldCharType="separate"/>
      </w:r>
      <w:r>
        <w:t>70</w:t>
      </w:r>
      <w:r>
        <w:fldChar w:fldCharType="end"/>
      </w:r>
      <w:r>
        <w:rPr>
          <w:rFonts w:hint="eastAsia"/>
        </w:rPr>
        <w:fldChar w:fldCharType="end"/>
      </w:r>
    </w:p>
    <w:p>
      <w:pPr>
        <w:pStyle w:val="29"/>
        <w:tabs>
          <w:tab w:val="right" w:leader="dot" w:pos="8640"/>
          <w:tab w:val="clear" w:pos="709"/>
          <w:tab w:val="clear" w:pos="8364"/>
        </w:tabs>
      </w:pPr>
      <w:r>
        <w:rPr>
          <w:rFonts w:hint="eastAsia"/>
        </w:rPr>
        <w:fldChar w:fldCharType="begin"/>
      </w:r>
      <w:r>
        <w:rPr>
          <w:rFonts w:hint="eastAsia"/>
        </w:rPr>
        <w:instrText xml:space="preserve"> HYPERLINK \l _Toc21650 </w:instrText>
      </w:r>
      <w:r>
        <w:rPr>
          <w:rFonts w:hint="eastAsia"/>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rPr>
        <w:t>资格性审查</w:t>
      </w:r>
      <w:r>
        <w:tab/>
      </w:r>
      <w:r>
        <w:fldChar w:fldCharType="begin"/>
      </w:r>
      <w:r>
        <w:instrText xml:space="preserve"> PAGEREF _Toc21650 \h </w:instrText>
      </w:r>
      <w:r>
        <w:fldChar w:fldCharType="separate"/>
      </w:r>
      <w:r>
        <w:t>72</w:t>
      </w:r>
      <w:r>
        <w:fldChar w:fldCharType="end"/>
      </w:r>
      <w:r>
        <w:rPr>
          <w:rFonts w:hint="eastAsia"/>
        </w:rPr>
        <w:fldChar w:fldCharType="end"/>
      </w:r>
    </w:p>
    <w:p>
      <w:pPr>
        <w:pStyle w:val="29"/>
        <w:tabs>
          <w:tab w:val="right" w:leader="dot" w:pos="8640"/>
          <w:tab w:val="clear" w:pos="709"/>
          <w:tab w:val="clear" w:pos="8364"/>
        </w:tabs>
      </w:pPr>
      <w:r>
        <w:rPr>
          <w:rFonts w:hint="eastAsia"/>
        </w:rPr>
        <w:fldChar w:fldCharType="begin"/>
      </w:r>
      <w:r>
        <w:rPr>
          <w:rFonts w:hint="eastAsia"/>
        </w:rPr>
        <w:instrText xml:space="preserve"> HYPERLINK \l _Toc3047 </w:instrText>
      </w:r>
      <w:r>
        <w:rPr>
          <w:rFonts w:hint="eastAsia"/>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rPr>
        <w:t>评标办法</w:t>
      </w:r>
      <w:r>
        <w:tab/>
      </w:r>
      <w:r>
        <w:fldChar w:fldCharType="begin"/>
      </w:r>
      <w:r>
        <w:instrText xml:space="preserve"> PAGEREF _Toc3047 \h </w:instrText>
      </w:r>
      <w:r>
        <w:fldChar w:fldCharType="separate"/>
      </w:r>
      <w:r>
        <w:t>76</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_Toc5951 </w:instrText>
      </w:r>
      <w:r>
        <w:rPr>
          <w:rFonts w:hint="eastAsia"/>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rPr>
        <w:t>总则</w:t>
      </w:r>
      <w:r>
        <w:tab/>
      </w:r>
      <w:r>
        <w:fldChar w:fldCharType="begin"/>
      </w:r>
      <w:r>
        <w:instrText xml:space="preserve"> PAGEREF _Toc5951 \h </w:instrText>
      </w:r>
      <w:r>
        <w:fldChar w:fldCharType="separate"/>
      </w:r>
      <w:r>
        <w:t>76</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_Toc26720 </w:instrText>
      </w:r>
      <w:r>
        <w:rPr>
          <w:rFonts w:hint="eastAsia"/>
        </w:rPr>
        <w:fldChar w:fldCharType="separate"/>
      </w:r>
      <w:r>
        <w:rPr>
          <w:rFonts w:hint="default" w:ascii="Times New Roman" w:hAnsi="Times New Roman" w:eastAsia="宋体" w:cs="Times New Roman"/>
          <w:bCs/>
          <w:i w:val="0"/>
          <w:szCs w:val="28"/>
        </w:rPr>
        <w:t xml:space="preserve">6.2 </w:t>
      </w:r>
      <w:r>
        <w:rPr>
          <w:rFonts w:hint="eastAsia" w:ascii="宋体" w:hAnsi="宋体"/>
          <w:bCs/>
          <w:szCs w:val="28"/>
        </w:rPr>
        <w:t>评标方法</w:t>
      </w:r>
      <w:r>
        <w:tab/>
      </w:r>
      <w:r>
        <w:fldChar w:fldCharType="begin"/>
      </w:r>
      <w:r>
        <w:instrText xml:space="preserve"> PAGEREF _Toc26720 \h </w:instrText>
      </w:r>
      <w:r>
        <w:fldChar w:fldCharType="separate"/>
      </w:r>
      <w:r>
        <w:t>77</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_Toc17909 </w:instrText>
      </w:r>
      <w:r>
        <w:rPr>
          <w:rFonts w:hint="eastAsia"/>
        </w:rPr>
        <w:fldChar w:fldCharType="separate"/>
      </w:r>
      <w:r>
        <w:rPr>
          <w:rFonts w:hint="default" w:ascii="Times New Roman" w:hAnsi="Times New Roman" w:eastAsia="宋体" w:cs="Times New Roman"/>
          <w:bCs/>
          <w:i w:val="0"/>
          <w:szCs w:val="28"/>
        </w:rPr>
        <w:t xml:space="preserve">6.3 </w:t>
      </w:r>
      <w:r>
        <w:rPr>
          <w:rFonts w:hint="eastAsia" w:ascii="宋体" w:hAnsi="宋体"/>
          <w:bCs/>
          <w:szCs w:val="28"/>
        </w:rPr>
        <w:t>评标程序</w:t>
      </w:r>
      <w:r>
        <w:tab/>
      </w:r>
      <w:r>
        <w:fldChar w:fldCharType="begin"/>
      </w:r>
      <w:r>
        <w:instrText xml:space="preserve"> PAGEREF _Toc17909 \h </w:instrText>
      </w:r>
      <w:r>
        <w:fldChar w:fldCharType="separate"/>
      </w:r>
      <w:r>
        <w:t>77</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_Toc31485 </w:instrText>
      </w:r>
      <w:r>
        <w:rPr>
          <w:rFonts w:hint="eastAsia"/>
        </w:rPr>
        <w:fldChar w:fldCharType="separate"/>
      </w:r>
      <w:r>
        <w:rPr>
          <w:rFonts w:hint="default" w:ascii="Times New Roman" w:hAnsi="Times New Roman" w:eastAsia="宋体" w:cs="Times New Roman"/>
          <w:bCs/>
          <w:i w:val="0"/>
          <w:szCs w:val="28"/>
        </w:rPr>
        <w:t xml:space="preserve">6.4 </w:t>
      </w:r>
      <w:r>
        <w:rPr>
          <w:rFonts w:hint="eastAsia" w:ascii="宋体" w:hAnsi="宋体"/>
          <w:bCs/>
          <w:szCs w:val="28"/>
        </w:rPr>
        <w:t>评标争议处理规则</w:t>
      </w:r>
      <w:r>
        <w:tab/>
      </w:r>
      <w:r>
        <w:fldChar w:fldCharType="begin"/>
      </w:r>
      <w:r>
        <w:instrText xml:space="preserve"> PAGEREF _Toc31485 \h </w:instrText>
      </w:r>
      <w:r>
        <w:fldChar w:fldCharType="separate"/>
      </w:r>
      <w:r>
        <w:t>83</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_Toc28801 </w:instrText>
      </w:r>
      <w:r>
        <w:rPr>
          <w:rFonts w:hint="eastAsia"/>
        </w:rPr>
        <w:fldChar w:fldCharType="separate"/>
      </w:r>
      <w:r>
        <w:rPr>
          <w:rFonts w:hint="default" w:ascii="Times New Roman" w:hAnsi="Times New Roman" w:eastAsia="宋体" w:cs="Times New Roman"/>
          <w:bCs/>
          <w:i w:val="0"/>
          <w:szCs w:val="28"/>
        </w:rPr>
        <w:t xml:space="preserve">6.5 </w:t>
      </w:r>
      <w:r>
        <w:rPr>
          <w:rFonts w:hint="eastAsia" w:ascii="宋体" w:hAnsi="宋体"/>
          <w:bCs/>
          <w:szCs w:val="28"/>
        </w:rPr>
        <w:t>评标细则及标准</w:t>
      </w:r>
      <w:r>
        <w:tab/>
      </w:r>
      <w:r>
        <w:fldChar w:fldCharType="begin"/>
      </w:r>
      <w:r>
        <w:instrText xml:space="preserve"> PAGEREF _Toc28801 \h </w:instrText>
      </w:r>
      <w:r>
        <w:fldChar w:fldCharType="separate"/>
      </w:r>
      <w:r>
        <w:t>83</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_Toc6226 </w:instrText>
      </w:r>
      <w:r>
        <w:rPr>
          <w:rFonts w:hint="eastAsia"/>
        </w:rPr>
        <w:fldChar w:fldCharType="separate"/>
      </w:r>
      <w:r>
        <w:rPr>
          <w:rFonts w:hint="default" w:ascii="Times New Roman" w:hAnsi="Times New Roman" w:eastAsia="宋体" w:cs="Times New Roman"/>
          <w:bCs/>
          <w:i w:val="0"/>
          <w:szCs w:val="28"/>
        </w:rPr>
        <w:t xml:space="preserve">6.6 </w:t>
      </w:r>
      <w:r>
        <w:rPr>
          <w:rFonts w:hint="eastAsia" w:ascii="宋体" w:hAnsi="宋体"/>
          <w:bCs/>
          <w:szCs w:val="28"/>
        </w:rPr>
        <w:t>废标</w:t>
      </w:r>
      <w:r>
        <w:tab/>
      </w:r>
      <w:r>
        <w:fldChar w:fldCharType="begin"/>
      </w:r>
      <w:r>
        <w:instrText xml:space="preserve"> PAGEREF _Toc6226 \h </w:instrText>
      </w:r>
      <w:r>
        <w:fldChar w:fldCharType="separate"/>
      </w:r>
      <w:r>
        <w:t>87</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_Toc30009 </w:instrText>
      </w:r>
      <w:r>
        <w:rPr>
          <w:rFonts w:hint="eastAsia"/>
        </w:rPr>
        <w:fldChar w:fldCharType="separate"/>
      </w:r>
      <w:r>
        <w:rPr>
          <w:rFonts w:hint="default" w:ascii="Times New Roman" w:hAnsi="Times New Roman" w:eastAsia="宋体" w:cs="Times New Roman"/>
          <w:bCs/>
          <w:i w:val="0"/>
          <w:szCs w:val="28"/>
        </w:rPr>
        <w:t xml:space="preserve">6.7 </w:t>
      </w:r>
      <w:r>
        <w:rPr>
          <w:rFonts w:hint="eastAsia" w:ascii="宋体" w:hAnsi="宋体"/>
          <w:bCs/>
          <w:szCs w:val="28"/>
        </w:rPr>
        <w:t>定标</w:t>
      </w:r>
      <w:r>
        <w:tab/>
      </w:r>
      <w:r>
        <w:fldChar w:fldCharType="begin"/>
      </w:r>
      <w:r>
        <w:instrText xml:space="preserve"> PAGEREF _Toc30009 \h </w:instrText>
      </w:r>
      <w:r>
        <w:fldChar w:fldCharType="separate"/>
      </w:r>
      <w:r>
        <w:t>88</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_Toc22821 </w:instrText>
      </w:r>
      <w:r>
        <w:rPr>
          <w:rFonts w:hint="eastAsia"/>
        </w:rPr>
        <w:fldChar w:fldCharType="separate"/>
      </w:r>
      <w:r>
        <w:rPr>
          <w:rFonts w:hint="default" w:ascii="Times New Roman" w:hAnsi="Times New Roman" w:eastAsia="宋体" w:cs="Times New Roman"/>
          <w:bCs/>
          <w:i w:val="0"/>
          <w:szCs w:val="28"/>
        </w:rPr>
        <w:t xml:space="preserve">6.8 </w:t>
      </w:r>
      <w:r>
        <w:rPr>
          <w:rFonts w:hint="eastAsia" w:ascii="宋体" w:hAnsi="宋体"/>
          <w:bCs/>
          <w:szCs w:val="28"/>
        </w:rPr>
        <w:t>评标专家在政府采购活动中承担以下义务</w:t>
      </w:r>
      <w:r>
        <w:tab/>
      </w:r>
      <w:r>
        <w:fldChar w:fldCharType="begin"/>
      </w:r>
      <w:r>
        <w:instrText xml:space="preserve"> PAGEREF _Toc22821 \h </w:instrText>
      </w:r>
      <w:r>
        <w:fldChar w:fldCharType="separate"/>
      </w:r>
      <w:r>
        <w:t>89</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_Toc5738 </w:instrText>
      </w:r>
      <w:r>
        <w:rPr>
          <w:rFonts w:hint="eastAsia"/>
        </w:rPr>
        <w:fldChar w:fldCharType="separate"/>
      </w:r>
      <w:r>
        <w:rPr>
          <w:rFonts w:hint="default" w:ascii="Times New Roman" w:hAnsi="Times New Roman" w:eastAsia="宋体" w:cs="Times New Roman"/>
          <w:bCs/>
          <w:i w:val="0"/>
          <w:szCs w:val="28"/>
        </w:rPr>
        <w:t xml:space="preserve">6.9 </w:t>
      </w:r>
      <w:r>
        <w:rPr>
          <w:rFonts w:hint="eastAsia" w:ascii="宋体" w:hAnsi="宋体"/>
          <w:bCs/>
          <w:szCs w:val="28"/>
        </w:rPr>
        <w:t>评标委员会及其成员不得有下列行为</w:t>
      </w:r>
      <w:r>
        <w:tab/>
      </w:r>
      <w:r>
        <w:fldChar w:fldCharType="begin"/>
      </w:r>
      <w:r>
        <w:instrText xml:space="preserve"> PAGEREF _Toc5738 \h </w:instrText>
      </w:r>
      <w:r>
        <w:fldChar w:fldCharType="separate"/>
      </w:r>
      <w:r>
        <w:t>89</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_Toc22697 </w:instrText>
      </w:r>
      <w:r>
        <w:rPr>
          <w:rFonts w:hint="eastAsia"/>
        </w:rPr>
        <w:fldChar w:fldCharType="separate"/>
      </w:r>
      <w:r>
        <w:rPr>
          <w:rFonts w:hint="default" w:ascii="Times New Roman" w:hAnsi="Times New Roman" w:eastAsia="宋体" w:cs="Times New Roman"/>
          <w:bCs/>
          <w:i w:val="0"/>
          <w:szCs w:val="28"/>
        </w:rPr>
        <w:t xml:space="preserve">6.10 </w:t>
      </w:r>
      <w:r>
        <w:rPr>
          <w:rFonts w:hint="eastAsia" w:ascii="宋体" w:hAnsi="宋体"/>
          <w:bCs/>
          <w:szCs w:val="28"/>
        </w:rPr>
        <w:t>评标专家在政府采购活动中应当遵守以下工作纪律</w:t>
      </w:r>
      <w:r>
        <w:tab/>
      </w:r>
      <w:r>
        <w:fldChar w:fldCharType="begin"/>
      </w:r>
      <w:r>
        <w:instrText xml:space="preserve"> PAGEREF _Toc22697 \h </w:instrText>
      </w:r>
      <w:r>
        <w:fldChar w:fldCharType="separate"/>
      </w:r>
      <w:r>
        <w:t>90</w:t>
      </w:r>
      <w:r>
        <w:fldChar w:fldCharType="end"/>
      </w:r>
      <w:r>
        <w:rPr>
          <w:rFonts w:hint="eastAsia"/>
        </w:rPr>
        <w:fldChar w:fldCharType="end"/>
      </w:r>
    </w:p>
    <w:p>
      <w:pPr>
        <w:pStyle w:val="29"/>
        <w:tabs>
          <w:tab w:val="right" w:leader="dot" w:pos="8640"/>
          <w:tab w:val="clear" w:pos="709"/>
          <w:tab w:val="clear" w:pos="8364"/>
        </w:tabs>
      </w:pPr>
      <w:r>
        <w:rPr>
          <w:rFonts w:hint="eastAsia"/>
        </w:rPr>
        <w:fldChar w:fldCharType="begin"/>
      </w:r>
      <w:r>
        <w:rPr>
          <w:rFonts w:hint="eastAsia"/>
        </w:rPr>
        <w:instrText xml:space="preserve"> HYPERLINK \l _Toc17462 </w:instrText>
      </w:r>
      <w:r>
        <w:rPr>
          <w:rFonts w:hint="eastAsia"/>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bCs/>
          <w:spacing w:val="-20"/>
          <w:kern w:val="44"/>
          <w:szCs w:val="32"/>
        </w:rPr>
        <w:t>政府采购合同</w:t>
      </w:r>
      <w:r>
        <w:tab/>
      </w:r>
      <w:r>
        <w:fldChar w:fldCharType="begin"/>
      </w:r>
      <w:r>
        <w:instrText xml:space="preserve"> PAGEREF _Toc17462 \h </w:instrText>
      </w:r>
      <w:r>
        <w:fldChar w:fldCharType="separate"/>
      </w:r>
      <w:r>
        <w:t>92</w:t>
      </w:r>
      <w:r>
        <w:fldChar w:fldCharType="end"/>
      </w:r>
      <w:r>
        <w:rPr>
          <w:rFonts w:hint="eastAsia"/>
        </w:rPr>
        <w:fldChar w:fldCharType="end"/>
      </w:r>
    </w:p>
    <w:p>
      <w:pPr>
        <w:tabs>
          <w:tab w:val="left" w:pos="620"/>
          <w:tab w:val="right" w:leader="dot" w:pos="8364"/>
        </w:tabs>
        <w:spacing w:line="360" w:lineRule="exact"/>
      </w:pPr>
      <w:r>
        <w:rPr>
          <w:rFonts w:hint="eastAsia"/>
        </w:rPr>
        <w:fldChar w:fldCharType="end"/>
      </w:r>
    </w:p>
    <w:p>
      <w:pPr>
        <w:pStyle w:val="2"/>
      </w:pPr>
    </w:p>
    <w:p>
      <w:pPr>
        <w:rPr>
          <w:rFonts w:ascii="宋体" w:hAnsi="宋体"/>
          <w:b/>
          <w:bCs/>
          <w:spacing w:val="-20"/>
          <w:kern w:val="44"/>
          <w:sz w:val="32"/>
          <w:szCs w:val="32"/>
        </w:rPr>
      </w:pPr>
      <w:bookmarkStart w:id="4" w:name="_Toc181610856"/>
      <w:bookmarkStart w:id="5" w:name="_Toc181591102"/>
      <w:bookmarkStart w:id="6" w:name="_Toc204575871"/>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7" w:name="_Toc17575"/>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rPr>
        <w:t>成都市双流区公共资源交易服务中心（以下简称“区公资交易中心”）受</w:t>
      </w:r>
      <w:r>
        <w:rPr>
          <w:rFonts w:hint="eastAsia" w:ascii="宋体" w:hAnsi="宋体"/>
          <w:b/>
          <w:sz w:val="28"/>
          <w:szCs w:val="28"/>
          <w:u w:val="single"/>
        </w:rPr>
        <w:t>成都市双流区教育技术装备管理中心</w:t>
      </w:r>
      <w:r>
        <w:rPr>
          <w:rFonts w:hint="eastAsia" w:ascii="宋体" w:hAnsi="宋体"/>
          <w:sz w:val="28"/>
          <w:szCs w:val="28"/>
        </w:rPr>
        <w:t>委托，拟对</w:t>
      </w:r>
      <w:r>
        <w:rPr>
          <w:rFonts w:hint="eastAsia" w:ascii="宋体" w:hAnsi="宋体"/>
          <w:b/>
          <w:sz w:val="28"/>
          <w:szCs w:val="28"/>
          <w:u w:val="single"/>
        </w:rPr>
        <w:t>成都市双流区教育技术装备管理中心2021年彭镇小学等2校多功能厅LED、音箱和灯光系统采购项目</w:t>
      </w:r>
      <w:r>
        <w:rPr>
          <w:rFonts w:hint="eastAsia" w:ascii="宋体" w:hAnsi="宋体"/>
          <w:sz w:val="28"/>
          <w:szCs w:val="28"/>
        </w:rPr>
        <w:t>进行国内公开招标，兹邀请符合本次招标要求的供应商参加投标。</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项目编号：双流政采（2021）A0065号</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（采购项目编号：510122202100324）</w:t>
      </w:r>
    </w:p>
    <w:p>
      <w:pPr>
        <w:numPr>
          <w:ilvl w:val="0"/>
          <w:numId w:val="6"/>
        </w:numPr>
        <w:spacing w:line="360" w:lineRule="auto"/>
        <w:ind w:left="0" w:firstLine="568"/>
        <w:rPr>
          <w:rFonts w:ascii="宋体" w:hAnsi="宋体"/>
          <w:b/>
          <w:sz w:val="28"/>
          <w:szCs w:val="28"/>
        </w:rPr>
      </w:pPr>
      <w:r>
        <w:rPr>
          <w:rFonts w:hint="eastAsia" w:ascii="宋体" w:hAnsi="宋体"/>
          <w:b/>
          <w:sz w:val="28"/>
          <w:szCs w:val="28"/>
        </w:rPr>
        <w:t>项目名称：成都市双流区教育技术装备管理中心2021年彭镇小学等2校多功能厅LED、音箱和灯光系统采购项目</w:t>
      </w:r>
    </w:p>
    <w:p>
      <w:pPr>
        <w:numPr>
          <w:ilvl w:val="0"/>
          <w:numId w:val="6"/>
        </w:numPr>
        <w:spacing w:line="360" w:lineRule="auto"/>
        <w:ind w:left="0" w:firstLine="568"/>
        <w:rPr>
          <w:rFonts w:ascii="宋体" w:hAnsi="宋体"/>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财政性资金，政府采购实施计划备案表号：（2021）0762号；预算品目：A02019901信息系统集成（货物类）；所属行业：工业；预算金额：2491846.18元</w:t>
      </w:r>
      <w:r>
        <w:rPr>
          <w:rFonts w:hint="eastAsia" w:ascii="宋体" w:hAnsi="宋体"/>
          <w:sz w:val="28"/>
        </w:rPr>
        <w:t>；最高限价：</w:t>
      </w:r>
      <w:r>
        <w:rPr>
          <w:rFonts w:hint="eastAsia" w:ascii="宋体" w:hAnsi="宋体"/>
          <w:sz w:val="28"/>
          <w:szCs w:val="28"/>
        </w:rPr>
        <w:t>2491846.18元。</w:t>
      </w:r>
    </w:p>
    <w:p>
      <w:pPr>
        <w:numPr>
          <w:ilvl w:val="0"/>
          <w:numId w:val="6"/>
        </w:numPr>
        <w:spacing w:line="360" w:lineRule="auto"/>
        <w:ind w:left="0" w:firstLine="562" w:firstLineChars="200"/>
        <w:rPr>
          <w:rFonts w:ascii="宋体" w:hAnsi="宋体"/>
          <w:b/>
          <w:sz w:val="28"/>
          <w:szCs w:val="28"/>
        </w:rPr>
      </w:pPr>
      <w:r>
        <w:rPr>
          <w:rFonts w:hint="eastAsia" w:ascii="宋体" w:hAnsi="宋体"/>
          <w:b/>
          <w:sz w:val="28"/>
          <w:szCs w:val="28"/>
        </w:rPr>
        <w:t>招标项目简介</w:t>
      </w:r>
    </w:p>
    <w:p>
      <w:pPr>
        <w:pStyle w:val="79"/>
        <w:tabs>
          <w:tab w:val="left" w:pos="1134"/>
        </w:tabs>
        <w:snapToGrid w:val="0"/>
        <w:spacing w:line="360" w:lineRule="auto"/>
        <w:ind w:firstLine="560"/>
        <w:rPr>
          <w:rFonts w:ascii="宋体" w:hAnsi="宋体"/>
          <w:sz w:val="28"/>
          <w:szCs w:val="28"/>
        </w:rPr>
      </w:pPr>
      <w:r>
        <w:rPr>
          <w:rFonts w:hint="eastAsia" w:ascii="宋体" w:hAnsi="宋体"/>
          <w:sz w:val="28"/>
          <w:szCs w:val="28"/>
        </w:rPr>
        <w:t>成都市双流区教育技术装备管理中心因工作需要，拟采购一批货物对2021年彭镇小学等2校多功能厅LED、音箱和灯光系统等进行打造，以满足学校教学及工作需要。</w:t>
      </w:r>
    </w:p>
    <w:p>
      <w:pPr>
        <w:pStyle w:val="79"/>
        <w:tabs>
          <w:tab w:val="left" w:pos="1134"/>
        </w:tabs>
        <w:snapToGrid w:val="0"/>
        <w:spacing w:line="360" w:lineRule="auto"/>
        <w:ind w:firstLine="560"/>
        <w:rPr>
          <w:rFonts w:ascii="宋体" w:hAnsi="宋体" w:eastAsia="宋体"/>
          <w:bCs/>
          <w:sz w:val="28"/>
          <w:szCs w:val="28"/>
          <w:lang w:val="zh-CN"/>
        </w:rPr>
      </w:pPr>
      <w:r>
        <w:rPr>
          <w:rFonts w:hint="eastAsia" w:ascii="宋体" w:hAnsi="宋体"/>
          <w:sz w:val="28"/>
          <w:szCs w:val="28"/>
        </w:rPr>
        <w:t>详细的技术、服务、商务及其他要求见招标文件第4章。</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7"/>
        </w:numPr>
        <w:tabs>
          <w:tab w:val="left" w:pos="1260"/>
        </w:tabs>
        <w:spacing w:line="360" w:lineRule="auto"/>
        <w:ind w:left="0" w:firstLine="560" w:firstLineChars="200"/>
        <w:rPr>
          <w:rFonts w:ascii="宋体" w:hAnsi="宋体"/>
          <w:sz w:val="28"/>
          <w:szCs w:val="28"/>
        </w:rPr>
      </w:pPr>
      <w:r>
        <w:rPr>
          <w:rFonts w:hint="eastAsia" w:ascii="宋体" w:hAnsi="宋体"/>
          <w:sz w:val="28"/>
          <w:szCs w:val="28"/>
        </w:rPr>
        <w:t>符合《政府采购法》第二十二条第一款规定的条件；</w:t>
      </w:r>
    </w:p>
    <w:p>
      <w:pPr>
        <w:numPr>
          <w:ilvl w:val="1"/>
          <w:numId w:val="7"/>
        </w:numPr>
        <w:tabs>
          <w:tab w:val="left" w:pos="1260"/>
        </w:tabs>
        <w:spacing w:line="360" w:lineRule="auto"/>
        <w:ind w:left="0" w:firstLine="560" w:firstLineChars="200"/>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1"/>
          <w:numId w:val="7"/>
        </w:numPr>
        <w:tabs>
          <w:tab w:val="left" w:pos="1260"/>
        </w:tabs>
        <w:spacing w:line="360" w:lineRule="auto"/>
        <w:ind w:left="0" w:firstLine="560" w:firstLineChars="200"/>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1"/>
          <w:numId w:val="7"/>
        </w:numPr>
        <w:tabs>
          <w:tab w:val="left" w:pos="1260"/>
        </w:tabs>
        <w:spacing w:line="360" w:lineRule="auto"/>
        <w:ind w:left="0" w:firstLine="560" w:firstLineChars="200"/>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numPr>
          <w:ilvl w:val="1"/>
          <w:numId w:val="7"/>
        </w:numPr>
        <w:tabs>
          <w:tab w:val="left" w:pos="1260"/>
        </w:tabs>
        <w:spacing w:line="360" w:lineRule="auto"/>
        <w:ind w:left="0" w:firstLine="560" w:firstLineChars="200"/>
        <w:rPr>
          <w:rFonts w:ascii="宋体" w:hAnsi="宋体"/>
          <w:sz w:val="28"/>
          <w:szCs w:val="28"/>
        </w:rPr>
      </w:pPr>
      <w:r>
        <w:rPr>
          <w:rFonts w:ascii="宋体" w:hAnsi="宋体"/>
          <w:sz w:val="28"/>
          <w:szCs w:val="28"/>
        </w:rPr>
        <w:t>未处于被行政部门禁止参与政府采购活动的期限内</w:t>
      </w:r>
      <w:r>
        <w:rPr>
          <w:rFonts w:hint="eastAsia" w:ascii="宋体" w:hAnsi="宋体"/>
          <w:sz w:val="28"/>
          <w:szCs w:val="28"/>
        </w:rPr>
        <w:t>；</w:t>
      </w:r>
    </w:p>
    <w:p>
      <w:pPr>
        <w:numPr>
          <w:ilvl w:val="1"/>
          <w:numId w:val="7"/>
        </w:numPr>
        <w:tabs>
          <w:tab w:val="left" w:pos="1260"/>
        </w:tabs>
        <w:spacing w:line="360" w:lineRule="auto"/>
        <w:ind w:left="0" w:firstLine="560" w:firstLineChars="200"/>
        <w:rPr>
          <w:rFonts w:ascii="宋体" w:hAnsi="宋体"/>
          <w:sz w:val="28"/>
          <w:szCs w:val="28"/>
        </w:rPr>
      </w:pPr>
      <w:r>
        <w:rPr>
          <w:rFonts w:hint="eastAsia" w:ascii="宋体" w:hAnsi="宋体"/>
          <w:sz w:val="28"/>
          <w:szCs w:val="28"/>
        </w:rPr>
        <w:t>不属于其他国家相关法律法规规定的禁止参加投标的供应商；</w:t>
      </w:r>
    </w:p>
    <w:p>
      <w:pPr>
        <w:numPr>
          <w:ilvl w:val="1"/>
          <w:numId w:val="7"/>
        </w:numPr>
        <w:tabs>
          <w:tab w:val="left" w:pos="1260"/>
        </w:tabs>
        <w:spacing w:line="360" w:lineRule="auto"/>
        <w:ind w:left="0" w:firstLine="560" w:firstLineChars="200"/>
        <w:rPr>
          <w:rFonts w:ascii="宋体" w:hAnsi="宋体"/>
          <w:sz w:val="28"/>
          <w:szCs w:val="28"/>
        </w:rPr>
      </w:pPr>
      <w:r>
        <w:rPr>
          <w:rFonts w:hint="eastAsia" w:ascii="宋体" w:hAnsi="宋体"/>
          <w:sz w:val="28"/>
          <w:szCs w:val="28"/>
        </w:rPr>
        <w:t>本项目</w:t>
      </w:r>
      <w:r>
        <w:rPr>
          <w:rFonts w:hint="eastAsia" w:ascii="宋体" w:hAnsi="宋体"/>
          <w:b/>
          <w:sz w:val="28"/>
          <w:szCs w:val="28"/>
        </w:rPr>
        <w:t>不接受</w:t>
      </w:r>
      <w:r>
        <w:rPr>
          <w:rFonts w:hint="eastAsia" w:ascii="宋体" w:hAnsi="宋体"/>
          <w:sz w:val="28"/>
          <w:szCs w:val="28"/>
        </w:rPr>
        <w:t>联合体投标。</w:t>
      </w:r>
    </w:p>
    <w:p>
      <w:pPr>
        <w:numPr>
          <w:ilvl w:val="0"/>
          <w:numId w:val="6"/>
        </w:numPr>
        <w:spacing w:line="360" w:lineRule="auto"/>
        <w:ind w:left="0" w:firstLine="567"/>
        <w:rPr>
          <w:rFonts w:ascii="宋体" w:hAnsi="宋体"/>
          <w:i/>
          <w:sz w:val="28"/>
        </w:rPr>
      </w:pPr>
      <w:r>
        <w:rPr>
          <w:rFonts w:hint="eastAsia" w:ascii="宋体" w:hAnsi="宋体"/>
          <w:b/>
          <w:sz w:val="28"/>
          <w:szCs w:val="28"/>
        </w:rPr>
        <w:t>招标文件获取时间</w:t>
      </w:r>
    </w:p>
    <w:p>
      <w:pPr>
        <w:numPr>
          <w:ilvl w:val="0"/>
          <w:numId w:val="8"/>
        </w:numPr>
        <w:spacing w:line="360" w:lineRule="auto"/>
        <w:ind w:left="0" w:firstLine="567"/>
        <w:rPr>
          <w:rFonts w:ascii="宋体" w:hAnsi="宋体"/>
          <w:color w:val="FF0000"/>
          <w:sz w:val="28"/>
        </w:rPr>
      </w:pPr>
      <w:r>
        <w:rPr>
          <w:rFonts w:hint="eastAsia" w:ascii="宋体" w:hAnsi="宋体"/>
          <w:sz w:val="28"/>
          <w:szCs w:val="28"/>
        </w:rPr>
        <w:t>招标文件获取时间：</w:t>
      </w:r>
      <w:r>
        <w:rPr>
          <w:rFonts w:hint="eastAsia" w:ascii="宋体" w:hAnsi="宋体"/>
          <w:color w:val="FF0000"/>
          <w:sz w:val="28"/>
          <w:szCs w:val="28"/>
        </w:rPr>
        <w:t>2021年10月</w:t>
      </w:r>
      <w:r>
        <w:rPr>
          <w:rFonts w:hint="eastAsia" w:ascii="宋体" w:hAnsi="宋体"/>
          <w:color w:val="FF0000"/>
          <w:sz w:val="28"/>
          <w:szCs w:val="28"/>
          <w:lang w:val="en-US" w:eastAsia="zh-CN"/>
        </w:rPr>
        <w:t>29</w:t>
      </w:r>
      <w:r>
        <w:rPr>
          <w:rFonts w:hint="eastAsia" w:ascii="宋体" w:hAnsi="宋体"/>
          <w:color w:val="FF0000"/>
          <w:sz w:val="28"/>
          <w:szCs w:val="28"/>
        </w:rPr>
        <w:t>日至11月</w:t>
      </w:r>
      <w:r>
        <w:rPr>
          <w:rFonts w:hint="eastAsia" w:ascii="宋体" w:hAnsi="宋体"/>
          <w:color w:val="FF0000"/>
          <w:sz w:val="28"/>
          <w:szCs w:val="28"/>
          <w:lang w:val="en-US" w:eastAsia="zh-CN"/>
        </w:rPr>
        <w:t>17</w:t>
      </w:r>
      <w:r>
        <w:rPr>
          <w:rFonts w:hint="eastAsia" w:ascii="宋体" w:hAnsi="宋体"/>
          <w:color w:val="FF0000"/>
          <w:sz w:val="28"/>
          <w:szCs w:val="28"/>
        </w:rPr>
        <w:t>日。</w:t>
      </w:r>
    </w:p>
    <w:p>
      <w:pPr>
        <w:numPr>
          <w:ilvl w:val="0"/>
          <w:numId w:val="8"/>
        </w:numPr>
        <w:spacing w:line="360" w:lineRule="auto"/>
        <w:ind w:left="0" w:firstLine="567"/>
        <w:rPr>
          <w:rFonts w:ascii="宋体" w:hAnsi="宋体"/>
          <w:color w:val="FF0000"/>
          <w:sz w:val="28"/>
          <w:szCs w:val="28"/>
        </w:rPr>
      </w:pPr>
      <w:r>
        <w:rPr>
          <w:rFonts w:hint="eastAsia" w:ascii="宋体" w:hAnsi="宋体"/>
          <w:color w:val="FF0000"/>
          <w:sz w:val="28"/>
          <w:szCs w:val="28"/>
        </w:rPr>
        <w:t>公告期限：2021年10月</w:t>
      </w:r>
      <w:r>
        <w:rPr>
          <w:rFonts w:hint="eastAsia" w:ascii="宋体" w:hAnsi="宋体"/>
          <w:color w:val="FF0000"/>
          <w:sz w:val="28"/>
          <w:szCs w:val="28"/>
          <w:lang w:val="en-US" w:eastAsia="zh-CN"/>
        </w:rPr>
        <w:t>29</w:t>
      </w:r>
      <w:r>
        <w:rPr>
          <w:rFonts w:hint="eastAsia" w:ascii="宋体" w:hAnsi="宋体"/>
          <w:color w:val="FF0000"/>
          <w:sz w:val="28"/>
          <w:szCs w:val="28"/>
        </w:rPr>
        <w:t>日至1</w:t>
      </w:r>
      <w:r>
        <w:rPr>
          <w:rFonts w:hint="eastAsia" w:ascii="宋体" w:hAnsi="宋体"/>
          <w:color w:val="FF0000"/>
          <w:sz w:val="28"/>
          <w:szCs w:val="28"/>
          <w:lang w:val="en-US" w:eastAsia="zh-CN"/>
        </w:rPr>
        <w:t>1</w:t>
      </w:r>
      <w:r>
        <w:rPr>
          <w:rFonts w:hint="eastAsia" w:ascii="宋体" w:hAnsi="宋体"/>
          <w:color w:val="FF0000"/>
          <w:sz w:val="28"/>
          <w:szCs w:val="28"/>
        </w:rPr>
        <w:t>月</w:t>
      </w:r>
      <w:r>
        <w:rPr>
          <w:rFonts w:hint="eastAsia" w:ascii="宋体" w:hAnsi="宋体"/>
          <w:color w:val="FF0000"/>
          <w:sz w:val="28"/>
          <w:szCs w:val="28"/>
          <w:lang w:val="en-US" w:eastAsia="zh-CN"/>
        </w:rPr>
        <w:t>4</w:t>
      </w:r>
      <w:r>
        <w:rPr>
          <w:rFonts w:hint="eastAsia" w:ascii="宋体" w:hAnsi="宋体"/>
          <w:color w:val="FF0000"/>
          <w:sz w:val="28"/>
          <w:szCs w:val="28"/>
        </w:rPr>
        <w:t>日。</w:t>
      </w:r>
    </w:p>
    <w:p>
      <w:pPr>
        <w:numPr>
          <w:ilvl w:val="0"/>
          <w:numId w:val="8"/>
        </w:numPr>
        <w:spacing w:line="360" w:lineRule="auto"/>
        <w:ind w:left="0" w:firstLine="567"/>
        <w:rPr>
          <w:rFonts w:ascii="宋体" w:hAnsi="宋体"/>
          <w:sz w:val="28"/>
          <w:szCs w:val="28"/>
        </w:rPr>
      </w:pPr>
      <w:r>
        <w:rPr>
          <w:rFonts w:hint="eastAsia" w:ascii="宋体" w:hAnsi="宋体"/>
          <w:sz w:val="28"/>
          <w:szCs w:val="28"/>
        </w:rPr>
        <w:t>供应商如对招标文件有质疑的，应于公告期限届满之日起七个工作日内以书面形式提出。</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0" w:firstLineChars="200"/>
        <w:rPr>
          <w:rFonts w:ascii="宋体" w:hAnsi="宋体"/>
          <w:sz w:val="28"/>
          <w:szCs w:val="28"/>
        </w:rPr>
      </w:pPr>
      <w:r>
        <w:rPr>
          <w:rFonts w:hint="eastAsia" w:ascii="宋体" w:hAnsi="宋体"/>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0" w:firstLineChars="200"/>
        <w:rPr>
          <w:rFonts w:ascii="宋体" w:hAnsi="宋体"/>
          <w:sz w:val="28"/>
          <w:szCs w:val="28"/>
        </w:rPr>
      </w:pPr>
      <w:r>
        <w:rPr>
          <w:rFonts w:hint="eastAsia" w:ascii="宋体" w:hAnsi="宋体"/>
          <w:sz w:val="28"/>
          <w:szCs w:val="28"/>
        </w:rPr>
        <w:t>提示：</w:t>
      </w:r>
    </w:p>
    <w:p>
      <w:pPr>
        <w:spacing w:line="360" w:lineRule="auto"/>
        <w:ind w:firstLine="560" w:firstLineChars="200"/>
        <w:rPr>
          <w:rFonts w:ascii="宋体" w:hAnsi="宋体"/>
          <w:sz w:val="28"/>
          <w:szCs w:val="28"/>
        </w:rPr>
      </w:pPr>
      <w:r>
        <w:rPr>
          <w:rFonts w:hint="eastAsia" w:ascii="宋体" w:hAnsi="宋体"/>
          <w:sz w:val="28"/>
          <w:szCs w:val="28"/>
        </w:rPr>
        <w:t>（1）本项目采购文件免费获取。</w:t>
      </w:r>
    </w:p>
    <w:p>
      <w:pPr>
        <w:spacing w:line="360" w:lineRule="auto"/>
        <w:ind w:firstLine="560" w:firstLineChars="200"/>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0" w:firstLineChars="200"/>
        <w:rPr>
          <w:rFonts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spacing w:line="360" w:lineRule="auto"/>
        <w:ind w:firstLine="560" w:firstLineChars="200"/>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0" w:firstLineChars="200"/>
        <w:rPr>
          <w:rFonts w:ascii="宋体" w:hAnsi="宋体"/>
          <w:sz w:val="28"/>
          <w:szCs w:val="28"/>
        </w:rPr>
      </w:pPr>
      <w:bookmarkStart w:id="8" w:name="_Toc184013605"/>
      <w:bookmarkStart w:id="9" w:name="_Toc186274101"/>
      <w:bookmarkStart w:id="10" w:name="_Toc174185149"/>
      <w:bookmarkStart w:id="11" w:name="_Toc180051012"/>
      <w:bookmarkStart w:id="12" w:name="_Toc184023104"/>
      <w:r>
        <w:rPr>
          <w:rFonts w:hint="eastAsia" w:ascii="宋体" w:hAnsi="宋体"/>
          <w:sz w:val="28"/>
          <w:szCs w:val="28"/>
        </w:rPr>
        <w:t>登录成都市公共资源交易服务中心门户网站（https://www.cdggzy.com/）—用户中心—政府采购云平台获取</w:t>
      </w:r>
      <w:r>
        <w:rPr>
          <w:rFonts w:hint="eastAsia" w:ascii="宋体" w:hAnsi="宋体"/>
          <w:sz w:val="28"/>
        </w:rPr>
        <w:t>。</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投标文件递交截止时间及开标时间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5" w:firstLineChars="202"/>
        <w:rPr>
          <w:rFonts w:ascii="宋体" w:hAnsi="宋体"/>
          <w:b/>
          <w:color w:val="FF0000"/>
          <w:sz w:val="28"/>
          <w:szCs w:val="28"/>
        </w:rPr>
      </w:pPr>
      <w:r>
        <w:rPr>
          <w:rFonts w:hint="eastAsia" w:ascii="宋体" w:hAnsi="宋体"/>
          <w:sz w:val="28"/>
          <w:szCs w:val="28"/>
        </w:rPr>
        <w:t>（一）投标文件递交截止时间及开标时间：</w:t>
      </w:r>
      <w:r>
        <w:rPr>
          <w:rFonts w:hint="eastAsia" w:ascii="宋体" w:hAnsi="宋体"/>
          <w:b/>
          <w:color w:val="FF0000"/>
          <w:sz w:val="28"/>
          <w:szCs w:val="28"/>
        </w:rPr>
        <w:t>202</w:t>
      </w:r>
      <w:r>
        <w:rPr>
          <w:rFonts w:ascii="宋体" w:hAnsi="宋体"/>
          <w:b/>
          <w:color w:val="FF0000"/>
          <w:sz w:val="28"/>
          <w:szCs w:val="28"/>
        </w:rPr>
        <w:t>1</w:t>
      </w:r>
      <w:r>
        <w:rPr>
          <w:rFonts w:hint="eastAsia" w:ascii="宋体" w:hAnsi="宋体"/>
          <w:b/>
          <w:color w:val="FF0000"/>
          <w:sz w:val="28"/>
          <w:szCs w:val="28"/>
        </w:rPr>
        <w:t>年11月</w:t>
      </w:r>
      <w:r>
        <w:rPr>
          <w:rFonts w:hint="eastAsia" w:ascii="宋体" w:hAnsi="宋体"/>
          <w:b/>
          <w:color w:val="FF0000"/>
          <w:sz w:val="28"/>
          <w:szCs w:val="28"/>
          <w:lang w:val="en-US" w:eastAsia="zh-CN"/>
        </w:rPr>
        <w:t>18</w:t>
      </w:r>
      <w:r>
        <w:rPr>
          <w:rFonts w:hint="eastAsia" w:ascii="宋体" w:hAnsi="宋体"/>
          <w:b/>
          <w:color w:val="FF0000"/>
          <w:sz w:val="28"/>
          <w:szCs w:val="28"/>
        </w:rPr>
        <w:t>日上午09:30。</w:t>
      </w:r>
    </w:p>
    <w:p>
      <w:pPr>
        <w:spacing w:line="560" w:lineRule="exact"/>
        <w:ind w:firstLine="565" w:firstLineChars="202"/>
        <w:rPr>
          <w:rFonts w:ascii="宋体" w:hAnsi="宋体"/>
          <w:sz w:val="28"/>
          <w:szCs w:val="28"/>
        </w:rPr>
      </w:pPr>
      <w:r>
        <w:rPr>
          <w:rFonts w:hint="eastAsia" w:ascii="宋体" w:hAnsi="宋体"/>
          <w:sz w:val="28"/>
          <w:szCs w:val="28"/>
        </w:rPr>
        <w:t>（二）投标文件递交方式、地点：投标截止时间前，投标人应将加密的投标文件递交至“政府采购云平台”对应项目（包件）。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开标地点</w:t>
      </w:r>
    </w:p>
    <w:p>
      <w:pPr>
        <w:spacing w:line="360" w:lineRule="auto"/>
        <w:ind w:firstLine="562" w:firstLineChars="200"/>
        <w:jc w:val="left"/>
        <w:rPr>
          <w:rFonts w:ascii="宋体" w:hAnsi="宋体"/>
          <w:b/>
          <w:sz w:val="28"/>
          <w:szCs w:val="28"/>
        </w:rPr>
      </w:pPr>
      <w:r>
        <w:rPr>
          <w:rFonts w:hint="eastAsia" w:ascii="宋体" w:hAnsi="宋体"/>
          <w:b/>
          <w:sz w:val="28"/>
          <w:szCs w:val="28"/>
        </w:rPr>
        <w:t>本项目为不见面开标项目。</w:t>
      </w:r>
    </w:p>
    <w:p>
      <w:pPr>
        <w:spacing w:line="360" w:lineRule="auto"/>
        <w:ind w:firstLine="560" w:firstLineChars="200"/>
        <w:jc w:val="left"/>
        <w:rPr>
          <w:rFonts w:ascii="宋体" w:hAnsi="宋体"/>
          <w:sz w:val="28"/>
          <w:szCs w:val="28"/>
        </w:rPr>
      </w:pPr>
      <w:r>
        <w:rPr>
          <w:rFonts w:hint="eastAsia" w:ascii="宋体" w:hAnsi="宋体"/>
          <w:sz w:val="28"/>
          <w:szCs w:val="28"/>
        </w:rPr>
        <w:t>开标地点为：成都市公共资源交易服务中心“政府采购云平台”。登录成都市公共资源交易服务中心门户网站（https://www.cdggzy.com）—用户中心—政府采购云平台。</w:t>
      </w:r>
    </w:p>
    <w:p>
      <w:pPr>
        <w:spacing w:line="360" w:lineRule="auto"/>
        <w:ind w:firstLine="560" w:firstLineChars="200"/>
        <w:jc w:val="left"/>
      </w:pPr>
      <w:r>
        <w:rPr>
          <w:rFonts w:hint="eastAsia" w:ascii="宋体" w:hAnsi="宋体"/>
          <w:sz w:val="28"/>
          <w:szCs w:val="28"/>
        </w:rPr>
        <w:t>本项目只接受投标人加密并递交至“政府采购云平台”的投标文件。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政采中小企业政府采购信用担保融资</w:t>
      </w:r>
    </w:p>
    <w:p>
      <w:pPr>
        <w:spacing w:line="360" w:lineRule="auto"/>
        <w:ind w:firstLine="420" w:firstLineChars="150"/>
        <w:jc w:val="left"/>
        <w:rPr>
          <w:rFonts w:ascii="宋体" w:hAnsi="宋体"/>
          <w:sz w:val="28"/>
          <w:szCs w:val="28"/>
        </w:rPr>
      </w:pPr>
      <w:r>
        <w:rPr>
          <w:rFonts w:hint="eastAsia" w:ascii="宋体" w:hAnsi="宋体"/>
          <w:sz w:val="28"/>
          <w:szCs w:val="28"/>
        </w:rPr>
        <w:t>本项目属于政府采购信用融资业务项目，融资利率上浮比例不超过人民银行同期贷款基准利率30%，银行机构名单、联系方式见附件1。</w:t>
      </w:r>
    </w:p>
    <w:p>
      <w:pPr>
        <w:pStyle w:val="2"/>
      </w:pPr>
    </w:p>
    <w:p>
      <w:pPr>
        <w:numPr>
          <w:ilvl w:val="0"/>
          <w:numId w:val="6"/>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pStyle w:val="2"/>
      </w:pPr>
    </w:p>
    <w:p>
      <w:pPr>
        <w:numPr>
          <w:ilvl w:val="0"/>
          <w:numId w:val="6"/>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ascii="宋体" w:hAnsi="宋体"/>
          <w:b/>
          <w:sz w:val="28"/>
          <w:szCs w:val="28"/>
        </w:rPr>
      </w:pPr>
      <w:r>
        <w:rPr>
          <w:rFonts w:hint="eastAsia" w:ascii="宋体" w:hAnsi="宋体"/>
          <w:b/>
          <w:sz w:val="28"/>
          <w:szCs w:val="28"/>
        </w:rPr>
        <w:t>采购人：成都市双流区教育技术装备管理中心</w:t>
      </w:r>
    </w:p>
    <w:p>
      <w:pPr>
        <w:pStyle w:val="148"/>
        <w:ind w:firstLine="560"/>
        <w:rPr>
          <w:rFonts w:ascii="宋体" w:hAnsi="宋体"/>
          <w:kern w:val="0"/>
          <w:sz w:val="28"/>
          <w:szCs w:val="22"/>
        </w:rPr>
      </w:pPr>
      <w:r>
        <w:rPr>
          <w:rFonts w:hint="eastAsia" w:ascii="宋体" w:hAnsi="宋体"/>
          <w:sz w:val="28"/>
          <w:szCs w:val="28"/>
        </w:rPr>
        <w:t>地  址：成都市双流区东升街道花月中街25号</w:t>
      </w:r>
    </w:p>
    <w:p>
      <w:pPr>
        <w:spacing w:line="360" w:lineRule="auto"/>
        <w:ind w:firstLine="565" w:firstLineChars="202"/>
        <w:rPr>
          <w:rFonts w:ascii="宋体" w:hAnsi="宋体"/>
          <w:sz w:val="28"/>
          <w:szCs w:val="28"/>
        </w:rPr>
      </w:pPr>
      <w:r>
        <w:rPr>
          <w:rFonts w:hint="eastAsia" w:ascii="宋体" w:hAnsi="宋体"/>
          <w:sz w:val="28"/>
          <w:szCs w:val="28"/>
        </w:rPr>
        <w:t>邮  编：</w:t>
      </w:r>
      <w:r>
        <w:rPr>
          <w:rFonts w:ascii="宋体" w:hAnsi="宋体"/>
          <w:sz w:val="28"/>
          <w:szCs w:val="28"/>
        </w:rPr>
        <w:t>610</w:t>
      </w:r>
      <w:r>
        <w:rPr>
          <w:rFonts w:hint="eastAsia" w:ascii="宋体" w:hAnsi="宋体"/>
          <w:sz w:val="28"/>
          <w:szCs w:val="28"/>
        </w:rPr>
        <w:t>200</w:t>
      </w:r>
    </w:p>
    <w:p>
      <w:pPr>
        <w:spacing w:line="360" w:lineRule="auto"/>
        <w:ind w:firstLine="565" w:firstLineChars="202"/>
        <w:rPr>
          <w:rFonts w:ascii="宋体" w:hAnsi="宋体"/>
          <w:sz w:val="28"/>
          <w:szCs w:val="28"/>
        </w:rPr>
      </w:pPr>
      <w:r>
        <w:rPr>
          <w:rFonts w:hint="eastAsia" w:ascii="宋体" w:hAnsi="宋体"/>
          <w:sz w:val="28"/>
          <w:szCs w:val="28"/>
        </w:rPr>
        <w:t xml:space="preserve">联系人：张晓燕  </w:t>
      </w:r>
    </w:p>
    <w:p>
      <w:pPr>
        <w:pStyle w:val="148"/>
        <w:ind w:firstLine="560"/>
        <w:rPr>
          <w:rFonts w:ascii="宋体" w:hAnsi="宋体"/>
          <w:sz w:val="28"/>
          <w:szCs w:val="28"/>
        </w:rPr>
      </w:pPr>
      <w:r>
        <w:rPr>
          <w:rFonts w:hint="eastAsia" w:ascii="宋体" w:hAnsi="宋体"/>
          <w:sz w:val="28"/>
          <w:szCs w:val="28"/>
        </w:rPr>
        <w:t>联系电话：028-85859958、18200480278</w:t>
      </w:r>
    </w:p>
    <w:p>
      <w:pPr>
        <w:spacing w:line="360" w:lineRule="auto"/>
        <w:ind w:firstLine="568" w:firstLineChars="202"/>
        <w:rPr>
          <w:rFonts w:ascii="宋体" w:hAnsi="宋体"/>
          <w:b/>
          <w:sz w:val="28"/>
          <w:szCs w:val="28"/>
        </w:rPr>
      </w:pPr>
      <w:r>
        <w:rPr>
          <w:rFonts w:hint="eastAsia" w:ascii="宋体" w:hAnsi="宋体"/>
          <w:b/>
          <w:sz w:val="28"/>
          <w:szCs w:val="28"/>
        </w:rPr>
        <w:t>采购代理机构：成都市双流区公共资源交易服务中心</w:t>
      </w:r>
    </w:p>
    <w:p>
      <w:pPr>
        <w:spacing w:line="360" w:lineRule="auto"/>
        <w:ind w:firstLine="565" w:firstLineChars="202"/>
        <w:rPr>
          <w:rFonts w:ascii="宋体" w:hAnsi="宋体"/>
          <w:sz w:val="28"/>
          <w:szCs w:val="28"/>
        </w:rPr>
      </w:pPr>
      <w:r>
        <w:rPr>
          <w:rFonts w:hint="eastAsia" w:ascii="宋体" w:hAnsi="宋体"/>
          <w:sz w:val="28"/>
          <w:szCs w:val="28"/>
        </w:rPr>
        <w:t>地  址：成都市双流区西航港街道机场路土桥段80号</w:t>
      </w:r>
    </w:p>
    <w:p>
      <w:pPr>
        <w:spacing w:line="360" w:lineRule="auto"/>
        <w:ind w:firstLine="565" w:firstLineChars="202"/>
        <w:rPr>
          <w:rFonts w:ascii="宋体" w:hAnsi="宋体"/>
          <w:sz w:val="28"/>
          <w:szCs w:val="28"/>
        </w:rPr>
      </w:pPr>
      <w:r>
        <w:rPr>
          <w:rFonts w:hint="eastAsia" w:ascii="宋体" w:hAnsi="宋体"/>
          <w:sz w:val="28"/>
          <w:szCs w:val="28"/>
        </w:rPr>
        <w:t>邮  编：610200</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联系人：</w:t>
      </w:r>
      <w:r>
        <w:rPr>
          <w:rFonts w:hint="eastAsia" w:ascii="宋体" w:hAnsi="宋体" w:cs="宋体"/>
          <w:color w:val="000000" w:themeColor="text1"/>
          <w:sz w:val="28"/>
          <w:szCs w:val="28"/>
          <w14:textFill>
            <w14:solidFill>
              <w14:schemeClr w14:val="tx1"/>
            </w14:solidFill>
          </w14:textFill>
        </w:rPr>
        <w:t>肖迪、刘刚</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联系电话：</w:t>
      </w:r>
      <w:r>
        <w:rPr>
          <w:rFonts w:hint="eastAsia" w:ascii="宋体" w:hAnsi="宋体" w:cs="宋体"/>
          <w:color w:val="000000" w:themeColor="text1"/>
          <w:sz w:val="28"/>
          <w:szCs w:val="28"/>
          <w14:textFill>
            <w14:solidFill>
              <w14:schemeClr w14:val="tx1"/>
            </w14:solidFill>
          </w14:textFill>
        </w:rPr>
        <w:t>028-85825029、028-85825012</w:t>
      </w:r>
    </w:p>
    <w:p>
      <w:pPr>
        <w:spacing w:line="360" w:lineRule="auto"/>
        <w:ind w:firstLine="568" w:firstLineChars="202"/>
        <w:rPr>
          <w:rFonts w:ascii="宋体" w:hAnsi="宋体" w:cstheme="minorBidi"/>
          <w:b/>
          <w:bCs/>
          <w:sz w:val="28"/>
          <w:szCs w:val="28"/>
        </w:rPr>
      </w:pPr>
      <w:r>
        <w:rPr>
          <w:rFonts w:hint="eastAsia" w:ascii="宋体" w:hAnsi="宋体"/>
          <w:b/>
          <w:bCs/>
          <w:sz w:val="28"/>
          <w:szCs w:val="28"/>
        </w:rPr>
        <w:t>政府采购云平台</w:t>
      </w:r>
    </w:p>
    <w:p>
      <w:pPr>
        <w:tabs>
          <w:tab w:val="left" w:pos="900"/>
        </w:tabs>
        <w:spacing w:line="360" w:lineRule="auto"/>
        <w:ind w:firstLine="562" w:firstLineChars="200"/>
        <w:rPr>
          <w:rFonts w:ascii="宋体" w:hAnsi="宋体" w:cstheme="minorBidi"/>
          <w:b/>
          <w:bCs/>
          <w:sz w:val="28"/>
          <w:szCs w:val="28"/>
        </w:rPr>
      </w:pPr>
      <w:r>
        <w:rPr>
          <w:rFonts w:hint="eastAsia" w:ascii="宋体" w:hAnsi="宋体" w:cstheme="minorBidi"/>
          <w:b/>
          <w:bCs/>
          <w:sz w:val="28"/>
          <w:szCs w:val="28"/>
        </w:rPr>
        <w:t>技术支持</w:t>
      </w:r>
      <w:r>
        <w:rPr>
          <w:rFonts w:ascii="宋体" w:hAnsi="宋体" w:cstheme="minorBidi"/>
          <w:b/>
          <w:bCs/>
          <w:sz w:val="28"/>
          <w:szCs w:val="28"/>
        </w:rPr>
        <w:t>联系电话：</w:t>
      </w:r>
      <w:r>
        <w:rPr>
          <w:rFonts w:hint="eastAsia" w:ascii="宋体" w:hAnsi="宋体" w:cstheme="minorBidi"/>
          <w:b/>
          <w:bCs/>
          <w:sz w:val="28"/>
          <w:szCs w:val="28"/>
        </w:rPr>
        <w:t>400-881-7190</w:t>
      </w:r>
    </w:p>
    <w:p>
      <w:pPr>
        <w:tabs>
          <w:tab w:val="left" w:pos="900"/>
        </w:tabs>
        <w:spacing w:line="360" w:lineRule="auto"/>
        <w:ind w:firstLine="562" w:firstLineChars="200"/>
        <w:rPr>
          <w:rFonts w:ascii="宋体" w:hAnsi="宋体" w:cstheme="minorBidi"/>
          <w:b/>
          <w:bCs/>
          <w:sz w:val="28"/>
          <w:szCs w:val="28"/>
        </w:rPr>
      </w:pPr>
      <w:r>
        <w:rPr>
          <w:rFonts w:hint="eastAsia" w:ascii="宋体" w:hAnsi="宋体" w:cstheme="minorBidi"/>
          <w:b/>
          <w:bCs/>
          <w:sz w:val="28"/>
          <w:szCs w:val="28"/>
        </w:rPr>
        <w:t>技术支持钉钉群号：34165101、33927752</w:t>
      </w:r>
    </w:p>
    <w:p>
      <w:pPr>
        <w:tabs>
          <w:tab w:val="left" w:pos="900"/>
        </w:tabs>
        <w:spacing w:line="360" w:lineRule="auto"/>
        <w:ind w:firstLine="562" w:firstLineChars="200"/>
        <w:rPr>
          <w:rFonts w:ascii="宋体" w:hAnsi="宋体" w:cstheme="minorBidi"/>
          <w:sz w:val="28"/>
          <w:szCs w:val="28"/>
        </w:rPr>
      </w:pPr>
      <w:r>
        <w:rPr>
          <w:rFonts w:hint="eastAsia" w:ascii="宋体" w:hAnsi="宋体" w:cstheme="minorBidi"/>
          <w:b/>
          <w:bCs/>
          <w:sz w:val="28"/>
          <w:szCs w:val="28"/>
        </w:rPr>
        <w:t>集中采购监督机构：成都市双流区财政局</w:t>
      </w:r>
    </w:p>
    <w:p>
      <w:pPr>
        <w:tabs>
          <w:tab w:val="left" w:pos="900"/>
        </w:tabs>
        <w:spacing w:line="360" w:lineRule="auto"/>
        <w:ind w:firstLine="560" w:firstLineChars="200"/>
        <w:rPr>
          <w:rFonts w:ascii="宋体" w:hAnsi="宋体" w:cstheme="minorBidi"/>
          <w:sz w:val="28"/>
          <w:szCs w:val="28"/>
        </w:rPr>
      </w:pPr>
      <w:r>
        <w:rPr>
          <w:rFonts w:hint="eastAsia" w:ascii="宋体" w:hAnsi="宋体" w:cstheme="minorBidi"/>
          <w:sz w:val="28"/>
          <w:szCs w:val="28"/>
        </w:rPr>
        <w:t>地 址：成都市双流区电视塔路2段36号</w:t>
      </w:r>
    </w:p>
    <w:p>
      <w:pPr>
        <w:tabs>
          <w:tab w:val="left" w:pos="900"/>
        </w:tabs>
        <w:spacing w:line="360" w:lineRule="auto"/>
        <w:ind w:firstLine="560" w:firstLineChars="200"/>
        <w:rPr>
          <w:rFonts w:ascii="宋体" w:hAnsi="宋体" w:cstheme="minorBidi"/>
          <w:sz w:val="28"/>
          <w:szCs w:val="28"/>
        </w:rPr>
      </w:pPr>
      <w:r>
        <w:rPr>
          <w:rFonts w:hint="eastAsia" w:ascii="宋体" w:hAnsi="宋体" w:cstheme="minorBidi"/>
          <w:sz w:val="28"/>
          <w:szCs w:val="28"/>
        </w:rPr>
        <w:t>联系电话：028-85804726</w:t>
      </w:r>
    </w:p>
    <w:p>
      <w:pPr>
        <w:tabs>
          <w:tab w:val="left" w:pos="900"/>
        </w:tabs>
        <w:spacing w:line="360" w:lineRule="auto"/>
        <w:rPr>
          <w:rFonts w:ascii="宋体" w:hAnsi="宋体" w:cstheme="minorBidi"/>
          <w:b/>
          <w:sz w:val="28"/>
          <w:szCs w:val="28"/>
        </w:rPr>
      </w:pPr>
    </w:p>
    <w:p>
      <w:pPr>
        <w:pStyle w:val="2"/>
        <w:rPr>
          <w:rFonts w:ascii="宋体" w:hAnsi="宋体" w:cstheme="minorBidi"/>
          <w:b/>
          <w:sz w:val="28"/>
          <w:szCs w:val="28"/>
        </w:rPr>
      </w:pPr>
    </w:p>
    <w:p/>
    <w:p>
      <w:pPr>
        <w:keepNext/>
        <w:keepLines/>
        <w:numPr>
          <w:ilvl w:val="0"/>
          <w:numId w:val="5"/>
        </w:numPr>
        <w:spacing w:before="340" w:line="400" w:lineRule="exact"/>
        <w:ind w:left="0" w:firstLine="0"/>
        <w:jc w:val="center"/>
        <w:outlineLvl w:val="0"/>
        <w:rPr>
          <w:rFonts w:ascii="宋体" w:hAnsi="宋体"/>
          <w:b/>
          <w:bCs/>
          <w:spacing w:val="-20"/>
          <w:kern w:val="44"/>
          <w:sz w:val="32"/>
          <w:szCs w:val="32"/>
        </w:rPr>
      </w:pPr>
      <w:bookmarkStart w:id="13" w:name="_Toc27131"/>
      <w:r>
        <w:rPr>
          <w:rFonts w:hint="eastAsia" w:ascii="宋体" w:hAnsi="宋体"/>
          <w:b/>
          <w:bCs/>
          <w:spacing w:val="-20"/>
          <w:kern w:val="44"/>
          <w:sz w:val="32"/>
          <w:szCs w:val="32"/>
        </w:rPr>
        <w:t>投标人须知</w:t>
      </w:r>
      <w:bookmarkEnd w:id="13"/>
    </w:p>
    <w:p>
      <w:pPr>
        <w:keepNext/>
        <w:keepLines/>
        <w:numPr>
          <w:ilvl w:val="1"/>
          <w:numId w:val="5"/>
        </w:numPr>
        <w:spacing w:line="360" w:lineRule="auto"/>
        <w:jc w:val="left"/>
        <w:outlineLvl w:val="1"/>
        <w:rPr>
          <w:rFonts w:ascii="宋体" w:hAnsi="宋体"/>
          <w:b/>
          <w:bCs/>
          <w:sz w:val="28"/>
          <w:szCs w:val="28"/>
        </w:rPr>
      </w:pPr>
      <w:bookmarkStart w:id="14" w:name="_Toc217446032"/>
      <w:bookmarkStart w:id="15" w:name="_Toc213396760"/>
      <w:bookmarkStart w:id="16" w:name="_Toc189727030"/>
      <w:bookmarkStart w:id="17" w:name="_Toc213396946"/>
      <w:bookmarkStart w:id="18" w:name="_Toc316462344"/>
      <w:bookmarkStart w:id="19" w:name="_Toc213397010"/>
      <w:bookmarkStart w:id="20" w:name="_Toc14888"/>
      <w:bookmarkStart w:id="21" w:name="_Toc213496268"/>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3"/>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97"/>
        <w:gridCol w:w="1903"/>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3" w:hRule="exact"/>
          <w:jc w:val="center"/>
        </w:trPr>
        <w:tc>
          <w:tcPr>
            <w:tcW w:w="697"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r>
              <w:rPr>
                <w:rFonts w:hint="eastAsia" w:ascii="宋体" w:hAnsi="宋体"/>
                <w:b/>
                <w:sz w:val="28"/>
                <w:szCs w:val="28"/>
                <w:lang w:val="zh-CN"/>
              </w:rPr>
              <w:t>序号</w:t>
            </w:r>
          </w:p>
        </w:tc>
        <w:tc>
          <w:tcPr>
            <w:tcW w:w="1903"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eastAsia="仿宋_GB2312" w:cs="宋体"/>
                <w:b/>
                <w:lang w:val="zh-CN"/>
              </w:rPr>
            </w:pPr>
            <w:r>
              <w:rPr>
                <w:rFonts w:hint="eastAsia" w:ascii="宋体" w:hAnsi="宋体"/>
                <w:b/>
              </w:rPr>
              <w:t>人民币2491846.18元</w:t>
            </w:r>
            <w:r>
              <w:rPr>
                <w:rFonts w:hint="eastAsia"/>
                <w:b/>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52" w:hRule="exac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lang w:val="zh-CN"/>
              </w:rPr>
            </w:pPr>
            <w:r>
              <w:rPr>
                <w:rFonts w:hint="eastAsia" w:ascii="宋体" w:hAnsi="宋体" w:cs="宋体"/>
                <w:b/>
                <w:lang w:val="zh-CN"/>
              </w:rPr>
              <w:t>最高限价：2491846.18元，</w:t>
            </w:r>
            <w:r>
              <w:rPr>
                <w:rFonts w:hint="eastAsia"/>
                <w:b/>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3" w:hRule="exac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采购人式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1"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Style w:val="175"/>
                <w:rFonts w:hint="default"/>
                <w:lang w:val="zh-CN"/>
              </w:rPr>
            </w:pPr>
            <w:r>
              <w:rPr>
                <w:rFonts w:ascii="宋体" w:hAnsi="宋体" w:cs="宋体"/>
                <w:lang w:val="zh-CN"/>
              </w:rPr>
              <w:t>小微企业（监狱企业、残疾人福利性单位视同小微企业）价格扣除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firstLine="420" w:firstLineChars="200"/>
              <w:rPr>
                <w:lang w:val="zh-CN"/>
              </w:rPr>
            </w:pPr>
            <w:r>
              <w:rPr>
                <w:rFonts w:hint="eastAsia"/>
                <w:lang w:val="zh-CN"/>
              </w:rPr>
              <w:t>小微企业（监狱企业、残疾人福利性单位均视同小、微企业）价格扣除：1.根据《政府采购促进中小企业发展管理办法》（财库[2020]46号）的规定，对小型和微型企业的价格给予10%的价格扣除，用扣除后的价格参与评标。2.参加政府采购活动的中小企业提供《中小企业声明函》，未提供视为放弃享受小微企业价格扣除优惠政策。3.监狱企业参加政府采购活动时，应当提供由省级以上监狱管理局、戒毒管理局（含新疆生产建设兵团）出具的属于监狱企业的证明文件复印件。4.参加政府采购活动的残疾人福利性单位应当提供《残疾人福利性单位声明函》，未提供视为放弃享受小微企业价格扣除优惠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50"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70"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b/>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0"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6"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60"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jc w:val="left"/>
              <w:rPr>
                <w:rFonts w:ascii="宋体" w:hAnsi="宋体"/>
                <w:bCs/>
              </w:rPr>
            </w:pPr>
            <w:r>
              <w:rPr>
                <w:rFonts w:hint="eastAsia" w:ascii="宋体" w:hAnsi="宋体"/>
                <w:bCs/>
              </w:rPr>
              <w:t>详见投标人须知2.4.12</w:t>
            </w:r>
          </w:p>
          <w:p>
            <w:pPr>
              <w:tabs>
                <w:tab w:val="left" w:pos="7665"/>
              </w:tabs>
              <w:snapToGrid w:val="0"/>
              <w:spacing w:line="360" w:lineRule="auto"/>
              <w:jc w:val="left"/>
              <w:rPr>
                <w:b/>
              </w:rPr>
            </w:pPr>
            <w:r>
              <w:rPr>
                <w:rFonts w:hint="eastAsia" w:ascii="宋体" w:hAnsi="宋体"/>
                <w:b/>
              </w:rPr>
              <w:t>注：投标人使用CA证书在投标截止时间前，将投标文件上传至政府采购云平台，上传前须对投标文件是否有电子签章等进行核对。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8"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1"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 ，使用对投标文件进行加密的CA证书在线完成对投标人递交至政府采购云平台的投标文件的解密。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92"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对招标文件中供应商参加本次政府采购活动应当具备的条件，招标文件</w:t>
            </w:r>
            <w:r>
              <w:rPr>
                <w:rFonts w:hint="eastAsia" w:ascii="宋体" w:hAnsi="宋体" w:cs="宋体"/>
                <w:szCs w:val="21"/>
              </w:rPr>
              <w:t>项目技术、服务、商务及其他要求，评审细则和标准，采购合同格式，以及关于资格审查、中标（成交）结果的询问、质疑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对招标文件中的其他内容，招标文件</w:t>
            </w:r>
            <w:r>
              <w:rPr>
                <w:rFonts w:hint="eastAsia" w:ascii="宋体" w:hAnsi="宋体" w:cs="宋体"/>
                <w:szCs w:val="21"/>
              </w:rPr>
              <w:t>中采购程序、供应商须知、响应文件格式、以及开标过程程序的询问、质疑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向区公资交易中心提出，并由区公资交易中心按相关规定作出答复（详见投标人须知2.8）。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5"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lang w:val="zh-CN"/>
              </w:rPr>
            </w:pPr>
            <w:r>
              <w:rPr>
                <w:rFonts w:hint="eastAsia" w:ascii="宋体" w:hAnsi="宋体"/>
              </w:rPr>
              <w:t>投诉受理单位：</w:t>
            </w:r>
            <w:r>
              <w:rPr>
                <w:rFonts w:hint="eastAsia" w:ascii="宋体" w:hAnsi="宋体"/>
                <w:lang w:val="zh-CN"/>
              </w:rPr>
              <w:t>本采购项目同级财政部门，即成都市双流区财政局。</w:t>
            </w:r>
          </w:p>
          <w:p>
            <w:pPr>
              <w:tabs>
                <w:tab w:val="left" w:pos="7665"/>
              </w:tabs>
              <w:snapToGrid w:val="0"/>
              <w:spacing w:line="360" w:lineRule="auto"/>
              <w:rPr>
                <w:rFonts w:ascii="宋体" w:hAnsi="宋体"/>
              </w:rPr>
            </w:pPr>
            <w:r>
              <w:rPr>
                <w:rFonts w:hint="eastAsia" w:ascii="宋体" w:hAnsi="宋体"/>
              </w:rPr>
              <w:t>联系电话：</w:t>
            </w:r>
            <w:r>
              <w:rPr>
                <w:rFonts w:hint="eastAsia" w:ascii="宋体" w:hAnsi="宋体"/>
                <w:lang w:val="zh-CN"/>
              </w:rPr>
              <w:t>028-85804726</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地址：成都市双流区电视塔路2段36号。</w:t>
            </w:r>
          </w:p>
          <w:p>
            <w:pPr>
              <w:tabs>
                <w:tab w:val="left" w:pos="7665"/>
              </w:tabs>
              <w:snapToGrid w:val="0"/>
              <w:spacing w:line="360" w:lineRule="auto"/>
              <w:rPr>
                <w:rFonts w:ascii="宋体" w:hAnsi="宋体"/>
              </w:rPr>
            </w:pPr>
            <w:r>
              <w:rPr>
                <w:rFonts w:hint="eastAsia" w:ascii="宋体" w:hAnsi="宋体"/>
              </w:rPr>
              <w:t>邮编：610200。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65" w:hRule="atLeast"/>
          <w:jc w:val="center"/>
        </w:trPr>
        <w:tc>
          <w:tcPr>
            <w:tcW w:w="697"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90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投标文件资格性、符合性检查情况、采用综合评分法时的总得分和分项汇总得分情况、评标结果等将在成都市公共资源交易服务中心网、四川政府采购网上采购结果公告栏中予以公告。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4" w:hRule="atLeast"/>
          <w:jc w:val="center"/>
        </w:trPr>
        <w:tc>
          <w:tcPr>
            <w:tcW w:w="697"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90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7" w:hRule="atLeast"/>
          <w:jc w:val="center"/>
        </w:trPr>
        <w:tc>
          <w:tcPr>
            <w:tcW w:w="697"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90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四川省成都市双流区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65"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90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rPr>
            </w:pPr>
            <w:r>
              <w:rPr>
                <w:rFonts w:hint="eastAsia" w:ascii="宋体" w:hAnsi="宋体"/>
              </w:rPr>
              <w:t>政府采购合同签订之日起2个工作日内，采购人将在四川政府采购网公告采购合同；政府采购合同签订之日起7个工作日内，采购人将向本采购项目同级财政部门，即</w:t>
            </w:r>
            <w:r>
              <w:rPr>
                <w:rFonts w:hint="eastAsia" w:ascii="宋体" w:hAnsi="宋体"/>
                <w:lang w:val="zh-CN"/>
              </w:rPr>
              <w:t>成都市双流区财政局</w:t>
            </w:r>
            <w:r>
              <w:rPr>
                <w:rFonts w:hint="eastAsia" w:ascii="宋体" w:hAnsi="宋体"/>
              </w:rPr>
              <w:t>备案</w:t>
            </w:r>
            <w:r>
              <w:rPr>
                <w:rFonts w:hint="eastAsia" w:ascii="宋体" w:hAnsi="宋体"/>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95"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90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rPr>
            </w:pPr>
            <w:r>
              <w:rPr>
                <w:rFonts w:hint="eastAsia" w:ascii="宋体" w:hAnsi="宋体"/>
                <w:bCs/>
              </w:rPr>
              <w:t>政采信用担保融资</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本项目属于政府采购信用融资业务项目，融资利率上浮比例不超过人民银行同期贷款基准利率30%，银行机构名单联系方式见附件1。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90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本项目为</w:t>
            </w:r>
            <w:r>
              <w:rPr>
                <w:rFonts w:hint="eastAsia" w:ascii="宋体" w:hAnsi="宋体"/>
                <w:b/>
                <w:bCs/>
              </w:rPr>
              <w:t>非专门</w:t>
            </w:r>
            <w:r>
              <w:rPr>
                <w:rFonts w:hint="eastAsia" w:ascii="宋体" w:hAnsi="宋体"/>
              </w:rPr>
              <w:t>面向中小企业的采购项目。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本项目</w:t>
            </w:r>
            <w:r>
              <w:rPr>
                <w:rFonts w:hint="eastAsia" w:ascii="宋体" w:hAnsi="宋体"/>
                <w:b/>
                <w:bCs/>
              </w:rPr>
              <w:t>不接受</w:t>
            </w:r>
            <w:r>
              <w:rPr>
                <w:rFonts w:hint="eastAsia" w:ascii="宋体" w:hAnsi="宋体"/>
              </w:rPr>
              <w:t>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供应商信用信息查询时间截止时点：信用信息查询在资格审查阶段完成。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9"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采购人须对第3章、第4章、第5章和第6章中要求供应商提供的承诺函、相关材料及证明文件进行查验并做好查验记录。查验时间截止时点：采购人在收到评审报告后，确认中标供应商前完成查验。</w:t>
            </w:r>
          </w:p>
        </w:tc>
      </w:tr>
    </w:tbl>
    <w:p>
      <w:pPr>
        <w:keepNext/>
        <w:keepLines/>
        <w:numPr>
          <w:ilvl w:val="1"/>
          <w:numId w:val="5"/>
        </w:numPr>
        <w:spacing w:line="360" w:lineRule="auto"/>
        <w:jc w:val="left"/>
        <w:outlineLvl w:val="1"/>
        <w:rPr>
          <w:rFonts w:ascii="宋体" w:hAnsi="宋体"/>
          <w:b/>
          <w:bCs/>
          <w:sz w:val="28"/>
          <w:szCs w:val="28"/>
        </w:rPr>
      </w:pPr>
      <w:bookmarkStart w:id="22" w:name="_Toc28627"/>
      <w:r>
        <w:rPr>
          <w:rFonts w:hint="eastAsia" w:ascii="宋体" w:hAnsi="宋体"/>
          <w:b/>
          <w:bCs/>
          <w:sz w:val="28"/>
          <w:szCs w:val="28"/>
        </w:rPr>
        <w:t>总则</w:t>
      </w:r>
      <w:bookmarkEnd w:id="22"/>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本招标文件仅适用于本次公开招标采购项目。</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的最终解释权由采购人或区公资交易中心享有。对招标文件中供应商参加本次政府采购活动应当具备的条件，招标项目技术、服务、商务及其他要求，评标细则及标准由采购人负责解释。除上述招标文件内容，其他内容由区公资交易中心负责解释。</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“采购人”和“甲方”系指依法进行政府采购的成都市双流区级机关、事业单位、团体组织。本次招标的采购人是</w:t>
      </w:r>
      <w:r>
        <w:rPr>
          <w:rFonts w:hint="eastAsia" w:ascii="宋体" w:hAnsi="宋体"/>
          <w:b/>
          <w:bCs/>
          <w:sz w:val="28"/>
          <w:szCs w:val="28"/>
        </w:rPr>
        <w:t>成都市双流区教育技术装备管理中心</w:t>
      </w:r>
      <w:r>
        <w:rPr>
          <w:rFonts w:hint="eastAsia" w:ascii="宋体" w:hAnsi="宋体"/>
          <w:sz w:val="28"/>
          <w:szCs w:val="28"/>
        </w:rPr>
        <w:t>。</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“投标人”系指在系统中成功提交《采购文件获取登记表》拟参加投标和向采购人提供货物及服务的供应商。</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1"/>
        </w:numPr>
        <w:tabs>
          <w:tab w:val="left" w:pos="1134"/>
        </w:tabs>
        <w:spacing w:line="360" w:lineRule="auto"/>
        <w:ind w:left="0" w:firstLine="568"/>
      </w:pPr>
      <w:r>
        <w:rPr>
          <w:rFonts w:ascii="宋体" w:hAnsi="宋体"/>
          <w:sz w:val="28"/>
          <w:szCs w:val="28"/>
        </w:rPr>
        <w:t>重大违法记录是指供应商因违法经营受到刑事处罚或者责令停产停业、吊销许可证或者执照、较大数额罚款等行政处罚</w:t>
      </w:r>
      <w:r>
        <w:rPr>
          <w:rFonts w:hint="eastAsia" w:ascii="宋体" w:hAnsi="宋体"/>
          <w:sz w:val="28"/>
          <w:szCs w:val="28"/>
        </w:rPr>
        <w:t>。</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不见面开标是指，区公资交易中心依托政府采购云平台组织开标活动，供应商在线参与开标的一种组织形式。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8"/>
          <w:szCs w:val="28"/>
        </w:rPr>
      </w:pPr>
      <w:bookmarkStart w:id="23" w:name="_Toc217390843"/>
      <w:bookmarkStart w:id="24" w:name="_Toc217446036"/>
      <w:bookmarkStart w:id="25" w:name="_Toc183582207"/>
      <w:bookmarkStart w:id="26" w:name="_Toc183682344"/>
      <w:r>
        <w:rPr>
          <w:rFonts w:hint="eastAsia" w:ascii="宋体" w:hAnsi="宋体"/>
          <w:b/>
          <w:bCs/>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2"/>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w:t>
      </w:r>
    </w:p>
    <w:p>
      <w:pPr>
        <w:tabs>
          <w:tab w:val="left" w:pos="1134"/>
        </w:tabs>
        <w:adjustRightInd w:val="0"/>
        <w:spacing w:line="360" w:lineRule="auto"/>
        <w:ind w:left="567"/>
        <w:rPr>
          <w:rFonts w:ascii="宋体" w:hAnsi="宋体"/>
          <w:sz w:val="28"/>
          <w:szCs w:val="28"/>
        </w:rPr>
      </w:pPr>
      <w:r>
        <w:rPr>
          <w:rFonts w:hint="eastAsia" w:ascii="宋体" w:hAnsi="宋体"/>
          <w:sz w:val="28"/>
          <w:szCs w:val="28"/>
        </w:rPr>
        <w:t>一、单位负责人为同一人或者存在直接控股、管理关系的不同供应</w:t>
      </w:r>
    </w:p>
    <w:p>
      <w:pPr>
        <w:tabs>
          <w:tab w:val="left" w:pos="1134"/>
        </w:tabs>
        <w:adjustRightInd w:val="0"/>
        <w:spacing w:line="360" w:lineRule="auto"/>
        <w:rPr>
          <w:rFonts w:ascii="宋体" w:hAnsi="宋体"/>
          <w:sz w:val="28"/>
          <w:szCs w:val="28"/>
        </w:rPr>
      </w:pPr>
      <w:r>
        <w:rPr>
          <w:rFonts w:hint="eastAsia" w:ascii="宋体" w:hAnsi="宋体"/>
          <w:sz w:val="28"/>
          <w:szCs w:val="28"/>
        </w:rPr>
        <w:t>商，不得参加同一项目的投标。</w:t>
      </w:r>
    </w:p>
    <w:p>
      <w:pPr>
        <w:tabs>
          <w:tab w:val="left" w:pos="1134"/>
        </w:tabs>
        <w:adjustRightInd w:val="0"/>
        <w:spacing w:line="360" w:lineRule="auto"/>
        <w:ind w:firstLine="560" w:firstLineChars="200"/>
        <w:rPr>
          <w:rFonts w:ascii="宋体" w:hAnsi="宋体"/>
          <w:b/>
          <w:sz w:val="28"/>
          <w:szCs w:val="28"/>
        </w:rPr>
      </w:pPr>
      <w:r>
        <w:rPr>
          <w:rFonts w:hint="eastAsia" w:ascii="宋体" w:hAnsi="宋体"/>
          <w:sz w:val="28"/>
          <w:szCs w:val="28"/>
        </w:rPr>
        <w:t>二、为采购项目提供整体设计、规范编制或者项目管理、监理、检测等服务的供应商，不得再参加该采购项目的其他采购活动。供应商为采购人、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8"/>
          <w:szCs w:val="28"/>
        </w:rPr>
        <w:t>（说明：成都安腾兴业信息技术有限公司供应商为本项目提供整体设计、规范编制或者项目管理、监理、检测等服务。）</w:t>
      </w:r>
    </w:p>
    <w:p>
      <w:pPr>
        <w:tabs>
          <w:tab w:val="left" w:pos="1134"/>
        </w:tabs>
        <w:adjustRightInd w:val="0"/>
        <w:spacing w:line="360" w:lineRule="auto"/>
        <w:ind w:firstLine="560" w:firstLineChars="200"/>
        <w:rPr>
          <w:rFonts w:ascii="宋体" w:hAnsi="宋体"/>
          <w:b/>
          <w:sz w:val="28"/>
          <w:szCs w:val="28"/>
        </w:rPr>
      </w:pPr>
      <w:r>
        <w:rPr>
          <w:rFonts w:hint="eastAsia" w:ascii="宋体" w:hAnsi="宋体"/>
          <w:sz w:val="28"/>
          <w:szCs w:val="28"/>
        </w:rPr>
        <w:t>三、本项</w:t>
      </w:r>
      <w:r>
        <w:rPr>
          <w:rFonts w:hint="eastAsia" w:asciiTheme="minorEastAsia" w:hAnsiTheme="minorEastAsia"/>
          <w:sz w:val="28"/>
          <w:szCs w:val="28"/>
          <w:lang w:val="zh-CN"/>
        </w:rPr>
        <w:t>目</w:t>
      </w:r>
      <w:r>
        <w:rPr>
          <w:rFonts w:hint="eastAsia" w:asciiTheme="minorEastAsia" w:hAnsiTheme="minorEastAsia"/>
          <w:b/>
          <w:sz w:val="28"/>
          <w:szCs w:val="28"/>
        </w:rPr>
        <w:t>核心产品为</w:t>
      </w:r>
      <w:r>
        <w:rPr>
          <w:rFonts w:hint="eastAsia" w:hAnsi="宋体"/>
          <w:b/>
          <w:sz w:val="28"/>
          <w:szCs w:val="28"/>
        </w:rPr>
        <w:t>无线会议录播主机、室内L</w:t>
      </w:r>
      <w:r>
        <w:rPr>
          <w:rFonts w:hAnsi="宋体"/>
          <w:b/>
          <w:sz w:val="28"/>
          <w:szCs w:val="28"/>
        </w:rPr>
        <w:t>ED</w:t>
      </w:r>
      <w:r>
        <w:rPr>
          <w:rFonts w:hint="eastAsia" w:hAnsi="宋体"/>
          <w:b/>
          <w:sz w:val="28"/>
          <w:szCs w:val="28"/>
        </w:rPr>
        <w:t>显示屏</w:t>
      </w:r>
      <w:r>
        <w:rPr>
          <w:rFonts w:hint="eastAsia" w:asciiTheme="minorEastAsia" w:hAnsiTheme="minorEastAsia"/>
          <w:sz w:val="28"/>
          <w:szCs w:val="28"/>
          <w:lang w:val="zh-CN"/>
        </w:rPr>
        <w:t>。</w:t>
      </w:r>
      <w:r>
        <w:rPr>
          <w:rFonts w:hint="eastAsia" w:hAnsi="宋体"/>
          <w:sz w:val="28"/>
          <w:szCs w:val="28"/>
        </w:rPr>
        <w:t>提供核心产品品牌相</w:t>
      </w:r>
      <w:r>
        <w:rPr>
          <w:rFonts w:hint="eastAsia" w:hAnsi="宋体"/>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5"/>
        </w:numPr>
        <w:spacing w:line="360" w:lineRule="auto"/>
        <w:jc w:val="left"/>
        <w:outlineLvl w:val="1"/>
        <w:rPr>
          <w:rFonts w:ascii="宋体" w:hAnsi="宋体"/>
          <w:b/>
          <w:bCs/>
          <w:sz w:val="28"/>
          <w:szCs w:val="28"/>
        </w:rPr>
      </w:pPr>
      <w:bookmarkStart w:id="27" w:name="_Toc217446039"/>
      <w:bookmarkStart w:id="28" w:name="_Toc183582210"/>
      <w:bookmarkStart w:id="29" w:name="_Toc183682347"/>
      <w:bookmarkStart w:id="30" w:name="_Toc26667"/>
      <w:r>
        <w:rPr>
          <w:rFonts w:hint="eastAsia" w:ascii="宋体" w:hAnsi="宋体"/>
          <w:b/>
          <w:bCs/>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3"/>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3"/>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77400780"/>
      <w:bookmarkStart w:id="35" w:name="_Toc183682351"/>
      <w:bookmarkStart w:id="36" w:name="_Toc217446042"/>
      <w:bookmarkStart w:id="37" w:name="_Toc89075876"/>
      <w:bookmarkStart w:id="38" w:name="_Toc183582214"/>
    </w:p>
    <w:p>
      <w:pPr>
        <w:numPr>
          <w:ilvl w:val="0"/>
          <w:numId w:val="15"/>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rPr>
        <w:t>区公资交易中心</w:t>
      </w:r>
      <w:r>
        <w:rPr>
          <w:rFonts w:hint="eastAsia" w:ascii="宋体" w:hAnsi="宋体"/>
          <w:sz w:val="28"/>
          <w:szCs w:val="28"/>
        </w:rPr>
        <w:t>可以对已发出的招标文件进行必要的澄清或者修改。</w:t>
      </w:r>
    </w:p>
    <w:p>
      <w:pPr>
        <w:numPr>
          <w:ilvl w:val="0"/>
          <w:numId w:val="15"/>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澄清或者修改的内容，区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政府采购云平台查看）</w:t>
      </w:r>
    </w:p>
    <w:p>
      <w:pPr>
        <w:numPr>
          <w:ilvl w:val="0"/>
          <w:numId w:val="15"/>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澄清或者修改的内容可能影响投标文件编制的，区公资交易中心应当在投标截止时间至少15日前，通过云平台通知所有获取招标文件的潜在投标人；不足15日的，采购人或区公资交易中心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39" w:name="_Toc20295"/>
      <w:r>
        <w:rPr>
          <w:rFonts w:hint="eastAsia" w:ascii="宋体" w:hAnsi="宋体"/>
          <w:b/>
          <w:bCs/>
          <w:sz w:val="28"/>
          <w:szCs w:val="28"/>
        </w:rPr>
        <w:t>投标文件</w:t>
      </w:r>
      <w:bookmarkEnd w:id="34"/>
      <w:bookmarkEnd w:id="35"/>
      <w:bookmarkEnd w:id="36"/>
      <w:bookmarkEnd w:id="37"/>
      <w:bookmarkEnd w:id="38"/>
      <w:bookmarkEnd w:id="39"/>
    </w:p>
    <w:p>
      <w:pPr>
        <w:keepNext/>
        <w:keepLines/>
        <w:numPr>
          <w:ilvl w:val="2"/>
          <w:numId w:val="5"/>
        </w:numPr>
        <w:spacing w:line="360" w:lineRule="auto"/>
        <w:ind w:left="0" w:firstLine="0"/>
        <w:outlineLvl w:val="2"/>
        <w:rPr>
          <w:rFonts w:ascii="宋体" w:hAnsi="宋体"/>
          <w:b/>
          <w:bCs/>
          <w:sz w:val="28"/>
          <w:szCs w:val="28"/>
        </w:rPr>
      </w:pPr>
      <w:bookmarkStart w:id="40" w:name="_Toc183682352"/>
      <w:bookmarkStart w:id="41" w:name="_Toc217446043"/>
      <w:bookmarkStart w:id="42" w:name="_Toc183582215"/>
      <w:r>
        <w:rPr>
          <w:rFonts w:hint="eastAsia" w:ascii="宋体" w:hAnsi="宋体"/>
          <w:b/>
          <w:bCs/>
          <w:sz w:val="28"/>
          <w:szCs w:val="28"/>
        </w:rPr>
        <w:t>投标文件的语言</w:t>
      </w:r>
      <w:bookmarkEnd w:id="40"/>
      <w:bookmarkEnd w:id="41"/>
      <w:bookmarkEnd w:id="42"/>
    </w:p>
    <w:p>
      <w:pPr>
        <w:numPr>
          <w:ilvl w:val="0"/>
          <w:numId w:val="16"/>
        </w:numPr>
        <w:tabs>
          <w:tab w:val="left" w:pos="1134"/>
        </w:tabs>
        <w:spacing w:line="360" w:lineRule="auto"/>
        <w:ind w:left="0" w:firstLine="560"/>
        <w:rPr>
          <w:rFonts w:ascii="宋体" w:hAnsi="宋体"/>
          <w:sz w:val="28"/>
          <w:szCs w:val="28"/>
        </w:rPr>
      </w:pPr>
      <w:r>
        <w:rPr>
          <w:rFonts w:hint="eastAsia" w:ascii="宋体" w:hAnsi="宋体"/>
          <w:sz w:val="28"/>
          <w:szCs w:val="28"/>
        </w:rPr>
        <w:t>投标人提交的投标文件以及投标人与采购人或</w:t>
      </w:r>
      <w:r>
        <w:rPr>
          <w:rFonts w:hint="eastAsia" w:cs="Arial"/>
          <w:sz w:val="28"/>
          <w:szCs w:val="28"/>
        </w:rPr>
        <w:t>区公资交易中心</w:t>
      </w:r>
      <w:r>
        <w:rPr>
          <w:rFonts w:hint="eastAsia" w:ascii="宋体" w:hAnsi="宋体"/>
          <w:sz w:val="28"/>
          <w:szCs w:val="28"/>
        </w:rPr>
        <w:t>就有关投标的所有来往书面文件均须使用中文，投标文件中所附或引用的外文资料，应翻译成中文附在相关外文资料后面。（</w:t>
      </w:r>
      <w:r>
        <w:rPr>
          <w:rFonts w:hint="eastAsia" w:ascii="宋体" w:hAnsi="宋体"/>
          <w:b/>
          <w:bCs/>
          <w:sz w:val="28"/>
          <w:szCs w:val="28"/>
        </w:rPr>
        <w:t>说明：</w:t>
      </w:r>
      <w:r>
        <w:rPr>
          <w:rFonts w:hint="eastAsia" w:ascii="宋体" w:hAnsi="宋体"/>
          <w:sz w:val="28"/>
          <w:szCs w:val="28"/>
        </w:rPr>
        <w:t>投标人的法定代表人为外籍人士的，则法定代表人的签字和护照除外）。</w:t>
      </w:r>
    </w:p>
    <w:p>
      <w:pPr>
        <w:numPr>
          <w:ilvl w:val="0"/>
          <w:numId w:val="16"/>
        </w:numPr>
        <w:tabs>
          <w:tab w:val="left" w:pos="1134"/>
        </w:tabs>
        <w:spacing w:line="360" w:lineRule="auto"/>
        <w:ind w:left="0" w:firstLine="560"/>
        <w:rPr>
          <w:rFonts w:ascii="宋体" w:hAnsi="宋体"/>
          <w:sz w:val="28"/>
          <w:szCs w:val="28"/>
        </w:rPr>
      </w:pPr>
      <w:r>
        <w:rPr>
          <w:rFonts w:hint="eastAsia" w:ascii="宋体" w:hAnsi="宋体"/>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5"/>
        </w:numPr>
        <w:spacing w:line="360" w:lineRule="auto"/>
        <w:ind w:left="0" w:firstLine="0"/>
        <w:outlineLvl w:val="2"/>
        <w:rPr>
          <w:rFonts w:ascii="宋体" w:hAnsi="宋体"/>
          <w:b/>
          <w:bCs/>
          <w:sz w:val="28"/>
          <w:szCs w:val="28"/>
        </w:rPr>
      </w:pPr>
      <w:bookmarkStart w:id="43" w:name="_Toc217446044"/>
      <w:bookmarkStart w:id="44" w:name="_Toc183582216"/>
      <w:bookmarkStart w:id="45" w:name="_Toc183682353"/>
      <w:r>
        <w:rPr>
          <w:rFonts w:hint="eastAsia" w:ascii="宋体" w:hAnsi="宋体"/>
          <w:b/>
          <w:bCs/>
          <w:sz w:val="28"/>
          <w:szCs w:val="28"/>
        </w:rPr>
        <w:t>计量单位</w:t>
      </w:r>
      <w:bookmarkEnd w:id="43"/>
      <w:bookmarkEnd w:id="44"/>
      <w:bookmarkEnd w:id="45"/>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8"/>
          <w:szCs w:val="28"/>
        </w:rPr>
      </w:pPr>
      <w:bookmarkStart w:id="49" w:name="_Toc183582217"/>
      <w:bookmarkStart w:id="50" w:name="_Toc217446048"/>
      <w:bookmarkStart w:id="51" w:name="_Toc183682354"/>
      <w:r>
        <w:rPr>
          <w:rFonts w:hint="eastAsia" w:ascii="宋体" w:hAnsi="宋体"/>
          <w:b/>
          <w:bCs/>
          <w:sz w:val="28"/>
          <w:szCs w:val="28"/>
        </w:rPr>
        <w:t>投标文件的组成</w:t>
      </w:r>
      <w:bookmarkEnd w:id="49"/>
      <w:bookmarkEnd w:id="50"/>
      <w:bookmarkEnd w:id="51"/>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numPr>
          <w:ilvl w:val="3"/>
          <w:numId w:val="5"/>
        </w:numPr>
        <w:rPr>
          <w:rFonts w:ascii="宋体" w:hAnsi="宋体"/>
        </w:rPr>
      </w:pPr>
      <w:r>
        <w:rPr>
          <w:rFonts w:hint="eastAsia" w:ascii="宋体" w:hAnsi="宋体"/>
        </w:rPr>
        <w:t>资格性响应文件</w:t>
      </w:r>
    </w:p>
    <w:p>
      <w:pPr>
        <w:numPr>
          <w:ilvl w:val="0"/>
          <w:numId w:val="18"/>
        </w:numPr>
        <w:tabs>
          <w:tab w:val="left" w:pos="1134"/>
        </w:tabs>
        <w:spacing w:line="360" w:lineRule="auto"/>
        <w:ind w:left="0" w:firstLine="546"/>
        <w:rPr>
          <w:rFonts w:ascii="宋体" w:hAnsi="宋体"/>
          <w:b/>
          <w:sz w:val="28"/>
          <w:szCs w:val="28"/>
        </w:rPr>
      </w:pPr>
      <w:r>
        <w:rPr>
          <w:rFonts w:hint="eastAsia" w:ascii="宋体" w:hAnsi="宋体"/>
          <w:b/>
          <w:sz w:val="28"/>
          <w:szCs w:val="28"/>
        </w:rPr>
        <w:t>关于投标人资格声明的函；</w:t>
      </w:r>
    </w:p>
    <w:p>
      <w:pPr>
        <w:numPr>
          <w:ilvl w:val="0"/>
          <w:numId w:val="18"/>
        </w:numPr>
        <w:tabs>
          <w:tab w:val="left" w:pos="1134"/>
        </w:tabs>
        <w:spacing w:line="360" w:lineRule="auto"/>
        <w:ind w:left="0" w:firstLine="546"/>
        <w:rPr>
          <w:rFonts w:ascii="宋体" w:hAnsi="宋体"/>
          <w:b/>
          <w:sz w:val="28"/>
          <w:szCs w:val="28"/>
        </w:rPr>
      </w:pPr>
      <w:r>
        <w:rPr>
          <w:rFonts w:hint="eastAsia" w:ascii="宋体" w:hAnsi="宋体"/>
          <w:b/>
          <w:sz w:val="28"/>
          <w:szCs w:val="28"/>
        </w:rPr>
        <w:t>声明；</w:t>
      </w:r>
    </w:p>
    <w:p>
      <w:pPr>
        <w:numPr>
          <w:ilvl w:val="0"/>
          <w:numId w:val="18"/>
        </w:numPr>
        <w:tabs>
          <w:tab w:val="left" w:pos="1134"/>
        </w:tabs>
        <w:spacing w:line="360" w:lineRule="auto"/>
        <w:ind w:left="0" w:firstLine="546"/>
        <w:rPr>
          <w:rFonts w:ascii="宋体" w:hAnsi="宋体"/>
          <w:b/>
          <w:sz w:val="28"/>
          <w:szCs w:val="28"/>
        </w:rPr>
      </w:pPr>
      <w:r>
        <w:rPr>
          <w:rFonts w:hint="eastAsia" w:ascii="宋体" w:hAnsi="宋体"/>
          <w:b/>
          <w:sz w:val="28"/>
          <w:szCs w:val="28"/>
        </w:rPr>
        <w:t>投标人应提交的相关资格证明材料：</w:t>
      </w:r>
    </w:p>
    <w:p>
      <w:pPr>
        <w:pStyle w:val="151"/>
        <w:numPr>
          <w:ilvl w:val="0"/>
          <w:numId w:val="19"/>
        </w:numPr>
        <w:tabs>
          <w:tab w:val="left" w:pos="1134"/>
        </w:tabs>
        <w:spacing w:line="360" w:lineRule="auto"/>
        <w:ind w:firstLineChars="0"/>
        <w:rPr>
          <w:rFonts w:ascii="宋体" w:hAnsi="宋体"/>
          <w:b/>
          <w:bCs/>
          <w:sz w:val="28"/>
          <w:szCs w:val="28"/>
        </w:rPr>
      </w:pPr>
      <w:r>
        <w:rPr>
          <w:rFonts w:hint="eastAsia" w:ascii="宋体" w:hAnsi="宋体"/>
          <w:b/>
          <w:bCs/>
          <w:sz w:val="28"/>
          <w:szCs w:val="28"/>
        </w:rPr>
        <w:t>营业执照复印件（正本或副本）或法人证书复印件（正本或副本）；</w:t>
      </w:r>
    </w:p>
    <w:p>
      <w:pPr>
        <w:pStyle w:val="151"/>
        <w:numPr>
          <w:ilvl w:val="0"/>
          <w:numId w:val="19"/>
        </w:numPr>
        <w:tabs>
          <w:tab w:val="left" w:pos="1134"/>
        </w:tabs>
        <w:spacing w:line="360" w:lineRule="auto"/>
        <w:ind w:firstLineChars="0"/>
        <w:rPr>
          <w:rFonts w:ascii="宋体" w:hAnsi="宋体"/>
          <w:b/>
          <w:bCs/>
          <w:sz w:val="28"/>
          <w:szCs w:val="28"/>
        </w:rPr>
      </w:pPr>
      <w:r>
        <w:rPr>
          <w:rFonts w:hint="eastAsia" w:ascii="宋体" w:hAnsi="宋体"/>
          <w:b/>
          <w:bCs/>
          <w:sz w:val="28"/>
          <w:szCs w:val="28"/>
        </w:rPr>
        <w:t>2020会计年度资产负债表复印件【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p>
    <w:p>
      <w:pPr>
        <w:pStyle w:val="151"/>
        <w:numPr>
          <w:ilvl w:val="0"/>
          <w:numId w:val="19"/>
        </w:numPr>
        <w:tabs>
          <w:tab w:val="left" w:pos="1134"/>
        </w:tabs>
        <w:spacing w:line="360" w:lineRule="auto"/>
        <w:ind w:firstLineChars="0"/>
        <w:rPr>
          <w:rFonts w:ascii="宋体" w:hAnsi="宋体"/>
          <w:b/>
          <w:bCs/>
          <w:sz w:val="28"/>
          <w:szCs w:val="28"/>
        </w:rPr>
      </w:pPr>
      <w:r>
        <w:rPr>
          <w:rFonts w:hint="eastAsia" w:ascii="宋体" w:hAnsi="宋体"/>
          <w:b/>
          <w:bCs/>
          <w:sz w:val="28"/>
          <w:szCs w:val="28"/>
        </w:rPr>
        <w:t>投标人缴纳2021年任意时段的税收的银行电子回单或者行政部门出具的纳税证明或完税证明复印件或承诺函（格式自拟）复印件（依法免税的供应商，应提供相应文件证明其依法免税）；</w:t>
      </w:r>
    </w:p>
    <w:p>
      <w:pPr>
        <w:pStyle w:val="151"/>
        <w:numPr>
          <w:ilvl w:val="0"/>
          <w:numId w:val="19"/>
        </w:numPr>
        <w:tabs>
          <w:tab w:val="left" w:pos="1134"/>
        </w:tabs>
        <w:spacing w:line="360" w:lineRule="auto"/>
        <w:ind w:firstLineChars="0"/>
        <w:rPr>
          <w:rFonts w:ascii="宋体" w:hAnsi="宋体"/>
          <w:b/>
          <w:bCs/>
          <w:sz w:val="28"/>
          <w:szCs w:val="28"/>
        </w:rPr>
      </w:pPr>
      <w:r>
        <w:rPr>
          <w:rFonts w:hint="eastAsia"/>
          <w:b/>
          <w:bCs/>
          <w:sz w:val="28"/>
          <w:szCs w:val="28"/>
        </w:rPr>
        <w:t>采购人</w:t>
      </w:r>
      <w:r>
        <w:rPr>
          <w:rFonts w:hint="eastAsia" w:ascii="宋体" w:hAnsi="宋体"/>
          <w:b/>
          <w:bCs/>
          <w:kern w:val="0"/>
          <w:sz w:val="28"/>
          <w:szCs w:val="28"/>
        </w:rPr>
        <w:t>对投标人履行合同所必须的设备和专业技术能力无其他特殊要求，投标人具有有效的营业执照或法人证书即可，可不提供其他证明材料；</w:t>
      </w:r>
    </w:p>
    <w:p>
      <w:pPr>
        <w:pStyle w:val="151"/>
        <w:numPr>
          <w:ilvl w:val="0"/>
          <w:numId w:val="19"/>
        </w:numPr>
        <w:tabs>
          <w:tab w:val="left" w:pos="1134"/>
        </w:tabs>
        <w:spacing w:line="360" w:lineRule="auto"/>
        <w:ind w:firstLineChars="0"/>
        <w:rPr>
          <w:rFonts w:ascii="宋体" w:hAnsi="宋体"/>
          <w:b/>
          <w:bCs/>
          <w:sz w:val="28"/>
          <w:szCs w:val="28"/>
        </w:rPr>
      </w:pPr>
      <w:r>
        <w:rPr>
          <w:rFonts w:hint="eastAsia" w:ascii="宋体" w:hAnsi="宋体"/>
          <w:b/>
          <w:bCs/>
          <w:sz w:val="28"/>
          <w:szCs w:val="28"/>
        </w:rPr>
        <w:t>投标人缴纳2021年任意时段的社保的银行电子回单或行政部门出具的社保缴纳证明材料复印件或承诺函（格式自拟）复印件（依法不需要缴纳社保的供应商，应提供相应文件证明其依法不需要缴纳社保）；</w:t>
      </w:r>
    </w:p>
    <w:p>
      <w:pPr>
        <w:pStyle w:val="151"/>
        <w:numPr>
          <w:ilvl w:val="0"/>
          <w:numId w:val="19"/>
        </w:numPr>
        <w:tabs>
          <w:tab w:val="left" w:pos="0"/>
          <w:tab w:val="left" w:pos="1134"/>
        </w:tabs>
        <w:spacing w:line="360" w:lineRule="auto"/>
        <w:ind w:firstLineChars="0"/>
        <w:rPr>
          <w:rFonts w:ascii="宋体" w:hAnsi="宋体" w:cs="宋体"/>
          <w:b/>
          <w:bCs/>
          <w:sz w:val="28"/>
          <w:szCs w:val="28"/>
        </w:rPr>
      </w:pPr>
      <w:r>
        <w:rPr>
          <w:rFonts w:hint="eastAsia" w:ascii="宋体" w:hAnsi="宋体"/>
          <w:b/>
          <w:bCs/>
          <w:sz w:val="28"/>
          <w:szCs w:val="28"/>
        </w:rPr>
        <w:t>采购人对法律、行政法规规定的其他条件无其他特殊要求，投标人具有有效的营业执照或法人证书即可，可不提供其他证明材料。</w:t>
      </w:r>
    </w:p>
    <w:p>
      <w:pPr>
        <w:pStyle w:val="151"/>
        <w:numPr>
          <w:ilvl w:val="0"/>
          <w:numId w:val="19"/>
        </w:numPr>
        <w:tabs>
          <w:tab w:val="left" w:pos="0"/>
          <w:tab w:val="left" w:pos="1134"/>
        </w:tabs>
        <w:spacing w:line="360" w:lineRule="auto"/>
        <w:ind w:firstLineChars="0"/>
        <w:rPr>
          <w:rFonts w:ascii="宋体" w:hAnsi="宋体" w:cs="宋体"/>
          <w:b/>
          <w:bCs/>
          <w:sz w:val="28"/>
          <w:szCs w:val="28"/>
        </w:rPr>
      </w:pPr>
      <w:r>
        <w:rPr>
          <w:rFonts w:hint="eastAsia" w:ascii="宋体" w:hAnsi="宋体" w:cs="宋体"/>
          <w:b/>
          <w:kern w:val="0"/>
          <w:sz w:val="28"/>
          <w:szCs w:val="28"/>
        </w:rPr>
        <w:t>本项目不接受联合体投标。</w:t>
      </w:r>
    </w:p>
    <w:p>
      <w:pPr>
        <w:pStyle w:val="6"/>
        <w:numPr>
          <w:ilvl w:val="3"/>
          <w:numId w:val="5"/>
        </w:numPr>
        <w:rPr>
          <w:rFonts w:ascii="宋体" w:hAnsi="宋体"/>
        </w:rPr>
      </w:pPr>
      <w:r>
        <w:rPr>
          <w:rFonts w:hint="eastAsia" w:ascii="宋体" w:hAnsi="宋体"/>
        </w:rPr>
        <w:t>商务技术</w:t>
      </w:r>
      <w:r>
        <w:rPr>
          <w:rFonts w:ascii="宋体" w:hAnsi="宋体"/>
        </w:rPr>
        <w:t>响应</w:t>
      </w:r>
      <w:r>
        <w:rPr>
          <w:rFonts w:hint="eastAsia" w:ascii="宋体" w:hAnsi="宋体"/>
        </w:rPr>
        <w:t>文件</w:t>
      </w:r>
    </w:p>
    <w:p>
      <w:pPr>
        <w:numPr>
          <w:ilvl w:val="0"/>
          <w:numId w:val="20"/>
        </w:numPr>
        <w:tabs>
          <w:tab w:val="left" w:pos="1134"/>
        </w:tabs>
        <w:spacing w:line="360" w:lineRule="auto"/>
        <w:jc w:val="left"/>
        <w:rPr>
          <w:rFonts w:ascii="宋体" w:hAnsi="宋体"/>
          <w:b/>
          <w:sz w:val="28"/>
          <w:szCs w:val="28"/>
        </w:rPr>
      </w:pPr>
      <w:r>
        <w:rPr>
          <w:rFonts w:hint="eastAsia" w:ascii="宋体" w:hAnsi="宋体"/>
          <w:b/>
          <w:sz w:val="28"/>
          <w:szCs w:val="28"/>
        </w:rPr>
        <w:t>投标函；</w:t>
      </w:r>
    </w:p>
    <w:p>
      <w:pPr>
        <w:numPr>
          <w:ilvl w:val="0"/>
          <w:numId w:val="20"/>
        </w:numPr>
        <w:tabs>
          <w:tab w:val="left" w:pos="1134"/>
        </w:tabs>
        <w:spacing w:line="360" w:lineRule="auto"/>
        <w:rPr>
          <w:rFonts w:ascii="宋体" w:hAnsi="宋体"/>
          <w:b/>
          <w:sz w:val="28"/>
          <w:szCs w:val="28"/>
        </w:rPr>
      </w:pPr>
      <w:r>
        <w:rPr>
          <w:rFonts w:hint="eastAsia" w:ascii="宋体" w:hAnsi="宋体"/>
          <w:b/>
          <w:sz w:val="28"/>
          <w:szCs w:val="28"/>
        </w:rPr>
        <w:t>法定代表人身份证明书；</w:t>
      </w:r>
    </w:p>
    <w:p>
      <w:pPr>
        <w:numPr>
          <w:ilvl w:val="0"/>
          <w:numId w:val="20"/>
        </w:numPr>
        <w:tabs>
          <w:tab w:val="left" w:pos="1134"/>
        </w:tabs>
        <w:spacing w:line="360" w:lineRule="auto"/>
        <w:rPr>
          <w:rFonts w:ascii="宋体" w:hAnsi="宋体"/>
          <w:b/>
          <w:sz w:val="28"/>
          <w:szCs w:val="28"/>
        </w:rPr>
      </w:pPr>
      <w:r>
        <w:rPr>
          <w:rFonts w:hint="eastAsia" w:ascii="宋体" w:hAnsi="宋体"/>
          <w:b/>
          <w:sz w:val="28"/>
          <w:szCs w:val="28"/>
        </w:rPr>
        <w:t>投标人基本情况表；</w:t>
      </w:r>
    </w:p>
    <w:p>
      <w:pPr>
        <w:numPr>
          <w:ilvl w:val="0"/>
          <w:numId w:val="20"/>
        </w:numPr>
        <w:tabs>
          <w:tab w:val="left" w:pos="1134"/>
        </w:tabs>
        <w:spacing w:line="360" w:lineRule="auto"/>
        <w:rPr>
          <w:rFonts w:ascii="宋体" w:hAnsi="宋体"/>
          <w:b/>
          <w:sz w:val="28"/>
          <w:szCs w:val="28"/>
        </w:rPr>
      </w:pPr>
      <w:r>
        <w:rPr>
          <w:rFonts w:hint="eastAsia" w:ascii="宋体" w:hAnsi="宋体"/>
          <w:b/>
          <w:sz w:val="28"/>
          <w:szCs w:val="28"/>
        </w:rPr>
        <w:t>售后服务及承诺；</w:t>
      </w:r>
    </w:p>
    <w:p>
      <w:pPr>
        <w:numPr>
          <w:ilvl w:val="0"/>
          <w:numId w:val="20"/>
        </w:numPr>
        <w:tabs>
          <w:tab w:val="left" w:pos="1134"/>
        </w:tabs>
        <w:spacing w:line="360" w:lineRule="auto"/>
        <w:rPr>
          <w:rFonts w:ascii="宋体" w:hAnsi="宋体"/>
          <w:b/>
          <w:sz w:val="28"/>
          <w:szCs w:val="28"/>
        </w:rPr>
      </w:pPr>
      <w:r>
        <w:rPr>
          <w:rFonts w:hint="eastAsia" w:ascii="宋体" w:hAnsi="宋体"/>
          <w:b/>
          <w:sz w:val="28"/>
          <w:szCs w:val="28"/>
        </w:rPr>
        <w:t>项目实施方案；</w:t>
      </w:r>
    </w:p>
    <w:p>
      <w:pPr>
        <w:numPr>
          <w:ilvl w:val="0"/>
          <w:numId w:val="20"/>
        </w:numPr>
        <w:tabs>
          <w:tab w:val="left" w:pos="1134"/>
        </w:tabs>
        <w:spacing w:line="360" w:lineRule="auto"/>
        <w:rPr>
          <w:rFonts w:ascii="宋体" w:hAnsi="宋体"/>
          <w:b/>
          <w:sz w:val="28"/>
          <w:szCs w:val="28"/>
        </w:rPr>
      </w:pPr>
      <w:r>
        <w:rPr>
          <w:rFonts w:hint="eastAsia" w:ascii="宋体" w:hAnsi="宋体"/>
          <w:b/>
          <w:sz w:val="28"/>
          <w:szCs w:val="28"/>
        </w:rPr>
        <w:t>承诺函；</w:t>
      </w:r>
    </w:p>
    <w:p>
      <w:pPr>
        <w:numPr>
          <w:ilvl w:val="0"/>
          <w:numId w:val="20"/>
        </w:numPr>
        <w:tabs>
          <w:tab w:val="left" w:pos="1134"/>
        </w:tabs>
        <w:spacing w:line="360" w:lineRule="auto"/>
        <w:rPr>
          <w:rFonts w:ascii="宋体" w:hAnsi="宋体"/>
          <w:b/>
          <w:sz w:val="28"/>
          <w:szCs w:val="28"/>
        </w:rPr>
      </w:pPr>
      <w:r>
        <w:rPr>
          <w:rFonts w:hint="eastAsia" w:ascii="宋体" w:hAnsi="宋体"/>
          <w:b/>
          <w:sz w:val="28"/>
          <w:szCs w:val="28"/>
        </w:rPr>
        <w:t>商务应答表；</w:t>
      </w:r>
    </w:p>
    <w:p>
      <w:pPr>
        <w:numPr>
          <w:ilvl w:val="0"/>
          <w:numId w:val="20"/>
        </w:numPr>
        <w:tabs>
          <w:tab w:val="left" w:pos="1134"/>
        </w:tabs>
        <w:spacing w:line="360" w:lineRule="auto"/>
        <w:rPr>
          <w:rFonts w:ascii="宋体" w:hAnsi="宋体"/>
          <w:b/>
          <w:sz w:val="28"/>
          <w:szCs w:val="28"/>
        </w:rPr>
      </w:pPr>
      <w:r>
        <w:rPr>
          <w:rFonts w:hint="eastAsia" w:ascii="宋体" w:hAnsi="宋体"/>
          <w:b/>
          <w:sz w:val="28"/>
          <w:szCs w:val="28"/>
        </w:rPr>
        <w:t>投标产品技术参数表；</w:t>
      </w:r>
    </w:p>
    <w:p>
      <w:pPr>
        <w:numPr>
          <w:ilvl w:val="0"/>
          <w:numId w:val="20"/>
        </w:numPr>
        <w:tabs>
          <w:tab w:val="left" w:pos="1134"/>
        </w:tabs>
        <w:spacing w:line="360" w:lineRule="auto"/>
        <w:rPr>
          <w:rFonts w:ascii="宋体" w:hAnsi="宋体"/>
          <w:b/>
          <w:sz w:val="28"/>
          <w:szCs w:val="28"/>
        </w:rPr>
      </w:pPr>
      <w:r>
        <w:rPr>
          <w:rFonts w:hint="eastAsia" w:ascii="宋体" w:hAnsi="宋体"/>
          <w:b/>
          <w:sz w:val="28"/>
          <w:szCs w:val="28"/>
        </w:rPr>
        <w:t>项目管理、技术、服务人员情况表；</w:t>
      </w:r>
    </w:p>
    <w:p>
      <w:pPr>
        <w:numPr>
          <w:ilvl w:val="0"/>
          <w:numId w:val="20"/>
        </w:numPr>
        <w:tabs>
          <w:tab w:val="left" w:pos="1134"/>
        </w:tabs>
        <w:spacing w:line="360" w:lineRule="auto"/>
        <w:rPr>
          <w:rFonts w:ascii="宋体" w:hAnsi="宋体"/>
          <w:b/>
          <w:sz w:val="28"/>
          <w:szCs w:val="28"/>
        </w:rPr>
      </w:pPr>
      <w:r>
        <w:rPr>
          <w:rFonts w:hint="eastAsia" w:ascii="宋体" w:hAnsi="宋体"/>
          <w:b/>
          <w:sz w:val="28"/>
          <w:szCs w:val="28"/>
        </w:rPr>
        <w:t>投标人认为需要提供的其他文件和资料。</w:t>
      </w:r>
    </w:p>
    <w:p>
      <w:pPr>
        <w:pStyle w:val="6"/>
        <w:numPr>
          <w:ilvl w:val="3"/>
          <w:numId w:val="5"/>
        </w:numPr>
        <w:rPr>
          <w:rFonts w:ascii="宋体" w:hAnsi="宋体"/>
        </w:rPr>
      </w:pPr>
      <w:r>
        <w:rPr>
          <w:rFonts w:hint="eastAsia" w:ascii="宋体" w:hAnsi="宋体"/>
        </w:rPr>
        <w:t>报价</w:t>
      </w:r>
      <w:r>
        <w:rPr>
          <w:rFonts w:ascii="宋体" w:hAnsi="宋体"/>
        </w:rPr>
        <w:t>要求响应文件</w:t>
      </w:r>
    </w:p>
    <w:p>
      <w:pPr>
        <w:pStyle w:val="79"/>
        <w:numPr>
          <w:ilvl w:val="0"/>
          <w:numId w:val="21"/>
        </w:numPr>
        <w:tabs>
          <w:tab w:val="left" w:pos="1134"/>
        </w:tabs>
        <w:spacing w:line="360" w:lineRule="auto"/>
        <w:ind w:firstLineChars="0"/>
        <w:rPr>
          <w:rFonts w:ascii="宋体" w:hAnsi="宋体"/>
          <w:b/>
          <w:sz w:val="28"/>
          <w:szCs w:val="28"/>
        </w:rPr>
      </w:pPr>
      <w:r>
        <w:rPr>
          <w:rFonts w:hint="eastAsia" w:ascii="宋体" w:hAnsi="宋体"/>
          <w:b/>
          <w:sz w:val="28"/>
          <w:szCs w:val="28"/>
        </w:rPr>
        <w:t>开标一览表；</w:t>
      </w:r>
    </w:p>
    <w:p>
      <w:pPr>
        <w:pStyle w:val="79"/>
        <w:numPr>
          <w:ilvl w:val="0"/>
          <w:numId w:val="21"/>
        </w:numPr>
        <w:tabs>
          <w:tab w:val="left" w:pos="1134"/>
        </w:tabs>
        <w:spacing w:line="360" w:lineRule="auto"/>
        <w:ind w:left="0" w:firstLine="546" w:firstLineChars="0"/>
        <w:rPr>
          <w:rFonts w:ascii="宋体" w:hAnsi="宋体"/>
          <w:b/>
          <w:sz w:val="28"/>
          <w:szCs w:val="28"/>
        </w:rPr>
      </w:pPr>
      <w:r>
        <w:rPr>
          <w:rFonts w:hint="eastAsia" w:ascii="宋体" w:hAnsi="宋体"/>
          <w:b/>
          <w:sz w:val="28"/>
          <w:szCs w:val="28"/>
        </w:rPr>
        <w:t>分项报价明细表（如涉及）；</w:t>
      </w:r>
      <w:bookmarkStart w:id="52" w:name="_Toc316292019"/>
      <w:bookmarkEnd w:id="52"/>
      <w:bookmarkStart w:id="53" w:name="_Toc316291395"/>
      <w:bookmarkEnd w:id="53"/>
      <w:bookmarkStart w:id="54" w:name="_Toc316292020"/>
      <w:bookmarkEnd w:id="54"/>
      <w:bookmarkStart w:id="55" w:name="_Toc316291396"/>
      <w:bookmarkEnd w:id="55"/>
      <w:bookmarkStart w:id="56" w:name="_Toc183582218"/>
      <w:bookmarkStart w:id="57" w:name="_Toc183682355"/>
      <w:bookmarkStart w:id="58" w:name="_Toc217446049"/>
    </w:p>
    <w:p>
      <w:pPr>
        <w:pStyle w:val="79"/>
        <w:numPr>
          <w:ilvl w:val="0"/>
          <w:numId w:val="21"/>
        </w:numPr>
        <w:tabs>
          <w:tab w:val="left" w:pos="1134"/>
        </w:tabs>
        <w:spacing w:line="360" w:lineRule="auto"/>
        <w:ind w:left="0" w:firstLine="546" w:firstLineChars="0"/>
        <w:rPr>
          <w:rFonts w:ascii="宋体" w:hAnsi="宋体"/>
          <w:b/>
          <w:kern w:val="0"/>
          <w:sz w:val="28"/>
          <w:szCs w:val="28"/>
        </w:rPr>
      </w:pPr>
      <w:r>
        <w:rPr>
          <w:rFonts w:hint="eastAsia" w:ascii="宋体" w:hAnsi="宋体"/>
          <w:b/>
          <w:kern w:val="0"/>
          <w:sz w:val="28"/>
          <w:szCs w:val="28"/>
        </w:rPr>
        <w:t>中小企业声明函</w:t>
      </w:r>
      <w:r>
        <w:rPr>
          <w:rFonts w:hint="eastAsia" w:ascii="宋体" w:hAnsi="宋体" w:cs="宋体"/>
          <w:b/>
          <w:sz w:val="28"/>
          <w:szCs w:val="28"/>
        </w:rPr>
        <w:t>（提供了《残疾人福利性单位声明函》或监狱企业证明文件的，可不提供；如未提供《中小企业声明函》或《残疾人福利性单位声明函》或监狱企业证明文件，不能享受招标文件规定的价格扣除，但不影响投标人投标文件的有效性）</w:t>
      </w:r>
      <w:r>
        <w:rPr>
          <w:rFonts w:hint="eastAsia" w:ascii="宋体" w:hAnsi="宋体"/>
          <w:b/>
          <w:kern w:val="0"/>
          <w:sz w:val="28"/>
          <w:szCs w:val="28"/>
        </w:rPr>
        <w:t>；</w:t>
      </w:r>
    </w:p>
    <w:p>
      <w:pPr>
        <w:pStyle w:val="79"/>
        <w:numPr>
          <w:ilvl w:val="0"/>
          <w:numId w:val="21"/>
        </w:numPr>
        <w:tabs>
          <w:tab w:val="left" w:pos="1134"/>
        </w:tabs>
        <w:spacing w:line="360" w:lineRule="auto"/>
        <w:ind w:left="0" w:firstLine="546" w:firstLineChars="0"/>
        <w:rPr>
          <w:rFonts w:ascii="宋体" w:hAnsi="宋体"/>
          <w:b/>
          <w:sz w:val="28"/>
          <w:szCs w:val="28"/>
        </w:rPr>
      </w:pPr>
      <w:r>
        <w:rPr>
          <w:rFonts w:hint="eastAsia" w:ascii="宋体" w:hAnsi="宋体"/>
          <w:b/>
          <w:kern w:val="0"/>
          <w:sz w:val="28"/>
          <w:szCs w:val="28"/>
        </w:rPr>
        <w:t>残疾人福利性单位声明函</w:t>
      </w:r>
      <w:r>
        <w:rPr>
          <w:rFonts w:hint="eastAsia" w:ascii="宋体" w:hAnsi="宋体" w:cs="宋体"/>
          <w:b/>
          <w:sz w:val="28"/>
          <w:szCs w:val="28"/>
        </w:rPr>
        <w:t>（提供了《中小企业声明函》或监狱企业证明文件的，可不提供；如未提供《中小企业声明函》或《残疾人福利性单位声明函》或监狱企业证明文件，不能享受招标文件规定的价格扣除，但不影响投标人投标文件的有效性）</w:t>
      </w:r>
      <w:r>
        <w:rPr>
          <w:rFonts w:hint="eastAsia" w:ascii="宋体" w:hAnsi="宋体"/>
          <w:b/>
          <w:kern w:val="0"/>
          <w:sz w:val="28"/>
          <w:szCs w:val="28"/>
        </w:rPr>
        <w:t>；</w:t>
      </w:r>
    </w:p>
    <w:p>
      <w:pPr>
        <w:pStyle w:val="79"/>
        <w:numPr>
          <w:ilvl w:val="0"/>
          <w:numId w:val="21"/>
        </w:numPr>
        <w:tabs>
          <w:tab w:val="left" w:pos="1134"/>
        </w:tabs>
        <w:spacing w:line="360" w:lineRule="auto"/>
        <w:ind w:left="0" w:firstLine="546" w:firstLineChars="0"/>
        <w:rPr>
          <w:rFonts w:ascii="宋体" w:hAnsi="宋体"/>
          <w:b/>
          <w:sz w:val="28"/>
          <w:szCs w:val="28"/>
        </w:rPr>
      </w:pPr>
      <w:r>
        <w:rPr>
          <w:rFonts w:hint="eastAsia" w:ascii="宋体" w:hAnsi="宋体"/>
          <w:b/>
          <w:sz w:val="28"/>
          <w:szCs w:val="28"/>
        </w:rPr>
        <w:t>投标产品</w:t>
      </w:r>
      <w:r>
        <w:rPr>
          <w:rFonts w:ascii="宋体" w:hAnsi="宋体"/>
          <w:b/>
          <w:sz w:val="28"/>
          <w:szCs w:val="28"/>
        </w:rPr>
        <w:t>制造商</w:t>
      </w:r>
      <w:r>
        <w:rPr>
          <w:rFonts w:hint="eastAsia" w:ascii="宋体" w:hAnsi="宋体" w:eastAsia="宋体"/>
          <w:b/>
          <w:kern w:val="0"/>
          <w:sz w:val="28"/>
          <w:szCs w:val="28"/>
        </w:rPr>
        <w:t>属于监狱企业的证明文件复印件（投标人属于监狱企业的应提供由省级以上监狱管理局、戒毒管理局（含新疆生产建设兵团）出具的制造商属于监狱企业的证明文件复印件；（提供了《中小企业声明函》或《残疾人福利性单位声明函》的，可不提供；如未提供《中小企业声明函》或《残疾人福利性单位声明函》或监狱企业证明文件，不能享受招标文件规定的价格扣除，但不影响投标人投标文件的有效性）</w:t>
      </w:r>
      <w:r>
        <w:rPr>
          <w:rFonts w:hint="eastAsia" w:ascii="宋体" w:hAnsi="宋体" w:eastAsia="宋体"/>
          <w:b/>
          <w:sz w:val="28"/>
          <w:szCs w:val="28"/>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22"/>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2"/>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投标报价</w:t>
      </w:r>
    </w:p>
    <w:p>
      <w:pPr>
        <w:numPr>
          <w:ilvl w:val="0"/>
          <w:numId w:val="23"/>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3"/>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FF0000"/>
          <w:sz w:val="28"/>
          <w:szCs w:val="28"/>
        </w:rPr>
      </w:pPr>
      <w:bookmarkStart w:id="59" w:name="_Toc217446050"/>
      <w:bookmarkStart w:id="60" w:name="_Toc183682360"/>
      <w:bookmarkStart w:id="61" w:name="_Toc183582223"/>
      <w:r>
        <w:rPr>
          <w:rFonts w:hint="eastAsia" w:ascii="宋体" w:hAnsi="宋体"/>
          <w:sz w:val="28"/>
          <w:szCs w:val="28"/>
        </w:rPr>
        <w:t>三、投标文件报价出现前后不一致的，按照下列规定修正：（1）开标现场宣读的投标报价与投标文件中的投标报价不一致的，以投标人在“电子投标辅助制作软件”中填写的投标报价为准;（2）大写金额和小写金额不一致的，以大写金额为准，但大写金额出现文字错误，导致金额无法判断的除外；（3）单价金额小数点或者百分比有明显错位的，应以总价为准，并修改单价；（4）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ascii="宋体" w:hAnsi="宋体"/>
          <w:sz w:val="28"/>
          <w:szCs w:val="28"/>
        </w:rPr>
        <w:t>同时出现两种以上不一致的，按照前款规定的顺序修正。修正后的报价经投标人以书面形式通过云平台进行确认，并加盖投标人（法定名称）电子签章，投标人逾时确认的，其投标无效。如因断电、断网、系统故障或其他不可抗力等因素，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w:t>
      </w:r>
      <w:r>
        <w:rPr>
          <w:rFonts w:hint="eastAsia" w:cs="Arial"/>
          <w:b/>
          <w:bCs/>
          <w:sz w:val="28"/>
          <w:szCs w:val="28"/>
        </w:rPr>
        <w:t>不收取</w:t>
      </w:r>
      <w:r>
        <w:rPr>
          <w:rFonts w:hint="eastAsia" w:cs="Arial"/>
          <w:sz w:val="28"/>
          <w:szCs w:val="28"/>
        </w:rPr>
        <w:t>投标保证金。</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1400"/>
      <w:bookmarkEnd w:id="62"/>
      <w:bookmarkStart w:id="63" w:name="_Toc316292024"/>
      <w:bookmarkEnd w:id="63"/>
      <w:bookmarkStart w:id="64" w:name="_Toc183582224"/>
      <w:bookmarkStart w:id="65" w:name="_Toc183682361"/>
      <w:bookmarkStart w:id="66" w:name="_Toc217446051"/>
      <w:r>
        <w:rPr>
          <w:rFonts w:hint="eastAsia" w:ascii="宋体" w:hAnsi="宋体"/>
          <w:b/>
          <w:bCs/>
          <w:sz w:val="28"/>
          <w:szCs w:val="28"/>
        </w:rPr>
        <w:t>投标有效期</w:t>
      </w:r>
      <w:bookmarkEnd w:id="64"/>
      <w:bookmarkEnd w:id="65"/>
      <w:bookmarkEnd w:id="66"/>
    </w:p>
    <w:p>
      <w:pPr>
        <w:numPr>
          <w:ilvl w:val="0"/>
          <w:numId w:val="24"/>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4"/>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5"/>
        </w:numPr>
        <w:tabs>
          <w:tab w:val="left" w:pos="851"/>
        </w:tabs>
        <w:spacing w:after="200"/>
        <w:ind w:left="0" w:firstLine="0"/>
        <w:rPr>
          <w:color w:val="auto"/>
        </w:rPr>
      </w:pPr>
      <w:bookmarkStart w:id="67" w:name="_Toc183682364"/>
      <w:bookmarkStart w:id="68" w:name="_Toc183582227"/>
      <w:bookmarkStart w:id="69" w:name="_Toc217446054"/>
      <w:r>
        <w:rPr>
          <w:rFonts w:hint="eastAsia"/>
          <w:color w:val="auto"/>
        </w:rPr>
        <w:t>投标文件的制作和签章、加密</w:t>
      </w:r>
    </w:p>
    <w:p>
      <w:pPr>
        <w:spacing w:line="360" w:lineRule="auto"/>
        <w:ind w:firstLine="562" w:firstLineChars="200"/>
        <w:rPr>
          <w:rFonts w:ascii="宋体" w:hAnsi="宋体"/>
          <w:sz w:val="28"/>
          <w:szCs w:val="28"/>
        </w:rPr>
      </w:pPr>
      <w:r>
        <w:rPr>
          <w:rFonts w:hint="eastAsia" w:ascii="宋体" w:hAnsi="宋体"/>
          <w:b/>
          <w:sz w:val="28"/>
          <w:szCs w:val="28"/>
        </w:rPr>
        <w:t>一、投标文件应根据招标文件的要求进行制作。</w:t>
      </w:r>
      <w:r>
        <w:rPr>
          <w:rFonts w:hint="eastAsia" w:ascii="宋体" w:hAnsi="宋体"/>
          <w:b/>
          <w:bCs/>
          <w:sz w:val="28"/>
          <w:szCs w:val="28"/>
        </w:rPr>
        <w:t>（说明：1、招标文件中要求提供复印件证明材料的，包含提供原件的影印件或复印件。2、要求提供复印件的证明材料须清晰可辨，如因投标人上传的图片清晰度使评审专家无法辨别、不予认可，由投标人自行承担可能产生的一切后果。）</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Pr>
          <w:rFonts w:hint="eastAsia" w:ascii="宋体" w:hAnsi="宋体"/>
          <w:b/>
          <w:sz w:val="28"/>
          <w:szCs w:val="28"/>
        </w:rPr>
        <w:t>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2" w:firstLineChars="200"/>
        <w:rPr>
          <w:rFonts w:ascii="宋体" w:hAnsi="宋体"/>
          <w:b/>
          <w:sz w:val="28"/>
          <w:szCs w:val="28"/>
        </w:rPr>
      </w:pPr>
      <w:r>
        <w:rPr>
          <w:rFonts w:hint="eastAsia" w:ascii="宋体" w:hAnsi="宋体"/>
          <w:b/>
          <w:sz w:val="28"/>
          <w:szCs w:val="28"/>
        </w:rPr>
        <w:t>3、投标人应使用本企业CA数字证书对投标文件进行加密。</w:t>
      </w:r>
    </w:p>
    <w:p>
      <w:pPr>
        <w:spacing w:line="360" w:lineRule="auto"/>
        <w:ind w:firstLine="562" w:firstLineChars="200"/>
        <w:rPr>
          <w:rFonts w:ascii="宋体" w:hAnsi="宋体"/>
          <w:b/>
          <w:sz w:val="28"/>
          <w:szCs w:val="28"/>
        </w:rPr>
      </w:pPr>
      <w:r>
        <w:rPr>
          <w:rFonts w:hint="eastAsia" w:ascii="宋体" w:hAnsi="宋体"/>
          <w:b/>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5、使用“政府采购云平台”（含政采云电子交易客户端）需要提前申领CA数字证书及电子签章，请自行前往四川CA、CFCA、天威CA服务点办理，只需办理其中一家CA数字证书及签章（</w:t>
      </w:r>
      <w:r>
        <w:rPr>
          <w:rFonts w:hint="eastAsia" w:ascii="宋体" w:hAnsi="宋体"/>
          <w:b/>
          <w:bCs/>
          <w:sz w:val="28"/>
          <w:szCs w:val="28"/>
        </w:rPr>
        <w:t>提示：</w:t>
      </w:r>
      <w:r>
        <w:rPr>
          <w:rFonts w:hint="eastAsia" w:ascii="宋体" w:hAnsi="宋体"/>
          <w:sz w:val="28"/>
          <w:szCs w:val="28"/>
        </w:rPr>
        <w:t>办理时请说明参与成都市政府采购项目）。投标人应及时完成在“政府采购云平台”的CA账号绑定，确保顺利参与电子投标。</w:t>
      </w:r>
    </w:p>
    <w:p>
      <w:pPr>
        <w:pStyle w:val="5"/>
        <w:numPr>
          <w:ilvl w:val="2"/>
          <w:numId w:val="5"/>
        </w:numPr>
        <w:spacing w:after="200"/>
        <w:ind w:left="0" w:firstLine="0"/>
        <w:rPr>
          <w:color w:val="auto"/>
        </w:rPr>
      </w:pPr>
      <w:r>
        <w:rPr>
          <w:rFonts w:hint="eastAsia"/>
          <w:color w:val="auto"/>
        </w:rPr>
        <w:t>投标文件的</w:t>
      </w:r>
      <w:bookmarkEnd w:id="67"/>
      <w:bookmarkEnd w:id="68"/>
      <w:r>
        <w:rPr>
          <w:rFonts w:hint="eastAsia"/>
          <w:color w:val="auto"/>
        </w:rPr>
        <w:t>递交</w:t>
      </w:r>
      <w:bookmarkEnd w:id="69"/>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区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三、投标人应充分考虑递交文件的不可预见因素，未在投标截止时间前完成递交的，在投标截止时间后将无法递交</w:t>
      </w:r>
      <w:r>
        <w:rPr>
          <w:rFonts w:hint="eastAsia" w:ascii="宋体" w:hAnsi="宋体"/>
          <w:bCs/>
          <w:sz w:val="28"/>
          <w:szCs w:val="28"/>
        </w:rPr>
        <w:t>。</w:t>
      </w:r>
    </w:p>
    <w:p>
      <w:pPr>
        <w:pStyle w:val="5"/>
        <w:numPr>
          <w:ilvl w:val="2"/>
          <w:numId w:val="5"/>
        </w:numPr>
        <w:spacing w:after="200"/>
        <w:ind w:left="0" w:firstLine="0"/>
        <w:rPr>
          <w:color w:val="auto"/>
        </w:rPr>
      </w:pPr>
      <w:r>
        <w:rPr>
          <w:rFonts w:hint="eastAsia"/>
          <w:color w:val="auto"/>
        </w:rPr>
        <w:t>投标文件的补充、修改</w:t>
      </w:r>
    </w:p>
    <w:p>
      <w:pPr>
        <w:numPr>
          <w:ilvl w:val="0"/>
          <w:numId w:val="25"/>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5"/>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在投标截止时间之后，投标人不得对其递交的投标文件做任何补充、修改。</w:t>
      </w:r>
    </w:p>
    <w:p>
      <w:pPr>
        <w:pStyle w:val="5"/>
        <w:numPr>
          <w:ilvl w:val="2"/>
          <w:numId w:val="5"/>
        </w:numPr>
        <w:spacing w:after="200"/>
        <w:ind w:left="0" w:firstLine="0"/>
        <w:rPr>
          <w:color w:val="auto"/>
        </w:rPr>
      </w:pPr>
      <w:bookmarkStart w:id="70" w:name="_Toc316475587"/>
      <w:bookmarkEnd w:id="70"/>
      <w:bookmarkStart w:id="71" w:name="_Toc316475586"/>
      <w:bookmarkEnd w:id="71"/>
      <w:bookmarkStart w:id="72" w:name="_Toc183582228"/>
      <w:bookmarkStart w:id="73" w:name="_Toc217446055"/>
      <w:bookmarkStart w:id="74" w:name="_Toc183682365"/>
      <w:r>
        <w:rPr>
          <w:rFonts w:hint="eastAsia"/>
          <w:color w:val="auto"/>
        </w:rPr>
        <w:t>投标文件的</w:t>
      </w:r>
      <w:bookmarkEnd w:id="72"/>
      <w:bookmarkEnd w:id="73"/>
      <w:bookmarkEnd w:id="74"/>
      <w:r>
        <w:rPr>
          <w:rFonts w:hint="eastAsia"/>
          <w:color w:val="auto"/>
        </w:rPr>
        <w:t>撤回</w:t>
      </w:r>
    </w:p>
    <w:p>
      <w:pPr>
        <w:spacing w:before="120" w:after="200" w:line="360" w:lineRule="auto"/>
        <w:ind w:firstLine="560" w:firstLineChars="200"/>
        <w:rPr>
          <w:rFonts w:ascii="宋体" w:hAnsi="宋体"/>
          <w:bCs/>
          <w:sz w:val="28"/>
          <w:szCs w:val="28"/>
        </w:rPr>
      </w:pPr>
      <w:r>
        <w:rPr>
          <w:rFonts w:hint="eastAsia" w:ascii="宋体" w:hAnsi="宋体"/>
          <w:bCs/>
          <w:sz w:val="28"/>
          <w:szCs w:val="28"/>
        </w:rPr>
        <w:t>在投标截止时间之前，投标人可对已递交的投标文件进行撤回。在投标截止时间之后，投标人不得撤回投标文件。</w:t>
      </w:r>
    </w:p>
    <w:p>
      <w:pPr>
        <w:pStyle w:val="5"/>
        <w:numPr>
          <w:ilvl w:val="2"/>
          <w:numId w:val="5"/>
        </w:numPr>
        <w:spacing w:after="200"/>
        <w:ind w:left="0" w:firstLine="0"/>
        <w:rPr>
          <w:rFonts w:hint="eastAsia"/>
          <w:color w:val="auto"/>
        </w:rPr>
      </w:pPr>
      <w:r>
        <w:rPr>
          <w:rFonts w:hint="eastAsia"/>
          <w:color w:val="auto"/>
        </w:rPr>
        <w:t>投标文件的解密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登录政府采购云平台，点击“项目采购—开标评标”模块，找到对应项目，进入“开标大厅”，等待区公资交易中心开启解密后，进行线上解密。</w:t>
      </w:r>
      <w:r>
        <w:rPr>
          <w:rFonts w:hint="eastAsia" w:ascii="宋体" w:hAnsi="宋体"/>
          <w:bCs/>
          <w:sz w:val="28"/>
          <w:szCs w:val="28"/>
        </w:rPr>
        <w:t>除因</w:t>
      </w:r>
      <w:r>
        <w:rPr>
          <w:rFonts w:hint="eastAsia" w:ascii="宋体" w:hAnsi="宋体"/>
          <w:sz w:val="28"/>
          <w:szCs w:val="28"/>
        </w:rPr>
        <w:t>区公资交易中心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75" w:name="_Toc217446056"/>
      <w:bookmarkStart w:id="76" w:name="_Toc183682368"/>
      <w:bookmarkStart w:id="77" w:name="_Toc183582231"/>
      <w:bookmarkStart w:id="78" w:name="_Toc77400782"/>
      <w:bookmarkStart w:id="79" w:name="_Toc89075878"/>
      <w:bookmarkStart w:id="80" w:name="_Toc5368"/>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开标及开标程序</w:t>
      </w:r>
    </w:p>
    <w:p>
      <w:pPr>
        <w:pStyle w:val="79"/>
        <w:numPr>
          <w:ilvl w:val="0"/>
          <w:numId w:val="26"/>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w:t>
      </w:r>
      <w:r>
        <w:rPr>
          <w:rFonts w:hint="eastAsia" w:ascii="宋体" w:hAnsi="宋体" w:eastAsia="宋体" w:cs="宋体"/>
          <w:b/>
          <w:bCs/>
          <w:sz w:val="28"/>
          <w:szCs w:val="28"/>
        </w:rPr>
        <w:t>不见面开标</w:t>
      </w:r>
      <w:r>
        <w:rPr>
          <w:rFonts w:hint="eastAsia" w:ascii="宋体" w:hAnsi="宋体" w:eastAsia="宋体" w:cs="宋体"/>
          <w:sz w:val="28"/>
          <w:szCs w:val="28"/>
        </w:rPr>
        <w:t>项目。递交投标文件的投标人不足3家的，不予开标。</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等待区公资交易中心开启解密后，投标人进行线上解密。开启解密后，投标人应在60分钟内，使用加密该投标文件的CA数字证书在线完成投标文件的解密。除因区公资交易中心断电、断网、系统故障或其他不可抗力等因素，导致系统无法使用外，投标人在规定的解密时间内，未成功解密的投标文件将视为无效投标文件。</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对开标过程和开标记录有疑义，以及认为采购人、区公资交易中心相关工作人员有需要回避的情形的，及时向工作人员提出询问或者回避申请。采购人、区公资交易中心对投标人提出的询问或者回避申请应当及时处理。</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因区公资交易中心断电、断网、系统故障或其他不可抗力等因素导致不见面开标系统无法正常运行的，开标活动中止或延迟，待系统恢复正常后继续进行开标活动。</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0" w:firstLine="0"/>
        <w:outlineLvl w:val="2"/>
        <w:rPr>
          <w:rFonts w:ascii="宋体" w:hAnsi="宋体"/>
          <w:b/>
          <w:bCs/>
          <w:sz w:val="28"/>
          <w:szCs w:val="28"/>
        </w:rPr>
      </w:pPr>
      <w:bookmarkStart w:id="81" w:name="_Toc183582238"/>
      <w:bookmarkStart w:id="82" w:name="_Toc183682375"/>
      <w:bookmarkStart w:id="83" w:name="_Toc217446063"/>
      <w:r>
        <w:rPr>
          <w:rFonts w:hint="eastAsia" w:ascii="宋体" w:hAnsi="宋体"/>
          <w:b/>
          <w:bCs/>
          <w:sz w:val="28"/>
          <w:szCs w:val="28"/>
        </w:rPr>
        <w:t>中标通知</w:t>
      </w:r>
      <w:bookmarkEnd w:id="81"/>
      <w:bookmarkEnd w:id="82"/>
      <w:r>
        <w:rPr>
          <w:rFonts w:hint="eastAsia" w:ascii="宋体" w:hAnsi="宋体"/>
          <w:b/>
          <w:bCs/>
          <w:sz w:val="28"/>
          <w:szCs w:val="28"/>
        </w:rPr>
        <w:t>书</w:t>
      </w:r>
      <w:bookmarkEnd w:id="83"/>
    </w:p>
    <w:p>
      <w:pPr>
        <w:spacing w:line="360" w:lineRule="auto"/>
        <w:ind w:right="210" w:firstLine="560" w:firstLineChars="200"/>
        <w:rPr>
          <w:rFonts w:ascii="宋体" w:hAnsi="宋体"/>
          <w:sz w:val="28"/>
          <w:szCs w:val="28"/>
        </w:rPr>
      </w:pPr>
      <w:bookmarkStart w:id="84" w:name="_Toc217446064"/>
      <w:bookmarkStart w:id="85" w:name="_Toc183582240"/>
      <w:bookmarkStart w:id="86" w:name="_Toc183682377"/>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360" w:lineRule="auto"/>
        <w:ind w:firstLine="560" w:firstLineChars="200"/>
        <w:rPr>
          <w:rFonts w:ascii="宋体" w:hAnsi="宋体"/>
          <w:sz w:val="28"/>
          <w:szCs w:val="28"/>
        </w:rPr>
      </w:pPr>
      <w:r>
        <w:rPr>
          <w:rFonts w:hint="eastAsia" w:ascii="宋体" w:hAnsi="宋体"/>
          <w:sz w:val="28"/>
          <w:szCs w:val="28"/>
        </w:rPr>
        <w:t>二、中标通知书对采购人和中标人均具有法律效力。中标通知书发出后，采购人改变中标结果，或者中标人无正当理由放弃中标的，应当承担相应的法律责任。</w:t>
      </w:r>
    </w:p>
    <w:p>
      <w:pPr>
        <w:spacing w:line="360" w:lineRule="auto"/>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三、中标公告在四川政府采购网上公告后，中标供应商自行登录政府采购云平台下载中标通知书。</w:t>
      </w:r>
    </w:p>
    <w:p>
      <w:pPr>
        <w:keepNext/>
        <w:keepLines/>
        <w:numPr>
          <w:ilvl w:val="1"/>
          <w:numId w:val="5"/>
        </w:numPr>
        <w:spacing w:before="240" w:line="360" w:lineRule="auto"/>
        <w:jc w:val="left"/>
        <w:outlineLvl w:val="1"/>
        <w:rPr>
          <w:rFonts w:ascii="宋体" w:hAnsi="宋体"/>
          <w:b/>
          <w:bCs/>
          <w:sz w:val="28"/>
          <w:szCs w:val="28"/>
        </w:rPr>
      </w:pPr>
      <w:bookmarkStart w:id="87" w:name="_Toc20619"/>
      <w:r>
        <w:rPr>
          <w:rFonts w:hint="eastAsia" w:ascii="宋体" w:hAnsi="宋体"/>
          <w:b/>
          <w:bCs/>
          <w:sz w:val="28"/>
          <w:szCs w:val="28"/>
        </w:rPr>
        <w:t>签订及履行合同和验收</w:t>
      </w:r>
      <w:bookmarkEnd w:id="84"/>
      <w:bookmarkEnd w:id="87"/>
    </w:p>
    <w:p>
      <w:pPr>
        <w:keepNext/>
        <w:keepLines/>
        <w:numPr>
          <w:ilvl w:val="2"/>
          <w:numId w:val="5"/>
        </w:numPr>
        <w:spacing w:line="360" w:lineRule="auto"/>
        <w:ind w:left="0" w:firstLine="0"/>
        <w:outlineLvl w:val="2"/>
        <w:rPr>
          <w:rFonts w:ascii="宋体" w:hAnsi="宋体"/>
          <w:b/>
          <w:bCs/>
          <w:sz w:val="28"/>
          <w:szCs w:val="28"/>
        </w:rPr>
      </w:pPr>
      <w:bookmarkStart w:id="88" w:name="_Toc217446065"/>
      <w:r>
        <w:rPr>
          <w:rFonts w:hint="eastAsia" w:ascii="宋体" w:hAnsi="宋体"/>
          <w:b/>
          <w:bCs/>
          <w:sz w:val="28"/>
          <w:szCs w:val="28"/>
        </w:rPr>
        <w:t>签订合同</w:t>
      </w:r>
      <w:bookmarkEnd w:id="88"/>
    </w:p>
    <w:p>
      <w:pPr>
        <w:tabs>
          <w:tab w:val="left" w:pos="1134"/>
        </w:tabs>
        <w:spacing w:line="360" w:lineRule="auto"/>
        <w:ind w:firstLine="560" w:firstLineChars="200"/>
        <w:rPr>
          <w:rFonts w:ascii="宋体" w:hAnsi="宋体"/>
          <w:color w:val="FF0000"/>
          <w:sz w:val="28"/>
          <w:szCs w:val="28"/>
        </w:rPr>
      </w:pPr>
      <w:r>
        <w:rPr>
          <w:rFonts w:hint="eastAsia" w:ascii="宋体" w:hAnsi="宋体"/>
          <w:sz w:val="28"/>
          <w:szCs w:val="28"/>
        </w:rPr>
        <w:t>一、中标人应在中标通知书发出之日起30天内与采购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8"/>
          <w:szCs w:val="28"/>
        </w:rPr>
      </w:pPr>
      <w:bookmarkStart w:id="89" w:name="_Toc315871033"/>
      <w:bookmarkEnd w:id="89"/>
      <w:bookmarkStart w:id="90" w:name="_Toc217446066"/>
      <w:r>
        <w:rPr>
          <w:rFonts w:hint="eastAsia" w:ascii="宋体" w:hAnsi="宋体"/>
          <w:b/>
          <w:bCs/>
          <w:sz w:val="28"/>
          <w:szCs w:val="28"/>
        </w:rPr>
        <w:t>合同分包</w:t>
      </w:r>
      <w:bookmarkEnd w:id="90"/>
      <w:r>
        <w:rPr>
          <w:rFonts w:hint="eastAsia" w:ascii="宋体" w:hAnsi="宋体"/>
          <w:b/>
          <w:bCs/>
          <w:sz w:val="28"/>
          <w:szCs w:val="28"/>
        </w:rPr>
        <w:t>和转包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合同分包</w:t>
      </w:r>
    </w:p>
    <w:p>
      <w:pPr>
        <w:pStyle w:val="119"/>
        <w:spacing w:line="360" w:lineRule="auto"/>
        <w:ind w:firstLine="560" w:firstLineChars="200"/>
        <w:rPr>
          <w:rFonts w:cs="Times New Roman"/>
          <w:sz w:val="28"/>
          <w:szCs w:val="28"/>
          <w:lang w:val="zh-CN"/>
        </w:rPr>
      </w:pPr>
      <w:r>
        <w:rPr>
          <w:rFonts w:hint="eastAsia" w:cs="Times New Roman"/>
          <w:sz w:val="28"/>
          <w:szCs w:val="28"/>
          <w:lang w:val="zh-CN"/>
        </w:rPr>
        <w:t>本</w:t>
      </w:r>
      <w:r>
        <w:rPr>
          <w:rFonts w:cs="Times New Roman"/>
          <w:sz w:val="28"/>
          <w:szCs w:val="28"/>
          <w:lang w:val="zh-CN"/>
        </w:rPr>
        <w:t>项目</w:t>
      </w:r>
      <w:r>
        <w:rPr>
          <w:rFonts w:cs="Times New Roman"/>
          <w:b/>
          <w:bCs/>
          <w:sz w:val="28"/>
          <w:szCs w:val="28"/>
          <w:lang w:val="zh-CN"/>
        </w:rPr>
        <w:t>不允许</w:t>
      </w:r>
      <w:r>
        <w:rPr>
          <w:rFonts w:cs="Times New Roman"/>
          <w:sz w:val="28"/>
          <w:szCs w:val="28"/>
          <w:lang w:val="zh-CN"/>
        </w:rPr>
        <w:t>分包</w:t>
      </w:r>
      <w:r>
        <w:rPr>
          <w:rFonts w:hint="eastAsia" w:cs="Times New Roman"/>
          <w:sz w:val="28"/>
          <w:szCs w:val="28"/>
          <w:lang w:val="zh-CN"/>
        </w:rPr>
        <w:t>。</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sz w:val="28"/>
          <w:szCs w:val="28"/>
        </w:rPr>
      </w:pPr>
      <w:bookmarkStart w:id="91" w:name="_Toc217446067"/>
      <w:r>
        <w:rPr>
          <w:rFonts w:hint="eastAsia" w:ascii="宋体" w:hAnsi="宋体"/>
          <w:b/>
          <w:bCs/>
          <w:sz w:val="28"/>
          <w:szCs w:val="28"/>
        </w:rPr>
        <w:t>采购人增加合同标的的权</w:t>
      </w:r>
      <w:bookmarkEnd w:id="91"/>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8"/>
          <w:szCs w:val="28"/>
        </w:rPr>
      </w:pPr>
      <w:bookmarkStart w:id="92" w:name="_Toc217446068"/>
      <w:r>
        <w:rPr>
          <w:rFonts w:hint="eastAsia" w:ascii="宋体" w:hAnsi="宋体"/>
          <w:b/>
          <w:bCs/>
          <w:sz w:val="28"/>
          <w:szCs w:val="28"/>
        </w:rPr>
        <w:t>履约保证金</w:t>
      </w:r>
      <w:bookmarkEnd w:id="92"/>
    </w:p>
    <w:p>
      <w:pPr>
        <w:spacing w:after="180" w:line="360" w:lineRule="auto"/>
        <w:ind w:firstLine="562" w:firstLineChars="200"/>
        <w:rPr>
          <w:rFonts w:ascii="宋体" w:hAnsi="宋体"/>
          <w:b/>
          <w:sz w:val="28"/>
          <w:szCs w:val="28"/>
        </w:rPr>
      </w:pPr>
      <w:bookmarkStart w:id="93" w:name="_Toc217446069"/>
      <w:r>
        <w:rPr>
          <w:rFonts w:hint="eastAsia" w:ascii="宋体" w:hAnsi="宋体"/>
          <w:b/>
          <w:sz w:val="28"/>
          <w:szCs w:val="28"/>
        </w:rPr>
        <w:t>本项目</w:t>
      </w:r>
      <w:r>
        <w:rPr>
          <w:rFonts w:ascii="宋体" w:hAnsi="宋体"/>
          <w:b/>
          <w:sz w:val="28"/>
          <w:szCs w:val="28"/>
        </w:rPr>
        <w:t>不收取履约保证金</w:t>
      </w:r>
      <w:r>
        <w:rPr>
          <w:rFonts w:hint="eastAsia" w:ascii="宋体" w:hAnsi="宋体"/>
          <w:b/>
          <w:sz w:val="28"/>
          <w:szCs w:val="28"/>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spacing w:line="360" w:lineRule="auto"/>
        <w:ind w:firstLine="560" w:firstLineChars="200"/>
        <w:rPr>
          <w:rFonts w:ascii="宋体" w:hAnsi="宋体"/>
          <w:sz w:val="28"/>
          <w:szCs w:val="28"/>
        </w:rPr>
      </w:pPr>
      <w:r>
        <w:rPr>
          <w:rFonts w:hint="eastAsia" w:ascii="宋体" w:hAnsi="宋体"/>
          <w:sz w:val="28"/>
          <w:szCs w:val="28"/>
        </w:rPr>
        <w:t>政府采购合同签订之日起2个工作日内，采购人将在四川政府采购网公告政府采购合同；政府采购合同签订之日起七个工作日内，采购人将向本采购项目同级财政部门，即</w:t>
      </w:r>
      <w:r>
        <w:rPr>
          <w:rFonts w:hint="eastAsia" w:ascii="宋体" w:hAnsi="宋体"/>
          <w:sz w:val="28"/>
          <w:szCs w:val="28"/>
          <w:lang w:val="zh-CN"/>
        </w:rPr>
        <w:t>成都市双流区财政局备</w:t>
      </w:r>
      <w:r>
        <w:rPr>
          <w:rFonts w:hint="eastAsia" w:ascii="宋体" w:hAnsi="宋体"/>
          <w:sz w:val="28"/>
          <w:szCs w:val="28"/>
        </w:rPr>
        <w:t>案</w:t>
      </w:r>
      <w:r>
        <w:rPr>
          <w:rFonts w:hint="eastAsia" w:ascii="宋体" w:hAnsi="宋体"/>
          <w:sz w:val="28"/>
          <w:szCs w:val="28"/>
          <w:lang w:val="zh-CN"/>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3"/>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8"/>
          <w:szCs w:val="28"/>
        </w:rPr>
      </w:pPr>
      <w:bookmarkStart w:id="94" w:name="_Toc217446070"/>
      <w:r>
        <w:rPr>
          <w:rFonts w:hint="eastAsia" w:ascii="宋体" w:hAnsi="宋体"/>
          <w:b/>
          <w:bCs/>
          <w:sz w:val="28"/>
          <w:szCs w:val="28"/>
        </w:rPr>
        <w:t>验收</w:t>
      </w:r>
      <w:bookmarkEnd w:id="94"/>
      <w:r>
        <w:rPr>
          <w:rFonts w:hint="eastAsia" w:ascii="宋体" w:hAnsi="宋体"/>
          <w:b/>
          <w:bCs/>
          <w:sz w:val="28"/>
          <w:szCs w:val="28"/>
        </w:rPr>
        <w:t>或考核</w:t>
      </w:r>
    </w:p>
    <w:bookmarkEnd w:id="85"/>
    <w:bookmarkEnd w:id="86"/>
    <w:p>
      <w:pPr>
        <w:spacing w:line="360" w:lineRule="auto"/>
        <w:ind w:firstLine="560" w:firstLineChars="200"/>
        <w:rPr>
          <w:rFonts w:ascii="宋体" w:hAnsi="宋体"/>
          <w:sz w:val="28"/>
          <w:szCs w:val="28"/>
        </w:rPr>
      </w:pPr>
      <w:bookmarkStart w:id="95" w:name="_Toc217446074"/>
      <w:bookmarkStart w:id="96" w:name="_Toc183582243"/>
      <w:bookmarkStart w:id="97" w:name="_Toc183682380"/>
      <w:r>
        <w:rPr>
          <w:rFonts w:hint="eastAsia" w:ascii="宋体" w:hAnsi="宋体"/>
          <w:sz w:val="28"/>
          <w:szCs w:val="28"/>
        </w:rPr>
        <w:t>采购人严格按照国家相关法律法规的要求组织验收或考核。</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pacing w:line="360" w:lineRule="auto"/>
        <w:ind w:firstLine="570"/>
        <w:rPr>
          <w:rFonts w:ascii="宋体" w:hAnsi="宋体" w:cs="Helvetica"/>
          <w:sz w:val="28"/>
          <w:szCs w:val="28"/>
        </w:rPr>
      </w:pPr>
      <w:r>
        <w:rPr>
          <w:rFonts w:hint="eastAsia" w:ascii="宋体" w:hAnsi="宋体" w:cs="Helvetica"/>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98" w:name="_Toc16082"/>
      <w:r>
        <w:rPr>
          <w:rFonts w:hint="eastAsia" w:ascii="宋体" w:hAnsi="宋体"/>
          <w:b/>
          <w:bCs/>
          <w:sz w:val="28"/>
          <w:szCs w:val="28"/>
        </w:rPr>
        <w:t>投标纪律要求</w:t>
      </w:r>
      <w:bookmarkEnd w:id="95"/>
      <w:bookmarkEnd w:id="98"/>
    </w:p>
    <w:p>
      <w:pPr>
        <w:keepNext/>
        <w:keepLines/>
        <w:numPr>
          <w:ilvl w:val="2"/>
          <w:numId w:val="5"/>
        </w:numPr>
        <w:spacing w:line="360" w:lineRule="auto"/>
        <w:ind w:left="0" w:firstLine="0"/>
        <w:outlineLvl w:val="2"/>
        <w:rPr>
          <w:rFonts w:ascii="宋体" w:hAnsi="宋体"/>
          <w:b/>
          <w:bCs/>
          <w:sz w:val="28"/>
          <w:szCs w:val="28"/>
        </w:rPr>
      </w:pPr>
      <w:bookmarkStart w:id="99" w:name="_Toc217446075"/>
      <w:r>
        <w:rPr>
          <w:rFonts w:hint="eastAsia" w:ascii="宋体" w:hAnsi="宋体"/>
          <w:b/>
          <w:bCs/>
          <w:sz w:val="28"/>
          <w:szCs w:val="28"/>
        </w:rPr>
        <w:t>投标人不得具有的情形</w:t>
      </w:r>
      <w:bookmarkEnd w:id="99"/>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rPr>
        <w:t>区公资交易中心</w:t>
      </w:r>
      <w:r>
        <w:rPr>
          <w:rFonts w:hint="eastAsia" w:ascii="宋体" w:hAnsi="宋体"/>
          <w:sz w:val="28"/>
          <w:szCs w:val="28"/>
        </w:rPr>
        <w:t>、其他投标人恶意串通；</w:t>
      </w:r>
    </w:p>
    <w:p>
      <w:pPr>
        <w:numPr>
          <w:ilvl w:val="1"/>
          <w:numId w:val="27"/>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rPr>
        <w:t>区公资交易中心</w:t>
      </w:r>
      <w:r>
        <w:rPr>
          <w:rFonts w:hint="eastAsia" w:ascii="宋体" w:hAnsi="宋体"/>
          <w:sz w:val="28"/>
          <w:szCs w:val="28"/>
        </w:rPr>
        <w:t>、评标委员会成员行贿或者提供其他不正当利益；</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rPr>
        <w:t>区公资交易中心</w:t>
      </w:r>
      <w:r>
        <w:rPr>
          <w:rFonts w:hint="eastAsia" w:ascii="宋体" w:hAnsi="宋体"/>
          <w:sz w:val="28"/>
          <w:szCs w:val="28"/>
        </w:rPr>
        <w:t>进行协商谈判；</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7"/>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十四、处于被行政部门禁止参与政府采购活动的期限内；</w:t>
      </w:r>
    </w:p>
    <w:p>
      <w:pPr>
        <w:tabs>
          <w:tab w:val="left" w:pos="1134"/>
        </w:tabs>
        <w:spacing w:line="360" w:lineRule="auto"/>
        <w:ind w:left="7" w:firstLine="560" w:firstLineChars="200"/>
        <w:rPr>
          <w:rFonts w:ascii="宋体" w:hAnsi="宋体"/>
          <w:sz w:val="28"/>
          <w:szCs w:val="28"/>
        </w:rPr>
      </w:pPr>
      <w:r>
        <w:rPr>
          <w:rFonts w:hint="eastAsia" w:ascii="宋体" w:hAnsi="宋体"/>
          <w:sz w:val="28"/>
          <w:szCs w:val="28"/>
        </w:rPr>
        <w:t>十五、拒绝有关部门的监督检查或者向监督检查部门提供虚假情况；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十六、法律法规规定的其他情形。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0" w:firstLine="0"/>
        <w:outlineLvl w:val="2"/>
        <w:rPr>
          <w:rFonts w:ascii="宋体" w:hAnsi="宋体"/>
          <w:b/>
          <w:bCs/>
          <w:sz w:val="28"/>
          <w:szCs w:val="28"/>
        </w:rPr>
      </w:pPr>
      <w:bookmarkStart w:id="100" w:name="_Toc314574786"/>
      <w:r>
        <w:rPr>
          <w:rFonts w:hint="eastAsia" w:ascii="宋体" w:hAnsi="宋体"/>
          <w:b/>
          <w:bCs/>
          <w:sz w:val="28"/>
          <w:szCs w:val="28"/>
        </w:rPr>
        <w:t>保密</w:t>
      </w:r>
      <w:bookmarkEnd w:id="100"/>
    </w:p>
    <w:p>
      <w:pPr>
        <w:numPr>
          <w:ilvl w:val="0"/>
          <w:numId w:val="28"/>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不得透露有关在系统中成功提交《采购文件获取登记表》的潜在投标人的任何情况。</w:t>
      </w:r>
    </w:p>
    <w:p>
      <w:pPr>
        <w:numPr>
          <w:ilvl w:val="0"/>
          <w:numId w:val="28"/>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有关投标文件的审查、澄清、评估和比较以及合同授予意向等情况都不得对外透露。</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pacing w:line="360" w:lineRule="auto"/>
        <w:ind w:firstLine="560" w:firstLineChars="200"/>
        <w:rPr>
          <w:rFonts w:ascii="宋体" w:hAnsi="宋体"/>
          <w:sz w:val="28"/>
          <w:szCs w:val="28"/>
        </w:rPr>
      </w:pPr>
      <w:r>
        <w:rPr>
          <w:rFonts w:hint="eastAsia" w:ascii="宋体" w:hAnsi="宋体"/>
          <w:sz w:val="28"/>
          <w:szCs w:val="28"/>
        </w:rPr>
        <w:t>在政府采购活动中，采购人员（如采购人内部负责采购项目的具体经办工作人员或直接分管采购项目的负责人、区公资交易中心负责采购项目的具体经办工作人员或直接分管采购活动的负责人等）及相关人员与供应商有下列利害关系之一的，应当回避：</w:t>
      </w:r>
    </w:p>
    <w:p>
      <w:pPr>
        <w:spacing w:line="360" w:lineRule="auto"/>
        <w:ind w:firstLine="560" w:firstLineChars="200"/>
        <w:rPr>
          <w:rFonts w:ascii="宋体" w:hAnsi="宋体"/>
          <w:sz w:val="28"/>
          <w:szCs w:val="28"/>
        </w:rPr>
      </w:pPr>
      <w:r>
        <w:rPr>
          <w:rFonts w:hint="eastAsia" w:ascii="宋体" w:hAnsi="宋体"/>
          <w:sz w:val="28"/>
          <w:szCs w:val="28"/>
        </w:rPr>
        <w:t>（一）参加采购活动前3年内与供应商存在劳动关系；</w:t>
      </w:r>
    </w:p>
    <w:p>
      <w:pPr>
        <w:spacing w:line="360" w:lineRule="auto"/>
        <w:ind w:firstLine="560" w:firstLineChars="200"/>
        <w:rPr>
          <w:rFonts w:ascii="宋体" w:hAnsi="宋体"/>
          <w:sz w:val="28"/>
          <w:szCs w:val="28"/>
        </w:rPr>
      </w:pPr>
      <w:r>
        <w:rPr>
          <w:rFonts w:hint="eastAsia" w:ascii="宋体" w:hAnsi="宋体"/>
          <w:sz w:val="28"/>
          <w:szCs w:val="28"/>
        </w:rPr>
        <w:t>（二）参加采购活动前3年内担任供应商的董事、监事；</w:t>
      </w:r>
    </w:p>
    <w:p>
      <w:pPr>
        <w:spacing w:line="360" w:lineRule="auto"/>
        <w:ind w:firstLine="560" w:firstLineChars="200"/>
        <w:rPr>
          <w:rFonts w:ascii="宋体" w:hAnsi="宋体"/>
          <w:sz w:val="28"/>
          <w:szCs w:val="28"/>
        </w:rPr>
      </w:pPr>
      <w:r>
        <w:rPr>
          <w:rFonts w:hint="eastAsia" w:ascii="宋体" w:hAnsi="宋体"/>
          <w:sz w:val="28"/>
          <w:szCs w:val="28"/>
        </w:rPr>
        <w:t>（三）参加采购活动前3年内是供应商的控股股东或者实际控制人；</w:t>
      </w:r>
    </w:p>
    <w:p>
      <w:pPr>
        <w:spacing w:line="360" w:lineRule="auto"/>
        <w:ind w:firstLine="560" w:firstLineChars="200"/>
        <w:rPr>
          <w:rFonts w:ascii="宋体" w:hAnsi="宋体"/>
          <w:sz w:val="28"/>
          <w:szCs w:val="28"/>
        </w:rPr>
      </w:pPr>
      <w:r>
        <w:rPr>
          <w:rFonts w:hint="eastAsia" w:ascii="宋体" w:hAnsi="宋体"/>
          <w:sz w:val="28"/>
          <w:szCs w:val="28"/>
        </w:rPr>
        <w:t>（四）与供应商的法定代表人或者负责人有夫妻、直系血亲、三代以内旁系血亲或者近姻亲关系；</w:t>
      </w:r>
    </w:p>
    <w:p>
      <w:pPr>
        <w:spacing w:line="360" w:lineRule="auto"/>
        <w:ind w:firstLine="560" w:firstLineChars="200"/>
        <w:rPr>
          <w:rFonts w:ascii="宋体" w:hAnsi="宋体"/>
          <w:sz w:val="28"/>
          <w:szCs w:val="28"/>
        </w:rPr>
      </w:pPr>
      <w:r>
        <w:rPr>
          <w:rFonts w:hint="eastAsia" w:ascii="宋体" w:hAnsi="宋体"/>
          <w:sz w:val="28"/>
          <w:szCs w:val="28"/>
        </w:rPr>
        <w:t>（五）与供应商有其他可能影响政府采购活动公平、公正进行的关系。</w:t>
      </w:r>
    </w:p>
    <w:p>
      <w:pPr>
        <w:spacing w:line="360" w:lineRule="auto"/>
        <w:ind w:firstLine="560" w:firstLineChars="200"/>
        <w:rPr>
          <w:rFonts w:ascii="宋体" w:hAnsi="宋体"/>
          <w:sz w:val="28"/>
          <w:szCs w:val="28"/>
        </w:rPr>
      </w:pPr>
      <w:r>
        <w:rPr>
          <w:rFonts w:hint="eastAsia" w:ascii="宋体" w:hAnsi="宋体"/>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1" w:name="_Toc217446078"/>
      <w:bookmarkStart w:id="102" w:name="_Toc31786"/>
      <w:r>
        <w:rPr>
          <w:rFonts w:hint="eastAsia" w:ascii="宋体" w:hAnsi="宋体"/>
          <w:b/>
          <w:bCs/>
          <w:sz w:val="28"/>
          <w:szCs w:val="28"/>
        </w:rPr>
        <w:t>询问、质疑和投诉</w:t>
      </w:r>
      <w:bookmarkEnd w:id="101"/>
      <w:bookmarkEnd w:id="102"/>
      <w:bookmarkStart w:id="103" w:name="_Toc217446079"/>
    </w:p>
    <w:bookmarkEnd w:id="96"/>
    <w:bookmarkEnd w:id="97"/>
    <w:bookmarkEnd w:id="103"/>
    <w:p>
      <w:pPr>
        <w:numPr>
          <w:ilvl w:val="0"/>
          <w:numId w:val="29"/>
        </w:numPr>
        <w:spacing w:line="360" w:lineRule="auto"/>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w:t>
      </w:r>
      <w:r>
        <w:rPr>
          <w:rFonts w:hint="eastAsia" w:asciiTheme="majorEastAsia" w:hAnsiTheme="majorEastAsia" w:eastAsiaTheme="majorEastAsia" w:cstheme="majorEastAsia"/>
          <w:sz w:val="28"/>
          <w:szCs w:val="28"/>
        </w:rPr>
        <w:t>第87号令）和《政府采购质疑和投诉办法》（财政部第94号令）的规</w:t>
      </w:r>
      <w:r>
        <w:rPr>
          <w:rFonts w:hint="eastAsia"/>
          <w:sz w:val="28"/>
          <w:szCs w:val="28"/>
        </w:rPr>
        <w:t>定办理。</w:t>
      </w:r>
    </w:p>
    <w:p>
      <w:pPr>
        <w:numPr>
          <w:ilvl w:val="0"/>
          <w:numId w:val="29"/>
        </w:numPr>
        <w:spacing w:line="360" w:lineRule="auto"/>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pStyle w:val="25"/>
        <w:numPr>
          <w:ilvl w:val="1"/>
          <w:numId w:val="30"/>
        </w:numPr>
        <w:tabs>
          <w:tab w:val="left" w:pos="1134"/>
        </w:tabs>
        <w:spacing w:after="0" w:line="360" w:lineRule="auto"/>
        <w:ind w:left="0" w:leftChars="0" w:firstLine="567"/>
        <w:rPr>
          <w:rFonts w:ascii="宋体" w:hAnsi="宋体"/>
          <w:sz w:val="28"/>
          <w:szCs w:val="28"/>
        </w:rPr>
      </w:pPr>
      <w:r>
        <w:rPr>
          <w:rFonts w:hint="eastAsia" w:ascii="宋体" w:hAnsi="宋体"/>
          <w:sz w:val="28"/>
          <w:szCs w:val="28"/>
        </w:rPr>
        <w:t>供应商对采购文件中供应商参加本次政府采购活动应当具备的条件，项目技术、服务、商务及其他要求，评审办法和标准，</w:t>
      </w:r>
      <w:r>
        <w:rPr>
          <w:rFonts w:hint="eastAsia" w:cs="Helvetica"/>
          <w:sz w:val="28"/>
          <w:szCs w:val="28"/>
        </w:rPr>
        <w:t>采购合同格式以及关于资格审查、中标（成交）结果提出询问或质疑的</w:t>
      </w:r>
      <w:r>
        <w:rPr>
          <w:rFonts w:hint="eastAsia" w:ascii="宋体" w:hAnsi="宋体"/>
          <w:sz w:val="28"/>
          <w:szCs w:val="28"/>
        </w:rPr>
        <w:t>，应通过</w:t>
      </w:r>
      <w:r>
        <w:rPr>
          <w:rFonts w:hint="eastAsia" w:cs="Helvetica"/>
          <w:sz w:val="28"/>
          <w:szCs w:val="28"/>
        </w:rPr>
        <w:t>“政府采购云平台”</w:t>
      </w:r>
      <w:r>
        <w:rPr>
          <w:rFonts w:hint="eastAsia" w:ascii="宋体" w:hAnsi="宋体"/>
          <w:sz w:val="28"/>
          <w:szCs w:val="28"/>
        </w:rPr>
        <w:t>向采购人提出；</w:t>
      </w:r>
    </w:p>
    <w:p>
      <w:pPr>
        <w:pStyle w:val="25"/>
        <w:numPr>
          <w:ilvl w:val="1"/>
          <w:numId w:val="30"/>
        </w:numPr>
        <w:tabs>
          <w:tab w:val="left" w:pos="1134"/>
        </w:tabs>
        <w:spacing w:after="0" w:line="360" w:lineRule="auto"/>
        <w:ind w:left="0" w:leftChars="0" w:firstLine="567"/>
        <w:rPr>
          <w:rFonts w:ascii="宋体" w:hAnsi="宋体"/>
          <w:sz w:val="28"/>
          <w:szCs w:val="28"/>
        </w:rPr>
      </w:pPr>
      <w:r>
        <w:rPr>
          <w:rFonts w:hint="eastAsia" w:ascii="宋体" w:hAnsi="宋体"/>
          <w:sz w:val="28"/>
          <w:szCs w:val="28"/>
        </w:rPr>
        <w:t>供应商对除上述采购文件中的其他内容，</w:t>
      </w:r>
      <w:r>
        <w:rPr>
          <w:rFonts w:hint="eastAsia" w:cs="Helvetica"/>
          <w:sz w:val="28"/>
          <w:szCs w:val="28"/>
        </w:rPr>
        <w:t>采购文件中采购程序、采购文件中供应商须知、响应文件格式、以及开标过程程序提出询问或质疑的，</w:t>
      </w:r>
      <w:r>
        <w:rPr>
          <w:rFonts w:hint="eastAsia" w:ascii="宋体" w:hAnsi="宋体"/>
          <w:sz w:val="28"/>
          <w:szCs w:val="28"/>
        </w:rPr>
        <w:t>应通过</w:t>
      </w:r>
      <w:r>
        <w:rPr>
          <w:rFonts w:hint="eastAsia" w:cs="Helvetica"/>
          <w:sz w:val="28"/>
          <w:szCs w:val="28"/>
        </w:rPr>
        <w:t>“政府采购云平台”</w:t>
      </w:r>
      <w:r>
        <w:rPr>
          <w:rFonts w:hint="eastAsia" w:ascii="宋体" w:hAnsi="宋体"/>
          <w:sz w:val="28"/>
          <w:szCs w:val="28"/>
        </w:rPr>
        <w:t>向区公资交易中心提出。</w:t>
      </w:r>
    </w:p>
    <w:p>
      <w:pPr>
        <w:numPr>
          <w:ilvl w:val="0"/>
          <w:numId w:val="29"/>
        </w:numPr>
        <w:tabs>
          <w:tab w:val="left" w:pos="1134"/>
        </w:tabs>
        <w:spacing w:after="120" w:line="360" w:lineRule="auto"/>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29"/>
        </w:numPr>
        <w:tabs>
          <w:tab w:val="left" w:pos="1134"/>
        </w:tabs>
        <w:spacing w:after="120" w:line="360" w:lineRule="auto"/>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29"/>
        </w:numPr>
        <w:tabs>
          <w:tab w:val="left" w:pos="1134"/>
        </w:tabs>
        <w:spacing w:after="120" w:line="360" w:lineRule="auto"/>
        <w:ind w:left="0" w:firstLine="567"/>
        <w:rPr>
          <w:rFonts w:ascii="宋体" w:hAnsi="宋体"/>
          <w:sz w:val="28"/>
          <w:szCs w:val="28"/>
        </w:rPr>
      </w:pPr>
      <w:r>
        <w:rPr>
          <w:rFonts w:hint="eastAsia" w:ascii="宋体" w:hAnsi="宋体"/>
          <w:sz w:val="28"/>
          <w:szCs w:val="28"/>
        </w:rPr>
        <w:t>供应商提出质疑时应当准备的资料</w:t>
      </w:r>
    </w:p>
    <w:p>
      <w:pPr>
        <w:spacing w:line="360" w:lineRule="auto"/>
        <w:ind w:firstLine="560" w:firstLineChars="200"/>
        <w:rPr>
          <w:rFonts w:ascii="宋体" w:hAnsi="宋体"/>
          <w:sz w:val="28"/>
          <w:szCs w:val="28"/>
        </w:rPr>
      </w:pPr>
      <w:r>
        <w:rPr>
          <w:rFonts w:hint="eastAsia" w:ascii="宋体" w:hAnsi="宋体"/>
          <w:sz w:val="28"/>
          <w:szCs w:val="28"/>
        </w:rPr>
        <w:t>（一）质疑书正本1份；</w:t>
      </w:r>
    </w:p>
    <w:p>
      <w:pPr>
        <w:spacing w:line="360" w:lineRule="auto"/>
        <w:ind w:firstLine="560" w:firstLineChars="200"/>
        <w:rPr>
          <w:rFonts w:ascii="宋体" w:hAnsi="宋体"/>
          <w:sz w:val="28"/>
          <w:szCs w:val="28"/>
        </w:rPr>
      </w:pPr>
      <w:r>
        <w:rPr>
          <w:rFonts w:hint="eastAsia" w:ascii="宋体" w:hAnsi="宋体"/>
          <w:sz w:val="28"/>
          <w:szCs w:val="28"/>
        </w:rPr>
        <w:t>（二）法定代表人授权委托书1份（委托代理人办理质疑事宜的需提供）；</w:t>
      </w:r>
    </w:p>
    <w:p>
      <w:pPr>
        <w:spacing w:line="360" w:lineRule="auto"/>
        <w:ind w:firstLine="560" w:firstLineChars="200"/>
        <w:rPr>
          <w:rFonts w:ascii="宋体" w:hAnsi="宋体"/>
          <w:sz w:val="28"/>
          <w:szCs w:val="28"/>
        </w:rPr>
      </w:pPr>
      <w:r>
        <w:rPr>
          <w:rFonts w:hint="eastAsia" w:ascii="宋体" w:hAnsi="宋体"/>
          <w:sz w:val="28"/>
          <w:szCs w:val="28"/>
        </w:rPr>
        <w:t>（三）营业执照或法人证书复印件1份（加盖公章）；</w:t>
      </w:r>
    </w:p>
    <w:p>
      <w:pPr>
        <w:spacing w:line="360" w:lineRule="auto"/>
        <w:ind w:firstLine="560" w:firstLineChars="200"/>
        <w:rPr>
          <w:rFonts w:ascii="宋体" w:hAnsi="宋体"/>
          <w:sz w:val="28"/>
          <w:szCs w:val="28"/>
        </w:rPr>
      </w:pPr>
      <w:r>
        <w:rPr>
          <w:rFonts w:hint="eastAsia" w:ascii="宋体" w:hAnsi="宋体"/>
          <w:sz w:val="28"/>
          <w:szCs w:val="28"/>
        </w:rPr>
        <w:t>（四）法定代表人身份证复印件1份；</w:t>
      </w:r>
    </w:p>
    <w:p>
      <w:pPr>
        <w:spacing w:line="360" w:lineRule="auto"/>
        <w:ind w:firstLine="560" w:firstLineChars="200"/>
        <w:rPr>
          <w:rFonts w:ascii="宋体" w:hAnsi="宋体"/>
          <w:sz w:val="28"/>
          <w:szCs w:val="28"/>
        </w:rPr>
      </w:pPr>
      <w:r>
        <w:rPr>
          <w:rFonts w:hint="eastAsia" w:ascii="宋体" w:hAnsi="宋体"/>
          <w:sz w:val="28"/>
          <w:szCs w:val="28"/>
        </w:rPr>
        <w:t>（五）委托代理人身份证复印件1份（委托代理人办理质疑事宜的需提供）；</w:t>
      </w:r>
    </w:p>
    <w:p>
      <w:pPr>
        <w:spacing w:line="360" w:lineRule="auto"/>
        <w:ind w:firstLine="560" w:firstLineChars="200"/>
        <w:rPr>
          <w:rFonts w:ascii="宋体" w:hAnsi="宋体"/>
          <w:sz w:val="28"/>
          <w:szCs w:val="28"/>
        </w:rPr>
      </w:pPr>
      <w:r>
        <w:rPr>
          <w:rFonts w:hint="eastAsia" w:ascii="宋体" w:hAnsi="宋体"/>
          <w:sz w:val="28"/>
          <w:szCs w:val="28"/>
        </w:rPr>
        <w:t>（六）针对质疑事项必要的证明材料。</w:t>
      </w:r>
    </w:p>
    <w:p>
      <w:pPr>
        <w:numPr>
          <w:ilvl w:val="0"/>
          <w:numId w:val="29"/>
        </w:numPr>
        <w:tabs>
          <w:tab w:val="left" w:pos="1134"/>
        </w:tabs>
        <w:spacing w:line="360" w:lineRule="auto"/>
        <w:ind w:left="0" w:firstLine="567"/>
        <w:rPr>
          <w:rFonts w:ascii="宋体" w:hAnsi="宋体"/>
          <w:sz w:val="28"/>
          <w:szCs w:val="28"/>
        </w:rPr>
      </w:pPr>
      <w:r>
        <w:rPr>
          <w:rFonts w:hint="eastAsia" w:ascii="宋体" w:hAnsi="宋体"/>
          <w:sz w:val="28"/>
          <w:szCs w:val="28"/>
        </w:rPr>
        <w:t>供应商对区公资交易中心的质疑答复不满意，或者区公资交易中心未在规定期限内作出答复的，供应商可以在答复期满后15个工作日内向同级财政部门提起投诉。</w:t>
      </w:r>
    </w:p>
    <w:p>
      <w:pPr>
        <w:keepNext/>
        <w:keepLines/>
        <w:numPr>
          <w:ilvl w:val="1"/>
          <w:numId w:val="5"/>
        </w:numPr>
        <w:spacing w:before="260" w:line="360" w:lineRule="auto"/>
        <w:jc w:val="left"/>
        <w:outlineLvl w:val="1"/>
        <w:rPr>
          <w:rFonts w:ascii="宋体" w:hAnsi="宋体"/>
          <w:b/>
          <w:bCs/>
          <w:sz w:val="28"/>
          <w:szCs w:val="28"/>
        </w:rPr>
      </w:pPr>
      <w:bookmarkStart w:id="104" w:name="_Toc10764"/>
      <w:r>
        <w:rPr>
          <w:rFonts w:hint="eastAsia" w:ascii="宋体" w:hAnsi="宋体"/>
          <w:b/>
          <w:bCs/>
          <w:sz w:val="28"/>
          <w:szCs w:val="28"/>
        </w:rPr>
        <w:t>信用融资</w:t>
      </w:r>
      <w:bookmarkEnd w:id="104"/>
    </w:p>
    <w:p>
      <w:pPr>
        <w:tabs>
          <w:tab w:val="left" w:pos="1134"/>
        </w:tabs>
        <w:spacing w:line="360" w:lineRule="auto"/>
        <w:ind w:left="567"/>
        <w:rPr>
          <w:rFonts w:ascii="宋体" w:hAnsi="宋体"/>
          <w:sz w:val="28"/>
          <w:szCs w:val="28"/>
        </w:rPr>
      </w:pPr>
      <w:bookmarkStart w:id="105" w:name="_Toc13269"/>
      <w:bookmarkStart w:id="106" w:name="_Toc4052"/>
      <w:bookmarkStart w:id="107" w:name="_Toc21629"/>
      <w:bookmarkStart w:id="108" w:name="_Toc3437"/>
      <w:bookmarkStart w:id="109" w:name="_Toc463"/>
      <w:bookmarkStart w:id="110" w:name="_Toc4210"/>
      <w:bookmarkStart w:id="111" w:name="_Toc30583"/>
      <w:bookmarkStart w:id="112" w:name="_Toc26253"/>
      <w:bookmarkStart w:id="113" w:name="_Toc15210"/>
      <w:bookmarkStart w:id="114" w:name="_Toc9212"/>
      <w:bookmarkStart w:id="115" w:name="_Toc20032"/>
      <w:r>
        <w:rPr>
          <w:rFonts w:hint="eastAsia" w:ascii="宋体" w:hAnsi="宋体"/>
          <w:sz w:val="28"/>
          <w:szCs w:val="28"/>
        </w:rPr>
        <w:t>本项目属于政府采购信用融资业务项目，融资利率上浮比例不超过</w:t>
      </w:r>
    </w:p>
    <w:p>
      <w:pPr>
        <w:tabs>
          <w:tab w:val="left" w:pos="1134"/>
        </w:tabs>
        <w:spacing w:line="360" w:lineRule="auto"/>
        <w:rPr>
          <w:rFonts w:ascii="宋体" w:hAnsi="宋体"/>
          <w:sz w:val="28"/>
          <w:szCs w:val="28"/>
        </w:rPr>
      </w:pPr>
      <w:r>
        <w:rPr>
          <w:rFonts w:hint="eastAsia" w:ascii="宋体" w:hAnsi="宋体"/>
          <w:sz w:val="28"/>
          <w:szCs w:val="28"/>
        </w:rPr>
        <w:t>人民银行同期贷款基准利率30%，银行机构名单、联系方式见附件1。</w:t>
      </w:r>
      <w:bookmarkEnd w:id="105"/>
      <w:bookmarkEnd w:id="106"/>
      <w:bookmarkEnd w:id="107"/>
      <w:bookmarkEnd w:id="108"/>
      <w:bookmarkEnd w:id="109"/>
      <w:bookmarkEnd w:id="110"/>
      <w:bookmarkEnd w:id="111"/>
      <w:bookmarkEnd w:id="112"/>
      <w:bookmarkEnd w:id="113"/>
      <w:bookmarkEnd w:id="114"/>
      <w:bookmarkEnd w:id="115"/>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pStyle w:val="2"/>
        <w:rPr>
          <w:rFonts w:ascii="宋体" w:hAnsi="宋体"/>
          <w:sz w:val="28"/>
          <w:szCs w:val="28"/>
        </w:rPr>
      </w:pPr>
    </w:p>
    <w:p/>
    <w:p>
      <w:pPr>
        <w:rPr>
          <w:rFonts w:ascii="宋体" w:hAnsi="宋体"/>
          <w:sz w:val="28"/>
          <w:szCs w:val="28"/>
        </w:rPr>
      </w:pPr>
      <w:r>
        <w:rPr>
          <w:rFonts w:ascii="宋体" w:hAnsi="宋体"/>
          <w:sz w:val="28"/>
          <w:szCs w:val="28"/>
        </w:rPr>
        <w:br w:type="page"/>
      </w:r>
      <w:bookmarkStart w:id="116" w:name="_Toc316292052"/>
      <w:bookmarkEnd w:id="116"/>
      <w:bookmarkStart w:id="117" w:name="_Toc316292048"/>
      <w:bookmarkEnd w:id="117"/>
      <w:bookmarkStart w:id="118" w:name="_Toc315871050"/>
      <w:bookmarkEnd w:id="118"/>
      <w:bookmarkStart w:id="119" w:name="_Toc316292050"/>
      <w:bookmarkEnd w:id="119"/>
      <w:bookmarkStart w:id="120" w:name="_Toc316292049"/>
      <w:bookmarkEnd w:id="120"/>
      <w:bookmarkStart w:id="121" w:name="_Toc315871045"/>
      <w:bookmarkEnd w:id="121"/>
      <w:bookmarkStart w:id="122" w:name="_Toc315871049"/>
      <w:bookmarkEnd w:id="122"/>
      <w:bookmarkStart w:id="123" w:name="_Toc315871048"/>
      <w:bookmarkEnd w:id="123"/>
      <w:bookmarkStart w:id="124" w:name="_Toc315871047"/>
      <w:bookmarkEnd w:id="124"/>
      <w:bookmarkStart w:id="125" w:name="_Toc315871046"/>
      <w:bookmarkEnd w:id="125"/>
      <w:bookmarkStart w:id="126" w:name="_Toc316292051"/>
      <w:bookmarkEnd w:id="126"/>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27" w:name="_Toc13145"/>
      <w:r>
        <w:rPr>
          <w:rFonts w:hint="eastAsia" w:ascii="宋体" w:hAnsi="宋体"/>
          <w:b/>
          <w:bCs/>
          <w:spacing w:val="-20"/>
          <w:kern w:val="44"/>
          <w:sz w:val="32"/>
          <w:szCs w:val="32"/>
        </w:rPr>
        <w:t>投标文件格式</w:t>
      </w:r>
      <w:bookmarkEnd w:id="127"/>
    </w:p>
    <w:p>
      <w:pPr>
        <w:keepNext/>
        <w:keepLines/>
        <w:numPr>
          <w:ilvl w:val="1"/>
          <w:numId w:val="5"/>
        </w:numPr>
        <w:spacing w:before="260" w:after="260" w:line="360" w:lineRule="auto"/>
        <w:jc w:val="left"/>
        <w:outlineLvl w:val="1"/>
        <w:rPr>
          <w:rFonts w:ascii="宋体" w:hAnsi="宋体"/>
          <w:b/>
          <w:bCs/>
          <w:sz w:val="28"/>
          <w:szCs w:val="28"/>
        </w:rPr>
      </w:pPr>
      <w:bookmarkStart w:id="128" w:name="_Toc20615"/>
      <w:r>
        <w:rPr>
          <w:rFonts w:hint="eastAsia" w:ascii="宋体" w:hAnsi="宋体"/>
          <w:b/>
          <w:bCs/>
          <w:sz w:val="28"/>
          <w:szCs w:val="28"/>
        </w:rPr>
        <w:t>投标文件封面格式</w:t>
      </w:r>
      <w:bookmarkEnd w:id="128"/>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项目名称：成都市双流区教育技术装备管理中心2021年彭镇小学等2校多功能厅LED、音箱和灯光系统采购项目</w:t>
      </w:r>
    </w:p>
    <w:p>
      <w:pPr>
        <w:spacing w:line="360" w:lineRule="auto"/>
        <w:rPr>
          <w:rFonts w:ascii="宋体" w:hAnsi="宋体"/>
          <w:b/>
          <w:sz w:val="32"/>
          <w:szCs w:val="32"/>
          <w:u w:val="single"/>
        </w:rPr>
      </w:pPr>
      <w:r>
        <w:rPr>
          <w:rFonts w:hint="eastAsia" w:ascii="宋体" w:hAnsi="宋体"/>
          <w:b/>
          <w:bCs/>
          <w:sz w:val="32"/>
          <w:szCs w:val="32"/>
        </w:rPr>
        <w:t>项目编号：双流政采（2021）A0065号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期：XXXX年XX月XX日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keepNext/>
        <w:keepLines/>
        <w:numPr>
          <w:ilvl w:val="1"/>
          <w:numId w:val="5"/>
        </w:numPr>
        <w:spacing w:before="260" w:line="360" w:lineRule="auto"/>
        <w:jc w:val="left"/>
        <w:outlineLvl w:val="1"/>
        <w:rPr>
          <w:rFonts w:ascii="宋体" w:hAnsi="宋体"/>
          <w:b/>
          <w:bCs/>
          <w:sz w:val="28"/>
          <w:szCs w:val="28"/>
        </w:rPr>
      </w:pPr>
      <w:bookmarkStart w:id="129" w:name="_Toc14317"/>
      <w:r>
        <w:rPr>
          <w:rFonts w:hint="eastAsia" w:ascii="宋体" w:hAnsi="宋体"/>
          <w:b/>
          <w:bCs/>
          <w:sz w:val="28"/>
          <w:szCs w:val="28"/>
        </w:rPr>
        <w:t>资格性响应文件</w:t>
      </w:r>
      <w:bookmarkEnd w:id="129"/>
    </w:p>
    <w:p>
      <w:pPr>
        <w:keepNext/>
        <w:keepLines/>
        <w:numPr>
          <w:ilvl w:val="2"/>
          <w:numId w:val="31"/>
        </w:numPr>
        <w:spacing w:line="360" w:lineRule="auto"/>
        <w:ind w:left="3119" w:hanging="3119"/>
        <w:outlineLvl w:val="2"/>
        <w:rPr>
          <w:rFonts w:ascii="宋体" w:hAnsi="宋体"/>
          <w:b/>
          <w:bCs/>
          <w:sz w:val="28"/>
          <w:szCs w:val="28"/>
        </w:rPr>
      </w:pPr>
      <w:r>
        <w:rPr>
          <w:rFonts w:hint="eastAsia" w:ascii="宋体" w:hAnsi="宋体"/>
          <w:b/>
          <w:bCs/>
          <w:sz w:val="28"/>
          <w:szCs w:val="28"/>
        </w:rPr>
        <w:t>关于投标人资格声明的函</w:t>
      </w:r>
    </w:p>
    <w:p>
      <w:pPr>
        <w:spacing w:line="360" w:lineRule="auto"/>
        <w:rPr>
          <w:rFonts w:ascii="宋体" w:hAnsi="宋体"/>
          <w:sz w:val="28"/>
          <w:szCs w:val="28"/>
        </w:rPr>
      </w:pPr>
      <w:bookmarkStart w:id="130" w:name="_Toc238581782"/>
      <w:bookmarkStart w:id="131" w:name="_Toc146903609"/>
      <w:bookmarkStart w:id="132" w:name="_Toc119296788"/>
      <w:bookmarkStart w:id="133" w:name="_Toc119295087"/>
      <w:bookmarkStart w:id="134" w:name="_Toc52184753"/>
      <w:bookmarkStart w:id="135" w:name="_Toc119203988"/>
      <w:r>
        <w:rPr>
          <w:rFonts w:hint="eastAsia" w:ascii="宋体" w:hAnsi="宋体"/>
          <w:sz w:val="28"/>
          <w:szCs w:val="28"/>
        </w:rPr>
        <w:t>致：</w:t>
      </w:r>
      <w:bookmarkEnd w:id="130"/>
      <w:r>
        <w:rPr>
          <w:rFonts w:hint="eastAsia" w:ascii="宋体" w:hAnsi="宋体"/>
          <w:sz w:val="28"/>
          <w:szCs w:val="28"/>
        </w:rPr>
        <w:t>成都市双流区公共资源交易服务中心</w:t>
      </w:r>
    </w:p>
    <w:p>
      <w:pPr>
        <w:spacing w:line="360" w:lineRule="auto"/>
        <w:ind w:firstLine="565" w:firstLineChars="202"/>
        <w:rPr>
          <w:rFonts w:ascii="宋体" w:hAnsi="宋体"/>
          <w:sz w:val="28"/>
          <w:szCs w:val="28"/>
        </w:rPr>
      </w:pPr>
      <w:bookmarkStart w:id="136" w:name="_Toc238581783"/>
      <w:r>
        <w:rPr>
          <w:rFonts w:hint="eastAsia" w:ascii="宋体" w:hAnsi="宋体"/>
          <w:sz w:val="28"/>
          <w:szCs w:val="28"/>
        </w:rPr>
        <w:t>关于我方对</w:t>
      </w:r>
      <w:r>
        <w:rPr>
          <w:rFonts w:hint="eastAsia" w:ascii="宋体" w:hAnsi="宋体"/>
          <w:b/>
          <w:bCs/>
          <w:sz w:val="28"/>
          <w:szCs w:val="28"/>
          <w:u w:val="single"/>
        </w:rPr>
        <w:t>成都市双流区教育技术装备管理中心2021年彭镇小学等2校多功能厅LED、音箱和灯光系统采购项目（</w:t>
      </w:r>
      <w:r>
        <w:rPr>
          <w:rFonts w:hint="eastAsia" w:ascii="宋体" w:hAnsi="宋体"/>
          <w:b/>
          <w:sz w:val="28"/>
          <w:szCs w:val="28"/>
          <w:u w:val="single"/>
        </w:rPr>
        <w:t>项目编号：双流政采（2021）A0065号）</w:t>
      </w:r>
      <w:r>
        <w:rPr>
          <w:rFonts w:hint="eastAsia" w:ascii="宋体" w:hAnsi="宋体"/>
          <w:sz w:val="28"/>
          <w:szCs w:val="28"/>
        </w:rPr>
        <w:t>的公开招标，提交的下列文件和说明是准确的和真实的。</w:t>
      </w:r>
      <w:bookmarkEnd w:id="136"/>
    </w:p>
    <w:p>
      <w:pPr>
        <w:widowControl/>
        <w:numPr>
          <w:ilvl w:val="2"/>
          <w:numId w:val="32"/>
        </w:numPr>
        <w:spacing w:line="360" w:lineRule="auto"/>
        <w:ind w:left="0" w:firstLine="560" w:firstLineChars="200"/>
        <w:rPr>
          <w:rFonts w:ascii="宋体" w:hAnsi="宋体"/>
          <w:sz w:val="28"/>
          <w:szCs w:val="28"/>
        </w:rPr>
      </w:pPr>
      <w:bookmarkStart w:id="137" w:name="_Toc238581784"/>
      <w:r>
        <w:rPr>
          <w:rFonts w:hint="eastAsia" w:ascii="宋体" w:hAnsi="宋体"/>
          <w:sz w:val="28"/>
          <w:szCs w:val="28"/>
        </w:rPr>
        <w:t>投标人名称及概况：</w:t>
      </w:r>
      <w:bookmarkEnd w:id="131"/>
      <w:bookmarkEnd w:id="132"/>
      <w:bookmarkEnd w:id="133"/>
      <w:bookmarkEnd w:id="134"/>
      <w:bookmarkEnd w:id="135"/>
      <w:bookmarkEnd w:id="137"/>
    </w:p>
    <w:p>
      <w:pPr>
        <w:widowControl/>
        <w:numPr>
          <w:ilvl w:val="0"/>
          <w:numId w:val="33"/>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3"/>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3"/>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3"/>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2"/>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bCs/>
          <w:sz w:val="28"/>
        </w:rPr>
      </w:pPr>
      <w:r>
        <w:rPr>
          <w:rFonts w:hint="eastAsia" w:ascii="宋体" w:hAnsi="宋体"/>
          <w:bCs/>
          <w:sz w:val="28"/>
          <w:szCs w:val="28"/>
        </w:rPr>
        <w:t>日    期：</w:t>
      </w:r>
      <w:r>
        <w:rPr>
          <w:rFonts w:hint="eastAsia" w:ascii="宋体" w:hAnsi="宋体"/>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60" w:lineRule="auto"/>
        <w:ind w:left="283" w:leftChars="135" w:firstLine="280" w:firstLineChars="100"/>
        <w:rPr>
          <w:rFonts w:ascii="宋体" w:hAnsi="宋体"/>
          <w:sz w:val="28"/>
          <w:szCs w:val="28"/>
          <w:u w:val="single"/>
        </w:rPr>
      </w:pP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rPr>
          <w:rFonts w:ascii="宋体" w:hAnsi="宋体"/>
          <w:sz w:val="28"/>
          <w:szCs w:val="28"/>
        </w:rPr>
      </w:pPr>
      <w:r>
        <w:rPr>
          <w:rFonts w:hint="eastAsia" w:ascii="宋体" w:hAnsi="宋体"/>
          <w:sz w:val="28"/>
          <w:szCs w:val="28"/>
        </w:rPr>
        <w:t>致：成都市双流区公共资源交易服务中心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bCs/>
          <w:sz w:val="28"/>
          <w:szCs w:val="28"/>
          <w:u w:val="single"/>
        </w:rPr>
        <w:t>成都市双流区教育技术装备管理中心2021年彭镇小学等2校多功能厅LED、音箱和灯光系统采购项目（</w:t>
      </w:r>
      <w:r>
        <w:rPr>
          <w:rFonts w:hint="eastAsia" w:ascii="宋体" w:hAnsi="宋体"/>
          <w:b/>
          <w:sz w:val="28"/>
          <w:szCs w:val="28"/>
          <w:u w:val="single"/>
        </w:rPr>
        <w:t>项目编号：双流政采（2021）A0065号）</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三、与我单位负责人为同一人或者存在直接控股、管理关系的相关供应商：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w:t>
      </w:r>
      <w:r>
        <w:rPr>
          <w:rFonts w:hint="eastAsia" w:ascii="宋体" w:hAnsi="宋体"/>
          <w:sz w:val="28"/>
          <w:szCs w:val="28"/>
          <w:u w:val="single"/>
        </w:rPr>
        <w:t>XXXX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w:t>
      </w:r>
      <w:r>
        <w:rPr>
          <w:rFonts w:ascii="宋体" w:hAnsi="宋体"/>
          <w:sz w:val="28"/>
          <w:szCs w:val="28"/>
        </w:rPr>
        <w:t xml:space="preserve"> </w:t>
      </w:r>
      <w:r>
        <w:rPr>
          <w:rFonts w:hint="eastAsia" w:ascii="宋体" w:hAnsi="宋体"/>
          <w:sz w:val="28"/>
          <w:szCs w:val="28"/>
        </w:rPr>
        <w:t>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420" w:firstLineChars="200"/>
        <w:rPr>
          <w:rFonts w:ascii="宋体" w:hAnsi="宋体"/>
          <w:szCs w:val="28"/>
        </w:rPr>
      </w:pPr>
    </w:p>
    <w:p>
      <w:pPr>
        <w:pStyle w:val="2"/>
        <w:rPr>
          <w:rFonts w:ascii="宋体" w:hAnsi="宋体"/>
          <w:szCs w:val="28"/>
        </w:rPr>
      </w:pPr>
    </w:p>
    <w:p>
      <w:pPr>
        <w:rPr>
          <w:rFonts w:ascii="宋体" w:hAnsi="宋体"/>
          <w:szCs w:val="28"/>
        </w:rPr>
      </w:pPr>
    </w:p>
    <w:p>
      <w:pPr>
        <w:pStyle w:val="2"/>
        <w:rPr>
          <w:rFonts w:ascii="宋体" w:hAnsi="宋体"/>
          <w:szCs w:val="28"/>
        </w:rPr>
      </w:pPr>
    </w:p>
    <w:p>
      <w:pPr>
        <w:rPr>
          <w:rFonts w:ascii="宋体" w:hAnsi="宋体"/>
          <w:szCs w:val="28"/>
        </w:rPr>
      </w:pPr>
    </w:p>
    <w:p>
      <w:pPr>
        <w:pStyle w:val="2"/>
        <w:rPr>
          <w:rFonts w:ascii="宋体" w:hAnsi="宋体"/>
          <w:szCs w:val="28"/>
        </w:rPr>
      </w:pPr>
    </w:p>
    <w:p>
      <w:pPr>
        <w:rPr>
          <w:rFonts w:ascii="宋体" w:hAnsi="宋体"/>
          <w:szCs w:val="28"/>
        </w:rPr>
      </w:pPr>
    </w:p>
    <w:p>
      <w:pPr>
        <w:pStyle w:val="2"/>
        <w:rPr>
          <w:rFonts w:ascii="宋体" w:hAnsi="宋体"/>
          <w:szCs w:val="28"/>
        </w:rPr>
      </w:pPr>
    </w:p>
    <w:p/>
    <w:p>
      <w:pPr>
        <w:keepNext/>
        <w:keepLines/>
        <w:numPr>
          <w:ilvl w:val="2"/>
          <w:numId w:val="5"/>
        </w:numPr>
        <w:spacing w:line="360" w:lineRule="auto"/>
        <w:ind w:left="0" w:firstLine="0"/>
        <w:outlineLvl w:val="2"/>
        <w:rPr>
          <w:sz w:val="28"/>
          <w:szCs w:val="28"/>
        </w:rPr>
      </w:pPr>
      <w:r>
        <w:rPr>
          <w:rFonts w:hint="eastAsia" w:ascii="宋体" w:hAnsi="宋体"/>
          <w:b/>
          <w:bCs/>
          <w:sz w:val="28"/>
          <w:szCs w:val="28"/>
        </w:rPr>
        <w:t>投标人应提交的相关资格证明材料</w:t>
      </w:r>
    </w:p>
    <w:p>
      <w:pPr>
        <w:spacing w:line="360" w:lineRule="auto"/>
        <w:ind w:firstLine="560" w:firstLineChars="200"/>
        <w:rPr>
          <w:sz w:val="28"/>
          <w:szCs w:val="28"/>
        </w:rPr>
      </w:pPr>
      <w:r>
        <w:rPr>
          <w:rFonts w:hint="eastAsia"/>
          <w:sz w:val="28"/>
          <w:szCs w:val="28"/>
        </w:rPr>
        <w:t>投标人按招标文件要求，应提供以下相关资格证明材料：</w:t>
      </w:r>
    </w:p>
    <w:p>
      <w:pPr>
        <w:pStyle w:val="151"/>
        <w:numPr>
          <w:ilvl w:val="0"/>
          <w:numId w:val="34"/>
        </w:numPr>
        <w:tabs>
          <w:tab w:val="left" w:pos="1134"/>
        </w:tabs>
        <w:spacing w:line="360" w:lineRule="auto"/>
        <w:ind w:firstLine="560"/>
        <w:rPr>
          <w:rFonts w:ascii="宋体" w:hAnsi="宋体"/>
          <w:sz w:val="28"/>
          <w:szCs w:val="28"/>
        </w:rPr>
      </w:pPr>
      <w:r>
        <w:rPr>
          <w:rFonts w:hint="eastAsia" w:ascii="宋体" w:hAnsi="宋体"/>
          <w:sz w:val="28"/>
          <w:szCs w:val="28"/>
        </w:rPr>
        <w:t>营业执照复印件（正本或副本）或法人证书复印件（正本或副本）；</w:t>
      </w:r>
    </w:p>
    <w:p>
      <w:pPr>
        <w:pStyle w:val="151"/>
        <w:numPr>
          <w:ilvl w:val="0"/>
          <w:numId w:val="34"/>
        </w:numPr>
        <w:tabs>
          <w:tab w:val="left" w:pos="1134"/>
        </w:tabs>
        <w:spacing w:line="360" w:lineRule="auto"/>
        <w:ind w:firstLine="560"/>
        <w:rPr>
          <w:rFonts w:ascii="宋体" w:hAnsi="宋体"/>
          <w:sz w:val="28"/>
          <w:szCs w:val="28"/>
        </w:rPr>
      </w:pPr>
      <w:r>
        <w:rPr>
          <w:rFonts w:hint="eastAsia" w:ascii="宋体" w:hAnsi="宋体"/>
          <w:sz w:val="28"/>
          <w:szCs w:val="28"/>
        </w:rPr>
        <w:t>2020会计年度资产负债表复印件【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p>
    <w:p>
      <w:pPr>
        <w:pStyle w:val="151"/>
        <w:numPr>
          <w:ilvl w:val="0"/>
          <w:numId w:val="34"/>
        </w:numPr>
        <w:tabs>
          <w:tab w:val="left" w:pos="1134"/>
        </w:tabs>
        <w:spacing w:line="360" w:lineRule="auto"/>
        <w:ind w:firstLine="560"/>
        <w:rPr>
          <w:rFonts w:ascii="宋体" w:hAnsi="宋体"/>
          <w:sz w:val="28"/>
          <w:szCs w:val="28"/>
        </w:rPr>
      </w:pPr>
      <w:r>
        <w:rPr>
          <w:rFonts w:hint="eastAsia" w:ascii="宋体" w:hAnsi="宋体"/>
          <w:sz w:val="28"/>
          <w:szCs w:val="28"/>
        </w:rPr>
        <w:t>投标人缴纳2021年任意时段的税收的银行电子回单或者行政部门出具的纳税证明或完税证明复印件或承诺函（格式自拟）复印件（依法免税的供应商，应提供相应文件证明其依法免税）；</w:t>
      </w:r>
    </w:p>
    <w:p>
      <w:pPr>
        <w:pStyle w:val="151"/>
        <w:numPr>
          <w:ilvl w:val="0"/>
          <w:numId w:val="34"/>
        </w:numPr>
        <w:tabs>
          <w:tab w:val="left" w:pos="1134"/>
        </w:tabs>
        <w:spacing w:line="360" w:lineRule="auto"/>
        <w:ind w:firstLine="560"/>
        <w:rPr>
          <w:rFonts w:ascii="宋体" w:hAnsi="宋体"/>
          <w:sz w:val="28"/>
          <w:szCs w:val="28"/>
        </w:rPr>
      </w:pPr>
      <w:r>
        <w:rPr>
          <w:rFonts w:hint="eastAsia"/>
          <w:sz w:val="28"/>
          <w:szCs w:val="28"/>
        </w:rPr>
        <w:t>采购人</w:t>
      </w:r>
      <w:r>
        <w:rPr>
          <w:rFonts w:hint="eastAsia" w:ascii="宋体" w:hAnsi="宋体"/>
          <w:kern w:val="0"/>
          <w:sz w:val="28"/>
          <w:szCs w:val="28"/>
        </w:rPr>
        <w:t>对投标人履行合同所必须的设备和专业技术能力无其他特殊要求，投标人具有有效的营业执照或法人证书即可，可不提供其他证明材料；</w:t>
      </w:r>
    </w:p>
    <w:p>
      <w:pPr>
        <w:pStyle w:val="151"/>
        <w:numPr>
          <w:ilvl w:val="0"/>
          <w:numId w:val="34"/>
        </w:numPr>
        <w:tabs>
          <w:tab w:val="left" w:pos="1134"/>
        </w:tabs>
        <w:spacing w:line="360" w:lineRule="auto"/>
        <w:ind w:firstLine="560"/>
        <w:rPr>
          <w:rFonts w:ascii="宋体" w:hAnsi="宋体" w:cs="宋体"/>
          <w:sz w:val="28"/>
          <w:szCs w:val="28"/>
        </w:rPr>
      </w:pPr>
      <w:r>
        <w:rPr>
          <w:rFonts w:hint="eastAsia" w:ascii="宋体" w:hAnsi="宋体"/>
          <w:sz w:val="28"/>
          <w:szCs w:val="28"/>
        </w:rPr>
        <w:t>投标人缴纳2021年任意时段的社保的银行电子回单或行政部门出具的社保缴纳证明材料复印件或承诺函（格式自拟）复印件（依法不需要缴纳社保的供应商，应提供相应文件证明其依法不需要缴纳社保）；</w:t>
      </w:r>
    </w:p>
    <w:p>
      <w:pPr>
        <w:pStyle w:val="151"/>
        <w:numPr>
          <w:ilvl w:val="0"/>
          <w:numId w:val="34"/>
        </w:numPr>
        <w:tabs>
          <w:tab w:val="left" w:pos="1134"/>
        </w:tabs>
        <w:spacing w:line="360" w:lineRule="auto"/>
        <w:ind w:firstLine="560"/>
        <w:rPr>
          <w:rFonts w:ascii="宋体" w:hAnsi="宋体" w:cs="宋体"/>
          <w:b/>
          <w:bCs/>
          <w:sz w:val="28"/>
          <w:szCs w:val="28"/>
        </w:rPr>
      </w:pPr>
      <w:r>
        <w:rPr>
          <w:rFonts w:hint="eastAsia" w:ascii="宋体" w:hAnsi="宋体"/>
          <w:sz w:val="28"/>
          <w:szCs w:val="28"/>
        </w:rPr>
        <w:t>采购人对法律、行政法规规定的其他条件无其他特殊要求，投标人具有有效的营业执照或法人证书即可，可不提供其他证明材料。</w:t>
      </w:r>
    </w:p>
    <w:p>
      <w:pPr>
        <w:pStyle w:val="151"/>
        <w:tabs>
          <w:tab w:val="left" w:pos="1134"/>
        </w:tabs>
        <w:spacing w:line="360" w:lineRule="auto"/>
        <w:ind w:firstLine="0" w:firstLineChars="0"/>
        <w:rPr>
          <w:rFonts w:ascii="宋体" w:hAnsi="宋体"/>
          <w:sz w:val="28"/>
          <w:szCs w:val="28"/>
        </w:rPr>
      </w:pPr>
    </w:p>
    <w:p>
      <w:pPr>
        <w:keepNext/>
        <w:keepLines/>
        <w:numPr>
          <w:ilvl w:val="1"/>
          <w:numId w:val="5"/>
        </w:numPr>
        <w:spacing w:line="520" w:lineRule="exact"/>
        <w:jc w:val="left"/>
        <w:outlineLvl w:val="1"/>
        <w:rPr>
          <w:rFonts w:ascii="宋体" w:hAnsi="宋体"/>
          <w:b/>
          <w:bCs/>
          <w:sz w:val="28"/>
          <w:szCs w:val="28"/>
        </w:rPr>
      </w:pPr>
      <w:bookmarkStart w:id="138" w:name="_Toc18006"/>
      <w:r>
        <w:rPr>
          <w:rFonts w:hint="eastAsia" w:ascii="宋体" w:hAnsi="宋体"/>
          <w:b/>
          <w:bCs/>
          <w:sz w:val="28"/>
          <w:szCs w:val="28"/>
        </w:rPr>
        <w:t>服务、商务技术及其他要求</w:t>
      </w:r>
      <w:r>
        <w:rPr>
          <w:rFonts w:ascii="宋体" w:hAnsi="宋体"/>
          <w:b/>
          <w:bCs/>
          <w:sz w:val="28"/>
          <w:szCs w:val="28"/>
        </w:rPr>
        <w:t>响应</w:t>
      </w:r>
      <w:r>
        <w:rPr>
          <w:rFonts w:hint="eastAsia" w:ascii="宋体" w:hAnsi="宋体"/>
          <w:b/>
          <w:bCs/>
          <w:sz w:val="28"/>
          <w:szCs w:val="28"/>
        </w:rPr>
        <w:t>部分</w:t>
      </w:r>
      <w:bookmarkEnd w:id="138"/>
    </w:p>
    <w:p>
      <w:pPr>
        <w:keepNext/>
        <w:keepLines/>
        <w:numPr>
          <w:ilvl w:val="2"/>
          <w:numId w:val="5"/>
        </w:numPr>
        <w:spacing w:line="520" w:lineRule="exact"/>
        <w:ind w:left="569" w:hanging="569"/>
        <w:outlineLvl w:val="2"/>
        <w:rPr>
          <w:rFonts w:ascii="宋体" w:hAnsi="宋体"/>
          <w:b/>
          <w:bCs/>
          <w:sz w:val="28"/>
          <w:szCs w:val="28"/>
        </w:rPr>
      </w:pPr>
      <w:r>
        <w:rPr>
          <w:rFonts w:hint="eastAsia" w:ascii="宋体" w:hAnsi="宋体"/>
          <w:b/>
          <w:bCs/>
          <w:sz w:val="28"/>
          <w:szCs w:val="28"/>
        </w:rPr>
        <w:t>投标函</w:t>
      </w:r>
    </w:p>
    <w:p>
      <w:pPr>
        <w:spacing w:line="520" w:lineRule="exact"/>
        <w:rPr>
          <w:rFonts w:ascii="宋体" w:hAnsi="宋体"/>
          <w:bCs/>
          <w:sz w:val="28"/>
          <w:szCs w:val="28"/>
        </w:rPr>
      </w:pPr>
      <w:r>
        <w:rPr>
          <w:rFonts w:hint="eastAsia" w:ascii="宋体" w:hAnsi="宋体"/>
          <w:bCs/>
          <w:sz w:val="28"/>
          <w:szCs w:val="28"/>
        </w:rPr>
        <w:t>成都市双流区公共资源交易服务中心：</w:t>
      </w:r>
    </w:p>
    <w:p>
      <w:pPr>
        <w:spacing w:line="52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bCs/>
          <w:sz w:val="28"/>
          <w:szCs w:val="28"/>
          <w:u w:val="single"/>
        </w:rPr>
        <w:t>成都市双流区教育技术装备管理中心2021年彭镇小学等2校多功能厅LED、音箱和灯光系统采购项目”（项目编号：双流政采（2021）A0065号）</w:t>
      </w:r>
      <w:r>
        <w:rPr>
          <w:rFonts w:hint="eastAsia" w:ascii="宋体" w:hAnsi="宋体"/>
          <w:bCs/>
          <w:sz w:val="28"/>
          <w:szCs w:val="28"/>
        </w:rPr>
        <w:t>招标文件，决定参加贵单位组织的本项目投标。</w:t>
      </w:r>
    </w:p>
    <w:p>
      <w:pPr>
        <w:numPr>
          <w:ilvl w:val="1"/>
          <w:numId w:val="35"/>
        </w:numPr>
        <w:tabs>
          <w:tab w:val="left" w:pos="1134"/>
        </w:tabs>
        <w:spacing w:line="52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5"/>
        </w:numPr>
        <w:tabs>
          <w:tab w:val="left" w:pos="1134"/>
        </w:tabs>
        <w:spacing w:line="52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5"/>
        </w:numPr>
        <w:tabs>
          <w:tab w:val="left" w:pos="1134"/>
        </w:tabs>
        <w:spacing w:line="52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5"/>
        </w:numPr>
        <w:tabs>
          <w:tab w:val="left" w:pos="1134"/>
        </w:tabs>
        <w:spacing w:line="52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5"/>
        </w:numPr>
        <w:tabs>
          <w:tab w:val="left" w:pos="1134"/>
        </w:tabs>
        <w:spacing w:line="52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5"/>
        </w:numPr>
        <w:tabs>
          <w:tab w:val="left" w:pos="1134"/>
        </w:tabs>
        <w:spacing w:line="520" w:lineRule="exact"/>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520" w:lineRule="exact"/>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520" w:lineRule="exact"/>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520" w:lineRule="exact"/>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520" w:lineRule="exact"/>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520" w:lineRule="exact"/>
        <w:ind w:left="283" w:leftChars="135" w:firstLine="700" w:firstLineChars="250"/>
        <w:rPr>
          <w:rFonts w:ascii="宋体" w:hAnsi="宋体"/>
          <w:bCs/>
          <w:sz w:val="28"/>
        </w:rPr>
      </w:pPr>
      <w:r>
        <w:rPr>
          <w:rFonts w:hint="eastAsia" w:ascii="宋体" w:hAnsi="宋体"/>
          <w:bCs/>
          <w:sz w:val="28"/>
          <w:szCs w:val="28"/>
        </w:rPr>
        <w:t>日    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bookmarkStart w:id="139" w:name="_Toc239849853"/>
      <w:bookmarkStart w:id="140" w:name="_Toc265494342"/>
      <w:bookmarkStart w:id="141" w:name="_Toc231030275"/>
      <w:bookmarkStart w:id="142" w:name="_Toc240367172"/>
      <w:bookmarkStart w:id="143" w:name="_Toc239846734"/>
      <w:bookmarkStart w:id="144" w:name="_Toc314574804"/>
      <w:bookmarkStart w:id="145" w:name="_Toc240865266"/>
      <w:bookmarkStart w:id="146" w:name="_Toc229802674"/>
      <w:bookmarkStart w:id="147" w:name="_Toc237145395"/>
    </w:p>
    <w:p>
      <w:pPr>
        <w:pStyle w:val="2"/>
        <w:rPr>
          <w:rFonts w:ascii="宋体" w:hAnsi="宋体"/>
          <w:bCs/>
          <w:sz w:val="28"/>
        </w:rPr>
      </w:pPr>
    </w:p>
    <w:p>
      <w:pPr>
        <w:rPr>
          <w:rFonts w:ascii="宋体" w:hAnsi="宋体"/>
          <w:bCs/>
          <w:sz w:val="28"/>
        </w:rPr>
      </w:pPr>
    </w:p>
    <w:p>
      <w:pPr>
        <w:pStyle w:val="2"/>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48" w:name="_Toc263768866"/>
      <w:r>
        <w:rPr>
          <w:rFonts w:hint="eastAsia" w:ascii="宋体" w:hAnsi="宋体"/>
          <w:sz w:val="28"/>
          <w:lang w:val="zh-CN"/>
        </w:rPr>
        <w:t>特此证明。</w:t>
      </w:r>
      <w:bookmarkEnd w:id="148"/>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sz w:val="28"/>
          <w:u w:val="single"/>
          <w:lang w:val="zh-CN"/>
        </w:rPr>
        <w:t>XXXX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pStyle w:val="2"/>
      </w:pPr>
    </w:p>
    <w:p>
      <w:pPr>
        <w:spacing w:after="180" w:line="360" w:lineRule="auto"/>
        <w:ind w:firstLine="568" w:firstLineChars="202"/>
        <w:rPr>
          <w:rFonts w:ascii="宋体" w:hAnsi="宋体"/>
          <w:b/>
          <w:sz w:val="28"/>
          <w:szCs w:val="28"/>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p>
      <w:pPr>
        <w:spacing w:after="180" w:line="360" w:lineRule="auto"/>
        <w:ind w:firstLine="568" w:firstLineChars="202"/>
        <w:rPr>
          <w:rFonts w:ascii="宋体" w:hAnsi="宋体"/>
          <w:b/>
          <w:sz w:val="28"/>
          <w:szCs w:val="28"/>
        </w:rPr>
      </w:pPr>
    </w:p>
    <w:p>
      <w:pPr>
        <w:pStyle w:val="2"/>
      </w:pPr>
    </w:p>
    <w:bookmarkEnd w:id="139"/>
    <w:bookmarkEnd w:id="140"/>
    <w:bookmarkEnd w:id="141"/>
    <w:bookmarkEnd w:id="142"/>
    <w:bookmarkEnd w:id="143"/>
    <w:bookmarkEnd w:id="144"/>
    <w:bookmarkEnd w:id="145"/>
    <w:bookmarkEnd w:id="146"/>
    <w:bookmarkEnd w:id="147"/>
    <w:p>
      <w:pPr>
        <w:keepNext/>
        <w:keepLines/>
        <w:numPr>
          <w:ilvl w:val="2"/>
          <w:numId w:val="5"/>
        </w:numPr>
        <w:spacing w:line="360" w:lineRule="auto"/>
        <w:ind w:left="3119" w:hanging="3119"/>
        <w:outlineLvl w:val="2"/>
        <w:rPr>
          <w:rFonts w:ascii="宋体" w:hAnsi="宋体"/>
          <w:b/>
          <w:bCs/>
          <w:sz w:val="28"/>
          <w:szCs w:val="28"/>
        </w:rPr>
      </w:pPr>
      <w:bookmarkStart w:id="149" w:name="_Toc315871054"/>
      <w:bookmarkEnd w:id="149"/>
      <w:bookmarkStart w:id="150" w:name="_Toc302997926"/>
      <w:bookmarkStart w:id="151" w:name="_Toc263753605"/>
      <w:bookmarkStart w:id="152" w:name="_Toc263768870"/>
      <w:bookmarkStart w:id="153" w:name="_Toc220299393"/>
      <w:bookmarkStart w:id="154" w:name="_Toc217446083"/>
      <w:r>
        <w:rPr>
          <w:rFonts w:hint="eastAsia" w:ascii="宋体" w:hAnsi="宋体"/>
          <w:b/>
          <w:bCs/>
          <w:sz w:val="28"/>
          <w:szCs w:val="28"/>
        </w:rPr>
        <w:t>投标人基本情况表</w:t>
      </w:r>
      <w:bookmarkEnd w:id="150"/>
    </w:p>
    <w:tbl>
      <w:tblPr>
        <w:tblStyle w:val="43"/>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u w:val="single"/>
        </w:rPr>
      </w:pPr>
    </w:p>
    <w:bookmarkEnd w:id="151"/>
    <w:bookmarkEnd w:id="152"/>
    <w:bookmarkEnd w:id="153"/>
    <w:p>
      <w:pPr>
        <w:keepNext/>
        <w:keepLines/>
        <w:numPr>
          <w:ilvl w:val="2"/>
          <w:numId w:val="5"/>
        </w:numPr>
        <w:spacing w:line="360" w:lineRule="auto"/>
        <w:ind w:left="3119" w:hanging="3119"/>
        <w:outlineLvl w:val="2"/>
        <w:rPr>
          <w:rFonts w:ascii="宋体" w:hAnsi="宋体"/>
          <w:b/>
          <w:bCs/>
          <w:sz w:val="28"/>
          <w:szCs w:val="28"/>
        </w:rPr>
      </w:pPr>
      <w:bookmarkStart w:id="155" w:name="_Toc263753619"/>
      <w:bookmarkStart w:id="156" w:name="_Toc263768877"/>
      <w:bookmarkStart w:id="157" w:name="_Toc302997928"/>
      <w:r>
        <w:rPr>
          <w:rFonts w:hint="eastAsia" w:ascii="宋体" w:hAnsi="宋体"/>
          <w:b/>
          <w:bCs/>
          <w:sz w:val="28"/>
          <w:szCs w:val="28"/>
        </w:rPr>
        <w:t>售后服务及承诺</w:t>
      </w:r>
      <w:bookmarkEnd w:id="155"/>
      <w:bookmarkEnd w:id="156"/>
      <w:bookmarkEnd w:id="157"/>
    </w:p>
    <w:p>
      <w:pPr>
        <w:snapToGrid w:val="0"/>
        <w:spacing w:line="360" w:lineRule="auto"/>
        <w:ind w:left="1405" w:right="-624" w:rightChars="-297" w:hanging="1405" w:hangingChars="500"/>
        <w:rPr>
          <w:rFonts w:ascii="宋体" w:hAnsi="宋体"/>
          <w:b/>
          <w:sz w:val="28"/>
          <w:szCs w:val="28"/>
        </w:rPr>
      </w:pPr>
      <w:r>
        <w:rPr>
          <w:rFonts w:hint="eastAsia" w:ascii="宋体" w:hAnsi="宋体"/>
          <w:b/>
          <w:sz w:val="28"/>
        </w:rPr>
        <w:t>项目名称：</w:t>
      </w:r>
      <w:r>
        <w:rPr>
          <w:rFonts w:hint="eastAsia" w:ascii="宋体" w:hAnsi="宋体"/>
          <w:b/>
          <w:bCs/>
          <w:sz w:val="28"/>
          <w:szCs w:val="28"/>
          <w:u w:val="single"/>
        </w:rPr>
        <w:t>成都市双流区教育技术装备管理中心2021年彭镇小学等2校多功能厅LED、音箱和灯光系统采购项目</w:t>
      </w:r>
    </w:p>
    <w:p>
      <w:pPr>
        <w:snapToGrid w:val="0"/>
        <w:spacing w:line="360" w:lineRule="auto"/>
        <w:ind w:right="-624" w:rightChars="-297"/>
        <w:rPr>
          <w:rFonts w:ascii="宋体" w:hAnsi="宋体"/>
          <w:b/>
          <w:sz w:val="28"/>
        </w:rPr>
      </w:pPr>
      <w:r>
        <w:rPr>
          <w:rFonts w:hint="eastAsia" w:ascii="宋体" w:hAnsi="宋体"/>
          <w:b/>
          <w:sz w:val="28"/>
        </w:rPr>
        <w:t>项目编号：</w:t>
      </w:r>
      <w:r>
        <w:rPr>
          <w:rFonts w:hint="eastAsia" w:ascii="宋体" w:hAnsi="宋体"/>
          <w:b/>
          <w:sz w:val="28"/>
          <w:u w:val="single"/>
        </w:rPr>
        <w:t>双流政采（2021）A0065号</w:t>
      </w:r>
    </w:p>
    <w:p>
      <w:pPr>
        <w:tabs>
          <w:tab w:val="left" w:pos="720"/>
        </w:tabs>
        <w:spacing w:line="360" w:lineRule="auto"/>
        <w:ind w:firstLine="560" w:firstLineChars="200"/>
        <w:rPr>
          <w:rFonts w:ascii="宋体" w:hAnsi="宋体"/>
          <w:sz w:val="28"/>
        </w:rPr>
      </w:pPr>
      <w:r>
        <w:rPr>
          <w:rFonts w:hint="eastAsia" w:ascii="宋体" w:hAnsi="宋体"/>
          <w:sz w:val="28"/>
        </w:rPr>
        <w:t>一、验收标准</w:t>
      </w:r>
    </w:p>
    <w:p>
      <w:pPr>
        <w:spacing w:line="360" w:lineRule="auto"/>
        <w:ind w:firstLine="565" w:firstLineChars="202"/>
        <w:rPr>
          <w:rFonts w:ascii="宋体" w:hAnsi="宋体"/>
          <w:sz w:val="28"/>
        </w:rPr>
      </w:pPr>
      <w:r>
        <w:rPr>
          <w:rFonts w:hint="eastAsia" w:ascii="宋体" w:hAnsi="宋体"/>
          <w:sz w:val="28"/>
        </w:rPr>
        <w:t xml:space="preserve">    （投标人应提出详细的验收程序和所执行的验收标准）</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r>
        <w:rPr>
          <w:rFonts w:hint="eastAsia" w:ascii="宋体" w:hAnsi="宋体"/>
          <w:sz w:val="28"/>
        </w:rPr>
        <w:t>二、交货进度计划及保障措施</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p>
    <w:p>
      <w:pPr>
        <w:tabs>
          <w:tab w:val="left" w:pos="720"/>
        </w:tabs>
        <w:spacing w:line="360" w:lineRule="auto"/>
        <w:ind w:firstLine="560" w:firstLineChars="200"/>
        <w:rPr>
          <w:rFonts w:ascii="宋体" w:hAnsi="宋体"/>
          <w:sz w:val="28"/>
        </w:rPr>
      </w:pPr>
      <w:r>
        <w:rPr>
          <w:rFonts w:hint="eastAsia" w:ascii="宋体" w:hAnsi="宋体"/>
          <w:sz w:val="28"/>
        </w:rPr>
        <w:t>三、售后服务承诺</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（售后服务承诺应包括但不限于以下内容）</w:t>
      </w:r>
    </w:p>
    <w:p>
      <w:pPr>
        <w:spacing w:line="4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（一）产品制造厂家或投标人设立的售后服务机构网点清单、服务电话和维修人员名单；</w:t>
      </w:r>
    </w:p>
    <w:p>
      <w:pPr>
        <w:spacing w:line="4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（二）说明投标产品的保修时间、保修期内的保修内容与范围、维修响应时间等；</w:t>
      </w: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四、技术支持的能力及方案</w:t>
      </w:r>
    </w:p>
    <w:p>
      <w:pPr>
        <w:ind w:firstLine="565" w:firstLineChars="202"/>
        <w:rPr>
          <w:rFonts w:ascii="宋体" w:hAnsi="宋体"/>
          <w:sz w:val="28"/>
        </w:rPr>
      </w:pPr>
    </w:p>
    <w:p>
      <w:pPr>
        <w:ind w:firstLine="565" w:firstLineChars="202"/>
        <w:rPr>
          <w:rFonts w:ascii="宋体" w:hAnsi="宋体"/>
          <w:sz w:val="28"/>
        </w:rPr>
      </w:pPr>
    </w:p>
    <w:p>
      <w:pPr>
        <w:tabs>
          <w:tab w:val="left" w:pos="720"/>
        </w:tabs>
        <w:ind w:firstLine="560" w:firstLineChars="200"/>
        <w:rPr>
          <w:rFonts w:ascii="宋体" w:hAnsi="宋体"/>
          <w:sz w:val="28"/>
        </w:rPr>
      </w:pPr>
      <w:r>
        <w:rPr>
          <w:rFonts w:hint="eastAsia" w:ascii="宋体" w:hAnsi="宋体"/>
          <w:sz w:val="28"/>
        </w:rPr>
        <w:t>五、其他说明的内容</w:t>
      </w:r>
      <w:bookmarkEnd w:id="154"/>
      <w:bookmarkStart w:id="158" w:name="_Toc316475719"/>
    </w:p>
    <w:p>
      <w:pPr>
        <w:ind w:firstLine="565" w:firstLineChars="202"/>
        <w:rPr>
          <w:rFonts w:ascii="宋体" w:hAnsi="宋体"/>
          <w:sz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u w:val="single"/>
        </w:rPr>
      </w:pPr>
    </w:p>
    <w:p>
      <w:pPr>
        <w:rPr>
          <w:rFonts w:ascii="宋体" w:hAnsi="宋体"/>
          <w:bCs/>
          <w:sz w:val="28"/>
          <w:szCs w:val="28"/>
        </w:rPr>
      </w:pPr>
    </w:p>
    <w:p>
      <w:pPr>
        <w:keepNext/>
        <w:keepLines/>
        <w:numPr>
          <w:ilvl w:val="2"/>
          <w:numId w:val="5"/>
        </w:numPr>
        <w:spacing w:line="360" w:lineRule="auto"/>
        <w:ind w:left="567"/>
        <w:outlineLvl w:val="2"/>
        <w:rPr>
          <w:rFonts w:ascii="宋体" w:hAnsi="宋体"/>
          <w:b/>
          <w:bCs/>
          <w:sz w:val="28"/>
          <w:szCs w:val="28"/>
        </w:rPr>
      </w:pPr>
      <w:r>
        <w:rPr>
          <w:rFonts w:hint="eastAsia" w:ascii="宋体" w:hAnsi="宋体"/>
          <w:b/>
          <w:bCs/>
          <w:sz w:val="28"/>
          <w:szCs w:val="28"/>
        </w:rPr>
        <w:t>项目实施方案</w:t>
      </w:r>
    </w:p>
    <w:p>
      <w:pPr>
        <w:snapToGrid w:val="0"/>
        <w:spacing w:line="360" w:lineRule="auto"/>
        <w:ind w:left="1405" w:right="-624" w:rightChars="-297" w:hanging="1405" w:hangingChars="500"/>
        <w:rPr>
          <w:rFonts w:ascii="宋体" w:hAnsi="宋体"/>
          <w:b/>
          <w:sz w:val="28"/>
          <w:szCs w:val="28"/>
        </w:rPr>
      </w:pPr>
      <w:r>
        <w:rPr>
          <w:rFonts w:hint="eastAsia" w:ascii="宋体" w:hAnsi="宋体"/>
          <w:b/>
          <w:sz w:val="28"/>
          <w:szCs w:val="28"/>
        </w:rPr>
        <w:t>项目名称：</w:t>
      </w:r>
      <w:r>
        <w:rPr>
          <w:rFonts w:hint="eastAsia" w:ascii="宋体" w:hAnsi="宋体"/>
          <w:b/>
          <w:bCs/>
          <w:sz w:val="28"/>
          <w:szCs w:val="28"/>
          <w:u w:val="single"/>
        </w:rPr>
        <w:t>成都市双流区教育技术装备管理中心2021年彭镇小学等2校多功能厅LED、音箱和灯光系统采购项目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u w:val="single"/>
        </w:rPr>
        <w:t>双流政采（2021）A0065号</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keepNext/>
        <w:keepLines/>
        <w:numPr>
          <w:ilvl w:val="2"/>
          <w:numId w:val="5"/>
        </w:numPr>
        <w:spacing w:line="560" w:lineRule="exact"/>
        <w:ind w:left="567"/>
        <w:outlineLvl w:val="2"/>
        <w:rPr>
          <w:rFonts w:ascii="宋体" w:hAnsi="宋体"/>
          <w:b/>
          <w:sz w:val="28"/>
          <w:szCs w:val="28"/>
        </w:rPr>
      </w:pPr>
      <w:r>
        <w:rPr>
          <w:rFonts w:hint="eastAsia" w:ascii="宋体" w:hAnsi="宋体"/>
          <w:b/>
          <w:sz w:val="28"/>
          <w:szCs w:val="28"/>
        </w:rPr>
        <w:t>承诺函</w:t>
      </w:r>
    </w:p>
    <w:p>
      <w:pPr>
        <w:snapToGrid w:val="0"/>
        <w:spacing w:line="560" w:lineRule="exact"/>
        <w:ind w:left="1405" w:hanging="1405" w:hangingChars="500"/>
        <w:rPr>
          <w:rFonts w:ascii="宋体" w:hAnsi="宋体"/>
          <w:b/>
          <w:sz w:val="28"/>
          <w:szCs w:val="28"/>
        </w:rPr>
      </w:pPr>
      <w:r>
        <w:rPr>
          <w:rFonts w:hint="eastAsia" w:ascii="宋体" w:hAnsi="宋体"/>
          <w:b/>
          <w:sz w:val="28"/>
          <w:szCs w:val="28"/>
        </w:rPr>
        <w:t>项目名称：</w:t>
      </w:r>
      <w:r>
        <w:rPr>
          <w:rFonts w:hint="eastAsia" w:ascii="宋体" w:hAnsi="宋体"/>
          <w:b/>
          <w:bCs/>
          <w:sz w:val="28"/>
          <w:szCs w:val="28"/>
          <w:u w:val="single"/>
        </w:rPr>
        <w:t>成都市双流区教育技术装备管理中心2021年彭镇小学等2校多功能厅LED、音箱和灯光系统采购项目</w:t>
      </w:r>
    </w:p>
    <w:p>
      <w:pPr>
        <w:snapToGrid w:val="0"/>
        <w:spacing w:line="560" w:lineRule="exact"/>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rPr>
        <w:t>双流政采（2021）A0065号</w:t>
      </w:r>
    </w:p>
    <w:p>
      <w:pPr>
        <w:snapToGrid w:val="0"/>
        <w:spacing w:line="560" w:lineRule="exact"/>
        <w:ind w:firstLine="560" w:firstLineChars="200"/>
        <w:rPr>
          <w:rFonts w:ascii="宋体" w:hAnsi="宋体"/>
          <w:sz w:val="28"/>
        </w:rPr>
      </w:pPr>
      <w:r>
        <w:rPr>
          <w:rFonts w:hint="eastAsia" w:ascii="宋体" w:hAnsi="宋体"/>
          <w:sz w:val="28"/>
        </w:rPr>
        <w:t>我公司作为参加本项目的投标人，在此郑重承诺：</w:t>
      </w:r>
    </w:p>
    <w:p>
      <w:pPr>
        <w:pStyle w:val="79"/>
        <w:numPr>
          <w:ilvl w:val="0"/>
          <w:numId w:val="36"/>
        </w:numPr>
        <w:tabs>
          <w:tab w:val="left" w:pos="1134"/>
        </w:tabs>
        <w:snapToGrid w:val="0"/>
        <w:spacing w:line="500" w:lineRule="exact"/>
        <w:ind w:left="0" w:firstLine="562" w:firstLineChars="0"/>
        <w:rPr>
          <w:rFonts w:ascii="宋体" w:hAnsi="宋体"/>
          <w:sz w:val="28"/>
          <w:szCs w:val="28"/>
        </w:rPr>
      </w:pPr>
      <w:r>
        <w:rPr>
          <w:rFonts w:hint="eastAsia" w:ascii="宋体" w:hAnsi="宋体"/>
          <w:sz w:val="28"/>
          <w:szCs w:val="28"/>
        </w:rPr>
        <w:t>为本项目提供的所有产品、辅材中</w:t>
      </w:r>
      <w:r>
        <w:rPr>
          <w:rFonts w:cs="宋体" w:asciiTheme="minorEastAsia" w:hAnsiTheme="minorEastAsia"/>
          <w:sz w:val="28"/>
          <w:szCs w:val="28"/>
        </w:rPr>
        <w:t>属于《国家强制性产品认证目录》范围内产品的，均通过国家强制性产品认证并取得认证证书。</w:t>
      </w:r>
    </w:p>
    <w:p>
      <w:pPr>
        <w:pStyle w:val="79"/>
        <w:numPr>
          <w:ilvl w:val="0"/>
          <w:numId w:val="36"/>
        </w:numPr>
        <w:tabs>
          <w:tab w:val="left" w:pos="1134"/>
        </w:tabs>
        <w:snapToGrid w:val="0"/>
        <w:spacing w:line="500" w:lineRule="exact"/>
        <w:ind w:left="0" w:firstLine="562" w:firstLineChars="0"/>
        <w:rPr>
          <w:rFonts w:ascii="宋体" w:hAnsi="宋体"/>
          <w:b/>
          <w:sz w:val="28"/>
          <w:szCs w:val="28"/>
        </w:rPr>
      </w:pPr>
      <w:r>
        <w:rPr>
          <w:rFonts w:hint="eastAsia"/>
          <w:sz w:val="28"/>
          <w:szCs w:val="28"/>
        </w:rPr>
        <w:t>为本项目提供的所有产品、辅材符合现行的强制性国家相关标准、行业标准。</w:t>
      </w:r>
    </w:p>
    <w:p>
      <w:pPr>
        <w:pStyle w:val="79"/>
        <w:numPr>
          <w:ilvl w:val="0"/>
          <w:numId w:val="36"/>
        </w:numPr>
        <w:tabs>
          <w:tab w:val="left" w:pos="1134"/>
        </w:tabs>
        <w:snapToGrid w:val="0"/>
        <w:spacing w:line="500" w:lineRule="exact"/>
        <w:ind w:left="0" w:firstLine="562" w:firstLineChars="0"/>
        <w:rPr>
          <w:rFonts w:ascii="宋体" w:hAnsi="宋体"/>
          <w:sz w:val="28"/>
          <w:szCs w:val="28"/>
        </w:rPr>
      </w:pPr>
      <w:r>
        <w:rPr>
          <w:rFonts w:hint="eastAsia" w:ascii="宋体" w:hAnsi="宋体"/>
          <w:sz w:val="28"/>
          <w:szCs w:val="28"/>
          <w:lang w:val="zh-CN"/>
        </w:rPr>
        <w:t>为本项目提供的所有产品中属于节能产品政府采购品目清单中的政府强制采购产品的，均具有国家确定的认证机构出具的有效期内的节能产品认证证书。</w:t>
      </w:r>
    </w:p>
    <w:p>
      <w:pPr>
        <w:pStyle w:val="79"/>
        <w:numPr>
          <w:ilvl w:val="0"/>
          <w:numId w:val="36"/>
        </w:numPr>
        <w:tabs>
          <w:tab w:val="left" w:pos="1134"/>
        </w:tabs>
        <w:snapToGrid w:val="0"/>
        <w:spacing w:line="500" w:lineRule="exact"/>
        <w:ind w:left="0" w:firstLine="562" w:firstLineChars="0"/>
        <w:rPr>
          <w:rFonts w:ascii="宋体" w:hAnsi="宋体"/>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为本项目提供的产品涉及商品包装或快递包装的，须严格按照财政部等三部门联合印发《商品包装政府采购需求标准（试行）》、《快递包装政府采购需求标准（试行）》的通知（财办库[2020]123号）要求执行。</w:t>
      </w:r>
    </w:p>
    <w:p>
      <w:pPr>
        <w:pStyle w:val="79"/>
        <w:numPr>
          <w:ilvl w:val="0"/>
          <w:numId w:val="36"/>
        </w:numPr>
        <w:tabs>
          <w:tab w:val="left" w:pos="1134"/>
        </w:tabs>
        <w:snapToGrid w:val="0"/>
        <w:spacing w:line="500" w:lineRule="exact"/>
        <w:ind w:left="0" w:firstLine="562" w:firstLineChars="0"/>
        <w:rPr>
          <w:rFonts w:ascii="宋体" w:hAnsi="宋体"/>
          <w:sz w:val="28"/>
          <w:szCs w:val="28"/>
        </w:rPr>
      </w:pPr>
      <w:r>
        <w:rPr>
          <w:rFonts w:hint="eastAsia" w:ascii="宋体" w:hAnsi="宋体" w:cs="宋体"/>
          <w:sz w:val="28"/>
          <w:szCs w:val="28"/>
          <w:lang w:val="zh-CN"/>
        </w:rPr>
        <w:t>提供全新的货物（含零部件、配件、使用说明书等），表面无划伤、无碰撞痕迹，具有产品合格证，且权属清楚，不得侵害他人的知识产权；货物必须符合或优于国家标准，以及本项目招标文件及技术协议的质量要求和技术指标与出厂标准交货。</w:t>
      </w:r>
    </w:p>
    <w:p>
      <w:pPr>
        <w:pStyle w:val="79"/>
        <w:numPr>
          <w:ilvl w:val="0"/>
          <w:numId w:val="36"/>
        </w:numPr>
        <w:tabs>
          <w:tab w:val="left" w:pos="1134"/>
        </w:tabs>
        <w:snapToGrid w:val="0"/>
        <w:spacing w:line="500" w:lineRule="exact"/>
        <w:ind w:left="0" w:firstLine="562" w:firstLineChars="0"/>
        <w:rPr>
          <w:rFonts w:ascii="宋体" w:hAnsi="宋体" w:cs="宋体"/>
          <w:sz w:val="28"/>
          <w:szCs w:val="28"/>
          <w:lang w:val="zh-CN"/>
        </w:rPr>
      </w:pPr>
      <w:r>
        <w:rPr>
          <w:rFonts w:hint="eastAsia" w:ascii="宋体" w:hAnsi="宋体"/>
          <w:color w:val="000000" w:themeColor="text1"/>
          <w:sz w:val="28"/>
          <w:szCs w:val="28"/>
          <w:lang w:eastAsia="zh-TW"/>
          <w14:textFill>
            <w14:solidFill>
              <w14:schemeClr w14:val="tx1"/>
            </w14:solidFill>
          </w14:textFill>
        </w:rPr>
        <w:t>货到现场后，由我公司负责货物保管工作，未安装完全交付前造成的遗失、损坏等问题，均由我公司</w:t>
      </w:r>
      <w:r>
        <w:rPr>
          <w:rFonts w:hint="eastAsia" w:ascii="宋体" w:hAnsi="宋体" w:cs="宋体"/>
          <w:sz w:val="28"/>
          <w:szCs w:val="28"/>
          <w:lang w:val="zh-CN"/>
        </w:rPr>
        <w:t>承担修理、更换等责任，确保项目顺利推进。</w:t>
      </w:r>
    </w:p>
    <w:p>
      <w:pPr>
        <w:pStyle w:val="79"/>
        <w:numPr>
          <w:ilvl w:val="0"/>
          <w:numId w:val="36"/>
        </w:numPr>
        <w:tabs>
          <w:tab w:val="left" w:pos="1134"/>
        </w:tabs>
        <w:snapToGrid w:val="0"/>
        <w:spacing w:line="500" w:lineRule="exact"/>
        <w:ind w:left="0" w:firstLine="562" w:firstLineChars="0"/>
        <w:rPr>
          <w:rFonts w:ascii="宋体" w:hAnsi="宋体" w:cs="宋体"/>
          <w:sz w:val="28"/>
          <w:szCs w:val="28"/>
          <w:lang w:val="zh-CN"/>
        </w:rPr>
      </w:pPr>
      <w:r>
        <w:rPr>
          <w:rFonts w:hint="eastAsia" w:ascii="宋体" w:hAnsi="宋体" w:cs="宋体"/>
          <w:sz w:val="28"/>
          <w:szCs w:val="28"/>
          <w:lang w:val="zh-CN"/>
        </w:rPr>
        <w:t xml:space="preserve">若遇配货包装、运输过程中造成的短缺、差错、丢失、损坏等，供应方无条件调换、补缺。 </w:t>
      </w:r>
    </w:p>
    <w:p>
      <w:pPr>
        <w:pStyle w:val="79"/>
        <w:numPr>
          <w:ilvl w:val="0"/>
          <w:numId w:val="36"/>
        </w:numPr>
        <w:tabs>
          <w:tab w:val="left" w:pos="1134"/>
        </w:tabs>
        <w:snapToGrid w:val="0"/>
        <w:spacing w:line="500" w:lineRule="exact"/>
        <w:ind w:left="0" w:firstLine="562" w:firstLineChars="0"/>
        <w:rPr>
          <w:rFonts w:ascii="宋体" w:hAnsi="宋体" w:cs="宋体"/>
          <w:sz w:val="28"/>
          <w:szCs w:val="28"/>
          <w:lang w:val="zh-CN"/>
        </w:rPr>
      </w:pPr>
      <w:r>
        <w:rPr>
          <w:rFonts w:hint="eastAsia" w:ascii="宋体" w:hAnsi="宋体" w:cs="宋体"/>
          <w:sz w:val="28"/>
          <w:szCs w:val="28"/>
          <w:lang w:val="zh-CN"/>
        </w:rPr>
        <w:t>按订货的品种、数量配货，送货到校，并附详细的发货清单和签收单，以便验货核对。</w:t>
      </w:r>
    </w:p>
    <w:p>
      <w:pPr>
        <w:pStyle w:val="79"/>
        <w:numPr>
          <w:ilvl w:val="0"/>
          <w:numId w:val="36"/>
        </w:numPr>
        <w:tabs>
          <w:tab w:val="left" w:pos="1134"/>
        </w:tabs>
        <w:snapToGrid w:val="0"/>
        <w:spacing w:line="500" w:lineRule="exact"/>
        <w:ind w:left="0" w:firstLine="562" w:firstLineChars="0"/>
        <w:rPr>
          <w:rFonts w:ascii="宋体" w:hAnsi="宋体" w:cs="宋体"/>
          <w:sz w:val="28"/>
          <w:szCs w:val="28"/>
          <w:lang w:val="zh-CN"/>
        </w:rPr>
      </w:pPr>
      <w:r>
        <w:rPr>
          <w:rFonts w:hint="eastAsia" w:ascii="宋体" w:hAnsi="宋体" w:cs="宋体"/>
          <w:sz w:val="28"/>
          <w:szCs w:val="28"/>
          <w:lang w:val="zh-CN"/>
        </w:rPr>
        <w:t>所有设备均须由我公司送货上门并安装调试，采购人不再支付任何费用。</w:t>
      </w:r>
    </w:p>
    <w:p>
      <w:pPr>
        <w:pStyle w:val="79"/>
        <w:numPr>
          <w:ilvl w:val="0"/>
          <w:numId w:val="36"/>
        </w:numPr>
        <w:tabs>
          <w:tab w:val="left" w:pos="1134"/>
        </w:tabs>
        <w:snapToGrid w:val="0"/>
        <w:spacing w:line="500" w:lineRule="exact"/>
        <w:ind w:left="0" w:firstLine="562" w:firstLineChars="0"/>
        <w:rPr>
          <w:rFonts w:ascii="宋体" w:hAnsi="宋体" w:cs="宋体"/>
          <w:sz w:val="28"/>
          <w:szCs w:val="28"/>
          <w:lang w:val="zh-CN"/>
        </w:rPr>
      </w:pPr>
      <w:r>
        <w:rPr>
          <w:rFonts w:hint="eastAsia" w:ascii="宋体" w:hAnsi="宋体" w:cs="宋体"/>
          <w:sz w:val="28"/>
          <w:szCs w:val="28"/>
          <w:lang w:val="zh-CN"/>
        </w:rPr>
        <w:t>负责此次设备安装包含施工辅材、设备安装、调试等事项。</w:t>
      </w:r>
    </w:p>
    <w:p>
      <w:pPr>
        <w:pStyle w:val="79"/>
        <w:numPr>
          <w:ilvl w:val="0"/>
          <w:numId w:val="36"/>
        </w:numPr>
        <w:tabs>
          <w:tab w:val="left" w:pos="1134"/>
        </w:tabs>
        <w:snapToGrid w:val="0"/>
        <w:spacing w:line="500" w:lineRule="exact"/>
        <w:ind w:left="0" w:firstLine="562" w:firstLineChars="0"/>
        <w:rPr>
          <w:rFonts w:ascii="宋体" w:hAnsi="宋体" w:cs="宋体"/>
          <w:sz w:val="28"/>
          <w:szCs w:val="28"/>
          <w:lang w:val="zh-CN"/>
        </w:rPr>
      </w:pPr>
      <w:r>
        <w:rPr>
          <w:rFonts w:hint="eastAsia" w:ascii="宋体" w:hAnsi="宋体" w:cs="宋体"/>
          <w:sz w:val="28"/>
          <w:szCs w:val="28"/>
          <w:lang w:val="zh-CN"/>
        </w:rPr>
        <w:t>设备的固定安装符合施工要求，安装美观，整体走线符合施工工艺要求，如安装位置是填充材料，我公司将进行加固处理。</w:t>
      </w:r>
    </w:p>
    <w:p>
      <w:pPr>
        <w:pStyle w:val="79"/>
        <w:numPr>
          <w:ilvl w:val="0"/>
          <w:numId w:val="36"/>
        </w:numPr>
        <w:tabs>
          <w:tab w:val="left" w:pos="1134"/>
        </w:tabs>
        <w:snapToGrid w:val="0"/>
        <w:spacing w:line="500" w:lineRule="exact"/>
        <w:ind w:left="0" w:firstLine="562" w:firstLineChars="0"/>
        <w:rPr>
          <w:rFonts w:ascii="宋体" w:hAnsi="宋体" w:cs="宋体"/>
          <w:sz w:val="28"/>
          <w:szCs w:val="28"/>
          <w:lang w:val="zh-CN"/>
        </w:rPr>
      </w:pPr>
      <w:r>
        <w:rPr>
          <w:rFonts w:hint="eastAsia" w:ascii="宋体" w:hAnsi="宋体" w:cs="宋体"/>
          <w:sz w:val="28"/>
          <w:szCs w:val="28"/>
          <w:lang w:val="zh-CN"/>
        </w:rPr>
        <w:t>线材管材、设备间连接线、转接头、电源插座板等均采用经质检合格的产品。</w:t>
      </w:r>
    </w:p>
    <w:p>
      <w:pPr>
        <w:pStyle w:val="79"/>
        <w:numPr>
          <w:ilvl w:val="0"/>
          <w:numId w:val="36"/>
        </w:numPr>
        <w:tabs>
          <w:tab w:val="left" w:pos="1134"/>
        </w:tabs>
        <w:snapToGrid w:val="0"/>
        <w:spacing w:line="500" w:lineRule="exact"/>
        <w:ind w:left="0" w:firstLine="562" w:firstLineChars="0"/>
        <w:rPr>
          <w:rFonts w:ascii="宋体" w:hAnsi="宋体" w:cs="宋体"/>
          <w:sz w:val="28"/>
          <w:szCs w:val="28"/>
          <w:lang w:val="zh-CN"/>
        </w:rPr>
      </w:pPr>
      <w:bookmarkStart w:id="159" w:name="_Hlk85807534"/>
      <w:r>
        <w:rPr>
          <w:rFonts w:hint="eastAsia" w:ascii="宋体" w:hAnsi="宋体" w:cs="宋体"/>
          <w:sz w:val="28"/>
          <w:szCs w:val="28"/>
          <w:lang w:val="zh-CN"/>
        </w:rPr>
        <w:t>采购人派出技术专家对投标货物的制造过程进行抽查或监造，以及参与设备的性能检验和试验运行时，我公司提供方便和配合。</w:t>
      </w:r>
    </w:p>
    <w:bookmarkEnd w:id="159"/>
    <w:p>
      <w:pPr>
        <w:pStyle w:val="79"/>
        <w:numPr>
          <w:ilvl w:val="0"/>
          <w:numId w:val="36"/>
        </w:numPr>
        <w:tabs>
          <w:tab w:val="left" w:pos="1134"/>
        </w:tabs>
        <w:snapToGrid w:val="0"/>
        <w:spacing w:line="500" w:lineRule="exact"/>
        <w:ind w:left="0" w:firstLine="562" w:firstLineChars="0"/>
        <w:rPr>
          <w:rFonts w:ascii="宋体" w:hAnsi="宋体" w:cs="宋体"/>
          <w:color w:val="000000" w:themeColor="text1"/>
          <w:sz w:val="28"/>
          <w:szCs w:val="28"/>
          <w:lang w:val="zh-CN"/>
          <w14:textFill>
            <w14:solidFill>
              <w14:schemeClr w14:val="tx1"/>
            </w14:solidFill>
          </w14:textFill>
        </w:rPr>
      </w:pPr>
      <w:r>
        <w:rPr>
          <w:rFonts w:hint="eastAsia" w:ascii="宋体" w:hAnsi="宋体"/>
          <w:sz w:val="28"/>
          <w:szCs w:val="28"/>
        </w:rPr>
        <w:t>本项目</w:t>
      </w:r>
      <w:r>
        <w:rPr>
          <w:rFonts w:hint="eastAsia" w:ascii="宋体" w:hAnsi="宋体" w:cs="宋体"/>
          <w:sz w:val="28"/>
          <w:szCs w:val="28"/>
          <w:lang w:val="zh-CN"/>
        </w:rPr>
        <w:t>货物</w:t>
      </w:r>
      <w:r>
        <w:rPr>
          <w:rFonts w:hint="eastAsia" w:ascii="宋体" w:hAnsi="宋体"/>
          <w:sz w:val="28"/>
          <w:szCs w:val="28"/>
        </w:rPr>
        <w:t>质量保证期为自本合同所列的全部货物安装、调试、试运行，整体项目验收合格之日起</w:t>
      </w:r>
      <w:r>
        <w:rPr>
          <w:rFonts w:ascii="宋体" w:hAnsi="宋体"/>
          <w:sz w:val="28"/>
          <w:szCs w:val="28"/>
        </w:rPr>
        <w:t>3</w:t>
      </w:r>
      <w:r>
        <w:rPr>
          <w:rFonts w:hint="eastAsia" w:ascii="宋体" w:hAnsi="宋体"/>
          <w:sz w:val="28"/>
          <w:szCs w:val="28"/>
        </w:rPr>
        <w:t>年。</w:t>
      </w:r>
      <w:r>
        <w:rPr>
          <w:rFonts w:hint="eastAsia"/>
          <w:bCs/>
          <w:color w:val="000000" w:themeColor="text1"/>
          <w:sz w:val="28"/>
          <w:szCs w:val="28"/>
          <w14:textFill>
            <w14:solidFill>
              <w14:schemeClr w14:val="tx1"/>
            </w14:solidFill>
          </w14:textFill>
        </w:rPr>
        <w:t>质保期满后为用户提供终身上门服务。</w:t>
      </w:r>
    </w:p>
    <w:p>
      <w:pPr>
        <w:pStyle w:val="79"/>
        <w:numPr>
          <w:ilvl w:val="0"/>
          <w:numId w:val="36"/>
        </w:numPr>
        <w:tabs>
          <w:tab w:val="left" w:pos="1134"/>
        </w:tabs>
        <w:snapToGrid w:val="0"/>
        <w:spacing w:line="500" w:lineRule="exact"/>
        <w:ind w:left="0" w:firstLine="562" w:firstLineChars="0"/>
        <w:rPr>
          <w:rFonts w:ascii="宋体" w:hAnsi="宋体"/>
          <w:color w:val="FF0000"/>
          <w:sz w:val="28"/>
          <w:szCs w:val="28"/>
        </w:rPr>
      </w:pPr>
      <w:bookmarkStart w:id="160" w:name="_Hlk85806647"/>
      <w:r>
        <w:rPr>
          <w:rFonts w:hint="eastAsia"/>
          <w:bCs/>
          <w:color w:val="000000" w:themeColor="text1"/>
          <w:sz w:val="28"/>
          <w:szCs w:val="28"/>
          <w14:textFill>
            <w14:solidFill>
              <w14:schemeClr w14:val="tx1"/>
            </w14:solidFill>
          </w14:textFill>
        </w:rPr>
        <w:t>我公司承诺，质量保证期内，提供良好的技术支持。质保期满后为用户提供终身上门服务。</w:t>
      </w:r>
      <w:bookmarkEnd w:id="160"/>
      <w:r>
        <w:rPr>
          <w:rFonts w:hint="eastAsia"/>
          <w:bCs/>
          <w:color w:val="000000" w:themeColor="text1"/>
          <w:sz w:val="28"/>
          <w:szCs w:val="28"/>
          <w14:textFill>
            <w14:solidFill>
              <w14:schemeClr w14:val="tx1"/>
            </w14:solidFill>
          </w14:textFill>
        </w:rPr>
        <w:t>投标人提供7×24小时热线服务和现场支持服务，设备出现故障后能30分钟做出响应，2小时内上门维修，24小时内必须解决问题，若当天无法修复，应提供解决方案。</w:t>
      </w:r>
    </w:p>
    <w:p>
      <w:pPr>
        <w:snapToGrid w:val="0"/>
        <w:spacing w:line="560" w:lineRule="exact"/>
        <w:ind w:firstLine="560" w:firstLineChars="200"/>
        <w:rPr>
          <w:rFonts w:ascii="宋体" w:hAnsi="宋体"/>
          <w:sz w:val="28"/>
          <w:szCs w:val="28"/>
        </w:rPr>
      </w:pPr>
      <w:r>
        <w:rPr>
          <w:rFonts w:ascii="宋体" w:hAnsi="宋体"/>
          <w:sz w:val="28"/>
          <w:szCs w:val="28"/>
        </w:rPr>
        <w:t>……</w:t>
      </w:r>
    </w:p>
    <w:p>
      <w:pPr>
        <w:snapToGrid w:val="0"/>
        <w:spacing w:line="560" w:lineRule="exact"/>
        <w:ind w:firstLine="560" w:firstLineChars="200"/>
        <w:rPr>
          <w:rFonts w:ascii="宋体" w:hAnsi="宋体"/>
          <w:sz w:val="28"/>
          <w:szCs w:val="28"/>
        </w:rPr>
      </w:pPr>
      <w:r>
        <w:rPr>
          <w:rFonts w:hint="eastAsia" w:ascii="宋体" w:hAnsi="宋体"/>
          <w:sz w:val="28"/>
          <w:szCs w:val="28"/>
        </w:rPr>
        <w:t>特此承诺。</w:t>
      </w:r>
    </w:p>
    <w:p>
      <w:pPr>
        <w:pStyle w:val="2"/>
      </w:pPr>
    </w:p>
    <w:p>
      <w:pPr>
        <w:spacing w:after="120" w:line="560" w:lineRule="exact"/>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560" w:lineRule="exact"/>
        <w:ind w:firstLine="420" w:firstLineChars="150"/>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widowControl/>
        <w:jc w:val="left"/>
        <w:rPr>
          <w:rFonts w:ascii="宋体" w:hAnsi="宋体"/>
          <w:bCs/>
          <w:sz w:val="28"/>
        </w:rPr>
      </w:pPr>
      <w:r>
        <w:rPr>
          <w:rFonts w:ascii="宋体" w:hAnsi="宋体"/>
          <w:bCs/>
          <w:sz w:val="28"/>
        </w:rPr>
        <w:br w:type="page"/>
      </w:r>
    </w:p>
    <w:p>
      <w:pPr>
        <w:keepNext/>
        <w:keepLines/>
        <w:numPr>
          <w:ilvl w:val="2"/>
          <w:numId w:val="5"/>
        </w:numPr>
        <w:spacing w:line="560" w:lineRule="exact"/>
        <w:ind w:left="567"/>
        <w:outlineLvl w:val="2"/>
        <w:rPr>
          <w:rFonts w:ascii="宋体" w:hAnsi="宋体"/>
          <w:b/>
          <w:sz w:val="28"/>
          <w:szCs w:val="28"/>
        </w:rPr>
      </w:pPr>
      <w:r>
        <w:rPr>
          <w:rFonts w:hint="eastAsia" w:ascii="宋体" w:hAnsi="宋体"/>
          <w:b/>
          <w:sz w:val="28"/>
          <w:szCs w:val="28"/>
        </w:rPr>
        <w:t>商务应答表</w:t>
      </w:r>
    </w:p>
    <w:p>
      <w:pPr>
        <w:tabs>
          <w:tab w:val="left" w:pos="3969"/>
        </w:tabs>
        <w:spacing w:line="588" w:lineRule="exact"/>
        <w:ind w:right="-58" w:firstLine="3224" w:firstLineChars="1100"/>
        <w:jc w:val="left"/>
        <w:rPr>
          <w:rFonts w:ascii="宋体" w:hAnsi="宋体"/>
          <w:b/>
          <w:bCs/>
          <w:spacing w:val="6"/>
          <w:sz w:val="28"/>
          <w:szCs w:val="28"/>
        </w:rPr>
      </w:pPr>
      <w:r>
        <w:rPr>
          <w:rFonts w:hint="eastAsia" w:ascii="宋体" w:hAnsi="宋体"/>
          <w:b/>
          <w:bCs/>
          <w:spacing w:val="6"/>
          <w:sz w:val="28"/>
          <w:szCs w:val="28"/>
        </w:rPr>
        <w:t>商务应答表</w:t>
      </w:r>
    </w:p>
    <w:p>
      <w:pPr>
        <w:pStyle w:val="2"/>
      </w:pPr>
    </w:p>
    <w:p>
      <w:pPr>
        <w:snapToGrid w:val="0"/>
        <w:spacing w:line="360" w:lineRule="auto"/>
        <w:ind w:left="1405" w:hanging="1405" w:hangingChars="500"/>
        <w:rPr>
          <w:rFonts w:ascii="宋体" w:hAnsi="宋体"/>
          <w:b/>
          <w:sz w:val="28"/>
          <w:szCs w:val="28"/>
          <w:u w:val="single"/>
        </w:rPr>
      </w:pPr>
      <w:r>
        <w:rPr>
          <w:rFonts w:hint="eastAsia" w:ascii="宋体" w:hAnsi="宋体"/>
          <w:b/>
          <w:sz w:val="28"/>
          <w:szCs w:val="28"/>
        </w:rPr>
        <w:t>项目名称：</w:t>
      </w:r>
      <w:r>
        <w:rPr>
          <w:rFonts w:hint="eastAsia" w:ascii="宋体" w:hAnsi="宋体"/>
          <w:b/>
          <w:sz w:val="28"/>
          <w:szCs w:val="28"/>
          <w:u w:val="single"/>
        </w:rPr>
        <w:t>成都市双流区教育技术装备管理中心2021年彭镇小学等2校多功能厅LED、音箱和灯光系统采购项目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rPr>
        <w:t>双流政采（2021）A0065号</w:t>
      </w:r>
    </w:p>
    <w:tbl>
      <w:tblPr>
        <w:tblStyle w:val="43"/>
        <w:tblW w:w="8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3660"/>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586"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序号</w:t>
            </w:r>
          </w:p>
        </w:tc>
        <w:tc>
          <w:tcPr>
            <w:tcW w:w="3660"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招标要求</w:t>
            </w:r>
          </w:p>
        </w:tc>
        <w:tc>
          <w:tcPr>
            <w:tcW w:w="3300"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86" w:type="dxa"/>
          </w:tcPr>
          <w:p>
            <w:pPr>
              <w:tabs>
                <w:tab w:val="left" w:pos="3969"/>
              </w:tabs>
              <w:spacing w:line="588" w:lineRule="exact"/>
              <w:ind w:right="-58"/>
              <w:jc w:val="left"/>
              <w:rPr>
                <w:rFonts w:ascii="宋体" w:hAnsi="宋体"/>
                <w:spacing w:val="6"/>
                <w:sz w:val="28"/>
                <w:szCs w:val="28"/>
              </w:rPr>
            </w:pPr>
          </w:p>
        </w:tc>
        <w:tc>
          <w:tcPr>
            <w:tcW w:w="3660" w:type="dxa"/>
          </w:tcPr>
          <w:p>
            <w:pPr>
              <w:tabs>
                <w:tab w:val="left" w:pos="3969"/>
              </w:tabs>
              <w:spacing w:line="588" w:lineRule="exact"/>
              <w:ind w:right="-58"/>
              <w:jc w:val="left"/>
              <w:rPr>
                <w:rFonts w:ascii="宋体" w:hAnsi="宋体"/>
                <w:spacing w:val="6"/>
                <w:sz w:val="28"/>
                <w:szCs w:val="28"/>
              </w:rPr>
            </w:pPr>
          </w:p>
        </w:tc>
        <w:tc>
          <w:tcPr>
            <w:tcW w:w="3300"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86" w:type="dxa"/>
          </w:tcPr>
          <w:p>
            <w:pPr>
              <w:tabs>
                <w:tab w:val="left" w:pos="3969"/>
              </w:tabs>
              <w:spacing w:line="588" w:lineRule="exact"/>
              <w:ind w:right="-58"/>
              <w:jc w:val="left"/>
              <w:rPr>
                <w:rFonts w:ascii="宋体" w:hAnsi="宋体"/>
                <w:spacing w:val="6"/>
                <w:sz w:val="28"/>
                <w:szCs w:val="28"/>
              </w:rPr>
            </w:pPr>
          </w:p>
        </w:tc>
        <w:tc>
          <w:tcPr>
            <w:tcW w:w="3660" w:type="dxa"/>
          </w:tcPr>
          <w:p>
            <w:pPr>
              <w:tabs>
                <w:tab w:val="left" w:pos="3969"/>
              </w:tabs>
              <w:spacing w:line="588" w:lineRule="exact"/>
              <w:ind w:right="-58"/>
              <w:jc w:val="left"/>
              <w:rPr>
                <w:rFonts w:ascii="宋体" w:hAnsi="宋体"/>
                <w:spacing w:val="6"/>
                <w:sz w:val="28"/>
                <w:szCs w:val="28"/>
              </w:rPr>
            </w:pPr>
          </w:p>
        </w:tc>
        <w:tc>
          <w:tcPr>
            <w:tcW w:w="3300"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86" w:type="dxa"/>
          </w:tcPr>
          <w:p>
            <w:pPr>
              <w:tabs>
                <w:tab w:val="left" w:pos="3969"/>
              </w:tabs>
              <w:spacing w:line="588" w:lineRule="exact"/>
              <w:ind w:right="-58"/>
              <w:jc w:val="left"/>
              <w:rPr>
                <w:rFonts w:ascii="宋体" w:hAnsi="宋体"/>
                <w:spacing w:val="6"/>
                <w:sz w:val="28"/>
                <w:szCs w:val="28"/>
              </w:rPr>
            </w:pPr>
          </w:p>
        </w:tc>
        <w:tc>
          <w:tcPr>
            <w:tcW w:w="3660" w:type="dxa"/>
          </w:tcPr>
          <w:p>
            <w:pPr>
              <w:tabs>
                <w:tab w:val="left" w:pos="3969"/>
              </w:tabs>
              <w:spacing w:line="588" w:lineRule="exact"/>
              <w:ind w:right="-58"/>
              <w:jc w:val="left"/>
              <w:rPr>
                <w:rFonts w:ascii="宋体" w:hAnsi="宋体"/>
                <w:spacing w:val="6"/>
                <w:sz w:val="28"/>
                <w:szCs w:val="28"/>
              </w:rPr>
            </w:pPr>
          </w:p>
        </w:tc>
        <w:tc>
          <w:tcPr>
            <w:tcW w:w="3300"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86" w:type="dxa"/>
          </w:tcPr>
          <w:p>
            <w:pPr>
              <w:tabs>
                <w:tab w:val="left" w:pos="3969"/>
              </w:tabs>
              <w:spacing w:line="588" w:lineRule="exact"/>
              <w:ind w:right="-58"/>
              <w:jc w:val="left"/>
              <w:rPr>
                <w:rFonts w:ascii="宋体" w:hAnsi="宋体"/>
                <w:spacing w:val="6"/>
                <w:sz w:val="28"/>
                <w:szCs w:val="28"/>
              </w:rPr>
            </w:pPr>
          </w:p>
        </w:tc>
        <w:tc>
          <w:tcPr>
            <w:tcW w:w="3660" w:type="dxa"/>
          </w:tcPr>
          <w:p>
            <w:pPr>
              <w:tabs>
                <w:tab w:val="left" w:pos="3969"/>
              </w:tabs>
              <w:spacing w:line="588" w:lineRule="exact"/>
              <w:ind w:right="-58"/>
              <w:jc w:val="left"/>
              <w:rPr>
                <w:rFonts w:ascii="宋体" w:hAnsi="宋体"/>
                <w:spacing w:val="6"/>
                <w:sz w:val="28"/>
                <w:szCs w:val="28"/>
              </w:rPr>
            </w:pPr>
          </w:p>
        </w:tc>
        <w:tc>
          <w:tcPr>
            <w:tcW w:w="3300" w:type="dxa"/>
          </w:tcPr>
          <w:p>
            <w:pPr>
              <w:tabs>
                <w:tab w:val="left" w:pos="3969"/>
              </w:tabs>
              <w:spacing w:line="588" w:lineRule="exact"/>
              <w:ind w:right="-58"/>
              <w:jc w:val="left"/>
              <w:rPr>
                <w:rFonts w:ascii="宋体" w:hAnsi="宋体"/>
                <w:spacing w:val="6"/>
                <w:sz w:val="28"/>
                <w:szCs w:val="28"/>
              </w:rPr>
            </w:pPr>
          </w:p>
        </w:tc>
      </w:tr>
    </w:tbl>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注：供应商必须据实填写，不得虚假应答，否则将取消其投标或中标资格。</w:t>
      </w:r>
    </w:p>
    <w:p>
      <w:pPr>
        <w:pStyle w:val="42"/>
        <w:ind w:firstLine="0" w:firstLineChars="0"/>
      </w:pPr>
    </w:p>
    <w:p>
      <w:pPr>
        <w:pStyle w:val="2"/>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XXXX年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bCs/>
          <w:sz w:val="28"/>
        </w:rPr>
      </w:pPr>
    </w:p>
    <w:p>
      <w:pPr>
        <w:rPr>
          <w:rFonts w:ascii="宋体" w:hAnsi="宋体"/>
          <w:bCs/>
          <w:sz w:val="28"/>
        </w:rPr>
      </w:pPr>
    </w:p>
    <w:p>
      <w:pPr>
        <w:pStyle w:val="2"/>
      </w:pPr>
    </w:p>
    <w:p>
      <w:pPr>
        <w:keepNext/>
        <w:keepLines/>
        <w:numPr>
          <w:ilvl w:val="2"/>
          <w:numId w:val="5"/>
        </w:numPr>
        <w:spacing w:line="560" w:lineRule="exact"/>
        <w:ind w:left="567"/>
        <w:outlineLvl w:val="2"/>
        <w:rPr>
          <w:rFonts w:ascii="宋体" w:hAnsi="宋体"/>
          <w:b/>
          <w:sz w:val="28"/>
          <w:szCs w:val="28"/>
        </w:rPr>
      </w:pPr>
      <w:r>
        <w:rPr>
          <w:rFonts w:hint="eastAsia" w:ascii="宋体" w:hAnsi="宋体"/>
          <w:b/>
          <w:sz w:val="28"/>
          <w:szCs w:val="28"/>
        </w:rPr>
        <w:t>投标产品技术参数表</w:t>
      </w:r>
    </w:p>
    <w:p>
      <w:pPr>
        <w:pStyle w:val="25"/>
        <w:spacing w:before="120" w:beforeLines="50" w:afterLines="50" w:line="360" w:lineRule="auto"/>
        <w:ind w:left="0" w:leftChars="0"/>
        <w:jc w:val="center"/>
      </w:pPr>
      <w:r>
        <w:rPr>
          <w:rFonts w:hint="eastAsia" w:ascii="宋体" w:hAnsi="宋体"/>
          <w:b/>
          <w:sz w:val="28"/>
          <w:szCs w:val="28"/>
        </w:rPr>
        <w:t>投标产品技术参数表</w:t>
      </w:r>
    </w:p>
    <w:p>
      <w:pPr>
        <w:snapToGrid w:val="0"/>
        <w:spacing w:line="360" w:lineRule="auto"/>
        <w:ind w:left="1405" w:hanging="1405" w:hangingChars="500"/>
        <w:rPr>
          <w:rFonts w:ascii="宋体" w:hAnsi="宋体"/>
          <w:b/>
          <w:sz w:val="28"/>
          <w:szCs w:val="28"/>
        </w:rPr>
      </w:pPr>
      <w:r>
        <w:rPr>
          <w:rFonts w:hint="eastAsia" w:ascii="宋体" w:hAnsi="宋体"/>
          <w:b/>
          <w:sz w:val="28"/>
          <w:szCs w:val="28"/>
        </w:rPr>
        <w:t>项目名称：</w:t>
      </w:r>
      <w:r>
        <w:rPr>
          <w:rFonts w:hint="eastAsia" w:ascii="宋体" w:hAnsi="宋体"/>
          <w:b/>
          <w:sz w:val="28"/>
          <w:szCs w:val="28"/>
          <w:u w:val="single"/>
        </w:rPr>
        <w:t>成都市双流区教育技术装备管理中心2021年彭镇小学等2校多功能厅LED、音箱和灯光系统采购项目</w:t>
      </w:r>
    </w:p>
    <w:p>
      <w:pPr>
        <w:snapToGrid w:val="0"/>
        <w:spacing w:line="360" w:lineRule="auto"/>
        <w:rPr>
          <w:rFonts w:ascii="宋体" w:hAnsi="宋体"/>
          <w:bCs/>
          <w:sz w:val="28"/>
          <w:szCs w:val="28"/>
        </w:rPr>
      </w:pPr>
      <w:r>
        <w:rPr>
          <w:rFonts w:hint="eastAsia" w:ascii="宋体" w:hAnsi="宋体"/>
          <w:b/>
          <w:sz w:val="28"/>
          <w:szCs w:val="28"/>
        </w:rPr>
        <w:t>项目编号：</w:t>
      </w:r>
      <w:r>
        <w:rPr>
          <w:rFonts w:hint="eastAsia" w:ascii="宋体" w:hAnsi="宋体"/>
          <w:b/>
          <w:sz w:val="28"/>
          <w:szCs w:val="28"/>
          <w:u w:val="single"/>
        </w:rPr>
        <w:t>双流政采（2021）A0065号</w:t>
      </w:r>
      <w:r>
        <w:rPr>
          <w:rFonts w:hint="eastAsia" w:ascii="宋体" w:hAnsi="宋体"/>
          <w:bCs/>
          <w:sz w:val="28"/>
          <w:szCs w:val="28"/>
        </w:rPr>
        <w:t xml:space="preserve"> </w:t>
      </w:r>
    </w:p>
    <w:tbl>
      <w:tblPr>
        <w:tblStyle w:val="43"/>
        <w:tblW w:w="8890"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40"/>
        <w:gridCol w:w="2241"/>
        <w:gridCol w:w="2229"/>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vAlign w:val="center"/>
          </w:tcPr>
          <w:p>
            <w:pPr>
              <w:pStyle w:val="132"/>
              <w:jc w:val="center"/>
              <w:rPr>
                <w:rFonts w:ascii="宋体" w:hAnsi="宋体"/>
                <w:sz w:val="21"/>
                <w:szCs w:val="21"/>
              </w:rPr>
            </w:pPr>
            <w:r>
              <w:rPr>
                <w:rFonts w:hint="eastAsia" w:ascii="宋体" w:hAnsi="宋体"/>
                <w:sz w:val="21"/>
                <w:szCs w:val="21"/>
              </w:rPr>
              <w:t>序号</w:t>
            </w:r>
          </w:p>
        </w:tc>
        <w:tc>
          <w:tcPr>
            <w:tcW w:w="1240" w:type="dxa"/>
            <w:vAlign w:val="center"/>
          </w:tcPr>
          <w:p>
            <w:pPr>
              <w:pStyle w:val="132"/>
              <w:jc w:val="center"/>
              <w:rPr>
                <w:rFonts w:ascii="宋体" w:hAnsi="宋体"/>
                <w:sz w:val="21"/>
                <w:szCs w:val="21"/>
              </w:rPr>
            </w:pPr>
            <w:r>
              <w:rPr>
                <w:rFonts w:hint="eastAsia" w:ascii="宋体" w:hAnsi="宋体"/>
                <w:sz w:val="21"/>
                <w:szCs w:val="21"/>
              </w:rPr>
              <w:t>货物（设备）名称</w:t>
            </w:r>
          </w:p>
        </w:tc>
        <w:tc>
          <w:tcPr>
            <w:tcW w:w="2241" w:type="dxa"/>
            <w:vAlign w:val="center"/>
          </w:tcPr>
          <w:p>
            <w:pPr>
              <w:pStyle w:val="132"/>
              <w:jc w:val="center"/>
              <w:rPr>
                <w:rFonts w:ascii="宋体" w:hAnsi="宋体"/>
                <w:sz w:val="21"/>
                <w:szCs w:val="21"/>
              </w:rPr>
            </w:pPr>
            <w:r>
              <w:rPr>
                <w:rFonts w:hint="eastAsia" w:ascii="宋体" w:hAnsi="宋体"/>
                <w:sz w:val="21"/>
                <w:szCs w:val="21"/>
              </w:rPr>
              <w:t>招标文件要求</w:t>
            </w:r>
          </w:p>
        </w:tc>
        <w:tc>
          <w:tcPr>
            <w:tcW w:w="2229" w:type="dxa"/>
            <w:vAlign w:val="center"/>
          </w:tcPr>
          <w:p>
            <w:pPr>
              <w:pStyle w:val="132"/>
              <w:jc w:val="center"/>
              <w:rPr>
                <w:rFonts w:ascii="宋体" w:hAnsi="宋体"/>
                <w:sz w:val="21"/>
                <w:szCs w:val="21"/>
              </w:rPr>
            </w:pPr>
            <w:r>
              <w:rPr>
                <w:rFonts w:hint="eastAsia" w:ascii="宋体" w:hAnsi="宋体"/>
                <w:sz w:val="21"/>
                <w:szCs w:val="21"/>
              </w:rPr>
              <w:t>投标响应</w:t>
            </w:r>
          </w:p>
        </w:tc>
        <w:tc>
          <w:tcPr>
            <w:tcW w:w="2504" w:type="dxa"/>
            <w:vAlign w:val="center"/>
          </w:tcPr>
          <w:p>
            <w:pPr>
              <w:pStyle w:val="132"/>
              <w:jc w:val="center"/>
              <w:rPr>
                <w:rFonts w:ascii="宋体" w:hAnsi="宋体"/>
                <w:sz w:val="21"/>
                <w:szCs w:val="21"/>
              </w:rPr>
            </w:pPr>
            <w:r>
              <w:rPr>
                <w:rFonts w:hint="eastAsia" w:ascii="宋体" w:hAnsi="宋体"/>
                <w:sz w:val="21"/>
                <w:szCs w:val="21"/>
              </w:rPr>
              <w:t>技术偏离情况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Pr>
          <w:p>
            <w:pPr>
              <w:pStyle w:val="132"/>
              <w:rPr>
                <w:rFonts w:ascii="宋体" w:hAnsi="宋体"/>
                <w:sz w:val="21"/>
                <w:szCs w:val="21"/>
              </w:rPr>
            </w:pPr>
          </w:p>
        </w:tc>
        <w:tc>
          <w:tcPr>
            <w:tcW w:w="1240" w:type="dxa"/>
          </w:tcPr>
          <w:p>
            <w:pPr>
              <w:pStyle w:val="132"/>
              <w:rPr>
                <w:rFonts w:ascii="宋体" w:hAnsi="宋体"/>
                <w:sz w:val="21"/>
                <w:szCs w:val="21"/>
              </w:rPr>
            </w:pPr>
          </w:p>
        </w:tc>
        <w:tc>
          <w:tcPr>
            <w:tcW w:w="2241" w:type="dxa"/>
          </w:tcPr>
          <w:p>
            <w:pPr>
              <w:pStyle w:val="132"/>
              <w:rPr>
                <w:rFonts w:ascii="宋体" w:hAnsi="宋体"/>
                <w:sz w:val="21"/>
                <w:szCs w:val="21"/>
              </w:rPr>
            </w:pPr>
          </w:p>
        </w:tc>
        <w:tc>
          <w:tcPr>
            <w:tcW w:w="2229" w:type="dxa"/>
          </w:tcPr>
          <w:p>
            <w:pPr>
              <w:pStyle w:val="132"/>
              <w:rPr>
                <w:rFonts w:ascii="宋体" w:hAnsi="宋体"/>
                <w:sz w:val="21"/>
                <w:szCs w:val="21"/>
              </w:rPr>
            </w:pPr>
          </w:p>
        </w:tc>
        <w:tc>
          <w:tcPr>
            <w:tcW w:w="2504" w:type="dxa"/>
          </w:tcPr>
          <w:p>
            <w:pPr>
              <w:pStyle w:val="13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Pr>
          <w:p>
            <w:pPr>
              <w:pStyle w:val="132"/>
              <w:rPr>
                <w:rFonts w:ascii="宋体" w:hAnsi="宋体"/>
                <w:sz w:val="21"/>
                <w:szCs w:val="21"/>
              </w:rPr>
            </w:pPr>
          </w:p>
        </w:tc>
        <w:tc>
          <w:tcPr>
            <w:tcW w:w="1240" w:type="dxa"/>
          </w:tcPr>
          <w:p>
            <w:pPr>
              <w:pStyle w:val="132"/>
              <w:rPr>
                <w:rFonts w:ascii="宋体" w:hAnsi="宋体"/>
                <w:sz w:val="21"/>
                <w:szCs w:val="21"/>
              </w:rPr>
            </w:pPr>
          </w:p>
        </w:tc>
        <w:tc>
          <w:tcPr>
            <w:tcW w:w="2241" w:type="dxa"/>
          </w:tcPr>
          <w:p>
            <w:pPr>
              <w:pStyle w:val="132"/>
              <w:rPr>
                <w:rFonts w:ascii="宋体" w:hAnsi="宋体"/>
                <w:sz w:val="21"/>
                <w:szCs w:val="21"/>
              </w:rPr>
            </w:pPr>
          </w:p>
        </w:tc>
        <w:tc>
          <w:tcPr>
            <w:tcW w:w="2229" w:type="dxa"/>
          </w:tcPr>
          <w:p>
            <w:pPr>
              <w:pStyle w:val="132"/>
              <w:rPr>
                <w:rFonts w:ascii="宋体" w:hAnsi="宋体"/>
                <w:sz w:val="21"/>
                <w:szCs w:val="21"/>
              </w:rPr>
            </w:pPr>
          </w:p>
        </w:tc>
        <w:tc>
          <w:tcPr>
            <w:tcW w:w="2504" w:type="dxa"/>
          </w:tcPr>
          <w:p>
            <w:pPr>
              <w:pStyle w:val="13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Borders>
              <w:top w:val="nil"/>
            </w:tcBorders>
          </w:tcPr>
          <w:p>
            <w:pPr>
              <w:pStyle w:val="132"/>
              <w:rPr>
                <w:rFonts w:ascii="宋体" w:hAnsi="宋体"/>
                <w:sz w:val="21"/>
                <w:szCs w:val="21"/>
              </w:rPr>
            </w:pPr>
          </w:p>
        </w:tc>
        <w:tc>
          <w:tcPr>
            <w:tcW w:w="1240" w:type="dxa"/>
          </w:tcPr>
          <w:p>
            <w:pPr>
              <w:pStyle w:val="132"/>
              <w:rPr>
                <w:rFonts w:ascii="宋体" w:hAnsi="宋体"/>
                <w:sz w:val="21"/>
                <w:szCs w:val="21"/>
              </w:rPr>
            </w:pPr>
          </w:p>
        </w:tc>
        <w:tc>
          <w:tcPr>
            <w:tcW w:w="2241" w:type="dxa"/>
          </w:tcPr>
          <w:p>
            <w:pPr>
              <w:pStyle w:val="132"/>
              <w:rPr>
                <w:rFonts w:ascii="宋体" w:hAnsi="宋体"/>
                <w:sz w:val="21"/>
                <w:szCs w:val="21"/>
              </w:rPr>
            </w:pPr>
          </w:p>
        </w:tc>
        <w:tc>
          <w:tcPr>
            <w:tcW w:w="2229" w:type="dxa"/>
          </w:tcPr>
          <w:p>
            <w:pPr>
              <w:pStyle w:val="132"/>
              <w:rPr>
                <w:rFonts w:ascii="宋体" w:hAnsi="宋体"/>
                <w:sz w:val="21"/>
                <w:szCs w:val="21"/>
              </w:rPr>
            </w:pPr>
          </w:p>
        </w:tc>
        <w:tc>
          <w:tcPr>
            <w:tcW w:w="2504" w:type="dxa"/>
          </w:tcPr>
          <w:p>
            <w:pPr>
              <w:pStyle w:val="13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Pr>
          <w:p>
            <w:pPr>
              <w:pStyle w:val="132"/>
              <w:rPr>
                <w:rFonts w:ascii="宋体" w:hAnsi="宋体"/>
                <w:sz w:val="21"/>
                <w:szCs w:val="21"/>
              </w:rPr>
            </w:pPr>
          </w:p>
        </w:tc>
        <w:tc>
          <w:tcPr>
            <w:tcW w:w="1240" w:type="dxa"/>
          </w:tcPr>
          <w:p>
            <w:pPr>
              <w:pStyle w:val="132"/>
              <w:rPr>
                <w:rFonts w:ascii="宋体" w:hAnsi="宋体"/>
                <w:sz w:val="21"/>
                <w:szCs w:val="21"/>
              </w:rPr>
            </w:pPr>
          </w:p>
        </w:tc>
        <w:tc>
          <w:tcPr>
            <w:tcW w:w="2241" w:type="dxa"/>
          </w:tcPr>
          <w:p>
            <w:pPr>
              <w:pStyle w:val="132"/>
              <w:rPr>
                <w:rFonts w:ascii="宋体" w:hAnsi="宋体"/>
                <w:sz w:val="21"/>
                <w:szCs w:val="21"/>
              </w:rPr>
            </w:pPr>
          </w:p>
        </w:tc>
        <w:tc>
          <w:tcPr>
            <w:tcW w:w="2229" w:type="dxa"/>
          </w:tcPr>
          <w:p>
            <w:pPr>
              <w:pStyle w:val="132"/>
              <w:rPr>
                <w:rFonts w:ascii="宋体" w:hAnsi="宋体"/>
                <w:sz w:val="21"/>
                <w:szCs w:val="21"/>
              </w:rPr>
            </w:pPr>
          </w:p>
        </w:tc>
        <w:tc>
          <w:tcPr>
            <w:tcW w:w="2504" w:type="dxa"/>
          </w:tcPr>
          <w:p>
            <w:pPr>
              <w:pStyle w:val="13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Pr>
          <w:p>
            <w:pPr>
              <w:pStyle w:val="132"/>
              <w:rPr>
                <w:rFonts w:ascii="宋体" w:hAnsi="宋体"/>
                <w:sz w:val="21"/>
                <w:szCs w:val="21"/>
              </w:rPr>
            </w:pPr>
          </w:p>
        </w:tc>
        <w:tc>
          <w:tcPr>
            <w:tcW w:w="1240" w:type="dxa"/>
          </w:tcPr>
          <w:p>
            <w:pPr>
              <w:pStyle w:val="132"/>
              <w:rPr>
                <w:rFonts w:ascii="宋体" w:hAnsi="宋体"/>
                <w:sz w:val="21"/>
                <w:szCs w:val="21"/>
              </w:rPr>
            </w:pPr>
          </w:p>
        </w:tc>
        <w:tc>
          <w:tcPr>
            <w:tcW w:w="2241" w:type="dxa"/>
          </w:tcPr>
          <w:p>
            <w:pPr>
              <w:pStyle w:val="132"/>
              <w:rPr>
                <w:rFonts w:ascii="宋体" w:hAnsi="宋体"/>
                <w:sz w:val="21"/>
                <w:szCs w:val="21"/>
              </w:rPr>
            </w:pPr>
          </w:p>
        </w:tc>
        <w:tc>
          <w:tcPr>
            <w:tcW w:w="2229" w:type="dxa"/>
          </w:tcPr>
          <w:p>
            <w:pPr>
              <w:pStyle w:val="132"/>
              <w:rPr>
                <w:rFonts w:ascii="宋体" w:hAnsi="宋体"/>
                <w:sz w:val="21"/>
                <w:szCs w:val="21"/>
              </w:rPr>
            </w:pPr>
          </w:p>
        </w:tc>
        <w:tc>
          <w:tcPr>
            <w:tcW w:w="2504" w:type="dxa"/>
          </w:tcPr>
          <w:p>
            <w:pPr>
              <w:pStyle w:val="13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Pr>
          <w:p>
            <w:pPr>
              <w:pStyle w:val="132"/>
              <w:rPr>
                <w:rFonts w:ascii="宋体" w:hAnsi="宋体"/>
                <w:sz w:val="21"/>
                <w:szCs w:val="21"/>
              </w:rPr>
            </w:pPr>
          </w:p>
        </w:tc>
        <w:tc>
          <w:tcPr>
            <w:tcW w:w="1240" w:type="dxa"/>
          </w:tcPr>
          <w:p>
            <w:pPr>
              <w:pStyle w:val="132"/>
              <w:rPr>
                <w:rFonts w:ascii="宋体" w:hAnsi="宋体"/>
                <w:sz w:val="21"/>
                <w:szCs w:val="21"/>
              </w:rPr>
            </w:pPr>
          </w:p>
        </w:tc>
        <w:tc>
          <w:tcPr>
            <w:tcW w:w="2241" w:type="dxa"/>
          </w:tcPr>
          <w:p>
            <w:pPr>
              <w:pStyle w:val="132"/>
              <w:rPr>
                <w:rFonts w:ascii="宋体" w:hAnsi="宋体"/>
                <w:sz w:val="21"/>
                <w:szCs w:val="21"/>
              </w:rPr>
            </w:pPr>
          </w:p>
        </w:tc>
        <w:tc>
          <w:tcPr>
            <w:tcW w:w="2229" w:type="dxa"/>
          </w:tcPr>
          <w:p>
            <w:pPr>
              <w:pStyle w:val="132"/>
              <w:rPr>
                <w:rFonts w:ascii="宋体" w:hAnsi="宋体"/>
                <w:sz w:val="21"/>
                <w:szCs w:val="21"/>
              </w:rPr>
            </w:pPr>
          </w:p>
        </w:tc>
        <w:tc>
          <w:tcPr>
            <w:tcW w:w="2504" w:type="dxa"/>
          </w:tcPr>
          <w:p>
            <w:pPr>
              <w:pStyle w:val="13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6" w:type="dxa"/>
          </w:tcPr>
          <w:p>
            <w:pPr>
              <w:pStyle w:val="132"/>
              <w:rPr>
                <w:rFonts w:ascii="宋体" w:hAnsi="宋体"/>
                <w:sz w:val="21"/>
                <w:szCs w:val="21"/>
              </w:rPr>
            </w:pPr>
          </w:p>
        </w:tc>
        <w:tc>
          <w:tcPr>
            <w:tcW w:w="1240" w:type="dxa"/>
          </w:tcPr>
          <w:p>
            <w:pPr>
              <w:pStyle w:val="132"/>
              <w:rPr>
                <w:rFonts w:ascii="宋体" w:hAnsi="宋体"/>
                <w:sz w:val="21"/>
                <w:szCs w:val="21"/>
              </w:rPr>
            </w:pPr>
          </w:p>
        </w:tc>
        <w:tc>
          <w:tcPr>
            <w:tcW w:w="2241" w:type="dxa"/>
          </w:tcPr>
          <w:p>
            <w:pPr>
              <w:pStyle w:val="132"/>
              <w:rPr>
                <w:rFonts w:ascii="宋体" w:hAnsi="宋体"/>
                <w:sz w:val="21"/>
                <w:szCs w:val="21"/>
              </w:rPr>
            </w:pPr>
          </w:p>
        </w:tc>
        <w:tc>
          <w:tcPr>
            <w:tcW w:w="2229" w:type="dxa"/>
          </w:tcPr>
          <w:p>
            <w:pPr>
              <w:pStyle w:val="132"/>
              <w:rPr>
                <w:rFonts w:ascii="宋体" w:hAnsi="宋体"/>
                <w:sz w:val="21"/>
                <w:szCs w:val="21"/>
              </w:rPr>
            </w:pPr>
          </w:p>
        </w:tc>
        <w:tc>
          <w:tcPr>
            <w:tcW w:w="2504" w:type="dxa"/>
          </w:tcPr>
          <w:p>
            <w:pPr>
              <w:pStyle w:val="132"/>
              <w:rPr>
                <w:rFonts w:ascii="宋体" w:hAnsi="宋体"/>
                <w:sz w:val="21"/>
                <w:szCs w:val="21"/>
              </w:rPr>
            </w:pPr>
          </w:p>
        </w:tc>
      </w:tr>
    </w:tbl>
    <w:p>
      <w:pPr>
        <w:spacing w:after="120" w:line="360" w:lineRule="auto"/>
        <w:jc w:val="left"/>
        <w:rPr>
          <w:rFonts w:ascii="宋体" w:hAnsi="宋体"/>
          <w:bCs/>
          <w:sz w:val="28"/>
          <w:szCs w:val="28"/>
        </w:rPr>
      </w:pPr>
      <w:r>
        <w:rPr>
          <w:rFonts w:hint="eastAsia" w:asciiTheme="minorEastAsia" w:hAnsiTheme="minorEastAsia" w:eastAsiaTheme="minorEastAsia" w:cstheme="minorEastAsia"/>
          <w:sz w:val="28"/>
          <w:szCs w:val="28"/>
        </w:rPr>
        <w:t>注</w:t>
      </w:r>
      <w:r>
        <w:rPr>
          <w:rFonts w:hint="eastAsia" w:ascii="宋体" w:hAnsi="宋体"/>
          <w:bCs/>
          <w:sz w:val="28"/>
          <w:szCs w:val="28"/>
        </w:rPr>
        <w:t>：1. 供应商必须把招标项目的全部技术参数列入此表。</w:t>
      </w:r>
    </w:p>
    <w:p>
      <w:pPr>
        <w:spacing w:after="120" w:line="360" w:lineRule="auto"/>
        <w:rPr>
          <w:rFonts w:ascii="宋体" w:hAnsi="宋体"/>
          <w:bCs/>
          <w:sz w:val="28"/>
          <w:szCs w:val="28"/>
        </w:rPr>
      </w:pPr>
      <w:r>
        <w:rPr>
          <w:rFonts w:hint="eastAsia" w:ascii="宋体" w:hAnsi="宋体"/>
          <w:bCs/>
          <w:sz w:val="28"/>
          <w:szCs w:val="28"/>
        </w:rPr>
        <w:t>2．按照招标项目技术要求的顺序对应填写。</w:t>
      </w:r>
    </w:p>
    <w:p>
      <w:pPr>
        <w:spacing w:after="120" w:line="360" w:lineRule="auto"/>
        <w:rPr>
          <w:rFonts w:ascii="宋体" w:hAnsi="宋体"/>
          <w:bCs/>
          <w:sz w:val="28"/>
          <w:szCs w:val="28"/>
        </w:rPr>
      </w:pPr>
      <w:r>
        <w:rPr>
          <w:rFonts w:hint="eastAsia" w:ascii="宋体" w:hAnsi="宋体"/>
          <w:bCs/>
          <w:sz w:val="28"/>
          <w:szCs w:val="28"/>
        </w:rPr>
        <w:t>3．供应商必须据实填写，不得虚假填写，否则将取消其投标或中标资格。</w:t>
      </w:r>
    </w:p>
    <w:p>
      <w:pPr>
        <w:rPr>
          <w:rFonts w:asciiTheme="minorEastAsia" w:hAnsiTheme="minorEastAsia" w:eastAsiaTheme="minorEastAsia" w:cstheme="minorEastAsia"/>
          <w:sz w:val="28"/>
          <w:szCs w:val="28"/>
        </w:rPr>
      </w:pPr>
    </w:p>
    <w:p>
      <w:pPr>
        <w:pStyle w:val="2"/>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XXXX年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bCs/>
          <w:sz w:val="28"/>
        </w:rPr>
      </w:pPr>
    </w:p>
    <w:p>
      <w:pPr>
        <w:rPr>
          <w:rFonts w:ascii="宋体" w:hAnsi="宋体"/>
          <w:bCs/>
          <w:sz w:val="28"/>
        </w:rPr>
      </w:pPr>
    </w:p>
    <w:p>
      <w:pPr>
        <w:pStyle w:val="2"/>
        <w:rPr>
          <w:rFonts w:ascii="宋体" w:hAnsi="宋体"/>
          <w:bCs/>
          <w:sz w:val="28"/>
        </w:rPr>
      </w:pPr>
    </w:p>
    <w:p/>
    <w:p>
      <w:pPr>
        <w:keepNext/>
        <w:keepLines/>
        <w:numPr>
          <w:ilvl w:val="2"/>
          <w:numId w:val="5"/>
        </w:numPr>
        <w:spacing w:line="560" w:lineRule="exact"/>
        <w:ind w:left="567"/>
        <w:outlineLvl w:val="2"/>
        <w:rPr>
          <w:rFonts w:ascii="宋体" w:hAnsi="宋体"/>
          <w:b/>
          <w:sz w:val="28"/>
          <w:szCs w:val="28"/>
        </w:rPr>
      </w:pPr>
      <w:r>
        <w:rPr>
          <w:rFonts w:hint="eastAsia" w:ascii="宋体" w:hAnsi="宋体"/>
          <w:b/>
          <w:sz w:val="28"/>
          <w:szCs w:val="28"/>
        </w:rPr>
        <w:t>投标人本项目管理、技术、服务人员情况表</w:t>
      </w:r>
    </w:p>
    <w:p>
      <w:pPr>
        <w:pStyle w:val="25"/>
        <w:spacing w:before="360" w:beforeLines="150" w:line="360" w:lineRule="auto"/>
        <w:ind w:firstLine="1127" w:firstLineChars="401"/>
        <w:rPr>
          <w:rFonts w:ascii="宋体" w:hAnsi="宋体"/>
          <w:b/>
          <w:sz w:val="28"/>
          <w:szCs w:val="28"/>
        </w:rPr>
      </w:pPr>
      <w:r>
        <w:rPr>
          <w:rFonts w:hint="eastAsia" w:ascii="宋体" w:hAnsi="宋体"/>
          <w:b/>
          <w:sz w:val="28"/>
          <w:szCs w:val="28"/>
        </w:rPr>
        <w:t>投标人本项目管理、技术、服务人员情况表</w:t>
      </w:r>
    </w:p>
    <w:p>
      <w:pPr>
        <w:snapToGrid w:val="0"/>
        <w:spacing w:line="360" w:lineRule="auto"/>
        <w:ind w:left="1405" w:hanging="1405" w:hangingChars="500"/>
        <w:rPr>
          <w:rFonts w:ascii="宋体" w:hAnsi="宋体"/>
          <w:b/>
          <w:sz w:val="28"/>
          <w:szCs w:val="28"/>
          <w:u w:val="single"/>
        </w:rPr>
      </w:pPr>
      <w:r>
        <w:rPr>
          <w:rFonts w:hint="eastAsia" w:ascii="宋体" w:hAnsi="宋体"/>
          <w:b/>
          <w:sz w:val="28"/>
          <w:szCs w:val="28"/>
        </w:rPr>
        <w:t>项目名称：</w:t>
      </w:r>
      <w:r>
        <w:rPr>
          <w:rFonts w:hint="eastAsia" w:ascii="宋体" w:hAnsi="宋体"/>
          <w:b/>
          <w:sz w:val="28"/>
          <w:szCs w:val="28"/>
          <w:u w:val="single"/>
        </w:rPr>
        <w:t>成都市双流区教育技术装备管理中心2021年彭镇小学等2校多功能厅LED、音箱和灯光系统采购项目</w:t>
      </w:r>
    </w:p>
    <w:p>
      <w:pPr>
        <w:snapToGrid w:val="0"/>
        <w:spacing w:line="360" w:lineRule="auto"/>
        <w:rPr>
          <w:rFonts w:ascii="宋体" w:hAnsi="宋体" w:cs="Arial"/>
          <w:bCs/>
          <w:color w:val="000000"/>
          <w:sz w:val="24"/>
        </w:rPr>
      </w:pPr>
      <w:r>
        <w:rPr>
          <w:rFonts w:hint="eastAsia" w:ascii="宋体" w:hAnsi="宋体"/>
          <w:b/>
          <w:sz w:val="28"/>
          <w:szCs w:val="28"/>
        </w:rPr>
        <w:t>项目编号：</w:t>
      </w:r>
      <w:r>
        <w:rPr>
          <w:rFonts w:hint="eastAsia" w:ascii="宋体" w:hAnsi="宋体"/>
          <w:b/>
          <w:sz w:val="28"/>
          <w:szCs w:val="28"/>
          <w:u w:val="single"/>
        </w:rPr>
        <w:t>双流政采（2021）A0065号</w:t>
      </w:r>
      <w:r>
        <w:rPr>
          <w:rFonts w:hint="eastAsia" w:ascii="宋体" w:hAnsi="宋体"/>
          <w:bCs/>
          <w:sz w:val="28"/>
          <w:szCs w:val="28"/>
        </w:rPr>
        <w:t xml:space="preserve">            </w:t>
      </w:r>
    </w:p>
    <w:tbl>
      <w:tblPr>
        <w:tblStyle w:val="43"/>
        <w:tblpPr w:leftFromText="180" w:rightFromText="180" w:vertAnchor="text" w:horzAnchor="page" w:tblpX="2016" w:tblpY="5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033"/>
        <w:gridCol w:w="901"/>
        <w:gridCol w:w="901"/>
        <w:gridCol w:w="901"/>
        <w:gridCol w:w="1205"/>
        <w:gridCol w:w="817"/>
        <w:gridCol w:w="945"/>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restart"/>
            <w:vAlign w:val="center"/>
          </w:tcPr>
          <w:p>
            <w:pPr>
              <w:spacing w:line="400" w:lineRule="exact"/>
              <w:jc w:val="center"/>
              <w:rPr>
                <w:rFonts w:ascii="宋体" w:hAnsi="宋体" w:cs="Arial"/>
                <w:color w:val="000000"/>
              </w:rPr>
            </w:pPr>
            <w:r>
              <w:rPr>
                <w:rFonts w:hint="eastAsia" w:ascii="宋体" w:hAnsi="宋体" w:cs="Arial"/>
                <w:color w:val="000000"/>
              </w:rPr>
              <w:t>类别</w:t>
            </w:r>
          </w:p>
        </w:tc>
        <w:tc>
          <w:tcPr>
            <w:tcW w:w="1033" w:type="dxa"/>
            <w:vMerge w:val="restart"/>
            <w:vAlign w:val="center"/>
          </w:tcPr>
          <w:p>
            <w:pPr>
              <w:spacing w:line="400" w:lineRule="exact"/>
              <w:jc w:val="center"/>
              <w:rPr>
                <w:rFonts w:ascii="宋体" w:hAnsi="宋体" w:cs="Arial"/>
                <w:color w:val="000000"/>
              </w:rPr>
            </w:pPr>
            <w:r>
              <w:rPr>
                <w:rFonts w:hint="eastAsia" w:ascii="宋体" w:hAnsi="宋体" w:cs="Arial"/>
                <w:color w:val="000000"/>
              </w:rPr>
              <w:t>职务</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姓名</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职称</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常住地</w:t>
            </w:r>
          </w:p>
        </w:tc>
        <w:tc>
          <w:tcPr>
            <w:tcW w:w="3784" w:type="dxa"/>
            <w:gridSpan w:val="4"/>
            <w:vAlign w:val="center"/>
          </w:tcPr>
          <w:p>
            <w:pPr>
              <w:spacing w:line="400" w:lineRule="exact"/>
              <w:jc w:val="center"/>
              <w:rPr>
                <w:rFonts w:ascii="宋体" w:hAnsi="宋体" w:cs="Arial"/>
                <w:color w:val="000000"/>
              </w:rPr>
            </w:pPr>
            <w:r>
              <w:rPr>
                <w:rFonts w:hint="eastAsia" w:ascii="宋体" w:hAnsi="宋体" w:cs="Arial"/>
                <w:color w:val="000000"/>
              </w:rPr>
              <w:t>资格证明（附扫描件）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vAlign w:val="center"/>
          </w:tcPr>
          <w:p>
            <w:pPr>
              <w:spacing w:line="400" w:lineRule="exact"/>
              <w:jc w:val="center"/>
              <w:rPr>
                <w:rFonts w:ascii="宋体" w:hAnsi="宋体" w:cs="Arial"/>
                <w:color w:val="000000"/>
              </w:rPr>
            </w:pPr>
          </w:p>
        </w:tc>
        <w:tc>
          <w:tcPr>
            <w:tcW w:w="1033"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1205" w:type="dxa"/>
            <w:vAlign w:val="center"/>
          </w:tcPr>
          <w:p>
            <w:pPr>
              <w:spacing w:line="400" w:lineRule="exact"/>
              <w:jc w:val="center"/>
              <w:rPr>
                <w:rFonts w:ascii="宋体" w:hAnsi="宋体" w:cs="Arial"/>
                <w:color w:val="000000"/>
              </w:rPr>
            </w:pPr>
            <w:r>
              <w:rPr>
                <w:rFonts w:hint="eastAsia" w:ascii="宋体" w:hAnsi="宋体" w:cs="Arial"/>
                <w:color w:val="000000"/>
              </w:rPr>
              <w:t>证书名称</w:t>
            </w:r>
          </w:p>
        </w:tc>
        <w:tc>
          <w:tcPr>
            <w:tcW w:w="817" w:type="dxa"/>
            <w:vAlign w:val="center"/>
          </w:tcPr>
          <w:p>
            <w:pPr>
              <w:spacing w:line="400" w:lineRule="exact"/>
              <w:jc w:val="center"/>
              <w:rPr>
                <w:rFonts w:ascii="宋体" w:hAnsi="宋体" w:cs="Arial"/>
                <w:color w:val="000000"/>
              </w:rPr>
            </w:pPr>
            <w:r>
              <w:rPr>
                <w:rFonts w:hint="eastAsia" w:ascii="宋体" w:hAnsi="宋体" w:cs="Arial"/>
                <w:color w:val="000000"/>
              </w:rPr>
              <w:t>级别</w:t>
            </w:r>
          </w:p>
        </w:tc>
        <w:tc>
          <w:tcPr>
            <w:tcW w:w="945" w:type="dxa"/>
            <w:vAlign w:val="center"/>
          </w:tcPr>
          <w:p>
            <w:pPr>
              <w:spacing w:line="400" w:lineRule="exact"/>
              <w:jc w:val="center"/>
              <w:rPr>
                <w:rFonts w:ascii="宋体" w:hAnsi="宋体" w:cs="Arial"/>
                <w:color w:val="000000"/>
              </w:rPr>
            </w:pPr>
            <w:r>
              <w:rPr>
                <w:rFonts w:hint="eastAsia" w:ascii="宋体" w:hAnsi="宋体" w:cs="Arial"/>
                <w:color w:val="000000"/>
              </w:rPr>
              <w:t>证号</w:t>
            </w:r>
          </w:p>
        </w:tc>
        <w:tc>
          <w:tcPr>
            <w:tcW w:w="817" w:type="dxa"/>
            <w:vAlign w:val="center"/>
          </w:tcPr>
          <w:p>
            <w:pPr>
              <w:spacing w:line="400" w:lineRule="exact"/>
              <w:jc w:val="center"/>
              <w:rPr>
                <w:rFonts w:ascii="宋体" w:hAnsi="宋体" w:cs="Arial"/>
                <w:color w:val="000000"/>
              </w:rPr>
            </w:pPr>
            <w:r>
              <w:rPr>
                <w:rFonts w:hint="eastAsia" w:ascii="宋体" w:hAnsi="宋体" w:cs="Arial"/>
                <w:color w:val="000000"/>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restart"/>
          </w:tcPr>
          <w:p>
            <w:pPr>
              <w:spacing w:line="400" w:lineRule="exact"/>
              <w:jc w:val="center"/>
              <w:rPr>
                <w:rFonts w:ascii="宋体" w:hAnsi="宋体" w:cs="Arial"/>
                <w:color w:val="000000"/>
              </w:rPr>
            </w:pPr>
            <w:r>
              <w:rPr>
                <w:rFonts w:hint="eastAsia" w:ascii="宋体" w:hAnsi="宋体" w:cs="Arial"/>
                <w:color w:val="000000"/>
              </w:rPr>
              <w:t>管</w:t>
            </w:r>
          </w:p>
          <w:p>
            <w:pPr>
              <w:spacing w:line="400" w:lineRule="exact"/>
              <w:jc w:val="center"/>
              <w:rPr>
                <w:rFonts w:ascii="宋体" w:hAnsi="宋体" w:cs="Arial"/>
                <w:color w:val="000000"/>
              </w:rPr>
            </w:pPr>
            <w:r>
              <w:rPr>
                <w:rFonts w:hint="eastAsia" w:ascii="宋体" w:hAnsi="宋体" w:cs="Arial"/>
                <w:color w:val="000000"/>
              </w:rPr>
              <w:t>理</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sz w:val="28"/>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restart"/>
          </w:tcPr>
          <w:p>
            <w:pPr>
              <w:spacing w:line="400" w:lineRule="exact"/>
              <w:jc w:val="center"/>
              <w:rPr>
                <w:rFonts w:ascii="宋体" w:hAnsi="宋体" w:cs="Arial"/>
                <w:color w:val="000000"/>
              </w:rPr>
            </w:pPr>
            <w:r>
              <w:rPr>
                <w:rFonts w:hint="eastAsia" w:ascii="宋体" w:hAnsi="宋体" w:cs="Arial"/>
                <w:color w:val="000000"/>
              </w:rPr>
              <w:t>技</w:t>
            </w:r>
          </w:p>
          <w:p>
            <w:pPr>
              <w:spacing w:line="400" w:lineRule="exact"/>
              <w:jc w:val="center"/>
              <w:rPr>
                <w:rFonts w:ascii="宋体" w:hAnsi="宋体" w:cs="Arial"/>
                <w:color w:val="000000"/>
              </w:rPr>
            </w:pPr>
            <w:r>
              <w:rPr>
                <w:rFonts w:hint="eastAsia" w:ascii="宋体" w:hAnsi="宋体" w:cs="Arial"/>
                <w:color w:val="000000"/>
              </w:rPr>
              <w:t>术</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continue"/>
          </w:tcPr>
          <w:p>
            <w:pPr>
              <w:spacing w:line="400" w:lineRule="exact"/>
              <w:jc w:val="center"/>
              <w:rPr>
                <w:rFonts w:ascii="宋体" w:hAnsi="宋体" w:cs="Arial"/>
                <w:color w:val="000000"/>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restart"/>
            <w:vAlign w:val="center"/>
          </w:tcPr>
          <w:p>
            <w:pPr>
              <w:spacing w:line="400" w:lineRule="exact"/>
              <w:jc w:val="center"/>
              <w:rPr>
                <w:rFonts w:ascii="宋体" w:hAnsi="宋体" w:cs="Arial"/>
                <w:color w:val="000000"/>
              </w:rPr>
            </w:pPr>
            <w:r>
              <w:rPr>
                <w:rFonts w:hint="eastAsia" w:ascii="宋体" w:hAnsi="宋体" w:cs="Arial"/>
                <w:color w:val="000000"/>
              </w:rPr>
              <w:t>其</w:t>
            </w:r>
          </w:p>
          <w:p>
            <w:pPr>
              <w:spacing w:line="400" w:lineRule="exact"/>
              <w:jc w:val="center"/>
              <w:rPr>
                <w:rFonts w:ascii="宋体" w:hAnsi="宋体" w:cs="Arial"/>
                <w:color w:val="000000"/>
              </w:rPr>
            </w:pPr>
            <w:r>
              <w:rPr>
                <w:rFonts w:hint="eastAsia" w:ascii="宋体" w:hAnsi="宋体" w:cs="Arial"/>
                <w:color w:val="000000"/>
              </w:rPr>
              <w:t>他</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120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c>
          <w:tcPr>
            <w:tcW w:w="94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120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c>
          <w:tcPr>
            <w:tcW w:w="94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r>
    </w:tbl>
    <w:p>
      <w:pPr>
        <w:spacing w:after="120" w:line="360" w:lineRule="auto"/>
        <w:ind w:left="420" w:leftChars="200"/>
        <w:rPr>
          <w:rFonts w:ascii="宋体" w:hAnsi="宋体"/>
          <w:bCs/>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bCs/>
          <w:sz w:val="28"/>
        </w:rPr>
      </w:pPr>
    </w:p>
    <w:p>
      <w:pPr>
        <w:rPr>
          <w:rFonts w:ascii="宋体" w:hAnsi="宋体"/>
          <w:bCs/>
          <w:sz w:val="28"/>
        </w:rPr>
      </w:pPr>
    </w:p>
    <w:p>
      <w:pPr>
        <w:pStyle w:val="2"/>
        <w:rPr>
          <w:rFonts w:ascii="宋体" w:hAnsi="宋体"/>
          <w:bCs/>
          <w:sz w:val="28"/>
        </w:rPr>
      </w:pPr>
    </w:p>
    <w:p>
      <w:pPr>
        <w:keepNext/>
        <w:keepLines/>
        <w:numPr>
          <w:ilvl w:val="2"/>
          <w:numId w:val="5"/>
        </w:numPr>
        <w:spacing w:line="560" w:lineRule="exact"/>
        <w:ind w:left="567"/>
        <w:outlineLvl w:val="2"/>
        <w:rPr>
          <w:rFonts w:ascii="宋体" w:hAnsi="宋体" w:cs="宋体"/>
          <w:b/>
          <w:sz w:val="28"/>
          <w:szCs w:val="28"/>
        </w:rPr>
      </w:pPr>
      <w:r>
        <w:rPr>
          <w:rFonts w:hint="eastAsia" w:ascii="宋体" w:hAnsi="宋体" w:cs="宋体"/>
          <w:b/>
          <w:sz w:val="28"/>
          <w:szCs w:val="28"/>
        </w:rPr>
        <w:t>投标人类似项目业绩一览表</w:t>
      </w:r>
    </w:p>
    <w:p>
      <w:pPr>
        <w:pStyle w:val="2"/>
        <w:rPr>
          <w:rFonts w:ascii="宋体" w:hAnsi="宋体" w:cs="宋体"/>
          <w:b/>
          <w:sz w:val="28"/>
          <w:szCs w:val="28"/>
        </w:rPr>
      </w:pPr>
    </w:p>
    <w:p>
      <w:pPr>
        <w:pStyle w:val="42"/>
        <w:ind w:firstLine="180"/>
        <w:rPr>
          <w:rFonts w:ascii="宋体" w:hAnsi="宋体" w:cs="宋体"/>
        </w:rPr>
      </w:pPr>
    </w:p>
    <w:p>
      <w:pPr>
        <w:pStyle w:val="2"/>
        <w:rPr>
          <w:rFonts w:ascii="宋体" w:hAnsi="宋体" w:cs="宋体"/>
          <w:b/>
          <w:sz w:val="28"/>
          <w:szCs w:val="28"/>
        </w:rPr>
      </w:pPr>
    </w:p>
    <w:p>
      <w:pPr>
        <w:pStyle w:val="42"/>
        <w:ind w:firstLine="281"/>
        <w:rPr>
          <w:rFonts w:ascii="宋体" w:hAnsi="宋体" w:cs="宋体"/>
          <w:b/>
          <w:sz w:val="28"/>
          <w:szCs w:val="28"/>
        </w:rPr>
      </w:pPr>
    </w:p>
    <w:p>
      <w:pPr>
        <w:pStyle w:val="42"/>
        <w:ind w:firstLine="281"/>
        <w:rPr>
          <w:rFonts w:ascii="宋体" w:hAnsi="宋体" w:cs="宋体"/>
          <w:b/>
          <w:sz w:val="28"/>
          <w:szCs w:val="28"/>
        </w:rPr>
      </w:pPr>
    </w:p>
    <w:p>
      <w:pPr>
        <w:pStyle w:val="42"/>
        <w:ind w:firstLine="281"/>
        <w:rPr>
          <w:rFonts w:ascii="宋体" w:hAnsi="宋体" w:cs="宋体"/>
          <w:b/>
          <w:sz w:val="28"/>
          <w:szCs w:val="28"/>
        </w:rPr>
      </w:pPr>
    </w:p>
    <w:p>
      <w:pPr>
        <w:jc w:val="center"/>
        <w:rPr>
          <w:rFonts w:ascii="宋体" w:hAnsi="宋体" w:cs="宋体"/>
          <w:b/>
          <w:kern w:val="0"/>
          <w:sz w:val="32"/>
          <w:szCs w:val="28"/>
        </w:rPr>
      </w:pPr>
      <w:r>
        <w:rPr>
          <w:rFonts w:hint="eastAsia" w:ascii="宋体" w:hAnsi="宋体" w:cs="宋体"/>
          <w:b/>
          <w:kern w:val="0"/>
          <w:sz w:val="32"/>
          <w:szCs w:val="28"/>
        </w:rPr>
        <w:t>（具体内容由各投标人自拟）</w:t>
      </w:r>
    </w:p>
    <w:p>
      <w:pPr>
        <w:pStyle w:val="42"/>
        <w:ind w:firstLine="281"/>
        <w:rPr>
          <w:rFonts w:ascii="宋体" w:hAnsi="宋体" w:cs="宋体"/>
          <w:b/>
          <w:sz w:val="28"/>
          <w:szCs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pPr>
    </w:p>
    <w:p>
      <w:pPr>
        <w:pStyle w:val="2"/>
        <w:rPr>
          <w:rFonts w:ascii="宋体" w:hAnsi="宋体"/>
          <w:bCs/>
          <w:sz w:val="28"/>
        </w:rPr>
      </w:pPr>
    </w:p>
    <w:p/>
    <w:p>
      <w:pPr>
        <w:widowControl/>
        <w:jc w:val="left"/>
      </w:pPr>
      <w:r>
        <w:br w:type="page"/>
      </w:r>
    </w:p>
    <w:p/>
    <w:p>
      <w:pPr>
        <w:keepNext/>
        <w:keepLines/>
        <w:numPr>
          <w:ilvl w:val="2"/>
          <w:numId w:val="5"/>
        </w:numPr>
        <w:spacing w:line="560" w:lineRule="exact"/>
        <w:ind w:left="567"/>
        <w:outlineLvl w:val="2"/>
        <w:rPr>
          <w:rFonts w:ascii="宋体" w:hAnsi="宋体"/>
          <w:b/>
          <w:sz w:val="28"/>
          <w:szCs w:val="28"/>
        </w:rPr>
      </w:pPr>
      <w:r>
        <w:rPr>
          <w:rFonts w:hint="eastAsia" w:ascii="宋体" w:hAnsi="宋体"/>
          <w:b/>
          <w:sz w:val="28"/>
          <w:szCs w:val="28"/>
        </w:rPr>
        <w:t>投标人认为需要提供的其他文件和资料</w:t>
      </w:r>
    </w:p>
    <w:p>
      <w:pPr>
        <w:pStyle w:val="2"/>
        <w:rPr>
          <w:rFonts w:ascii="宋体" w:hAnsi="宋体" w:cs="宋体"/>
          <w:b/>
          <w:kern w:val="0"/>
          <w:sz w:val="32"/>
          <w:szCs w:val="28"/>
        </w:rPr>
      </w:pPr>
    </w:p>
    <w:p>
      <w:pPr>
        <w:rPr>
          <w:rFonts w:ascii="宋体" w:hAnsi="宋体" w:cs="宋体"/>
          <w:b/>
          <w:kern w:val="0"/>
          <w:sz w:val="32"/>
          <w:szCs w:val="28"/>
        </w:rPr>
      </w:pPr>
    </w:p>
    <w:p>
      <w:pPr>
        <w:pStyle w:val="2"/>
        <w:rPr>
          <w:rFonts w:ascii="宋体" w:hAnsi="宋体" w:cs="宋体"/>
          <w:b/>
          <w:kern w:val="0"/>
          <w:sz w:val="32"/>
          <w:szCs w:val="28"/>
        </w:rPr>
      </w:pPr>
    </w:p>
    <w:p/>
    <w:p>
      <w:pPr>
        <w:jc w:val="center"/>
        <w:rPr>
          <w:rFonts w:ascii="宋体" w:hAnsi="宋体" w:cs="宋体"/>
          <w:b/>
          <w:kern w:val="0"/>
          <w:sz w:val="28"/>
          <w:szCs w:val="28"/>
        </w:rPr>
      </w:pPr>
      <w:r>
        <w:rPr>
          <w:rFonts w:hint="eastAsia" w:ascii="宋体" w:hAnsi="宋体" w:cs="宋体"/>
          <w:b/>
          <w:kern w:val="0"/>
          <w:sz w:val="28"/>
          <w:szCs w:val="28"/>
        </w:rPr>
        <w:t>关于本项目需要提供的相关证明材料</w:t>
      </w:r>
    </w:p>
    <w:p>
      <w:pPr>
        <w:jc w:val="center"/>
        <w:rPr>
          <w:rFonts w:ascii="宋体" w:hAnsi="宋体" w:cs="宋体"/>
          <w:b/>
          <w:kern w:val="0"/>
          <w:sz w:val="28"/>
          <w:szCs w:val="28"/>
        </w:rPr>
      </w:pPr>
      <w:r>
        <w:rPr>
          <w:rFonts w:hint="eastAsia" w:ascii="宋体" w:hAnsi="宋体" w:cs="宋体"/>
          <w:b/>
          <w:kern w:val="0"/>
          <w:sz w:val="28"/>
          <w:szCs w:val="28"/>
        </w:rPr>
        <w:t>（具体内容、格式由各投标人自拟）</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rPr>
          <w:rFonts w:ascii="宋体" w:hAnsi="宋体"/>
          <w:bCs/>
          <w:sz w:val="28"/>
        </w:rPr>
      </w:pPr>
    </w:p>
    <w:p>
      <w:pPr>
        <w:keepNext/>
        <w:keepLines/>
        <w:numPr>
          <w:ilvl w:val="1"/>
          <w:numId w:val="5"/>
        </w:numPr>
        <w:spacing w:line="360" w:lineRule="auto"/>
        <w:jc w:val="left"/>
        <w:outlineLvl w:val="1"/>
        <w:rPr>
          <w:rFonts w:ascii="宋体" w:hAnsi="宋体"/>
          <w:b/>
          <w:bCs/>
          <w:sz w:val="28"/>
          <w:szCs w:val="28"/>
        </w:rPr>
      </w:pPr>
      <w:r>
        <w:rPr>
          <w:rFonts w:hint="eastAsia" w:ascii="宋体" w:hAnsi="宋体"/>
          <w:b/>
          <w:bCs/>
          <w:sz w:val="28"/>
          <w:szCs w:val="28"/>
        </w:rPr>
        <w:t xml:space="preserve"> </w:t>
      </w:r>
      <w:bookmarkStart w:id="161" w:name="_Toc2299"/>
      <w:r>
        <w:rPr>
          <w:rFonts w:hint="eastAsia" w:ascii="宋体" w:hAnsi="宋体"/>
          <w:b/>
          <w:bCs/>
          <w:sz w:val="28"/>
          <w:szCs w:val="28"/>
        </w:rPr>
        <w:t>报价</w:t>
      </w:r>
      <w:r>
        <w:rPr>
          <w:rFonts w:ascii="宋体" w:hAnsi="宋体"/>
          <w:b/>
          <w:bCs/>
          <w:sz w:val="28"/>
          <w:szCs w:val="28"/>
        </w:rPr>
        <w:t>要求响应文件</w:t>
      </w:r>
      <w:bookmarkEnd w:id="161"/>
    </w:p>
    <w:p>
      <w:pPr>
        <w:keepNext/>
        <w:keepLines/>
        <w:numPr>
          <w:ilvl w:val="2"/>
          <w:numId w:val="5"/>
        </w:numPr>
        <w:spacing w:line="360" w:lineRule="auto"/>
        <w:ind w:left="567"/>
        <w:outlineLvl w:val="2"/>
        <w:rPr>
          <w:rFonts w:ascii="宋体" w:hAnsi="宋体"/>
          <w:b/>
          <w:bCs/>
          <w:sz w:val="28"/>
          <w:szCs w:val="28"/>
        </w:rPr>
      </w:pPr>
      <w:r>
        <w:rPr>
          <w:rFonts w:hint="eastAsia" w:ascii="宋体" w:hAnsi="宋体"/>
          <w:b/>
          <w:bCs/>
          <w:sz w:val="28"/>
          <w:szCs w:val="28"/>
        </w:rPr>
        <w:t>开标</w:t>
      </w:r>
      <w:r>
        <w:rPr>
          <w:rFonts w:ascii="宋体" w:hAnsi="宋体"/>
          <w:b/>
          <w:bCs/>
          <w:sz w:val="28"/>
          <w:szCs w:val="28"/>
        </w:rPr>
        <w:t>一览表</w:t>
      </w:r>
    </w:p>
    <w:p>
      <w:pPr>
        <w:tabs>
          <w:tab w:val="left" w:pos="1134"/>
        </w:tabs>
        <w:spacing w:line="560" w:lineRule="exact"/>
        <w:ind w:left="1124" w:hanging="1124" w:hangingChars="400"/>
        <w:rPr>
          <w:rFonts w:ascii="宋体" w:hAnsi="宋体"/>
          <w:b/>
          <w:bCs/>
          <w:sz w:val="28"/>
          <w:szCs w:val="28"/>
          <w:u w:val="single"/>
        </w:rPr>
      </w:pPr>
      <w:r>
        <w:rPr>
          <w:rFonts w:hint="eastAsia" w:ascii="宋体" w:hAnsi="宋体" w:cs="宋体"/>
          <w:b/>
          <w:bCs/>
          <w:sz w:val="28"/>
          <w:szCs w:val="28"/>
        </w:rPr>
        <w:t>项目名称</w:t>
      </w:r>
      <w:r>
        <w:rPr>
          <w:rFonts w:hint="eastAsia" w:ascii="宋体" w:hAnsi="宋体"/>
          <w:b/>
          <w:bCs/>
          <w:sz w:val="28"/>
          <w:szCs w:val="28"/>
        </w:rPr>
        <w:t>：</w:t>
      </w:r>
      <w:r>
        <w:rPr>
          <w:rFonts w:hint="eastAsia" w:ascii="宋体" w:hAnsi="宋体"/>
          <w:b/>
          <w:bCs/>
          <w:sz w:val="28"/>
          <w:szCs w:val="28"/>
          <w:u w:val="single"/>
        </w:rPr>
        <w:t>成都市双流区教育技术装备管理中心2021年彭镇小学等2校多功能厅LED、音箱和灯光系统采购项目</w:t>
      </w:r>
    </w:p>
    <w:p>
      <w:pPr>
        <w:tabs>
          <w:tab w:val="left" w:pos="1134"/>
        </w:tabs>
        <w:spacing w:line="560" w:lineRule="exact"/>
        <w:rPr>
          <w:rFonts w:ascii="宋体" w:hAnsi="宋体"/>
          <w:b/>
          <w:bCs/>
          <w:sz w:val="28"/>
          <w:szCs w:val="28"/>
          <w:u w:val="single"/>
        </w:rPr>
      </w:pPr>
      <w:r>
        <w:rPr>
          <w:rFonts w:hint="eastAsia" w:ascii="宋体" w:hAnsi="宋体"/>
          <w:b/>
          <w:bCs/>
          <w:sz w:val="28"/>
          <w:szCs w:val="28"/>
        </w:rPr>
        <w:t>项目编号：</w:t>
      </w:r>
      <w:r>
        <w:rPr>
          <w:rFonts w:hint="eastAsia" w:ascii="宋体" w:hAnsi="宋体"/>
          <w:b/>
          <w:bCs/>
          <w:sz w:val="28"/>
          <w:szCs w:val="28"/>
          <w:u w:val="single"/>
        </w:rPr>
        <w:t>双流政采（2021）A0065号</w:t>
      </w:r>
    </w:p>
    <w:p>
      <w:pPr>
        <w:pStyle w:val="2"/>
      </w:pPr>
    </w:p>
    <w:tbl>
      <w:tblPr>
        <w:tblStyle w:val="4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pStyle w:val="2"/>
        <w:ind w:firstLine="560" w:firstLineChars="200"/>
        <w:rPr>
          <w:rFonts w:ascii="宋体" w:hAnsi="宋体"/>
          <w:sz w:val="28"/>
          <w:szCs w:val="28"/>
        </w:rPr>
      </w:pPr>
    </w:p>
    <w:p>
      <w:pPr>
        <w:pStyle w:val="2"/>
        <w:ind w:firstLine="560" w:firstLineChars="200"/>
      </w:pPr>
      <w:r>
        <w:rPr>
          <w:rFonts w:hint="eastAsia" w:ascii="宋体" w:hAnsi="宋体"/>
          <w:sz w:val="28"/>
          <w:szCs w:val="28"/>
        </w:rPr>
        <w:t>投标报价（大写：人民币</w:t>
      </w:r>
      <w:r>
        <w:rPr>
          <w:rFonts w:hint="eastAsia" w:ascii="宋体" w:hAnsi="宋体"/>
          <w:sz w:val="28"/>
          <w:szCs w:val="28"/>
          <w:u w:val="single"/>
        </w:rPr>
        <w:t>XXXX圆整。</w:t>
      </w:r>
      <w:r>
        <w:rPr>
          <w:rFonts w:hint="eastAsia" w:ascii="宋体" w:hAnsi="宋体"/>
          <w:sz w:val="28"/>
          <w:szCs w:val="28"/>
        </w:rPr>
        <w:t>）</w:t>
      </w:r>
    </w:p>
    <w:p>
      <w:pPr>
        <w:tabs>
          <w:tab w:val="left" w:pos="1134"/>
        </w:tabs>
        <w:spacing w:line="560" w:lineRule="exact"/>
        <w:ind w:firstLine="427" w:firstLineChars="152"/>
        <w:rPr>
          <w:rFonts w:ascii="宋体" w:hAnsi="宋体"/>
          <w:b/>
          <w:sz w:val="28"/>
          <w:szCs w:val="28"/>
        </w:rPr>
      </w:pPr>
    </w:p>
    <w:p>
      <w:pPr>
        <w:tabs>
          <w:tab w:val="left" w:pos="1134"/>
        </w:tabs>
        <w:spacing w:line="560" w:lineRule="exact"/>
        <w:rPr>
          <w:rFonts w:ascii="宋体" w:hAnsi="宋体"/>
          <w:b/>
          <w:sz w:val="28"/>
          <w:szCs w:val="28"/>
        </w:rPr>
      </w:pPr>
    </w:p>
    <w:p>
      <w:pPr>
        <w:tabs>
          <w:tab w:val="left" w:pos="1134"/>
        </w:tabs>
        <w:spacing w:line="560" w:lineRule="exact"/>
        <w:ind w:firstLine="427" w:firstLineChars="152"/>
        <w:rPr>
          <w:rFonts w:ascii="宋体" w:hAnsi="宋体"/>
          <w:b/>
          <w:sz w:val="28"/>
          <w:szCs w:val="28"/>
        </w:rPr>
      </w:pPr>
    </w:p>
    <w:p>
      <w:pPr>
        <w:tabs>
          <w:tab w:val="left" w:pos="1134"/>
        </w:tabs>
        <w:spacing w:line="560" w:lineRule="exact"/>
        <w:ind w:firstLine="427" w:firstLineChars="152"/>
        <w:rPr>
          <w:rFonts w:ascii="宋体" w:hAnsi="宋体"/>
          <w:b/>
          <w:sz w:val="28"/>
          <w:szCs w:val="28"/>
        </w:rPr>
      </w:pPr>
    </w:p>
    <w:p>
      <w:pPr>
        <w:tabs>
          <w:tab w:val="left" w:pos="1134"/>
        </w:tabs>
        <w:spacing w:line="560" w:lineRule="exact"/>
        <w:ind w:firstLine="562" w:firstLineChars="200"/>
        <w:rPr>
          <w:rFonts w:ascii="宋体" w:hAnsi="宋体"/>
          <w:b/>
          <w:bCs/>
          <w:sz w:val="28"/>
        </w:rPr>
      </w:pPr>
      <w:r>
        <w:rPr>
          <w:rFonts w:hint="eastAsia" w:ascii="宋体" w:hAnsi="宋体"/>
          <w:b/>
          <w:sz w:val="28"/>
          <w:szCs w:val="28"/>
        </w:rPr>
        <w:t>说明：投标报价以投标人在政府采购云平台开标一览表中填写的报价为准。</w:t>
      </w: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r>
        <w:rPr>
          <w:rFonts w:hint="eastAsia" w:ascii="宋体" w:hAnsi="宋体"/>
          <w:b/>
          <w:sz w:val="28"/>
          <w:szCs w:val="28"/>
        </w:rPr>
        <w:t>（如涉及）</w:t>
      </w:r>
    </w:p>
    <w:p>
      <w:pPr>
        <w:pStyle w:val="2"/>
        <w:spacing w:after="0" w:line="360" w:lineRule="auto"/>
        <w:ind w:left="1405" w:hanging="1405" w:hangingChars="500"/>
        <w:rPr>
          <w:rFonts w:ascii="宋体" w:hAnsi="宋体" w:cs="宋体"/>
          <w:b/>
          <w:bCs/>
          <w:sz w:val="28"/>
          <w:szCs w:val="28"/>
          <w:u w:val="single"/>
        </w:rPr>
      </w:pPr>
      <w:r>
        <w:rPr>
          <w:rFonts w:hint="eastAsia" w:ascii="宋体" w:hAnsi="宋体" w:cs="宋体"/>
          <w:b/>
          <w:bCs/>
          <w:sz w:val="28"/>
          <w:szCs w:val="28"/>
        </w:rPr>
        <w:t>项目名称：</w:t>
      </w:r>
      <w:r>
        <w:rPr>
          <w:rFonts w:hint="eastAsia" w:ascii="宋体" w:hAnsi="宋体" w:cs="宋体"/>
          <w:b/>
          <w:bCs/>
          <w:sz w:val="28"/>
          <w:szCs w:val="28"/>
          <w:u w:val="single"/>
        </w:rPr>
        <w:t>成都市双流区教育技术装备管理中心2021年彭镇小学等2校多功能厅LED、音箱和灯光系统采购项目</w:t>
      </w:r>
    </w:p>
    <w:p>
      <w:pPr>
        <w:tabs>
          <w:tab w:val="left" w:pos="7560"/>
        </w:tabs>
        <w:spacing w:line="360" w:lineRule="auto"/>
        <w:rPr>
          <w:rFonts w:ascii="宋体" w:hAnsi="宋体" w:cs="宋体"/>
          <w:b/>
          <w:sz w:val="28"/>
          <w:szCs w:val="20"/>
          <w:u w:val="single"/>
        </w:rPr>
      </w:pPr>
      <w:r>
        <w:rPr>
          <w:rFonts w:hint="eastAsia" w:ascii="宋体" w:hAnsi="宋体" w:cs="宋体"/>
          <w:b/>
          <w:sz w:val="28"/>
          <w:szCs w:val="20"/>
        </w:rPr>
        <w:t>项目编号：</w:t>
      </w:r>
      <w:r>
        <w:rPr>
          <w:rFonts w:hint="eastAsia" w:ascii="宋体" w:hAnsi="宋体" w:cs="宋体"/>
          <w:b/>
          <w:bCs/>
          <w:sz w:val="28"/>
          <w:szCs w:val="28"/>
          <w:u w:val="single"/>
        </w:rPr>
        <w:t>双流政采（2021）A0065号</w:t>
      </w:r>
    </w:p>
    <w:p/>
    <w:p>
      <w:pPr>
        <w:numPr>
          <w:ilvl w:val="0"/>
          <w:numId w:val="37"/>
        </w:numPr>
        <w:tabs>
          <w:tab w:val="left" w:pos="630"/>
          <w:tab w:val="left" w:pos="7560"/>
        </w:tabs>
        <w:spacing w:after="200" w:line="360" w:lineRule="auto"/>
        <w:ind w:firstLine="562" w:firstLineChars="200"/>
        <w:rPr>
          <w:rFonts w:ascii="宋体" w:hAnsi="宋体"/>
          <w:b/>
          <w:sz w:val="28"/>
        </w:rPr>
      </w:pPr>
      <w:r>
        <w:rPr>
          <w:rFonts w:hint="eastAsia" w:ascii="宋体" w:hAnsi="宋体"/>
          <w:b/>
          <w:sz w:val="28"/>
          <w:szCs w:val="28"/>
        </w:rPr>
        <w:t>分项报价明细表（说明：投标人应根据其投标报价的构成提供详</w:t>
      </w:r>
      <w:r>
        <w:rPr>
          <w:rFonts w:hint="eastAsia" w:ascii="宋体" w:hAnsi="宋体"/>
          <w:b/>
          <w:sz w:val="28"/>
        </w:rPr>
        <w:t>细的分项价格明细表。）</w:t>
      </w:r>
    </w:p>
    <w:tbl>
      <w:tblPr>
        <w:tblStyle w:val="43"/>
        <w:tblpPr w:leftFromText="180" w:rightFromText="180" w:vertAnchor="text" w:horzAnchor="margin" w:tblpX="-254" w:tblpY="1"/>
        <w:tblOverlap w:val="never"/>
        <w:tblW w:w="9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465"/>
        <w:gridCol w:w="876"/>
        <w:gridCol w:w="652"/>
        <w:gridCol w:w="876"/>
        <w:gridCol w:w="927"/>
        <w:gridCol w:w="726"/>
        <w:gridCol w:w="701"/>
        <w:gridCol w:w="802"/>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序号</w:t>
            </w:r>
          </w:p>
        </w:tc>
        <w:tc>
          <w:tcPr>
            <w:tcW w:w="1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货物名称</w:t>
            </w:r>
          </w:p>
          <w:p>
            <w:pPr>
              <w:spacing w:line="360" w:lineRule="auto"/>
              <w:jc w:val="center"/>
              <w:rPr>
                <w:rFonts w:ascii="宋体" w:hAnsi="宋体"/>
                <w:b/>
                <w:szCs w:val="21"/>
              </w:rPr>
            </w:pPr>
            <w:r>
              <w:rPr>
                <w:rFonts w:hint="eastAsia" w:ascii="宋体" w:hAnsi="宋体"/>
                <w:b/>
                <w:szCs w:val="21"/>
              </w:rPr>
              <w:t>（标的</w:t>
            </w:r>
            <w:r>
              <w:rPr>
                <w:rFonts w:ascii="宋体" w:hAnsi="宋体"/>
                <w:b/>
                <w:szCs w:val="21"/>
              </w:rPr>
              <w:t>名称</w:t>
            </w:r>
            <w:r>
              <w:rPr>
                <w:rFonts w:hint="eastAsia" w:ascii="宋体" w:hAnsi="宋体"/>
                <w:b/>
                <w:szCs w:val="21"/>
              </w:rPr>
              <w:t>）</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品牌</w:t>
            </w:r>
          </w:p>
        </w:tc>
        <w:tc>
          <w:tcPr>
            <w:tcW w:w="6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规格型号</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制造商</w:t>
            </w:r>
          </w:p>
        </w:tc>
        <w:tc>
          <w:tcPr>
            <w:tcW w:w="9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进口或国产</w:t>
            </w:r>
          </w:p>
        </w:tc>
        <w:tc>
          <w:tcPr>
            <w:tcW w:w="7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数量</w:t>
            </w:r>
          </w:p>
        </w:tc>
        <w:tc>
          <w:tcPr>
            <w:tcW w:w="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单位</w:t>
            </w: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单价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
                <w:szCs w:val="21"/>
              </w:rPr>
            </w:pPr>
            <w:r>
              <w:rPr>
                <w:rFonts w:hint="eastAsia" w:ascii="宋体" w:hAnsi="宋体"/>
                <w:b/>
                <w:szCs w:val="21"/>
              </w:rPr>
              <w:t>总价（元）</w:t>
            </w:r>
            <w:r>
              <w:rPr>
                <w:rFonts w:hint="eastAsia" w:ascii="宋体" w:hAnsi="宋体"/>
                <w:b/>
                <w:bCs/>
                <w:szCs w:val="21"/>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1</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65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92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2</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65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92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65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92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r>
    </w:tbl>
    <w:p>
      <w:pPr>
        <w:spacing w:line="360" w:lineRule="auto"/>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
      <w:pPr>
        <w:widowControl/>
        <w:jc w:val="left"/>
      </w:pPr>
      <w:r>
        <w:br w:type="page"/>
      </w:r>
    </w:p>
    <w:p>
      <w:pPr>
        <w:widowControl/>
        <w:jc w:val="left"/>
      </w:pPr>
    </w:p>
    <w:p>
      <w:pPr>
        <w:tabs>
          <w:tab w:val="left" w:pos="1134"/>
        </w:tabs>
        <w:spacing w:after="200" w:line="360" w:lineRule="auto"/>
        <w:ind w:firstLine="562" w:firstLineChars="200"/>
        <w:rPr>
          <w:rFonts w:ascii="宋体" w:hAnsi="宋体"/>
          <w:b/>
          <w:sz w:val="28"/>
        </w:rPr>
      </w:pPr>
      <w:r>
        <w:rPr>
          <w:rFonts w:hint="eastAsia" w:ascii="宋体" w:hAnsi="宋体"/>
          <w:b/>
          <w:sz w:val="28"/>
          <w:szCs w:val="28"/>
        </w:rPr>
        <w:t>二、投标人</w:t>
      </w:r>
      <w:r>
        <w:rPr>
          <w:rFonts w:hint="eastAsia" w:ascii="宋体" w:hAnsi="宋体"/>
          <w:b/>
          <w:sz w:val="28"/>
        </w:rPr>
        <w:t>投标产品中为监狱企业制造的货物清单及价格</w:t>
      </w:r>
    </w:p>
    <w:tbl>
      <w:tblPr>
        <w:tblStyle w:val="43"/>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204"/>
        <w:gridCol w:w="801"/>
        <w:gridCol w:w="1202"/>
        <w:gridCol w:w="1227"/>
        <w:gridCol w:w="721"/>
        <w:gridCol w:w="100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pPr>
              <w:spacing w:before="120" w:beforeLines="50" w:line="360" w:lineRule="auto"/>
              <w:jc w:val="center"/>
              <w:rPr>
                <w:rFonts w:ascii="宋体" w:hAnsi="宋体"/>
                <w:b/>
              </w:rPr>
            </w:pPr>
            <w:r>
              <w:rPr>
                <w:rFonts w:hint="eastAsia" w:ascii="宋体" w:hAnsi="宋体"/>
                <w:b/>
              </w:rPr>
              <w:t>序号</w:t>
            </w:r>
          </w:p>
        </w:tc>
        <w:tc>
          <w:tcPr>
            <w:tcW w:w="2204" w:type="dxa"/>
            <w:vAlign w:val="center"/>
          </w:tcPr>
          <w:p>
            <w:pPr>
              <w:spacing w:before="120" w:beforeLines="50" w:line="360" w:lineRule="auto"/>
              <w:jc w:val="center"/>
              <w:rPr>
                <w:rFonts w:ascii="宋体" w:hAnsi="宋体"/>
                <w:b/>
              </w:rPr>
            </w:pPr>
            <w:r>
              <w:rPr>
                <w:rFonts w:hint="eastAsia" w:ascii="宋体" w:hAnsi="宋体"/>
                <w:b/>
              </w:rPr>
              <w:t>货物名称</w:t>
            </w:r>
          </w:p>
        </w:tc>
        <w:tc>
          <w:tcPr>
            <w:tcW w:w="801" w:type="dxa"/>
            <w:vAlign w:val="center"/>
          </w:tcPr>
          <w:p>
            <w:pPr>
              <w:spacing w:before="120" w:beforeLines="50" w:line="360" w:lineRule="auto"/>
              <w:jc w:val="center"/>
              <w:rPr>
                <w:rFonts w:ascii="宋体" w:hAnsi="宋体"/>
                <w:b/>
              </w:rPr>
            </w:pPr>
            <w:r>
              <w:rPr>
                <w:rFonts w:hint="eastAsia" w:ascii="宋体" w:hAnsi="宋体"/>
                <w:b/>
              </w:rPr>
              <w:t>品牌</w:t>
            </w:r>
          </w:p>
        </w:tc>
        <w:tc>
          <w:tcPr>
            <w:tcW w:w="1202" w:type="dxa"/>
            <w:vAlign w:val="center"/>
          </w:tcPr>
          <w:p>
            <w:pPr>
              <w:spacing w:before="120" w:beforeLines="50" w:line="360" w:lineRule="auto"/>
              <w:jc w:val="center"/>
              <w:rPr>
                <w:rFonts w:ascii="宋体" w:hAnsi="宋体"/>
                <w:b/>
              </w:rPr>
            </w:pPr>
            <w:r>
              <w:rPr>
                <w:rFonts w:hint="eastAsia" w:ascii="宋体" w:hAnsi="宋体"/>
                <w:b/>
              </w:rPr>
              <w:t>规格型号</w:t>
            </w:r>
          </w:p>
        </w:tc>
        <w:tc>
          <w:tcPr>
            <w:tcW w:w="1227" w:type="dxa"/>
            <w:vAlign w:val="center"/>
          </w:tcPr>
          <w:p>
            <w:pPr>
              <w:spacing w:before="120" w:beforeLines="50" w:line="360" w:lineRule="auto"/>
              <w:jc w:val="center"/>
              <w:rPr>
                <w:rFonts w:ascii="宋体" w:hAnsi="宋体"/>
                <w:b/>
              </w:rPr>
            </w:pPr>
            <w:r>
              <w:rPr>
                <w:rFonts w:hint="eastAsia" w:ascii="宋体" w:hAnsi="宋体"/>
                <w:b/>
              </w:rPr>
              <w:t>制造商</w:t>
            </w:r>
          </w:p>
        </w:tc>
        <w:tc>
          <w:tcPr>
            <w:tcW w:w="721" w:type="dxa"/>
            <w:vAlign w:val="center"/>
          </w:tcPr>
          <w:p>
            <w:pPr>
              <w:spacing w:before="120" w:beforeLines="50" w:line="360" w:lineRule="auto"/>
              <w:jc w:val="center"/>
              <w:rPr>
                <w:rFonts w:ascii="宋体" w:hAnsi="宋体"/>
                <w:b/>
              </w:rPr>
            </w:pPr>
            <w:r>
              <w:rPr>
                <w:rFonts w:hint="eastAsia" w:ascii="宋体" w:hAnsi="宋体"/>
                <w:b/>
              </w:rPr>
              <w:t>数量</w:t>
            </w:r>
          </w:p>
        </w:tc>
        <w:tc>
          <w:tcPr>
            <w:tcW w:w="1004" w:type="dxa"/>
            <w:vAlign w:val="center"/>
          </w:tcPr>
          <w:p>
            <w:pPr>
              <w:spacing w:before="120" w:beforeLines="50" w:line="360" w:lineRule="auto"/>
              <w:jc w:val="center"/>
              <w:rPr>
                <w:rFonts w:ascii="宋体" w:hAnsi="宋体"/>
                <w:b/>
              </w:rPr>
            </w:pPr>
            <w:r>
              <w:rPr>
                <w:rFonts w:hint="eastAsia" w:ascii="宋体" w:hAnsi="宋体"/>
                <w:b/>
              </w:rPr>
              <w:t>单价</w:t>
            </w:r>
          </w:p>
        </w:tc>
        <w:tc>
          <w:tcPr>
            <w:tcW w:w="1394" w:type="dxa"/>
            <w:vAlign w:val="center"/>
          </w:tcPr>
          <w:p>
            <w:pPr>
              <w:spacing w:before="120" w:beforeLines="50" w:line="360" w:lineRule="auto"/>
              <w:jc w:val="center"/>
              <w:rPr>
                <w:rFonts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40" w:type="dxa"/>
            <w:vAlign w:val="center"/>
          </w:tcPr>
          <w:p>
            <w:pPr>
              <w:snapToGrid w:val="0"/>
              <w:spacing w:line="360" w:lineRule="auto"/>
              <w:jc w:val="center"/>
              <w:rPr>
                <w:rFonts w:ascii="宋体" w:hAnsi="宋体"/>
                <w:sz w:val="24"/>
                <w:szCs w:val="24"/>
              </w:rPr>
            </w:pPr>
            <w:r>
              <w:rPr>
                <w:rFonts w:hint="eastAsia" w:ascii="宋体" w:hAnsi="宋体"/>
                <w:sz w:val="24"/>
                <w:szCs w:val="24"/>
              </w:rPr>
              <w:t>1</w:t>
            </w:r>
          </w:p>
        </w:tc>
        <w:tc>
          <w:tcPr>
            <w:tcW w:w="2204" w:type="dxa"/>
            <w:vAlign w:val="center"/>
          </w:tcPr>
          <w:p>
            <w:pPr>
              <w:jc w:val="center"/>
              <w:rPr>
                <w:rFonts w:ascii="宋体" w:hAnsi="宋体"/>
                <w:sz w:val="24"/>
                <w:szCs w:val="24"/>
              </w:rPr>
            </w:pPr>
          </w:p>
        </w:tc>
        <w:tc>
          <w:tcPr>
            <w:tcW w:w="801" w:type="dxa"/>
            <w:vAlign w:val="center"/>
          </w:tcPr>
          <w:p>
            <w:pPr>
              <w:spacing w:line="360" w:lineRule="auto"/>
              <w:jc w:val="center"/>
              <w:rPr>
                <w:rFonts w:ascii="宋体" w:hAnsi="宋体"/>
                <w:sz w:val="24"/>
                <w:szCs w:val="24"/>
              </w:rPr>
            </w:pPr>
          </w:p>
        </w:tc>
        <w:tc>
          <w:tcPr>
            <w:tcW w:w="1202" w:type="dxa"/>
            <w:vAlign w:val="center"/>
          </w:tcPr>
          <w:p>
            <w:pPr>
              <w:spacing w:line="360" w:lineRule="auto"/>
              <w:jc w:val="center"/>
              <w:rPr>
                <w:rFonts w:ascii="宋体" w:hAnsi="宋体"/>
                <w:sz w:val="24"/>
                <w:szCs w:val="24"/>
              </w:rPr>
            </w:pPr>
          </w:p>
        </w:tc>
        <w:tc>
          <w:tcPr>
            <w:tcW w:w="1227" w:type="dxa"/>
            <w:vAlign w:val="center"/>
          </w:tcPr>
          <w:p>
            <w:pPr>
              <w:spacing w:line="360" w:lineRule="auto"/>
              <w:jc w:val="center"/>
              <w:rPr>
                <w:rFonts w:ascii="宋体" w:hAnsi="宋体"/>
                <w:sz w:val="24"/>
                <w:szCs w:val="24"/>
              </w:rPr>
            </w:pPr>
          </w:p>
        </w:tc>
        <w:tc>
          <w:tcPr>
            <w:tcW w:w="721" w:type="dxa"/>
            <w:vAlign w:val="center"/>
          </w:tcPr>
          <w:p>
            <w:pPr>
              <w:spacing w:line="360" w:lineRule="auto"/>
              <w:jc w:val="center"/>
              <w:rPr>
                <w:rFonts w:ascii="宋体" w:hAnsi="宋体"/>
                <w:sz w:val="24"/>
                <w:szCs w:val="24"/>
              </w:rPr>
            </w:pPr>
          </w:p>
        </w:tc>
        <w:tc>
          <w:tcPr>
            <w:tcW w:w="1004" w:type="dxa"/>
            <w:vAlign w:val="center"/>
          </w:tcPr>
          <w:p>
            <w:pPr>
              <w:spacing w:line="360" w:lineRule="auto"/>
              <w:jc w:val="center"/>
              <w:rPr>
                <w:rFonts w:ascii="宋体" w:hAnsi="宋体"/>
                <w:sz w:val="24"/>
                <w:szCs w:val="24"/>
              </w:rPr>
            </w:pPr>
          </w:p>
        </w:tc>
        <w:tc>
          <w:tcPr>
            <w:tcW w:w="1394" w:type="dxa"/>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40" w:type="dxa"/>
            <w:vAlign w:val="center"/>
          </w:tcPr>
          <w:p>
            <w:pPr>
              <w:snapToGrid w:val="0"/>
              <w:spacing w:line="360" w:lineRule="auto"/>
              <w:jc w:val="center"/>
              <w:rPr>
                <w:rFonts w:ascii="宋体" w:hAnsi="宋体"/>
                <w:sz w:val="24"/>
                <w:szCs w:val="24"/>
              </w:rPr>
            </w:pPr>
            <w:r>
              <w:rPr>
                <w:rFonts w:hint="eastAsia" w:ascii="宋体" w:hAnsi="宋体"/>
                <w:sz w:val="24"/>
                <w:szCs w:val="24"/>
              </w:rPr>
              <w:t>2</w:t>
            </w:r>
          </w:p>
        </w:tc>
        <w:tc>
          <w:tcPr>
            <w:tcW w:w="2204" w:type="dxa"/>
            <w:vAlign w:val="center"/>
          </w:tcPr>
          <w:p>
            <w:pPr>
              <w:jc w:val="center"/>
              <w:rPr>
                <w:rFonts w:ascii="宋体" w:hAnsi="宋体"/>
                <w:sz w:val="24"/>
                <w:szCs w:val="24"/>
              </w:rPr>
            </w:pPr>
          </w:p>
        </w:tc>
        <w:tc>
          <w:tcPr>
            <w:tcW w:w="801" w:type="dxa"/>
            <w:vAlign w:val="center"/>
          </w:tcPr>
          <w:p>
            <w:pPr>
              <w:spacing w:line="360" w:lineRule="auto"/>
              <w:jc w:val="center"/>
              <w:rPr>
                <w:rFonts w:ascii="宋体" w:hAnsi="宋体"/>
                <w:sz w:val="24"/>
                <w:szCs w:val="24"/>
              </w:rPr>
            </w:pPr>
          </w:p>
        </w:tc>
        <w:tc>
          <w:tcPr>
            <w:tcW w:w="1202" w:type="dxa"/>
            <w:vAlign w:val="center"/>
          </w:tcPr>
          <w:p>
            <w:pPr>
              <w:spacing w:line="360" w:lineRule="auto"/>
              <w:jc w:val="center"/>
              <w:rPr>
                <w:rFonts w:ascii="宋体" w:hAnsi="宋体"/>
                <w:sz w:val="24"/>
                <w:szCs w:val="24"/>
              </w:rPr>
            </w:pPr>
          </w:p>
        </w:tc>
        <w:tc>
          <w:tcPr>
            <w:tcW w:w="1227" w:type="dxa"/>
            <w:vAlign w:val="center"/>
          </w:tcPr>
          <w:p>
            <w:pPr>
              <w:spacing w:line="360" w:lineRule="auto"/>
              <w:jc w:val="center"/>
              <w:rPr>
                <w:rFonts w:ascii="宋体" w:hAnsi="宋体"/>
                <w:sz w:val="24"/>
                <w:szCs w:val="24"/>
              </w:rPr>
            </w:pPr>
          </w:p>
        </w:tc>
        <w:tc>
          <w:tcPr>
            <w:tcW w:w="721" w:type="dxa"/>
            <w:vAlign w:val="center"/>
          </w:tcPr>
          <w:p>
            <w:pPr>
              <w:spacing w:line="360" w:lineRule="auto"/>
              <w:jc w:val="center"/>
              <w:rPr>
                <w:rFonts w:ascii="宋体" w:hAnsi="宋体"/>
                <w:sz w:val="24"/>
                <w:szCs w:val="24"/>
              </w:rPr>
            </w:pPr>
          </w:p>
        </w:tc>
        <w:tc>
          <w:tcPr>
            <w:tcW w:w="1004" w:type="dxa"/>
            <w:vAlign w:val="center"/>
          </w:tcPr>
          <w:p>
            <w:pPr>
              <w:spacing w:line="360" w:lineRule="auto"/>
              <w:jc w:val="center"/>
              <w:rPr>
                <w:rFonts w:ascii="宋体" w:hAnsi="宋体"/>
                <w:sz w:val="24"/>
                <w:szCs w:val="24"/>
              </w:rPr>
            </w:pPr>
          </w:p>
        </w:tc>
        <w:tc>
          <w:tcPr>
            <w:tcW w:w="1394" w:type="dxa"/>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40" w:type="dxa"/>
            <w:vAlign w:val="center"/>
          </w:tcPr>
          <w:p>
            <w:pPr>
              <w:snapToGrid w:val="0"/>
              <w:spacing w:line="360" w:lineRule="auto"/>
              <w:jc w:val="center"/>
              <w:rPr>
                <w:rFonts w:ascii="宋体" w:hAnsi="宋体"/>
                <w:sz w:val="24"/>
                <w:szCs w:val="24"/>
              </w:rPr>
            </w:pPr>
            <w:r>
              <w:rPr>
                <w:rFonts w:hint="eastAsia" w:ascii="宋体" w:hAnsi="宋体"/>
                <w:sz w:val="24"/>
                <w:szCs w:val="24"/>
              </w:rPr>
              <w:t>…</w:t>
            </w:r>
          </w:p>
        </w:tc>
        <w:tc>
          <w:tcPr>
            <w:tcW w:w="2204" w:type="dxa"/>
            <w:vAlign w:val="center"/>
          </w:tcPr>
          <w:p>
            <w:pPr>
              <w:jc w:val="center"/>
              <w:rPr>
                <w:rFonts w:ascii="宋体" w:hAnsi="宋体" w:cs="宋体"/>
                <w:color w:val="000000"/>
                <w:kern w:val="0"/>
                <w:sz w:val="24"/>
              </w:rPr>
            </w:pPr>
          </w:p>
        </w:tc>
        <w:tc>
          <w:tcPr>
            <w:tcW w:w="801" w:type="dxa"/>
            <w:vAlign w:val="center"/>
          </w:tcPr>
          <w:p>
            <w:pPr>
              <w:spacing w:line="360" w:lineRule="auto"/>
              <w:jc w:val="center"/>
              <w:rPr>
                <w:rFonts w:ascii="宋体" w:hAnsi="宋体"/>
                <w:sz w:val="24"/>
                <w:szCs w:val="24"/>
              </w:rPr>
            </w:pPr>
          </w:p>
        </w:tc>
        <w:tc>
          <w:tcPr>
            <w:tcW w:w="1202" w:type="dxa"/>
            <w:vAlign w:val="center"/>
          </w:tcPr>
          <w:p>
            <w:pPr>
              <w:spacing w:line="360" w:lineRule="auto"/>
              <w:jc w:val="center"/>
              <w:rPr>
                <w:rFonts w:ascii="宋体" w:hAnsi="宋体"/>
                <w:sz w:val="24"/>
                <w:szCs w:val="24"/>
              </w:rPr>
            </w:pPr>
          </w:p>
        </w:tc>
        <w:tc>
          <w:tcPr>
            <w:tcW w:w="1227" w:type="dxa"/>
            <w:vAlign w:val="center"/>
          </w:tcPr>
          <w:p>
            <w:pPr>
              <w:spacing w:line="360" w:lineRule="auto"/>
              <w:jc w:val="center"/>
              <w:rPr>
                <w:rFonts w:ascii="宋体" w:hAnsi="宋体"/>
                <w:sz w:val="24"/>
                <w:szCs w:val="24"/>
              </w:rPr>
            </w:pPr>
          </w:p>
        </w:tc>
        <w:tc>
          <w:tcPr>
            <w:tcW w:w="721" w:type="dxa"/>
            <w:vAlign w:val="center"/>
          </w:tcPr>
          <w:p>
            <w:pPr>
              <w:spacing w:line="360" w:lineRule="auto"/>
              <w:jc w:val="center"/>
              <w:rPr>
                <w:rFonts w:ascii="宋体" w:hAnsi="宋体"/>
                <w:sz w:val="24"/>
                <w:szCs w:val="24"/>
              </w:rPr>
            </w:pPr>
          </w:p>
        </w:tc>
        <w:tc>
          <w:tcPr>
            <w:tcW w:w="1004" w:type="dxa"/>
            <w:vAlign w:val="center"/>
          </w:tcPr>
          <w:p>
            <w:pPr>
              <w:spacing w:line="360" w:lineRule="auto"/>
              <w:jc w:val="center"/>
              <w:rPr>
                <w:rFonts w:ascii="宋体" w:hAnsi="宋体"/>
                <w:sz w:val="24"/>
                <w:szCs w:val="24"/>
              </w:rPr>
            </w:pPr>
          </w:p>
        </w:tc>
        <w:tc>
          <w:tcPr>
            <w:tcW w:w="1394" w:type="dxa"/>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899" w:type="dxa"/>
            <w:gridSpan w:val="7"/>
            <w:vAlign w:val="bottom"/>
          </w:tcPr>
          <w:p>
            <w:pPr>
              <w:spacing w:line="360" w:lineRule="auto"/>
              <w:jc w:val="center"/>
              <w:rPr>
                <w:rFonts w:ascii="宋体" w:hAnsi="宋体"/>
              </w:rPr>
            </w:pPr>
            <w:r>
              <w:rPr>
                <w:rFonts w:hint="eastAsia" w:ascii="宋体" w:hAnsi="宋体" w:cs="宋体"/>
                <w:b/>
              </w:rPr>
              <w:t>监狱企业制造的货物</w:t>
            </w:r>
            <w:r>
              <w:rPr>
                <w:rFonts w:hint="eastAsia" w:ascii="宋体" w:hAnsi="宋体"/>
                <w:b/>
              </w:rPr>
              <w:t>总价合计</w:t>
            </w:r>
          </w:p>
        </w:tc>
        <w:tc>
          <w:tcPr>
            <w:tcW w:w="1394" w:type="dxa"/>
            <w:vAlign w:val="bottom"/>
          </w:tcPr>
          <w:p>
            <w:pPr>
              <w:spacing w:line="360" w:lineRule="auto"/>
              <w:rPr>
                <w:rFonts w:ascii="宋体" w:hAnsi="宋体"/>
              </w:rPr>
            </w:pPr>
            <w:r>
              <w:rPr>
                <w:rFonts w:hint="eastAsia" w:ascii="宋体" w:hAnsi="宋体"/>
              </w:rPr>
              <w:t>￥</w:t>
            </w:r>
          </w:p>
        </w:tc>
      </w:tr>
    </w:tbl>
    <w:p>
      <w:pPr>
        <w:widowControl/>
        <w:jc w:val="left"/>
      </w:pPr>
    </w:p>
    <w:p/>
    <w:p>
      <w:pPr>
        <w:widowControl/>
        <w:jc w:val="left"/>
        <w:rPr>
          <w:rFonts w:ascii="宋体" w:hAnsi="宋体"/>
          <w:b/>
          <w:sz w:val="28"/>
        </w:rPr>
      </w:pPr>
      <w:r>
        <w:rPr>
          <w:rFonts w:hint="eastAsia" w:ascii="宋体" w:hAnsi="宋体"/>
          <w:b/>
          <w:sz w:val="28"/>
        </w:rPr>
        <w:t>说明：</w:t>
      </w:r>
      <w:r>
        <w:rPr>
          <w:rFonts w:ascii="宋体" w:hAnsi="宋体"/>
          <w:b/>
          <w:sz w:val="28"/>
        </w:rPr>
        <w:t>1、提供由省级以上监狱管理局、戒毒管理局（含新疆生产建设兵团）出具的</w:t>
      </w:r>
      <w:r>
        <w:rPr>
          <w:rFonts w:hint="eastAsia" w:ascii="宋体" w:hAnsi="宋体"/>
          <w:b/>
          <w:sz w:val="28"/>
        </w:rPr>
        <w:t>制造</w:t>
      </w:r>
      <w:r>
        <w:rPr>
          <w:rFonts w:ascii="宋体" w:hAnsi="宋体"/>
          <w:b/>
          <w:sz w:val="28"/>
        </w:rPr>
        <w:t>商属于监狱企业的证明文件复印件；</w:t>
      </w:r>
    </w:p>
    <w:p>
      <w:pPr>
        <w:widowControl/>
        <w:jc w:val="left"/>
      </w:pPr>
      <w:r>
        <w:rPr>
          <w:rFonts w:ascii="宋体" w:hAnsi="宋体"/>
          <w:b/>
          <w:sz w:val="28"/>
        </w:rPr>
        <w:t>2、如未提供</w:t>
      </w:r>
      <w:r>
        <w:rPr>
          <w:rFonts w:hint="eastAsia" w:ascii="宋体" w:hAnsi="宋体"/>
          <w:b/>
          <w:sz w:val="28"/>
        </w:rPr>
        <w:t>货物</w:t>
      </w:r>
      <w:r>
        <w:rPr>
          <w:rFonts w:ascii="宋体" w:hAnsi="宋体"/>
          <w:b/>
          <w:sz w:val="28"/>
        </w:rPr>
        <w:t>清单及价格以及相关证明材料复印件，则不能享受对监狱企业</w:t>
      </w:r>
      <w:r>
        <w:rPr>
          <w:rFonts w:hint="eastAsia" w:ascii="宋体" w:hAnsi="宋体"/>
          <w:b/>
          <w:sz w:val="28"/>
        </w:rPr>
        <w:t>制造的货物</w:t>
      </w:r>
      <w:r>
        <w:rPr>
          <w:rFonts w:ascii="宋体" w:hAnsi="宋体"/>
          <w:b/>
          <w:sz w:val="28"/>
        </w:rPr>
        <w:t>的价格扣除，但不影响投标文件的有效性。</w:t>
      </w:r>
    </w:p>
    <w:p/>
    <w:p>
      <w:pPr>
        <w:pStyle w:val="2"/>
      </w:pPr>
    </w:p>
    <w:p/>
    <w:p>
      <w:pPr>
        <w:tabs>
          <w:tab w:val="left" w:pos="630"/>
          <w:tab w:val="left" w:pos="7560"/>
        </w:tabs>
        <w:spacing w:after="200" w:line="360" w:lineRule="auto"/>
        <w:rPr>
          <w:rFonts w:ascii="宋体" w:hAnsi="宋体"/>
          <w:b/>
          <w:sz w:val="28"/>
        </w:rPr>
      </w:pPr>
      <w:r>
        <w:rPr>
          <w:rFonts w:hint="eastAsia" w:ascii="宋体" w:hAnsi="宋体"/>
          <w:b/>
          <w:sz w:val="28"/>
        </w:rPr>
        <w:t>三、投标人投标产品中为残疾人福利性单位制造的货物清单及价格</w:t>
      </w:r>
    </w:p>
    <w:tbl>
      <w:tblPr>
        <w:tblStyle w:val="43"/>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2178"/>
        <w:gridCol w:w="814"/>
        <w:gridCol w:w="1215"/>
        <w:gridCol w:w="1214"/>
        <w:gridCol w:w="714"/>
        <w:gridCol w:w="1027"/>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pacing w:before="120" w:beforeLines="50" w:line="360" w:lineRule="auto"/>
              <w:jc w:val="center"/>
              <w:rPr>
                <w:rFonts w:ascii="宋体" w:hAnsi="宋体"/>
                <w:b/>
              </w:rPr>
            </w:pPr>
            <w:r>
              <w:rPr>
                <w:rFonts w:hint="eastAsia" w:ascii="宋体" w:hAnsi="宋体"/>
                <w:b/>
              </w:rPr>
              <w:t>序号</w:t>
            </w:r>
          </w:p>
        </w:tc>
        <w:tc>
          <w:tcPr>
            <w:tcW w:w="2178" w:type="dxa"/>
            <w:vAlign w:val="center"/>
          </w:tcPr>
          <w:p>
            <w:pPr>
              <w:spacing w:before="120" w:beforeLines="50" w:line="360" w:lineRule="auto"/>
              <w:jc w:val="center"/>
              <w:rPr>
                <w:rFonts w:ascii="宋体" w:hAnsi="宋体"/>
                <w:b/>
              </w:rPr>
            </w:pPr>
            <w:r>
              <w:rPr>
                <w:rFonts w:hint="eastAsia" w:ascii="宋体" w:hAnsi="宋体"/>
                <w:b/>
              </w:rPr>
              <w:t>货物名称</w:t>
            </w:r>
          </w:p>
        </w:tc>
        <w:tc>
          <w:tcPr>
            <w:tcW w:w="814" w:type="dxa"/>
          </w:tcPr>
          <w:p>
            <w:pPr>
              <w:spacing w:before="120" w:beforeLines="50" w:line="360" w:lineRule="auto"/>
              <w:jc w:val="center"/>
              <w:rPr>
                <w:rFonts w:ascii="宋体" w:hAnsi="宋体"/>
                <w:b/>
              </w:rPr>
            </w:pPr>
            <w:r>
              <w:rPr>
                <w:rFonts w:hint="eastAsia" w:ascii="宋体" w:hAnsi="宋体"/>
                <w:b/>
              </w:rPr>
              <w:t>品牌</w:t>
            </w:r>
          </w:p>
        </w:tc>
        <w:tc>
          <w:tcPr>
            <w:tcW w:w="1215" w:type="dxa"/>
            <w:vAlign w:val="center"/>
          </w:tcPr>
          <w:p>
            <w:pPr>
              <w:spacing w:before="120" w:beforeLines="50" w:line="360" w:lineRule="auto"/>
              <w:jc w:val="center"/>
              <w:rPr>
                <w:rFonts w:ascii="宋体" w:hAnsi="宋体"/>
                <w:b/>
              </w:rPr>
            </w:pPr>
            <w:r>
              <w:rPr>
                <w:rFonts w:hint="eastAsia" w:ascii="宋体" w:hAnsi="宋体"/>
                <w:b/>
              </w:rPr>
              <w:t>规格型号</w:t>
            </w:r>
          </w:p>
        </w:tc>
        <w:tc>
          <w:tcPr>
            <w:tcW w:w="1214" w:type="dxa"/>
            <w:vAlign w:val="center"/>
          </w:tcPr>
          <w:p>
            <w:pPr>
              <w:spacing w:before="120" w:beforeLines="50" w:line="360" w:lineRule="auto"/>
              <w:jc w:val="center"/>
              <w:rPr>
                <w:rFonts w:ascii="宋体" w:hAnsi="宋体"/>
                <w:b/>
              </w:rPr>
            </w:pPr>
            <w:r>
              <w:rPr>
                <w:rFonts w:hint="eastAsia" w:ascii="宋体" w:hAnsi="宋体"/>
                <w:b/>
              </w:rPr>
              <w:t>制造商</w:t>
            </w:r>
          </w:p>
        </w:tc>
        <w:tc>
          <w:tcPr>
            <w:tcW w:w="714" w:type="dxa"/>
            <w:vAlign w:val="center"/>
          </w:tcPr>
          <w:p>
            <w:pPr>
              <w:spacing w:before="120" w:beforeLines="50" w:line="360" w:lineRule="auto"/>
              <w:jc w:val="center"/>
              <w:rPr>
                <w:rFonts w:ascii="宋体" w:hAnsi="宋体"/>
                <w:b/>
              </w:rPr>
            </w:pPr>
            <w:r>
              <w:rPr>
                <w:rFonts w:hint="eastAsia" w:ascii="宋体" w:hAnsi="宋体"/>
                <w:b/>
              </w:rPr>
              <w:t>数量</w:t>
            </w:r>
          </w:p>
        </w:tc>
        <w:tc>
          <w:tcPr>
            <w:tcW w:w="1027" w:type="dxa"/>
            <w:vAlign w:val="center"/>
          </w:tcPr>
          <w:p>
            <w:pPr>
              <w:spacing w:before="120" w:beforeLines="50" w:line="360" w:lineRule="auto"/>
              <w:jc w:val="center"/>
              <w:rPr>
                <w:rFonts w:ascii="宋体" w:hAnsi="宋体"/>
                <w:b/>
              </w:rPr>
            </w:pPr>
            <w:r>
              <w:rPr>
                <w:rFonts w:hint="eastAsia" w:ascii="宋体" w:hAnsi="宋体"/>
                <w:b/>
              </w:rPr>
              <w:t>单价</w:t>
            </w:r>
          </w:p>
        </w:tc>
        <w:tc>
          <w:tcPr>
            <w:tcW w:w="1428" w:type="dxa"/>
            <w:vAlign w:val="center"/>
          </w:tcPr>
          <w:p>
            <w:pPr>
              <w:spacing w:before="120" w:beforeLines="50" w:line="360" w:lineRule="auto"/>
              <w:jc w:val="center"/>
              <w:rPr>
                <w:rFonts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03" w:type="dxa"/>
            <w:vAlign w:val="center"/>
          </w:tcPr>
          <w:p>
            <w:pPr>
              <w:snapToGrid w:val="0"/>
              <w:spacing w:line="360" w:lineRule="auto"/>
              <w:jc w:val="center"/>
              <w:rPr>
                <w:rFonts w:ascii="宋体" w:hAnsi="宋体"/>
              </w:rPr>
            </w:pPr>
            <w:r>
              <w:rPr>
                <w:rFonts w:hint="eastAsia" w:ascii="宋体" w:hAnsi="宋体"/>
              </w:rPr>
              <w:t>1</w:t>
            </w:r>
          </w:p>
        </w:tc>
        <w:tc>
          <w:tcPr>
            <w:tcW w:w="2178" w:type="dxa"/>
            <w:vAlign w:val="center"/>
          </w:tcPr>
          <w:p>
            <w:pPr>
              <w:jc w:val="center"/>
              <w:rPr>
                <w:rFonts w:ascii="宋体" w:hAnsi="宋体"/>
                <w:szCs w:val="28"/>
              </w:rPr>
            </w:pPr>
          </w:p>
        </w:tc>
        <w:tc>
          <w:tcPr>
            <w:tcW w:w="814" w:type="dxa"/>
          </w:tcPr>
          <w:p>
            <w:pPr>
              <w:spacing w:line="360" w:lineRule="auto"/>
              <w:jc w:val="center"/>
              <w:rPr>
                <w:rFonts w:ascii="宋体" w:hAnsi="宋体"/>
              </w:rPr>
            </w:pPr>
          </w:p>
        </w:tc>
        <w:tc>
          <w:tcPr>
            <w:tcW w:w="1215" w:type="dxa"/>
            <w:vAlign w:val="center"/>
          </w:tcPr>
          <w:p>
            <w:pPr>
              <w:spacing w:line="360" w:lineRule="auto"/>
              <w:jc w:val="center"/>
              <w:rPr>
                <w:rFonts w:ascii="宋体" w:hAnsi="宋体"/>
              </w:rPr>
            </w:pPr>
          </w:p>
        </w:tc>
        <w:tc>
          <w:tcPr>
            <w:tcW w:w="1214" w:type="dxa"/>
            <w:vAlign w:val="center"/>
          </w:tcPr>
          <w:p>
            <w:pPr>
              <w:spacing w:line="360" w:lineRule="auto"/>
              <w:jc w:val="center"/>
              <w:rPr>
                <w:rFonts w:ascii="宋体" w:hAnsi="宋体"/>
              </w:rPr>
            </w:pPr>
          </w:p>
        </w:tc>
        <w:tc>
          <w:tcPr>
            <w:tcW w:w="714" w:type="dxa"/>
            <w:vAlign w:val="center"/>
          </w:tcPr>
          <w:p>
            <w:pPr>
              <w:spacing w:line="360" w:lineRule="auto"/>
              <w:jc w:val="center"/>
              <w:rPr>
                <w:rFonts w:ascii="宋体" w:hAnsi="宋体"/>
              </w:rPr>
            </w:pPr>
          </w:p>
        </w:tc>
        <w:tc>
          <w:tcPr>
            <w:tcW w:w="1027" w:type="dxa"/>
            <w:vAlign w:val="center"/>
          </w:tcPr>
          <w:p>
            <w:pPr>
              <w:spacing w:line="360" w:lineRule="auto"/>
              <w:jc w:val="center"/>
              <w:rPr>
                <w:rFonts w:ascii="宋体" w:hAnsi="宋体"/>
              </w:rPr>
            </w:pPr>
          </w:p>
        </w:tc>
        <w:tc>
          <w:tcPr>
            <w:tcW w:w="1428"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03" w:type="dxa"/>
            <w:vAlign w:val="center"/>
          </w:tcPr>
          <w:p>
            <w:pPr>
              <w:snapToGrid w:val="0"/>
              <w:spacing w:line="360" w:lineRule="auto"/>
              <w:jc w:val="center"/>
              <w:rPr>
                <w:rFonts w:ascii="宋体" w:hAnsi="宋体"/>
              </w:rPr>
            </w:pPr>
            <w:r>
              <w:rPr>
                <w:rFonts w:hint="eastAsia" w:ascii="宋体" w:hAnsi="宋体"/>
              </w:rPr>
              <w:t>2</w:t>
            </w:r>
          </w:p>
        </w:tc>
        <w:tc>
          <w:tcPr>
            <w:tcW w:w="2178" w:type="dxa"/>
            <w:vAlign w:val="center"/>
          </w:tcPr>
          <w:p>
            <w:pPr>
              <w:jc w:val="center"/>
              <w:rPr>
                <w:rFonts w:ascii="宋体" w:hAnsi="宋体"/>
                <w:szCs w:val="28"/>
              </w:rPr>
            </w:pPr>
          </w:p>
        </w:tc>
        <w:tc>
          <w:tcPr>
            <w:tcW w:w="814" w:type="dxa"/>
          </w:tcPr>
          <w:p>
            <w:pPr>
              <w:spacing w:line="360" w:lineRule="auto"/>
              <w:jc w:val="center"/>
              <w:rPr>
                <w:rFonts w:ascii="宋体" w:hAnsi="宋体"/>
              </w:rPr>
            </w:pPr>
          </w:p>
        </w:tc>
        <w:tc>
          <w:tcPr>
            <w:tcW w:w="1215" w:type="dxa"/>
            <w:vAlign w:val="center"/>
          </w:tcPr>
          <w:p>
            <w:pPr>
              <w:spacing w:line="360" w:lineRule="auto"/>
              <w:jc w:val="center"/>
              <w:rPr>
                <w:rFonts w:ascii="宋体" w:hAnsi="宋体"/>
              </w:rPr>
            </w:pPr>
          </w:p>
        </w:tc>
        <w:tc>
          <w:tcPr>
            <w:tcW w:w="1214" w:type="dxa"/>
            <w:vAlign w:val="center"/>
          </w:tcPr>
          <w:p>
            <w:pPr>
              <w:spacing w:line="360" w:lineRule="auto"/>
              <w:jc w:val="center"/>
              <w:rPr>
                <w:rFonts w:ascii="宋体" w:hAnsi="宋体"/>
              </w:rPr>
            </w:pPr>
          </w:p>
        </w:tc>
        <w:tc>
          <w:tcPr>
            <w:tcW w:w="714" w:type="dxa"/>
            <w:vAlign w:val="center"/>
          </w:tcPr>
          <w:p>
            <w:pPr>
              <w:spacing w:line="360" w:lineRule="auto"/>
              <w:jc w:val="center"/>
              <w:rPr>
                <w:rFonts w:ascii="宋体" w:hAnsi="宋体"/>
              </w:rPr>
            </w:pPr>
          </w:p>
        </w:tc>
        <w:tc>
          <w:tcPr>
            <w:tcW w:w="1027" w:type="dxa"/>
            <w:vAlign w:val="center"/>
          </w:tcPr>
          <w:p>
            <w:pPr>
              <w:spacing w:line="360" w:lineRule="auto"/>
              <w:jc w:val="center"/>
              <w:rPr>
                <w:rFonts w:ascii="宋体" w:hAnsi="宋体"/>
              </w:rPr>
            </w:pPr>
          </w:p>
        </w:tc>
        <w:tc>
          <w:tcPr>
            <w:tcW w:w="1428"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03" w:type="dxa"/>
            <w:vAlign w:val="center"/>
          </w:tcPr>
          <w:p>
            <w:pPr>
              <w:snapToGrid w:val="0"/>
              <w:spacing w:line="360" w:lineRule="auto"/>
              <w:jc w:val="center"/>
              <w:rPr>
                <w:rFonts w:ascii="宋体" w:hAnsi="宋体"/>
              </w:rPr>
            </w:pPr>
            <w:r>
              <w:rPr>
                <w:rFonts w:hint="eastAsia" w:ascii="宋体" w:hAnsi="宋体"/>
                <w:sz w:val="24"/>
                <w:szCs w:val="24"/>
              </w:rPr>
              <w:t>…</w:t>
            </w:r>
          </w:p>
        </w:tc>
        <w:tc>
          <w:tcPr>
            <w:tcW w:w="2178" w:type="dxa"/>
            <w:vAlign w:val="center"/>
          </w:tcPr>
          <w:p>
            <w:pPr>
              <w:jc w:val="center"/>
              <w:rPr>
                <w:rFonts w:ascii="宋体" w:hAnsi="宋体"/>
                <w:szCs w:val="28"/>
              </w:rPr>
            </w:pPr>
          </w:p>
        </w:tc>
        <w:tc>
          <w:tcPr>
            <w:tcW w:w="814" w:type="dxa"/>
          </w:tcPr>
          <w:p>
            <w:pPr>
              <w:spacing w:line="360" w:lineRule="auto"/>
              <w:jc w:val="center"/>
              <w:rPr>
                <w:rFonts w:ascii="宋体" w:hAnsi="宋体"/>
              </w:rPr>
            </w:pPr>
          </w:p>
        </w:tc>
        <w:tc>
          <w:tcPr>
            <w:tcW w:w="1215" w:type="dxa"/>
            <w:vAlign w:val="center"/>
          </w:tcPr>
          <w:p>
            <w:pPr>
              <w:spacing w:line="360" w:lineRule="auto"/>
              <w:jc w:val="center"/>
              <w:rPr>
                <w:rFonts w:ascii="宋体" w:hAnsi="宋体"/>
              </w:rPr>
            </w:pPr>
          </w:p>
        </w:tc>
        <w:tc>
          <w:tcPr>
            <w:tcW w:w="1214" w:type="dxa"/>
            <w:vAlign w:val="center"/>
          </w:tcPr>
          <w:p>
            <w:pPr>
              <w:spacing w:line="360" w:lineRule="auto"/>
              <w:jc w:val="center"/>
              <w:rPr>
                <w:rFonts w:ascii="宋体" w:hAnsi="宋体"/>
              </w:rPr>
            </w:pPr>
          </w:p>
        </w:tc>
        <w:tc>
          <w:tcPr>
            <w:tcW w:w="714" w:type="dxa"/>
            <w:vAlign w:val="center"/>
          </w:tcPr>
          <w:p>
            <w:pPr>
              <w:spacing w:line="360" w:lineRule="auto"/>
              <w:jc w:val="center"/>
              <w:rPr>
                <w:rFonts w:ascii="宋体" w:hAnsi="宋体"/>
              </w:rPr>
            </w:pPr>
          </w:p>
        </w:tc>
        <w:tc>
          <w:tcPr>
            <w:tcW w:w="1027" w:type="dxa"/>
            <w:vAlign w:val="center"/>
          </w:tcPr>
          <w:p>
            <w:pPr>
              <w:spacing w:line="360" w:lineRule="auto"/>
              <w:jc w:val="center"/>
              <w:rPr>
                <w:rFonts w:ascii="宋体" w:hAnsi="宋体"/>
              </w:rPr>
            </w:pPr>
          </w:p>
        </w:tc>
        <w:tc>
          <w:tcPr>
            <w:tcW w:w="1428"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965" w:type="dxa"/>
            <w:gridSpan w:val="7"/>
          </w:tcPr>
          <w:p>
            <w:pPr>
              <w:spacing w:line="360" w:lineRule="auto"/>
              <w:jc w:val="center"/>
              <w:rPr>
                <w:rFonts w:ascii="宋体" w:hAnsi="宋体"/>
              </w:rPr>
            </w:pPr>
            <w:r>
              <w:rPr>
                <w:rFonts w:hint="eastAsia" w:ascii="宋体" w:hAnsi="宋体" w:cs="宋体"/>
                <w:b/>
              </w:rPr>
              <w:t>残疾人福利性单位制造的货物总价合计</w:t>
            </w:r>
          </w:p>
        </w:tc>
        <w:tc>
          <w:tcPr>
            <w:tcW w:w="1428" w:type="dxa"/>
            <w:vAlign w:val="center"/>
          </w:tcPr>
          <w:p>
            <w:pPr>
              <w:spacing w:line="360" w:lineRule="auto"/>
              <w:rPr>
                <w:rFonts w:ascii="宋体" w:hAnsi="宋体"/>
              </w:rPr>
            </w:pPr>
            <w:r>
              <w:rPr>
                <w:rFonts w:hint="eastAsia" w:ascii="宋体" w:hAnsi="宋体"/>
              </w:rPr>
              <w:t>￥</w:t>
            </w:r>
          </w:p>
        </w:tc>
      </w:tr>
    </w:tbl>
    <w:p>
      <w:pPr>
        <w:widowControl/>
        <w:jc w:val="left"/>
      </w:pPr>
    </w:p>
    <w:p>
      <w:pPr>
        <w:widowControl/>
        <w:jc w:val="left"/>
      </w:pPr>
    </w:p>
    <w:p>
      <w:pPr>
        <w:widowControl/>
        <w:jc w:val="left"/>
      </w:pPr>
      <w:r>
        <w:rPr>
          <w:rFonts w:hint="eastAsia" w:ascii="宋体" w:hAnsi="宋体"/>
          <w:b/>
          <w:sz w:val="28"/>
        </w:rPr>
        <w:t>说明：如未提供则不能享受对残疾人福利性单位制造的货物的价格扣除，</w:t>
      </w:r>
      <w:r>
        <w:rPr>
          <w:rFonts w:ascii="宋体" w:hAnsi="宋体"/>
          <w:b/>
          <w:sz w:val="28"/>
        </w:rPr>
        <w:t>但不影响投标文件的有效性。</w:t>
      </w:r>
    </w:p>
    <w:p>
      <w:pPr>
        <w:widowControl/>
        <w:jc w:val="left"/>
      </w:pPr>
    </w:p>
    <w:p>
      <w:pPr>
        <w:widowControl/>
        <w:jc w:val="left"/>
      </w:pPr>
    </w:p>
    <w:p>
      <w:pPr>
        <w:spacing w:line="360" w:lineRule="auto"/>
        <w:rPr>
          <w:rFonts w:ascii="宋体" w:hAnsi="宋体"/>
          <w:sz w:val="28"/>
          <w:lang w:val="zh-CN"/>
        </w:rPr>
      </w:pPr>
      <w:r>
        <w:rPr>
          <w:rFonts w:hint="eastAsia" w:ascii="宋体" w:hAnsi="宋体"/>
          <w:sz w:val="28"/>
          <w:lang w:val="zh-CN"/>
        </w:rPr>
        <w:t>投标人名称：</w:t>
      </w:r>
      <w:r>
        <w:rPr>
          <w:rFonts w:ascii="宋体" w:hAnsi="宋体"/>
          <w:sz w:val="28"/>
          <w:u w:val="single"/>
          <w:lang w:val="zh-CN"/>
        </w:rPr>
        <w:t>XXXX</w:t>
      </w:r>
    </w:p>
    <w:p>
      <w:pPr>
        <w:spacing w:line="360" w:lineRule="auto"/>
        <w:rPr>
          <w:rFonts w:ascii="宋体" w:hAnsi="宋体"/>
          <w:bCs/>
          <w:sz w:val="28"/>
        </w:rPr>
      </w:pPr>
      <w:r>
        <w:rPr>
          <w:rFonts w:ascii="宋体" w:hAnsi="宋体"/>
          <w:sz w:val="28"/>
        </w:rPr>
        <w:t>日期：</w:t>
      </w:r>
      <w:r>
        <w:rPr>
          <w:rFonts w:ascii="宋体" w:hAnsi="宋体"/>
          <w:sz w:val="28"/>
          <w:u w:val="single"/>
          <w:lang w:val="zh-CN"/>
        </w:rPr>
        <w:t>XXXX</w:t>
      </w:r>
      <w:r>
        <w:rPr>
          <w:rFonts w:ascii="宋体" w:hAnsi="宋体"/>
          <w:bCs/>
          <w:sz w:val="28"/>
        </w:rPr>
        <w:t>年</w:t>
      </w:r>
      <w:r>
        <w:rPr>
          <w:rFonts w:ascii="宋体" w:hAnsi="宋体"/>
          <w:sz w:val="28"/>
          <w:u w:val="single"/>
          <w:lang w:val="zh-CN"/>
        </w:rPr>
        <w:t>XX</w:t>
      </w:r>
      <w:r>
        <w:rPr>
          <w:rFonts w:ascii="宋体" w:hAnsi="宋体"/>
          <w:bCs/>
          <w:sz w:val="28"/>
        </w:rPr>
        <w:t>月</w:t>
      </w:r>
      <w:r>
        <w:rPr>
          <w:rFonts w:ascii="宋体" w:hAnsi="宋体"/>
          <w:sz w:val="28"/>
          <w:u w:val="single"/>
          <w:lang w:val="zh-CN"/>
        </w:rPr>
        <w:t>XX</w:t>
      </w:r>
      <w:r>
        <w:rPr>
          <w:rFonts w:ascii="宋体" w:hAnsi="宋体"/>
          <w:bCs/>
          <w:sz w:val="28"/>
        </w:rPr>
        <w:t>日</w:t>
      </w:r>
    </w:p>
    <w:p>
      <w:pPr>
        <w:widowControl/>
        <w:jc w:val="left"/>
        <w:rPr>
          <w:rFonts w:ascii="宋体" w:hAnsi="Courier New"/>
          <w:kern w:val="0"/>
          <w:sz w:val="20"/>
          <w:szCs w:val="18"/>
        </w:rPr>
      </w:pPr>
      <w:r>
        <w:br w:type="page"/>
      </w:r>
    </w:p>
    <w:bookmarkEnd w:id="158"/>
    <w:p>
      <w:pPr>
        <w:keepNext/>
        <w:keepLines/>
        <w:numPr>
          <w:ilvl w:val="2"/>
          <w:numId w:val="5"/>
        </w:numPr>
        <w:ind w:left="3118" w:hanging="3118"/>
        <w:outlineLvl w:val="2"/>
        <w:rPr>
          <w:rFonts w:ascii="宋体" w:hAnsi="宋体"/>
          <w:b/>
          <w:bCs/>
          <w:sz w:val="28"/>
          <w:szCs w:val="28"/>
        </w:rPr>
      </w:pPr>
      <w:bookmarkStart w:id="162" w:name="_Toc217446093"/>
      <w:bookmarkStart w:id="163" w:name="_Toc316292231"/>
      <w:bookmarkStart w:id="164" w:name="_Toc321382057"/>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spacing w:line="480" w:lineRule="exact"/>
        <w:ind w:firstLine="561"/>
        <w:rPr>
          <w:rFonts w:ascii="宋体" w:hAnsi="宋体"/>
          <w:sz w:val="26"/>
          <w:szCs w:val="26"/>
        </w:rPr>
      </w:pPr>
      <w:r>
        <w:rPr>
          <w:rFonts w:hint="eastAsia" w:ascii="宋体" w:hAnsi="宋体"/>
          <w:sz w:val="26"/>
          <w:szCs w:val="26"/>
        </w:rPr>
        <w:t>本公司郑重声明，根据《政府采购促进中小企业发展管理办法》（财库﹝2020﹞46 号）的规定，本公司参加</w:t>
      </w:r>
      <w:r>
        <w:rPr>
          <w:rFonts w:hint="eastAsia" w:ascii="宋体" w:hAnsi="宋体"/>
          <w:b/>
          <w:sz w:val="26"/>
          <w:szCs w:val="26"/>
          <w:u w:val="single"/>
        </w:rPr>
        <w:t>成都市双流区教育技术装备管理中心</w:t>
      </w:r>
      <w:r>
        <w:rPr>
          <w:rFonts w:hint="eastAsia" w:ascii="宋体" w:hAnsi="宋体"/>
          <w:sz w:val="26"/>
          <w:szCs w:val="26"/>
        </w:rPr>
        <w:t>的</w:t>
      </w:r>
      <w:r>
        <w:rPr>
          <w:rFonts w:hint="eastAsia" w:ascii="宋体" w:hAnsi="宋体"/>
          <w:b/>
          <w:sz w:val="26"/>
          <w:szCs w:val="26"/>
          <w:u w:val="single"/>
        </w:rPr>
        <w:t>成都市双流区教育技术装备管理中心2021年彭镇小学等2校多功能厅LED、音箱和灯光系统采购项目（项目编号：双流政采（2021）A0065号）</w:t>
      </w:r>
      <w:r>
        <w:rPr>
          <w:rFonts w:hint="eastAsia" w:ascii="宋体" w:hAnsi="宋体"/>
          <w:sz w:val="26"/>
          <w:szCs w:val="26"/>
        </w:rPr>
        <w:t>采购活动，</w:t>
      </w:r>
      <w:r>
        <w:rPr>
          <w:rFonts w:hint="eastAsia" w:ascii="宋体" w:hAnsi="宋体"/>
          <w:bCs/>
          <w:sz w:val="26"/>
          <w:szCs w:val="26"/>
        </w:rPr>
        <w:t>提供的货物全部由符合政策要求的中小企业制造。</w:t>
      </w:r>
      <w:r>
        <w:rPr>
          <w:rFonts w:hint="eastAsia" w:ascii="宋体" w:hAnsi="宋体"/>
          <w:sz w:val="26"/>
          <w:szCs w:val="26"/>
        </w:rPr>
        <w:t>相关企业的具体情况如下：</w:t>
      </w:r>
    </w:p>
    <w:p>
      <w:pPr>
        <w:spacing w:line="480" w:lineRule="exact"/>
        <w:ind w:firstLine="561"/>
        <w:rPr>
          <w:rFonts w:ascii="宋体" w:hAnsi="宋体" w:cs="宋体"/>
          <w:sz w:val="26"/>
          <w:szCs w:val="26"/>
        </w:rPr>
      </w:pPr>
      <w:r>
        <w:rPr>
          <w:rFonts w:hint="eastAsia" w:ascii="宋体" w:hAnsi="宋体" w:cs="宋体"/>
          <w:sz w:val="26"/>
          <w:szCs w:val="26"/>
        </w:rPr>
        <w:t xml:space="preserve"> 1.</w:t>
      </w:r>
      <w:r>
        <w:rPr>
          <w:rFonts w:hint="eastAsia" w:ascii="宋体" w:hAnsi="宋体" w:cs="宋体"/>
          <w:b/>
          <w:bCs/>
          <w:sz w:val="26"/>
          <w:szCs w:val="26"/>
          <w:u w:val="single"/>
        </w:rPr>
        <w:t xml:space="preserve">XXXX </w:t>
      </w:r>
      <w:r>
        <w:rPr>
          <w:rFonts w:hint="eastAsia" w:ascii="宋体" w:hAnsi="宋体" w:cs="宋体"/>
          <w:sz w:val="26"/>
          <w:szCs w:val="26"/>
        </w:rPr>
        <w:t>（标的名称），属于</w:t>
      </w:r>
      <w:r>
        <w:rPr>
          <w:rFonts w:hint="eastAsia" w:ascii="宋体" w:hAnsi="宋体" w:cs="宋体"/>
          <w:b/>
          <w:bCs/>
          <w:sz w:val="26"/>
          <w:szCs w:val="26"/>
          <w:u w:val="single"/>
        </w:rPr>
        <w:t>工业</w:t>
      </w:r>
      <w:r>
        <w:rPr>
          <w:rFonts w:hint="eastAsia" w:ascii="宋体" w:hAnsi="宋体" w:cs="宋体"/>
          <w:sz w:val="26"/>
          <w:szCs w:val="26"/>
        </w:rPr>
        <w:t>（采购文件中明确的所属行业）行业；制造商为</w:t>
      </w:r>
      <w:r>
        <w:rPr>
          <w:rFonts w:hint="eastAsia" w:ascii="宋体" w:hAnsi="宋体" w:cs="宋体"/>
          <w:b/>
          <w:bCs/>
          <w:sz w:val="26"/>
          <w:szCs w:val="26"/>
          <w:u w:val="single"/>
        </w:rPr>
        <w:t xml:space="preserve"> XXXX </w:t>
      </w:r>
      <w:r>
        <w:rPr>
          <w:rFonts w:hint="eastAsia" w:ascii="宋体" w:hAnsi="宋体" w:cs="宋体"/>
          <w:sz w:val="26"/>
          <w:szCs w:val="26"/>
        </w:rPr>
        <w:t>（企业名称），从业人员</w:t>
      </w:r>
      <w:r>
        <w:rPr>
          <w:rFonts w:hint="eastAsia" w:ascii="宋体" w:hAnsi="宋体" w:cs="宋体"/>
          <w:b/>
          <w:bCs/>
          <w:sz w:val="26"/>
          <w:szCs w:val="26"/>
          <w:u w:val="single"/>
        </w:rPr>
        <w:t xml:space="preserve"> XXXX </w:t>
      </w:r>
      <w:r>
        <w:rPr>
          <w:rFonts w:hint="eastAsia" w:ascii="宋体" w:hAnsi="宋体" w:cs="宋体"/>
          <w:sz w:val="26"/>
          <w:szCs w:val="26"/>
        </w:rPr>
        <w:t>人，营业收入为</w:t>
      </w:r>
      <w:r>
        <w:rPr>
          <w:rFonts w:hint="eastAsia" w:ascii="宋体" w:hAnsi="宋体" w:cs="宋体"/>
          <w:b/>
          <w:bCs/>
          <w:sz w:val="26"/>
          <w:szCs w:val="26"/>
          <w:u w:val="single"/>
        </w:rPr>
        <w:t xml:space="preserve"> XXXX </w:t>
      </w:r>
      <w:r>
        <w:rPr>
          <w:rFonts w:hint="eastAsia" w:ascii="宋体" w:hAnsi="宋体" w:cs="宋体"/>
          <w:sz w:val="26"/>
          <w:szCs w:val="26"/>
        </w:rPr>
        <w:t>万元，资产总额为</w:t>
      </w:r>
      <w:r>
        <w:rPr>
          <w:rFonts w:hint="eastAsia" w:ascii="宋体" w:hAnsi="宋体" w:cs="宋体"/>
          <w:b/>
          <w:bCs/>
          <w:sz w:val="26"/>
          <w:szCs w:val="26"/>
          <w:u w:val="single"/>
        </w:rPr>
        <w:t xml:space="preserve"> XXXX </w:t>
      </w:r>
      <w:r>
        <w:rPr>
          <w:rFonts w:hint="eastAsia" w:ascii="宋体" w:hAnsi="宋体" w:cs="宋体"/>
          <w:sz w:val="26"/>
          <w:szCs w:val="26"/>
        </w:rPr>
        <w:t>万元，属于</w:t>
      </w:r>
      <w:r>
        <w:rPr>
          <w:rFonts w:hint="eastAsia" w:ascii="宋体" w:hAnsi="宋体" w:cs="宋体"/>
          <w:b/>
          <w:bCs/>
          <w:sz w:val="26"/>
          <w:szCs w:val="26"/>
          <w:u w:val="single"/>
        </w:rPr>
        <w:t xml:space="preserve"> XXXX </w:t>
      </w:r>
      <w:r>
        <w:rPr>
          <w:rFonts w:hint="eastAsia" w:ascii="宋体" w:hAnsi="宋体" w:cs="宋体"/>
          <w:sz w:val="26"/>
          <w:szCs w:val="26"/>
        </w:rPr>
        <w:t>（中型企业、小型企业、微型企业）。</w:t>
      </w:r>
    </w:p>
    <w:p>
      <w:pPr>
        <w:spacing w:line="480" w:lineRule="exact"/>
        <w:ind w:firstLine="561"/>
        <w:rPr>
          <w:rFonts w:ascii="宋体" w:hAnsi="宋体" w:cs="宋体"/>
          <w:sz w:val="26"/>
          <w:szCs w:val="26"/>
        </w:rPr>
      </w:pPr>
      <w:r>
        <w:rPr>
          <w:rFonts w:hint="eastAsia" w:ascii="宋体" w:hAnsi="宋体" w:cs="宋体"/>
          <w:sz w:val="26"/>
          <w:szCs w:val="26"/>
        </w:rPr>
        <w:t xml:space="preserve">2. </w:t>
      </w:r>
      <w:r>
        <w:rPr>
          <w:rFonts w:hint="eastAsia" w:ascii="宋体" w:hAnsi="宋体" w:cs="宋体"/>
          <w:b/>
          <w:bCs/>
          <w:sz w:val="26"/>
          <w:szCs w:val="26"/>
          <w:u w:val="single"/>
        </w:rPr>
        <w:t xml:space="preserve">XXXX </w:t>
      </w:r>
      <w:r>
        <w:rPr>
          <w:rFonts w:hint="eastAsia" w:ascii="宋体" w:hAnsi="宋体" w:cs="宋体"/>
          <w:sz w:val="26"/>
          <w:szCs w:val="26"/>
        </w:rPr>
        <w:t>（标的名称），属于</w:t>
      </w:r>
      <w:r>
        <w:rPr>
          <w:rFonts w:hint="eastAsia" w:ascii="宋体" w:hAnsi="宋体" w:cs="宋体"/>
          <w:b/>
          <w:bCs/>
          <w:sz w:val="26"/>
          <w:szCs w:val="26"/>
          <w:u w:val="single"/>
        </w:rPr>
        <w:t>工业</w:t>
      </w:r>
      <w:r>
        <w:rPr>
          <w:rFonts w:hint="eastAsia" w:ascii="宋体" w:hAnsi="宋体" w:cs="宋体"/>
          <w:sz w:val="26"/>
          <w:szCs w:val="26"/>
        </w:rPr>
        <w:t>（采购文件中明确的所属行业）行业；制造商为</w:t>
      </w:r>
      <w:r>
        <w:rPr>
          <w:rFonts w:hint="eastAsia" w:ascii="宋体" w:hAnsi="宋体" w:cs="宋体"/>
          <w:b/>
          <w:bCs/>
          <w:sz w:val="26"/>
          <w:szCs w:val="26"/>
          <w:u w:val="single"/>
        </w:rPr>
        <w:t xml:space="preserve"> XXXX </w:t>
      </w:r>
      <w:r>
        <w:rPr>
          <w:rFonts w:hint="eastAsia" w:ascii="宋体" w:hAnsi="宋体" w:cs="宋体"/>
          <w:sz w:val="26"/>
          <w:szCs w:val="26"/>
        </w:rPr>
        <w:t>（企业名称），从业人员</w:t>
      </w:r>
      <w:r>
        <w:rPr>
          <w:rFonts w:hint="eastAsia" w:ascii="宋体" w:hAnsi="宋体" w:cs="宋体"/>
          <w:b/>
          <w:bCs/>
          <w:sz w:val="26"/>
          <w:szCs w:val="26"/>
          <w:u w:val="single"/>
        </w:rPr>
        <w:t xml:space="preserve"> XXXX </w:t>
      </w:r>
      <w:r>
        <w:rPr>
          <w:rFonts w:hint="eastAsia" w:ascii="宋体" w:hAnsi="宋体" w:cs="宋体"/>
          <w:sz w:val="26"/>
          <w:szCs w:val="26"/>
        </w:rPr>
        <w:t>人，营业收入为</w:t>
      </w:r>
      <w:r>
        <w:rPr>
          <w:rFonts w:hint="eastAsia" w:ascii="宋体" w:hAnsi="宋体" w:cs="宋体"/>
          <w:b/>
          <w:bCs/>
          <w:sz w:val="26"/>
          <w:szCs w:val="26"/>
          <w:u w:val="single"/>
        </w:rPr>
        <w:t xml:space="preserve"> XXXX </w:t>
      </w:r>
      <w:r>
        <w:rPr>
          <w:rFonts w:hint="eastAsia" w:ascii="宋体" w:hAnsi="宋体" w:cs="宋体"/>
          <w:sz w:val="26"/>
          <w:szCs w:val="26"/>
        </w:rPr>
        <w:t>万元，资产总额为</w:t>
      </w:r>
      <w:r>
        <w:rPr>
          <w:rFonts w:hint="eastAsia" w:ascii="宋体" w:hAnsi="宋体" w:cs="宋体"/>
          <w:b/>
          <w:bCs/>
          <w:sz w:val="26"/>
          <w:szCs w:val="26"/>
          <w:u w:val="single"/>
        </w:rPr>
        <w:t xml:space="preserve"> XXXX </w:t>
      </w:r>
      <w:r>
        <w:rPr>
          <w:rFonts w:hint="eastAsia" w:ascii="宋体" w:hAnsi="宋体" w:cs="宋体"/>
          <w:sz w:val="26"/>
          <w:szCs w:val="26"/>
        </w:rPr>
        <w:t>万元，属于</w:t>
      </w:r>
      <w:r>
        <w:rPr>
          <w:rFonts w:hint="eastAsia" w:ascii="宋体" w:hAnsi="宋体" w:cs="宋体"/>
          <w:b/>
          <w:bCs/>
          <w:sz w:val="26"/>
          <w:szCs w:val="26"/>
          <w:u w:val="single"/>
        </w:rPr>
        <w:t xml:space="preserve"> XXXX </w:t>
      </w:r>
      <w:r>
        <w:rPr>
          <w:rFonts w:hint="eastAsia" w:ascii="宋体" w:hAnsi="宋体" w:cs="宋体"/>
          <w:sz w:val="26"/>
          <w:szCs w:val="26"/>
        </w:rPr>
        <w:t>（中型企业、小型企业、微型企业）。</w:t>
      </w:r>
    </w:p>
    <w:p>
      <w:pPr>
        <w:spacing w:line="480" w:lineRule="exact"/>
        <w:ind w:firstLine="561"/>
        <w:rPr>
          <w:rFonts w:ascii="宋体" w:hAnsi="宋体"/>
          <w:sz w:val="26"/>
          <w:szCs w:val="26"/>
        </w:rPr>
      </w:pPr>
      <w:r>
        <w:rPr>
          <w:rFonts w:hint="eastAsia" w:ascii="宋体" w:hAnsi="宋体"/>
          <w:sz w:val="26"/>
          <w:szCs w:val="26"/>
        </w:rPr>
        <w:t>……</w:t>
      </w:r>
    </w:p>
    <w:p>
      <w:pPr>
        <w:spacing w:line="480" w:lineRule="exact"/>
        <w:ind w:firstLine="561"/>
        <w:rPr>
          <w:rFonts w:ascii="宋体" w:hAnsi="宋体"/>
          <w:sz w:val="26"/>
          <w:szCs w:val="26"/>
        </w:rPr>
      </w:pPr>
      <w:r>
        <w:rPr>
          <w:rFonts w:hint="eastAsia" w:ascii="宋体" w:hAnsi="宋体"/>
          <w:sz w:val="26"/>
          <w:szCs w:val="26"/>
        </w:rPr>
        <w:t>以上企业，不属于大企业的分支机构，不存在控股股东为大企业的情形，也不存在与大企业的负责人为同一人的情形。</w:t>
      </w:r>
    </w:p>
    <w:p>
      <w:pPr>
        <w:spacing w:line="480" w:lineRule="exact"/>
        <w:ind w:firstLine="561"/>
        <w:rPr>
          <w:rFonts w:ascii="宋体" w:hAnsi="宋体"/>
          <w:sz w:val="26"/>
          <w:szCs w:val="26"/>
        </w:rPr>
      </w:pPr>
      <w:r>
        <w:rPr>
          <w:rFonts w:hint="eastAsia" w:ascii="宋体" w:hAnsi="宋体"/>
          <w:sz w:val="26"/>
          <w:szCs w:val="26"/>
        </w:rPr>
        <w:t>本企业对上述声明内容的真实性负责。如有虚假，将依法承担相应责任。</w:t>
      </w:r>
    </w:p>
    <w:p>
      <w:pPr>
        <w:spacing w:after="120" w:line="360" w:lineRule="auto"/>
        <w:ind w:left="420" w:leftChars="200" w:firstLine="288" w:firstLineChars="103"/>
        <w:rPr>
          <w:rFonts w:ascii="宋体" w:hAnsi="宋体" w:cs="宋体"/>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pPr>
    </w:p>
    <w:p>
      <w:pPr>
        <w:spacing w:line="360" w:lineRule="auto"/>
        <w:ind w:right="280" w:firstLine="561"/>
        <w:rPr>
          <w:rFonts w:ascii="宋体" w:hAnsi="宋体" w:cs="宋体"/>
          <w:sz w:val="26"/>
          <w:szCs w:val="26"/>
        </w:rPr>
      </w:pPr>
      <w:r>
        <w:rPr>
          <w:rFonts w:hint="eastAsia" w:ascii="宋体" w:hAnsi="宋体"/>
          <w:b/>
          <w:sz w:val="28"/>
          <w:szCs w:val="28"/>
        </w:rPr>
        <w:t>说明：</w:t>
      </w:r>
      <w:r>
        <w:rPr>
          <w:rFonts w:hint="eastAsia" w:ascii="宋体" w:hAnsi="宋体" w:cs="宋体"/>
          <w:sz w:val="26"/>
          <w:szCs w:val="26"/>
        </w:rPr>
        <w:t>①本项目为非专门面向中小企业采购，提供了《残疾人福利性单位声明函》或监狱企业证明文件的，可不提供；如未提供《中小企业声明函》或《残疾人福利性单位声明函》或监狱企业证明文件，不能享受招标文件规定的价格扣除，但不影响投标人投标文件的有效性。</w:t>
      </w:r>
    </w:p>
    <w:p>
      <w:pPr>
        <w:spacing w:line="360" w:lineRule="auto"/>
        <w:ind w:right="280" w:firstLine="561"/>
        <w:rPr>
          <w:rFonts w:ascii="宋体" w:hAnsi="宋体" w:cs="宋体"/>
          <w:sz w:val="26"/>
          <w:szCs w:val="26"/>
        </w:rPr>
      </w:pPr>
      <w:r>
        <w:rPr>
          <w:rFonts w:hint="eastAsia" w:ascii="宋体" w:hAnsi="宋体" w:cs="宋体"/>
          <w:sz w:val="26"/>
          <w:szCs w:val="26"/>
        </w:rPr>
        <w:t>②从业人员、营业收入、资产总额填报上一年度数据，无上一年度数据的新成立的企业可不填报。</w:t>
      </w:r>
    </w:p>
    <w:p>
      <w:pPr>
        <w:spacing w:line="360" w:lineRule="auto"/>
        <w:ind w:right="280" w:firstLine="561"/>
        <w:rPr>
          <w:rFonts w:ascii="宋体" w:hAnsi="宋体" w:cs="宋体"/>
          <w:sz w:val="26"/>
          <w:szCs w:val="26"/>
        </w:rPr>
      </w:pPr>
      <w:r>
        <w:rPr>
          <w:rFonts w:hint="eastAsia" w:ascii="宋体" w:hAnsi="宋体" w:cs="宋体"/>
          <w:sz w:val="26"/>
          <w:szCs w:val="26"/>
        </w:rPr>
        <w:t>③投标人参加政府采购活动时，提供虚假中小企业声明函的，以提供虚假材料谋取中标处理。</w:t>
      </w:r>
    </w:p>
    <w:p>
      <w:pPr>
        <w:spacing w:line="360" w:lineRule="auto"/>
        <w:ind w:right="280" w:firstLine="561"/>
        <w:rPr>
          <w:rFonts w:ascii="宋体" w:hAnsi="宋体" w:cs="宋体"/>
          <w:sz w:val="26"/>
          <w:szCs w:val="26"/>
        </w:rPr>
      </w:pPr>
      <w:r>
        <w:rPr>
          <w:rFonts w:hint="eastAsia" w:ascii="宋体" w:hAnsi="宋体" w:cs="宋体"/>
          <w:sz w:val="26"/>
          <w:szCs w:val="26"/>
        </w:rPr>
        <w:t>④投标人为非企业单位的，如民办非企业、基金会、协会、服务中心、农村承包经营户、学会等非工商(市场监管)登记注册的组织均不适用此声明函，不得提供中小企业声明函，提供此声明的，声明无效。</w:t>
      </w:r>
    </w:p>
    <w:p>
      <w:pPr>
        <w:spacing w:line="360" w:lineRule="auto"/>
        <w:ind w:right="280" w:firstLine="561"/>
        <w:rPr>
          <w:rFonts w:ascii="宋体" w:hAnsi="宋体" w:cs="宋体"/>
          <w:sz w:val="26"/>
          <w:szCs w:val="26"/>
        </w:rPr>
      </w:pPr>
      <w:r>
        <w:rPr>
          <w:rFonts w:hint="eastAsia" w:ascii="宋体" w:hAnsi="宋体" w:cs="宋体"/>
          <w:sz w:val="26"/>
          <w:szCs w:val="26"/>
        </w:rPr>
        <w:t>⑤投标人如为分支机构的，则需提供由总公司出具的中小企业声明函复印件。</w:t>
      </w:r>
    </w:p>
    <w:p>
      <w:pPr>
        <w:spacing w:line="360" w:lineRule="auto"/>
        <w:ind w:right="280" w:firstLine="561"/>
        <w:rPr>
          <w:rFonts w:ascii="宋体" w:hAnsi="宋体"/>
          <w:b/>
          <w:sz w:val="28"/>
          <w:szCs w:val="28"/>
        </w:rPr>
      </w:pPr>
      <w:r>
        <w:rPr>
          <w:rFonts w:hint="eastAsia" w:ascii="宋体" w:hAnsi="宋体" w:cs="宋体"/>
          <w:sz w:val="26"/>
          <w:szCs w:val="26"/>
        </w:rPr>
        <w:t>⑥投标人根据《工业和信息化部、国家统计局、国家发展和改革委员会、财政部关于印发中小企业划型标准规定的通知》（工信部联企业[2011]300号）规定的划分标准填写中小企业声明函。</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before="240" w:beforeLines="100" w:line="360" w:lineRule="auto"/>
        <w:ind w:left="3118" w:hanging="3118"/>
        <w:outlineLvl w:val="2"/>
        <w:rPr>
          <w:rFonts w:ascii="宋体" w:hAnsi="宋体"/>
          <w:b/>
          <w:bCs/>
          <w:sz w:val="28"/>
          <w:szCs w:val="28"/>
        </w:rPr>
      </w:pP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sz w:val="28"/>
          <w:szCs w:val="28"/>
          <w:u w:val="single"/>
        </w:rPr>
        <w:t>成都市双流区教育技术装备管理中心</w:t>
      </w:r>
      <w:r>
        <w:rPr>
          <w:rFonts w:ascii="宋体" w:hAnsi="宋体"/>
          <w:spacing w:val="6"/>
          <w:sz w:val="28"/>
          <w:szCs w:val="28"/>
        </w:rPr>
        <w:t>的</w:t>
      </w:r>
      <w:r>
        <w:rPr>
          <w:rFonts w:hint="eastAsia" w:ascii="宋体" w:hAnsi="宋体"/>
          <w:b/>
          <w:sz w:val="28"/>
          <w:szCs w:val="28"/>
          <w:u w:val="single"/>
        </w:rPr>
        <w:t>成都市双流区教育技术装备管理中心2021年彭镇小学等2校多功能厅LED、音箱和灯光系统采购项目（项目编号：双流政采（2021）A0065号）</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tabs>
          <w:tab w:val="left" w:pos="3969"/>
        </w:tabs>
        <w:spacing w:line="588" w:lineRule="exact"/>
        <w:ind w:right="526"/>
        <w:rPr>
          <w:rFonts w:ascii="宋体" w:hAnsi="宋体"/>
          <w:spacing w:val="6"/>
          <w:sz w:val="28"/>
          <w:szCs w:val="28"/>
        </w:rPr>
      </w:pPr>
    </w:p>
    <w:p>
      <w:pPr>
        <w:tabs>
          <w:tab w:val="left" w:pos="3969"/>
        </w:tabs>
        <w:spacing w:line="588" w:lineRule="exact"/>
        <w:ind w:right="526" w:firstLine="584" w:firstLineChars="200"/>
        <w:rPr>
          <w:rFonts w:ascii="宋体" w:hAnsi="宋体"/>
          <w:spacing w:val="6"/>
          <w:sz w:val="28"/>
          <w:szCs w:val="28"/>
        </w:rPr>
      </w:pPr>
      <w:r>
        <w:rPr>
          <w:rFonts w:hint="eastAsia" w:ascii="宋体" w:hAnsi="宋体"/>
          <w:spacing w:val="6"/>
          <w:sz w:val="28"/>
          <w:szCs w:val="28"/>
        </w:rPr>
        <w:t>投标人名称：</w:t>
      </w:r>
      <w:r>
        <w:rPr>
          <w:rFonts w:hint="eastAsia" w:ascii="宋体" w:hAnsi="宋体"/>
          <w:spacing w:val="6"/>
          <w:sz w:val="28"/>
          <w:szCs w:val="28"/>
          <w:u w:val="single"/>
        </w:rPr>
        <w:t>XXXX</w:t>
      </w:r>
    </w:p>
    <w:p>
      <w:pPr>
        <w:tabs>
          <w:tab w:val="left" w:pos="3969"/>
        </w:tabs>
        <w:spacing w:line="588" w:lineRule="exact"/>
        <w:ind w:right="1110" w:firstLine="584" w:firstLineChars="200"/>
        <w:rPr>
          <w:rFonts w:ascii="宋体" w:hAnsi="宋体"/>
          <w:bCs/>
          <w:sz w:val="28"/>
        </w:rPr>
      </w:pPr>
      <w:r>
        <w:rPr>
          <w:rFonts w:hint="eastAsia" w:ascii="宋体" w:hAnsi="宋体"/>
          <w:spacing w:val="6"/>
          <w:sz w:val="28"/>
          <w:szCs w:val="28"/>
        </w:rPr>
        <w:t>日  期：</w:t>
      </w:r>
      <w:r>
        <w:rPr>
          <w:rFonts w:hint="eastAsia" w:ascii="宋体" w:hAnsi="宋体"/>
          <w:spacing w:val="6"/>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cs="宋体"/>
          <w:bCs/>
          <w:spacing w:val="6"/>
          <w:sz w:val="28"/>
          <w:szCs w:val="28"/>
        </w:rPr>
        <w:t>提供了《中小企业声明函》或监狱企业证明文件的，可不提供；如未提供《中小企业声明函》或《残疾人福利性单位声明函》或监狱企业证明文件，不能享受招标文件规定的价格扣除，但不影响投标人投标文件的有效性。</w:t>
      </w:r>
    </w:p>
    <w:p>
      <w:pPr>
        <w:pStyle w:val="39"/>
        <w:ind w:left="0" w:firstLine="0"/>
        <w:rPr>
          <w:rFonts w:ascii="宋体" w:hAnsi="宋体"/>
          <w:b/>
          <w:sz w:val="28"/>
          <w:szCs w:val="28"/>
          <w:lang w:eastAsia="zh-CN"/>
        </w:rPr>
      </w:pPr>
    </w:p>
    <w:p>
      <w:pPr>
        <w:rPr>
          <w:rFonts w:ascii="宋体" w:hAnsi="宋体"/>
          <w:sz w:val="28"/>
        </w:rPr>
      </w:pPr>
      <w:r>
        <w:rPr>
          <w:rFonts w:hint="eastAsia" w:ascii="宋体" w:hAnsi="宋体"/>
          <w:b/>
          <w:sz w:val="28"/>
          <w:szCs w:val="28"/>
        </w:rPr>
        <w:br w:type="page"/>
      </w:r>
    </w:p>
    <w:p>
      <w:pPr>
        <w:keepNext/>
        <w:keepLines/>
        <w:numPr>
          <w:ilvl w:val="2"/>
          <w:numId w:val="5"/>
        </w:numPr>
        <w:spacing w:line="360" w:lineRule="auto"/>
        <w:ind w:left="3119" w:hanging="3119"/>
        <w:outlineLvl w:val="2"/>
        <w:rPr>
          <w:rFonts w:ascii="宋体" w:hAnsi="宋体"/>
          <w:sz w:val="28"/>
        </w:rPr>
      </w:pP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ascii="宋体" w:hAnsi="宋体"/>
          <w:spacing w:val="6"/>
          <w:sz w:val="28"/>
          <w:szCs w:val="28"/>
        </w:rPr>
      </w:pPr>
      <w:r>
        <w:rPr>
          <w:rFonts w:hint="eastAsia"/>
          <w:sz w:val="28"/>
          <w:szCs w:val="28"/>
        </w:rPr>
        <w:t>投标</w:t>
      </w:r>
      <w:r>
        <w:rPr>
          <w:sz w:val="28"/>
          <w:szCs w:val="28"/>
        </w:rPr>
        <w:t>产品中为监狱企业制造的货物应提供由省级以上监狱管理局、戒毒管理局（含新疆生产建设兵团）出具的制造商属于监狱企业的证明文件复印件</w:t>
      </w:r>
      <w:r>
        <w:rPr>
          <w:rFonts w:hint="eastAsia"/>
          <w:sz w:val="28"/>
          <w:szCs w:val="28"/>
        </w:rPr>
        <w:t>。</w:t>
      </w:r>
    </w:p>
    <w:p>
      <w:pPr>
        <w:tabs>
          <w:tab w:val="left" w:pos="3969"/>
        </w:tabs>
        <w:spacing w:line="588" w:lineRule="exact"/>
        <w:ind w:right="-58"/>
        <w:rPr>
          <w:rFonts w:ascii="宋体" w:hAnsi="宋体"/>
          <w:spacing w:val="6"/>
          <w:sz w:val="28"/>
          <w:szCs w:val="28"/>
        </w:rPr>
      </w:pPr>
    </w:p>
    <w:p>
      <w:pPr>
        <w:pStyle w:val="2"/>
        <w:rPr>
          <w:rFonts w:ascii="宋体" w:hAnsi="宋体"/>
          <w:spacing w:val="6"/>
          <w:sz w:val="28"/>
          <w:szCs w:val="28"/>
        </w:rPr>
      </w:pPr>
    </w:p>
    <w:p>
      <w:pPr>
        <w:rPr>
          <w:rFonts w:ascii="宋体" w:hAnsi="宋体"/>
          <w:spacing w:val="6"/>
          <w:sz w:val="28"/>
          <w:szCs w:val="28"/>
        </w:rPr>
      </w:pPr>
    </w:p>
    <w:p>
      <w:pPr>
        <w:pStyle w:val="2"/>
        <w:rPr>
          <w:rFonts w:ascii="宋体" w:hAnsi="宋体"/>
          <w:spacing w:val="6"/>
          <w:sz w:val="28"/>
          <w:szCs w:val="28"/>
        </w:rPr>
      </w:pPr>
    </w:p>
    <w:p>
      <w:pPr>
        <w:rPr>
          <w:rFonts w:ascii="宋体" w:hAnsi="宋体"/>
          <w:spacing w:val="6"/>
          <w:sz w:val="28"/>
          <w:szCs w:val="28"/>
        </w:rPr>
      </w:pPr>
    </w:p>
    <w:p>
      <w:pPr>
        <w:pStyle w:val="2"/>
      </w:pPr>
    </w:p>
    <w:p>
      <w:pPr>
        <w:pStyle w:val="2"/>
        <w:ind w:firstLine="562" w:firstLineChars="200"/>
        <w:rPr>
          <w:rFonts w:ascii="宋体" w:hAnsi="宋体"/>
          <w:sz w:val="28"/>
          <w:szCs w:val="28"/>
        </w:rPr>
      </w:pPr>
      <w:r>
        <w:rPr>
          <w:rFonts w:hint="eastAsia" w:ascii="宋体" w:hAnsi="宋体"/>
          <w:b/>
          <w:bCs/>
          <w:sz w:val="28"/>
          <w:szCs w:val="28"/>
        </w:rPr>
        <w:t>说明：</w:t>
      </w:r>
      <w:r>
        <w:rPr>
          <w:rFonts w:hint="eastAsia" w:ascii="宋体" w:hAnsi="宋体"/>
          <w:sz w:val="28"/>
          <w:szCs w:val="28"/>
        </w:rPr>
        <w:t>提供了《中小企业声明函》或《残疾人福利性单位声明函》的，可不提供；如未提供《中小企业声明函》或《残疾人福利性单位声明函》或监狱企业证明文件，不能享受招标文件规定的价格扣除，但不影响投标人投标文件的有效性。</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rPr>
          <w:rFonts w:ascii="宋体" w:hAnsi="宋体"/>
          <w:b/>
          <w:sz w:val="28"/>
          <w:szCs w:val="28"/>
        </w:rPr>
      </w:pPr>
    </w:p>
    <w:p>
      <w:pPr>
        <w:widowControl/>
        <w:jc w:val="left"/>
        <w:rPr>
          <w:rFonts w:ascii="宋体" w:hAnsi="宋体"/>
          <w:b/>
          <w:sz w:val="28"/>
          <w:szCs w:val="28"/>
        </w:rPr>
      </w:pPr>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65" w:name="_Toc1121"/>
      <w:r>
        <w:rPr>
          <w:rFonts w:hint="eastAsia" w:ascii="宋体" w:hAnsi="宋体"/>
          <w:b/>
          <w:bCs/>
          <w:spacing w:val="-20"/>
          <w:kern w:val="44"/>
          <w:sz w:val="32"/>
          <w:szCs w:val="32"/>
        </w:rPr>
        <w:t>招标项目技术、服务、商务及其他要求</w:t>
      </w:r>
      <w:bookmarkEnd w:id="162"/>
      <w:bookmarkEnd w:id="165"/>
    </w:p>
    <w:p>
      <w:pPr>
        <w:pStyle w:val="4"/>
        <w:rPr>
          <w:b w:val="0"/>
          <w:bCs w:val="0"/>
        </w:rPr>
      </w:pPr>
      <w:bookmarkStart w:id="166" w:name="_Toc24929"/>
      <w:r>
        <w:rPr>
          <w:rFonts w:hint="eastAsia"/>
        </w:rPr>
        <w:t>项目概况</w:t>
      </w:r>
      <w:bookmarkEnd w:id="166"/>
    </w:p>
    <w:p>
      <w:pPr>
        <w:tabs>
          <w:tab w:val="left" w:pos="851"/>
        </w:tabs>
        <w:spacing w:line="360" w:lineRule="auto"/>
        <w:ind w:firstLine="565" w:firstLineChars="202"/>
        <w:rPr>
          <w:rFonts w:ascii="宋体" w:hAnsi="宋体"/>
          <w:sz w:val="28"/>
          <w:szCs w:val="28"/>
        </w:rPr>
      </w:pPr>
      <w:r>
        <w:rPr>
          <w:rFonts w:hint="eastAsia" w:ascii="宋体" w:hAnsi="宋体"/>
          <w:sz w:val="28"/>
          <w:szCs w:val="28"/>
        </w:rPr>
        <w:t>成都市双流区教育技术装备管理中心因工作需要，拟采购一批货物对2021年彭镇小学等2校多功能厅LED、音箱和灯光系统等进行打造，以满足学校教学及工作需要。</w:t>
      </w:r>
    </w:p>
    <w:p>
      <w:pPr>
        <w:pStyle w:val="4"/>
        <w:rPr>
          <w:rFonts w:ascii="Times New Roman" w:hAnsi="Times New Roman"/>
        </w:rPr>
      </w:pPr>
      <w:bookmarkStart w:id="167" w:name="_Toc20793"/>
      <w:r>
        <w:rPr>
          <w:rFonts w:hint="eastAsia" w:ascii="Times New Roman" w:hAnsi="Times New Roman"/>
        </w:rPr>
        <w:t>采购内容</w:t>
      </w:r>
      <w:bookmarkEnd w:id="167"/>
    </w:p>
    <w:p>
      <w:pPr>
        <w:pStyle w:val="5"/>
        <w:ind w:left="567"/>
        <w:rPr>
          <w:rFonts w:ascii="Times New Roman" w:hAnsi="Times New Roman"/>
        </w:rPr>
      </w:pPr>
      <w:r>
        <w:rPr>
          <w:rFonts w:hint="eastAsia"/>
        </w:rPr>
        <w:t>技术参数及要求</w:t>
      </w:r>
      <w:bookmarkStart w:id="168" w:name="_Toc533672602"/>
      <w:bookmarkStart w:id="169" w:name="_Toc529173741"/>
    </w:p>
    <w:tbl>
      <w:tblPr>
        <w:tblStyle w:val="43"/>
        <w:tblW w:w="8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919"/>
        <w:gridCol w:w="5068"/>
        <w:gridCol w:w="788"/>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序号</w:t>
            </w:r>
          </w:p>
        </w:tc>
        <w:tc>
          <w:tcPr>
            <w:tcW w:w="919"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品名</w:t>
            </w:r>
          </w:p>
        </w:tc>
        <w:tc>
          <w:tcPr>
            <w:tcW w:w="506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技术参数</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单位</w:t>
            </w:r>
          </w:p>
        </w:tc>
        <w:tc>
          <w:tcPr>
            <w:tcW w:w="847"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1</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调音台</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w:t>
            </w:r>
            <w:r>
              <w:rPr>
                <w:rFonts w:asciiTheme="minorEastAsia" w:hAnsiTheme="minorEastAsia" w:eastAsiaTheme="minorEastAsia"/>
                <w:color w:val="000000" w:themeColor="text1"/>
                <w:sz w:val="20"/>
                <w:szCs w:val="20"/>
                <w14:textFill>
                  <w14:solidFill>
                    <w14:schemeClr w14:val="tx1"/>
                  </w14:solidFill>
                </w14:textFill>
              </w:rPr>
              <w:t>5</w:t>
            </w:r>
            <w:r>
              <w:rPr>
                <w:rFonts w:hint="eastAsia" w:asciiTheme="minorEastAsia" w:hAnsiTheme="minorEastAsia" w:eastAsiaTheme="minorEastAsia"/>
                <w:color w:val="000000"/>
                <w:sz w:val="20"/>
                <w:szCs w:val="20"/>
              </w:rPr>
              <w:t>英寸触摸屏，≥800x480彩色触摸屏，≥24个单声道输入,≥5个电动推子,≥3个立体声输入,≥4个立体声FX返回；AES数字输出：≥2通道，48kHz采样率；可设置≥100个场景，可使用USB实现调音台之间的场景和库传输；专用对讲话筒输入:可分配到任意混音，12dB/倍频程高通滤波；RTA（实时分析器）:31段1/3倍频程20-20kHz，跟随PAFL源,同时可以通过按fn键切换成光谱图界面；信号发生器:可分配至任何混音，正弦/白/粉红/带通噪声；三种不同类型的用户权限：可对所选功能进行保护并禁止用户的访问；全面调用：前级放大器，处理功能，场景，33个电动推子。</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台</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2</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线阵列音箱A</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stheme="minorEastAsia"/>
                <w:kern w:val="0"/>
                <w:sz w:val="20"/>
                <w:szCs w:val="20"/>
                <w:lang w:bidi="ar"/>
              </w:rPr>
              <w:t>1.低音单元规格：≥2x6寸低音单元，高音单元规格：≥1x1.3寸高音驱动器；频率响应：80Hz-18kHz(±3dB)，灵敏度（1W/1M):94dB，标称阻抗：8Ω；输入功率：≥300W（额定）/≥600W（峰值）；最大声压级：≥128dB，覆盖角度（HxV):90°x10°。</w:t>
            </w:r>
          </w:p>
        </w:tc>
        <w:tc>
          <w:tcPr>
            <w:tcW w:w="788" w:type="dxa"/>
            <w:shd w:val="clear" w:color="auto" w:fill="auto"/>
            <w:vAlign w:val="center"/>
          </w:tcPr>
          <w:p>
            <w:pPr>
              <w:widowControl/>
              <w:jc w:val="center"/>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olor w:val="000000"/>
                <w:sz w:val="20"/>
                <w:szCs w:val="20"/>
              </w:rPr>
              <w:t>只</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kern w:val="0"/>
                <w:sz w:val="20"/>
                <w:szCs w:val="20"/>
                <w:lang w:bidi="ar"/>
              </w:rPr>
            </w:pPr>
            <w:r>
              <w:rPr>
                <w:rFonts w:hint="eastAsia" w:cs="宋体" w:asciiTheme="minorEastAsia" w:hAnsiTheme="minorEastAsia" w:eastAsiaTheme="minorEastAsia"/>
                <w:color w:val="000000"/>
                <w:kern w:val="0"/>
                <w:sz w:val="22"/>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cs="Calibri" w:asciiTheme="minorEastAsia" w:hAnsiTheme="minorEastAsia" w:eastAsiaTheme="minorEastAsia"/>
                <w:color w:val="000000"/>
                <w:kern w:val="0"/>
                <w:sz w:val="20"/>
                <w:szCs w:val="20"/>
                <w:lang w:bidi="ar"/>
              </w:rPr>
              <w:t>3</w:t>
            </w:r>
          </w:p>
        </w:tc>
        <w:tc>
          <w:tcPr>
            <w:tcW w:w="919" w:type="dxa"/>
            <w:shd w:val="clear" w:color="auto" w:fill="auto"/>
            <w:vAlign w:val="center"/>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olor w:val="000000"/>
                <w:sz w:val="20"/>
                <w:szCs w:val="20"/>
              </w:rPr>
              <w:t>线阵列音箱B</w:t>
            </w:r>
          </w:p>
        </w:tc>
        <w:tc>
          <w:tcPr>
            <w:tcW w:w="5068" w:type="dxa"/>
            <w:shd w:val="clear" w:color="auto" w:fill="auto"/>
          </w:tcPr>
          <w:p>
            <w:pPr>
              <w:widowControl/>
              <w:jc w:val="left"/>
              <w:rPr>
                <w:rFonts w:asciiTheme="minorEastAsia" w:hAnsiTheme="minorEastAsia" w:eastAsiaTheme="minorEastAsia"/>
                <w:color w:val="000000"/>
                <w:sz w:val="20"/>
                <w:szCs w:val="20"/>
              </w:rPr>
            </w:pPr>
            <w:r>
              <w:rPr>
                <w:rFonts w:hint="eastAsia" w:asciiTheme="minorEastAsia" w:hAnsiTheme="minorEastAsia" w:eastAsiaTheme="minorEastAsia" w:cstheme="minorEastAsia"/>
                <w:kern w:val="0"/>
                <w:sz w:val="20"/>
                <w:szCs w:val="20"/>
                <w:lang w:bidi="ar"/>
              </w:rPr>
              <w:t>1.低音单元规格：≥2x8寸低音单元，高音单元规格：≥1x3寸高音驱动器；频率响应：70Hz-18kHz(±3dB)，灵敏度（1W/1M):103dB，标称阻抗：8Ω；输入功率：≥600W（额定）/≥1200W（峰值），最大声压级：≥129dB.覆盖角度（HxV):90°x10°。</w:t>
            </w:r>
          </w:p>
        </w:tc>
        <w:tc>
          <w:tcPr>
            <w:tcW w:w="788" w:type="dxa"/>
            <w:shd w:val="clear" w:color="auto" w:fill="auto"/>
            <w:vAlign w:val="center"/>
          </w:tcPr>
          <w:p>
            <w:pPr>
              <w:widowControl/>
              <w:jc w:val="center"/>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olor w:val="000000"/>
                <w:sz w:val="20"/>
                <w:szCs w:val="20"/>
              </w:rPr>
              <w:t>只</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kern w:val="0"/>
                <w:sz w:val="20"/>
                <w:szCs w:val="20"/>
                <w:lang w:bidi="ar"/>
              </w:rPr>
            </w:pPr>
            <w:r>
              <w:rPr>
                <w:rFonts w:hint="eastAsia" w:cs="宋体" w:asciiTheme="minorEastAsia" w:hAnsiTheme="minorEastAsia" w:eastAsiaTheme="minorEastAsia"/>
                <w:color w:val="000000"/>
                <w:kern w:val="0"/>
                <w:sz w:val="22"/>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4</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stheme="minorEastAsia"/>
                <w:kern w:val="0"/>
                <w:sz w:val="20"/>
                <w:szCs w:val="20"/>
              </w:rPr>
              <w:t>线阵次低音音箱A</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stheme="minorEastAsia"/>
                <w:kern w:val="0"/>
                <w:sz w:val="20"/>
                <w:szCs w:val="20"/>
                <w:lang w:bidi="ar"/>
              </w:rPr>
              <w:t>1.低音单元规格：≥1x15寸低音单元；频率响应：45Hz-300Hz(+/-3dB)，灵敏度（1W/1M):98dB，最大声压级：≥134dB，标称阻抗：8Ω；额定功率：≥500W。</w:t>
            </w:r>
          </w:p>
        </w:tc>
        <w:tc>
          <w:tcPr>
            <w:tcW w:w="788" w:type="dxa"/>
            <w:shd w:val="clear" w:color="auto" w:fill="auto"/>
            <w:vAlign w:val="center"/>
          </w:tcPr>
          <w:p>
            <w:pPr>
              <w:widowControl/>
              <w:jc w:val="center"/>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olor w:val="000000"/>
                <w:sz w:val="20"/>
                <w:szCs w:val="20"/>
              </w:rPr>
              <w:t>只</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kern w:val="0"/>
                <w:sz w:val="20"/>
                <w:szCs w:val="20"/>
                <w:lang w:bidi="ar"/>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cs="Calibri" w:asciiTheme="minorEastAsia" w:hAnsiTheme="minorEastAsia" w:eastAsiaTheme="minorEastAsia"/>
                <w:color w:val="000000"/>
                <w:kern w:val="0"/>
                <w:sz w:val="20"/>
                <w:szCs w:val="20"/>
                <w:lang w:bidi="ar"/>
              </w:rPr>
              <w:t>5</w:t>
            </w:r>
          </w:p>
        </w:tc>
        <w:tc>
          <w:tcPr>
            <w:tcW w:w="919" w:type="dxa"/>
            <w:shd w:val="clear" w:color="auto" w:fill="auto"/>
            <w:vAlign w:val="center"/>
          </w:tcPr>
          <w:p>
            <w:pPr>
              <w:widowControl/>
              <w:jc w:val="left"/>
              <w:rPr>
                <w:rFonts w:asciiTheme="minorEastAsia" w:hAnsiTheme="minorEastAsia" w:eastAsiaTheme="minorEastAsia"/>
                <w:color w:val="000000"/>
                <w:sz w:val="20"/>
                <w:szCs w:val="20"/>
              </w:rPr>
            </w:pPr>
            <w:r>
              <w:rPr>
                <w:rFonts w:hint="eastAsia" w:asciiTheme="minorEastAsia" w:hAnsiTheme="minorEastAsia" w:eastAsiaTheme="minorEastAsia" w:cstheme="minorEastAsia"/>
                <w:kern w:val="0"/>
                <w:sz w:val="20"/>
                <w:szCs w:val="20"/>
              </w:rPr>
              <w:t>线阵次低音音箱B</w:t>
            </w:r>
          </w:p>
        </w:tc>
        <w:tc>
          <w:tcPr>
            <w:tcW w:w="5068" w:type="dxa"/>
            <w:shd w:val="clear" w:color="auto" w:fill="auto"/>
          </w:tcPr>
          <w:p>
            <w:pPr>
              <w:widowControl/>
              <w:jc w:val="left"/>
              <w:rPr>
                <w:rFonts w:asciiTheme="minorEastAsia" w:hAnsiTheme="minorEastAsia" w:eastAsiaTheme="minorEastAsia"/>
                <w:color w:val="000000"/>
                <w:sz w:val="20"/>
                <w:szCs w:val="20"/>
              </w:rPr>
            </w:pPr>
            <w:r>
              <w:rPr>
                <w:rFonts w:hint="eastAsia" w:asciiTheme="minorEastAsia" w:hAnsiTheme="minorEastAsia" w:eastAsiaTheme="minorEastAsia" w:cstheme="minorEastAsia"/>
                <w:kern w:val="0"/>
                <w:sz w:val="20"/>
                <w:szCs w:val="20"/>
                <w:lang w:bidi="ar"/>
              </w:rPr>
              <w:t>1.低音单元规格：≥1x18寸低音单元；频率响应：40Hz-300Hz(±3dB)，灵敏度（1W/1M):≥99dB，标称阻抗：8Ω；输入功率：≥600W（额定）/≥1200W（峰值），最大声压级：≥129dB。</w:t>
            </w:r>
          </w:p>
        </w:tc>
        <w:tc>
          <w:tcPr>
            <w:tcW w:w="788" w:type="dxa"/>
            <w:shd w:val="clear" w:color="auto" w:fill="auto"/>
            <w:vAlign w:val="center"/>
          </w:tcPr>
          <w:p>
            <w:pPr>
              <w:widowControl/>
              <w:jc w:val="center"/>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olor w:val="000000"/>
                <w:sz w:val="20"/>
                <w:szCs w:val="20"/>
              </w:rPr>
              <w:t>只</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kern w:val="0"/>
                <w:sz w:val="20"/>
                <w:szCs w:val="20"/>
                <w:lang w:bidi="ar"/>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6</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补声音箱</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1.低音单元:≥1x10寸低音.高音单元:≥1x1.3寸高音；频率响应:70-20kHz(±3dB)，灵敏度(1W/1M):95dB，最大声压级:≥121dB，阻抗:8</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；功率:≥200W（额定）/≥400W（峰值）。</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只</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7</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舞台返听音箱</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1.低音单元:≥1x12寸中低音，高音单元:≥1x1.75寸高音；频率响应:55-20kHz(±3dB)，灵敏度(1W/1M):97dB，最大声压级:≥125dB，阻抗:8</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；功率:≥350W（额定）/≥700W（峰值）。</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只</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8</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线阵音箱功放A</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1.具有短路、过热、过载、过流、输出直流、软启动、电流熔断保护，变压器过热保护；8</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立体声输出功率≥600W×4，4</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立体声输出功率≥900W×4；频率响应20Hz-20KHz(±0.5dB)，信噪比&gt;105dB，失真度&lt;0.05%，阻尼系数&gt;550；输入阻抗20K</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平衡；10K</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非平衡，输入灵敏度0.775V1.0V1.44V。</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台</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cs="Calibri" w:asciiTheme="minorEastAsia" w:hAnsiTheme="minorEastAsia" w:eastAsiaTheme="minorEastAsia"/>
                <w:color w:val="000000"/>
                <w:kern w:val="0"/>
                <w:sz w:val="20"/>
                <w:szCs w:val="20"/>
                <w:lang w:bidi="ar"/>
              </w:rPr>
              <w:t>9</w:t>
            </w:r>
          </w:p>
        </w:tc>
        <w:tc>
          <w:tcPr>
            <w:tcW w:w="919" w:type="dxa"/>
            <w:shd w:val="clear" w:color="auto" w:fill="auto"/>
            <w:vAlign w:val="center"/>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olor w:val="000000"/>
                <w:sz w:val="20"/>
                <w:szCs w:val="20"/>
              </w:rPr>
              <w:t>线阵音箱功放B</w:t>
            </w:r>
          </w:p>
        </w:tc>
        <w:tc>
          <w:tcPr>
            <w:tcW w:w="5068" w:type="dxa"/>
            <w:shd w:val="clear" w:color="auto" w:fill="auto"/>
          </w:tcPr>
          <w:p>
            <w:pPr>
              <w:widowControl/>
              <w:jc w:val="left"/>
              <w:rPr>
                <w:rFonts w:asciiTheme="minorEastAsia" w:hAnsiTheme="minorEastAsia" w:eastAsiaTheme="minorEastAsia"/>
                <w:color w:val="000000"/>
                <w:sz w:val="20"/>
                <w:szCs w:val="20"/>
              </w:rPr>
            </w:pPr>
            <w:r>
              <w:rPr>
                <w:rFonts w:hint="eastAsia" w:asciiTheme="minorEastAsia" w:hAnsiTheme="minorEastAsia" w:eastAsiaTheme="minorEastAsia" w:cstheme="minorEastAsia"/>
                <w:sz w:val="20"/>
                <w:szCs w:val="20"/>
              </w:rPr>
              <w:t>1.具有短路、过热、过载、过流、输出直流、软启动、电流熔断保护，变压器过热保护；8Ω立体声输出功率≥1000W×4，4Ω立体声输出功率≥1500W×4；频率响应20Hz-20KHz(±0.5dB)，信噪比&gt;105dB，失真度&lt;0.05%@8Ω1KHz，阻尼系数&gt;550，串音&gt;100dB@8Ω1KHzA计权；输入阻抗20KΩ平衡；10KΩ非平衡，输入灵敏度0.775V1.0V1.44V。</w:t>
            </w:r>
          </w:p>
        </w:tc>
        <w:tc>
          <w:tcPr>
            <w:tcW w:w="788" w:type="dxa"/>
            <w:shd w:val="clear" w:color="auto" w:fill="auto"/>
            <w:vAlign w:val="center"/>
          </w:tcPr>
          <w:p>
            <w:pPr>
              <w:widowControl/>
              <w:jc w:val="center"/>
              <w:rPr>
                <w:rFonts w:asciiTheme="minorEastAsia" w:hAnsiTheme="minorEastAsia" w:eastAsiaTheme="minorEastAsia" w:cstheme="minorEastAsia"/>
                <w:sz w:val="20"/>
                <w:szCs w:val="20"/>
              </w:rPr>
            </w:pPr>
            <w:r>
              <w:rPr>
                <w:rFonts w:hint="eastAsia" w:asciiTheme="minorEastAsia" w:hAnsiTheme="minorEastAsia" w:eastAsiaTheme="minorEastAsia"/>
                <w:color w:val="000000"/>
                <w:sz w:val="20"/>
                <w:szCs w:val="20"/>
              </w:rPr>
              <w:t>台</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10</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stheme="minorEastAsia"/>
                <w:kern w:val="0"/>
                <w:sz w:val="20"/>
                <w:szCs w:val="20"/>
              </w:rPr>
              <w:t>线阵次低音音箱</w:t>
            </w:r>
            <w:r>
              <w:rPr>
                <w:rFonts w:hint="eastAsia" w:asciiTheme="minorEastAsia" w:hAnsiTheme="minorEastAsia" w:eastAsiaTheme="minorEastAsia"/>
                <w:color w:val="000000"/>
                <w:sz w:val="20"/>
                <w:szCs w:val="20"/>
              </w:rPr>
              <w:t>功放</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1.具有短路、过热、过载、过流、输出直流、软启动、电流熔断保护，变压器过热保护；8</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立体声输出功率≥1300W×2，4</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立体声输出功率≥1950W×2；频率响应20Hz-20KHz(±0.5dB)，信噪比&gt;105dB，失真度&lt;0.05%@8</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1KHz.阻尼系数&gt;550；输入阻抗20K</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平衡，10K</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非平衡。</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台</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11</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补声、舞台返听音箱功放</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1.具有动态压限系统，短路、过热、过载、过流、输出直流、软启动、电流熔断保护，变压器过热保护；8</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立体声输出功率≥720W×2，4</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立体声输出功率≥1080W×2，8</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桥接输出功率≥2160W；频率响应20Hz-20KHz(±0.25dB)，总谐波失真加噪声&lt;0.05%，信噪比&gt;105dB；阻尼系数&gt;500，互调失真&lt;0.05%，电压转换速率40V/</w:t>
            </w:r>
            <w:r>
              <w:rPr>
                <w:rFonts w:cs="Calibri" w:asciiTheme="minorEastAsia" w:hAnsiTheme="minorEastAsia" w:eastAsiaTheme="minorEastAsia"/>
                <w:color w:val="000000"/>
                <w:sz w:val="20"/>
                <w:szCs w:val="20"/>
              </w:rPr>
              <w:t>μ</w:t>
            </w:r>
            <w:r>
              <w:rPr>
                <w:rFonts w:hint="eastAsia" w:asciiTheme="minorEastAsia" w:hAnsiTheme="minorEastAsia" w:eastAsiaTheme="minorEastAsia"/>
                <w:color w:val="000000"/>
                <w:sz w:val="20"/>
                <w:szCs w:val="20"/>
              </w:rPr>
              <w:t>S，输入共模抑制比&gt;80dB。</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台</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12</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音频处理器</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▲1.LCD蓝色背光显示功能设置，5段LED显示输入/输出的精确数字电平表、哑音及编辑状态；</w:t>
            </w:r>
            <w:r>
              <w:rPr>
                <w:rFonts w:hint="eastAsia" w:asciiTheme="minorEastAsia" w:hAnsiTheme="minorEastAsia" w:eastAsiaTheme="minorEastAsia" w:cstheme="minorEastAsia"/>
                <w:b/>
                <w:bCs/>
                <w:color w:val="000000"/>
                <w:kern w:val="0"/>
                <w:szCs w:val="21"/>
                <w:lang w:bidi="ar"/>
              </w:rPr>
              <w:t>（提供具有CMA或CNAS或ILAC-MRA标识的第三方检测机构出具的合法有效的检验报告复印件）。</w:t>
            </w:r>
            <w:r>
              <w:rPr>
                <w:rFonts w:hint="eastAsia" w:asciiTheme="minorEastAsia" w:hAnsiTheme="minorEastAsia" w:eastAsiaTheme="minorEastAsia"/>
                <w:b/>
                <w:bCs/>
                <w:color w:val="000000"/>
                <w:sz w:val="20"/>
                <w:szCs w:val="20"/>
              </w:rPr>
              <w:br w:type="textWrapping"/>
            </w:r>
            <w:r>
              <w:rPr>
                <w:rFonts w:hint="eastAsia" w:asciiTheme="minorEastAsia" w:hAnsiTheme="minorEastAsia" w:eastAsiaTheme="minorEastAsia"/>
                <w:color w:val="000000"/>
                <w:sz w:val="20"/>
                <w:szCs w:val="20"/>
              </w:rPr>
              <w:t>2.设备内每个功能支持单独锁定，可根据现场要求任意开放或锁定某一个单独的功能，防止误操作和实现数据保密；每个输入和输出处理均有6段独立的全参量均衡，调节增益范围可达土20dB，同时还可选择参量、高调、低调、1阶全通、2阶全通5种均衡模式;均有延时和相位控制及哑音设置，延时最长可达1000ms，延时单位可选择毫秒(ms)、米(m)、英尺(ft)三种,延时参数可通过粗调及细调模式进行调节；设备软件内置中控代码生成器，方便用户获取相关设备控制代码更加便捷，另设备控制软件可实现一键中英文切换；输入阻抗：平衡20K</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，输出阻抗：平衡100</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，共模拟制比：&gt;73dB(1KHz)，输入范围：≤+19dBu；频率相应：19.7Hz-20KHz(±0.5dB)，信噪比：&gt;110dB@1KHz0dBu，失真度：﹤0.002%OUTPUT=0dBu/1KHz，信道分离度：&gt;106dB（1KHz）。</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台</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13</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反馈抑制器</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▲1.带有压缩，限幅，噪声门功能，具有输入、输出通道路由功能；</w:t>
            </w:r>
            <w:r>
              <w:rPr>
                <w:rFonts w:hint="eastAsia" w:asciiTheme="minorEastAsia" w:hAnsiTheme="minorEastAsia" w:eastAsiaTheme="minorEastAsia" w:cstheme="minorEastAsia"/>
                <w:b/>
                <w:bCs/>
                <w:color w:val="000000"/>
                <w:kern w:val="0"/>
                <w:szCs w:val="21"/>
                <w:lang w:bidi="ar"/>
              </w:rPr>
              <w:t>（提供具有CMA或CNAS或ILAC-MRA标识的第三方检测机构出具的合法有效检验报告复印件）</w:t>
            </w:r>
            <w:r>
              <w:rPr>
                <w:rFonts w:hint="eastAsia" w:asciiTheme="minorEastAsia" w:hAnsiTheme="minorEastAsia" w:eastAsiaTheme="minorEastAsia"/>
                <w:b/>
                <w:bCs/>
                <w:color w:val="000000"/>
                <w:sz w:val="20"/>
                <w:szCs w:val="20"/>
              </w:rPr>
              <w:br w:type="textWrapping"/>
            </w:r>
            <w:r>
              <w:rPr>
                <w:rFonts w:hint="eastAsia" w:asciiTheme="minorEastAsia" w:hAnsiTheme="minorEastAsia" w:eastAsiaTheme="minorEastAsia"/>
                <w:color w:val="000000"/>
                <w:sz w:val="20"/>
                <w:szCs w:val="20"/>
              </w:rPr>
              <w:t>2.可通过面板的“系统”键来设定密码锁定面板操作的部分或全部功能，以防止非相关人员的.操作破坏机器的工作状态；具备模拟，数字AES3，光纤，同轴输出；每通道独立≥12个固定滤波器和12个动态滤波器，可通过面板的≥48个LED啸叫点指示灯,显示当前嘯叫点个数；可任意编辑固定和动态反馈点数量；输入阻抗：平衡20K</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.输出阻抗：平衡100</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.输入共模拟制比：≥70dB(1KHz).输出范围：≤25dBu；频率相应：20Hz-20KHz(-0.3dB)，信噪比：&gt;120dB@1KHz0dBu，失真度：﹤0.01%OUTPUT=0dBu/1KHz，信道分离度：&gt;120dB（1KHz）。</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台</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14</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电源管理器</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▲1.可通过红外学习功能及IO控制功能对第三方设备进行控制；</w:t>
            </w:r>
            <w:r>
              <w:rPr>
                <w:rFonts w:hint="eastAsia" w:asciiTheme="minorEastAsia" w:hAnsiTheme="minorEastAsia" w:eastAsiaTheme="minorEastAsia" w:cstheme="minorEastAsia"/>
                <w:b/>
                <w:bCs/>
                <w:color w:val="000000"/>
                <w:kern w:val="0"/>
                <w:szCs w:val="21"/>
                <w:lang w:bidi="ar"/>
              </w:rPr>
              <w:t>（提供具有CMA或CNAS或ILAC-MRA标识的第三方检测机构出具的合法有效的检验报告复印件）</w:t>
            </w:r>
            <w:r>
              <w:rPr>
                <w:rFonts w:hint="eastAsia" w:asciiTheme="minorEastAsia" w:hAnsiTheme="minorEastAsia" w:eastAsiaTheme="minorEastAsia"/>
                <w:color w:val="000000"/>
                <w:sz w:val="20"/>
                <w:szCs w:val="20"/>
              </w:rPr>
              <w:br w:type="textWrapping"/>
            </w:r>
            <w:r>
              <w:rPr>
                <w:rFonts w:hint="eastAsia" w:asciiTheme="minorEastAsia" w:hAnsiTheme="minorEastAsia" w:eastAsiaTheme="minorEastAsia"/>
                <w:color w:val="000000"/>
                <w:sz w:val="20"/>
                <w:szCs w:val="20"/>
              </w:rPr>
              <w:t>2.设备内置远程控制，让用户能随时随地的对设备进行开启关闭操作；电源输出单相总极限负载的电流为≥40A,在音频负载情况下，每路极限总电流都为≥20A；≥8路通道总承受功率为≥8KW电源,每通道拥有独立高性能的电源滤波器，为用户的设备提供干净而稳定的电源；软件编辑功能，可独立调整通道开机及关机的延时时间；设备受控控制方式多样，TCP/IP、 WIFI、USB、RS485、RS232 联机控制加上外部(远程)控制能控制复杂的电源系统；定时功能:内置万年历，可以对设备进行日、周设备定时，每天可设置定时开关机≥6次；通过抗静电4000V测试，通过耐压5000V测试。</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台</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15</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无线话筒（手持型）</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真分集接收机,双通道独立AFS频率自动搜索功能，含2只手持麦克风；背光式LED显示屏指示了RF和AF信号强度，电池状态；极好的动态响应.音质极佳；射频传输频率范围：640MHz-690MHz；工作范围：理想条件下≥100米；频率响应：40Hz–18KHz,(+1dB-3dB)，S/N信噪比:&gt;105dB，T.H.D失真:&lt;0.5%。</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套</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16</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无线话筒（头戴型）</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真分集接收机,双通道独立AFS频率自动搜索功能，含2只头戴麦克风；背光式LED显示屏指示了RF和AF信号强度，电池状态；极好的动态响应.音质极佳；射频传输频率范围：640MHz-690MHz；工作范围：理想条件下≥100米；频率响应：40Hz–18KHz,(+1dB-3dB)，S/N信噪比:&gt;105dB，T.H.D失真:&lt;0.5%。</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套</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17</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报告席话筒</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需话筒、鹅颈、底座三部分卡侬连接，可根据使用需求拆分或组合使用。配有2种底座，会议、录音两便；底座需带有静音开关及工作状态指示灯。使用开关时不会产生砰砰声。XLRF卡侬母座，XLRM卡侬公座。输入损耗：≤0.4dB；静音衰减：≤64dB；≥14mm膜片电容音头；指向性：心型；频率范围：不劣于20～20000Hz；灵敏度：不低于-37dB(14mV/Pa)±2dB ；输出阻抗：≤200</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 xml:space="preserve"> ；最大声压级：不低于145dB；等效噪声级：≤18dB；供电：</w:t>
            </w:r>
            <w:r>
              <w:rPr>
                <w:rFonts w:hint="eastAsia" w:asciiTheme="minorEastAsia" w:hAnsiTheme="minorEastAsia" w:eastAsiaTheme="minorEastAsia"/>
                <w:sz w:val="20"/>
                <w:szCs w:val="20"/>
              </w:rPr>
              <w:t>48V幻象供电。</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只</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18</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合唱话筒</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1.需具有10dB衰减、低切开关、方便使用；圆型、心型、8字型三种指向可通过开关切换；灵敏度：不低于-35dB(25mV/Pa)±2dB；频率响应：不劣于20～20000Hz；输出阻抗：≤200</w:t>
            </w:r>
            <w:r>
              <w:rPr>
                <w:rFonts w:cs="Calibri" w:asciiTheme="minorEastAsia" w:hAnsiTheme="minorEastAsia" w:eastAsiaTheme="minorEastAsia"/>
                <w:color w:val="000000"/>
                <w:sz w:val="20"/>
                <w:szCs w:val="20"/>
              </w:rPr>
              <w:t>Ω</w:t>
            </w:r>
            <w:r>
              <w:rPr>
                <w:rFonts w:hint="eastAsia" w:asciiTheme="minorEastAsia" w:hAnsiTheme="minorEastAsia" w:eastAsiaTheme="minorEastAsia"/>
                <w:color w:val="000000"/>
                <w:sz w:val="20"/>
                <w:szCs w:val="20"/>
              </w:rPr>
              <w:t>；最大声压:≥135dB；≥1寸镀金膜片音头；等效噪声级（A计权）：≤18dB；电源供应：48</w:t>
            </w:r>
            <w:r>
              <w:rPr>
                <w:rFonts w:hint="eastAsia" w:asciiTheme="minorEastAsia" w:hAnsiTheme="minorEastAsia" w:eastAsiaTheme="minorEastAsia"/>
                <w:sz w:val="20"/>
                <w:szCs w:val="20"/>
              </w:rPr>
              <w:t>V幻象供电。</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只</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19</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乐器拾音话筒</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需配有心型和圆形两个独立的纯电容20mm膜片音头，根据使用需求可音头互换；需为小膜片镀金膜片电容话筒，适合弦乐、管乐、钢琴等乐器的演奏拾音及录音；指向性：心型，圆形可互换；频响：不劣于20Hz-20000Hz；不低于-33dB(14.1mV/Pa)±2dB；输出阻抗：≥150欧姆；等效噪声级：≤18；供电方式：</w:t>
            </w:r>
            <w:r>
              <w:rPr>
                <w:rFonts w:hint="eastAsia" w:asciiTheme="minorEastAsia" w:hAnsiTheme="minorEastAsia" w:eastAsiaTheme="minorEastAsia"/>
                <w:sz w:val="20"/>
                <w:szCs w:val="20"/>
              </w:rPr>
              <w:t>48V幻象供电。</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套</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20</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会议系统主机</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1.≥3.2"</w:t>
            </w:r>
            <w:r>
              <w:rPr>
                <w:rFonts w:hint="eastAsia" w:asciiTheme="minorEastAsia" w:hAnsiTheme="minorEastAsia" w:eastAsiaTheme="minorEastAsia"/>
                <w:sz w:val="20"/>
                <w:szCs w:val="20"/>
              </w:rPr>
              <w:t>LCD显示屏</w:t>
            </w:r>
            <w:r>
              <w:rPr>
                <w:rFonts w:hint="eastAsia" w:asciiTheme="minorEastAsia" w:hAnsiTheme="minorEastAsia" w:eastAsiaTheme="minorEastAsia"/>
                <w:color w:val="000000"/>
                <w:sz w:val="20"/>
                <w:szCs w:val="20"/>
              </w:rPr>
              <w:t>及五维导航操控按键、具备中英文菜单，采用6芯接口，传输距离达≥150米，可有效避免与防止线路电磁干扰；采用48KHz音频采样频率，频率响应可达20Hz-20KHz，具备一线式、环形及T型/十型连接器等多种连接方式；内置自适应反馈抑制（AFC）、环境噪音消除（AEC）、数字均衡器（EQ）、自动增益控制（AGC）功能；支持通用标准协议及RS-485/RS-232控制，连接高清视频解码盒可与高清矩阵实现高清视频信号自动切换；具备≥1路网口同声传译连接口，可配置4/8/12/16/20/32/64不同语种同声传译系统；可集中设置系统的启动电压、启动延时、静音延时、输出增益、输入/输出音量大小。</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台</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21</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会议代表话筒</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LCD显示屏，触控玻璃面板，定位精确、控制迅速，采用DSP数字化处理与传输技术，线距可达≥150米；驻极体超心形指向性麦克风，拾音距离可达≥50cm，支持48K音频采样频率，频率响应可达30Hz-20KHz；话筒杆带有指示灯环，可显示正在发言、设置视频、未编ID号、表决按键提示等状态信息；系统具备自动修复功能，支持线路带电“热插拔”功能，让系统的安全性得到更大的保障；配合摄像机，通过会议主机、控制键盘或电脑PC软件预设后，可进行摄像机自动跟踪，支持画面冻结功能；信噪比：&gt;90dB，动态范围：96dB，总谐波失真：&lt;0.05%，通道分离度：102dB，麦克风灵敏度：-37dB±2dB。</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台</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22</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天线分配器</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系统由一台天线分配器、2个天线组成，提供4组电源输入给接收机使用；适用频带范围：500-900MHz，输出/入增益：0dB(频段中心）；输出端绝缘度：20dB，输出/入阻抗：50欧姆；增益：13dBm，频宽：400MHz，接头：TNC插座；电源供应：DC12-18V，消耗电流：170mA。</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套</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23</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监听音箱</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1.≥5"两分频全频有源监听音箱；≥2 路低音反射式双功放近场工作室监听音箱；频率响应 ≥54Hz - 30kHz ；45W LF 以及 25W HF 双功放系统，高性能70W 功率放大能力。</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个</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24</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线阵音箱定制挂件</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1.架壁厚：≥30mm，承载重量：≥1000kg；高精度焊接，2T吊带一套，U型扣一套。</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套</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25</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音箱支架</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1.金属，壁挂式安装。</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只</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26</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话筒支架</w:t>
            </w:r>
          </w:p>
        </w:tc>
        <w:tc>
          <w:tcPr>
            <w:tcW w:w="5068" w:type="dxa"/>
            <w:shd w:val="clear" w:color="auto" w:fill="auto"/>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1.专业舞台落地话筒支架，合金加重。</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个</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27</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音响地插</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1.卡农双母座；6.35音频接插母座；莲花音频地插母座。</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批</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28</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音频连接线缆</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1.音频连接线缆，音箱至功放，各音频设备连接线缆。</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批</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29</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音响系统电源线</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1.铜芯；每芯不低于10平方。</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米</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30</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音响系统辅材</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1.PVC线槽；所有接头；卡件等</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批</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31</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音控室操作台</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1.钢质1200mm*600mm*760mm，静电喷塑；网面转椅，五星脚配套：1把。</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套</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32</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设备机柜</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1.42U冷板，钢质网门；2风扇，含隔板；</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台</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33</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系统集成</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olor w:val="000000"/>
                <w:sz w:val="20"/>
                <w:szCs w:val="20"/>
              </w:rPr>
              <w:t>1.线路布署；设备上墙安装；设备功能调试；系统联调。</w:t>
            </w:r>
          </w:p>
        </w:tc>
        <w:tc>
          <w:tcPr>
            <w:tcW w:w="788" w:type="dxa"/>
            <w:shd w:val="clear" w:color="auto" w:fill="auto"/>
            <w:vAlign w:val="center"/>
          </w:tcPr>
          <w:p>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批</w:t>
            </w:r>
          </w:p>
        </w:tc>
        <w:tc>
          <w:tcPr>
            <w:tcW w:w="847" w:type="dxa"/>
            <w:shd w:val="clear" w:color="auto" w:fill="auto"/>
            <w:vAlign w:val="center"/>
          </w:tcPr>
          <w:p>
            <w:pPr>
              <w:widowControl/>
              <w:jc w:val="center"/>
              <w:textAlignment w:val="center"/>
              <w:rPr>
                <w:rFonts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34</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cstheme="minorEastAsia"/>
                <w:color w:val="000000"/>
                <w:kern w:val="0"/>
                <w:szCs w:val="21"/>
                <w:lang w:bidi="ar"/>
              </w:rPr>
              <w:t>室内LED显示屏</w:t>
            </w:r>
          </w:p>
        </w:tc>
        <w:tc>
          <w:tcPr>
            <w:tcW w:w="5068" w:type="dxa"/>
            <w:shd w:val="clear" w:color="auto" w:fill="auto"/>
            <w:vAlign w:val="center"/>
          </w:tcPr>
          <w:p>
            <w:pPr>
              <w:widowControl/>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1.像素间距：≤</w:t>
            </w:r>
            <w:r>
              <w:rPr>
                <w:rFonts w:asciiTheme="minorEastAsia" w:hAnsiTheme="minorEastAsia" w:eastAsiaTheme="minorEastAsia" w:cstheme="minorEastAsia"/>
                <w:color w:val="000000"/>
                <w:szCs w:val="21"/>
              </w:rPr>
              <w:t>2.0</w:t>
            </w:r>
            <w:r>
              <w:rPr>
                <w:rFonts w:hint="eastAsia" w:asciiTheme="minorEastAsia" w:hAnsiTheme="minorEastAsia" w:eastAsiaTheme="minorEastAsia" w:cstheme="minorEastAsia"/>
                <w:color w:val="000000"/>
                <w:szCs w:val="21"/>
              </w:rPr>
              <w:t>mm，视角：水平视角≥170°，垂直视角≥155°，刷新频率≥3840HZ, 对比度≥5500:1；</w:t>
            </w:r>
          </w:p>
          <w:p>
            <w:pPr>
              <w:widowControl/>
              <w:rPr>
                <w:rFonts w:cs="宋体" w:asciiTheme="minorEastAsia" w:hAnsiTheme="minorEastAsia" w:eastAsiaTheme="minorEastAsia"/>
                <w:kern w:val="0"/>
                <w:szCs w:val="21"/>
              </w:rPr>
            </w:pPr>
            <w:r>
              <w:rPr>
                <w:rFonts w:hint="eastAsia" w:asciiTheme="minorEastAsia" w:hAnsiTheme="minorEastAsia" w:eastAsiaTheme="minorEastAsia" w:cstheme="minorEastAsia"/>
                <w:color w:val="000000"/>
                <w:szCs w:val="21"/>
              </w:rPr>
              <w:t>▲2.发光点中心距偏差≤0.15%，模组亮度均匀性≥98.8%，色温可调范围：3000k-15000k，SMD表贴三合一LED，模组后方需采用金属后盖进行密封，具备图像降噪、增强、运动补偿、色坐标变化处理、钝化处理、无几何失真和非线性失真现象、消“鬼影”拖尾、无“毛毛虫”、“鬼影”跟随现象，防护标准达到IP6X以上，前方工作噪声≤7dB，后方≤8dB，盐雾等级符合10级标准，模组机械响度：≥5MP，阻燃等级达到UL94 V-0级，抗紫外UV辐射符合5级要求，光生物安全检测：皮肤和眼睛的光化学紫外危害曝辐射值、眼睛的近紫外危害曝辐射值、宽波段的光源对视网膜危害、蓝光对皮肤表面及角膜和视网膜的曝辐射值、眼睛的红外辐射危害曝辐射值、皮肤热危害曝辐射值检测都为无危害，</w:t>
            </w:r>
            <w:r>
              <w:rPr>
                <w:rFonts w:hint="eastAsia" w:asciiTheme="minorEastAsia" w:hAnsiTheme="minorEastAsia" w:eastAsiaTheme="minorEastAsia" w:cstheme="minorEastAsia"/>
                <w:szCs w:val="21"/>
              </w:rPr>
              <w:t>符合中国国家标准委的“人眼视觉舒适度VICO”检测报告：</w:t>
            </w:r>
            <w:r>
              <w:rPr>
                <w:rFonts w:hint="eastAsia" w:asciiTheme="minorEastAsia" w:hAnsiTheme="minorEastAsia" w:eastAsiaTheme="minorEastAsia" w:cstheme="minorEastAsia"/>
                <w:color w:val="000000"/>
                <w:szCs w:val="21"/>
              </w:rPr>
              <w:t>去除100%紫外线，消除80%摩尔纹，通过9级烈度地震震度测试。</w:t>
            </w:r>
            <w:r>
              <w:rPr>
                <w:rFonts w:hint="eastAsia" w:asciiTheme="minorEastAsia" w:hAnsiTheme="minorEastAsia" w:eastAsiaTheme="minorEastAsia" w:cstheme="minorEastAsia"/>
                <w:b/>
                <w:bCs/>
                <w:color w:val="000000"/>
                <w:szCs w:val="21"/>
              </w:rPr>
              <w:t>（以上技术参数需提供</w:t>
            </w:r>
            <w:r>
              <w:rPr>
                <w:rFonts w:hint="eastAsia" w:cs="宋体" w:asciiTheme="minorEastAsia" w:hAnsiTheme="minorEastAsia" w:eastAsiaTheme="minorEastAsia"/>
                <w:b/>
                <w:bCs/>
                <w:kern w:val="0"/>
                <w:szCs w:val="21"/>
              </w:rPr>
              <w:t>经国家认可（具有CMA或CNAS或ILAC-</w:t>
            </w:r>
            <w:r>
              <w:rPr>
                <w:rFonts w:cs="宋体" w:asciiTheme="minorEastAsia" w:hAnsiTheme="minorEastAsia" w:eastAsiaTheme="minorEastAsia"/>
                <w:b/>
                <w:bCs/>
                <w:kern w:val="0"/>
                <w:szCs w:val="21"/>
              </w:rPr>
              <w:t>MRA</w:t>
            </w:r>
            <w:r>
              <w:rPr>
                <w:rFonts w:hint="eastAsia" w:cs="宋体" w:asciiTheme="minorEastAsia" w:hAnsiTheme="minorEastAsia" w:eastAsiaTheme="minorEastAsia"/>
                <w:b/>
                <w:bCs/>
                <w:kern w:val="0"/>
                <w:szCs w:val="21"/>
              </w:rPr>
              <w:t>标志）的第三方机构出具的合法有效的检测报告复印件</w:t>
            </w:r>
            <w:r>
              <w:rPr>
                <w:rFonts w:hint="eastAsia" w:asciiTheme="minorEastAsia" w:hAnsiTheme="minorEastAsia" w:eastAsiaTheme="minorEastAsia" w:cstheme="minorEastAsia"/>
                <w:b/>
                <w:bCs/>
                <w:color w:val="000000"/>
                <w:szCs w:val="21"/>
              </w:rPr>
              <w:t>）</w:t>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495300" cy="5080"/>
                  <wp:effectExtent l="0" t="0" r="0" b="0"/>
                  <wp:wrapNone/>
                  <wp:docPr id="5" name="图片 6"/>
                  <wp:cNvGraphicFramePr/>
                  <a:graphic xmlns:a="http://schemas.openxmlformats.org/drawingml/2006/main">
                    <a:graphicData uri="http://schemas.openxmlformats.org/drawingml/2006/picture">
                      <pic:pic xmlns:pic="http://schemas.openxmlformats.org/drawingml/2006/picture">
                        <pic:nvPicPr>
                          <pic:cNvPr id="5" name="图片 6"/>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495300" cy="5080"/>
                  <wp:effectExtent l="0" t="0" r="0" b="0"/>
                  <wp:wrapNone/>
                  <wp:docPr id="6" name="图片 7"/>
                  <wp:cNvGraphicFramePr/>
                  <a:graphic xmlns:a="http://schemas.openxmlformats.org/drawingml/2006/main">
                    <a:graphicData uri="http://schemas.openxmlformats.org/drawingml/2006/picture">
                      <pic:pic xmlns:pic="http://schemas.openxmlformats.org/drawingml/2006/picture">
                        <pic:nvPicPr>
                          <pic:cNvPr id="6" name="图片 7"/>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495300" cy="5080"/>
                  <wp:effectExtent l="0" t="0" r="0" b="0"/>
                  <wp:wrapNone/>
                  <wp:docPr id="7" name="图片 8"/>
                  <wp:cNvGraphicFramePr/>
                  <a:graphic xmlns:a="http://schemas.openxmlformats.org/drawingml/2006/main">
                    <a:graphicData uri="http://schemas.openxmlformats.org/drawingml/2006/picture">
                      <pic:pic xmlns:pic="http://schemas.openxmlformats.org/drawingml/2006/picture">
                        <pic:nvPicPr>
                          <pic:cNvPr id="7" name="图片 8"/>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495300" cy="5080"/>
                  <wp:effectExtent l="0" t="0" r="0" b="0"/>
                  <wp:wrapNone/>
                  <wp:docPr id="8" name="图片 9"/>
                  <wp:cNvGraphicFramePr/>
                  <a:graphic xmlns:a="http://schemas.openxmlformats.org/drawingml/2006/main">
                    <a:graphicData uri="http://schemas.openxmlformats.org/drawingml/2006/picture">
                      <pic:pic xmlns:pic="http://schemas.openxmlformats.org/drawingml/2006/picture">
                        <pic:nvPicPr>
                          <pic:cNvPr id="8" name="图片 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495300" cy="5080"/>
                  <wp:effectExtent l="0" t="0" r="0" b="0"/>
                  <wp:wrapNone/>
                  <wp:docPr id="10" name="图片 11"/>
                  <wp:cNvGraphicFramePr/>
                  <a:graphic xmlns:a="http://schemas.openxmlformats.org/drawingml/2006/main">
                    <a:graphicData uri="http://schemas.openxmlformats.org/drawingml/2006/picture">
                      <pic:pic xmlns:pic="http://schemas.openxmlformats.org/drawingml/2006/picture">
                        <pic:nvPicPr>
                          <pic:cNvPr id="10" name="图片 1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495300" cy="5080"/>
                  <wp:effectExtent l="0" t="0" r="0" b="0"/>
                  <wp:wrapNone/>
                  <wp:docPr id="19" name="图片 21"/>
                  <wp:cNvGraphicFramePr/>
                  <a:graphic xmlns:a="http://schemas.openxmlformats.org/drawingml/2006/main">
                    <a:graphicData uri="http://schemas.openxmlformats.org/drawingml/2006/picture">
                      <pic:pic xmlns:pic="http://schemas.openxmlformats.org/drawingml/2006/picture">
                        <pic:nvPicPr>
                          <pic:cNvPr id="19" name="图片 2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495300" cy="5080"/>
                  <wp:effectExtent l="0" t="0" r="0" b="0"/>
                  <wp:wrapNone/>
                  <wp:docPr id="20" name="图片 22"/>
                  <wp:cNvGraphicFramePr/>
                  <a:graphic xmlns:a="http://schemas.openxmlformats.org/drawingml/2006/main">
                    <a:graphicData uri="http://schemas.openxmlformats.org/drawingml/2006/picture">
                      <pic:pic xmlns:pic="http://schemas.openxmlformats.org/drawingml/2006/picture">
                        <pic:nvPicPr>
                          <pic:cNvPr id="20" name="图片 2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495300" cy="5080"/>
                  <wp:effectExtent l="0" t="0" r="0" b="0"/>
                  <wp:wrapNone/>
                  <wp:docPr id="21" name="图片 23"/>
                  <wp:cNvGraphicFramePr/>
                  <a:graphic xmlns:a="http://schemas.openxmlformats.org/drawingml/2006/main">
                    <a:graphicData uri="http://schemas.openxmlformats.org/drawingml/2006/picture">
                      <pic:pic xmlns:pic="http://schemas.openxmlformats.org/drawingml/2006/picture">
                        <pic:nvPicPr>
                          <pic:cNvPr id="21" name="图片 2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495300" cy="5080"/>
                  <wp:effectExtent l="0" t="0" r="0" b="0"/>
                  <wp:wrapNone/>
                  <wp:docPr id="54" name="图片 24"/>
                  <wp:cNvGraphicFramePr/>
                  <a:graphic xmlns:a="http://schemas.openxmlformats.org/drawingml/2006/main">
                    <a:graphicData uri="http://schemas.openxmlformats.org/drawingml/2006/picture">
                      <pic:pic xmlns:pic="http://schemas.openxmlformats.org/drawingml/2006/picture">
                        <pic:nvPicPr>
                          <pic:cNvPr id="54" name="图片 2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495300" cy="5080"/>
                  <wp:effectExtent l="0" t="0" r="0" b="0"/>
                  <wp:wrapNone/>
                  <wp:docPr id="75" name="图片 33"/>
                  <wp:cNvGraphicFramePr/>
                  <a:graphic xmlns:a="http://schemas.openxmlformats.org/drawingml/2006/main">
                    <a:graphicData uri="http://schemas.openxmlformats.org/drawingml/2006/picture">
                      <pic:pic xmlns:pic="http://schemas.openxmlformats.org/drawingml/2006/picture">
                        <pic:nvPicPr>
                          <pic:cNvPr id="75" name="图片 3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495300" cy="5080"/>
                  <wp:effectExtent l="0" t="0" r="0" b="0"/>
                  <wp:wrapNone/>
                  <wp:docPr id="48" name="图片 34"/>
                  <wp:cNvGraphicFramePr/>
                  <a:graphic xmlns:a="http://schemas.openxmlformats.org/drawingml/2006/main">
                    <a:graphicData uri="http://schemas.openxmlformats.org/drawingml/2006/picture">
                      <pic:pic xmlns:pic="http://schemas.openxmlformats.org/drawingml/2006/picture">
                        <pic:nvPicPr>
                          <pic:cNvPr id="48" name="图片 3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495300" cy="5080"/>
                  <wp:effectExtent l="0" t="0" r="0" b="0"/>
                  <wp:wrapNone/>
                  <wp:docPr id="69" name="图片 35"/>
                  <wp:cNvGraphicFramePr/>
                  <a:graphic xmlns:a="http://schemas.openxmlformats.org/drawingml/2006/main">
                    <a:graphicData uri="http://schemas.openxmlformats.org/drawingml/2006/picture">
                      <pic:pic xmlns:pic="http://schemas.openxmlformats.org/drawingml/2006/picture">
                        <pic:nvPicPr>
                          <pic:cNvPr id="69" name="图片 3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495300" cy="5080"/>
                  <wp:effectExtent l="0" t="0" r="0" b="0"/>
                  <wp:wrapNone/>
                  <wp:docPr id="64" name="图片 40"/>
                  <wp:cNvGraphicFramePr/>
                  <a:graphic xmlns:a="http://schemas.openxmlformats.org/drawingml/2006/main">
                    <a:graphicData uri="http://schemas.openxmlformats.org/drawingml/2006/picture">
                      <pic:pic xmlns:pic="http://schemas.openxmlformats.org/drawingml/2006/picture">
                        <pic:nvPicPr>
                          <pic:cNvPr id="64" name="图片 4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95300" cy="5080"/>
                  <wp:effectExtent l="0" t="0" r="0" b="0"/>
                  <wp:wrapNone/>
                  <wp:docPr id="108" name="图片 89"/>
                  <wp:cNvGraphicFramePr/>
                  <a:graphic xmlns:a="http://schemas.openxmlformats.org/drawingml/2006/main">
                    <a:graphicData uri="http://schemas.openxmlformats.org/drawingml/2006/picture">
                      <pic:pic xmlns:pic="http://schemas.openxmlformats.org/drawingml/2006/picture">
                        <pic:nvPicPr>
                          <pic:cNvPr id="108" name="图片 8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95300" cy="5080"/>
                  <wp:effectExtent l="0" t="0" r="0" b="0"/>
                  <wp:wrapNone/>
                  <wp:docPr id="123" name="图片 90"/>
                  <wp:cNvGraphicFramePr/>
                  <a:graphic xmlns:a="http://schemas.openxmlformats.org/drawingml/2006/main">
                    <a:graphicData uri="http://schemas.openxmlformats.org/drawingml/2006/picture">
                      <pic:pic xmlns:pic="http://schemas.openxmlformats.org/drawingml/2006/picture">
                        <pic:nvPicPr>
                          <pic:cNvPr id="123" name="图片 9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495300" cy="5080"/>
                  <wp:effectExtent l="0" t="0" r="0" b="0"/>
                  <wp:wrapNone/>
                  <wp:docPr id="130" name="图片 91"/>
                  <wp:cNvGraphicFramePr/>
                  <a:graphic xmlns:a="http://schemas.openxmlformats.org/drawingml/2006/main">
                    <a:graphicData uri="http://schemas.openxmlformats.org/drawingml/2006/picture">
                      <pic:pic xmlns:pic="http://schemas.openxmlformats.org/drawingml/2006/picture">
                        <pic:nvPicPr>
                          <pic:cNvPr id="130" name="图片 9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495300" cy="5080"/>
                  <wp:effectExtent l="0" t="0" r="0" b="0"/>
                  <wp:wrapNone/>
                  <wp:docPr id="110" name="图片 92"/>
                  <wp:cNvGraphicFramePr/>
                  <a:graphic xmlns:a="http://schemas.openxmlformats.org/drawingml/2006/main">
                    <a:graphicData uri="http://schemas.openxmlformats.org/drawingml/2006/picture">
                      <pic:pic xmlns:pic="http://schemas.openxmlformats.org/drawingml/2006/picture">
                        <pic:nvPicPr>
                          <pic:cNvPr id="110" name="图片 9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495300" cy="5080"/>
                  <wp:effectExtent l="0" t="0" r="0" b="0"/>
                  <wp:wrapNone/>
                  <wp:docPr id="119" name="图片 93"/>
                  <wp:cNvGraphicFramePr/>
                  <a:graphic xmlns:a="http://schemas.openxmlformats.org/drawingml/2006/main">
                    <a:graphicData uri="http://schemas.openxmlformats.org/drawingml/2006/picture">
                      <pic:pic xmlns:pic="http://schemas.openxmlformats.org/drawingml/2006/picture">
                        <pic:nvPicPr>
                          <pic:cNvPr id="119" name="图片 9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95300" cy="5080"/>
                  <wp:effectExtent l="0" t="0" r="0" b="0"/>
                  <wp:wrapNone/>
                  <wp:docPr id="137" name="图片 94"/>
                  <wp:cNvGraphicFramePr/>
                  <a:graphic xmlns:a="http://schemas.openxmlformats.org/drawingml/2006/main">
                    <a:graphicData uri="http://schemas.openxmlformats.org/drawingml/2006/picture">
                      <pic:pic xmlns:pic="http://schemas.openxmlformats.org/drawingml/2006/picture">
                        <pic:nvPicPr>
                          <pic:cNvPr id="137" name="图片 9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495300" cy="5080"/>
                  <wp:effectExtent l="0" t="0" r="0" b="0"/>
                  <wp:wrapNone/>
                  <wp:docPr id="111" name="图片 95"/>
                  <wp:cNvGraphicFramePr/>
                  <a:graphic xmlns:a="http://schemas.openxmlformats.org/drawingml/2006/main">
                    <a:graphicData uri="http://schemas.openxmlformats.org/drawingml/2006/picture">
                      <pic:pic xmlns:pic="http://schemas.openxmlformats.org/drawingml/2006/picture">
                        <pic:nvPicPr>
                          <pic:cNvPr id="111" name="图片 9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495300" cy="5080"/>
                  <wp:effectExtent l="0" t="0" r="0" b="0"/>
                  <wp:wrapNone/>
                  <wp:docPr id="133" name="图片 96"/>
                  <wp:cNvGraphicFramePr/>
                  <a:graphic xmlns:a="http://schemas.openxmlformats.org/drawingml/2006/main">
                    <a:graphicData uri="http://schemas.openxmlformats.org/drawingml/2006/picture">
                      <pic:pic xmlns:pic="http://schemas.openxmlformats.org/drawingml/2006/picture">
                        <pic:nvPicPr>
                          <pic:cNvPr id="133" name="图片 96"/>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495300" cy="5080"/>
                  <wp:effectExtent l="0" t="0" r="0" b="0"/>
                  <wp:wrapNone/>
                  <wp:docPr id="126" name="图片_30_SpCnt_49"/>
                  <wp:cNvGraphicFramePr/>
                  <a:graphic xmlns:a="http://schemas.openxmlformats.org/drawingml/2006/main">
                    <a:graphicData uri="http://schemas.openxmlformats.org/drawingml/2006/picture">
                      <pic:pic xmlns:pic="http://schemas.openxmlformats.org/drawingml/2006/picture">
                        <pic:nvPicPr>
                          <pic:cNvPr id="126" name="图片_30_SpCnt_4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495300" cy="5080"/>
                  <wp:effectExtent l="0" t="0" r="0" b="0"/>
                  <wp:wrapNone/>
                  <wp:docPr id="113" name="图片_30_SpCnt_50"/>
                  <wp:cNvGraphicFramePr/>
                  <a:graphic xmlns:a="http://schemas.openxmlformats.org/drawingml/2006/main">
                    <a:graphicData uri="http://schemas.openxmlformats.org/drawingml/2006/picture">
                      <pic:pic xmlns:pic="http://schemas.openxmlformats.org/drawingml/2006/picture">
                        <pic:nvPicPr>
                          <pic:cNvPr id="113" name="图片_30_SpCnt_5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495300" cy="5080"/>
                  <wp:effectExtent l="0" t="0" r="0" b="0"/>
                  <wp:wrapNone/>
                  <wp:docPr id="120" name="图片_30_SpCnt_51"/>
                  <wp:cNvGraphicFramePr/>
                  <a:graphic xmlns:a="http://schemas.openxmlformats.org/drawingml/2006/main">
                    <a:graphicData uri="http://schemas.openxmlformats.org/drawingml/2006/picture">
                      <pic:pic xmlns:pic="http://schemas.openxmlformats.org/drawingml/2006/picture">
                        <pic:nvPicPr>
                          <pic:cNvPr id="120" name="图片_30_SpCnt_5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495300" cy="5080"/>
                  <wp:effectExtent l="0" t="0" r="0" b="0"/>
                  <wp:wrapNone/>
                  <wp:docPr id="121" name="图片_30_SpCnt_52"/>
                  <wp:cNvGraphicFramePr/>
                  <a:graphic xmlns:a="http://schemas.openxmlformats.org/drawingml/2006/main">
                    <a:graphicData uri="http://schemas.openxmlformats.org/drawingml/2006/picture">
                      <pic:pic xmlns:pic="http://schemas.openxmlformats.org/drawingml/2006/picture">
                        <pic:nvPicPr>
                          <pic:cNvPr id="121" name="图片_30_SpCnt_5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495300" cy="5080"/>
                  <wp:effectExtent l="0" t="0" r="0" b="0"/>
                  <wp:wrapNone/>
                  <wp:docPr id="114" name="图片_30_SpCnt_53"/>
                  <wp:cNvGraphicFramePr/>
                  <a:graphic xmlns:a="http://schemas.openxmlformats.org/drawingml/2006/main">
                    <a:graphicData uri="http://schemas.openxmlformats.org/drawingml/2006/picture">
                      <pic:pic xmlns:pic="http://schemas.openxmlformats.org/drawingml/2006/picture">
                        <pic:nvPicPr>
                          <pic:cNvPr id="114" name="图片_30_SpCnt_5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495300" cy="5080"/>
                  <wp:effectExtent l="0" t="0" r="0" b="0"/>
                  <wp:wrapNone/>
                  <wp:docPr id="122" name="图片_30_SpCnt_54"/>
                  <wp:cNvGraphicFramePr/>
                  <a:graphic xmlns:a="http://schemas.openxmlformats.org/drawingml/2006/main">
                    <a:graphicData uri="http://schemas.openxmlformats.org/drawingml/2006/picture">
                      <pic:pic xmlns:pic="http://schemas.openxmlformats.org/drawingml/2006/picture">
                        <pic:nvPicPr>
                          <pic:cNvPr id="122" name="图片_30_SpCnt_5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495300" cy="5080"/>
                  <wp:effectExtent l="0" t="0" r="0" b="0"/>
                  <wp:wrapNone/>
                  <wp:docPr id="116" name="图片_30_SpCnt_55"/>
                  <wp:cNvGraphicFramePr/>
                  <a:graphic xmlns:a="http://schemas.openxmlformats.org/drawingml/2006/main">
                    <a:graphicData uri="http://schemas.openxmlformats.org/drawingml/2006/picture">
                      <pic:pic xmlns:pic="http://schemas.openxmlformats.org/drawingml/2006/picture">
                        <pic:nvPicPr>
                          <pic:cNvPr id="116" name="图片_30_SpCnt_5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495300" cy="5080"/>
                  <wp:effectExtent l="0" t="0" r="0" b="0"/>
                  <wp:wrapNone/>
                  <wp:docPr id="115" name="图片_30_SpCnt_56"/>
                  <wp:cNvGraphicFramePr/>
                  <a:graphic xmlns:a="http://schemas.openxmlformats.org/drawingml/2006/main">
                    <a:graphicData uri="http://schemas.openxmlformats.org/drawingml/2006/picture">
                      <pic:pic xmlns:pic="http://schemas.openxmlformats.org/drawingml/2006/picture">
                        <pic:nvPicPr>
                          <pic:cNvPr id="115" name="图片_30_SpCnt_56"/>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495300" cy="5080"/>
                  <wp:effectExtent l="0" t="0" r="0" b="0"/>
                  <wp:wrapNone/>
                  <wp:docPr id="152" name="图片_30_SpCnt_57"/>
                  <wp:cNvGraphicFramePr/>
                  <a:graphic xmlns:a="http://schemas.openxmlformats.org/drawingml/2006/main">
                    <a:graphicData uri="http://schemas.openxmlformats.org/drawingml/2006/picture">
                      <pic:pic xmlns:pic="http://schemas.openxmlformats.org/drawingml/2006/picture">
                        <pic:nvPicPr>
                          <pic:cNvPr id="152" name="图片_30_SpCnt_57"/>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495300" cy="5080"/>
                  <wp:effectExtent l="0" t="0" r="0" b="0"/>
                  <wp:wrapNone/>
                  <wp:docPr id="150" name="图片_30_SpCnt_58"/>
                  <wp:cNvGraphicFramePr/>
                  <a:graphic xmlns:a="http://schemas.openxmlformats.org/drawingml/2006/main">
                    <a:graphicData uri="http://schemas.openxmlformats.org/drawingml/2006/picture">
                      <pic:pic xmlns:pic="http://schemas.openxmlformats.org/drawingml/2006/picture">
                        <pic:nvPicPr>
                          <pic:cNvPr id="150" name="图片_30_SpCnt_58"/>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495300" cy="5080"/>
                  <wp:effectExtent l="0" t="0" r="0" b="0"/>
                  <wp:wrapNone/>
                  <wp:docPr id="145" name="图片_30_SpCnt_59"/>
                  <wp:cNvGraphicFramePr/>
                  <a:graphic xmlns:a="http://schemas.openxmlformats.org/drawingml/2006/main">
                    <a:graphicData uri="http://schemas.openxmlformats.org/drawingml/2006/picture">
                      <pic:pic xmlns:pic="http://schemas.openxmlformats.org/drawingml/2006/picture">
                        <pic:nvPicPr>
                          <pic:cNvPr id="145" name="图片_30_SpCnt_5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495300" cy="5080"/>
                  <wp:effectExtent l="0" t="0" r="0" b="0"/>
                  <wp:wrapNone/>
                  <wp:docPr id="162" name="图片_30_SpCnt_60"/>
                  <wp:cNvGraphicFramePr/>
                  <a:graphic xmlns:a="http://schemas.openxmlformats.org/drawingml/2006/main">
                    <a:graphicData uri="http://schemas.openxmlformats.org/drawingml/2006/picture">
                      <pic:pic xmlns:pic="http://schemas.openxmlformats.org/drawingml/2006/picture">
                        <pic:nvPicPr>
                          <pic:cNvPr id="162" name="图片_30_SpCnt_6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495300" cy="5080"/>
                  <wp:effectExtent l="0" t="0" r="0" b="0"/>
                  <wp:wrapNone/>
                  <wp:docPr id="139" name="图片_30_SpCnt_61"/>
                  <wp:cNvGraphicFramePr/>
                  <a:graphic xmlns:a="http://schemas.openxmlformats.org/drawingml/2006/main">
                    <a:graphicData uri="http://schemas.openxmlformats.org/drawingml/2006/picture">
                      <pic:pic xmlns:pic="http://schemas.openxmlformats.org/drawingml/2006/picture">
                        <pic:nvPicPr>
                          <pic:cNvPr id="139" name="图片_30_SpCnt_6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495300" cy="5080"/>
                  <wp:effectExtent l="0" t="0" r="0" b="0"/>
                  <wp:wrapNone/>
                  <wp:docPr id="158" name="图片_30_SpCnt_62"/>
                  <wp:cNvGraphicFramePr/>
                  <a:graphic xmlns:a="http://schemas.openxmlformats.org/drawingml/2006/main">
                    <a:graphicData uri="http://schemas.openxmlformats.org/drawingml/2006/picture">
                      <pic:pic xmlns:pic="http://schemas.openxmlformats.org/drawingml/2006/picture">
                        <pic:nvPicPr>
                          <pic:cNvPr id="158" name="图片_30_SpCnt_6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495300" cy="5080"/>
                  <wp:effectExtent l="0" t="0" r="0" b="0"/>
                  <wp:wrapNone/>
                  <wp:docPr id="164" name="图片_30_SpCnt_63"/>
                  <wp:cNvGraphicFramePr/>
                  <a:graphic xmlns:a="http://schemas.openxmlformats.org/drawingml/2006/main">
                    <a:graphicData uri="http://schemas.openxmlformats.org/drawingml/2006/picture">
                      <pic:pic xmlns:pic="http://schemas.openxmlformats.org/drawingml/2006/picture">
                        <pic:nvPicPr>
                          <pic:cNvPr id="164" name="图片_30_SpCnt_6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495300" cy="5080"/>
                  <wp:effectExtent l="0" t="0" r="0" b="0"/>
                  <wp:wrapNone/>
                  <wp:docPr id="169" name="图片_30_SpCnt_64"/>
                  <wp:cNvGraphicFramePr/>
                  <a:graphic xmlns:a="http://schemas.openxmlformats.org/drawingml/2006/main">
                    <a:graphicData uri="http://schemas.openxmlformats.org/drawingml/2006/picture">
                      <pic:pic xmlns:pic="http://schemas.openxmlformats.org/drawingml/2006/picture">
                        <pic:nvPicPr>
                          <pic:cNvPr id="169" name="图片_30_SpCnt_6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495300" cy="5080"/>
                  <wp:effectExtent l="0" t="0" r="0" b="0"/>
                  <wp:wrapNone/>
                  <wp:docPr id="138" name="图片_30_SpCnt_65"/>
                  <wp:cNvGraphicFramePr/>
                  <a:graphic xmlns:a="http://schemas.openxmlformats.org/drawingml/2006/main">
                    <a:graphicData uri="http://schemas.openxmlformats.org/drawingml/2006/picture">
                      <pic:pic xmlns:pic="http://schemas.openxmlformats.org/drawingml/2006/picture">
                        <pic:nvPicPr>
                          <pic:cNvPr id="138" name="图片_30_SpCnt_6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495300" cy="5080"/>
                  <wp:effectExtent l="0" t="0" r="0" b="0"/>
                  <wp:wrapNone/>
                  <wp:docPr id="140" name="图片_30_SpCnt_66"/>
                  <wp:cNvGraphicFramePr/>
                  <a:graphic xmlns:a="http://schemas.openxmlformats.org/drawingml/2006/main">
                    <a:graphicData uri="http://schemas.openxmlformats.org/drawingml/2006/picture">
                      <pic:pic xmlns:pic="http://schemas.openxmlformats.org/drawingml/2006/picture">
                        <pic:nvPicPr>
                          <pic:cNvPr id="140" name="图片_30_SpCnt_66"/>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495300" cy="5080"/>
                  <wp:effectExtent l="0" t="0" r="0" b="0"/>
                  <wp:wrapNone/>
                  <wp:docPr id="156" name="图片_30_SpCnt_67"/>
                  <wp:cNvGraphicFramePr/>
                  <a:graphic xmlns:a="http://schemas.openxmlformats.org/drawingml/2006/main">
                    <a:graphicData uri="http://schemas.openxmlformats.org/drawingml/2006/picture">
                      <pic:pic xmlns:pic="http://schemas.openxmlformats.org/drawingml/2006/picture">
                        <pic:nvPicPr>
                          <pic:cNvPr id="156" name="图片_30_SpCnt_67"/>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495300" cy="5080"/>
                  <wp:effectExtent l="0" t="0" r="0" b="0"/>
                  <wp:wrapNone/>
                  <wp:docPr id="165" name="图片_30_SpCnt_68"/>
                  <wp:cNvGraphicFramePr/>
                  <a:graphic xmlns:a="http://schemas.openxmlformats.org/drawingml/2006/main">
                    <a:graphicData uri="http://schemas.openxmlformats.org/drawingml/2006/picture">
                      <pic:pic xmlns:pic="http://schemas.openxmlformats.org/drawingml/2006/picture">
                        <pic:nvPicPr>
                          <pic:cNvPr id="165" name="图片_30_SpCnt_68"/>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495300" cy="5080"/>
                  <wp:effectExtent l="0" t="0" r="0" b="0"/>
                  <wp:wrapNone/>
                  <wp:docPr id="151" name="图片_30_SpCnt_69"/>
                  <wp:cNvGraphicFramePr/>
                  <a:graphic xmlns:a="http://schemas.openxmlformats.org/drawingml/2006/main">
                    <a:graphicData uri="http://schemas.openxmlformats.org/drawingml/2006/picture">
                      <pic:pic xmlns:pic="http://schemas.openxmlformats.org/drawingml/2006/picture">
                        <pic:nvPicPr>
                          <pic:cNvPr id="151" name="图片_30_SpCnt_6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495300" cy="5080"/>
                  <wp:effectExtent l="0" t="0" r="0" b="0"/>
                  <wp:wrapNone/>
                  <wp:docPr id="153" name="图片_30_SpCnt_70"/>
                  <wp:cNvGraphicFramePr/>
                  <a:graphic xmlns:a="http://schemas.openxmlformats.org/drawingml/2006/main">
                    <a:graphicData uri="http://schemas.openxmlformats.org/drawingml/2006/picture">
                      <pic:pic xmlns:pic="http://schemas.openxmlformats.org/drawingml/2006/picture">
                        <pic:nvPicPr>
                          <pic:cNvPr id="153" name="图片_30_SpCnt_7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495300" cy="5080"/>
                  <wp:effectExtent l="0" t="0" r="0" b="0"/>
                  <wp:wrapNone/>
                  <wp:docPr id="141" name="图片_30_SpCnt_71"/>
                  <wp:cNvGraphicFramePr/>
                  <a:graphic xmlns:a="http://schemas.openxmlformats.org/drawingml/2006/main">
                    <a:graphicData uri="http://schemas.openxmlformats.org/drawingml/2006/picture">
                      <pic:pic xmlns:pic="http://schemas.openxmlformats.org/drawingml/2006/picture">
                        <pic:nvPicPr>
                          <pic:cNvPr id="141" name="图片_30_SpCnt_7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495300" cy="5080"/>
                  <wp:effectExtent l="0" t="0" r="0" b="0"/>
                  <wp:wrapNone/>
                  <wp:docPr id="157" name="图片_30_SpCnt_72"/>
                  <wp:cNvGraphicFramePr/>
                  <a:graphic xmlns:a="http://schemas.openxmlformats.org/drawingml/2006/main">
                    <a:graphicData uri="http://schemas.openxmlformats.org/drawingml/2006/picture">
                      <pic:pic xmlns:pic="http://schemas.openxmlformats.org/drawingml/2006/picture">
                        <pic:nvPicPr>
                          <pic:cNvPr id="157" name="图片_30_SpCnt_7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495300" cy="5080"/>
                  <wp:effectExtent l="0" t="0" r="0" b="0"/>
                  <wp:wrapNone/>
                  <wp:docPr id="142" name="图片_30_SpCnt_73"/>
                  <wp:cNvGraphicFramePr/>
                  <a:graphic xmlns:a="http://schemas.openxmlformats.org/drawingml/2006/main">
                    <a:graphicData uri="http://schemas.openxmlformats.org/drawingml/2006/picture">
                      <pic:pic xmlns:pic="http://schemas.openxmlformats.org/drawingml/2006/picture">
                        <pic:nvPicPr>
                          <pic:cNvPr id="142" name="图片_30_SpCnt_7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495300" cy="5080"/>
                  <wp:effectExtent l="0" t="0" r="0" b="0"/>
                  <wp:wrapNone/>
                  <wp:docPr id="163" name="图片_30_SpCnt_74"/>
                  <wp:cNvGraphicFramePr/>
                  <a:graphic xmlns:a="http://schemas.openxmlformats.org/drawingml/2006/main">
                    <a:graphicData uri="http://schemas.openxmlformats.org/drawingml/2006/picture">
                      <pic:pic xmlns:pic="http://schemas.openxmlformats.org/drawingml/2006/picture">
                        <pic:nvPicPr>
                          <pic:cNvPr id="163" name="图片_30_SpCnt_7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495300" cy="5080"/>
                  <wp:effectExtent l="0" t="0" r="0" b="0"/>
                  <wp:wrapNone/>
                  <wp:docPr id="166" name="图片_30_SpCnt_75"/>
                  <wp:cNvGraphicFramePr/>
                  <a:graphic xmlns:a="http://schemas.openxmlformats.org/drawingml/2006/main">
                    <a:graphicData uri="http://schemas.openxmlformats.org/drawingml/2006/picture">
                      <pic:pic xmlns:pic="http://schemas.openxmlformats.org/drawingml/2006/picture">
                        <pic:nvPicPr>
                          <pic:cNvPr id="166" name="图片_30_SpCnt_7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495300" cy="5080"/>
                  <wp:effectExtent l="0" t="0" r="0" b="0"/>
                  <wp:wrapNone/>
                  <wp:docPr id="159" name="图片_30_SpCnt_76"/>
                  <wp:cNvGraphicFramePr/>
                  <a:graphic xmlns:a="http://schemas.openxmlformats.org/drawingml/2006/main">
                    <a:graphicData uri="http://schemas.openxmlformats.org/drawingml/2006/picture">
                      <pic:pic xmlns:pic="http://schemas.openxmlformats.org/drawingml/2006/picture">
                        <pic:nvPicPr>
                          <pic:cNvPr id="159" name="图片_30_SpCnt_76"/>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495300" cy="5080"/>
                  <wp:effectExtent l="0" t="0" r="0" b="0"/>
                  <wp:wrapNone/>
                  <wp:docPr id="143" name="图片_30_SpCnt_77"/>
                  <wp:cNvGraphicFramePr/>
                  <a:graphic xmlns:a="http://schemas.openxmlformats.org/drawingml/2006/main">
                    <a:graphicData uri="http://schemas.openxmlformats.org/drawingml/2006/picture">
                      <pic:pic xmlns:pic="http://schemas.openxmlformats.org/drawingml/2006/picture">
                        <pic:nvPicPr>
                          <pic:cNvPr id="143" name="图片_30_SpCnt_77"/>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495300" cy="5080"/>
                  <wp:effectExtent l="0" t="0" r="0" b="0"/>
                  <wp:wrapNone/>
                  <wp:docPr id="160" name="图片_30_SpCnt_78"/>
                  <wp:cNvGraphicFramePr/>
                  <a:graphic xmlns:a="http://schemas.openxmlformats.org/drawingml/2006/main">
                    <a:graphicData uri="http://schemas.openxmlformats.org/drawingml/2006/picture">
                      <pic:pic xmlns:pic="http://schemas.openxmlformats.org/drawingml/2006/picture">
                        <pic:nvPicPr>
                          <pic:cNvPr id="160" name="图片_30_SpCnt_78"/>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495300" cy="5080"/>
                  <wp:effectExtent l="0" t="0" r="0" b="0"/>
                  <wp:wrapNone/>
                  <wp:docPr id="161" name="图片_30_SpCnt_79"/>
                  <wp:cNvGraphicFramePr/>
                  <a:graphic xmlns:a="http://schemas.openxmlformats.org/drawingml/2006/main">
                    <a:graphicData uri="http://schemas.openxmlformats.org/drawingml/2006/picture">
                      <pic:pic xmlns:pic="http://schemas.openxmlformats.org/drawingml/2006/picture">
                        <pic:nvPicPr>
                          <pic:cNvPr id="161" name="图片_30_SpCnt_7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495300" cy="5080"/>
                  <wp:effectExtent l="0" t="0" r="0" b="0"/>
                  <wp:wrapNone/>
                  <wp:docPr id="167" name="图片_30_SpCnt_80"/>
                  <wp:cNvGraphicFramePr/>
                  <a:graphic xmlns:a="http://schemas.openxmlformats.org/drawingml/2006/main">
                    <a:graphicData uri="http://schemas.openxmlformats.org/drawingml/2006/picture">
                      <pic:pic xmlns:pic="http://schemas.openxmlformats.org/drawingml/2006/picture">
                        <pic:nvPicPr>
                          <pic:cNvPr id="167" name="图片_30_SpCnt_8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495300" cy="5080"/>
                  <wp:effectExtent l="0" t="0" r="0" b="0"/>
                  <wp:wrapNone/>
                  <wp:docPr id="154" name="图片_30_SpCnt_81"/>
                  <wp:cNvGraphicFramePr/>
                  <a:graphic xmlns:a="http://schemas.openxmlformats.org/drawingml/2006/main">
                    <a:graphicData uri="http://schemas.openxmlformats.org/drawingml/2006/picture">
                      <pic:pic xmlns:pic="http://schemas.openxmlformats.org/drawingml/2006/picture">
                        <pic:nvPicPr>
                          <pic:cNvPr id="154" name="图片_30_SpCnt_8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495300" cy="5080"/>
                  <wp:effectExtent l="0" t="0" r="0" b="0"/>
                  <wp:wrapNone/>
                  <wp:docPr id="144" name="图片_30_SpCnt_82"/>
                  <wp:cNvGraphicFramePr/>
                  <a:graphic xmlns:a="http://schemas.openxmlformats.org/drawingml/2006/main">
                    <a:graphicData uri="http://schemas.openxmlformats.org/drawingml/2006/picture">
                      <pic:pic xmlns:pic="http://schemas.openxmlformats.org/drawingml/2006/picture">
                        <pic:nvPicPr>
                          <pic:cNvPr id="144" name="图片_30_SpCnt_8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495300" cy="5080"/>
                  <wp:effectExtent l="0" t="0" r="0" b="0"/>
                  <wp:wrapNone/>
                  <wp:docPr id="168" name="图片_30_SpCnt_83"/>
                  <wp:cNvGraphicFramePr/>
                  <a:graphic xmlns:a="http://schemas.openxmlformats.org/drawingml/2006/main">
                    <a:graphicData uri="http://schemas.openxmlformats.org/drawingml/2006/picture">
                      <pic:pic xmlns:pic="http://schemas.openxmlformats.org/drawingml/2006/picture">
                        <pic:nvPicPr>
                          <pic:cNvPr id="168" name="图片_30_SpCnt_8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495300" cy="5080"/>
                  <wp:effectExtent l="0" t="0" r="0" b="0"/>
                  <wp:wrapNone/>
                  <wp:docPr id="155" name="图片_30_SpCnt_84"/>
                  <wp:cNvGraphicFramePr/>
                  <a:graphic xmlns:a="http://schemas.openxmlformats.org/drawingml/2006/main">
                    <a:graphicData uri="http://schemas.openxmlformats.org/drawingml/2006/picture">
                      <pic:pic xmlns:pic="http://schemas.openxmlformats.org/drawingml/2006/picture">
                        <pic:nvPicPr>
                          <pic:cNvPr id="155" name="图片_30_SpCnt_8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495300" cy="5080"/>
                  <wp:effectExtent l="0" t="0" r="0" b="0"/>
                  <wp:wrapNone/>
                  <wp:docPr id="146" name="图片_30_SpCnt_85"/>
                  <wp:cNvGraphicFramePr/>
                  <a:graphic xmlns:a="http://schemas.openxmlformats.org/drawingml/2006/main">
                    <a:graphicData uri="http://schemas.openxmlformats.org/drawingml/2006/picture">
                      <pic:pic xmlns:pic="http://schemas.openxmlformats.org/drawingml/2006/picture">
                        <pic:nvPicPr>
                          <pic:cNvPr id="146" name="图片_30_SpCnt_8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495300" cy="5080"/>
                  <wp:effectExtent l="0" t="0" r="0" b="0"/>
                  <wp:wrapNone/>
                  <wp:docPr id="147" name="图片_30_SpCnt_86"/>
                  <wp:cNvGraphicFramePr/>
                  <a:graphic xmlns:a="http://schemas.openxmlformats.org/drawingml/2006/main">
                    <a:graphicData uri="http://schemas.openxmlformats.org/drawingml/2006/picture">
                      <pic:pic xmlns:pic="http://schemas.openxmlformats.org/drawingml/2006/picture">
                        <pic:nvPicPr>
                          <pic:cNvPr id="147" name="图片_30_SpCnt_86"/>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495300" cy="5080"/>
                  <wp:effectExtent l="0" t="0" r="0" b="0"/>
                  <wp:wrapNone/>
                  <wp:docPr id="148" name="图片_30_SpCnt_87"/>
                  <wp:cNvGraphicFramePr/>
                  <a:graphic xmlns:a="http://schemas.openxmlformats.org/drawingml/2006/main">
                    <a:graphicData uri="http://schemas.openxmlformats.org/drawingml/2006/picture">
                      <pic:pic xmlns:pic="http://schemas.openxmlformats.org/drawingml/2006/picture">
                        <pic:nvPicPr>
                          <pic:cNvPr id="148" name="图片_30_SpCnt_87"/>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495300" cy="5080"/>
                  <wp:effectExtent l="0" t="0" r="0" b="0"/>
                  <wp:wrapNone/>
                  <wp:docPr id="149" name="图片_30_SpCnt_88"/>
                  <wp:cNvGraphicFramePr/>
                  <a:graphic xmlns:a="http://schemas.openxmlformats.org/drawingml/2006/main">
                    <a:graphicData uri="http://schemas.openxmlformats.org/drawingml/2006/picture">
                      <pic:pic xmlns:pic="http://schemas.openxmlformats.org/drawingml/2006/picture">
                        <pic:nvPicPr>
                          <pic:cNvPr id="149" name="图片_30_SpCnt_88"/>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495300" cy="5080"/>
                  <wp:effectExtent l="0" t="0" r="0" b="0"/>
                  <wp:wrapNone/>
                  <wp:docPr id="200" name="图片_30_SpCnt_89"/>
                  <wp:cNvGraphicFramePr/>
                  <a:graphic xmlns:a="http://schemas.openxmlformats.org/drawingml/2006/main">
                    <a:graphicData uri="http://schemas.openxmlformats.org/drawingml/2006/picture">
                      <pic:pic xmlns:pic="http://schemas.openxmlformats.org/drawingml/2006/picture">
                        <pic:nvPicPr>
                          <pic:cNvPr id="200" name="图片_30_SpCnt_8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495300" cy="5080"/>
                  <wp:effectExtent l="0" t="0" r="0" b="0"/>
                  <wp:wrapNone/>
                  <wp:docPr id="197" name="图片_30_SpCnt_90"/>
                  <wp:cNvGraphicFramePr/>
                  <a:graphic xmlns:a="http://schemas.openxmlformats.org/drawingml/2006/main">
                    <a:graphicData uri="http://schemas.openxmlformats.org/drawingml/2006/picture">
                      <pic:pic xmlns:pic="http://schemas.openxmlformats.org/drawingml/2006/picture">
                        <pic:nvPicPr>
                          <pic:cNvPr id="197" name="图片_30_SpCnt_9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495300" cy="5080"/>
                  <wp:effectExtent l="0" t="0" r="0" b="0"/>
                  <wp:wrapNone/>
                  <wp:docPr id="195" name="图片_30_SpCnt_91"/>
                  <wp:cNvGraphicFramePr/>
                  <a:graphic xmlns:a="http://schemas.openxmlformats.org/drawingml/2006/main">
                    <a:graphicData uri="http://schemas.openxmlformats.org/drawingml/2006/picture">
                      <pic:pic xmlns:pic="http://schemas.openxmlformats.org/drawingml/2006/picture">
                        <pic:nvPicPr>
                          <pic:cNvPr id="195" name="图片_30_SpCnt_9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495300" cy="5080"/>
                  <wp:effectExtent l="0" t="0" r="0" b="0"/>
                  <wp:wrapNone/>
                  <wp:docPr id="196" name="图片_30_SpCnt_92"/>
                  <wp:cNvGraphicFramePr/>
                  <a:graphic xmlns:a="http://schemas.openxmlformats.org/drawingml/2006/main">
                    <a:graphicData uri="http://schemas.openxmlformats.org/drawingml/2006/picture">
                      <pic:pic xmlns:pic="http://schemas.openxmlformats.org/drawingml/2006/picture">
                        <pic:nvPicPr>
                          <pic:cNvPr id="196" name="图片_30_SpCnt_9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495300" cy="5080"/>
                  <wp:effectExtent l="0" t="0" r="0" b="0"/>
                  <wp:wrapNone/>
                  <wp:docPr id="201" name="图片_30_SpCnt_93"/>
                  <wp:cNvGraphicFramePr/>
                  <a:graphic xmlns:a="http://schemas.openxmlformats.org/drawingml/2006/main">
                    <a:graphicData uri="http://schemas.openxmlformats.org/drawingml/2006/picture">
                      <pic:pic xmlns:pic="http://schemas.openxmlformats.org/drawingml/2006/picture">
                        <pic:nvPicPr>
                          <pic:cNvPr id="201" name="图片_30_SpCnt_9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495300" cy="5080"/>
                  <wp:effectExtent l="0" t="0" r="0" b="0"/>
                  <wp:wrapNone/>
                  <wp:docPr id="170" name="图片_30_SpCnt_94"/>
                  <wp:cNvGraphicFramePr/>
                  <a:graphic xmlns:a="http://schemas.openxmlformats.org/drawingml/2006/main">
                    <a:graphicData uri="http://schemas.openxmlformats.org/drawingml/2006/picture">
                      <pic:pic xmlns:pic="http://schemas.openxmlformats.org/drawingml/2006/picture">
                        <pic:nvPicPr>
                          <pic:cNvPr id="170" name="图片_30_SpCnt_9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495300" cy="5080"/>
                  <wp:effectExtent l="0" t="0" r="0" b="0"/>
                  <wp:wrapNone/>
                  <wp:docPr id="189" name="图片_30_SpCnt_95"/>
                  <wp:cNvGraphicFramePr/>
                  <a:graphic xmlns:a="http://schemas.openxmlformats.org/drawingml/2006/main">
                    <a:graphicData uri="http://schemas.openxmlformats.org/drawingml/2006/picture">
                      <pic:pic xmlns:pic="http://schemas.openxmlformats.org/drawingml/2006/picture">
                        <pic:nvPicPr>
                          <pic:cNvPr id="189" name="图片_30_SpCnt_9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495300" cy="5080"/>
                  <wp:effectExtent l="0" t="0" r="0" b="0"/>
                  <wp:wrapNone/>
                  <wp:docPr id="191" name="图片_30_SpCnt_96"/>
                  <wp:cNvGraphicFramePr/>
                  <a:graphic xmlns:a="http://schemas.openxmlformats.org/drawingml/2006/main">
                    <a:graphicData uri="http://schemas.openxmlformats.org/drawingml/2006/picture">
                      <pic:pic xmlns:pic="http://schemas.openxmlformats.org/drawingml/2006/picture">
                        <pic:nvPicPr>
                          <pic:cNvPr id="191" name="图片_30_SpCnt_96"/>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495300" cy="5080"/>
                  <wp:effectExtent l="0" t="0" r="0" b="0"/>
                  <wp:wrapNone/>
                  <wp:docPr id="180" name="图片_30_SpCnt_97"/>
                  <wp:cNvGraphicFramePr/>
                  <a:graphic xmlns:a="http://schemas.openxmlformats.org/drawingml/2006/main">
                    <a:graphicData uri="http://schemas.openxmlformats.org/drawingml/2006/picture">
                      <pic:pic xmlns:pic="http://schemas.openxmlformats.org/drawingml/2006/picture">
                        <pic:nvPicPr>
                          <pic:cNvPr id="180" name="图片_30_SpCnt_97"/>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495300" cy="5080"/>
                  <wp:effectExtent l="0" t="0" r="0" b="0"/>
                  <wp:wrapNone/>
                  <wp:docPr id="171" name="图片_30_SpCnt_99"/>
                  <wp:cNvGraphicFramePr/>
                  <a:graphic xmlns:a="http://schemas.openxmlformats.org/drawingml/2006/main">
                    <a:graphicData uri="http://schemas.openxmlformats.org/drawingml/2006/picture">
                      <pic:pic xmlns:pic="http://schemas.openxmlformats.org/drawingml/2006/picture">
                        <pic:nvPicPr>
                          <pic:cNvPr id="171" name="图片_30_SpCnt_9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495300" cy="5080"/>
                  <wp:effectExtent l="0" t="0" r="0" b="0"/>
                  <wp:wrapNone/>
                  <wp:docPr id="193" name="图片_30_SpCnt_100"/>
                  <wp:cNvGraphicFramePr/>
                  <a:graphic xmlns:a="http://schemas.openxmlformats.org/drawingml/2006/main">
                    <a:graphicData uri="http://schemas.openxmlformats.org/drawingml/2006/picture">
                      <pic:pic xmlns:pic="http://schemas.openxmlformats.org/drawingml/2006/picture">
                        <pic:nvPicPr>
                          <pic:cNvPr id="193" name="图片_30_SpCnt_10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495300" cy="5080"/>
                  <wp:effectExtent l="0" t="0" r="0" b="0"/>
                  <wp:wrapNone/>
                  <wp:docPr id="186" name="图片_30_SpCnt_101"/>
                  <wp:cNvGraphicFramePr/>
                  <a:graphic xmlns:a="http://schemas.openxmlformats.org/drawingml/2006/main">
                    <a:graphicData uri="http://schemas.openxmlformats.org/drawingml/2006/picture">
                      <pic:pic xmlns:pic="http://schemas.openxmlformats.org/drawingml/2006/picture">
                        <pic:nvPicPr>
                          <pic:cNvPr id="186" name="图片_30_SpCnt_10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495300" cy="5080"/>
                  <wp:effectExtent l="0" t="0" r="0" b="0"/>
                  <wp:wrapNone/>
                  <wp:docPr id="172" name="图片_30_SpCnt_102"/>
                  <wp:cNvGraphicFramePr/>
                  <a:graphic xmlns:a="http://schemas.openxmlformats.org/drawingml/2006/main">
                    <a:graphicData uri="http://schemas.openxmlformats.org/drawingml/2006/picture">
                      <pic:pic xmlns:pic="http://schemas.openxmlformats.org/drawingml/2006/picture">
                        <pic:nvPicPr>
                          <pic:cNvPr id="172" name="图片_30_SpCnt_10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495300" cy="5080"/>
                  <wp:effectExtent l="0" t="0" r="0" b="0"/>
                  <wp:wrapNone/>
                  <wp:docPr id="198" name="图片_30_SpCnt_103"/>
                  <wp:cNvGraphicFramePr/>
                  <a:graphic xmlns:a="http://schemas.openxmlformats.org/drawingml/2006/main">
                    <a:graphicData uri="http://schemas.openxmlformats.org/drawingml/2006/picture">
                      <pic:pic xmlns:pic="http://schemas.openxmlformats.org/drawingml/2006/picture">
                        <pic:nvPicPr>
                          <pic:cNvPr id="198" name="图片_30_SpCnt_10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495300" cy="5080"/>
                  <wp:effectExtent l="0" t="0" r="0" b="0"/>
                  <wp:wrapNone/>
                  <wp:docPr id="182" name="图片_30_SpCnt_104"/>
                  <wp:cNvGraphicFramePr/>
                  <a:graphic xmlns:a="http://schemas.openxmlformats.org/drawingml/2006/main">
                    <a:graphicData uri="http://schemas.openxmlformats.org/drawingml/2006/picture">
                      <pic:pic xmlns:pic="http://schemas.openxmlformats.org/drawingml/2006/picture">
                        <pic:nvPicPr>
                          <pic:cNvPr id="182" name="图片_30_SpCnt_10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495300" cy="5080"/>
                  <wp:effectExtent l="0" t="0" r="0" b="0"/>
                  <wp:wrapNone/>
                  <wp:docPr id="190" name="图片_30_SpCnt_105"/>
                  <wp:cNvGraphicFramePr/>
                  <a:graphic xmlns:a="http://schemas.openxmlformats.org/drawingml/2006/main">
                    <a:graphicData uri="http://schemas.openxmlformats.org/drawingml/2006/picture">
                      <pic:pic xmlns:pic="http://schemas.openxmlformats.org/drawingml/2006/picture">
                        <pic:nvPicPr>
                          <pic:cNvPr id="190" name="图片_30_SpCnt_10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495300" cy="5080"/>
                  <wp:effectExtent l="0" t="0" r="0" b="0"/>
                  <wp:wrapNone/>
                  <wp:docPr id="184" name="图片_30_SpCnt_106"/>
                  <wp:cNvGraphicFramePr/>
                  <a:graphic xmlns:a="http://schemas.openxmlformats.org/drawingml/2006/main">
                    <a:graphicData uri="http://schemas.openxmlformats.org/drawingml/2006/picture">
                      <pic:pic xmlns:pic="http://schemas.openxmlformats.org/drawingml/2006/picture">
                        <pic:nvPicPr>
                          <pic:cNvPr id="184" name="图片_30_SpCnt_106"/>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495300" cy="5080"/>
                  <wp:effectExtent l="0" t="0" r="0" b="0"/>
                  <wp:wrapNone/>
                  <wp:docPr id="192" name="图片_30_SpCnt_107"/>
                  <wp:cNvGraphicFramePr/>
                  <a:graphic xmlns:a="http://schemas.openxmlformats.org/drawingml/2006/main">
                    <a:graphicData uri="http://schemas.openxmlformats.org/drawingml/2006/picture">
                      <pic:pic xmlns:pic="http://schemas.openxmlformats.org/drawingml/2006/picture">
                        <pic:nvPicPr>
                          <pic:cNvPr id="192" name="图片_30_SpCnt_107"/>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495300" cy="5080"/>
                  <wp:effectExtent l="0" t="0" r="0" b="0"/>
                  <wp:wrapNone/>
                  <wp:docPr id="185" name="图片_30_SpCnt_108"/>
                  <wp:cNvGraphicFramePr/>
                  <a:graphic xmlns:a="http://schemas.openxmlformats.org/drawingml/2006/main">
                    <a:graphicData uri="http://schemas.openxmlformats.org/drawingml/2006/picture">
                      <pic:pic xmlns:pic="http://schemas.openxmlformats.org/drawingml/2006/picture">
                        <pic:nvPicPr>
                          <pic:cNvPr id="185" name="图片_30_SpCnt_108"/>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495300" cy="5080"/>
                  <wp:effectExtent l="0" t="0" r="0" b="0"/>
                  <wp:wrapNone/>
                  <wp:docPr id="194" name="图片_30_SpCnt_109"/>
                  <wp:cNvGraphicFramePr/>
                  <a:graphic xmlns:a="http://schemas.openxmlformats.org/drawingml/2006/main">
                    <a:graphicData uri="http://schemas.openxmlformats.org/drawingml/2006/picture">
                      <pic:pic xmlns:pic="http://schemas.openxmlformats.org/drawingml/2006/picture">
                        <pic:nvPicPr>
                          <pic:cNvPr id="194" name="图片_30_SpCnt_10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495300" cy="5080"/>
                  <wp:effectExtent l="0" t="0" r="0" b="0"/>
                  <wp:wrapNone/>
                  <wp:docPr id="199" name="图片_30_SpCnt_110"/>
                  <wp:cNvGraphicFramePr/>
                  <a:graphic xmlns:a="http://schemas.openxmlformats.org/drawingml/2006/main">
                    <a:graphicData uri="http://schemas.openxmlformats.org/drawingml/2006/picture">
                      <pic:pic xmlns:pic="http://schemas.openxmlformats.org/drawingml/2006/picture">
                        <pic:nvPicPr>
                          <pic:cNvPr id="199" name="图片_30_SpCnt_11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495300" cy="5080"/>
                  <wp:effectExtent l="0" t="0" r="0" b="0"/>
                  <wp:wrapNone/>
                  <wp:docPr id="181" name="图片_30_SpCnt_111"/>
                  <wp:cNvGraphicFramePr/>
                  <a:graphic xmlns:a="http://schemas.openxmlformats.org/drawingml/2006/main">
                    <a:graphicData uri="http://schemas.openxmlformats.org/drawingml/2006/picture">
                      <pic:pic xmlns:pic="http://schemas.openxmlformats.org/drawingml/2006/picture">
                        <pic:nvPicPr>
                          <pic:cNvPr id="181" name="图片_30_SpCnt_11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495300" cy="5080"/>
                  <wp:effectExtent l="0" t="0" r="0" b="0"/>
                  <wp:wrapNone/>
                  <wp:docPr id="173" name="图片_30_SpCnt_112"/>
                  <wp:cNvGraphicFramePr/>
                  <a:graphic xmlns:a="http://schemas.openxmlformats.org/drawingml/2006/main">
                    <a:graphicData uri="http://schemas.openxmlformats.org/drawingml/2006/picture">
                      <pic:pic xmlns:pic="http://schemas.openxmlformats.org/drawingml/2006/picture">
                        <pic:nvPicPr>
                          <pic:cNvPr id="173" name="图片_30_SpCnt_11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495300" cy="5080"/>
                  <wp:effectExtent l="0" t="0" r="0" b="0"/>
                  <wp:wrapNone/>
                  <wp:docPr id="174" name="图片_30_SpCnt_113"/>
                  <wp:cNvGraphicFramePr/>
                  <a:graphic xmlns:a="http://schemas.openxmlformats.org/drawingml/2006/main">
                    <a:graphicData uri="http://schemas.openxmlformats.org/drawingml/2006/picture">
                      <pic:pic xmlns:pic="http://schemas.openxmlformats.org/drawingml/2006/picture">
                        <pic:nvPicPr>
                          <pic:cNvPr id="174" name="图片_30_SpCnt_11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495300" cy="5080"/>
                  <wp:effectExtent l="0" t="0" r="0" b="0"/>
                  <wp:wrapNone/>
                  <wp:docPr id="175" name="图片_30_SpCnt_114"/>
                  <wp:cNvGraphicFramePr/>
                  <a:graphic xmlns:a="http://schemas.openxmlformats.org/drawingml/2006/main">
                    <a:graphicData uri="http://schemas.openxmlformats.org/drawingml/2006/picture">
                      <pic:pic xmlns:pic="http://schemas.openxmlformats.org/drawingml/2006/picture">
                        <pic:nvPicPr>
                          <pic:cNvPr id="175" name="图片_30_SpCnt_11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495300" cy="5080"/>
                  <wp:effectExtent l="0" t="0" r="0" b="0"/>
                  <wp:wrapNone/>
                  <wp:docPr id="187" name="图片_30_SpCnt_115"/>
                  <wp:cNvGraphicFramePr/>
                  <a:graphic xmlns:a="http://schemas.openxmlformats.org/drawingml/2006/main">
                    <a:graphicData uri="http://schemas.openxmlformats.org/drawingml/2006/picture">
                      <pic:pic xmlns:pic="http://schemas.openxmlformats.org/drawingml/2006/picture">
                        <pic:nvPicPr>
                          <pic:cNvPr id="187" name="图片_30_SpCnt_11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495300" cy="5080"/>
                  <wp:effectExtent l="0" t="0" r="0" b="0"/>
                  <wp:wrapNone/>
                  <wp:docPr id="216" name="图片_30_SpCnt_116"/>
                  <wp:cNvGraphicFramePr/>
                  <a:graphic xmlns:a="http://schemas.openxmlformats.org/drawingml/2006/main">
                    <a:graphicData uri="http://schemas.openxmlformats.org/drawingml/2006/picture">
                      <pic:pic xmlns:pic="http://schemas.openxmlformats.org/drawingml/2006/picture">
                        <pic:nvPicPr>
                          <pic:cNvPr id="216" name="图片_30_SpCnt_116"/>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495300" cy="5080"/>
                  <wp:effectExtent l="0" t="0" r="0" b="0"/>
                  <wp:wrapNone/>
                  <wp:docPr id="217" name="图片_30_SpCnt_117"/>
                  <wp:cNvGraphicFramePr/>
                  <a:graphic xmlns:a="http://schemas.openxmlformats.org/drawingml/2006/main">
                    <a:graphicData uri="http://schemas.openxmlformats.org/drawingml/2006/picture">
                      <pic:pic xmlns:pic="http://schemas.openxmlformats.org/drawingml/2006/picture">
                        <pic:nvPicPr>
                          <pic:cNvPr id="217" name="图片_30_SpCnt_117"/>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495300" cy="5080"/>
                  <wp:effectExtent l="0" t="0" r="0" b="0"/>
                  <wp:wrapNone/>
                  <wp:docPr id="224" name="图片_30_SpCnt_118"/>
                  <wp:cNvGraphicFramePr/>
                  <a:graphic xmlns:a="http://schemas.openxmlformats.org/drawingml/2006/main">
                    <a:graphicData uri="http://schemas.openxmlformats.org/drawingml/2006/picture">
                      <pic:pic xmlns:pic="http://schemas.openxmlformats.org/drawingml/2006/picture">
                        <pic:nvPicPr>
                          <pic:cNvPr id="224" name="图片_30_SpCnt_118"/>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495300" cy="5080"/>
                  <wp:effectExtent l="0" t="0" r="0" b="0"/>
                  <wp:wrapNone/>
                  <wp:docPr id="233" name="图片_30_SpCnt_119"/>
                  <wp:cNvGraphicFramePr/>
                  <a:graphic xmlns:a="http://schemas.openxmlformats.org/drawingml/2006/main">
                    <a:graphicData uri="http://schemas.openxmlformats.org/drawingml/2006/picture">
                      <pic:pic xmlns:pic="http://schemas.openxmlformats.org/drawingml/2006/picture">
                        <pic:nvPicPr>
                          <pic:cNvPr id="233" name="图片_30_SpCnt_11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495300" cy="5080"/>
                  <wp:effectExtent l="0" t="0" r="0" b="0"/>
                  <wp:wrapNone/>
                  <wp:docPr id="204" name="图片_30_SpCnt_120"/>
                  <wp:cNvGraphicFramePr/>
                  <a:graphic xmlns:a="http://schemas.openxmlformats.org/drawingml/2006/main">
                    <a:graphicData uri="http://schemas.openxmlformats.org/drawingml/2006/picture">
                      <pic:pic xmlns:pic="http://schemas.openxmlformats.org/drawingml/2006/picture">
                        <pic:nvPicPr>
                          <pic:cNvPr id="204" name="图片_30_SpCnt_12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495300" cy="5080"/>
                  <wp:effectExtent l="0" t="0" r="0" b="0"/>
                  <wp:wrapNone/>
                  <wp:docPr id="225" name="图片_30_SpCnt_121"/>
                  <wp:cNvGraphicFramePr/>
                  <a:graphic xmlns:a="http://schemas.openxmlformats.org/drawingml/2006/main">
                    <a:graphicData uri="http://schemas.openxmlformats.org/drawingml/2006/picture">
                      <pic:pic xmlns:pic="http://schemas.openxmlformats.org/drawingml/2006/picture">
                        <pic:nvPicPr>
                          <pic:cNvPr id="225" name="图片_30_SpCnt_12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495300" cy="5080"/>
                  <wp:effectExtent l="0" t="0" r="0" b="0"/>
                  <wp:wrapNone/>
                  <wp:docPr id="208" name="图片_30_SpCnt_122"/>
                  <wp:cNvGraphicFramePr/>
                  <a:graphic xmlns:a="http://schemas.openxmlformats.org/drawingml/2006/main">
                    <a:graphicData uri="http://schemas.openxmlformats.org/drawingml/2006/picture">
                      <pic:pic xmlns:pic="http://schemas.openxmlformats.org/drawingml/2006/picture">
                        <pic:nvPicPr>
                          <pic:cNvPr id="208" name="图片_30_SpCnt_12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495300" cy="5080"/>
                  <wp:effectExtent l="0" t="0" r="0" b="0"/>
                  <wp:wrapNone/>
                  <wp:docPr id="205" name="图片_30_SpCnt_123"/>
                  <wp:cNvGraphicFramePr/>
                  <a:graphic xmlns:a="http://schemas.openxmlformats.org/drawingml/2006/main">
                    <a:graphicData uri="http://schemas.openxmlformats.org/drawingml/2006/picture">
                      <pic:pic xmlns:pic="http://schemas.openxmlformats.org/drawingml/2006/picture">
                        <pic:nvPicPr>
                          <pic:cNvPr id="205" name="图片_30_SpCnt_12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495300" cy="5080"/>
                  <wp:effectExtent l="0" t="0" r="0" b="0"/>
                  <wp:wrapNone/>
                  <wp:docPr id="222" name="图片_30_SpCnt_124"/>
                  <wp:cNvGraphicFramePr/>
                  <a:graphic xmlns:a="http://schemas.openxmlformats.org/drawingml/2006/main">
                    <a:graphicData uri="http://schemas.openxmlformats.org/drawingml/2006/picture">
                      <pic:pic xmlns:pic="http://schemas.openxmlformats.org/drawingml/2006/picture">
                        <pic:nvPicPr>
                          <pic:cNvPr id="222" name="图片_30_SpCnt_12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495300" cy="5080"/>
                  <wp:effectExtent l="0" t="0" r="0" b="0"/>
                  <wp:wrapNone/>
                  <wp:docPr id="203" name="图片_30_SpCnt_125"/>
                  <wp:cNvGraphicFramePr/>
                  <a:graphic xmlns:a="http://schemas.openxmlformats.org/drawingml/2006/main">
                    <a:graphicData uri="http://schemas.openxmlformats.org/drawingml/2006/picture">
                      <pic:pic xmlns:pic="http://schemas.openxmlformats.org/drawingml/2006/picture">
                        <pic:nvPicPr>
                          <pic:cNvPr id="203" name="图片_30_SpCnt_12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495300" cy="5080"/>
                  <wp:effectExtent l="0" t="0" r="0" b="0"/>
                  <wp:wrapNone/>
                  <wp:docPr id="215" name="图片_30_SpCnt_126"/>
                  <wp:cNvGraphicFramePr/>
                  <a:graphic xmlns:a="http://schemas.openxmlformats.org/drawingml/2006/main">
                    <a:graphicData uri="http://schemas.openxmlformats.org/drawingml/2006/picture">
                      <pic:pic xmlns:pic="http://schemas.openxmlformats.org/drawingml/2006/picture">
                        <pic:nvPicPr>
                          <pic:cNvPr id="215" name="图片_30_SpCnt_126"/>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495300" cy="5080"/>
                  <wp:effectExtent l="0" t="0" r="0" b="0"/>
                  <wp:wrapNone/>
                  <wp:docPr id="218" name="图片_30_SpCnt_127"/>
                  <wp:cNvGraphicFramePr/>
                  <a:graphic xmlns:a="http://schemas.openxmlformats.org/drawingml/2006/main">
                    <a:graphicData uri="http://schemas.openxmlformats.org/drawingml/2006/picture">
                      <pic:pic xmlns:pic="http://schemas.openxmlformats.org/drawingml/2006/picture">
                        <pic:nvPicPr>
                          <pic:cNvPr id="218" name="图片_30_SpCnt_127"/>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495300" cy="5080"/>
                  <wp:effectExtent l="0" t="0" r="0" b="0"/>
                  <wp:wrapNone/>
                  <wp:docPr id="206" name="图片_30_SpCnt_128"/>
                  <wp:cNvGraphicFramePr/>
                  <a:graphic xmlns:a="http://schemas.openxmlformats.org/drawingml/2006/main">
                    <a:graphicData uri="http://schemas.openxmlformats.org/drawingml/2006/picture">
                      <pic:pic xmlns:pic="http://schemas.openxmlformats.org/drawingml/2006/picture">
                        <pic:nvPicPr>
                          <pic:cNvPr id="206" name="图片_30_SpCnt_128"/>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495300" cy="5080"/>
                  <wp:effectExtent l="0" t="0" r="0" b="0"/>
                  <wp:wrapNone/>
                  <wp:docPr id="209" name="图片_30_SpCnt_129"/>
                  <wp:cNvGraphicFramePr/>
                  <a:graphic xmlns:a="http://schemas.openxmlformats.org/drawingml/2006/main">
                    <a:graphicData uri="http://schemas.openxmlformats.org/drawingml/2006/picture">
                      <pic:pic xmlns:pic="http://schemas.openxmlformats.org/drawingml/2006/picture">
                        <pic:nvPicPr>
                          <pic:cNvPr id="209" name="图片_30_SpCnt_12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495300" cy="5080"/>
                  <wp:effectExtent l="0" t="0" r="0" b="0"/>
                  <wp:wrapNone/>
                  <wp:docPr id="210" name="图片_30_SpCnt_130"/>
                  <wp:cNvGraphicFramePr/>
                  <a:graphic xmlns:a="http://schemas.openxmlformats.org/drawingml/2006/main">
                    <a:graphicData uri="http://schemas.openxmlformats.org/drawingml/2006/picture">
                      <pic:pic xmlns:pic="http://schemas.openxmlformats.org/drawingml/2006/picture">
                        <pic:nvPicPr>
                          <pic:cNvPr id="210" name="图片_30_SpCnt_13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495300" cy="5080"/>
                  <wp:effectExtent l="0" t="0" r="0" b="0"/>
                  <wp:wrapNone/>
                  <wp:docPr id="223" name="图片_30_SpCnt_131"/>
                  <wp:cNvGraphicFramePr/>
                  <a:graphic xmlns:a="http://schemas.openxmlformats.org/drawingml/2006/main">
                    <a:graphicData uri="http://schemas.openxmlformats.org/drawingml/2006/picture">
                      <pic:pic xmlns:pic="http://schemas.openxmlformats.org/drawingml/2006/picture">
                        <pic:nvPicPr>
                          <pic:cNvPr id="223" name="图片_30_SpCnt_13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495300" cy="5080"/>
                  <wp:effectExtent l="0" t="0" r="0" b="0"/>
                  <wp:wrapNone/>
                  <wp:docPr id="228" name="图片_30_SpCnt_132"/>
                  <wp:cNvGraphicFramePr/>
                  <a:graphic xmlns:a="http://schemas.openxmlformats.org/drawingml/2006/main">
                    <a:graphicData uri="http://schemas.openxmlformats.org/drawingml/2006/picture">
                      <pic:pic xmlns:pic="http://schemas.openxmlformats.org/drawingml/2006/picture">
                        <pic:nvPicPr>
                          <pic:cNvPr id="228" name="图片_30_SpCnt_13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495300" cy="5080"/>
                  <wp:effectExtent l="0" t="0" r="0" b="0"/>
                  <wp:wrapNone/>
                  <wp:docPr id="229" name="图片_30_SpCnt_133"/>
                  <wp:cNvGraphicFramePr/>
                  <a:graphic xmlns:a="http://schemas.openxmlformats.org/drawingml/2006/main">
                    <a:graphicData uri="http://schemas.openxmlformats.org/drawingml/2006/picture">
                      <pic:pic xmlns:pic="http://schemas.openxmlformats.org/drawingml/2006/picture">
                        <pic:nvPicPr>
                          <pic:cNvPr id="229" name="图片_30_SpCnt_13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495300" cy="5080"/>
                  <wp:effectExtent l="0" t="0" r="0" b="0"/>
                  <wp:wrapNone/>
                  <wp:docPr id="230" name="图片_30_SpCnt_134"/>
                  <wp:cNvGraphicFramePr/>
                  <a:graphic xmlns:a="http://schemas.openxmlformats.org/drawingml/2006/main">
                    <a:graphicData uri="http://schemas.openxmlformats.org/drawingml/2006/picture">
                      <pic:pic xmlns:pic="http://schemas.openxmlformats.org/drawingml/2006/picture">
                        <pic:nvPicPr>
                          <pic:cNvPr id="230" name="图片_30_SpCnt_13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495300" cy="5080"/>
                  <wp:effectExtent l="0" t="0" r="0" b="0"/>
                  <wp:wrapNone/>
                  <wp:docPr id="220" name="图片_30_SpCnt_135"/>
                  <wp:cNvGraphicFramePr/>
                  <a:graphic xmlns:a="http://schemas.openxmlformats.org/drawingml/2006/main">
                    <a:graphicData uri="http://schemas.openxmlformats.org/drawingml/2006/picture">
                      <pic:pic xmlns:pic="http://schemas.openxmlformats.org/drawingml/2006/picture">
                        <pic:nvPicPr>
                          <pic:cNvPr id="220" name="图片_30_SpCnt_13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495300" cy="5080"/>
                  <wp:effectExtent l="0" t="0" r="0" b="0"/>
                  <wp:wrapNone/>
                  <wp:docPr id="219" name="图片_30_SpCnt_136"/>
                  <wp:cNvGraphicFramePr/>
                  <a:graphic xmlns:a="http://schemas.openxmlformats.org/drawingml/2006/main">
                    <a:graphicData uri="http://schemas.openxmlformats.org/drawingml/2006/picture">
                      <pic:pic xmlns:pic="http://schemas.openxmlformats.org/drawingml/2006/picture">
                        <pic:nvPicPr>
                          <pic:cNvPr id="219" name="图片_30_SpCnt_136"/>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495300" cy="5080"/>
                  <wp:effectExtent l="0" t="0" r="0" b="0"/>
                  <wp:wrapNone/>
                  <wp:docPr id="221" name="图片_30_SpCnt_137"/>
                  <wp:cNvGraphicFramePr/>
                  <a:graphic xmlns:a="http://schemas.openxmlformats.org/drawingml/2006/main">
                    <a:graphicData uri="http://schemas.openxmlformats.org/drawingml/2006/picture">
                      <pic:pic xmlns:pic="http://schemas.openxmlformats.org/drawingml/2006/picture">
                        <pic:nvPicPr>
                          <pic:cNvPr id="221" name="图片_30_SpCnt_137"/>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495300" cy="5080"/>
                  <wp:effectExtent l="0" t="0" r="0" b="0"/>
                  <wp:wrapNone/>
                  <wp:docPr id="251" name="图片_30_SpCnt_138"/>
                  <wp:cNvGraphicFramePr/>
                  <a:graphic xmlns:a="http://schemas.openxmlformats.org/drawingml/2006/main">
                    <a:graphicData uri="http://schemas.openxmlformats.org/drawingml/2006/picture">
                      <pic:pic xmlns:pic="http://schemas.openxmlformats.org/drawingml/2006/picture">
                        <pic:nvPicPr>
                          <pic:cNvPr id="251" name="图片_30_SpCnt_138"/>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495300" cy="5080"/>
                  <wp:effectExtent l="0" t="0" r="0" b="0"/>
                  <wp:wrapNone/>
                  <wp:docPr id="244" name="图片_30_SpCnt_139"/>
                  <wp:cNvGraphicFramePr/>
                  <a:graphic xmlns:a="http://schemas.openxmlformats.org/drawingml/2006/main">
                    <a:graphicData uri="http://schemas.openxmlformats.org/drawingml/2006/picture">
                      <pic:pic xmlns:pic="http://schemas.openxmlformats.org/drawingml/2006/picture">
                        <pic:nvPicPr>
                          <pic:cNvPr id="244" name="图片_30_SpCnt_13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495300" cy="5080"/>
                  <wp:effectExtent l="0" t="0" r="0" b="0"/>
                  <wp:wrapNone/>
                  <wp:docPr id="240" name="图片_30_SpCnt_140"/>
                  <wp:cNvGraphicFramePr/>
                  <a:graphic xmlns:a="http://schemas.openxmlformats.org/drawingml/2006/main">
                    <a:graphicData uri="http://schemas.openxmlformats.org/drawingml/2006/picture">
                      <pic:pic xmlns:pic="http://schemas.openxmlformats.org/drawingml/2006/picture">
                        <pic:nvPicPr>
                          <pic:cNvPr id="240" name="图片_30_SpCnt_14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495300" cy="5080"/>
                  <wp:effectExtent l="0" t="0" r="0" b="0"/>
                  <wp:wrapNone/>
                  <wp:docPr id="236" name="图片_30_SpCnt_141"/>
                  <wp:cNvGraphicFramePr/>
                  <a:graphic xmlns:a="http://schemas.openxmlformats.org/drawingml/2006/main">
                    <a:graphicData uri="http://schemas.openxmlformats.org/drawingml/2006/picture">
                      <pic:pic xmlns:pic="http://schemas.openxmlformats.org/drawingml/2006/picture">
                        <pic:nvPicPr>
                          <pic:cNvPr id="236" name="图片_30_SpCnt_14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495300" cy="5080"/>
                  <wp:effectExtent l="0" t="0" r="0" b="0"/>
                  <wp:wrapNone/>
                  <wp:docPr id="263" name="图片_30_SpCnt_142"/>
                  <wp:cNvGraphicFramePr/>
                  <a:graphic xmlns:a="http://schemas.openxmlformats.org/drawingml/2006/main">
                    <a:graphicData uri="http://schemas.openxmlformats.org/drawingml/2006/picture">
                      <pic:pic xmlns:pic="http://schemas.openxmlformats.org/drawingml/2006/picture">
                        <pic:nvPicPr>
                          <pic:cNvPr id="263" name="图片_30_SpCnt_14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495300" cy="5080"/>
                  <wp:effectExtent l="0" t="0" r="0" b="0"/>
                  <wp:wrapNone/>
                  <wp:docPr id="258" name="图片_30_SpCnt_143"/>
                  <wp:cNvGraphicFramePr/>
                  <a:graphic xmlns:a="http://schemas.openxmlformats.org/drawingml/2006/main">
                    <a:graphicData uri="http://schemas.openxmlformats.org/drawingml/2006/picture">
                      <pic:pic xmlns:pic="http://schemas.openxmlformats.org/drawingml/2006/picture">
                        <pic:nvPicPr>
                          <pic:cNvPr id="258" name="图片_30_SpCnt_14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495300" cy="5080"/>
                  <wp:effectExtent l="0" t="0" r="0" b="0"/>
                  <wp:wrapNone/>
                  <wp:docPr id="248" name="图片_30_SpCnt_144"/>
                  <wp:cNvGraphicFramePr/>
                  <a:graphic xmlns:a="http://schemas.openxmlformats.org/drawingml/2006/main">
                    <a:graphicData uri="http://schemas.openxmlformats.org/drawingml/2006/picture">
                      <pic:pic xmlns:pic="http://schemas.openxmlformats.org/drawingml/2006/picture">
                        <pic:nvPicPr>
                          <pic:cNvPr id="248" name="图片_30_SpCnt_14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495300" cy="5080"/>
                  <wp:effectExtent l="0" t="0" r="0" b="0"/>
                  <wp:wrapNone/>
                  <wp:docPr id="253" name="图片_30_SpCnt_145"/>
                  <wp:cNvGraphicFramePr/>
                  <a:graphic xmlns:a="http://schemas.openxmlformats.org/drawingml/2006/main">
                    <a:graphicData uri="http://schemas.openxmlformats.org/drawingml/2006/picture">
                      <pic:pic xmlns:pic="http://schemas.openxmlformats.org/drawingml/2006/picture">
                        <pic:nvPicPr>
                          <pic:cNvPr id="253" name="图片_30_SpCnt_14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495300" cy="5080"/>
                  <wp:effectExtent l="0" t="0" r="0" b="0"/>
                  <wp:wrapNone/>
                  <wp:docPr id="264" name="图片_30_SpCnt_146"/>
                  <wp:cNvGraphicFramePr/>
                  <a:graphic xmlns:a="http://schemas.openxmlformats.org/drawingml/2006/main">
                    <a:graphicData uri="http://schemas.openxmlformats.org/drawingml/2006/picture">
                      <pic:pic xmlns:pic="http://schemas.openxmlformats.org/drawingml/2006/picture">
                        <pic:nvPicPr>
                          <pic:cNvPr id="264" name="图片_30_SpCnt_146"/>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495300" cy="5080"/>
                  <wp:effectExtent l="0" t="0" r="0" b="0"/>
                  <wp:wrapNone/>
                  <wp:docPr id="257" name="图片_30_SpCnt_147"/>
                  <wp:cNvGraphicFramePr/>
                  <a:graphic xmlns:a="http://schemas.openxmlformats.org/drawingml/2006/main">
                    <a:graphicData uri="http://schemas.openxmlformats.org/drawingml/2006/picture">
                      <pic:pic xmlns:pic="http://schemas.openxmlformats.org/drawingml/2006/picture">
                        <pic:nvPicPr>
                          <pic:cNvPr id="257" name="图片_30_SpCnt_147"/>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495300" cy="5080"/>
                  <wp:effectExtent l="0" t="0" r="0" b="0"/>
                  <wp:wrapNone/>
                  <wp:docPr id="238" name="图片_30_SpCnt_148"/>
                  <wp:cNvGraphicFramePr/>
                  <a:graphic xmlns:a="http://schemas.openxmlformats.org/drawingml/2006/main">
                    <a:graphicData uri="http://schemas.openxmlformats.org/drawingml/2006/picture">
                      <pic:pic xmlns:pic="http://schemas.openxmlformats.org/drawingml/2006/picture">
                        <pic:nvPicPr>
                          <pic:cNvPr id="238" name="图片_30_SpCnt_148"/>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495300" cy="5080"/>
                  <wp:effectExtent l="0" t="0" r="0" b="0"/>
                  <wp:wrapNone/>
                  <wp:docPr id="261" name="图片_30_SpCnt_149"/>
                  <wp:cNvGraphicFramePr/>
                  <a:graphic xmlns:a="http://schemas.openxmlformats.org/drawingml/2006/main">
                    <a:graphicData uri="http://schemas.openxmlformats.org/drawingml/2006/picture">
                      <pic:pic xmlns:pic="http://schemas.openxmlformats.org/drawingml/2006/picture">
                        <pic:nvPicPr>
                          <pic:cNvPr id="261" name="图片_30_SpCnt_149"/>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495300" cy="5080"/>
                  <wp:effectExtent l="0" t="0" r="0" b="0"/>
                  <wp:wrapNone/>
                  <wp:docPr id="252" name="图片_30_SpCnt_150"/>
                  <wp:cNvGraphicFramePr/>
                  <a:graphic xmlns:a="http://schemas.openxmlformats.org/drawingml/2006/main">
                    <a:graphicData uri="http://schemas.openxmlformats.org/drawingml/2006/picture">
                      <pic:pic xmlns:pic="http://schemas.openxmlformats.org/drawingml/2006/picture">
                        <pic:nvPicPr>
                          <pic:cNvPr id="252" name="图片_30_SpCnt_150"/>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495300" cy="5080"/>
                  <wp:effectExtent l="0" t="0" r="0" b="0"/>
                  <wp:wrapNone/>
                  <wp:docPr id="265" name="图片_30_SpCnt_151"/>
                  <wp:cNvGraphicFramePr/>
                  <a:graphic xmlns:a="http://schemas.openxmlformats.org/drawingml/2006/main">
                    <a:graphicData uri="http://schemas.openxmlformats.org/drawingml/2006/picture">
                      <pic:pic xmlns:pic="http://schemas.openxmlformats.org/drawingml/2006/picture">
                        <pic:nvPicPr>
                          <pic:cNvPr id="265" name="图片_30_SpCnt_151"/>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495300" cy="5080"/>
                  <wp:effectExtent l="0" t="0" r="0" b="0"/>
                  <wp:wrapNone/>
                  <wp:docPr id="259" name="图片_30_SpCnt_152"/>
                  <wp:cNvGraphicFramePr/>
                  <a:graphic xmlns:a="http://schemas.openxmlformats.org/drawingml/2006/main">
                    <a:graphicData uri="http://schemas.openxmlformats.org/drawingml/2006/picture">
                      <pic:pic xmlns:pic="http://schemas.openxmlformats.org/drawingml/2006/picture">
                        <pic:nvPicPr>
                          <pic:cNvPr id="259" name="图片_30_SpCnt_152"/>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495300" cy="5080"/>
                  <wp:effectExtent l="0" t="0" r="0" b="0"/>
                  <wp:wrapNone/>
                  <wp:docPr id="234" name="图片_30_SpCnt_153"/>
                  <wp:cNvGraphicFramePr/>
                  <a:graphic xmlns:a="http://schemas.openxmlformats.org/drawingml/2006/main">
                    <a:graphicData uri="http://schemas.openxmlformats.org/drawingml/2006/picture">
                      <pic:pic xmlns:pic="http://schemas.openxmlformats.org/drawingml/2006/picture">
                        <pic:nvPicPr>
                          <pic:cNvPr id="234" name="图片_30_SpCnt_153"/>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495300" cy="5080"/>
                  <wp:effectExtent l="0" t="0" r="0" b="0"/>
                  <wp:wrapNone/>
                  <wp:docPr id="262" name="图片_30_SpCnt_154"/>
                  <wp:cNvGraphicFramePr/>
                  <a:graphic xmlns:a="http://schemas.openxmlformats.org/drawingml/2006/main">
                    <a:graphicData uri="http://schemas.openxmlformats.org/drawingml/2006/picture">
                      <pic:pic xmlns:pic="http://schemas.openxmlformats.org/drawingml/2006/picture">
                        <pic:nvPicPr>
                          <pic:cNvPr id="262" name="图片_30_SpCnt_154"/>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495300" cy="5080"/>
                  <wp:effectExtent l="0" t="0" r="0" b="0"/>
                  <wp:wrapNone/>
                  <wp:docPr id="235" name="图片_30_SpCnt_155"/>
                  <wp:cNvGraphicFramePr/>
                  <a:graphic xmlns:a="http://schemas.openxmlformats.org/drawingml/2006/main">
                    <a:graphicData uri="http://schemas.openxmlformats.org/drawingml/2006/picture">
                      <pic:pic xmlns:pic="http://schemas.openxmlformats.org/drawingml/2006/picture">
                        <pic:nvPicPr>
                          <pic:cNvPr id="235" name="图片_30_SpCnt_155"/>
                          <pic:cNvPicPr/>
                        </pic:nvPicPr>
                        <pic:blipFill>
                          <a:blip r:embed="rId5"/>
                          <a:stretch>
                            <a:fillRect/>
                          </a:stretch>
                        </pic:blipFill>
                        <pic:spPr>
                          <a:xfrm>
                            <a:off x="0" y="0"/>
                            <a:ext cx="495300" cy="50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495300" cy="5080"/>
                  <wp:effectExtent l="0" t="0" r="0" b="0"/>
                  <wp:wrapNone/>
                  <wp:docPr id="237" name="图片_30_SpCnt_156"/>
                  <wp:cNvGraphicFramePr/>
                  <a:graphic xmlns:a="http://schemas.openxmlformats.org/drawingml/2006/main">
                    <a:graphicData uri="http://schemas.openxmlformats.org/drawingml/2006/picture">
                      <pic:pic xmlns:pic="http://schemas.openxmlformats.org/drawingml/2006/picture">
                        <pic:nvPicPr>
                          <pic:cNvPr id="237" name="图片_30_SpCnt_156"/>
                          <pic:cNvPicPr/>
                        </pic:nvPicPr>
                        <pic:blipFill>
                          <a:blip r:embed="rId5"/>
                          <a:stretch>
                            <a:fillRect/>
                          </a:stretch>
                        </pic:blipFill>
                        <pic:spPr>
                          <a:xfrm>
                            <a:off x="0" y="0"/>
                            <a:ext cx="495300" cy="5080"/>
                          </a:xfrm>
                          <a:prstGeom prst="rect">
                            <a:avLst/>
                          </a:prstGeom>
                          <a:noFill/>
                          <a:ln>
                            <a:noFill/>
                          </a:ln>
                        </pic:spPr>
                      </pic:pic>
                    </a:graphicData>
                  </a:graphic>
                </wp:anchor>
              </w:drawing>
            </w:r>
          </w:p>
        </w:tc>
        <w:tc>
          <w:tcPr>
            <w:tcW w:w="788" w:type="dxa"/>
            <w:shd w:val="clear" w:color="auto" w:fill="auto"/>
            <w:vAlign w:val="center"/>
          </w:tcPr>
          <w:p>
            <w:pPr>
              <w:widowControl/>
              <w:jc w:val="center"/>
              <w:rPr>
                <w:rFonts w:asciiTheme="minorEastAsia" w:hAnsiTheme="minorEastAsia" w:eastAsiaTheme="minorEastAsia" w:cstheme="minorEastAsia"/>
                <w:color w:val="000000"/>
                <w:szCs w:val="21"/>
              </w:rPr>
            </w:pPr>
            <w:r>
              <w:rPr>
                <w:rFonts w:hint="eastAsia" w:cs="宋体" w:asciiTheme="minorEastAsia" w:hAnsiTheme="minorEastAsia" w:eastAsiaTheme="minorEastAsia"/>
                <w:kern w:val="0"/>
                <w:szCs w:val="21"/>
              </w:rPr>
              <w:t>平方米</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cs="宋体" w:asciiTheme="minorEastAsia" w:hAnsiTheme="minorEastAsia" w:eastAsiaTheme="minorEastAsia"/>
                <w:color w:val="000000"/>
                <w:kern w:val="0"/>
                <w:sz w:val="22"/>
                <w:lang w:bidi="ar"/>
              </w:rPr>
              <w:t>65.432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35</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接收卡</w:t>
            </w:r>
          </w:p>
        </w:tc>
        <w:tc>
          <w:tcPr>
            <w:tcW w:w="5068" w:type="dxa"/>
            <w:shd w:val="clear" w:color="auto" w:fill="auto"/>
            <w:vAlign w:val="center"/>
          </w:tcPr>
          <w:p>
            <w:pPr>
              <w:widowControl/>
              <w:rPr>
                <w:rFonts w:cs="宋体" w:asciiTheme="minorEastAsia" w:hAnsiTheme="minorEastAsia" w:eastAsiaTheme="minorEastAsia"/>
                <w:kern w:val="0"/>
                <w:szCs w:val="21"/>
              </w:rPr>
            </w:pPr>
            <w:r>
              <w:rPr>
                <w:rFonts w:hint="eastAsia" w:asciiTheme="minorEastAsia" w:hAnsiTheme="minorEastAsia" w:eastAsiaTheme="minorEastAsia" w:cstheme="minorEastAsia"/>
                <w:color w:val="000000"/>
                <w:kern w:val="0"/>
                <w:szCs w:val="21"/>
                <w:lang w:bidi="ar"/>
              </w:rPr>
              <w:t>1.</w:t>
            </w:r>
            <w:r>
              <w:rPr>
                <w:rFonts w:hint="eastAsia" w:asciiTheme="minorEastAsia" w:hAnsiTheme="minorEastAsia" w:eastAsiaTheme="minorEastAsia" w:cstheme="minorEastAsia"/>
                <w:color w:val="000000"/>
                <w:szCs w:val="21"/>
              </w:rPr>
              <w:t>单卡最大带载512*384像素，支持色彩管理、18Bit+、逐点亮色度校正、RGB独立Gamma调节。</w:t>
            </w:r>
          </w:p>
        </w:tc>
        <w:tc>
          <w:tcPr>
            <w:tcW w:w="788" w:type="dxa"/>
            <w:shd w:val="clear" w:color="auto" w:fill="auto"/>
            <w:vAlign w:val="center"/>
          </w:tcPr>
          <w:p>
            <w:pPr>
              <w:widowControl/>
              <w:jc w:val="center"/>
              <w:rPr>
                <w:rFonts w:asciiTheme="minorEastAsia" w:hAnsiTheme="minorEastAsia" w:eastAsiaTheme="minorEastAsia" w:cstheme="minorEastAsia"/>
                <w:color w:val="000000"/>
                <w:kern w:val="0"/>
                <w:szCs w:val="21"/>
                <w:lang w:bidi="ar"/>
              </w:rPr>
            </w:pPr>
            <w:r>
              <w:rPr>
                <w:rFonts w:hint="eastAsia" w:cs="宋体" w:asciiTheme="minorEastAsia" w:hAnsiTheme="minorEastAsia" w:eastAsiaTheme="minorEastAsia"/>
                <w:kern w:val="0"/>
                <w:szCs w:val="21"/>
              </w:rPr>
              <w:t>张</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color w:val="000000"/>
                <w:kern w:val="0"/>
                <w:szCs w:val="21"/>
                <w:lang w:bidi="ar"/>
              </w:rPr>
            </w:pPr>
            <w:r>
              <w:rPr>
                <w:rFonts w:hint="eastAsia" w:cs="宋体" w:asciiTheme="minorEastAsia" w:hAnsiTheme="minorEastAsia" w:eastAsiaTheme="minorEastAsia"/>
                <w:color w:val="000000"/>
                <w:kern w:val="0"/>
                <w:sz w:val="22"/>
                <w:lang w:bidi="ar"/>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36</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视频处理器A</w:t>
            </w:r>
          </w:p>
        </w:tc>
        <w:tc>
          <w:tcPr>
            <w:tcW w:w="5068" w:type="dxa"/>
            <w:shd w:val="clear" w:color="auto" w:fill="auto"/>
            <w:vAlign w:val="center"/>
          </w:tcPr>
          <w:p>
            <w:pPr>
              <w:widowControl/>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1.采用2U金属结构机箱，机箱为后挂耳结构，上盖无螺钉安装；外壳防护等级符合GB  T4208-2017中IP20的要求；设备前面板液晶为IPS液晶屏，采用LED背光设计，无需连接额外的电脑和软件，在设备端即可实时脱机查看监控设备运行参数与状态，方便快捷。支持输入板卡、输出板卡、预监板卡的热插拔功能，设备无需关机重启和设置，更换板卡后快速恢复之前图层数据，保证画面正常播放；卓越的散热系统设计，采用左进右出的强制风冷循环模式，在环境温度45℃下，可保证设备长期稳定运转；支持灵活扩展输入板卡数量，无需修改或升级固件，可智能识别槽位上插入的板卡类型，并智能完成相应的参数配置，无需用户手动介入；支持图层参数设置，包括无极缩放、图层画面截取、水平和垂直镜像翻转、冻结、叠加、图层优先级；可对图层无极缩放、图层全屏和自适应接口全屏；单拼接屏幕支持1个背景图叠加显示，背景图不占图层资源，支持重命名设置，且可全屏缩放，单张背景图最大支持15360*4096显示；可通过移动终端（PAD）进行无线控制，实现图层编辑、信号更换、场景保存、调取、LED屏幕亮度调节、画面控制等操作；支持实时上屏和预编上屏两种模式，实时上屏模式可实现用户编辑实时上屏显示；预编上屏模式支持在软件端进行显示内容预编辑后，再上屏显示，设备支持将预监板卡槽位复用为输入板卡槽位，可自动自适应识别板卡类型，单台设备最大支持同时接入4个输入卡和2个输出卡；单路光纤最大支持传输8路网口数据，可同时支持网口传输和光口传输，板卡支持光口和网口之间的复制热备；设备可智能识别板卡接口组合，且支持板卡和接口状态监测，输入源信号丢失实现主动上报预警；设备输入板卡支持输入输出组合的母子卡结构，支持HDMI、DVI、VGA、CVBS两接口任意组合；支持自检功能，包括：运行情况、CPU、EMMC、交叉点通信、内存、电压、温度等状态</w:t>
            </w:r>
          </w:p>
          <w:p>
            <w:pPr>
              <w:widowControl/>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▲2.设备正常工作时，噪声不大于45dB(A)（距离设备1m处）。</w:t>
            </w:r>
          </w:p>
          <w:p>
            <w:pPr>
              <w:widowControl/>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▲3.设备前面板内嵌3.5英寸液晶显示屏，分辨率为320*480，可通过显示屏显示设备运行参数与状态，包括：设备名称、设备接口连接状态、运行状态（温度、电压、风扇），以及IP地址。</w:t>
            </w:r>
          </w:p>
          <w:p>
            <w:pPr>
              <w:widowControl/>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▲4.单个16网口二合一输出卡最大输出视频分辨率为10240</w:t>
            </w:r>
            <w:r>
              <w:rPr>
                <w:rFonts w:asciiTheme="minorEastAsia" w:hAnsiTheme="minorEastAsia" w:eastAsiaTheme="minorEastAsia" w:cstheme="minorEastAsia"/>
                <w:color w:val="000000"/>
                <w:kern w:val="0"/>
                <w:szCs w:val="21"/>
                <w:lang w:bidi="ar"/>
              </w:rPr>
              <w:t>*</w:t>
            </w:r>
            <w:r>
              <w:rPr>
                <w:rFonts w:hint="eastAsia" w:asciiTheme="minorEastAsia" w:hAnsiTheme="minorEastAsia" w:eastAsiaTheme="minorEastAsia" w:cstheme="minorEastAsia"/>
                <w:color w:val="000000"/>
                <w:kern w:val="0"/>
                <w:szCs w:val="21"/>
                <w:lang w:bidi="ar"/>
              </w:rPr>
              <w:t>1016或1016</w:t>
            </w:r>
            <w:r>
              <w:rPr>
                <w:rFonts w:asciiTheme="minorEastAsia" w:hAnsiTheme="minorEastAsia" w:eastAsiaTheme="minorEastAsia" w:cstheme="minorEastAsia"/>
                <w:color w:val="000000"/>
                <w:kern w:val="0"/>
                <w:szCs w:val="21"/>
                <w:lang w:bidi="ar"/>
              </w:rPr>
              <w:t>*</w:t>
            </w:r>
            <w:r>
              <w:rPr>
                <w:rFonts w:hint="eastAsia" w:asciiTheme="minorEastAsia" w:hAnsiTheme="minorEastAsia" w:eastAsiaTheme="minorEastAsia" w:cstheme="minorEastAsia"/>
                <w:color w:val="000000"/>
                <w:kern w:val="0"/>
                <w:szCs w:val="21"/>
                <w:lang w:bidi="ar"/>
              </w:rPr>
              <w:t xml:space="preserve"> 10240，整卡带载最高可达1040万像素点。</w:t>
            </w:r>
          </w:p>
          <w:p>
            <w:pPr>
              <w:widowControl/>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kern w:val="0"/>
                <w:szCs w:val="21"/>
                <w:lang w:bidi="ar"/>
              </w:rPr>
              <w:t>▲5.视频输入源为60Hz时，从视频源输入到LED屏显示的图像延迟时间不大于16ms。</w:t>
            </w:r>
          </w:p>
          <w:p>
            <w:pPr>
              <w:widowControl/>
              <w:rPr>
                <w:rFonts w:asciiTheme="minorEastAsia" w:hAnsiTheme="minorEastAsia" w:eastAsiaTheme="minorEastAsia" w:cstheme="minorEastAsia"/>
                <w:b/>
                <w:bCs/>
                <w:color w:val="000000"/>
                <w:kern w:val="0"/>
                <w:szCs w:val="21"/>
                <w:lang w:bidi="ar"/>
              </w:rPr>
            </w:pPr>
            <w:r>
              <w:rPr>
                <w:rFonts w:hint="eastAsia"/>
                <w:b/>
                <w:bCs/>
                <w:lang w:bidi="ar"/>
              </w:rPr>
              <w:t>注：以上标注“</w:t>
            </w:r>
            <w:r>
              <w:rPr>
                <w:rFonts w:hint="eastAsia" w:asciiTheme="minorEastAsia" w:hAnsiTheme="minorEastAsia" w:eastAsiaTheme="minorEastAsia" w:cstheme="minorEastAsia"/>
                <w:b/>
                <w:bCs/>
                <w:color w:val="000000"/>
                <w:kern w:val="0"/>
                <w:szCs w:val="21"/>
                <w:lang w:bidi="ar"/>
              </w:rPr>
              <w:t>▲”（阿拉伯数字2</w:t>
            </w:r>
            <w:r>
              <w:rPr>
                <w:rFonts w:asciiTheme="minorEastAsia" w:hAnsiTheme="minorEastAsia" w:eastAsiaTheme="minorEastAsia" w:cstheme="minorEastAsia"/>
                <w:b/>
                <w:bCs/>
                <w:color w:val="000000"/>
                <w:kern w:val="0"/>
                <w:szCs w:val="21"/>
                <w:lang w:bidi="ar"/>
              </w:rPr>
              <w:t>.3.4.5</w:t>
            </w:r>
            <w:r>
              <w:rPr>
                <w:rFonts w:hint="eastAsia" w:asciiTheme="minorEastAsia" w:hAnsiTheme="minorEastAsia" w:eastAsiaTheme="minorEastAsia" w:cstheme="minorEastAsia"/>
                <w:b/>
                <w:bCs/>
                <w:color w:val="000000"/>
                <w:kern w:val="0"/>
                <w:szCs w:val="21"/>
                <w:lang w:bidi="ar"/>
              </w:rPr>
              <w:t>项）的均需提供具有CMA或CNAS或ILAC-MRA标识的第三方检测机构出具的合法有效的检验报告复印件。</w:t>
            </w:r>
          </w:p>
        </w:tc>
        <w:tc>
          <w:tcPr>
            <w:tcW w:w="788" w:type="dxa"/>
            <w:shd w:val="clear" w:color="auto" w:fill="auto"/>
            <w:vAlign w:val="center"/>
          </w:tcPr>
          <w:p>
            <w:pPr>
              <w:widowControl/>
              <w:jc w:val="center"/>
              <w:rPr>
                <w:rFonts w:asciiTheme="minorEastAsia" w:hAnsiTheme="minorEastAsia" w:eastAsiaTheme="minorEastAsia" w:cstheme="minorEastAsia"/>
                <w:color w:val="000000"/>
                <w:kern w:val="0"/>
                <w:szCs w:val="21"/>
                <w:lang w:bidi="ar"/>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color w:val="000000"/>
                <w:kern w:val="0"/>
                <w:szCs w:val="21"/>
                <w:lang w:bidi="ar"/>
              </w:rPr>
            </w:pPr>
            <w:r>
              <w:rPr>
                <w:rFonts w:hint="eastAsia" w:cs="宋体" w:asciiTheme="minorEastAsia" w:hAnsiTheme="minorEastAsia" w:eastAsiaTheme="minorEastAsia"/>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37</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视频处理器B</w:t>
            </w:r>
          </w:p>
        </w:tc>
        <w:tc>
          <w:tcPr>
            <w:tcW w:w="5068" w:type="dxa"/>
            <w:shd w:val="clear" w:color="auto" w:fill="auto"/>
          </w:tcPr>
          <w:p>
            <w:pPr>
              <w:widowControl/>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kern w:val="0"/>
                <w:szCs w:val="21"/>
                <w:lang w:bidi="ar"/>
              </w:rPr>
              <w:t>1.集成视频处理器与发送卡于一体，拥有完备的视频输入接口≥1路HDMI、≥4路DVI、≥1路3G-SDI；支持16路网口和4路光纤输出，带载高达1040万像素；支持HDR输出，支持个性化的画质缩放，多窗口显示，支持预监输出画面，支持智能控制软件NovaLCT进行操作控制，支持场景预设。</w:t>
            </w:r>
          </w:p>
        </w:tc>
        <w:tc>
          <w:tcPr>
            <w:tcW w:w="788" w:type="dxa"/>
            <w:shd w:val="clear" w:color="auto" w:fill="auto"/>
            <w:vAlign w:val="center"/>
          </w:tcPr>
          <w:p>
            <w:pPr>
              <w:widowControl/>
              <w:jc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38</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播控系统</w:t>
            </w:r>
          </w:p>
        </w:tc>
        <w:tc>
          <w:tcPr>
            <w:tcW w:w="5068" w:type="dxa"/>
            <w:shd w:val="clear" w:color="auto" w:fill="auto"/>
          </w:tcPr>
          <w:p>
            <w:pPr>
              <w:widowControl/>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kern w:val="0"/>
                <w:szCs w:val="21"/>
                <w:lang w:bidi="ar"/>
              </w:rPr>
              <w:t>1.支持显示素材多样化，各种视频文件、图片、底图、字幕在设备上同时显示，系统支持对输入信号源预监功能，实现在播放前预览查看的功能，支持对播放预案进行设置，包括定制时间计划设置和轮训计划设置，支持多用户同时登陆客户端，每个用户根据自身不同的权限管理显示屏的功能，支持日志记录和对操作日志进行查询的功能；支持实时监视LED显示屏状态的功能，支持系统对多个显示屏进行独立控制，支持信号在多个显示屏中共享的功能。</w:t>
            </w:r>
          </w:p>
        </w:tc>
        <w:tc>
          <w:tcPr>
            <w:tcW w:w="788" w:type="dxa"/>
            <w:shd w:val="clear" w:color="auto" w:fill="auto"/>
            <w:vAlign w:val="center"/>
          </w:tcPr>
          <w:p>
            <w:pPr>
              <w:widowControl/>
              <w:jc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kern w:val="0"/>
                <w:szCs w:val="21"/>
              </w:rPr>
              <w:t>套</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39</w:t>
            </w:r>
          </w:p>
        </w:tc>
        <w:tc>
          <w:tcPr>
            <w:tcW w:w="919" w:type="dxa"/>
            <w:shd w:val="clear" w:color="auto" w:fill="auto"/>
            <w:vAlign w:val="center"/>
          </w:tcPr>
          <w:p>
            <w:pPr>
              <w:widowControl/>
              <w:jc w:val="left"/>
              <w:rPr>
                <w:rFonts w:hint="eastAsia" w:cs="宋体" w:asciiTheme="minorEastAsia" w:hAnsiTheme="minorEastAsia" w:eastAsiaTheme="minorEastAsia"/>
                <w:kern w:val="0"/>
                <w:szCs w:val="21"/>
                <w:lang w:eastAsia="zh-CN"/>
              </w:rPr>
            </w:pPr>
            <w:r>
              <w:rPr>
                <w:rFonts w:hint="eastAsia" w:cs="宋体" w:asciiTheme="minorEastAsia" w:hAnsiTheme="minorEastAsia" w:eastAsiaTheme="minorEastAsia"/>
                <w:kern w:val="0"/>
                <w:szCs w:val="21"/>
              </w:rPr>
              <w:t>控制终端</w:t>
            </w:r>
            <w:r>
              <w:rPr>
                <w:rFonts w:hint="eastAsia" w:cs="宋体" w:asciiTheme="minorEastAsia" w:hAnsiTheme="minorEastAsia" w:eastAsiaTheme="minorEastAsia"/>
                <w:kern w:val="0"/>
                <w:szCs w:val="21"/>
                <w:lang w:eastAsia="zh-CN"/>
              </w:rPr>
              <w:t>（</w:t>
            </w:r>
            <w:r>
              <w:rPr>
                <w:rFonts w:hint="eastAsia" w:cs="宋体" w:asciiTheme="minorEastAsia" w:hAnsiTheme="minorEastAsia" w:eastAsiaTheme="minorEastAsia"/>
                <w:kern w:val="0"/>
                <w:szCs w:val="21"/>
              </w:rPr>
              <w:t>台式计算机</w:t>
            </w:r>
            <w:r>
              <w:rPr>
                <w:rFonts w:hint="eastAsia" w:cs="宋体" w:asciiTheme="minorEastAsia" w:hAnsiTheme="minorEastAsia" w:eastAsiaTheme="minorEastAsia"/>
                <w:kern w:val="0"/>
                <w:szCs w:val="21"/>
                <w:lang w:eastAsia="zh-CN"/>
              </w:rPr>
              <w:t>）</w:t>
            </w:r>
          </w:p>
        </w:tc>
        <w:tc>
          <w:tcPr>
            <w:tcW w:w="5068" w:type="dxa"/>
            <w:shd w:val="clear" w:color="auto" w:fill="auto"/>
          </w:tcPr>
          <w:p>
            <w:pPr>
              <w:widowControl/>
              <w:jc w:val="left"/>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kern w:val="0"/>
                <w:szCs w:val="21"/>
                <w:lang w:bidi="ar"/>
              </w:rPr>
              <w:t>▲1.六核及以上处理器，线程数≥12，主频≥3.6GHz，三级缓存≥32MB；                                                                                                                         2.≥8G DDR4 2666MHz 内存；≥1T SATA 硬盘+128G固态硬盘； ≥2G独立显卡；支持5.1声道，≥5个音频接口； ≥1个PCI-E*16、≥2个PCI-E*1、≥1个PCI槽位；显示器尺寸≥21英寸，≥10个USB接口（其中前置USB 3.1 G2≥2个）、≥1组PS/2接口、≥1个串口、VGA+HDMI接口；</w:t>
            </w:r>
          </w:p>
        </w:tc>
        <w:tc>
          <w:tcPr>
            <w:tcW w:w="788" w:type="dxa"/>
            <w:shd w:val="clear" w:color="auto" w:fill="auto"/>
            <w:vAlign w:val="center"/>
          </w:tcPr>
          <w:p>
            <w:pPr>
              <w:widowControl/>
              <w:jc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kern w:val="0"/>
                <w:szCs w:val="21"/>
              </w:rPr>
              <w:t>套</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40</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配电柜</w:t>
            </w:r>
          </w:p>
        </w:tc>
        <w:tc>
          <w:tcPr>
            <w:tcW w:w="5068" w:type="dxa"/>
            <w:shd w:val="clear" w:color="auto" w:fill="auto"/>
            <w:vAlign w:val="center"/>
          </w:tcPr>
          <w:p>
            <w:pPr>
              <w:widowControl/>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1.配电柜输入电压为交流380V±15%，工频50Hz。具有过压、浪涌、短路、过流、过载、等保护功能；内置避雷器，具有避雷防雷功能，远程通讯，可以实现在控制室计算机上远程操控显示屏的开关。</w:t>
            </w:r>
          </w:p>
        </w:tc>
        <w:tc>
          <w:tcPr>
            <w:tcW w:w="788" w:type="dxa"/>
            <w:shd w:val="clear" w:color="auto" w:fill="auto"/>
            <w:vAlign w:val="center"/>
          </w:tcPr>
          <w:p>
            <w:pPr>
              <w:widowControl/>
              <w:jc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41</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显示屏框架及外包边</w:t>
            </w:r>
          </w:p>
        </w:tc>
        <w:tc>
          <w:tcPr>
            <w:tcW w:w="5068" w:type="dxa"/>
            <w:shd w:val="clear" w:color="auto" w:fill="auto"/>
            <w:vAlign w:val="center"/>
          </w:tcPr>
          <w:p>
            <w:pPr>
              <w:widowControl/>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1.钢结构支架制作，不锈钢包边，满足LED屏安装规范；包括LED显示设备以及施工弱电线材（其中网线采用六类及以上）、辅材</w:t>
            </w:r>
          </w:p>
        </w:tc>
        <w:tc>
          <w:tcPr>
            <w:tcW w:w="788" w:type="dxa"/>
            <w:shd w:val="clear" w:color="auto" w:fill="auto"/>
            <w:vAlign w:val="center"/>
          </w:tcPr>
          <w:p>
            <w:pPr>
              <w:widowControl/>
              <w:jc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kern w:val="0"/>
                <w:szCs w:val="21"/>
              </w:rPr>
              <w:t>平方米</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color w:val="000000"/>
                <w:kern w:val="0"/>
                <w:sz w:val="22"/>
                <w:lang w:bidi="ar"/>
              </w:rPr>
              <w:t>65.432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42</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设备机柜</w:t>
            </w:r>
          </w:p>
        </w:tc>
        <w:tc>
          <w:tcPr>
            <w:tcW w:w="5068" w:type="dxa"/>
            <w:shd w:val="clear" w:color="auto" w:fill="auto"/>
            <w:vAlign w:val="center"/>
          </w:tcPr>
          <w:p>
            <w:pPr>
              <w:widowControl/>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1.42U冷板，钢化玻璃门；风扇，含隔板。</w:t>
            </w:r>
          </w:p>
        </w:tc>
        <w:tc>
          <w:tcPr>
            <w:tcW w:w="788" w:type="dxa"/>
            <w:shd w:val="clear" w:color="auto" w:fill="auto"/>
            <w:vAlign w:val="center"/>
          </w:tcPr>
          <w:p>
            <w:pPr>
              <w:widowControl/>
              <w:jc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43</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系统集成</w:t>
            </w:r>
          </w:p>
        </w:tc>
        <w:tc>
          <w:tcPr>
            <w:tcW w:w="5068" w:type="dxa"/>
            <w:shd w:val="clear" w:color="auto" w:fill="auto"/>
            <w:vAlign w:val="center"/>
          </w:tcPr>
          <w:p>
            <w:pPr>
              <w:widowControl/>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1.线路布署；设备上墙安装；设备功能调试；系统联调。</w:t>
            </w:r>
          </w:p>
        </w:tc>
        <w:tc>
          <w:tcPr>
            <w:tcW w:w="788" w:type="dxa"/>
            <w:shd w:val="clear" w:color="auto" w:fill="auto"/>
            <w:vAlign w:val="center"/>
          </w:tcPr>
          <w:p>
            <w:pPr>
              <w:widowControl/>
              <w:jc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kern w:val="0"/>
                <w:szCs w:val="21"/>
              </w:rPr>
              <w:t>平方米</w:t>
            </w:r>
          </w:p>
        </w:tc>
        <w:tc>
          <w:tcPr>
            <w:tcW w:w="847" w:type="dxa"/>
            <w:shd w:val="clear" w:color="auto" w:fill="auto"/>
            <w:vAlign w:val="center"/>
          </w:tcPr>
          <w:p>
            <w:pPr>
              <w:widowControl/>
              <w:jc w:val="center"/>
              <w:textAlignment w:val="center"/>
              <w:rPr>
                <w:rFonts w:asciiTheme="minorEastAsia" w:hAnsiTheme="minorEastAsia" w:eastAsiaTheme="minorEastAsia" w:cstheme="minorEastAsia"/>
                <w:kern w:val="0"/>
                <w:szCs w:val="21"/>
                <w:lang w:bidi="ar"/>
              </w:rPr>
            </w:pPr>
            <w:r>
              <w:rPr>
                <w:rFonts w:hint="eastAsia" w:cs="宋体" w:asciiTheme="minorEastAsia" w:hAnsiTheme="minorEastAsia" w:eastAsiaTheme="minorEastAsia"/>
                <w:color w:val="000000"/>
                <w:kern w:val="0"/>
                <w:sz w:val="22"/>
                <w:lang w:bidi="ar"/>
              </w:rPr>
              <w:t>65.432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44</w:t>
            </w:r>
          </w:p>
        </w:tc>
        <w:tc>
          <w:tcPr>
            <w:tcW w:w="919" w:type="dxa"/>
            <w:shd w:val="clear" w:color="auto" w:fill="auto"/>
            <w:vAlign w:val="center"/>
          </w:tcPr>
          <w:p>
            <w:pPr>
              <w:widowControl/>
              <w:jc w:val="left"/>
              <w:rPr>
                <w:rFonts w:cs="宋体" w:asciiTheme="minorEastAsia" w:hAnsiTheme="minorEastAsia" w:eastAsiaTheme="minorEastAsia"/>
                <w:kern w:val="0"/>
                <w:szCs w:val="21"/>
                <w:highlight w:val="yellow"/>
              </w:rPr>
            </w:pPr>
            <w:r>
              <w:rPr>
                <w:rFonts w:hint="eastAsia" w:asciiTheme="minorEastAsia" w:hAnsiTheme="minorEastAsia" w:eastAsiaTheme="minorEastAsia" w:cstheme="minorEastAsia"/>
                <w:kern w:val="0"/>
                <w:sz w:val="20"/>
                <w:szCs w:val="20"/>
              </w:rPr>
              <w:t>远程互动控制系统</w:t>
            </w:r>
          </w:p>
        </w:tc>
        <w:tc>
          <w:tcPr>
            <w:tcW w:w="5068" w:type="dxa"/>
            <w:shd w:val="clear" w:color="auto" w:fill="auto"/>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支持用于PPT、word等投影讲解，系统支持的文件类型为ppt、doc、docx、xls、xlsx、txt、pdf等文档文件；支持聚光灯突出课程重点，透明度可调，支持聚光大小范围通过手势可调；支持视频无需上传到设备，直接播放；系统自动搜索，支持的音视频格式，支持mp4、rmvb、vob、mpg、mkv、mp3、aac、wav多种格式，可在播放控制区调整播放进度，暂停、停止当前播放视频；在平板录制视频演示及课件等；直播内容同步显示到LED屏。</w:t>
            </w:r>
          </w:p>
          <w:p>
            <w:pPr>
              <w:widowControl/>
              <w:rPr>
                <w:rFonts w:cs="宋体" w:asciiTheme="minorEastAsia" w:hAnsiTheme="minorEastAsia" w:eastAsiaTheme="minorEastAsia"/>
                <w:kern w:val="0"/>
                <w:szCs w:val="21"/>
              </w:rPr>
            </w:pPr>
            <w:r>
              <w:rPr>
                <w:rFonts w:hint="eastAsia" w:cs="宋体" w:asciiTheme="minorEastAsia" w:hAnsiTheme="minorEastAsia" w:eastAsiaTheme="minorEastAsia"/>
                <w:b/>
                <w:bCs/>
                <w:kern w:val="0"/>
                <w:szCs w:val="21"/>
              </w:rPr>
              <w:t>注：提供具有检测资质的第三方检测机构出具的合法有效的测试报告复印件（测试内容包含：视频演示、摄像直播、课件共享）</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45</w:t>
            </w:r>
          </w:p>
        </w:tc>
        <w:tc>
          <w:tcPr>
            <w:tcW w:w="919" w:type="dxa"/>
            <w:shd w:val="clear" w:color="auto" w:fill="auto"/>
            <w:vAlign w:val="center"/>
          </w:tcPr>
          <w:p>
            <w:pPr>
              <w:widowControl/>
              <w:jc w:val="left"/>
              <w:rPr>
                <w:rFonts w:hint="eastAsia" w:cs="宋体" w:asciiTheme="minorEastAsia" w:hAnsiTheme="minorEastAsia" w:eastAsiaTheme="minorEastAsia"/>
                <w:kern w:val="0"/>
                <w:szCs w:val="21"/>
                <w:lang w:eastAsia="zh-CN"/>
              </w:rPr>
            </w:pPr>
            <w:r>
              <w:rPr>
                <w:rFonts w:hint="eastAsia" w:cs="宋体" w:asciiTheme="minorEastAsia" w:hAnsiTheme="minorEastAsia" w:eastAsiaTheme="minorEastAsia"/>
                <w:kern w:val="0"/>
                <w:szCs w:val="21"/>
              </w:rPr>
              <w:t>远程控制终端</w:t>
            </w:r>
            <w:r>
              <w:rPr>
                <w:rFonts w:hint="eastAsia" w:cs="宋体" w:asciiTheme="minorEastAsia" w:hAnsiTheme="minorEastAsia" w:eastAsiaTheme="minorEastAsia"/>
                <w:kern w:val="0"/>
                <w:szCs w:val="21"/>
                <w:lang w:eastAsia="zh-CN"/>
              </w:rPr>
              <w:t>（平板式微型计算机）</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1.系统：Android；CPU≥八核心处理器；运行内存≥3GB，存储容量≥32GB；屏幕尺寸≥10英寸；屏幕分辨率≥1920×1200。</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46</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无线会议录播主机</w:t>
            </w:r>
          </w:p>
        </w:tc>
        <w:tc>
          <w:tcPr>
            <w:tcW w:w="5068" w:type="dxa"/>
            <w:shd w:val="clear" w:color="auto" w:fill="auto"/>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1.采用ARM 双核处理器 Linux系统 ，内置≥1T硬盘，最大可扩展2T；采用翻盖式设计，内置≥15.6寸液晶屏和键盘，自带触摸板；视频模块提供≥5路SDI输入，≥2路VGA输入，≥2路HDMI输入，≥1路HDMI输出，≥1路SDI输出</w:t>
            </w:r>
            <w:bookmarkStart w:id="209" w:name="_GoBack"/>
            <w:bookmarkEnd w:id="209"/>
            <w:r>
              <w:rPr>
                <w:rFonts w:hint="eastAsia" w:cs="宋体" w:asciiTheme="minorEastAsia" w:hAnsiTheme="minorEastAsia" w:eastAsiaTheme="minorEastAsia"/>
                <w:kern w:val="0"/>
                <w:szCs w:val="21"/>
              </w:rPr>
              <w:t>；≥4个USB接口；音频模块支持≥2路话筒（48V幻象）输入，≥2路Line in 线路输入、≥1路6.5mm插座线路输入，内置自动调音技术，声音效果无需人工干预；提供音量指示灯和耳机监听接口，音频输出支持≥2路3.5mm音频接口；内置扬声器左右各一个；</w:t>
            </w:r>
          </w:p>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2.内置导播台，实现音频控制区、录播控制区、视频切换区和摄像机控制区一体化设计；音频控制支持自定义选择音频输入源进行音量的手动调节并提供音量指示灯； 录播控制支持一键控制录播状态，开始、暂停、停止，画中画、主副画面快速选择，一键开启直播功能，添加字幕、台标等功能，支持设置≥4个场景；视频切换支持设置视频切换特效，并可设置切换过渡时间，支持导播台“同步”功能，预监内容可立刻加载到播出窗口；摄像机控制支持通过摇杆控制摄像机云台及镜头变焦，支持预置位的设置，预置位≥8个；</w:t>
            </w:r>
          </w:p>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3.提供≥2个10/100/1000Mbps自适应网口； 采用硬件采集、编码；输入视频格式支持HD-SDI，1080P 25/30fps、1080i 50/60fps；输入VGA格式支持1024*768@60~1920x1080@60可调；视频编码帧率支持1～30fps可调  5/10/15/20/25/30可选；视频编码分辨率支持1920*1080；视频编码码率支持256k~8M可调；主码流（录制）是1M～8Mbps，导播码流是256K～1Mbps可调；内置无线接收模块，具备≥2个接收天线；传输带宽：300Mbp/s；信道带宽：40MHz；空旷区域传输距离≥500米；互动功能：支持设备之间点对点互动功能；设备支持POC供电，实现高清视频、同轴等信号与供电电源复合一起，在一根同轴线上传输为摄像机供电；采用直流24V电源供电，主机功耗≤30W。</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47</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无线会议录播资源平台</w:t>
            </w:r>
          </w:p>
        </w:tc>
        <w:tc>
          <w:tcPr>
            <w:tcW w:w="5068" w:type="dxa"/>
            <w:shd w:val="clear" w:color="auto" w:fill="auto"/>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支持对设备的录制编码、帧率、IP地址、内置时间、视频输出、互动功能等参数进行设置；支持本地导播和web远程导播两种导播方式；支持云台控制、画中画设置、特效切换、台标字幕及片头片尾设置、录播开始、暂停、停止等设置操作。</w:t>
            </w:r>
          </w:p>
          <w:p>
            <w:pPr>
              <w:widowControl/>
              <w:rPr>
                <w:rFonts w:cs="宋体" w:asciiTheme="minorEastAsia" w:hAnsiTheme="minorEastAsia" w:eastAsiaTheme="minorEastAsia"/>
                <w:b/>
                <w:bCs/>
                <w:kern w:val="0"/>
                <w:szCs w:val="21"/>
              </w:rPr>
            </w:pP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2</w:t>
            </w:r>
            <w:r>
              <w:rPr>
                <w:rFonts w:hint="eastAsia" w:cs="宋体" w:asciiTheme="minorEastAsia" w:hAnsiTheme="minorEastAsia" w:eastAsiaTheme="minorEastAsia"/>
                <w:kern w:val="0"/>
                <w:szCs w:val="21"/>
              </w:rPr>
              <w:t>.支持电影模式、资源模式及“电影+资源”模式至少三种直播模式，其中资源模式最多支持6路视频图像，“电影+资源”模式最多支持7路视频图像，包含6路资源模式视频图像及1路电影模式视频图像；</w:t>
            </w:r>
            <w:r>
              <w:rPr>
                <w:rFonts w:cs="宋体" w:asciiTheme="minorEastAsia" w:hAnsiTheme="minorEastAsia" w:eastAsiaTheme="minorEastAsia"/>
                <w:b/>
                <w:bCs/>
                <w:kern w:val="0"/>
                <w:szCs w:val="21"/>
              </w:rPr>
              <w:t xml:space="preserve"> </w:t>
            </w:r>
          </w:p>
          <w:p>
            <w:pPr>
              <w:widowControl/>
              <w:rPr>
                <w:rFonts w:cs="宋体" w:asciiTheme="minorEastAsia" w:hAnsiTheme="minorEastAsia" w:eastAsiaTheme="minorEastAsia"/>
                <w:kern w:val="0"/>
                <w:szCs w:val="21"/>
              </w:rPr>
            </w:pPr>
            <w:r>
              <w:rPr>
                <w:rFonts w:cs="宋体" w:asciiTheme="minorEastAsia" w:hAnsiTheme="minorEastAsia" w:eastAsiaTheme="minorEastAsia"/>
                <w:kern w:val="0"/>
                <w:szCs w:val="21"/>
              </w:rPr>
              <w:t>3</w:t>
            </w:r>
            <w:r>
              <w:rPr>
                <w:rFonts w:hint="eastAsia" w:cs="宋体" w:asciiTheme="minorEastAsia" w:hAnsiTheme="minorEastAsia" w:eastAsiaTheme="minorEastAsia"/>
                <w:kern w:val="0"/>
                <w:szCs w:val="21"/>
              </w:rPr>
              <w:t>.支持单流单画面的电影模式、多流多画面的资源模式以及单流多画面的“电影+资源”模式，可以单独录制也可以同时录制；支持在同一设备完成6路视频同时录制，所生成文件在同一文件夹；</w:t>
            </w:r>
          </w:p>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4</w:t>
            </w:r>
            <w:r>
              <w:rPr>
                <w:rFonts w:hint="eastAsia" w:cs="宋体" w:asciiTheme="minorEastAsia" w:hAnsiTheme="minorEastAsia" w:eastAsiaTheme="minorEastAsia"/>
                <w:kern w:val="0"/>
                <w:szCs w:val="21"/>
              </w:rPr>
              <w:t>.具备独立的页面可以显示系统当前的录像模式、录像状态、录像时间、直播状态、磁盘空间信息、视频源是否启用等信息，此页面亦包含电影模式画面、VGA信号及4路SDI视频信号的分辨率、录制编码、录制帧率、I帧间隔及直播地址等信息，满足管理人员基于一个页面即可查询到上述信息；</w:t>
            </w:r>
            <w:r>
              <w:rPr>
                <w:rFonts w:cs="宋体" w:asciiTheme="minorEastAsia" w:hAnsiTheme="minorEastAsia" w:eastAsiaTheme="minorEastAsia"/>
                <w:kern w:val="0"/>
                <w:szCs w:val="21"/>
              </w:rPr>
              <w:t xml:space="preserve"> </w:t>
            </w:r>
          </w:p>
          <w:p>
            <w:pPr>
              <w:widowControl/>
              <w:rPr>
                <w:rFonts w:cs="宋体" w:asciiTheme="minorEastAsia" w:hAnsiTheme="minorEastAsia" w:eastAsiaTheme="minorEastAsia"/>
                <w:kern w:val="0"/>
                <w:szCs w:val="21"/>
              </w:rPr>
            </w:pPr>
            <w:r>
              <w:rPr>
                <w:rFonts w:cs="宋体" w:asciiTheme="minorEastAsia" w:hAnsiTheme="minorEastAsia" w:eastAsiaTheme="minorEastAsia"/>
                <w:kern w:val="0"/>
                <w:szCs w:val="21"/>
              </w:rPr>
              <w:t>5</w:t>
            </w:r>
            <w:r>
              <w:rPr>
                <w:rFonts w:hint="eastAsia" w:cs="宋体" w:asciiTheme="minorEastAsia" w:hAnsiTheme="minorEastAsia" w:eastAsiaTheme="minorEastAsia"/>
                <w:kern w:val="0"/>
                <w:szCs w:val="21"/>
              </w:rPr>
              <w:t>.支持在电影画面中添加台标、字幕，可以插入片头、片尾；支持台标更换及台标位置选择；支持图片、视频等格式文件的片头片尾，支持片头片尾时间选择：1-5s；</w:t>
            </w:r>
          </w:p>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▲6.可以提供多种画中画模式，支持提供15种已设定好的画中画模式，如大小、左右、平铺、三分屏、四分屏、全景等画中画模式，支持交换功能，方便画面快速对调；</w:t>
            </w:r>
            <w:r>
              <w:rPr>
                <w:rFonts w:cs="宋体" w:asciiTheme="minorEastAsia" w:hAnsiTheme="minorEastAsia" w:eastAsiaTheme="minorEastAsia"/>
                <w:kern w:val="0"/>
                <w:szCs w:val="21"/>
              </w:rPr>
              <w:t xml:space="preserve"> </w:t>
            </w:r>
          </w:p>
          <w:p>
            <w:pPr>
              <w:widowControl/>
              <w:rPr>
                <w:rFonts w:cs="宋体" w:asciiTheme="minorEastAsia" w:hAnsiTheme="minorEastAsia" w:eastAsiaTheme="minorEastAsia"/>
                <w:b/>
                <w:bCs/>
                <w:kern w:val="0"/>
                <w:szCs w:val="21"/>
              </w:rPr>
            </w:pP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7</w:t>
            </w:r>
            <w:r>
              <w:rPr>
                <w:rFonts w:hint="eastAsia" w:cs="宋体" w:asciiTheme="minorEastAsia" w:hAnsiTheme="minorEastAsia" w:eastAsiaTheme="minorEastAsia"/>
                <w:kern w:val="0"/>
                <w:szCs w:val="21"/>
              </w:rPr>
              <w:t>.支持直切、擦除、覆盖、推拉模式的特效，每种模式提供8种特效；系统亦具备提供4种不同上述方式的特效，所有特效为系统自带，无须手动定义；特效的过渡时间支持设定为0.5S、0.8S、1.0S、1.2S；</w:t>
            </w:r>
          </w:p>
          <w:p>
            <w:pPr>
              <w:widowControl/>
            </w:pPr>
            <w:r>
              <w:rPr>
                <w:rFonts w:hint="eastAsia" w:cs="宋体" w:asciiTheme="minorEastAsia" w:hAnsiTheme="minorEastAsia" w:eastAsiaTheme="minorEastAsia"/>
                <w:kern w:val="0"/>
                <w:szCs w:val="21"/>
              </w:rPr>
              <w:t>▲</w:t>
            </w:r>
            <w:r>
              <w:rPr>
                <w:rFonts w:cs="宋体" w:asciiTheme="minorEastAsia" w:hAnsiTheme="minorEastAsia" w:eastAsiaTheme="minorEastAsia"/>
                <w:b/>
                <w:bCs/>
                <w:kern w:val="0"/>
                <w:szCs w:val="21"/>
              </w:rPr>
              <w:t>8.</w:t>
            </w:r>
            <w:r>
              <w:rPr>
                <w:rFonts w:hint="eastAsia" w:cs="宋体" w:asciiTheme="minorEastAsia" w:hAnsiTheme="minorEastAsia" w:eastAsiaTheme="minorEastAsia"/>
                <w:kern w:val="0"/>
                <w:szCs w:val="21"/>
              </w:rPr>
              <w:t>具备视频转码压缩功能。</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48</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无线高清摄像机</w:t>
            </w:r>
          </w:p>
        </w:tc>
        <w:tc>
          <w:tcPr>
            <w:tcW w:w="5068" w:type="dxa"/>
            <w:shd w:val="clear" w:color="auto" w:fill="auto"/>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1.成像器件：1/2.7英寸， CMOS，有效像素：207万；镜头：12x, f3.5mm～42.3mm, F1.8～F2.8，数字变焦：16x；扫描方式：逐行；数字降噪：2D&amp;3D数字降噪；信噪比：≥55dB；支持水平、垂直翻转，水平视场角72.5°～6.9°，垂直视场角44.8°～3.9°，水平转动范围±170°，垂直转动范围-30°～+90°，水平转动速度范围1.7°～80°/s，垂直转动速度范围1.7°～69.9°/s；预置位数量：255；视频编码标准：H.265/H.264/MJPEG；主码流分辨率：1920*1080, 1280*720,1024*576；辅码流分辨率：720*576，720*408，320*240；码率控制：可变码率， 固定码率；帧率：50Hz:1fps～25fps,60Hz:1fps～30fps；支持协议：TCP/IP, HTTP, RTSP, RTMP, Onvif，DHCP，组播等；工作频率：5.15~5.35GHz，5.425~5.725GHz及5.745~5.850GHz；发射功率：27dBm；天线方式：2*2 MIMO Beamforming；信道带宽：20/40MHz信道宽度选择；调制模式：OFDM；传输数据速率：300Mbps；网络模式：点对点，点对多点；穿透力：1~2堵墙；空旷区域传输距离：≥500米；标准协议：802.11a/n；网络接口：1路RJ45以太网接口，1路5G WiFi。</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49</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录播话筒</w:t>
            </w:r>
          </w:p>
        </w:tc>
        <w:tc>
          <w:tcPr>
            <w:tcW w:w="5068" w:type="dxa"/>
            <w:shd w:val="clear" w:color="auto" w:fill="auto"/>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1.频率范围：40-18000Hz；灵敏度：-35dB，指向性：超窄指向；拾音角度：100°，最大声压级：132(@THD≤0.5%,1KHz)；阻抗：200</w:t>
            </w:r>
            <w:r>
              <w:rPr>
                <w:rFonts w:cs="Calibri" w:asciiTheme="minorEastAsia" w:hAnsiTheme="minorEastAsia" w:eastAsiaTheme="minorEastAsia"/>
                <w:kern w:val="0"/>
                <w:szCs w:val="21"/>
              </w:rPr>
              <w:t>Ω</w:t>
            </w:r>
            <w:r>
              <w:rPr>
                <w:rFonts w:hint="eastAsia" w:cs="宋体" w:asciiTheme="minorEastAsia" w:hAnsiTheme="minorEastAsia" w:eastAsiaTheme="minorEastAsia"/>
                <w:kern w:val="0"/>
                <w:szCs w:val="21"/>
              </w:rPr>
              <w:t>，工作电压：48V；信噪比≥70dB，等效噪声级：26dB-A；话筒直径：8.24mm，话筒长度（不含插头）：220mm；吊杆尺寸：吊杆长度（可伸缩）60-1200mm。</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只</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50</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航空箱</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1.拉手、有效保护录播主机、摄像机、话筒、支架，便于移动；</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51</w:t>
            </w:r>
          </w:p>
        </w:tc>
        <w:tc>
          <w:tcPr>
            <w:tcW w:w="919" w:type="dxa"/>
            <w:shd w:val="clear" w:color="auto" w:fill="auto"/>
            <w:vAlign w:val="center"/>
          </w:tcPr>
          <w:p>
            <w:pPr>
              <w:widowControl/>
              <w:jc w:val="left"/>
              <w:rPr>
                <w:rFonts w:hint="eastAsia" w:cs="宋体" w:asciiTheme="minorEastAsia" w:hAnsiTheme="minorEastAsia" w:eastAsiaTheme="minorEastAsia"/>
                <w:kern w:val="0"/>
                <w:szCs w:val="21"/>
                <w:lang w:eastAsia="zh-CN"/>
              </w:rPr>
            </w:pPr>
            <w:r>
              <w:rPr>
                <w:rFonts w:hint="eastAsia" w:cs="宋体" w:asciiTheme="minorEastAsia" w:hAnsiTheme="minorEastAsia" w:eastAsiaTheme="minorEastAsia"/>
                <w:kern w:val="0"/>
                <w:szCs w:val="21"/>
              </w:rPr>
              <w:t>移动控制终端</w:t>
            </w:r>
            <w:r>
              <w:rPr>
                <w:rFonts w:hint="eastAsia" w:cs="宋体" w:asciiTheme="minorEastAsia" w:hAnsiTheme="minorEastAsia" w:eastAsiaTheme="minorEastAsia"/>
                <w:kern w:val="0"/>
                <w:szCs w:val="21"/>
                <w:lang w:eastAsia="zh-CN"/>
              </w:rPr>
              <w:t>（便携式计算机）</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asciiTheme="minorEastAsia" w:hAnsiTheme="minorEastAsia" w:eastAsiaTheme="minorEastAsia"/>
              </w:rPr>
              <w:t>▲</w:t>
            </w:r>
            <w:r>
              <w:rPr>
                <w:rFonts w:hint="eastAsia" w:asciiTheme="minorEastAsia" w:hAnsiTheme="minorEastAsia" w:eastAsiaTheme="minorEastAsia"/>
                <w:color w:val="000000" w:themeColor="text1"/>
                <w14:textFill>
                  <w14:solidFill>
                    <w14:schemeClr w14:val="tx1"/>
                  </w14:solidFill>
                </w14:textFill>
              </w:rPr>
              <w:t>1. CPU：≥4核，</w:t>
            </w:r>
            <w:r>
              <w:rPr>
                <w:rFonts w:hint="eastAsia" w:asciiTheme="minorEastAsia" w:hAnsiTheme="minorEastAsia" w:eastAsiaTheme="minorEastAsia"/>
              </w:rPr>
              <w:t>主频2.2G，两个DIMM插槽标，配8GB DDR4内存，支持两条内存扩展，集成显卡，M.2 PCIE NVME SSD全固态硬盘，容量≥256G，电池容量≥65Wh，4个USB3.0；1个Type-C接口；1个10  100  1000自适应以太网口； 1个HDMI接口；1个Combo音频接口，标配802.11a  b  g  n  ac协议，支蓝牙5.0协议以上，尺寸≦14寸液晶显示屏，分辨率1920*1080，整机重量≦1.8Kg，机身厚度≦17.5mm。</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52</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无线会议录播传输系统</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1.设备＜1U，具备1路VGA、HDMI输入接口，支持1920*1080信号的采集和传输；</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2.具备1路HDMI输出接口；具备1路3.5mm音频输入接口；具备1路USB接口，实现系统程序升级，修改IP和视频编码质量；具备1路RJ45以太网接口；</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3.发射功率：27dBm；天线方式：2*2 MIMO Beamforming；信道带宽：20/40MHz信道宽度选择；调制模式：OFDM；传输数据速率：最大300Mbps；</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4.网络模式：点对点，点对多点；穿透力：1~2堵墙；空旷区域传输距离：≥500米；</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5.标准协议：802.11a/n，电源：输入电压DC 12V，接口类型JEITA。</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53</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高清视频处理卡</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1.基于SDK技术的视频处理；标准AV stream驱动；支持Windows media encoder,Adobe Flash media Live encoder等；支持至少4路HDMI信号同时输入；支持分辨率：不低于1920*1080。</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54</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高清输入电缆</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1.HDMI输入线缆（根据环境可以采用其他视频线缆）</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55</w:t>
            </w:r>
          </w:p>
        </w:tc>
        <w:tc>
          <w:tcPr>
            <w:tcW w:w="919"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LED面光灯</w:t>
            </w:r>
          </w:p>
        </w:tc>
        <w:tc>
          <w:tcPr>
            <w:tcW w:w="5068" w:type="dxa"/>
            <w:shd w:val="clear" w:color="auto" w:fill="auto"/>
            <w:vAlign w:val="center"/>
          </w:tcPr>
          <w:p>
            <w:pPr>
              <w:widowControl/>
              <w:jc w:val="left"/>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lang w:bidi="ar"/>
              </w:rPr>
              <w:t>1.电压：AC110～240V  50Hz/60Hz，光源：100W ，色温：3200K  ±5%，变焦范围：19和26度可选择。</w:t>
            </w:r>
          </w:p>
        </w:tc>
        <w:tc>
          <w:tcPr>
            <w:tcW w:w="788" w:type="dxa"/>
            <w:shd w:val="clear" w:color="auto" w:fill="auto"/>
            <w:vAlign w:val="center"/>
          </w:tcPr>
          <w:p>
            <w:pPr>
              <w:widowControl/>
              <w:jc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color w:val="000000"/>
                <w:kern w:val="0"/>
                <w:sz w:val="22"/>
                <w:lang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56</w:t>
            </w:r>
          </w:p>
        </w:tc>
        <w:tc>
          <w:tcPr>
            <w:tcW w:w="919"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LED平板灯</w:t>
            </w:r>
          </w:p>
        </w:tc>
        <w:tc>
          <w:tcPr>
            <w:tcW w:w="5068" w:type="dxa"/>
            <w:shd w:val="clear" w:color="auto" w:fill="auto"/>
            <w:vAlign w:val="center"/>
          </w:tcPr>
          <w:p>
            <w:pPr>
              <w:widowControl/>
              <w:jc w:val="left"/>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1.电压: AC100~240V，50/60Hz，功率: 200W，色温: 3200K/5600K/双色温，控制通道 : 3CH。</w:t>
            </w:r>
          </w:p>
        </w:tc>
        <w:tc>
          <w:tcPr>
            <w:tcW w:w="788" w:type="dxa"/>
            <w:shd w:val="clear" w:color="auto" w:fill="auto"/>
            <w:vAlign w:val="center"/>
          </w:tcPr>
          <w:p>
            <w:pPr>
              <w:widowControl/>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 w:val="22"/>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57</w:t>
            </w:r>
          </w:p>
        </w:tc>
        <w:tc>
          <w:tcPr>
            <w:tcW w:w="919"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电脑摇头效果灯</w:t>
            </w:r>
          </w:p>
        </w:tc>
        <w:tc>
          <w:tcPr>
            <w:tcW w:w="5068" w:type="dxa"/>
            <w:shd w:val="clear" w:color="auto" w:fill="auto"/>
            <w:vAlign w:val="center"/>
          </w:tcPr>
          <w:p>
            <w:pPr>
              <w:widowControl/>
              <w:jc w:val="left"/>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▲1.采用标称100W LED光源;采用耐高温透光度强的光学镜片（3层镀膜），2组透镜；内置至少11个颜色片+1个白色色盘，速度可调，任意定位功能；内置固定图案盘，至少14个固定图案片+1个白光，速度可调，任意定位功能；内置至少8面旋转里棱镜+4排镜，棱镜正反向旋转，可叠加，速度可调；具有频闪功能，速度可调；内置至少1个独立雾化效果；采用风向引流与温度智能监控技术，内置NTC温度控测功能，当故障导致LED工作过热时，自动降低LED的输出功率；特殊功能：陀螺仪：陀螺仪功能打开，Y轴可自动补偿校准，具有自动对焦功能。</w:t>
            </w:r>
          </w:p>
          <w:p>
            <w:pPr>
              <w:widowControl/>
              <w:jc w:val="left"/>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b/>
                <w:bCs/>
                <w:color w:val="000000"/>
                <w:kern w:val="0"/>
                <w:szCs w:val="21"/>
                <w:lang w:bidi="ar"/>
              </w:rPr>
              <w:t>注：以上技术参数提供具有检测资质的第三方检测机构出具的合法有效的检验检测报告复印件。</w:t>
            </w:r>
          </w:p>
        </w:tc>
        <w:tc>
          <w:tcPr>
            <w:tcW w:w="788" w:type="dxa"/>
            <w:shd w:val="clear" w:color="auto" w:fill="auto"/>
            <w:vAlign w:val="center"/>
          </w:tcPr>
          <w:p>
            <w:pPr>
              <w:widowControl/>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 w:val="22"/>
                <w:lang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58</w:t>
            </w:r>
          </w:p>
        </w:tc>
        <w:tc>
          <w:tcPr>
            <w:tcW w:w="919"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LED染色帕灯</w:t>
            </w:r>
          </w:p>
        </w:tc>
        <w:tc>
          <w:tcPr>
            <w:tcW w:w="5068" w:type="dxa"/>
            <w:shd w:val="clear" w:color="auto" w:fill="auto"/>
            <w:vAlign w:val="center"/>
          </w:tcPr>
          <w:p>
            <w:pPr>
              <w:widowControl/>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▲1.频闪频率：1-25Hz；光源：54×3W LED（R14G14B14W12）；色温：3200K～7200K；透镜角度：25°（15°、45°可选）；灯具具有RGBW（红绿蓝白）混色；灯具内置宏功能；灯具调光范围0-100%可调；灯具具有主从自走自动同步功能；灯具具有控台正常控制自走永久同步；内置NTC温度控测功能，当故障导致LED工作过热时，降低LED的输出功率；灯具具有声控功能；灯具配备DMX512接口；灯具内置程序自走功能；灯具具有主从联机模式；灯具配备支持RDM协议接口；灯具具有程序在线更新功能；灯具DMX控制通道数量为4/8通道。</w:t>
            </w:r>
          </w:p>
          <w:p>
            <w:pPr>
              <w:widowControl/>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b/>
                <w:bCs/>
                <w:color w:val="000000"/>
                <w:kern w:val="0"/>
                <w:szCs w:val="21"/>
                <w:lang w:bidi="ar"/>
              </w:rPr>
              <w:t>注：以上技术参数提供具有检测资质的第三方检测机构出具的合法有效的检验检测报告复印件。</w:t>
            </w:r>
          </w:p>
        </w:tc>
        <w:tc>
          <w:tcPr>
            <w:tcW w:w="788" w:type="dxa"/>
            <w:shd w:val="clear" w:color="auto" w:fill="auto"/>
            <w:vAlign w:val="center"/>
          </w:tcPr>
          <w:p>
            <w:pPr>
              <w:widowControl/>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 w:val="22"/>
                <w:lang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59</w:t>
            </w:r>
          </w:p>
        </w:tc>
        <w:tc>
          <w:tcPr>
            <w:tcW w:w="919"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信号放大器</w:t>
            </w:r>
          </w:p>
        </w:tc>
        <w:tc>
          <w:tcPr>
            <w:tcW w:w="5068" w:type="dxa"/>
            <w:shd w:val="clear" w:color="auto" w:fill="auto"/>
            <w:vAlign w:val="center"/>
          </w:tcPr>
          <w:p>
            <w:pPr>
              <w:widowControl/>
              <w:jc w:val="left"/>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1.接收信号：DMX512信号，1路输入，1路直通输出，8路DMX512信号输出。</w:t>
            </w:r>
          </w:p>
        </w:tc>
        <w:tc>
          <w:tcPr>
            <w:tcW w:w="788" w:type="dxa"/>
            <w:shd w:val="clear" w:color="auto" w:fill="auto"/>
            <w:vAlign w:val="center"/>
          </w:tcPr>
          <w:p>
            <w:pPr>
              <w:widowControl/>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 w:val="22"/>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60</w:t>
            </w:r>
          </w:p>
        </w:tc>
        <w:tc>
          <w:tcPr>
            <w:tcW w:w="919"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控制器</w:t>
            </w:r>
          </w:p>
        </w:tc>
        <w:tc>
          <w:tcPr>
            <w:tcW w:w="5068" w:type="dxa"/>
            <w:shd w:val="clear" w:color="auto" w:fill="auto"/>
            <w:vAlign w:val="center"/>
          </w:tcPr>
          <w:p>
            <w:pPr>
              <w:widowControl/>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1.带背光的LCD显示屏，首创的中英文显示可切换界面。面板中英文可选，系统自带2048通道控制，可加扩展，支持DMX512协议，带10根集控推杆。按键点控和推杆集控兼容，U盘可备份控台数据，并支持重新导入到控台使用，同型号控台数据可共享。</w:t>
            </w:r>
          </w:p>
        </w:tc>
        <w:tc>
          <w:tcPr>
            <w:tcW w:w="788" w:type="dxa"/>
            <w:shd w:val="clear" w:color="auto" w:fill="auto"/>
            <w:vAlign w:val="center"/>
          </w:tcPr>
          <w:p>
            <w:pPr>
              <w:widowControl/>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61</w:t>
            </w:r>
          </w:p>
        </w:tc>
        <w:tc>
          <w:tcPr>
            <w:tcW w:w="919"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电源直通箱</w:t>
            </w:r>
          </w:p>
        </w:tc>
        <w:tc>
          <w:tcPr>
            <w:tcW w:w="5068" w:type="dxa"/>
            <w:shd w:val="clear" w:color="auto" w:fill="auto"/>
            <w:vAlign w:val="center"/>
          </w:tcPr>
          <w:p>
            <w:pPr>
              <w:widowControl/>
              <w:jc w:val="left"/>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1.供电：三相AC380V±10％，频率50Hz±5％，额定功率：12路×4KW；12路10A。</w:t>
            </w:r>
          </w:p>
        </w:tc>
        <w:tc>
          <w:tcPr>
            <w:tcW w:w="788" w:type="dxa"/>
            <w:shd w:val="clear" w:color="auto" w:fill="auto"/>
            <w:vAlign w:val="center"/>
          </w:tcPr>
          <w:p>
            <w:pPr>
              <w:widowControl/>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 w:val="22"/>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62</w:t>
            </w:r>
          </w:p>
        </w:tc>
        <w:tc>
          <w:tcPr>
            <w:tcW w:w="919"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追光灯</w:t>
            </w:r>
          </w:p>
        </w:tc>
        <w:tc>
          <w:tcPr>
            <w:tcW w:w="5068" w:type="dxa"/>
            <w:shd w:val="clear" w:color="auto" w:fill="auto"/>
            <w:vAlign w:val="center"/>
          </w:tcPr>
          <w:p>
            <w:pPr>
              <w:widowControl/>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Cs w:val="21"/>
                <w:lang w:bidi="ar"/>
              </w:rPr>
              <w:t>1.电压：AC100-AC240V/50Hz-60Hz，光源：≥ 350w，光圈：手动控制，色盘：4种颜色+白光。</w:t>
            </w:r>
          </w:p>
        </w:tc>
        <w:tc>
          <w:tcPr>
            <w:tcW w:w="788" w:type="dxa"/>
            <w:shd w:val="clear" w:color="auto" w:fill="auto"/>
            <w:vAlign w:val="center"/>
          </w:tcPr>
          <w:p>
            <w:pPr>
              <w:widowControl/>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63</w:t>
            </w:r>
          </w:p>
        </w:tc>
        <w:tc>
          <w:tcPr>
            <w:tcW w:w="919"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灯光架</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1.采用外直径50镀锌管，根据现场条件制作。</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根</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64</w:t>
            </w:r>
          </w:p>
        </w:tc>
        <w:tc>
          <w:tcPr>
            <w:tcW w:w="919"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灯光电缆线</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1.灯光专用电缆。</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批</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65</w:t>
            </w:r>
          </w:p>
        </w:tc>
        <w:tc>
          <w:tcPr>
            <w:tcW w:w="919"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系统集成</w:t>
            </w:r>
          </w:p>
        </w:tc>
        <w:tc>
          <w:tcPr>
            <w:tcW w:w="5068" w:type="dxa"/>
            <w:shd w:val="clear" w:color="auto" w:fill="auto"/>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包括所有设备以及施工强弱电线材（其中网线采用六类及以上）、辅材、综合布线、设备安装、调试、售后服务、运输搬运等；设备的固定安装符合施工要求，安装美观，整体走线符合施工工艺要求；线材管材、设备间连接线、转接头等均采用合格产品；如安装位置是填充材料，须进行加固处理。</w:t>
            </w:r>
          </w:p>
        </w:tc>
        <w:tc>
          <w:tcPr>
            <w:tcW w:w="788"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847" w:type="dxa"/>
            <w:shd w:val="clear" w:color="auto" w:fill="auto"/>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noWrap/>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66</w:t>
            </w:r>
          </w:p>
        </w:tc>
        <w:tc>
          <w:tcPr>
            <w:tcW w:w="919" w:type="dxa"/>
            <w:shd w:val="clear" w:color="auto" w:fill="auto"/>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专业音箱</w:t>
            </w:r>
          </w:p>
        </w:tc>
        <w:tc>
          <w:tcPr>
            <w:tcW w:w="5068" w:type="dxa"/>
            <w:shd w:val="clear" w:color="auto" w:fill="auto"/>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1.低音单元:≥1x12寸低音.高音单元:≥1x1.75寸高音；频率响应:65-18kHz(±3dB)，灵敏度(1W/1M):97dB，最大声压级:≥125dB，阻抗:8Ω；功率:≥350W（额定）/≥700W（峰值）。</w:t>
            </w:r>
          </w:p>
        </w:tc>
        <w:tc>
          <w:tcPr>
            <w:tcW w:w="788" w:type="dxa"/>
            <w:shd w:val="clear" w:color="auto" w:fill="auto"/>
            <w:vAlign w:val="center"/>
          </w:tcPr>
          <w:p>
            <w:pPr>
              <w:widowControl/>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kern w:val="0"/>
                <w:szCs w:val="21"/>
              </w:rPr>
              <w:t>只</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2"/>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noWrap/>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67</w:t>
            </w:r>
          </w:p>
        </w:tc>
        <w:tc>
          <w:tcPr>
            <w:tcW w:w="919" w:type="dxa"/>
            <w:shd w:val="clear" w:color="auto" w:fill="auto"/>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专业功放</w:t>
            </w:r>
          </w:p>
        </w:tc>
        <w:tc>
          <w:tcPr>
            <w:tcW w:w="5068" w:type="dxa"/>
            <w:shd w:val="clear" w:color="auto" w:fill="auto"/>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具有动态压限系统，短路、过热、过载、过流、输出直流、软启动、电流熔断保护，变压器过热保护；8Ω立体声输出功率≥720W×2，4Ω立体声输出功率≥1080W×2，8Ω桥接输出功率≥2160W；频率响应20Hz-20KHz(±0.25dB)，总谐波失真加噪声&lt;0.05%，信噪比&gt;105dB；阻尼系数&gt;500，互调失真&lt;0.05%，电压转换速率40V/μS，输入共模抑制比&gt;80dB。</w:t>
            </w:r>
          </w:p>
        </w:tc>
        <w:tc>
          <w:tcPr>
            <w:tcW w:w="788" w:type="dxa"/>
            <w:shd w:val="clear" w:color="auto" w:fill="auto"/>
            <w:vAlign w:val="center"/>
          </w:tcPr>
          <w:p>
            <w:pPr>
              <w:widowControl/>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noWrap/>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68</w:t>
            </w:r>
          </w:p>
        </w:tc>
        <w:tc>
          <w:tcPr>
            <w:tcW w:w="919" w:type="dxa"/>
            <w:shd w:val="clear" w:color="auto" w:fill="auto"/>
            <w:vAlign w:val="center"/>
          </w:tcPr>
          <w:p>
            <w:pPr>
              <w:widowControl/>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color w:val="000000"/>
                <w:kern w:val="0"/>
                <w:szCs w:val="21"/>
              </w:rPr>
              <w:t>音频矩阵</w:t>
            </w:r>
          </w:p>
        </w:tc>
        <w:tc>
          <w:tcPr>
            <w:tcW w:w="5068" w:type="dxa"/>
            <w:shd w:val="clear" w:color="auto" w:fill="auto"/>
          </w:tcPr>
          <w:p>
            <w:pPr>
              <w:widowControl/>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▲1.内置信号发生器、自动混音(AM)、自动增益控制(AGC)、反馈消除(AFC)、回声消除(AEC)等主要算法；</w:t>
            </w:r>
            <w:r>
              <w:rPr>
                <w:rFonts w:hint="eastAsia" w:asciiTheme="minorEastAsia" w:hAnsiTheme="minorEastAsia" w:eastAsiaTheme="minorEastAsia" w:cstheme="minorEastAsia"/>
                <w:b/>
                <w:bCs/>
                <w:color w:val="000000"/>
                <w:kern w:val="0"/>
                <w:szCs w:val="21"/>
                <w:lang w:bidi="ar"/>
              </w:rPr>
              <w:t>（提供具有CMA或CNAS或ILAC-MRA标识的第三方检测机构出具的</w:t>
            </w:r>
            <w:r>
              <w:rPr>
                <w:rFonts w:hint="eastAsia" w:cs="宋体" w:asciiTheme="minorEastAsia" w:hAnsiTheme="minorEastAsia" w:eastAsiaTheme="minorEastAsia"/>
                <w:b/>
                <w:bCs/>
                <w:color w:val="000000"/>
                <w:kern w:val="0"/>
                <w:szCs w:val="21"/>
                <w:lang w:bidi="ar"/>
              </w:rPr>
              <w:t>合法有效的</w:t>
            </w:r>
            <w:r>
              <w:rPr>
                <w:rFonts w:hint="eastAsia" w:asciiTheme="minorEastAsia" w:hAnsiTheme="minorEastAsia" w:eastAsiaTheme="minorEastAsia" w:cstheme="minorEastAsia"/>
                <w:b/>
                <w:bCs/>
                <w:color w:val="000000"/>
                <w:kern w:val="0"/>
                <w:szCs w:val="21"/>
                <w:lang w:bidi="ar"/>
              </w:rPr>
              <w:t>检验报告复印件）</w:t>
            </w:r>
          </w:p>
          <w:p>
            <w:pPr>
              <w:widowControl/>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rPr>
              <w:t>2.输入每通道具有:前级放大、信号发生器、扩展器、压缩器、5段参量均衡；输出每通道具有: 31段图示均衡、延时器、分频器、限幅器；全功能矩阵混音功能，内置专利性分量式矩阵调节功能；内置自动摄像跟踪功能，轻松实现视频会议:支持场景预设功能;断电自动保护记忆功能，1U全铝机箱；内置中控代码生成器,无需自行套用公式编辑代码；设备提供了通用可编程/0端口，并设置消防联动等功能；每个输入提供+48V DC 10mA幻象电源；支持≥8路逻辑输入/输出，≥4路电压输入控制(可接继电器或模拟可调电位器)的GPIO控制接口；输入阻抗：平衡20KΩ，非平衡10KΩ，输出阻抗：平衡100Ω，非平衡50Ω，输入共模拟制比：≥78dB(1KHz)，输出动态范围：112dBu；频率相应：20Hz-20KHz(±0.5dB)，信噪比：&gt;90dB@1KHz0dBu，失真度：﹤0.002%OUTPUT=0dBu/1KHz，信道分离度：&gt;100dB（1KHz）。</w:t>
            </w:r>
          </w:p>
        </w:tc>
        <w:tc>
          <w:tcPr>
            <w:tcW w:w="788" w:type="dxa"/>
            <w:shd w:val="clear" w:color="auto" w:fill="auto"/>
            <w:vAlign w:val="center"/>
          </w:tcPr>
          <w:p>
            <w:pPr>
              <w:widowControl/>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noWrap/>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69</w:t>
            </w:r>
          </w:p>
        </w:tc>
        <w:tc>
          <w:tcPr>
            <w:tcW w:w="919" w:type="dxa"/>
            <w:shd w:val="clear" w:color="auto" w:fill="auto"/>
            <w:vAlign w:val="center"/>
          </w:tcPr>
          <w:p>
            <w:pPr>
              <w:widowControl/>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color w:val="000000"/>
                <w:kern w:val="0"/>
                <w:szCs w:val="21"/>
              </w:rPr>
              <w:t>音频控制器</w:t>
            </w:r>
          </w:p>
        </w:tc>
        <w:tc>
          <w:tcPr>
            <w:tcW w:w="5068" w:type="dxa"/>
            <w:shd w:val="clear" w:color="auto" w:fill="auto"/>
          </w:tcPr>
          <w:p>
            <w:pPr>
              <w:widowControl/>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color w:val="000000"/>
                <w:kern w:val="0"/>
                <w:szCs w:val="21"/>
              </w:rPr>
              <w:t>1.≥7.0寸TFT液晶电容触摸屏,存储空间：128Mbit；通讯方式：RS232/TTL或RS485,通讯波特率：RS232:1200～921600bps，典型波特率：115200bps；RS485:1200～115200bps，典型波特率：9600bps；核心处理器：400MSOC处理器。</w:t>
            </w:r>
          </w:p>
        </w:tc>
        <w:tc>
          <w:tcPr>
            <w:tcW w:w="788" w:type="dxa"/>
            <w:shd w:val="clear" w:color="auto" w:fill="auto"/>
            <w:vAlign w:val="center"/>
          </w:tcPr>
          <w:p>
            <w:pPr>
              <w:widowControl/>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noWrap/>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70</w:t>
            </w:r>
          </w:p>
        </w:tc>
        <w:tc>
          <w:tcPr>
            <w:tcW w:w="919" w:type="dxa"/>
            <w:shd w:val="clear" w:color="auto" w:fill="auto"/>
            <w:vAlign w:val="center"/>
          </w:tcPr>
          <w:p>
            <w:pPr>
              <w:widowControl/>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color w:val="000000"/>
                <w:kern w:val="0"/>
                <w:szCs w:val="21"/>
              </w:rPr>
              <w:t>无线话筒（手持型）</w:t>
            </w:r>
          </w:p>
        </w:tc>
        <w:tc>
          <w:tcPr>
            <w:tcW w:w="5068" w:type="dxa"/>
            <w:shd w:val="clear" w:color="auto" w:fill="auto"/>
          </w:tcPr>
          <w:p>
            <w:pPr>
              <w:widowControl/>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color w:val="000000"/>
                <w:kern w:val="0"/>
                <w:szCs w:val="21"/>
              </w:rPr>
              <w:t>1.真分集接收机,双通道独立AFS频率自动搜索功能，含2只手持麦克风；背光式LED显示屏指示了RF和AF信号强度，电池状态；极好的动态响应.音质极佳；射频传输频率范围：640MHz-690MHz；工作范围：理想条件下≥100米；频率响应：40Hz–18KHz,(+1dB-3dB)，S/N信噪比:&gt;105dB，T.H.D失真:&lt;0.5%。</w:t>
            </w:r>
          </w:p>
        </w:tc>
        <w:tc>
          <w:tcPr>
            <w:tcW w:w="788" w:type="dxa"/>
            <w:shd w:val="clear" w:color="auto" w:fill="auto"/>
            <w:vAlign w:val="center"/>
          </w:tcPr>
          <w:p>
            <w:pPr>
              <w:widowControl/>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kern w:val="0"/>
                <w:szCs w:val="21"/>
              </w:rPr>
              <w:t>只</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noWrap/>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71</w:t>
            </w:r>
          </w:p>
        </w:tc>
        <w:tc>
          <w:tcPr>
            <w:tcW w:w="919" w:type="dxa"/>
            <w:shd w:val="clear" w:color="auto" w:fill="auto"/>
            <w:vAlign w:val="center"/>
          </w:tcPr>
          <w:p>
            <w:pPr>
              <w:widowControl/>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color w:val="000000"/>
                <w:kern w:val="0"/>
                <w:szCs w:val="21"/>
              </w:rPr>
              <w:t>电源管理器</w:t>
            </w:r>
          </w:p>
        </w:tc>
        <w:tc>
          <w:tcPr>
            <w:tcW w:w="5068" w:type="dxa"/>
            <w:shd w:val="clear" w:color="auto" w:fill="auto"/>
          </w:tcPr>
          <w:p>
            <w:pPr>
              <w:widowControl/>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color w:val="000000"/>
                <w:kern w:val="0"/>
                <w:szCs w:val="21"/>
              </w:rPr>
              <w:t>▲1.可通过红外学习功能及IO控制功能对第三方设备进行控制；</w:t>
            </w:r>
            <w:r>
              <w:rPr>
                <w:rFonts w:hint="eastAsia" w:asciiTheme="minorEastAsia" w:hAnsiTheme="minorEastAsia" w:eastAsiaTheme="minorEastAsia" w:cstheme="minorEastAsia"/>
                <w:b/>
                <w:bCs/>
                <w:color w:val="000000"/>
                <w:kern w:val="0"/>
                <w:szCs w:val="21"/>
                <w:lang w:bidi="ar"/>
              </w:rPr>
              <w:t>（提供具有CMA或CNAS或ILAC-MRA标识的第三方检测机构出具的</w:t>
            </w:r>
            <w:r>
              <w:rPr>
                <w:rFonts w:hint="eastAsia" w:cs="宋体" w:asciiTheme="minorEastAsia" w:hAnsiTheme="minorEastAsia" w:eastAsiaTheme="minorEastAsia"/>
                <w:b/>
                <w:bCs/>
                <w:color w:val="000000"/>
                <w:kern w:val="0"/>
                <w:szCs w:val="21"/>
                <w:lang w:bidi="ar"/>
              </w:rPr>
              <w:t>合法有效的</w:t>
            </w:r>
            <w:r>
              <w:rPr>
                <w:rFonts w:hint="eastAsia" w:asciiTheme="minorEastAsia" w:hAnsiTheme="minorEastAsia" w:eastAsiaTheme="minorEastAsia" w:cstheme="minorEastAsia"/>
                <w:b/>
                <w:bCs/>
                <w:color w:val="000000"/>
                <w:kern w:val="0"/>
                <w:szCs w:val="21"/>
                <w:lang w:bidi="ar"/>
              </w:rPr>
              <w:t>检验报告复印件）</w:t>
            </w:r>
            <w:r>
              <w:rPr>
                <w:rFonts w:hint="eastAsia" w:asciiTheme="minorEastAsia" w:hAnsiTheme="minorEastAsia" w:eastAsiaTheme="minorEastAsia" w:cstheme="minorEastAsia"/>
                <w:color w:val="000000"/>
                <w:kern w:val="0"/>
                <w:szCs w:val="21"/>
              </w:rPr>
              <w:br w:type="textWrapping"/>
            </w:r>
            <w:r>
              <w:rPr>
                <w:rFonts w:hint="eastAsia" w:asciiTheme="minorEastAsia" w:hAnsiTheme="minorEastAsia" w:eastAsiaTheme="minorEastAsia" w:cstheme="minorEastAsia"/>
                <w:color w:val="000000"/>
                <w:kern w:val="0"/>
                <w:szCs w:val="21"/>
              </w:rPr>
              <w:t>2.设备内置远程控制，让用户能随时随地的对设备进行开启关闭操作；电源输出单相总极限负载的电流为≥40A,在音频负载情况下，每路极限总电流都为≥20A；≥8路通道总承受功率为≥8KW电源,每通道拥有独立高性能的电源滤波器，为用户的设备提供干净而稳定的电源；软件编辑功能，可独立调整通道开机及关机的延时时间；设备受控控制方式多样，TCP/IP、 WIFI、USB、RS485、RS232 联机控制加上外部(远程)控制能控制复杂的电源系统；定时功能:内置万年历，可以对设备进行日、周设备定时，每天可设置定时开关机≥6次；通过抗静电4000V测试，通过耐压5000V测试。</w:t>
            </w:r>
          </w:p>
        </w:tc>
        <w:tc>
          <w:tcPr>
            <w:tcW w:w="788" w:type="dxa"/>
            <w:shd w:val="clear" w:color="auto" w:fill="auto"/>
            <w:vAlign w:val="center"/>
          </w:tcPr>
          <w:p>
            <w:pPr>
              <w:widowControl/>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noWrap/>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72</w:t>
            </w:r>
          </w:p>
        </w:tc>
        <w:tc>
          <w:tcPr>
            <w:tcW w:w="919" w:type="dxa"/>
            <w:shd w:val="clear" w:color="auto" w:fill="auto"/>
            <w:vAlign w:val="center"/>
          </w:tcPr>
          <w:p>
            <w:pPr>
              <w:widowControl/>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color w:val="000000"/>
                <w:kern w:val="0"/>
                <w:szCs w:val="21"/>
              </w:rPr>
              <w:t>反馈抑制器</w:t>
            </w:r>
          </w:p>
        </w:tc>
        <w:tc>
          <w:tcPr>
            <w:tcW w:w="5068" w:type="dxa"/>
            <w:shd w:val="clear" w:color="auto" w:fill="auto"/>
          </w:tcPr>
          <w:p>
            <w:pPr>
              <w:widowControl/>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color w:val="000000"/>
                <w:kern w:val="0"/>
                <w:szCs w:val="21"/>
              </w:rPr>
              <w:t>▲1.带有压缩，限幅，噪声门功能，具有输入、输出通道路由功能；</w:t>
            </w:r>
            <w:r>
              <w:rPr>
                <w:rFonts w:hint="eastAsia" w:asciiTheme="minorEastAsia" w:hAnsiTheme="minorEastAsia" w:eastAsiaTheme="minorEastAsia" w:cstheme="minorEastAsia"/>
                <w:b/>
                <w:bCs/>
                <w:color w:val="000000"/>
                <w:kern w:val="0"/>
                <w:szCs w:val="21"/>
                <w:lang w:bidi="ar"/>
              </w:rPr>
              <w:t>（提供具有CMA或CNAS或ILAC-MRA标识的第三方检测机构出具的</w:t>
            </w:r>
            <w:r>
              <w:rPr>
                <w:rFonts w:hint="eastAsia" w:cs="宋体" w:asciiTheme="minorEastAsia" w:hAnsiTheme="minorEastAsia" w:eastAsiaTheme="minorEastAsia"/>
                <w:b/>
                <w:bCs/>
                <w:color w:val="000000"/>
                <w:kern w:val="0"/>
                <w:szCs w:val="21"/>
                <w:lang w:bidi="ar"/>
              </w:rPr>
              <w:t>合法有效的</w:t>
            </w:r>
            <w:r>
              <w:rPr>
                <w:rFonts w:hint="eastAsia" w:asciiTheme="minorEastAsia" w:hAnsiTheme="minorEastAsia" w:eastAsiaTheme="minorEastAsia" w:cstheme="minorEastAsia"/>
                <w:b/>
                <w:bCs/>
                <w:color w:val="000000"/>
                <w:kern w:val="0"/>
                <w:szCs w:val="21"/>
                <w:lang w:bidi="ar"/>
              </w:rPr>
              <w:t>检验报告复印件）</w:t>
            </w:r>
            <w:r>
              <w:rPr>
                <w:rFonts w:hint="eastAsia" w:asciiTheme="minorEastAsia" w:hAnsiTheme="minorEastAsia" w:eastAsiaTheme="minorEastAsia" w:cstheme="minorEastAsia"/>
                <w:color w:val="000000"/>
                <w:kern w:val="0"/>
                <w:szCs w:val="21"/>
              </w:rPr>
              <w:br w:type="textWrapping"/>
            </w:r>
            <w:r>
              <w:rPr>
                <w:rFonts w:hint="eastAsia" w:asciiTheme="minorEastAsia" w:hAnsiTheme="minorEastAsia" w:eastAsiaTheme="minorEastAsia" w:cstheme="minorEastAsia"/>
                <w:color w:val="000000"/>
                <w:kern w:val="0"/>
                <w:szCs w:val="21"/>
              </w:rPr>
              <w:t>2.可通过面板的“系统”键来设定密码锁定面板操作的部分或全部功能，以防止非相关人员的.操作破坏机器的工作状态；具备模拟，数字AES3，光纤，同轴输出；每通道独立≥12个固定滤波器和12个动态滤波器，可通过面板的≥48个LED啸叫点指示灯,显示当前嘯叫点个数；可任意编辑固定和动态反馈点数量；输入阻抗：平衡20KΩ.输出阻抗：平衡100Ω.输入共模拟制比：≥70dB(1KHz).输出范围：≤25dBu；频率相应：20Hz-20KHz(-0.3dB)，信噪比：&gt;120dB@1KHz0dBu，失真度：﹤0.01%OUTPUT=0dBu/1KHz，信道分离度：&gt;120dB（1KHz）。</w:t>
            </w:r>
          </w:p>
        </w:tc>
        <w:tc>
          <w:tcPr>
            <w:tcW w:w="788" w:type="dxa"/>
            <w:shd w:val="clear" w:color="auto" w:fill="auto"/>
            <w:vAlign w:val="center"/>
          </w:tcPr>
          <w:p>
            <w:pPr>
              <w:widowControl/>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noWrap/>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73</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0"/>
                <w:szCs w:val="20"/>
              </w:rPr>
              <w:t>音频连接线缆</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0"/>
                <w:szCs w:val="20"/>
              </w:rPr>
              <w:t>1.音频连接线缆，音箱至功放，各音频设备连接线缆。</w:t>
            </w:r>
          </w:p>
        </w:tc>
        <w:tc>
          <w:tcPr>
            <w:tcW w:w="788" w:type="dxa"/>
            <w:shd w:val="clear" w:color="auto" w:fill="auto"/>
            <w:vAlign w:val="center"/>
          </w:tcPr>
          <w:p>
            <w:pPr>
              <w:widowControl/>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kern w:val="0"/>
                <w:szCs w:val="21"/>
              </w:rPr>
              <w:t>批</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noWrap/>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74</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0"/>
                <w:szCs w:val="20"/>
              </w:rPr>
              <w:t>户外音频连接线缆</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0"/>
                <w:szCs w:val="20"/>
              </w:rPr>
              <w:t>1.音频连接专用线缆不低于10米。</w:t>
            </w:r>
          </w:p>
        </w:tc>
        <w:tc>
          <w:tcPr>
            <w:tcW w:w="788" w:type="dxa"/>
            <w:shd w:val="clear" w:color="auto" w:fill="auto"/>
            <w:vAlign w:val="center"/>
          </w:tcPr>
          <w:p>
            <w:pPr>
              <w:widowControl/>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kern w:val="0"/>
                <w:szCs w:val="21"/>
              </w:rPr>
              <w:t>条</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2"/>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noWrap/>
            <w:vAlign w:val="center"/>
          </w:tcPr>
          <w:p>
            <w:pPr>
              <w:widowControl/>
              <w:jc w:val="center"/>
              <w:textAlignment w:val="center"/>
              <w:rPr>
                <w:rFonts w:cs="宋体" w:asciiTheme="minorEastAsia" w:hAnsiTheme="minorEastAsia" w:eastAsiaTheme="minorEastAsia"/>
                <w:kern w:val="0"/>
                <w:szCs w:val="21"/>
              </w:rPr>
            </w:pPr>
            <w:r>
              <w:rPr>
                <w:rFonts w:cs="Calibri" w:asciiTheme="minorEastAsia" w:hAnsiTheme="minorEastAsia" w:eastAsiaTheme="minorEastAsia"/>
                <w:color w:val="000000"/>
                <w:kern w:val="0"/>
                <w:sz w:val="20"/>
                <w:szCs w:val="20"/>
                <w:lang w:bidi="ar"/>
              </w:rPr>
              <w:t>75</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0"/>
                <w:szCs w:val="20"/>
              </w:rPr>
              <w:t>航空机柜A</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0"/>
                <w:szCs w:val="20"/>
              </w:rPr>
              <w:t>1.设备航空机柜：20U，防震；有抽屉可实现调音台放置。</w:t>
            </w:r>
          </w:p>
        </w:tc>
        <w:tc>
          <w:tcPr>
            <w:tcW w:w="788" w:type="dxa"/>
            <w:shd w:val="clear" w:color="auto" w:fill="auto"/>
            <w:vAlign w:val="center"/>
          </w:tcPr>
          <w:p>
            <w:pPr>
              <w:widowControl/>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3" w:type="dxa"/>
            <w:shd w:val="clear" w:color="auto" w:fill="auto"/>
            <w:noWrap/>
            <w:vAlign w:val="center"/>
          </w:tcPr>
          <w:p>
            <w:pPr>
              <w:widowControl/>
              <w:jc w:val="center"/>
              <w:textAlignment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76</w:t>
            </w:r>
          </w:p>
        </w:tc>
        <w:tc>
          <w:tcPr>
            <w:tcW w:w="919"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0"/>
                <w:szCs w:val="20"/>
              </w:rPr>
              <w:t>航空机柜B</w:t>
            </w:r>
          </w:p>
        </w:tc>
        <w:tc>
          <w:tcPr>
            <w:tcW w:w="5068"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color w:val="000000"/>
                <w:kern w:val="0"/>
                <w:sz w:val="20"/>
                <w:szCs w:val="20"/>
              </w:rPr>
              <w:t>1.音箱航空机柜：根据音箱大小定制。</w:t>
            </w:r>
          </w:p>
        </w:tc>
        <w:tc>
          <w:tcPr>
            <w:tcW w:w="788" w:type="dxa"/>
            <w:shd w:val="clear" w:color="auto" w:fill="auto"/>
            <w:vAlign w:val="center"/>
          </w:tcPr>
          <w:p>
            <w:pPr>
              <w:widowControl/>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kern w:val="0"/>
                <w:szCs w:val="21"/>
              </w:rPr>
              <w:t>台</w:t>
            </w:r>
          </w:p>
        </w:tc>
        <w:tc>
          <w:tcPr>
            <w:tcW w:w="847" w:type="dxa"/>
            <w:shd w:val="clear" w:color="auto" w:fill="auto"/>
            <w:vAlign w:val="center"/>
          </w:tcPr>
          <w:p>
            <w:pPr>
              <w:widowControl/>
              <w:jc w:val="center"/>
              <w:textAlignment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2"/>
                <w:lang w:bidi="ar"/>
              </w:rPr>
              <w:t>4</w:t>
            </w:r>
          </w:p>
        </w:tc>
      </w:tr>
    </w:tbl>
    <w:p>
      <w:pPr>
        <w:widowControl/>
        <w:adjustRightInd w:val="0"/>
        <w:snapToGrid w:val="0"/>
        <w:spacing w:line="500" w:lineRule="exact"/>
        <w:ind w:firstLine="562" w:firstLineChars="200"/>
        <w:jc w:val="left"/>
        <w:rPr>
          <w:b/>
          <w:color w:val="000000"/>
          <w:sz w:val="28"/>
          <w:szCs w:val="28"/>
        </w:rPr>
      </w:pPr>
      <w:r>
        <w:rPr>
          <w:rFonts w:hint="eastAsia"/>
          <w:b/>
          <w:color w:val="000000"/>
          <w:sz w:val="28"/>
          <w:szCs w:val="28"/>
        </w:rPr>
        <w:t>注：1</w:t>
      </w:r>
      <w:r>
        <w:rPr>
          <w:b/>
          <w:color w:val="000000"/>
          <w:sz w:val="28"/>
          <w:szCs w:val="28"/>
        </w:rPr>
        <w:t>.</w:t>
      </w:r>
      <w:r>
        <w:rPr>
          <w:rFonts w:hint="eastAsia"/>
          <w:b/>
          <w:sz w:val="28"/>
          <w:szCs w:val="28"/>
        </w:rPr>
        <w:t>标注“</w:t>
      </w:r>
      <w:r>
        <w:rPr>
          <w:rFonts w:hint="eastAsia" w:ascii="宋体" w:hAnsi="宋体"/>
          <w:b/>
          <w:sz w:val="28"/>
          <w:szCs w:val="32"/>
        </w:rPr>
        <w:t>★</w:t>
      </w:r>
      <w:r>
        <w:rPr>
          <w:rFonts w:hint="eastAsia"/>
          <w:b/>
          <w:sz w:val="28"/>
          <w:szCs w:val="28"/>
        </w:rPr>
        <w:t>”的条款为本项目的实质性要求条款，供应商应当完全响应；</w:t>
      </w:r>
      <w:r>
        <w:rPr>
          <w:rFonts w:hint="eastAsia"/>
          <w:b/>
          <w:color w:val="000000"/>
          <w:sz w:val="28"/>
          <w:szCs w:val="28"/>
        </w:rPr>
        <w:t>标注“</w:t>
      </w:r>
      <w:r>
        <w:rPr>
          <w:rFonts w:hint="eastAsia" w:ascii="宋体" w:hAnsi="宋体" w:cs="宋体"/>
          <w:b/>
          <w:color w:val="000000"/>
          <w:sz w:val="28"/>
          <w:szCs w:val="28"/>
        </w:rPr>
        <w:t>▲</w:t>
      </w:r>
      <w:r>
        <w:rPr>
          <w:rFonts w:hint="eastAsia"/>
          <w:b/>
          <w:color w:val="000000"/>
          <w:sz w:val="28"/>
          <w:szCs w:val="28"/>
        </w:rPr>
        <w:t>”为重点条款，未标注“</w:t>
      </w:r>
      <w:r>
        <w:rPr>
          <w:rFonts w:hint="eastAsia" w:ascii="宋体" w:hAnsi="宋体" w:cs="宋体"/>
          <w:b/>
          <w:color w:val="000000"/>
          <w:sz w:val="28"/>
          <w:szCs w:val="28"/>
        </w:rPr>
        <w:t>▲</w:t>
      </w:r>
      <w:r>
        <w:rPr>
          <w:rFonts w:hint="eastAsia"/>
          <w:b/>
          <w:color w:val="000000"/>
          <w:sz w:val="28"/>
          <w:szCs w:val="28"/>
        </w:rPr>
        <w:t>”为一般条款，如未满足或有负偏离，则在评分标准会进行扣分。</w:t>
      </w:r>
    </w:p>
    <w:p>
      <w:pPr>
        <w:pStyle w:val="2"/>
        <w:ind w:firstLine="562" w:firstLineChars="200"/>
        <w:rPr>
          <w:b/>
          <w:sz w:val="28"/>
          <w:szCs w:val="28"/>
        </w:rPr>
      </w:pPr>
      <w:r>
        <w:rPr>
          <w:rFonts w:hint="eastAsia"/>
          <w:b/>
          <w:sz w:val="28"/>
          <w:szCs w:val="28"/>
        </w:rPr>
        <w:t>2</w:t>
      </w:r>
      <w:r>
        <w:rPr>
          <w:b/>
          <w:sz w:val="28"/>
          <w:szCs w:val="28"/>
        </w:rPr>
        <w:t>.</w:t>
      </w:r>
      <w:r>
        <w:rPr>
          <w:rFonts w:hint="eastAsia"/>
          <w:b/>
          <w:sz w:val="28"/>
          <w:szCs w:val="28"/>
        </w:rPr>
        <w:t xml:space="preserve"> 本项目拟采购的产品中，凡涉及国家强制认证（CCC）产品的，投标人应在投标文件中提供认证证书复印件或前置许可、认证的证明材料复印件或提供产品承诺函（格式自拟），否则不予认定。</w:t>
      </w:r>
    </w:p>
    <w:p>
      <w:pPr>
        <w:keepNext/>
        <w:keepLines/>
        <w:spacing w:line="500" w:lineRule="exact"/>
        <w:outlineLvl w:val="2"/>
        <w:rPr>
          <w:rFonts w:ascii="宋体" w:hAnsi="宋体" w:cs="宋体"/>
          <w:b/>
          <w:bCs/>
          <w:kern w:val="0"/>
          <w:sz w:val="28"/>
          <w:szCs w:val="28"/>
        </w:rPr>
      </w:pPr>
      <w:bookmarkStart w:id="170" w:name="_Toc11558"/>
      <w:r>
        <w:rPr>
          <w:rFonts w:hint="eastAsia" w:ascii="Times New Roman" w:hAnsi="Times New Roman"/>
          <w:b/>
          <w:bCs/>
          <w:sz w:val="28"/>
          <w:szCs w:val="28"/>
        </w:rPr>
        <w:t>4.</w:t>
      </w:r>
      <w:r>
        <w:rPr>
          <w:rFonts w:ascii="Times New Roman" w:hAnsi="Times New Roman"/>
          <w:b/>
          <w:bCs/>
          <w:sz w:val="28"/>
          <w:szCs w:val="28"/>
        </w:rPr>
        <w:t>2</w:t>
      </w:r>
      <w:r>
        <w:rPr>
          <w:rFonts w:hint="eastAsia" w:ascii="Times New Roman" w:hAnsi="Times New Roman"/>
          <w:b/>
          <w:bCs/>
          <w:sz w:val="28"/>
          <w:szCs w:val="28"/>
        </w:rPr>
        <w:t>.</w:t>
      </w:r>
      <w:bookmarkStart w:id="171" w:name="_Toc13505"/>
      <w:r>
        <w:rPr>
          <w:rFonts w:ascii="Times New Roman" w:hAnsi="Times New Roman"/>
          <w:b/>
          <w:bCs/>
          <w:sz w:val="28"/>
          <w:szCs w:val="28"/>
        </w:rPr>
        <w:t>2</w:t>
      </w:r>
      <w:r>
        <w:rPr>
          <w:rFonts w:hint="eastAsia"/>
          <w:sz w:val="24"/>
          <w:szCs w:val="24"/>
        </w:rPr>
        <w:t>★</w:t>
      </w:r>
      <w:r>
        <w:rPr>
          <w:rFonts w:hint="eastAsia" w:ascii="宋体" w:hAnsi="宋体" w:cs="宋体"/>
          <w:b/>
          <w:bCs/>
          <w:kern w:val="0"/>
          <w:sz w:val="28"/>
          <w:szCs w:val="28"/>
        </w:rPr>
        <w:t>核心产品</w:t>
      </w:r>
      <w:bookmarkEnd w:id="170"/>
      <w:bookmarkEnd w:id="171"/>
    </w:p>
    <w:p>
      <w:pPr>
        <w:widowControl/>
        <w:adjustRightInd w:val="0"/>
        <w:snapToGrid w:val="0"/>
        <w:spacing w:after="240" w:line="500" w:lineRule="exact"/>
        <w:ind w:firstLine="560" w:firstLineChars="200"/>
        <w:jc w:val="left"/>
        <w:rPr>
          <w:bCs/>
          <w:color w:val="000000"/>
          <w:sz w:val="28"/>
          <w:szCs w:val="28"/>
        </w:rPr>
      </w:pPr>
      <w:r>
        <w:rPr>
          <w:rFonts w:hint="eastAsia"/>
          <w:bCs/>
          <w:color w:val="000000"/>
          <w:sz w:val="28"/>
          <w:szCs w:val="28"/>
        </w:rPr>
        <w:t>本项目核心产品为：无线会议录播主机、室内L</w:t>
      </w:r>
      <w:r>
        <w:rPr>
          <w:bCs/>
          <w:color w:val="000000"/>
          <w:sz w:val="28"/>
          <w:szCs w:val="28"/>
        </w:rPr>
        <w:t>ED</w:t>
      </w:r>
      <w:r>
        <w:rPr>
          <w:rFonts w:hint="eastAsia"/>
          <w:bCs/>
          <w:color w:val="000000"/>
          <w:sz w:val="28"/>
          <w:szCs w:val="28"/>
        </w:rPr>
        <w:t>显示屏。</w:t>
      </w:r>
    </w:p>
    <w:p>
      <w:pPr>
        <w:pStyle w:val="2"/>
        <w:outlineLvl w:val="2"/>
        <w:rPr>
          <w:rFonts w:ascii="Times New Roman" w:hAnsi="Times New Roman"/>
          <w:b/>
          <w:bCs/>
          <w:sz w:val="28"/>
          <w:szCs w:val="28"/>
        </w:rPr>
      </w:pPr>
      <w:r>
        <w:rPr>
          <w:rFonts w:hint="eastAsia" w:ascii="Times New Roman" w:hAnsi="Times New Roman"/>
          <w:b/>
          <w:bCs/>
          <w:sz w:val="28"/>
          <w:szCs w:val="28"/>
        </w:rPr>
        <w:t>4</w:t>
      </w:r>
      <w:r>
        <w:rPr>
          <w:rFonts w:ascii="Times New Roman" w:hAnsi="Times New Roman"/>
          <w:b/>
          <w:bCs/>
          <w:sz w:val="28"/>
          <w:szCs w:val="28"/>
        </w:rPr>
        <w:t>.2.3</w:t>
      </w:r>
      <w:r>
        <w:rPr>
          <w:rFonts w:hint="eastAsia"/>
          <w:sz w:val="24"/>
          <w:szCs w:val="24"/>
        </w:rPr>
        <w:t>★</w:t>
      </w:r>
      <w:r>
        <w:rPr>
          <w:rFonts w:hint="eastAsia" w:ascii="Times New Roman" w:hAnsi="Times New Roman"/>
          <w:b/>
          <w:bCs/>
          <w:sz w:val="28"/>
          <w:szCs w:val="28"/>
        </w:rPr>
        <w:t>政府采购强制节能产品</w:t>
      </w:r>
    </w:p>
    <w:p>
      <w:pPr>
        <w:spacing w:line="360" w:lineRule="auto"/>
        <w:ind w:firstLine="560" w:firstLineChars="200"/>
        <w:rPr>
          <w:bCs/>
          <w:color w:val="000000"/>
          <w:sz w:val="28"/>
          <w:szCs w:val="28"/>
        </w:rPr>
      </w:pPr>
      <w:bookmarkStart w:id="172" w:name="_Hlk85293671"/>
      <w:r>
        <w:rPr>
          <w:rFonts w:hint="eastAsia"/>
          <w:bCs/>
          <w:color w:val="000000"/>
          <w:sz w:val="28"/>
          <w:szCs w:val="28"/>
        </w:rPr>
        <w:t>本项目中认定为</w:t>
      </w:r>
      <w:bookmarkStart w:id="173" w:name="_Hlk85291601"/>
      <w:r>
        <w:rPr>
          <w:rFonts w:hint="eastAsia"/>
          <w:bCs/>
          <w:color w:val="000000"/>
          <w:sz w:val="28"/>
          <w:szCs w:val="28"/>
        </w:rPr>
        <w:t>政府采购强制节能产品</w:t>
      </w:r>
      <w:bookmarkEnd w:id="173"/>
      <w:r>
        <w:rPr>
          <w:rFonts w:hint="eastAsia"/>
          <w:bCs/>
          <w:color w:val="000000"/>
          <w:sz w:val="28"/>
          <w:szCs w:val="28"/>
        </w:rPr>
        <w:t>有</w:t>
      </w:r>
      <w:bookmarkEnd w:id="172"/>
      <w:r>
        <w:rPr>
          <w:rFonts w:hint="eastAsia"/>
          <w:bCs/>
          <w:color w:val="000000"/>
          <w:sz w:val="28"/>
          <w:szCs w:val="28"/>
        </w:rPr>
        <w:t>：控制终端（含显示器）、远程控制终端、移动控制终端。</w:t>
      </w:r>
    </w:p>
    <w:p>
      <w:pPr>
        <w:pStyle w:val="4"/>
      </w:pPr>
      <w:bookmarkStart w:id="174" w:name="_Toc20437"/>
      <w:r>
        <w:rPr>
          <w:rFonts w:hint="eastAsia"/>
        </w:rPr>
        <w:t>服务要求</w:t>
      </w:r>
      <w:bookmarkEnd w:id="174"/>
    </w:p>
    <w:p>
      <w:pPr>
        <w:pStyle w:val="5"/>
        <w:ind w:left="567"/>
        <w:rPr>
          <w:bCs w:val="0"/>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bCs w:val="0"/>
          <w:color w:val="000000" w:themeColor="text1"/>
          <w14:textFill>
            <w14:solidFill>
              <w14:schemeClr w14:val="tx1"/>
            </w14:solidFill>
          </w14:textFill>
        </w:rPr>
        <w:t>安装调试及技术服务要求</w:t>
      </w:r>
    </w:p>
    <w:p>
      <w:pPr>
        <w:pStyle w:val="2"/>
        <w:spacing w:after="0" w:line="360" w:lineRule="auto"/>
        <w:ind w:firstLine="560" w:firstLineChars="200"/>
        <w:rPr>
          <w:bCs/>
          <w:color w:val="000000"/>
          <w:sz w:val="28"/>
          <w:szCs w:val="28"/>
        </w:rPr>
      </w:pPr>
      <w:r>
        <w:rPr>
          <w:rFonts w:hint="eastAsia"/>
          <w:bCs/>
          <w:color w:val="000000"/>
          <w:sz w:val="28"/>
          <w:szCs w:val="28"/>
        </w:rPr>
        <w:t>1.</w:t>
      </w:r>
      <w:r>
        <w:rPr>
          <w:rFonts w:hint="eastAsia"/>
          <w:bCs/>
          <w:color w:val="000000"/>
          <w:sz w:val="28"/>
          <w:szCs w:val="28"/>
        </w:rPr>
        <w:tab/>
      </w:r>
      <w:r>
        <w:rPr>
          <w:rFonts w:hint="eastAsia"/>
          <w:bCs/>
          <w:color w:val="000000"/>
          <w:sz w:val="28"/>
          <w:szCs w:val="28"/>
        </w:rPr>
        <w:t>所有设备均须由投标人送货上门并安装调试，采购人不再支付任何费用。</w:t>
      </w:r>
    </w:p>
    <w:p>
      <w:pPr>
        <w:pStyle w:val="2"/>
        <w:spacing w:after="0" w:line="360" w:lineRule="auto"/>
        <w:ind w:firstLine="560" w:firstLineChars="200"/>
        <w:rPr>
          <w:bCs/>
          <w:color w:val="000000"/>
          <w:sz w:val="28"/>
          <w:szCs w:val="28"/>
        </w:rPr>
      </w:pPr>
      <w:bookmarkStart w:id="175" w:name="_Hlk85805674"/>
      <w:r>
        <w:rPr>
          <w:rFonts w:hint="eastAsia"/>
          <w:bCs/>
          <w:color w:val="000000"/>
          <w:sz w:val="28"/>
          <w:szCs w:val="28"/>
        </w:rPr>
        <w:t>2.</w:t>
      </w:r>
      <w:r>
        <w:rPr>
          <w:rFonts w:hint="eastAsia"/>
          <w:bCs/>
          <w:color w:val="000000"/>
          <w:sz w:val="28"/>
          <w:szCs w:val="28"/>
        </w:rPr>
        <w:tab/>
      </w:r>
      <w:r>
        <w:rPr>
          <w:rFonts w:hint="eastAsia"/>
          <w:bCs/>
          <w:color w:val="000000"/>
          <w:sz w:val="28"/>
          <w:szCs w:val="28"/>
        </w:rPr>
        <w:t>投标人负责施工辅材、设备安装、调试等工作。</w:t>
      </w:r>
    </w:p>
    <w:bookmarkEnd w:id="175"/>
    <w:p>
      <w:pPr>
        <w:pStyle w:val="2"/>
        <w:spacing w:after="0" w:line="360" w:lineRule="auto"/>
        <w:ind w:firstLine="560" w:firstLineChars="200"/>
        <w:rPr>
          <w:bCs/>
          <w:color w:val="000000"/>
          <w:sz w:val="28"/>
          <w:szCs w:val="28"/>
        </w:rPr>
      </w:pPr>
      <w:r>
        <w:rPr>
          <w:rFonts w:hint="eastAsia"/>
          <w:bCs/>
          <w:color w:val="000000"/>
          <w:sz w:val="28"/>
          <w:szCs w:val="28"/>
        </w:rPr>
        <w:t>3.</w:t>
      </w:r>
      <w:r>
        <w:rPr>
          <w:rFonts w:hint="eastAsia"/>
          <w:bCs/>
          <w:color w:val="000000"/>
          <w:sz w:val="28"/>
          <w:szCs w:val="28"/>
        </w:rPr>
        <w:tab/>
      </w:r>
      <w:r>
        <w:rPr>
          <w:rFonts w:hint="eastAsia"/>
          <w:bCs/>
          <w:color w:val="000000"/>
          <w:sz w:val="28"/>
          <w:szCs w:val="28"/>
        </w:rPr>
        <w:t>设备的固定安装符合施工要求，安装美观，整体走线符合施工工艺要求，如安装位置是填充材料，须进行加固处理。</w:t>
      </w:r>
    </w:p>
    <w:p>
      <w:pPr>
        <w:pStyle w:val="2"/>
        <w:spacing w:after="0" w:line="360" w:lineRule="auto"/>
        <w:ind w:firstLine="560" w:firstLineChars="200"/>
        <w:rPr>
          <w:bCs/>
          <w:color w:val="000000"/>
          <w:sz w:val="28"/>
          <w:szCs w:val="28"/>
        </w:rPr>
      </w:pPr>
      <w:r>
        <w:rPr>
          <w:rFonts w:hint="eastAsia"/>
          <w:bCs/>
          <w:color w:val="000000"/>
          <w:sz w:val="28"/>
          <w:szCs w:val="28"/>
        </w:rPr>
        <w:t>4.</w:t>
      </w:r>
      <w:r>
        <w:rPr>
          <w:rFonts w:hint="eastAsia"/>
          <w:bCs/>
          <w:color w:val="000000"/>
          <w:sz w:val="28"/>
          <w:szCs w:val="28"/>
        </w:rPr>
        <w:tab/>
      </w:r>
      <w:r>
        <w:rPr>
          <w:rFonts w:hint="eastAsia"/>
          <w:bCs/>
          <w:color w:val="000000"/>
          <w:sz w:val="28"/>
          <w:szCs w:val="28"/>
        </w:rPr>
        <w:t>线材管材、设备间连接线、转接头、电源插座板等均采用经质检合格的产品。</w:t>
      </w:r>
    </w:p>
    <w:p>
      <w:pPr>
        <w:pStyle w:val="2"/>
        <w:spacing w:after="0" w:line="360" w:lineRule="auto"/>
        <w:ind w:firstLine="560" w:firstLineChars="200"/>
        <w:rPr>
          <w:bCs/>
          <w:color w:val="000000"/>
          <w:sz w:val="28"/>
          <w:szCs w:val="28"/>
        </w:rPr>
      </w:pPr>
      <w:r>
        <w:rPr>
          <w:bCs/>
          <w:color w:val="000000"/>
          <w:sz w:val="28"/>
          <w:szCs w:val="28"/>
        </w:rPr>
        <w:t>5</w:t>
      </w:r>
      <w:r>
        <w:rPr>
          <w:rFonts w:hint="eastAsia"/>
          <w:bCs/>
          <w:color w:val="000000"/>
          <w:sz w:val="28"/>
          <w:szCs w:val="28"/>
        </w:rPr>
        <w:t>.</w:t>
      </w:r>
      <w:r>
        <w:rPr>
          <w:rFonts w:hint="eastAsia"/>
          <w:bCs/>
          <w:color w:val="000000"/>
          <w:sz w:val="28"/>
          <w:szCs w:val="28"/>
        </w:rPr>
        <w:tab/>
      </w:r>
      <w:r>
        <w:rPr>
          <w:rFonts w:hint="eastAsia"/>
          <w:bCs/>
          <w:color w:val="000000"/>
          <w:sz w:val="28"/>
          <w:szCs w:val="28"/>
        </w:rPr>
        <w:t>以上要求须按照招标文件3.3.6承诺函的格式及要求提供承诺函。</w:t>
      </w:r>
    </w:p>
    <w:p>
      <w:pPr>
        <w:pStyle w:val="5"/>
        <w:ind w:left="567"/>
      </w:pPr>
      <w:r>
        <w:rPr>
          <w:rFonts w:hint="eastAsia"/>
          <w:sz w:val="24"/>
          <w:szCs w:val="24"/>
        </w:rPr>
        <w:t>★</w:t>
      </w:r>
      <w:r>
        <w:rPr>
          <w:rFonts w:hint="eastAsia"/>
          <w:color w:val="000000" w:themeColor="text1"/>
          <w14:textFill>
            <w14:solidFill>
              <w14:schemeClr w14:val="tx1"/>
            </w14:solidFill>
          </w14:textFill>
        </w:rPr>
        <w:t>服务标准</w:t>
      </w:r>
    </w:p>
    <w:p>
      <w:pPr>
        <w:widowControl/>
        <w:adjustRightInd w:val="0"/>
        <w:snapToGrid w:val="0"/>
        <w:spacing w:line="360" w:lineRule="auto"/>
        <w:ind w:firstLine="560" w:firstLineChars="200"/>
        <w:rPr>
          <w:rFonts w:ascii="宋体" w:hAnsi="宋体" w:cs="宋体"/>
          <w:bCs/>
          <w:color w:val="000000"/>
          <w:sz w:val="28"/>
          <w:szCs w:val="28"/>
          <w:lang w:val="zh-TW" w:eastAsia="zh-TW" w:bidi="zh-TW"/>
        </w:rPr>
      </w:pPr>
      <w:r>
        <w:rPr>
          <w:rFonts w:ascii="宋体" w:hAnsi="宋体" w:eastAsia="PMingLiU" w:cs="宋体"/>
          <w:bCs/>
          <w:color w:val="000000"/>
          <w:sz w:val="28"/>
          <w:szCs w:val="28"/>
          <w:lang w:val="zh-TW" w:eastAsia="zh-TW" w:bidi="zh-TW"/>
        </w:rPr>
        <w:t>1.</w:t>
      </w:r>
      <w:r>
        <w:rPr>
          <w:rFonts w:hint="eastAsia" w:ascii="宋体" w:hAnsi="宋体" w:cs="宋体"/>
          <w:bCs/>
          <w:color w:val="000000"/>
          <w:sz w:val="28"/>
          <w:szCs w:val="28"/>
          <w:lang w:val="zh-TW" w:eastAsia="zh-TW" w:bidi="zh-TW"/>
        </w:rPr>
        <w:t>中标人提供的货物应为全新的未开封产品，满足本次招标货物的技术要求，具有产品合格证。</w:t>
      </w:r>
    </w:p>
    <w:p>
      <w:pPr>
        <w:widowControl/>
        <w:adjustRightInd w:val="0"/>
        <w:snapToGrid w:val="0"/>
        <w:spacing w:line="360" w:lineRule="auto"/>
        <w:ind w:firstLine="560" w:firstLineChars="200"/>
        <w:rPr>
          <w:rFonts w:ascii="宋体" w:hAnsi="宋体" w:cs="宋体"/>
          <w:bCs/>
          <w:color w:val="000000"/>
          <w:sz w:val="28"/>
          <w:szCs w:val="28"/>
          <w:lang w:val="zh-TW" w:eastAsia="zh-TW" w:bidi="zh-TW"/>
        </w:rPr>
      </w:pPr>
      <w:r>
        <w:rPr>
          <w:rFonts w:ascii="宋体" w:hAnsi="宋体" w:eastAsia="PMingLiU" w:cs="宋体"/>
          <w:bCs/>
          <w:color w:val="000000"/>
          <w:sz w:val="28"/>
          <w:szCs w:val="28"/>
          <w:lang w:val="zh-TW" w:eastAsia="zh-TW" w:bidi="zh-TW"/>
        </w:rPr>
        <w:t>2.</w:t>
      </w:r>
      <w:r>
        <w:rPr>
          <w:rFonts w:hint="eastAsia" w:ascii="宋体" w:hAnsi="宋体" w:cs="宋体"/>
          <w:bCs/>
          <w:color w:val="000000"/>
          <w:sz w:val="28"/>
          <w:szCs w:val="28"/>
          <w:lang w:val="zh-TW" w:eastAsia="zh-TW" w:bidi="zh-TW"/>
        </w:rPr>
        <w:t>中标人提供的产品涉及商品包装或快递包装的，须严格按照财政部等三部门联合印发《商品包装政府采购需求标准（试行）》、《快递包装政府采购需求标准（试行）》的通知（财办库[2020]123号）要求执行。</w:t>
      </w:r>
    </w:p>
    <w:p>
      <w:pPr>
        <w:widowControl/>
        <w:adjustRightInd w:val="0"/>
        <w:snapToGrid w:val="0"/>
        <w:spacing w:line="360" w:lineRule="auto"/>
        <w:ind w:firstLine="560" w:firstLineChars="200"/>
        <w:rPr>
          <w:rFonts w:ascii="宋体" w:hAnsi="宋体" w:cs="宋体"/>
          <w:bCs/>
          <w:color w:val="000000"/>
          <w:sz w:val="28"/>
          <w:szCs w:val="28"/>
          <w:lang w:val="zh-TW" w:eastAsia="zh-TW" w:bidi="zh-TW"/>
        </w:rPr>
      </w:pPr>
      <w:r>
        <w:rPr>
          <w:rFonts w:ascii="宋体" w:hAnsi="宋体" w:eastAsia="PMingLiU" w:cs="宋体"/>
          <w:bCs/>
          <w:color w:val="000000"/>
          <w:sz w:val="28"/>
          <w:szCs w:val="28"/>
          <w:lang w:val="zh-TW" w:eastAsia="zh-TW" w:bidi="zh-TW"/>
        </w:rPr>
        <w:t>3.</w:t>
      </w:r>
      <w:r>
        <w:rPr>
          <w:rFonts w:hint="eastAsia" w:ascii="宋体" w:hAnsi="宋体" w:cs="宋体"/>
          <w:bCs/>
          <w:color w:val="000000"/>
          <w:sz w:val="28"/>
          <w:szCs w:val="28"/>
          <w:lang w:val="zh-TW" w:eastAsia="zh-TW" w:bidi="zh-TW"/>
        </w:rPr>
        <w:t>在送到使用单位之前表面无划伤、碰撞等现象，并且安装调试后能正常使用。</w:t>
      </w:r>
    </w:p>
    <w:p>
      <w:pPr>
        <w:widowControl/>
        <w:adjustRightInd w:val="0"/>
        <w:snapToGrid w:val="0"/>
        <w:spacing w:line="360" w:lineRule="auto"/>
        <w:ind w:firstLine="560" w:firstLineChars="200"/>
        <w:rPr>
          <w:rFonts w:ascii="宋体" w:hAnsi="宋体" w:cs="宋体"/>
          <w:bCs/>
          <w:color w:val="000000" w:themeColor="text1"/>
          <w:sz w:val="28"/>
          <w:szCs w:val="28"/>
          <w:lang w:val="zh-TW" w:bidi="zh-TW"/>
          <w14:textFill>
            <w14:solidFill>
              <w14:schemeClr w14:val="tx1"/>
            </w14:solidFill>
          </w14:textFill>
        </w:rPr>
      </w:pPr>
      <w:r>
        <w:rPr>
          <w:rFonts w:ascii="宋体" w:hAnsi="宋体" w:eastAsia="PMingLiU" w:cs="宋体"/>
          <w:bCs/>
          <w:color w:val="000000"/>
          <w:sz w:val="28"/>
          <w:szCs w:val="28"/>
          <w:lang w:val="zh-TW" w:eastAsia="zh-TW" w:bidi="zh-TW"/>
        </w:rPr>
        <w:t>4.</w:t>
      </w:r>
      <w:r>
        <w:rPr>
          <w:rFonts w:hint="eastAsia" w:ascii="宋体" w:hAnsi="宋体" w:cs="宋体"/>
          <w:bCs/>
          <w:sz w:val="28"/>
          <w:szCs w:val="28"/>
          <w:lang w:val="zh-TW" w:eastAsia="zh-TW" w:bidi="zh-TW"/>
        </w:rPr>
        <w:t>中标人货到现场用户不负责提供货物仓储地，</w:t>
      </w:r>
      <w:r>
        <w:rPr>
          <w:rFonts w:hint="eastAsia" w:ascii="宋体" w:hAnsi="宋体" w:cs="宋体"/>
          <w:bCs/>
          <w:color w:val="000000"/>
          <w:sz w:val="28"/>
          <w:szCs w:val="28"/>
          <w:lang w:val="zh-TW" w:eastAsia="zh-TW" w:bidi="zh-TW"/>
        </w:rPr>
        <w:t>由投标人负责货物保管工作，货到现场但未安装完全交付前造成的遗失、损坏等问题，</w:t>
      </w:r>
      <w:r>
        <w:rPr>
          <w:rFonts w:hint="eastAsia" w:ascii="宋体" w:hAnsi="宋体" w:cs="宋体"/>
          <w:bCs/>
          <w:color w:val="000000" w:themeColor="text1"/>
          <w:sz w:val="28"/>
          <w:szCs w:val="28"/>
          <w:lang w:val="zh-TW" w:eastAsia="zh-TW" w:bidi="zh-TW"/>
          <w14:textFill>
            <w14:solidFill>
              <w14:schemeClr w14:val="tx1"/>
            </w14:solidFill>
          </w14:textFill>
        </w:rPr>
        <w:t>由供应</w:t>
      </w:r>
      <w:r>
        <w:rPr>
          <w:rFonts w:hint="eastAsia" w:ascii="宋体" w:hAnsi="宋体" w:cs="宋体"/>
          <w:bCs/>
          <w:color w:val="000000" w:themeColor="text1"/>
          <w:sz w:val="28"/>
          <w:szCs w:val="28"/>
          <w:lang w:val="zh-TW" w:bidi="zh-TW"/>
          <w14:textFill>
            <w14:solidFill>
              <w14:schemeClr w14:val="tx1"/>
            </w14:solidFill>
          </w14:textFill>
        </w:rPr>
        <w:t>商</w:t>
      </w:r>
      <w:r>
        <w:rPr>
          <w:rFonts w:hint="eastAsia" w:ascii="宋体" w:hAnsi="宋体" w:cs="宋体"/>
          <w:bCs/>
          <w:color w:val="000000" w:themeColor="text1"/>
          <w:sz w:val="28"/>
          <w:szCs w:val="28"/>
          <w:lang w:val="zh-TW" w:eastAsia="zh-TW" w:bidi="zh-TW"/>
          <w14:textFill>
            <w14:solidFill>
              <w14:schemeClr w14:val="tx1"/>
            </w14:solidFill>
          </w14:textFill>
        </w:rPr>
        <w:t>承担修理、更换等责任，确保项目顺利推进。</w:t>
      </w:r>
    </w:p>
    <w:p>
      <w:pPr>
        <w:widowControl/>
        <w:adjustRightInd w:val="0"/>
        <w:snapToGrid w:val="0"/>
        <w:spacing w:line="360" w:lineRule="auto"/>
        <w:ind w:firstLine="560" w:firstLineChars="200"/>
        <w:rPr>
          <w:rFonts w:ascii="宋体" w:hAnsi="宋体" w:cs="宋体"/>
          <w:bCs/>
          <w:color w:val="000000"/>
          <w:sz w:val="28"/>
          <w:szCs w:val="28"/>
          <w:lang w:val="zh-TW" w:eastAsia="zh-TW" w:bidi="zh-TW"/>
        </w:rPr>
      </w:pPr>
      <w:r>
        <w:rPr>
          <w:rFonts w:ascii="宋体" w:hAnsi="宋体" w:eastAsia="PMingLiU" w:cs="宋体"/>
          <w:bCs/>
          <w:color w:val="000000"/>
          <w:sz w:val="28"/>
          <w:szCs w:val="28"/>
          <w:lang w:val="zh-TW" w:eastAsia="zh-TW" w:bidi="zh-TW"/>
        </w:rPr>
        <w:t>5.</w:t>
      </w:r>
      <w:r>
        <w:rPr>
          <w:rFonts w:hint="eastAsia" w:ascii="宋体" w:hAnsi="宋体" w:cs="宋体"/>
          <w:bCs/>
          <w:color w:val="000000"/>
          <w:sz w:val="28"/>
          <w:szCs w:val="28"/>
          <w:lang w:val="zh-TW" w:eastAsia="zh-TW" w:bidi="zh-TW"/>
        </w:rPr>
        <w:t xml:space="preserve">若遇配货包装、运输过程中造成的短缺、差错、丢失、损坏等，供应方无条件调换、补缺。 </w:t>
      </w:r>
    </w:p>
    <w:p>
      <w:pPr>
        <w:widowControl/>
        <w:adjustRightInd w:val="0"/>
        <w:snapToGrid w:val="0"/>
        <w:spacing w:line="360" w:lineRule="auto"/>
        <w:ind w:firstLine="560" w:firstLineChars="200"/>
        <w:rPr>
          <w:rFonts w:ascii="宋体" w:hAnsi="宋体" w:eastAsia="PMingLiU" w:cs="宋体"/>
          <w:bCs/>
          <w:color w:val="000000"/>
          <w:sz w:val="28"/>
          <w:szCs w:val="28"/>
          <w:lang w:val="zh-TW" w:eastAsia="zh-TW" w:bidi="zh-TW"/>
        </w:rPr>
      </w:pPr>
      <w:r>
        <w:rPr>
          <w:rFonts w:ascii="宋体" w:hAnsi="宋体" w:eastAsia="PMingLiU" w:cs="宋体"/>
          <w:bCs/>
          <w:color w:val="000000"/>
          <w:sz w:val="28"/>
          <w:szCs w:val="28"/>
          <w:lang w:val="zh-TW" w:eastAsia="zh-TW" w:bidi="zh-TW"/>
        </w:rPr>
        <w:t>6.</w:t>
      </w:r>
      <w:r>
        <w:rPr>
          <w:rFonts w:hint="eastAsia" w:ascii="宋体" w:hAnsi="宋体" w:cs="宋体"/>
          <w:bCs/>
          <w:color w:val="000000"/>
          <w:sz w:val="28"/>
          <w:szCs w:val="28"/>
          <w:lang w:val="zh-TW" w:eastAsia="zh-TW" w:bidi="zh-TW"/>
        </w:rPr>
        <w:t>按订货的品种、数量配货，送货到校，并附详细的发货清单和签收单，以便验货核对。</w:t>
      </w:r>
    </w:p>
    <w:p>
      <w:pPr>
        <w:spacing w:line="360" w:lineRule="auto"/>
        <w:ind w:firstLine="560" w:firstLineChars="200"/>
        <w:rPr>
          <w:bCs/>
          <w:color w:val="000000"/>
          <w:sz w:val="28"/>
          <w:szCs w:val="28"/>
        </w:rPr>
      </w:pPr>
      <w:r>
        <w:rPr>
          <w:bCs/>
          <w:color w:val="000000"/>
          <w:sz w:val="28"/>
          <w:szCs w:val="28"/>
        </w:rPr>
        <w:t>7.</w:t>
      </w:r>
      <w:r>
        <w:rPr>
          <w:rFonts w:hint="eastAsia"/>
          <w:bCs/>
          <w:color w:val="000000"/>
          <w:sz w:val="28"/>
          <w:szCs w:val="28"/>
        </w:rPr>
        <w:t>采购人派出技术专家对投标货物的制造过程进行抽查或监造，以及参与设备的性能检验和试验运行时，我公司提供方便和配合。</w:t>
      </w:r>
    </w:p>
    <w:p>
      <w:pPr>
        <w:widowControl/>
        <w:adjustRightInd w:val="0"/>
        <w:snapToGrid w:val="0"/>
        <w:spacing w:line="360" w:lineRule="auto"/>
        <w:ind w:firstLine="561" w:firstLineChars="200"/>
        <w:jc w:val="left"/>
        <w:rPr>
          <w:rFonts w:ascii="宋体" w:hAnsi="宋体" w:eastAsia="PMingLiU" w:cs="宋体"/>
          <w:b/>
          <w:color w:val="000000"/>
          <w:sz w:val="28"/>
          <w:szCs w:val="28"/>
          <w:lang w:val="zh-TW" w:eastAsia="zh-TW" w:bidi="zh-TW"/>
        </w:rPr>
      </w:pPr>
      <w:r>
        <w:rPr>
          <w:rFonts w:ascii="宋体" w:hAnsi="宋体" w:eastAsia="PMingLiU" w:cs="宋体"/>
          <w:b/>
          <w:color w:val="000000"/>
          <w:sz w:val="28"/>
          <w:szCs w:val="28"/>
          <w:lang w:val="zh-TW" w:eastAsia="zh-TW" w:bidi="zh-TW"/>
        </w:rPr>
        <w:t>8.</w:t>
      </w:r>
      <w:r>
        <w:rPr>
          <w:rFonts w:hint="eastAsia" w:ascii="宋体" w:hAnsi="宋体" w:cs="宋体"/>
          <w:b/>
          <w:color w:val="000000"/>
          <w:sz w:val="28"/>
          <w:szCs w:val="28"/>
          <w:lang w:val="zh-TW" w:eastAsia="zh-TW" w:bidi="zh-TW"/>
        </w:rPr>
        <w:t>以上要求投标人应按照招标文件</w:t>
      </w:r>
      <w:r>
        <w:rPr>
          <w:rFonts w:hint="eastAsia" w:ascii="宋体" w:hAnsi="宋体" w:cs="宋体"/>
          <w:b/>
          <w:color w:val="000000"/>
          <w:sz w:val="28"/>
          <w:szCs w:val="28"/>
          <w:lang w:val="zh-TW" w:bidi="zh-TW"/>
        </w:rPr>
        <w:t>3.3.6</w:t>
      </w:r>
      <w:r>
        <w:rPr>
          <w:rFonts w:hint="eastAsia" w:ascii="宋体" w:hAnsi="宋体" w:cs="宋体"/>
          <w:b/>
          <w:color w:val="000000"/>
          <w:sz w:val="28"/>
          <w:szCs w:val="28"/>
          <w:lang w:val="zh-TW" w:eastAsia="zh-TW" w:bidi="zh-TW"/>
        </w:rPr>
        <w:t>承诺函的格式及要求提供承诺函。</w:t>
      </w:r>
    </w:p>
    <w:p>
      <w:pPr>
        <w:pStyle w:val="4"/>
        <w:rPr>
          <w:bCs w:val="0"/>
          <w:kern w:val="0"/>
        </w:rPr>
      </w:pPr>
      <w:bookmarkStart w:id="176" w:name="_Toc386"/>
      <w:r>
        <w:rPr>
          <w:rFonts w:hint="eastAsia" w:ascii="Calibri" w:hAnsi="Calibri" w:cs="Times New Roman"/>
          <w:bCs w:val="0"/>
          <w:color w:val="000000"/>
        </w:rPr>
        <w:t>商务</w:t>
      </w:r>
      <w:r>
        <w:rPr>
          <w:bCs w:val="0"/>
          <w:kern w:val="0"/>
        </w:rPr>
        <w:t>要求</w:t>
      </w:r>
      <w:bookmarkEnd w:id="176"/>
    </w:p>
    <w:p>
      <w:pPr>
        <w:pStyle w:val="5"/>
        <w:ind w:left="567"/>
      </w:pPr>
      <w:r>
        <w:rPr>
          <w:rFonts w:hint="eastAsia"/>
          <w:sz w:val="24"/>
          <w:szCs w:val="24"/>
        </w:rPr>
        <w:t>★</w:t>
      </w:r>
      <w:r>
        <w:rPr>
          <w:rFonts w:hint="eastAsia"/>
        </w:rPr>
        <w:t>履行合同的时间、地点及方式</w:t>
      </w:r>
    </w:p>
    <w:p>
      <w:pPr>
        <w:spacing w:line="360" w:lineRule="auto"/>
        <w:ind w:firstLine="560" w:firstLineChars="200"/>
        <w:rPr>
          <w:bCs/>
          <w:color w:val="000000"/>
          <w:sz w:val="28"/>
          <w:szCs w:val="28"/>
        </w:rPr>
      </w:pPr>
      <w:r>
        <w:rPr>
          <w:rFonts w:hint="eastAsia"/>
          <w:bCs/>
          <w:color w:val="000000"/>
          <w:sz w:val="28"/>
          <w:szCs w:val="28"/>
        </w:rPr>
        <w:t>1</w:t>
      </w:r>
      <w:r>
        <w:rPr>
          <w:bCs/>
          <w:color w:val="000000"/>
          <w:sz w:val="28"/>
          <w:szCs w:val="28"/>
        </w:rPr>
        <w:t>.</w:t>
      </w:r>
      <w:r>
        <w:rPr>
          <w:rFonts w:hint="eastAsia"/>
          <w:bCs/>
          <w:color w:val="000000"/>
          <w:sz w:val="28"/>
          <w:szCs w:val="28"/>
        </w:rPr>
        <w:t>本项目履行合同时间为：合同签订生效后30日内完成项目的供货、安装及验收。</w:t>
      </w:r>
    </w:p>
    <w:p>
      <w:pPr>
        <w:pStyle w:val="2"/>
        <w:spacing w:after="0" w:line="360" w:lineRule="auto"/>
        <w:rPr>
          <w:bCs/>
          <w:color w:val="000000"/>
          <w:sz w:val="28"/>
          <w:szCs w:val="28"/>
        </w:rPr>
      </w:pPr>
      <w:r>
        <w:t xml:space="preserve">     </w:t>
      </w:r>
      <w:r>
        <w:rPr>
          <w:bCs/>
          <w:color w:val="000000"/>
          <w:sz w:val="28"/>
          <w:szCs w:val="28"/>
        </w:rPr>
        <w:t>2.</w:t>
      </w:r>
      <w:r>
        <w:rPr>
          <w:rFonts w:hint="eastAsia"/>
          <w:bCs/>
          <w:color w:val="000000"/>
          <w:sz w:val="28"/>
          <w:szCs w:val="28"/>
        </w:rPr>
        <w:t>本项目履行合同地点为：成都市双流区彭镇小学学术厅、成都市双流区黄甲小学学术厅。</w:t>
      </w:r>
    </w:p>
    <w:p>
      <w:pPr>
        <w:spacing w:line="360" w:lineRule="auto"/>
        <w:ind w:firstLine="560" w:firstLineChars="200"/>
        <w:rPr>
          <w:bCs/>
          <w:color w:val="000000"/>
          <w:sz w:val="28"/>
          <w:szCs w:val="28"/>
        </w:rPr>
      </w:pPr>
      <w:r>
        <w:rPr>
          <w:bCs/>
          <w:color w:val="000000"/>
          <w:sz w:val="28"/>
          <w:szCs w:val="28"/>
        </w:rPr>
        <w:t>3.</w:t>
      </w:r>
      <w:r>
        <w:rPr>
          <w:rFonts w:hint="eastAsia"/>
          <w:bCs/>
          <w:color w:val="000000"/>
          <w:sz w:val="28"/>
          <w:szCs w:val="28"/>
        </w:rPr>
        <w:t>本项目履行合同方式为：中标人送货至采购人指定地点并完成安装经使用人验收合格。</w:t>
      </w:r>
    </w:p>
    <w:p>
      <w:pPr>
        <w:pStyle w:val="5"/>
        <w:ind w:left="567"/>
      </w:pPr>
      <w:r>
        <w:rPr>
          <w:rFonts w:hint="eastAsia"/>
          <w:sz w:val="24"/>
          <w:szCs w:val="24"/>
        </w:rPr>
        <w:t>★</w:t>
      </w:r>
      <w:r>
        <w:rPr>
          <w:rFonts w:hint="eastAsia"/>
        </w:rPr>
        <w:t>合同价款支付方式和条件</w:t>
      </w:r>
    </w:p>
    <w:p>
      <w:pPr>
        <w:spacing w:line="360" w:lineRule="auto"/>
        <w:ind w:firstLine="560" w:firstLineChars="200"/>
        <w:rPr>
          <w:bCs/>
          <w:color w:val="000000"/>
          <w:sz w:val="28"/>
          <w:szCs w:val="28"/>
        </w:rPr>
      </w:pPr>
      <w:r>
        <w:rPr>
          <w:rFonts w:hint="eastAsia"/>
          <w:bCs/>
          <w:color w:val="000000"/>
          <w:sz w:val="28"/>
          <w:szCs w:val="28"/>
        </w:rPr>
        <w:t>1</w:t>
      </w:r>
      <w:r>
        <w:rPr>
          <w:bCs/>
          <w:color w:val="000000"/>
          <w:sz w:val="28"/>
          <w:szCs w:val="28"/>
        </w:rPr>
        <w:t>.</w:t>
      </w:r>
      <w:r>
        <w:rPr>
          <w:rFonts w:hint="eastAsia"/>
          <w:bCs/>
          <w:color w:val="000000"/>
          <w:sz w:val="28"/>
          <w:szCs w:val="28"/>
        </w:rPr>
        <w:t>本项目合同价款支付方式和条件为：采购合同签订之日起在5个工作日内支付合同款的30%；整体项目验收合格之日起 10个工作日内支付至合同金额的95%，剩余5%运行一年后无质量问题支付。</w:t>
      </w:r>
    </w:p>
    <w:p>
      <w:pPr>
        <w:pStyle w:val="2"/>
        <w:spacing w:after="0" w:line="360" w:lineRule="auto"/>
        <w:ind w:firstLine="560" w:firstLineChars="200"/>
        <w:rPr>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2.从采购人付款前，中标人应当向采购人提供等额合法有效的发票，中标人未提供发票导致采购人逾期支付款项的，采购人不承担逾期支付款项的违约责任。</w:t>
      </w:r>
    </w:p>
    <w:p>
      <w:pPr>
        <w:pStyle w:val="5"/>
        <w:ind w:left="567"/>
        <w:rPr>
          <w:color w:val="000000" w:themeColor="text1"/>
          <w14:textFill>
            <w14:solidFill>
              <w14:schemeClr w14:val="tx1"/>
            </w14:solidFill>
          </w14:textFill>
        </w:rPr>
      </w:pPr>
      <w:r>
        <w:rPr>
          <w:rFonts w:hint="eastAsia"/>
          <w:sz w:val="24"/>
          <w:szCs w:val="24"/>
        </w:rPr>
        <w:t>★</w:t>
      </w:r>
      <w:r>
        <w:rPr>
          <w:rFonts w:hint="eastAsia"/>
          <w:color w:val="000000" w:themeColor="text1"/>
          <w14:textFill>
            <w14:solidFill>
              <w14:schemeClr w14:val="tx1"/>
            </w14:solidFill>
          </w14:textFill>
        </w:rPr>
        <w:t>质量保证期</w:t>
      </w:r>
    </w:p>
    <w:p>
      <w:pPr>
        <w:spacing w:after="240" w:line="360" w:lineRule="auto"/>
        <w:ind w:firstLine="560" w:firstLineChars="200"/>
        <w:rPr>
          <w:bCs/>
          <w:color w:val="000000" w:themeColor="text1"/>
          <w:sz w:val="28"/>
          <w:szCs w:val="28"/>
          <w14:textFill>
            <w14:solidFill>
              <w14:schemeClr w14:val="tx1"/>
            </w14:solidFill>
          </w14:textFill>
        </w:rPr>
      </w:pPr>
      <w:bookmarkStart w:id="177" w:name="_Hlk85289843"/>
      <w:r>
        <w:rPr>
          <w:rFonts w:hint="eastAsia"/>
          <w:bCs/>
          <w:color w:val="000000" w:themeColor="text1"/>
          <w:sz w:val="28"/>
          <w:szCs w:val="28"/>
          <w14:textFill>
            <w14:solidFill>
              <w14:schemeClr w14:val="tx1"/>
            </w14:solidFill>
          </w14:textFill>
        </w:rPr>
        <w:t>本项目货物质量保证期为自本合同所列的全部货物安装、调试、试运行，整体项目验收合格之日起</w:t>
      </w:r>
      <w:r>
        <w:rPr>
          <w:bCs/>
          <w:color w:val="000000" w:themeColor="text1"/>
          <w:sz w:val="28"/>
          <w:szCs w:val="28"/>
          <w14:textFill>
            <w14:solidFill>
              <w14:schemeClr w14:val="tx1"/>
            </w14:solidFill>
          </w14:textFill>
        </w:rPr>
        <w:t>3</w:t>
      </w:r>
      <w:r>
        <w:rPr>
          <w:rFonts w:hint="eastAsia"/>
          <w:bCs/>
          <w:color w:val="000000" w:themeColor="text1"/>
          <w:sz w:val="28"/>
          <w:szCs w:val="28"/>
          <w14:textFill>
            <w14:solidFill>
              <w14:schemeClr w14:val="tx1"/>
            </w14:solidFill>
          </w14:textFill>
        </w:rPr>
        <w:t>年。</w:t>
      </w:r>
      <w:bookmarkEnd w:id="177"/>
      <w:r>
        <w:rPr>
          <w:rFonts w:hint="eastAsia"/>
          <w:b/>
          <w:color w:val="000000" w:themeColor="text1"/>
          <w:sz w:val="28"/>
          <w:szCs w:val="28"/>
          <w14:textFill>
            <w14:solidFill>
              <w14:schemeClr w14:val="tx1"/>
            </w14:solidFill>
          </w14:textFill>
        </w:rPr>
        <w:t>（投标人应按照招标文件3.3.6承诺函的格式及要求提供承诺函）。</w:t>
      </w:r>
    </w:p>
    <w:p>
      <w:pPr>
        <w:pStyle w:val="5"/>
        <w:ind w:left="567"/>
      </w:pPr>
      <w:r>
        <w:rPr>
          <w:rFonts w:hint="eastAsia"/>
          <w:sz w:val="24"/>
          <w:szCs w:val="24"/>
        </w:rPr>
        <w:t>★</w:t>
      </w:r>
      <w:r>
        <w:rPr>
          <w:rFonts w:hint="eastAsia"/>
        </w:rPr>
        <w:t>响应时间</w:t>
      </w:r>
    </w:p>
    <w:p>
      <w:pPr>
        <w:spacing w:after="240" w:line="360" w:lineRule="auto"/>
        <w:ind w:firstLine="560" w:firstLineChars="200"/>
        <w:rPr>
          <w:b/>
          <w:color w:val="000000" w:themeColor="text1"/>
          <w:sz w:val="28"/>
          <w:szCs w:val="28"/>
          <w14:textFill>
            <w14:solidFill>
              <w14:schemeClr w14:val="tx1"/>
            </w14:solidFill>
          </w14:textFill>
        </w:rPr>
      </w:pPr>
      <w:bookmarkStart w:id="178" w:name="_Hlk85802358"/>
      <w:r>
        <w:rPr>
          <w:rFonts w:hint="eastAsia"/>
          <w:bCs/>
          <w:color w:val="000000" w:themeColor="text1"/>
          <w:sz w:val="28"/>
          <w:szCs w:val="28"/>
          <w14:textFill>
            <w14:solidFill>
              <w14:schemeClr w14:val="tx1"/>
            </w14:solidFill>
          </w14:textFill>
        </w:rPr>
        <w:t>质量保证期内，中标人必须提供良好的技术支持。质保期满后为用户提供终身上门服务。投标人提供7×24小时热线服务和现场支持服务，设备出现故障后能30分钟做出响应，2小时内上门维修，24小时内必须解决问题，若当天无法修复，应提供解决方案。</w:t>
      </w:r>
      <w:r>
        <w:rPr>
          <w:rFonts w:hint="eastAsia"/>
          <w:b/>
          <w:color w:val="000000" w:themeColor="text1"/>
          <w:sz w:val="28"/>
          <w:szCs w:val="28"/>
          <w14:textFill>
            <w14:solidFill>
              <w14:schemeClr w14:val="tx1"/>
            </w14:solidFill>
          </w14:textFill>
        </w:rPr>
        <w:t>（投标人应按照招标文件3.3.6承诺函的格式及要求提供承诺函）</w:t>
      </w:r>
      <w:bookmarkEnd w:id="178"/>
      <w:r>
        <w:rPr>
          <w:rFonts w:hint="eastAsia"/>
          <w:bCs/>
          <w:color w:val="000000" w:themeColor="text1"/>
          <w:sz w:val="28"/>
          <w:szCs w:val="28"/>
          <w14:textFill>
            <w14:solidFill>
              <w14:schemeClr w14:val="tx1"/>
            </w14:solidFill>
          </w14:textFill>
        </w:rPr>
        <w:t>。</w:t>
      </w:r>
    </w:p>
    <w:p>
      <w:pPr>
        <w:pStyle w:val="5"/>
        <w:ind w:left="567"/>
      </w:pPr>
      <w:r>
        <w:rPr>
          <w:rFonts w:hint="eastAsia"/>
        </w:rPr>
        <w:t>验收标准</w:t>
      </w:r>
    </w:p>
    <w:p>
      <w:pPr>
        <w:spacing w:line="360" w:lineRule="auto"/>
        <w:ind w:firstLine="560" w:firstLineChars="200"/>
        <w:rPr>
          <w:bCs/>
          <w:color w:val="000000"/>
          <w:sz w:val="28"/>
          <w:szCs w:val="28"/>
        </w:rPr>
      </w:pPr>
      <w:r>
        <w:rPr>
          <w:rFonts w:hint="eastAsia"/>
          <w:bCs/>
          <w:color w:val="000000"/>
          <w:sz w:val="28"/>
          <w:szCs w:val="28"/>
        </w:rPr>
        <w:t xml:space="preserve">1.中标人与采购人按照《财政部关于进一步加强政府采购需求和履约验收管理的指导意见》（财库〔2016〕205号）的要求进行验收，采购人有权邀请第三方机构或质检部门共同验收。 </w:t>
      </w:r>
    </w:p>
    <w:p>
      <w:pPr>
        <w:spacing w:line="360" w:lineRule="auto"/>
        <w:ind w:firstLine="560" w:firstLineChars="200"/>
        <w:rPr>
          <w:bCs/>
          <w:color w:val="000000"/>
          <w:sz w:val="28"/>
          <w:szCs w:val="28"/>
        </w:rPr>
      </w:pPr>
      <w:r>
        <w:rPr>
          <w:rFonts w:hint="eastAsia"/>
          <w:bCs/>
          <w:color w:val="000000"/>
          <w:sz w:val="28"/>
          <w:szCs w:val="28"/>
        </w:rPr>
        <w:t xml:space="preserve">2.整体项目符合国家及行业强制性标准、招标文件要求（或投标文件的响应或承诺）以及合同的要求。 </w:t>
      </w:r>
    </w:p>
    <w:p>
      <w:pPr>
        <w:spacing w:line="360" w:lineRule="auto"/>
        <w:ind w:firstLine="560" w:firstLineChars="200"/>
        <w:rPr>
          <w:bCs/>
          <w:color w:val="000000"/>
          <w:sz w:val="28"/>
          <w:szCs w:val="28"/>
        </w:rPr>
      </w:pPr>
      <w:r>
        <w:rPr>
          <w:rFonts w:hint="eastAsia"/>
          <w:bCs/>
          <w:color w:val="000000"/>
          <w:sz w:val="28"/>
          <w:szCs w:val="28"/>
        </w:rPr>
        <w:t xml:space="preserve">3.验收程序：项目验收分为中标人出厂自验、安装调试初验及最终验收三个阶段。 </w:t>
      </w:r>
    </w:p>
    <w:p>
      <w:pPr>
        <w:spacing w:line="360" w:lineRule="auto"/>
        <w:ind w:firstLine="560" w:firstLineChars="200"/>
        <w:rPr>
          <w:bCs/>
          <w:color w:val="000000"/>
          <w:sz w:val="28"/>
          <w:szCs w:val="28"/>
        </w:rPr>
      </w:pPr>
      <w:r>
        <w:rPr>
          <w:rFonts w:hint="eastAsia"/>
          <w:bCs/>
          <w:color w:val="000000"/>
          <w:sz w:val="28"/>
          <w:szCs w:val="28"/>
        </w:rPr>
        <w:t xml:space="preserve">（1）出厂自验：中标人在货物出厂前，应按产品技术标准规定的检验项目和试验方法进行全面检验，中标人应随同货物提供产品环保证明、质量合格证书，其结果必须符合本项目验收标准的要求。 </w:t>
      </w:r>
    </w:p>
    <w:p>
      <w:pPr>
        <w:spacing w:line="360" w:lineRule="auto"/>
        <w:ind w:firstLine="560" w:firstLineChars="200"/>
        <w:rPr>
          <w:bCs/>
          <w:color w:val="000000"/>
          <w:sz w:val="28"/>
          <w:szCs w:val="28"/>
        </w:rPr>
      </w:pPr>
      <w:r>
        <w:rPr>
          <w:rFonts w:hint="eastAsia"/>
          <w:bCs/>
          <w:color w:val="000000"/>
          <w:sz w:val="28"/>
          <w:szCs w:val="28"/>
        </w:rPr>
        <w:t xml:space="preserve">（2）安装调试初验：中标人应作详细检验记录。由学校对送货数量和质量对照招、投标文件进行初验。 </w:t>
      </w:r>
    </w:p>
    <w:p>
      <w:pPr>
        <w:spacing w:line="360" w:lineRule="auto"/>
        <w:ind w:firstLine="560" w:firstLineChars="200"/>
        <w:rPr>
          <w:bCs/>
          <w:color w:val="000000"/>
          <w:sz w:val="28"/>
          <w:szCs w:val="28"/>
        </w:rPr>
      </w:pPr>
      <w:r>
        <w:rPr>
          <w:rFonts w:hint="eastAsia"/>
          <w:bCs/>
          <w:color w:val="000000"/>
          <w:sz w:val="28"/>
          <w:szCs w:val="28"/>
        </w:rPr>
        <w:t>（3）最终验收：设备安装、调试结束后，由采购人组织按国家规定的标准要求，按本项目验收标准进行验收。</w:t>
      </w:r>
    </w:p>
    <w:p>
      <w:pPr>
        <w:spacing w:line="360" w:lineRule="auto"/>
        <w:ind w:firstLine="560" w:firstLineChars="200"/>
        <w:rPr>
          <w:bCs/>
          <w:color w:val="000000" w:themeColor="text1"/>
          <w:sz w:val="28"/>
          <w:szCs w:val="28"/>
          <w14:textFill>
            <w14:solidFill>
              <w14:schemeClr w14:val="tx1"/>
            </w14:solidFill>
          </w14:textFill>
        </w:rPr>
      </w:pPr>
      <w:bookmarkStart w:id="179" w:name="_Hlk85294044"/>
      <w:r>
        <w:rPr>
          <w:bCs/>
          <w:color w:val="000000" w:themeColor="text1"/>
          <w:sz w:val="28"/>
          <w:szCs w:val="28"/>
          <w14:textFill>
            <w14:solidFill>
              <w14:schemeClr w14:val="tx1"/>
            </w14:solidFill>
          </w14:textFill>
        </w:rPr>
        <w:t>4.</w:t>
      </w:r>
      <w:r>
        <w:rPr>
          <w:rFonts w:hint="eastAsia"/>
          <w:bCs/>
          <w:color w:val="000000" w:themeColor="text1"/>
          <w:sz w:val="28"/>
          <w:szCs w:val="28"/>
          <w14:textFill>
            <w14:solidFill>
              <w14:schemeClr w14:val="tx1"/>
            </w14:solidFill>
          </w14:textFill>
        </w:rPr>
        <w:t>本项目最终验收时，中标人须提供以下技术资料：</w:t>
      </w:r>
    </w:p>
    <w:p>
      <w:pPr>
        <w:spacing w:line="360" w:lineRule="auto"/>
        <w:ind w:firstLine="560" w:firstLineChars="200"/>
        <w:rPr>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（1）提供产品的操作手册、使用说明、维修指南或服务手册；</w:t>
      </w:r>
    </w:p>
    <w:p>
      <w:pPr>
        <w:spacing w:line="360" w:lineRule="auto"/>
        <w:ind w:firstLine="560" w:firstLineChars="200"/>
        <w:rPr>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（2）备件手册、零件及易损件的图纸及相关资料；</w:t>
      </w:r>
    </w:p>
    <w:p>
      <w:pPr>
        <w:spacing w:line="360" w:lineRule="auto"/>
        <w:ind w:firstLine="560" w:firstLineChars="200"/>
        <w:rPr>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（3）其它相关技术资料。</w:t>
      </w:r>
    </w:p>
    <w:bookmarkEnd w:id="179"/>
    <w:p>
      <w:pPr>
        <w:pStyle w:val="5"/>
        <w:ind w:left="567"/>
      </w:pPr>
      <w:r>
        <w:rPr>
          <w:rFonts w:hint="eastAsia"/>
        </w:rPr>
        <w:t>售后服务要求</w:t>
      </w:r>
    </w:p>
    <w:p>
      <w:pPr>
        <w:spacing w:line="360" w:lineRule="auto"/>
        <w:ind w:firstLine="560" w:firstLineChars="200"/>
        <w:rPr>
          <w:bCs/>
          <w:color w:val="000000"/>
          <w:sz w:val="28"/>
          <w:szCs w:val="28"/>
        </w:rPr>
      </w:pPr>
      <w:bookmarkStart w:id="180" w:name="_Hlk85801562"/>
      <w:r>
        <w:rPr>
          <w:rFonts w:hint="eastAsia"/>
          <w:bCs/>
          <w:color w:val="000000"/>
          <w:sz w:val="28"/>
          <w:szCs w:val="28"/>
        </w:rPr>
        <w:t>1．投标人对本项目整体质保和售后服务进行详细承诺和具体安排，保证产品正常使用，包括以下方面：</w:t>
      </w:r>
    </w:p>
    <w:p>
      <w:pPr>
        <w:spacing w:line="360" w:lineRule="auto"/>
        <w:ind w:firstLine="560" w:firstLineChars="200"/>
        <w:rPr>
          <w:bCs/>
          <w:color w:val="000000"/>
          <w:sz w:val="28"/>
          <w:szCs w:val="28"/>
        </w:rPr>
      </w:pPr>
      <w:r>
        <w:rPr>
          <w:rFonts w:hint="eastAsia"/>
          <w:bCs/>
          <w:color w:val="000000"/>
          <w:sz w:val="28"/>
          <w:szCs w:val="28"/>
        </w:rPr>
        <w:t>（1）售后服务保障措施：投标人对本项目在人员、车辆、资金、售后服务机构等方面采取合理的保障措施，保证本项目售后服务工作正常进行。</w:t>
      </w:r>
    </w:p>
    <w:p>
      <w:pPr>
        <w:spacing w:line="360" w:lineRule="auto"/>
        <w:ind w:firstLine="560" w:firstLineChars="200"/>
        <w:rPr>
          <w:bCs/>
          <w:color w:val="000000"/>
          <w:sz w:val="28"/>
          <w:szCs w:val="28"/>
        </w:rPr>
      </w:pPr>
      <w:r>
        <w:rPr>
          <w:rFonts w:hint="eastAsia"/>
          <w:bCs/>
          <w:color w:val="000000"/>
          <w:sz w:val="28"/>
          <w:szCs w:val="28"/>
        </w:rPr>
        <w:t>（2）响应时间、质保内、质保外等保障措施：在项目质保期内和质保期外，投标人对采购人出现售后服务需求的响应时间、到达现场时间、处理售后服务及时性和保证产品正常运行等方面采取的保障措施，保证产品和整体系统正常运行。</w:t>
      </w:r>
    </w:p>
    <w:p>
      <w:pPr>
        <w:spacing w:line="360" w:lineRule="auto"/>
        <w:ind w:firstLine="560" w:firstLineChars="200"/>
        <w:rPr>
          <w:bCs/>
          <w:color w:val="000000"/>
          <w:sz w:val="28"/>
          <w:szCs w:val="28"/>
        </w:rPr>
      </w:pPr>
      <w:r>
        <w:rPr>
          <w:rFonts w:hint="eastAsia"/>
          <w:bCs/>
          <w:color w:val="000000"/>
          <w:sz w:val="28"/>
          <w:szCs w:val="28"/>
        </w:rPr>
        <w:t>（3）售后服务巡检和现场服务能力保障：在质保期内和质保期外，投标人对产品和系统进行售后服务巡检具体安排。</w:t>
      </w:r>
    </w:p>
    <w:p>
      <w:pPr>
        <w:pStyle w:val="2"/>
        <w:spacing w:after="0" w:line="360" w:lineRule="auto"/>
        <w:ind w:firstLine="560" w:firstLineChars="200"/>
        <w:rPr>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2</w:t>
      </w:r>
      <w:r>
        <w:rPr>
          <w:bCs/>
          <w:color w:val="000000" w:themeColor="text1"/>
          <w:sz w:val="28"/>
          <w:szCs w:val="28"/>
          <w14:textFill>
            <w14:solidFill>
              <w14:schemeClr w14:val="tx1"/>
            </w14:solidFill>
          </w14:textFill>
        </w:rPr>
        <w:t>.</w:t>
      </w:r>
      <w:r>
        <w:rPr>
          <w:rFonts w:hint="eastAsia"/>
          <w:bCs/>
          <w:color w:val="000000" w:themeColor="text1"/>
          <w:sz w:val="28"/>
          <w:szCs w:val="28"/>
          <w14:textFill>
            <w14:solidFill>
              <w14:schemeClr w14:val="tx1"/>
            </w14:solidFill>
          </w14:textFill>
        </w:rPr>
        <w:t>以上要求投标人应按照招标文件3.3.4售后服务及承诺中的格式及要求提供承诺。</w:t>
      </w:r>
      <w:bookmarkEnd w:id="180"/>
    </w:p>
    <w:p>
      <w:pPr>
        <w:pStyle w:val="5"/>
        <w:ind w:left="567"/>
        <w:rPr>
          <w:b w:val="0"/>
          <w:bCs w:val="0"/>
        </w:rPr>
      </w:pPr>
      <w:r>
        <w:rPr>
          <w:rFonts w:hint="eastAsia"/>
        </w:rPr>
        <w:t>最高限价</w:t>
      </w:r>
    </w:p>
    <w:p>
      <w:pPr>
        <w:pStyle w:val="2"/>
        <w:spacing w:line="500" w:lineRule="exact"/>
        <w:ind w:firstLine="565" w:firstLineChars="201"/>
        <w:rPr>
          <w:rFonts w:ascii="宋体" w:hAnsi="宋体"/>
          <w:b/>
          <w:bCs/>
          <w:sz w:val="28"/>
          <w:szCs w:val="28"/>
        </w:rPr>
      </w:pPr>
      <w:r>
        <w:rPr>
          <w:rFonts w:hint="eastAsia" w:ascii="宋体" w:hAnsi="宋体"/>
          <w:b/>
          <w:bCs/>
          <w:sz w:val="28"/>
          <w:szCs w:val="28"/>
        </w:rPr>
        <w:t>本项目最高限价：2491846.18元，投标人投标报价高于最高限价的则其投标文件将按无效投标文件处理。</w:t>
      </w:r>
    </w:p>
    <w:p>
      <w:pPr>
        <w:pStyle w:val="5"/>
        <w:spacing w:before="240"/>
        <w:ind w:left="567"/>
      </w:pPr>
      <w:r>
        <w:rPr>
          <w:rFonts w:hint="eastAsia"/>
        </w:rPr>
        <w:t>违约责任</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lang w:val="zh-CN"/>
        </w:rPr>
        <w:t>1</w:t>
      </w:r>
      <w:r>
        <w:rPr>
          <w:rFonts w:ascii="宋体" w:hAnsi="宋体"/>
          <w:bCs/>
          <w:sz w:val="28"/>
          <w:szCs w:val="28"/>
          <w:lang w:val="zh-CN"/>
        </w:rPr>
        <w:t>.</w:t>
      </w:r>
      <w:r>
        <w:rPr>
          <w:rFonts w:hint="eastAsia" w:ascii="宋体" w:hAnsi="宋体"/>
          <w:bCs/>
          <w:sz w:val="28"/>
          <w:szCs w:val="28"/>
          <w:lang w:val="zh-CN"/>
        </w:rPr>
        <w:t>甲方违约责任</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lang w:val="zh-CN"/>
        </w:rPr>
        <w:t xml:space="preserve">（1）甲方无正当理由拒收货物、拒付货款的，甲方应向乙方偿付拒付货款10％的违约金。 </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lang w:val="zh-CN"/>
        </w:rPr>
        <w:t xml:space="preserve">（2）甲方未按合同规定的期限向乙方支付货款的，每逾期 1日甲方向乙方偿付欠款总额的1‰违约金，但累计违约金总额不超过欠款总额的1％。 </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lang w:val="zh-CN"/>
        </w:rPr>
        <w:t>2</w:t>
      </w:r>
      <w:r>
        <w:rPr>
          <w:rFonts w:ascii="宋体" w:hAnsi="宋体"/>
          <w:bCs/>
          <w:sz w:val="28"/>
          <w:szCs w:val="28"/>
          <w:lang w:val="zh-CN"/>
        </w:rPr>
        <w:t>.</w:t>
      </w:r>
      <w:r>
        <w:rPr>
          <w:rFonts w:hint="eastAsia" w:ascii="宋体" w:hAnsi="宋体"/>
          <w:bCs/>
          <w:sz w:val="28"/>
          <w:szCs w:val="28"/>
          <w:lang w:val="zh-CN"/>
        </w:rPr>
        <w:t>乙方违约责任</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lang w:val="zh-CN"/>
        </w:rPr>
        <w:t>（1）乙方所交付的货物不符合合同规定的，甲方有权拒收，同时乙方应向甲方支付合同总价20％的违约金。乙方应在得到甲方通知之日起 10个工作日内采取补救措施。若乙方上述期限内所提供的货物仍不符合规定，乙方应向甲方另行支付合同总价20%的违约金，同时甲方有权单方面无条件解除合同。</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lang w:val="zh-CN"/>
        </w:rPr>
        <w:t>（2）乙方无正当理由逾期交付货物的，每逾期1日，乙方向甲方偿付逾期交货部分货款总金额的3%的违约金。如乙方逾期交货10日以上，甲方有权解除合同，甲方解除合同的通知自送达乙方时生效。在此情况下，乙方给甲方造成的实际损失高于违约金的，对高出违约金的部分乙方应予以赔偿。</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lang w:val="zh-CN"/>
        </w:rPr>
        <w:t>（3）在乙方承诺的或国家规定的质量保证期内（取两者中最长的期限），如经乙方2次维修，货物仍不能达到合同约定的质量标准、运行效果的，甲方有权要求乙方更换为全新合格货物并按本条第1款处理，同时，乙方还须赔偿甲方因此遭受的损失。</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lang w:val="zh-CN"/>
        </w:rPr>
        <w:t xml:space="preserve">（4）乙方保证本合同货物的权利无瑕疵，包括货物所有权及知识产权等利无瑕疵。如产生任何的纠纷、索赔或诉讼等，乙方除应向甲方返还已收款项外，还应另按合同总价的20%向甲方支付违约金并赔偿因此给甲方造成的一切损失。 </w:t>
      </w:r>
    </w:p>
    <w:p>
      <w:pPr>
        <w:tabs>
          <w:tab w:val="left" w:pos="1134"/>
        </w:tabs>
        <w:snapToGrid w:val="0"/>
        <w:spacing w:after="240" w:line="360" w:lineRule="auto"/>
        <w:ind w:firstLine="562" w:firstLineChars="201"/>
        <w:rPr>
          <w:rFonts w:ascii="宋体" w:hAnsi="宋体"/>
          <w:bCs/>
          <w:sz w:val="28"/>
          <w:szCs w:val="28"/>
          <w:lang w:val="zh-CN"/>
        </w:rPr>
      </w:pPr>
      <w:r>
        <w:rPr>
          <w:rFonts w:hint="eastAsia" w:ascii="宋体" w:hAnsi="宋体"/>
          <w:bCs/>
          <w:sz w:val="28"/>
          <w:szCs w:val="28"/>
          <w:lang w:val="zh-CN"/>
        </w:rPr>
        <w:t>3</w:t>
      </w:r>
      <w:r>
        <w:rPr>
          <w:rFonts w:ascii="宋体" w:hAnsi="宋体"/>
          <w:bCs/>
          <w:sz w:val="28"/>
          <w:szCs w:val="28"/>
          <w:lang w:val="zh-CN"/>
        </w:rPr>
        <w:t>.</w:t>
      </w:r>
      <w:r>
        <w:rPr>
          <w:rFonts w:hint="eastAsia" w:ascii="宋体" w:hAnsi="宋体"/>
          <w:bCs/>
          <w:sz w:val="28"/>
          <w:szCs w:val="28"/>
          <w:lang w:val="zh-CN"/>
        </w:rPr>
        <w:t xml:space="preserve">一方支付的违约金不足以弥补另一方损失的，还应按另一方损失尚未弥补的部分，支付赔偿金给另一方。 </w:t>
      </w:r>
    </w:p>
    <w:p>
      <w:pPr>
        <w:pStyle w:val="5"/>
        <w:ind w:left="567"/>
        <w:rPr>
          <w:lang w:val="zh-CN"/>
        </w:rPr>
      </w:pPr>
      <w:r>
        <w:rPr>
          <w:rFonts w:hint="eastAsia"/>
        </w:rPr>
        <w:t>解除合</w:t>
      </w:r>
      <w:r>
        <w:rPr>
          <w:rFonts w:hint="eastAsia"/>
          <w:lang w:val="zh-CN"/>
        </w:rPr>
        <w:t>同及争议解决</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lang w:val="zh-CN"/>
        </w:rPr>
        <w:t>1</w:t>
      </w:r>
      <w:r>
        <w:rPr>
          <w:rFonts w:ascii="宋体" w:hAnsi="宋体"/>
          <w:bCs/>
          <w:sz w:val="28"/>
          <w:szCs w:val="28"/>
          <w:lang w:val="zh-CN"/>
        </w:rPr>
        <w:t>.</w:t>
      </w:r>
      <w:r>
        <w:rPr>
          <w:rFonts w:hint="eastAsia" w:ascii="宋体" w:hAnsi="宋体"/>
          <w:bCs/>
          <w:sz w:val="28"/>
          <w:szCs w:val="28"/>
          <w:lang w:val="zh-CN"/>
        </w:rPr>
        <w:t>有下列情形之一的，当事人可以解除合同：</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rPr>
        <w:t>（1）</w:t>
      </w:r>
      <w:r>
        <w:rPr>
          <w:rFonts w:hint="eastAsia" w:ascii="宋体" w:hAnsi="宋体"/>
          <w:bCs/>
          <w:sz w:val="28"/>
          <w:szCs w:val="28"/>
          <w:lang w:val="zh-CN"/>
        </w:rPr>
        <w:t>因不可抗力致使不能实现合同目的（由于非供应商或采购人原因，致使合同实质性条款无法实现的）。</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rPr>
        <w:t>（2）</w:t>
      </w:r>
      <w:r>
        <w:rPr>
          <w:rFonts w:hint="eastAsia" w:ascii="宋体" w:hAnsi="宋体"/>
          <w:bCs/>
          <w:sz w:val="28"/>
          <w:szCs w:val="28"/>
          <w:lang w:val="zh-CN"/>
        </w:rPr>
        <w:t>当事人一方迟延履行主要债务，经催告后在合理期限内仍未履行。</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rPr>
        <w:t>（3）</w:t>
      </w:r>
      <w:r>
        <w:rPr>
          <w:rFonts w:hint="eastAsia" w:ascii="宋体" w:hAnsi="宋体"/>
          <w:bCs/>
          <w:sz w:val="28"/>
          <w:szCs w:val="28"/>
          <w:lang w:val="zh-CN"/>
        </w:rPr>
        <w:t>当事人一方迟延履行债务或者有其他违约行为致使不能实现合同目的。</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rPr>
        <w:t>（4）</w:t>
      </w:r>
      <w:r>
        <w:rPr>
          <w:rFonts w:hint="eastAsia" w:ascii="宋体" w:hAnsi="宋体"/>
          <w:bCs/>
          <w:sz w:val="28"/>
          <w:szCs w:val="28"/>
          <w:lang w:val="zh-CN"/>
        </w:rPr>
        <w:t>法律规定的其他情形。</w:t>
      </w:r>
    </w:p>
    <w:p>
      <w:pPr>
        <w:tabs>
          <w:tab w:val="left" w:pos="1134"/>
        </w:tabs>
        <w:snapToGrid w:val="0"/>
        <w:spacing w:line="360" w:lineRule="auto"/>
        <w:ind w:firstLine="562" w:firstLineChars="201"/>
        <w:rPr>
          <w:rFonts w:ascii="宋体" w:hAnsi="宋体"/>
          <w:bCs/>
          <w:sz w:val="28"/>
          <w:szCs w:val="28"/>
          <w:lang w:val="zh-CN"/>
        </w:rPr>
      </w:pPr>
      <w:r>
        <w:rPr>
          <w:rFonts w:hint="eastAsia" w:ascii="宋体" w:hAnsi="宋体"/>
          <w:bCs/>
          <w:sz w:val="28"/>
          <w:szCs w:val="28"/>
          <w:lang w:val="zh-CN"/>
        </w:rPr>
        <w:t>2</w:t>
      </w:r>
      <w:r>
        <w:rPr>
          <w:rFonts w:ascii="宋体" w:hAnsi="宋体"/>
          <w:bCs/>
          <w:sz w:val="28"/>
          <w:szCs w:val="28"/>
          <w:lang w:val="zh-CN"/>
        </w:rPr>
        <w:t>.</w:t>
      </w:r>
      <w:r>
        <w:rPr>
          <w:rFonts w:hint="eastAsia" w:ascii="宋体" w:hAnsi="宋体"/>
          <w:bCs/>
          <w:sz w:val="28"/>
          <w:szCs w:val="28"/>
          <w:lang w:val="zh-CN"/>
        </w:rPr>
        <w:t>争议解决方式</w:t>
      </w:r>
    </w:p>
    <w:p>
      <w:pPr>
        <w:tabs>
          <w:tab w:val="left" w:pos="1134"/>
        </w:tabs>
        <w:snapToGrid w:val="0"/>
        <w:spacing w:line="360" w:lineRule="auto"/>
        <w:ind w:firstLine="562" w:firstLineChars="201"/>
      </w:pPr>
      <w:r>
        <w:rPr>
          <w:rFonts w:hint="eastAsia" w:ascii="宋体" w:hAnsi="宋体"/>
          <w:bCs/>
          <w:sz w:val="28"/>
          <w:szCs w:val="28"/>
          <w:lang w:val="zh-CN"/>
        </w:rPr>
        <w:t>在本项目履行过程中，发生争议时，双方应友好协商，经协商不能达成一致的，双方均可向甲方所在地有管辖权的人民法院提起诉讼。</w:t>
      </w:r>
    </w:p>
    <w:p>
      <w:pPr>
        <w:pStyle w:val="4"/>
        <w:rPr>
          <w:b w:val="0"/>
          <w:bCs w:val="0"/>
        </w:rPr>
      </w:pPr>
      <w:bookmarkStart w:id="181" w:name="_Toc23595"/>
      <w:bookmarkStart w:id="182" w:name="_Toc68703960"/>
      <w:bookmarkStart w:id="183" w:name="_Toc61438441"/>
      <w:bookmarkStart w:id="184" w:name="_Toc80084957"/>
      <w:r>
        <w:rPr>
          <w:rFonts w:hint="eastAsia"/>
        </w:rPr>
        <w:t>其他要求</w:t>
      </w:r>
      <w:bookmarkEnd w:id="168"/>
      <w:bookmarkEnd w:id="169"/>
      <w:bookmarkEnd w:id="181"/>
      <w:bookmarkEnd w:id="182"/>
      <w:bookmarkEnd w:id="183"/>
      <w:bookmarkEnd w:id="184"/>
      <w:r>
        <w:rPr>
          <w:rFonts w:hint="eastAsia"/>
        </w:rPr>
        <w:t xml:space="preserve">   </w:t>
      </w:r>
    </w:p>
    <w:p>
      <w:pPr>
        <w:pStyle w:val="79"/>
        <w:tabs>
          <w:tab w:val="left" w:pos="993"/>
          <w:tab w:val="left" w:pos="1134"/>
        </w:tabs>
        <w:spacing w:line="360" w:lineRule="auto"/>
        <w:ind w:firstLine="562"/>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cs="宋体"/>
          <w:b/>
          <w:bCs/>
          <w:kern w:val="0"/>
          <w:sz w:val="28"/>
          <w:szCs w:val="28"/>
        </w:rPr>
        <w:t>一、</w:t>
      </w:r>
      <w:r>
        <w:rPr>
          <w:rFonts w:hint="eastAsia" w:ascii="宋体" w:hAnsi="宋体" w:eastAsia="宋体"/>
          <w:b/>
          <w:color w:val="000000" w:themeColor="text1"/>
          <w:sz w:val="28"/>
          <w:szCs w:val="28"/>
          <w:lang w:val="zh-CN"/>
          <w14:textFill>
            <w14:solidFill>
              <w14:schemeClr w14:val="tx1"/>
            </w14:solidFill>
          </w14:textFill>
        </w:rPr>
        <w:t>在评标过程中，评标委员会认为供应商投标报价明显低于其他通过符合性审查供应商的投标报价，有可能影响产品质量或者不能诚信履约的，评标委员会应当要求其在合理的时间内提供书面说明，必要时提交相关证明材料。供应商提交的书面说明、相关证明材料（如涉及），应当加盖供应商（法定名称）电子签章，在评标委员会要求的时间内通过云平台进行递交，否则无效。如因断电、断网、系统故障或其他不可抗力等因素，导致系统无法使用的，由供应商按评标委员会的要求进行澄清或者说明。供应商不能证明其投标报价合理性的，评标委员会应当将其投标文件作为无效处理。</w:t>
      </w:r>
    </w:p>
    <w:p>
      <w:pPr>
        <w:pStyle w:val="119"/>
        <w:tabs>
          <w:tab w:val="left" w:pos="1134"/>
        </w:tabs>
        <w:spacing w:line="360" w:lineRule="auto"/>
        <w:ind w:right="210" w:firstLine="560" w:firstLineChars="200"/>
        <w:jc w:val="both"/>
        <w:rPr>
          <w:rFonts w:asciiTheme="minorEastAsia" w:hAnsiTheme="minorEastAsia" w:eastAsiaTheme="minorEastAsia"/>
          <w:b/>
          <w:sz w:val="28"/>
          <w:szCs w:val="28"/>
          <w:lang w:val="zh-CN"/>
        </w:rPr>
      </w:pPr>
      <w:r>
        <w:rPr>
          <w:rFonts w:hint="eastAsia"/>
          <w:sz w:val="28"/>
          <w:szCs w:val="32"/>
        </w:rPr>
        <w:t>★</w:t>
      </w:r>
      <w:r>
        <w:rPr>
          <w:rFonts w:hint="eastAsia" w:asciiTheme="minorEastAsia" w:hAnsiTheme="minorEastAsia" w:eastAsiaTheme="minorEastAsia"/>
          <w:b/>
          <w:sz w:val="28"/>
          <w:szCs w:val="28"/>
        </w:rPr>
        <w:t>二、</w:t>
      </w:r>
      <w:r>
        <w:rPr>
          <w:rFonts w:hint="eastAsia" w:asciiTheme="minorEastAsia" w:hAnsiTheme="minorEastAsia" w:eastAsiaTheme="minorEastAsia"/>
          <w:b/>
          <w:sz w:val="28"/>
          <w:szCs w:val="28"/>
          <w:lang w:val="zh-CN"/>
        </w:rPr>
        <w:t>投标人</w:t>
      </w:r>
      <w:r>
        <w:rPr>
          <w:rFonts w:asciiTheme="minorEastAsia" w:hAnsiTheme="minorEastAsia" w:eastAsiaTheme="minorEastAsia"/>
          <w:b/>
          <w:sz w:val="28"/>
          <w:szCs w:val="28"/>
          <w:lang w:val="zh-CN"/>
        </w:rPr>
        <w:t>为</w:t>
      </w:r>
      <w:r>
        <w:rPr>
          <w:rFonts w:hint="eastAsia" w:asciiTheme="minorEastAsia" w:hAnsiTheme="minorEastAsia" w:eastAsiaTheme="minorEastAsia"/>
          <w:b/>
          <w:sz w:val="28"/>
          <w:szCs w:val="28"/>
          <w:lang w:val="zh-CN"/>
        </w:rPr>
        <w:t>本</w:t>
      </w:r>
      <w:r>
        <w:rPr>
          <w:rFonts w:asciiTheme="minorEastAsia" w:hAnsiTheme="minorEastAsia" w:eastAsiaTheme="minorEastAsia"/>
          <w:b/>
          <w:sz w:val="28"/>
          <w:szCs w:val="28"/>
          <w:lang w:val="zh-CN"/>
        </w:rPr>
        <w:t>项目提供的所有产品、辅材中属于《国家强制性产品认证目录》范围内产品的，均通过国家强制性产品认证并取得认证证书。（说明：投标人应按招标文件</w:t>
      </w:r>
      <w:r>
        <w:rPr>
          <w:rFonts w:ascii="Times New Roman" w:hAnsi="Times New Roman" w:cs="Times New Roman" w:eastAsiaTheme="minorEastAsia"/>
          <w:b/>
          <w:sz w:val="28"/>
          <w:szCs w:val="28"/>
          <w:lang w:val="zh-CN"/>
        </w:rPr>
        <w:t>3.3.</w:t>
      </w:r>
      <w:r>
        <w:rPr>
          <w:rFonts w:hint="eastAsia" w:ascii="Times New Roman" w:hAnsi="Times New Roman" w:cs="Times New Roman" w:eastAsiaTheme="minorEastAsia"/>
          <w:b/>
          <w:sz w:val="28"/>
          <w:szCs w:val="28"/>
        </w:rPr>
        <w:t>6</w:t>
      </w:r>
      <w:r>
        <w:rPr>
          <w:rFonts w:asciiTheme="minorEastAsia" w:hAnsiTheme="minorEastAsia" w:eastAsiaTheme="minorEastAsia"/>
          <w:b/>
          <w:sz w:val="28"/>
          <w:szCs w:val="28"/>
          <w:lang w:val="zh-CN"/>
        </w:rPr>
        <w:t>承诺函的格式及要求提供承诺函。）</w:t>
      </w:r>
    </w:p>
    <w:p>
      <w:pPr>
        <w:pStyle w:val="119"/>
        <w:tabs>
          <w:tab w:val="left" w:pos="1134"/>
        </w:tabs>
        <w:spacing w:line="360" w:lineRule="auto"/>
        <w:ind w:right="210" w:firstLine="560" w:firstLineChars="200"/>
        <w:jc w:val="both"/>
        <w:rPr>
          <w:rFonts w:asciiTheme="minorEastAsia" w:hAnsiTheme="minorEastAsia" w:eastAsiaTheme="minorEastAsia"/>
          <w:b/>
          <w:sz w:val="28"/>
          <w:szCs w:val="28"/>
          <w:lang w:val="zh-CN"/>
        </w:rPr>
      </w:pPr>
      <w:r>
        <w:rPr>
          <w:rFonts w:hint="eastAsia"/>
          <w:sz w:val="28"/>
          <w:szCs w:val="32"/>
        </w:rPr>
        <w:t>★</w:t>
      </w:r>
      <w:r>
        <w:rPr>
          <w:rFonts w:hint="eastAsia" w:asciiTheme="minorEastAsia" w:hAnsiTheme="minorEastAsia" w:eastAsiaTheme="minorEastAsia"/>
          <w:b/>
          <w:sz w:val="28"/>
          <w:szCs w:val="28"/>
        </w:rPr>
        <w:t>三、</w:t>
      </w:r>
      <w:r>
        <w:rPr>
          <w:rFonts w:hint="eastAsia" w:asciiTheme="minorEastAsia" w:hAnsiTheme="minorEastAsia" w:eastAsiaTheme="minorEastAsia"/>
          <w:b/>
          <w:sz w:val="28"/>
          <w:szCs w:val="28"/>
          <w:lang w:val="zh-CN"/>
        </w:rPr>
        <w:t>投标人</w:t>
      </w:r>
      <w:r>
        <w:rPr>
          <w:rFonts w:asciiTheme="minorEastAsia" w:hAnsiTheme="minorEastAsia" w:eastAsiaTheme="minorEastAsia"/>
          <w:b/>
          <w:sz w:val="28"/>
          <w:szCs w:val="28"/>
          <w:lang w:val="zh-CN"/>
        </w:rPr>
        <w:t>为</w:t>
      </w:r>
      <w:r>
        <w:rPr>
          <w:rFonts w:hint="eastAsia" w:asciiTheme="minorEastAsia" w:hAnsiTheme="minorEastAsia" w:eastAsiaTheme="minorEastAsia"/>
          <w:b/>
          <w:sz w:val="28"/>
          <w:szCs w:val="28"/>
          <w:lang w:val="zh-CN"/>
        </w:rPr>
        <w:t>本</w:t>
      </w:r>
      <w:r>
        <w:rPr>
          <w:rFonts w:asciiTheme="minorEastAsia" w:hAnsiTheme="minorEastAsia" w:eastAsiaTheme="minorEastAsia"/>
          <w:b/>
          <w:sz w:val="28"/>
          <w:szCs w:val="28"/>
          <w:lang w:val="zh-CN"/>
        </w:rPr>
        <w:t>项目提供的所有产品、辅材</w:t>
      </w:r>
      <w:r>
        <w:rPr>
          <w:rFonts w:hint="eastAsia" w:asciiTheme="minorEastAsia" w:hAnsiTheme="minorEastAsia" w:eastAsiaTheme="minorEastAsia"/>
          <w:b/>
          <w:sz w:val="28"/>
          <w:szCs w:val="28"/>
          <w:lang w:val="zh-CN"/>
        </w:rPr>
        <w:t>符合现行的强制性国家相关标准、行业标准。</w:t>
      </w:r>
      <w:r>
        <w:rPr>
          <w:rFonts w:asciiTheme="minorEastAsia" w:hAnsiTheme="minorEastAsia" w:eastAsiaTheme="minorEastAsia"/>
          <w:b/>
          <w:sz w:val="28"/>
          <w:szCs w:val="28"/>
          <w:lang w:val="zh-CN"/>
        </w:rPr>
        <w:t>（说明：投标人应按招标文件</w:t>
      </w:r>
      <w:r>
        <w:rPr>
          <w:rFonts w:ascii="Times New Roman" w:hAnsi="Times New Roman" w:cs="Times New Roman" w:eastAsiaTheme="minorEastAsia"/>
          <w:b/>
          <w:sz w:val="28"/>
          <w:szCs w:val="28"/>
          <w:lang w:val="zh-CN"/>
        </w:rPr>
        <w:t>3.3.</w:t>
      </w:r>
      <w:r>
        <w:rPr>
          <w:rFonts w:hint="eastAsia" w:ascii="Times New Roman" w:hAnsi="Times New Roman" w:cs="Times New Roman" w:eastAsiaTheme="minorEastAsia"/>
          <w:b/>
          <w:sz w:val="28"/>
          <w:szCs w:val="28"/>
        </w:rPr>
        <w:t>6</w:t>
      </w:r>
      <w:r>
        <w:rPr>
          <w:rFonts w:asciiTheme="minorEastAsia" w:hAnsiTheme="minorEastAsia" w:eastAsiaTheme="minorEastAsia"/>
          <w:b/>
          <w:sz w:val="28"/>
          <w:szCs w:val="28"/>
          <w:lang w:val="zh-CN"/>
        </w:rPr>
        <w:t>承诺函的格式及要求提供承诺函。）</w:t>
      </w:r>
    </w:p>
    <w:p>
      <w:pPr>
        <w:pStyle w:val="119"/>
        <w:tabs>
          <w:tab w:val="left" w:pos="1134"/>
        </w:tabs>
        <w:spacing w:line="360" w:lineRule="auto"/>
        <w:ind w:right="210" w:firstLine="560" w:firstLineChars="200"/>
        <w:jc w:val="both"/>
        <w:rPr>
          <w:rFonts w:asciiTheme="minorEastAsia" w:hAnsiTheme="minorEastAsia" w:eastAsiaTheme="minorEastAsia"/>
          <w:b/>
          <w:sz w:val="28"/>
          <w:szCs w:val="28"/>
          <w:lang w:val="zh-CN"/>
        </w:rPr>
      </w:pPr>
      <w:r>
        <w:rPr>
          <w:rFonts w:hint="eastAsia"/>
          <w:sz w:val="28"/>
          <w:szCs w:val="32"/>
        </w:rPr>
        <w:t>★</w:t>
      </w:r>
      <w:r>
        <w:rPr>
          <w:rFonts w:hint="eastAsia" w:asciiTheme="minorEastAsia" w:hAnsiTheme="minorEastAsia" w:eastAsiaTheme="minorEastAsia"/>
          <w:b/>
          <w:sz w:val="28"/>
          <w:szCs w:val="28"/>
        </w:rPr>
        <w:t>四、</w:t>
      </w:r>
      <w:r>
        <w:rPr>
          <w:rFonts w:hint="eastAsia" w:asciiTheme="minorEastAsia" w:hAnsiTheme="minorEastAsia" w:eastAsiaTheme="minorEastAsia"/>
          <w:b/>
          <w:sz w:val="28"/>
          <w:szCs w:val="28"/>
          <w:lang w:val="zh-CN"/>
        </w:rPr>
        <w:t>投标人为本项目提供的所有产品中属于节能产品政府采购品目清单中的政府强制采购产品的，均应具有国家确定的认证机构出具的有效期内的节能产品认证证书。</w:t>
      </w:r>
      <w:r>
        <w:rPr>
          <w:rFonts w:asciiTheme="minorEastAsia" w:hAnsiTheme="minorEastAsia" w:eastAsiaTheme="minorEastAsia"/>
          <w:b/>
          <w:sz w:val="28"/>
          <w:szCs w:val="28"/>
          <w:lang w:val="zh-CN"/>
        </w:rPr>
        <w:t>（说明：投标人应按招标文件</w:t>
      </w:r>
      <w:r>
        <w:rPr>
          <w:rFonts w:ascii="Times New Roman" w:hAnsi="Times New Roman" w:cs="Times New Roman" w:eastAsiaTheme="minorEastAsia"/>
          <w:b/>
          <w:sz w:val="28"/>
          <w:szCs w:val="28"/>
          <w:lang w:val="zh-CN"/>
        </w:rPr>
        <w:t>3.3.</w:t>
      </w:r>
      <w:r>
        <w:rPr>
          <w:rFonts w:hint="eastAsia" w:ascii="Times New Roman" w:hAnsi="Times New Roman" w:cs="Times New Roman" w:eastAsiaTheme="minorEastAsia"/>
          <w:b/>
          <w:sz w:val="28"/>
          <w:szCs w:val="28"/>
        </w:rPr>
        <w:t>6</w:t>
      </w:r>
      <w:r>
        <w:rPr>
          <w:rFonts w:asciiTheme="minorEastAsia" w:hAnsiTheme="minorEastAsia" w:eastAsiaTheme="minorEastAsia"/>
          <w:b/>
          <w:sz w:val="28"/>
          <w:szCs w:val="28"/>
          <w:lang w:val="zh-CN"/>
        </w:rPr>
        <w:t>承诺函的格式及要求提供承诺函。）</w:t>
      </w:r>
    </w:p>
    <w:p>
      <w:pPr>
        <w:pStyle w:val="119"/>
        <w:tabs>
          <w:tab w:val="left" w:pos="1134"/>
        </w:tabs>
        <w:spacing w:line="360" w:lineRule="auto"/>
        <w:ind w:right="210" w:firstLine="560" w:firstLineChars="200"/>
        <w:jc w:val="both"/>
        <w:rPr>
          <w:rFonts w:asciiTheme="minorEastAsia" w:hAnsiTheme="minorEastAsia" w:eastAsiaTheme="minorEastAsia"/>
          <w:sz w:val="28"/>
          <w:szCs w:val="28"/>
        </w:rPr>
      </w:pPr>
      <w:r>
        <w:rPr>
          <w:rFonts w:hint="eastAsia"/>
          <w:sz w:val="28"/>
          <w:szCs w:val="32"/>
        </w:rPr>
        <w:t>★</w:t>
      </w:r>
      <w:r>
        <w:rPr>
          <w:rFonts w:hint="eastAsia"/>
          <w:b/>
          <w:bCs/>
          <w:sz w:val="28"/>
          <w:szCs w:val="28"/>
        </w:rPr>
        <w:t>五、投标人提供的产品涉及商品包装或快递包装的，须严格按照财政部等三部门联合印发《商品包装政府采购需求标准（试行）》、《快递包装政府采购需求标准（试行）》的通知（财办库[2020]123号）要求执行。</w:t>
      </w:r>
      <w:r>
        <w:rPr>
          <w:rFonts w:asciiTheme="minorEastAsia" w:hAnsiTheme="minorEastAsia" w:eastAsiaTheme="minorEastAsia"/>
          <w:b/>
          <w:sz w:val="28"/>
          <w:szCs w:val="28"/>
          <w:lang w:val="zh-CN"/>
        </w:rPr>
        <w:t>（说明：投标人应按招标文件</w:t>
      </w:r>
      <w:r>
        <w:rPr>
          <w:rFonts w:ascii="Times New Roman" w:hAnsi="Times New Roman" w:cs="Times New Roman" w:eastAsiaTheme="minorEastAsia"/>
          <w:b/>
          <w:sz w:val="28"/>
          <w:szCs w:val="28"/>
          <w:lang w:val="zh-CN"/>
        </w:rPr>
        <w:t>3.3.</w:t>
      </w:r>
      <w:r>
        <w:rPr>
          <w:rFonts w:hint="eastAsia" w:ascii="Times New Roman" w:hAnsi="Times New Roman" w:cs="Times New Roman" w:eastAsiaTheme="minorEastAsia"/>
          <w:b/>
          <w:sz w:val="28"/>
          <w:szCs w:val="28"/>
        </w:rPr>
        <w:t>6</w:t>
      </w:r>
      <w:r>
        <w:rPr>
          <w:rFonts w:asciiTheme="minorEastAsia" w:hAnsiTheme="minorEastAsia" w:eastAsiaTheme="minorEastAsia"/>
          <w:b/>
          <w:sz w:val="28"/>
          <w:szCs w:val="28"/>
          <w:lang w:val="zh-CN"/>
        </w:rPr>
        <w:t>承诺函的格式及要求提供承诺函。）</w:t>
      </w:r>
    </w:p>
    <w:p>
      <w:pPr>
        <w:rPr>
          <w:b/>
          <w:color w:val="000000"/>
          <w:sz w:val="28"/>
          <w:szCs w:val="28"/>
        </w:rPr>
      </w:pPr>
    </w:p>
    <w:p>
      <w:pPr>
        <w:rPr>
          <w:b/>
          <w:color w:val="000000"/>
          <w:sz w:val="28"/>
          <w:szCs w:val="28"/>
        </w:rPr>
      </w:pPr>
    </w:p>
    <w:p>
      <w:pPr>
        <w:rPr>
          <w:b/>
          <w:color w:val="000000"/>
          <w:sz w:val="28"/>
          <w:szCs w:val="28"/>
        </w:rPr>
      </w:pPr>
    </w:p>
    <w:p>
      <w:pPr>
        <w:rPr>
          <w:b/>
          <w:color w:val="000000"/>
          <w:sz w:val="28"/>
          <w:szCs w:val="28"/>
        </w:rPr>
      </w:pPr>
    </w:p>
    <w:p>
      <w:pPr>
        <w:pStyle w:val="2"/>
      </w:pPr>
    </w:p>
    <w:p/>
    <w:p>
      <w:pPr>
        <w:pStyle w:val="2"/>
      </w:pPr>
    </w:p>
    <w:p/>
    <w:p>
      <w:pPr>
        <w:pStyle w:val="2"/>
      </w:pPr>
    </w:p>
    <w:p/>
    <w:p>
      <w:pPr>
        <w:rPr>
          <w:rFonts w:hint="eastAsia"/>
          <w:b/>
          <w:color w:val="000000"/>
          <w:sz w:val="28"/>
          <w:szCs w:val="28"/>
        </w:rPr>
      </w:pPr>
    </w:p>
    <w:p>
      <w:pPr>
        <w:rPr>
          <w:rFonts w:ascii="宋体" w:hAnsi="宋体"/>
          <w:b/>
          <w:bCs/>
          <w:spacing w:val="-20"/>
          <w:kern w:val="44"/>
          <w:sz w:val="32"/>
          <w:szCs w:val="32"/>
        </w:rPr>
      </w:pPr>
      <w:r>
        <w:rPr>
          <w:rFonts w:hint="eastAsia"/>
          <w:b/>
          <w:color w:val="000000"/>
          <w:sz w:val="28"/>
          <w:szCs w:val="28"/>
        </w:rPr>
        <w:t>说明：以上</w:t>
      </w:r>
      <w:r>
        <w:rPr>
          <w:rFonts w:hint="eastAsia"/>
          <w:b/>
          <w:sz w:val="28"/>
          <w:szCs w:val="28"/>
        </w:rPr>
        <w:t>标“</w:t>
      </w:r>
      <w:r>
        <w:rPr>
          <w:rFonts w:hint="eastAsia" w:ascii="宋体" w:hAnsi="宋体"/>
          <w:b/>
          <w:sz w:val="28"/>
          <w:szCs w:val="32"/>
        </w:rPr>
        <w:t>★</w:t>
      </w:r>
      <w:r>
        <w:rPr>
          <w:rFonts w:hint="eastAsia"/>
          <w:b/>
          <w:sz w:val="28"/>
          <w:szCs w:val="28"/>
        </w:rPr>
        <w:t>”号的为本项目的实质性要求条款，不允许有负偏离。</w:t>
      </w: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85" w:name="_Toc21650"/>
      <w:r>
        <w:rPr>
          <w:rFonts w:hint="eastAsia" w:ascii="宋体" w:hAnsi="宋体"/>
          <w:b/>
          <w:bCs/>
          <w:spacing w:val="-20"/>
          <w:kern w:val="44"/>
          <w:sz w:val="32"/>
          <w:szCs w:val="32"/>
        </w:rPr>
        <w:t>资格性审查</w:t>
      </w:r>
      <w:bookmarkEnd w:id="185"/>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资格性审查由采购人组建的资格审查小组依据法律法规和招标文件的规定，对投标保证金（区公资交易中心出具的</w:t>
      </w:r>
      <w:r>
        <w:rPr>
          <w:rFonts w:hint="eastAsia" w:ascii="宋体" w:hAnsi="宋体"/>
          <w:b/>
          <w:sz w:val="28"/>
          <w:szCs w:val="28"/>
        </w:rPr>
        <w:t>《</w:t>
      </w:r>
      <w:r>
        <w:rPr>
          <w:rFonts w:hint="eastAsia" w:ascii="宋体" w:hAnsi="宋体" w:cs="宋体"/>
          <w:b/>
          <w:sz w:val="28"/>
          <w:szCs w:val="28"/>
        </w:rPr>
        <w:t>成都市政府采购项目供应商参与及保证金交纳情况表》</w:t>
      </w:r>
      <w:r>
        <w:rPr>
          <w:rFonts w:hint="eastAsia" w:ascii="宋体" w:hAnsi="宋体"/>
          <w:b/>
          <w:sz w:val="28"/>
          <w:szCs w:val="28"/>
        </w:rPr>
        <w:t>或投标人递交的投标保函）</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区公资交易中心将以电子邮件形式通知各投标人。</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资格性审查标准见下表：</w:t>
      </w:r>
    </w:p>
    <w:tbl>
      <w:tblPr>
        <w:tblStyle w:val="43"/>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
        <w:gridCol w:w="426"/>
        <w:gridCol w:w="1715"/>
        <w:gridCol w:w="6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sz w:val="20"/>
              </w:rPr>
            </w:pPr>
            <w:r>
              <w:rPr>
                <w:b/>
                <w:sz w:val="20"/>
              </w:rPr>
              <w:t>资格性审查项</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sz w:val="20"/>
              </w:rPr>
              <w:t>2</w:t>
            </w:r>
          </w:p>
        </w:tc>
        <w:tc>
          <w:tcPr>
            <w:tcW w:w="42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具有良好的商业信誉的证明材料</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投标人具有良好的商业信誉的书面声明材料。【</w:t>
            </w:r>
            <w:r>
              <w:rPr>
                <w:rFonts w:hint="eastAsia"/>
                <w:sz w:val="20"/>
              </w:rPr>
              <w:t>说明</w:t>
            </w:r>
            <w:r>
              <w:rPr>
                <w:sz w:val="20"/>
              </w:rPr>
              <w:t>：</w:t>
            </w:r>
            <w:r>
              <w:rPr>
                <w:rFonts w:hint="eastAsia" w:ascii="宋体" w:hAnsi="宋体"/>
                <w:sz w:val="20"/>
                <w:szCs w:val="28"/>
              </w:rPr>
              <w:t>①</w:t>
            </w:r>
            <w:r>
              <w:rPr>
                <w:sz w:val="20"/>
              </w:rPr>
              <w:t>按招标文件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r>
              <w:rPr>
                <w:rFonts w:hint="eastAsia" w:ascii="宋体" w:hAnsi="宋体"/>
                <w:sz w:val="20"/>
                <w:szCs w:val="28"/>
              </w:rPr>
              <w:t>；②供应商</w:t>
            </w:r>
            <w:r>
              <w:rPr>
                <w:rFonts w:ascii="宋体" w:hAnsi="宋体"/>
                <w:sz w:val="20"/>
                <w:szCs w:val="28"/>
              </w:rPr>
              <w:t>具有良好的商业信誉</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参加政府采购活动前三年内，在经营活动中没有重大违法记录</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1.投标人参加政府采购活动前三年内，在经营活动中没有重大违法记录的书面声明材料</w:t>
            </w:r>
            <w:r>
              <w:rPr>
                <w:rFonts w:hint="eastAsia"/>
                <w:sz w:val="20"/>
              </w:rPr>
              <w:t>。</w:t>
            </w:r>
            <w:r>
              <w:rPr>
                <w:sz w:val="20"/>
              </w:rPr>
              <w:t>【说明：</w:t>
            </w:r>
            <w:r>
              <w:rPr>
                <w:rFonts w:hint="eastAsia" w:ascii="宋体" w:hAnsi="宋体"/>
                <w:sz w:val="20"/>
                <w:szCs w:val="28"/>
              </w:rPr>
              <w:t>①</w:t>
            </w:r>
            <w:r>
              <w:rPr>
                <w:sz w:val="20"/>
              </w:rPr>
              <w:t>按</w:t>
            </w:r>
            <w:r>
              <w:rPr>
                <w:rFonts w:hint="eastAsia"/>
                <w:sz w:val="20"/>
              </w:rPr>
              <w:t>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r>
              <w:rPr>
                <w:rFonts w:hint="eastAsia"/>
                <w:sz w:val="20"/>
              </w:rPr>
              <w:t>；</w:t>
            </w:r>
            <w:r>
              <w:rPr>
                <w:rFonts w:hint="eastAsia" w:ascii="宋体" w:hAnsi="宋体"/>
                <w:sz w:val="20"/>
                <w:szCs w:val="28"/>
              </w:rPr>
              <w:t>②供应商参加政府采购活动前三年内，在经营活动中没有重大违法记录</w:t>
            </w:r>
            <w:r>
              <w:rPr>
                <w:sz w:val="20"/>
              </w:rPr>
              <w:t>。】</w:t>
            </w:r>
          </w:p>
          <w:p>
            <w:pPr>
              <w:tabs>
                <w:tab w:val="left" w:pos="851"/>
              </w:tabs>
              <w:spacing w:line="360" w:lineRule="auto"/>
              <w:rPr>
                <w:sz w:val="20"/>
              </w:rPr>
            </w:pPr>
            <w:r>
              <w:rPr>
                <w:sz w:val="20"/>
              </w:rPr>
              <w:t>2. 资格审查小组根据“信用中国”</w:t>
            </w:r>
            <w:r>
              <w:rPr>
                <w:rFonts w:hint="eastAsia"/>
                <w:sz w:val="20"/>
              </w:rPr>
              <w:t>和</w:t>
            </w:r>
            <w:r>
              <w:rPr>
                <w:sz w:val="20"/>
              </w:rPr>
              <w:t>“中国政府采购网”网站的查询结果，在资格审查期间对投标人在参加政府采购活动前三年内，在经营活动中是否有重大违法记录进行审查</w:t>
            </w:r>
            <w:r>
              <w:rPr>
                <w:rFonts w:hint="eastAsia"/>
                <w:sz w:val="20"/>
              </w:rPr>
              <w:t>。</w:t>
            </w:r>
            <w:r>
              <w:rPr>
                <w:sz w:val="20"/>
              </w:rPr>
              <w:t>【说明：投标人参加政府采购活动前三年内，在经营活动中没有重大违法记录</w:t>
            </w:r>
            <w:r>
              <w:rPr>
                <w:rFonts w:hint="eastAsia"/>
                <w:sz w:val="20"/>
              </w:rPr>
              <w:t>。</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未被列入失信被执行人、重大税收违法案件当事人名单、政府采购严重违法失信行为记录名单</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1.投标人未列入失信被执行人、重大税收违法案件当事人名单、政府采购严重违法失信行为记录名单的书面声明材料</w:t>
            </w:r>
            <w:r>
              <w:rPr>
                <w:rFonts w:hint="eastAsia"/>
                <w:sz w:val="20"/>
              </w:rPr>
              <w:t>。</w:t>
            </w:r>
            <w:r>
              <w:rPr>
                <w:sz w:val="20"/>
              </w:rPr>
              <w:t>【说明：</w:t>
            </w:r>
            <w:r>
              <w:rPr>
                <w:rFonts w:hint="eastAsia" w:ascii="宋体" w:hAnsi="宋体" w:cs="宋体"/>
                <w:sz w:val="20"/>
                <w:lang w:eastAsia="ja-JP"/>
              </w:rPr>
              <w:t>①</w:t>
            </w:r>
            <w:r>
              <w:rPr>
                <w:sz w:val="20"/>
              </w:rPr>
              <w:t>投标人未列入失信被执行人、重大税收违法案件当事人名单、政府采购严重违法失信行为记录名单；</w:t>
            </w:r>
            <w:r>
              <w:rPr>
                <w:rFonts w:hint="eastAsia" w:ascii="宋体" w:hAnsi="宋体"/>
                <w:sz w:val="20"/>
                <w:szCs w:val="28"/>
              </w:rPr>
              <w:t>②</w:t>
            </w:r>
            <w:r>
              <w:rPr>
                <w:sz w:val="20"/>
              </w:rPr>
              <w:t>按</w:t>
            </w:r>
            <w:r>
              <w:rPr>
                <w:rFonts w:hint="eastAsia"/>
                <w:sz w:val="20"/>
              </w:rPr>
              <w:t>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p>
          <w:p>
            <w:pPr>
              <w:tabs>
                <w:tab w:val="left" w:pos="851"/>
              </w:tabs>
              <w:spacing w:line="360" w:lineRule="auto"/>
              <w:rPr>
                <w:sz w:val="20"/>
              </w:rPr>
            </w:pPr>
            <w:r>
              <w:rPr>
                <w:sz w:val="20"/>
              </w:rPr>
              <w:t>2. 资格审查小组根据“信用中国”</w:t>
            </w:r>
            <w:r>
              <w:rPr>
                <w:rFonts w:hint="eastAsia"/>
                <w:sz w:val="20"/>
              </w:rPr>
              <w:t>和</w:t>
            </w:r>
            <w:r>
              <w:rPr>
                <w:sz w:val="20"/>
              </w:rPr>
              <w:t>“中国政府采购网”网站的查询结果，在资格审查期间对投标人在经营活动中是否被列入失信被执行人、重大税收违法案件当事人名单、政府采购严重违法失信行为记录名单进行审查</w:t>
            </w:r>
            <w:r>
              <w:rPr>
                <w:rFonts w:hint="eastAsia"/>
                <w:sz w:val="20"/>
              </w:rPr>
              <w:t>。</w:t>
            </w:r>
            <w:r>
              <w:rPr>
                <w:sz w:val="20"/>
              </w:rPr>
              <w:t>【说明：投标人未列入失信被执行人、重大税收违法案件当事人名单、政府采购严重违法失信行为记录名单。】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未处于被行政部门禁止参与政府采购活动的期限内</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投标人未处于被行政部门禁止参与政府采购活动的期限内。【说明：</w:t>
            </w:r>
            <w:r>
              <w:rPr>
                <w:rFonts w:hint="eastAsia"/>
                <w:sz w:val="20"/>
              </w:rPr>
              <w:t>①</w:t>
            </w:r>
            <w:r>
              <w:rPr>
                <w:sz w:val="20"/>
              </w:rPr>
              <w:t>按招标文件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r>
              <w:rPr>
                <w:rFonts w:hint="eastAsia" w:ascii="宋体" w:hAnsi="宋体"/>
                <w:sz w:val="20"/>
                <w:szCs w:val="28"/>
              </w:rPr>
              <w:t>；②供应商未处于被行政部门禁止参与政府采购活动的期限内。</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sz w:val="20"/>
              </w:rPr>
            </w:pPr>
            <w:r>
              <w:rPr>
                <w:sz w:val="20"/>
              </w:rPr>
              <w:t>行贿犯罪记录</w:t>
            </w:r>
          </w:p>
        </w:tc>
        <w:tc>
          <w:tcPr>
            <w:tcW w:w="6426"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sz w:val="20"/>
              </w:rPr>
            </w:pPr>
            <w:r>
              <w:rPr>
                <w:sz w:val="20"/>
              </w:rPr>
              <w:t>在行贿犯罪信息查询期限内，投标人及其现任法定代表人、主要负责人没有行贿犯罪记录的书面声明材料。【说明：</w:t>
            </w:r>
            <w:r>
              <w:rPr>
                <w:rFonts w:hint="eastAsia" w:ascii="宋体" w:hAnsi="宋体" w:cs="宋体"/>
                <w:sz w:val="20"/>
                <w:lang w:eastAsia="ja-JP"/>
              </w:rPr>
              <w:t>①</w:t>
            </w:r>
            <w:r>
              <w:rPr>
                <w:sz w:val="20"/>
              </w:rPr>
              <w:t>按招标文件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提供书面声明材料，投标文件中不需提供中国裁判文书网（https://wenshu.court.gov.cn）查询结果的证明材料</w:t>
            </w:r>
            <w:r>
              <w:rPr>
                <w:rFonts w:hint="eastAsia"/>
                <w:sz w:val="20"/>
              </w:rPr>
              <w:t>；</w:t>
            </w:r>
            <w:r>
              <w:rPr>
                <w:rFonts w:hint="eastAsia" w:ascii="宋体" w:hAnsi="宋体"/>
                <w:sz w:val="20"/>
                <w:szCs w:val="28"/>
              </w:rPr>
              <w:t>②在行贿犯罪信息查询期限内，供应商及其现任法定代表人、主要负责人没有行贿犯罪记录</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89"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6426"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与投标人负责人为同一人或者存在直接控股、管理关系的相关供应商的书面声明材料。</w:t>
            </w:r>
            <w:r>
              <w:rPr>
                <w:sz w:val="20"/>
              </w:rPr>
              <w:t>【说明：</w:t>
            </w:r>
            <w:r>
              <w:rPr>
                <w:rFonts w:hint="eastAsia"/>
                <w:sz w:val="20"/>
              </w:rPr>
              <w:t>①</w:t>
            </w:r>
            <w:r>
              <w:rPr>
                <w:sz w:val="20"/>
              </w:rPr>
              <w:t>按招标文件3.2.2</w:t>
            </w:r>
            <w:r>
              <w:rPr>
                <w:rFonts w:hint="eastAsia"/>
                <w:sz w:val="20"/>
              </w:rPr>
              <w:t>声明</w:t>
            </w:r>
            <w:r>
              <w:rPr>
                <w:sz w:val="20"/>
              </w:rPr>
              <w:t>的</w:t>
            </w:r>
            <w:r>
              <w:rPr>
                <w:rFonts w:hint="eastAsia"/>
                <w:sz w:val="20"/>
              </w:rPr>
              <w:t>内容</w:t>
            </w:r>
            <w:r>
              <w:rPr>
                <w:sz w:val="20"/>
              </w:rPr>
              <w:t>提供书面声明材料</w:t>
            </w:r>
            <w:r>
              <w:rPr>
                <w:rFonts w:hint="eastAsia"/>
                <w:sz w:val="20"/>
              </w:rPr>
              <w:t>；②参加投标的供应商中无与投标人的负责人为同一人或者存在直接控股、管理关系的供应商</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3</w:t>
            </w:r>
          </w:p>
        </w:tc>
        <w:tc>
          <w:tcPr>
            <w:tcW w:w="42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不属于其他国家相关法律法规规定的禁止参加投标的供应商</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1、根据招标文件的要求不属于禁止参加投标或投标无效的供应商；</w:t>
            </w:r>
          </w:p>
          <w:p>
            <w:pPr>
              <w:tabs>
                <w:tab w:val="left" w:pos="851"/>
              </w:tabs>
              <w:spacing w:line="360" w:lineRule="auto"/>
              <w:rPr>
                <w:sz w:val="20"/>
              </w:rPr>
            </w:pPr>
            <w:r>
              <w:rPr>
                <w:sz w:val="20"/>
              </w:rPr>
              <w:t>2、资格审查小组未发现或者未知晓投标人存在属于国家相关法律法规规定的禁止参加投标或投标无效的供应商。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具有履行合同所必须的设备和专业技术能力</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采购人对投标人履行合同所必须的设备和专业技术能力无其他特殊要求，投标人具有有效的营业执照或法人证书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法律、行政法规规定的其他条件</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资质要求</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无</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2"/>
                <w14:textFill>
                  <w14:solidFill>
                    <w14:schemeClr w14:val="tx1"/>
                  </w14:solidFill>
                </w14:textFill>
              </w:rPr>
              <w:t>联合体投标</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2"/>
                <w14:textFill>
                  <w14:solidFill>
                    <w14:schemeClr w14:val="tx1"/>
                  </w14:solidFill>
                </w14:textFill>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投标保证金</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无</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 w:val="20"/>
                <w:szCs w:val="28"/>
              </w:rPr>
            </w:pPr>
            <w:r>
              <w:rPr>
                <w:sz w:val="20"/>
              </w:rPr>
              <w:t>投标文件解密情况</w:t>
            </w:r>
          </w:p>
        </w:tc>
        <w:tc>
          <w:tcPr>
            <w:tcW w:w="6426"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投标文件签章</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投标文件加盖有投标人（法定名称）电子签章</w:t>
            </w:r>
            <w:r>
              <w:rPr>
                <w:sz w:val="20"/>
              </w:rPr>
              <w:t>。</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投标文件资格性审查部分的语言</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语言符合招标文件的要求。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4</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投标文件资格性审查部分组成</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【说明：投标人按招标文件3.2.1关于投标人资格声明的</w:t>
            </w:r>
            <w:r>
              <w:rPr>
                <w:rFonts w:hint="eastAsia"/>
                <w:sz w:val="20"/>
              </w:rPr>
              <w:t>内容</w:t>
            </w:r>
            <w:r>
              <w:rPr>
                <w:rFonts w:hint="eastAsia" w:ascii="宋体" w:hAnsi="宋体"/>
                <w:sz w:val="20"/>
                <w:szCs w:val="28"/>
              </w:rPr>
              <w:t>提供关于投标人资格声明的函。】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5</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缴纳</w:t>
            </w:r>
            <w:r>
              <w:rPr>
                <w:rFonts w:hint="eastAsia"/>
                <w:sz w:val="20"/>
              </w:rPr>
              <w:t>社保</w:t>
            </w:r>
            <w:r>
              <w:rPr>
                <w:sz w:val="20"/>
              </w:rPr>
              <w:t>的证明材料</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投标人缴纳2021年任意时段的社保的银行电子回单或行政部门出具的社保缴纳证明材料复印件或承诺函（格式自拟）复印件（依法不需要缴纳社保的供应商，应提供相应文件证明其依法不需要缴纳社保）。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6</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缴纳税收的证明材料</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投标人缴纳2021年任意时段的税收的银行电子回单或者行政部门出具的纳税证明或完税证明复印件或承诺函（格式自拟）复印件（依法免税的供应商，应提供相应文件证明其依法免税）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7</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具有健全的财务会计制度的证明材料</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2020会计年度资产负债表复印件。【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区公资交易中心将通知投标人（以现场公示、电话、短信、市公资交易中心网站等任一方式）。投标人如对资格审查结论有异议的，应及时向区公资交易中心反馈意见。区公资交易中心将及时告知资格审查小组。（</w:t>
      </w:r>
      <w:r>
        <w:rPr>
          <w:rFonts w:hint="eastAsia" w:ascii="宋体" w:hAnsi="宋体"/>
          <w:b/>
          <w:bCs/>
          <w:sz w:val="28"/>
          <w:szCs w:val="28"/>
        </w:rPr>
        <w:t>说明：</w:t>
      </w:r>
      <w:r>
        <w:rPr>
          <w:rFonts w:hint="eastAsia" w:ascii="宋体" w:hAnsi="宋体"/>
          <w:sz w:val="28"/>
          <w:szCs w:val="28"/>
        </w:rPr>
        <w:t>无论投标人是否收到通知或提供反馈意见，均不影响资格审查和评标工作，且区公资交易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6" w:name="_Toc3047"/>
      <w:r>
        <w:rPr>
          <w:rFonts w:hint="eastAsia" w:ascii="宋体" w:hAnsi="宋体"/>
          <w:b/>
          <w:bCs/>
          <w:spacing w:val="-20"/>
          <w:kern w:val="44"/>
          <w:sz w:val="32"/>
          <w:szCs w:val="32"/>
        </w:rPr>
        <w:t>评标办法</w:t>
      </w:r>
      <w:bookmarkEnd w:id="186"/>
    </w:p>
    <w:p>
      <w:pPr>
        <w:keepNext/>
        <w:keepLines/>
        <w:numPr>
          <w:ilvl w:val="1"/>
          <w:numId w:val="5"/>
        </w:numPr>
        <w:spacing w:line="360" w:lineRule="auto"/>
        <w:jc w:val="left"/>
        <w:outlineLvl w:val="1"/>
        <w:rPr>
          <w:rFonts w:ascii="宋体" w:hAnsi="宋体"/>
          <w:b/>
          <w:bCs/>
          <w:sz w:val="28"/>
          <w:szCs w:val="28"/>
        </w:rPr>
      </w:pPr>
      <w:bookmarkStart w:id="187" w:name="_Toc5951"/>
      <w:r>
        <w:rPr>
          <w:rFonts w:hint="eastAsia" w:ascii="宋体" w:hAnsi="宋体"/>
          <w:b/>
          <w:bCs/>
          <w:sz w:val="28"/>
          <w:szCs w:val="28"/>
        </w:rPr>
        <w:t>总则</w:t>
      </w:r>
      <w:bookmarkEnd w:id="187"/>
    </w:p>
    <w:p>
      <w:pPr>
        <w:numPr>
          <w:ilvl w:val="0"/>
          <w:numId w:val="3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rPr>
        <w:t>区公资交易中心</w:t>
      </w:r>
      <w:r>
        <w:rPr>
          <w:rFonts w:hint="eastAsia" w:ascii="宋体" w:hAnsi="宋体"/>
          <w:sz w:val="28"/>
          <w:szCs w:val="28"/>
        </w:rPr>
        <w:t>负责组织，具体评标事务由采购人或</w:t>
      </w:r>
      <w:r>
        <w:rPr>
          <w:rFonts w:hint="eastAsia" w:cs="Arial"/>
          <w:sz w:val="28"/>
          <w:szCs w:val="28"/>
        </w:rPr>
        <w:t>区公资交易中心</w:t>
      </w:r>
      <w:r>
        <w:rPr>
          <w:rFonts w:hint="eastAsia" w:ascii="宋体" w:hAnsi="宋体"/>
          <w:sz w:val="28"/>
          <w:szCs w:val="28"/>
        </w:rPr>
        <w:t>依法组建的评标委员会负责。评标委员会由采购人代表和评标专家组成。</w:t>
      </w:r>
    </w:p>
    <w:p>
      <w:pPr>
        <w:numPr>
          <w:ilvl w:val="0"/>
          <w:numId w:val="3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3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39"/>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39"/>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39"/>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39"/>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39"/>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39"/>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39"/>
        </w:numPr>
        <w:spacing w:line="360" w:lineRule="auto"/>
        <w:ind w:left="0" w:firstLine="567"/>
        <w:rPr>
          <w:rFonts w:ascii="宋体" w:hAnsi="宋体"/>
          <w:sz w:val="28"/>
          <w:szCs w:val="28"/>
        </w:rPr>
      </w:pPr>
      <w:r>
        <w:rPr>
          <w:rFonts w:hint="eastAsia" w:ascii="宋体" w:hAnsi="宋体"/>
          <w:sz w:val="28"/>
          <w:szCs w:val="28"/>
        </w:rPr>
        <w:t>向采购人、区公资交易中心或者财政、监察等有关部门报告或举报非法干预评标工作的行为；</w:t>
      </w:r>
    </w:p>
    <w:p>
      <w:pPr>
        <w:numPr>
          <w:ilvl w:val="1"/>
          <w:numId w:val="39"/>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rPr>
        <w:t>区公资交易中心</w:t>
      </w:r>
      <w:r>
        <w:rPr>
          <w:rFonts w:hint="eastAsia" w:ascii="宋体" w:hAnsi="宋体"/>
          <w:sz w:val="28"/>
          <w:szCs w:val="28"/>
        </w:rPr>
        <w:t>或者有关部门报告评标中发现的违法行为。</w:t>
      </w:r>
    </w:p>
    <w:p>
      <w:pPr>
        <w:numPr>
          <w:ilvl w:val="1"/>
          <w:numId w:val="39"/>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3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3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38"/>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评标委员会发现招标文件表述不明确或需要说明的事项，可提请采购人和区公资交易中心书面解释说明。</w:t>
      </w:r>
    </w:p>
    <w:p>
      <w:pPr>
        <w:keepNext/>
        <w:keepLines/>
        <w:numPr>
          <w:ilvl w:val="1"/>
          <w:numId w:val="5"/>
        </w:numPr>
        <w:spacing w:line="360" w:lineRule="auto"/>
        <w:jc w:val="left"/>
        <w:outlineLvl w:val="1"/>
        <w:rPr>
          <w:rFonts w:ascii="宋体" w:hAnsi="宋体"/>
          <w:b/>
          <w:bCs/>
          <w:sz w:val="28"/>
          <w:szCs w:val="28"/>
        </w:rPr>
      </w:pPr>
      <w:bookmarkStart w:id="188" w:name="_Toc26720"/>
      <w:r>
        <w:rPr>
          <w:rFonts w:hint="eastAsia" w:ascii="宋体" w:hAnsi="宋体"/>
          <w:b/>
          <w:bCs/>
          <w:sz w:val="28"/>
          <w:szCs w:val="28"/>
        </w:rPr>
        <w:t>评标方法</w:t>
      </w:r>
      <w:bookmarkEnd w:id="188"/>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189" w:name="_Toc17909"/>
      <w:r>
        <w:rPr>
          <w:rFonts w:hint="eastAsia" w:ascii="宋体" w:hAnsi="宋体"/>
          <w:b/>
          <w:bCs/>
          <w:sz w:val="28"/>
          <w:szCs w:val="28"/>
        </w:rPr>
        <w:t>评标程序</w:t>
      </w:r>
      <w:bookmarkEnd w:id="189"/>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符合性审查标准见下表（按以下顺序审查）：</w:t>
      </w:r>
    </w:p>
    <w:tbl>
      <w:tblPr>
        <w:tblStyle w:val="43"/>
        <w:tblW w:w="5209" w:type="pct"/>
        <w:tblInd w:w="-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069"/>
        <w:gridCol w:w="6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400" w:lineRule="exact"/>
              <w:rPr>
                <w:rFonts w:ascii="宋体" w:hAnsi="宋体" w:cs="宋体"/>
                <w:b/>
                <w:sz w:val="26"/>
                <w:szCs w:val="26"/>
              </w:rPr>
            </w:pPr>
            <w:r>
              <w:rPr>
                <w:rFonts w:hint="eastAsia" w:ascii="宋体" w:hAnsi="宋体" w:cs="宋体"/>
                <w:b/>
                <w:sz w:val="24"/>
                <w:szCs w:val="24"/>
              </w:rPr>
              <w:t>序号</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400" w:lineRule="exact"/>
              <w:rPr>
                <w:rFonts w:ascii="宋体" w:hAnsi="宋体" w:cs="宋体"/>
                <w:b/>
                <w:sz w:val="24"/>
                <w:szCs w:val="24"/>
              </w:rPr>
            </w:pPr>
            <w:r>
              <w:rPr>
                <w:rFonts w:hint="eastAsia" w:ascii="宋体" w:hAnsi="宋体" w:cs="宋体"/>
                <w:b/>
                <w:sz w:val="24"/>
                <w:szCs w:val="24"/>
              </w:rPr>
              <w:t>符合性审查项</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400" w:lineRule="exact"/>
              <w:rPr>
                <w:rFonts w:ascii="宋体" w:hAnsi="宋体" w:cs="宋体"/>
                <w:b/>
                <w:sz w:val="24"/>
                <w:szCs w:val="24"/>
              </w:rPr>
            </w:pPr>
            <w:r>
              <w:rPr>
                <w:rFonts w:hint="eastAsia" w:ascii="宋体" w:hAnsi="宋体" w:cs="宋体"/>
                <w:b/>
                <w:sz w:val="24"/>
                <w:szCs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1</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商务技术响应文件和报价要求响应文件组成</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2</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商务技术响应文件和报价要求响应文件的计量单位、语言、报价货币、投标有效期</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3</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第4章打</w:t>
            </w:r>
            <w:r>
              <w:rPr>
                <w:rFonts w:hint="eastAsia" w:ascii="宋体" w:hAnsi="宋体"/>
                <w:sz w:val="28"/>
                <w:szCs w:val="32"/>
              </w:rPr>
              <w:t>★</w:t>
            </w:r>
            <w:r>
              <w:rPr>
                <w:rFonts w:hint="eastAsia" w:ascii="宋体" w:hAnsi="宋体" w:cs="宋体"/>
                <w:sz w:val="22"/>
              </w:rPr>
              <w:t>号的技术、服务、商务和其他要求</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投标文件均实质性响应招标文件中加</w:t>
            </w:r>
            <w:r>
              <w:rPr>
                <w:rFonts w:hint="eastAsia" w:ascii="宋体" w:hAnsi="宋体"/>
                <w:sz w:val="28"/>
                <w:szCs w:val="32"/>
              </w:rPr>
              <w:t>★</w:t>
            </w:r>
            <w:r>
              <w:rPr>
                <w:rFonts w:hint="eastAsia" w:ascii="宋体" w:hAnsi="宋体" w:cs="宋体"/>
                <w:sz w:val="22"/>
              </w:rPr>
              <w:t>号的技术、服务、商务和其他要求。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4</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进口产品</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5</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不属于禁止参加投标或投标无效的供应商</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（1）根据招标文件的要求不属于禁止参加投标或投标无效的供应商；</w:t>
            </w:r>
          </w:p>
          <w:p>
            <w:pPr>
              <w:tabs>
                <w:tab w:val="left" w:pos="851"/>
              </w:tabs>
              <w:spacing w:line="360" w:lineRule="auto"/>
              <w:rPr>
                <w:rFonts w:ascii="宋体" w:hAnsi="宋体" w:cs="宋体"/>
                <w:sz w:val="22"/>
              </w:rPr>
            </w:pPr>
            <w:r>
              <w:rPr>
                <w:rFonts w:hint="eastAsia" w:ascii="宋体" w:hAnsi="宋体" w:cs="宋体"/>
                <w:sz w:val="22"/>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6</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法定代表人身份证复印件或护照复印件</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trPr>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7</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除资格性审查要求的证明材料外，招标文件要求提供的其他证明材料</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满足招标文件的要求。</w:t>
            </w:r>
          </w:p>
          <w:p>
            <w:pPr>
              <w:tabs>
                <w:tab w:val="left" w:pos="851"/>
              </w:tabs>
              <w:spacing w:line="360" w:lineRule="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8</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报价要求响应文件的投标报价</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开标一览表、报价明细表、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5）如因断电、断网、系统故障或其他不可抗力等因素，导致系统无法使用的，由投标人按评标委员会的要求进行澄清或者说明。】</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投标人的投标文件符合性审查时被判定为无效投标文件的，区公资交易中心将通知投标人（以现场公示、电话、短信、市公资交易中心网站等任一方式）。投标人如对评审结论有异议的，应及时向区公资交易中心反馈意见。区公资交易中心在评审结束前将收到的反馈意见及时告知评标委员会。（</w:t>
      </w:r>
      <w:r>
        <w:rPr>
          <w:rFonts w:hint="eastAsia" w:ascii="宋体" w:hAnsi="宋体"/>
          <w:b/>
          <w:bCs/>
          <w:sz w:val="28"/>
          <w:szCs w:val="28"/>
        </w:rPr>
        <w:t>说明：</w:t>
      </w:r>
      <w:r>
        <w:rPr>
          <w:rFonts w:hint="eastAsia" w:ascii="宋体" w:hAnsi="宋体"/>
          <w:sz w:val="28"/>
          <w:szCs w:val="28"/>
        </w:rPr>
        <w:t>无论投标人是否收到通知或提供反馈意见，均不影响评标委员会的评标工作，且区公资交易中心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40"/>
        </w:numPr>
        <w:tabs>
          <w:tab w:val="left" w:pos="1134"/>
        </w:tabs>
        <w:spacing w:line="360" w:lineRule="auto"/>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区公资交易中心书面解释。区公资交易中心的解释不得改变招标文件的原义或者影响公平、公正，解释事项如果涉及投标人权益的以有利于投标人的原则进行解释。</w:t>
      </w:r>
    </w:p>
    <w:p>
      <w:pPr>
        <w:numPr>
          <w:ilvl w:val="0"/>
          <w:numId w:val="40"/>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0"/>
        </w:numPr>
        <w:tabs>
          <w:tab w:val="left" w:pos="1134"/>
        </w:tabs>
        <w:spacing w:line="360" w:lineRule="auto"/>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1"/>
        </w:numPr>
        <w:tabs>
          <w:tab w:val="left" w:pos="1260"/>
          <w:tab w:val="clear" w:pos="846"/>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41"/>
        </w:numPr>
        <w:tabs>
          <w:tab w:val="left" w:pos="1260"/>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41"/>
        </w:numPr>
        <w:tabs>
          <w:tab w:val="left" w:pos="993"/>
          <w:tab w:val="left" w:pos="1260"/>
          <w:tab w:val="clear" w:pos="846"/>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40"/>
        </w:numPr>
        <w:tabs>
          <w:tab w:val="left" w:pos="1134"/>
        </w:tabs>
        <w:spacing w:line="360" w:lineRule="auto"/>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（一）开标现场宣读的投标报价与投标文件中的投标报价不一致的，以投标人</w:t>
      </w:r>
      <w:r>
        <w:rPr>
          <w:rFonts w:ascii="宋体" w:hAnsi="宋体"/>
          <w:sz w:val="28"/>
          <w:szCs w:val="28"/>
        </w:rPr>
        <w:t>在</w:t>
      </w:r>
      <w:r>
        <w:rPr>
          <w:rFonts w:hint="eastAsia" w:ascii="宋体" w:hAnsi="宋体"/>
          <w:sz w:val="28"/>
          <w:szCs w:val="28"/>
        </w:rPr>
        <w:t>政府采购</w:t>
      </w:r>
      <w:r>
        <w:rPr>
          <w:rFonts w:ascii="宋体" w:hAnsi="宋体"/>
          <w:sz w:val="28"/>
          <w:szCs w:val="28"/>
        </w:rPr>
        <w:t>云平台</w:t>
      </w:r>
      <w:r>
        <w:rPr>
          <w:rFonts w:hint="eastAsia" w:ascii="宋体" w:hAnsi="宋体"/>
          <w:sz w:val="28"/>
          <w:szCs w:val="28"/>
        </w:rPr>
        <w:t>开标</w:t>
      </w:r>
      <w:r>
        <w:rPr>
          <w:rFonts w:ascii="宋体" w:hAnsi="宋体"/>
          <w:sz w:val="28"/>
          <w:szCs w:val="28"/>
        </w:rPr>
        <w:t>一览表中填写的报价为准</w:t>
      </w:r>
      <w:r>
        <w:rPr>
          <w:rFonts w:hint="eastAsia" w:ascii="宋体" w:hAnsi="宋体"/>
          <w:sz w:val="28"/>
          <w:szCs w:val="28"/>
        </w:rPr>
        <w:t>；</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（二）大写金额和小写金额不一致的，以大写金额为准，但大写金额出现文字错误，导致金额无法判断的除外；</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（三）单价金额小数点或者百分比有明显错位的，以总价为准，并修改单价；</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（四）总价金额与按单价汇总金额不一致的，以单价金额计算结果为准。</w:t>
      </w:r>
    </w:p>
    <w:p>
      <w:pPr>
        <w:spacing w:line="360" w:lineRule="auto"/>
        <w:ind w:firstLine="561"/>
        <w:rPr>
          <w:sz w:val="28"/>
          <w:szCs w:val="28"/>
        </w:rPr>
      </w:pPr>
      <w:r>
        <w:rPr>
          <w:rFonts w:hint="eastAsia"/>
          <w:sz w:val="28"/>
          <w:szCs w:val="28"/>
        </w:rPr>
        <w:t>同时出现两种以上不一致的，按照前款规定的顺序修正。修正后的报价经投标人确认后产生约束力，投标人不确认的，其投标无效。</w:t>
      </w:r>
    </w:p>
    <w:p>
      <w:pPr>
        <w:tabs>
          <w:tab w:val="left" w:pos="720"/>
        </w:tabs>
        <w:spacing w:line="360" w:lineRule="auto"/>
        <w:ind w:firstLine="561"/>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rPr>
        <w:t>区公资交易中心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42"/>
        </w:numPr>
        <w:tabs>
          <w:tab w:val="left" w:pos="851"/>
          <w:tab w:val="left" w:pos="1276"/>
        </w:tabs>
        <w:spacing w:line="360" w:lineRule="auto"/>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42"/>
        </w:numPr>
        <w:tabs>
          <w:tab w:val="left" w:pos="851"/>
          <w:tab w:val="left" w:pos="1276"/>
        </w:tabs>
        <w:spacing w:line="360" w:lineRule="auto"/>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42"/>
        </w:numPr>
        <w:tabs>
          <w:tab w:val="left" w:pos="851"/>
          <w:tab w:val="left" w:pos="1276"/>
          <w:tab w:val="left" w:pos="1560"/>
        </w:tabs>
        <w:spacing w:line="360" w:lineRule="auto"/>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42"/>
        </w:numPr>
        <w:tabs>
          <w:tab w:val="left" w:pos="851"/>
          <w:tab w:val="left" w:pos="1276"/>
        </w:tabs>
        <w:spacing w:line="360" w:lineRule="auto"/>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851"/>
        </w:tabs>
        <w:spacing w:line="360" w:lineRule="auto"/>
        <w:ind w:firstLine="565" w:firstLineChars="202"/>
        <w:rPr>
          <w:rFonts w:ascii="Helvetica" w:hAnsi="Helvetica" w:cs="Helvetica"/>
          <w:kern w:val="0"/>
          <w:sz w:val="28"/>
          <w:szCs w:val="28"/>
        </w:rPr>
      </w:pPr>
      <w:r>
        <w:rPr>
          <w:rFonts w:hint="eastAsia" w:ascii="宋体" w:hAnsi="宋体"/>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kern w:val="0"/>
          <w:sz w:val="28"/>
          <w:szCs w:val="28"/>
        </w:rPr>
        <w:t>投标文件满足招标文件全部实质性要求，且按照评审因素的量化指标评审得分最高的投标人为排名第一的中标候选人。</w:t>
      </w:r>
    </w:p>
    <w:p>
      <w:pPr>
        <w:tabs>
          <w:tab w:val="left" w:pos="851"/>
        </w:tabs>
        <w:spacing w:line="360" w:lineRule="auto"/>
        <w:ind w:firstLine="565" w:firstLineChars="202"/>
        <w:rPr>
          <w:rFonts w:ascii="宋体" w:hAnsi="宋体"/>
          <w:sz w:val="28"/>
          <w:szCs w:val="28"/>
        </w:rPr>
      </w:pPr>
      <w:r>
        <w:rPr>
          <w:rFonts w:hint="eastAsia" w:ascii="宋体" w:hAnsi="宋体"/>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2"/>
          <w:numId w:val="5"/>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360" w:lineRule="auto"/>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43"/>
        </w:numPr>
        <w:tabs>
          <w:tab w:val="left" w:pos="1155"/>
        </w:tabs>
        <w:spacing w:line="360" w:lineRule="auto"/>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43"/>
        </w:numPr>
        <w:tabs>
          <w:tab w:val="left" w:pos="1155"/>
        </w:tabs>
        <w:spacing w:line="360" w:lineRule="auto"/>
        <w:ind w:left="0" w:firstLine="525"/>
        <w:rPr>
          <w:rFonts w:ascii="宋体" w:hAnsi="宋体"/>
          <w:sz w:val="28"/>
          <w:szCs w:val="28"/>
        </w:rPr>
      </w:pPr>
      <w:r>
        <w:rPr>
          <w:rFonts w:hint="eastAsia" w:ascii="宋体" w:hAnsi="宋体"/>
          <w:sz w:val="28"/>
          <w:szCs w:val="28"/>
        </w:rPr>
        <w:t>投标人名单和评标委员会成员名单；</w:t>
      </w:r>
    </w:p>
    <w:p>
      <w:pPr>
        <w:numPr>
          <w:ilvl w:val="0"/>
          <w:numId w:val="43"/>
        </w:numPr>
        <w:tabs>
          <w:tab w:val="left" w:pos="1155"/>
        </w:tabs>
        <w:spacing w:line="360" w:lineRule="auto"/>
        <w:ind w:left="0" w:firstLine="525"/>
        <w:rPr>
          <w:rFonts w:ascii="宋体" w:hAnsi="宋体"/>
          <w:sz w:val="28"/>
          <w:szCs w:val="28"/>
        </w:rPr>
      </w:pPr>
      <w:r>
        <w:rPr>
          <w:rFonts w:hint="eastAsia" w:ascii="宋体" w:hAnsi="宋体"/>
          <w:sz w:val="28"/>
          <w:szCs w:val="28"/>
        </w:rPr>
        <w:t>评标方法和标准；</w:t>
      </w:r>
    </w:p>
    <w:p>
      <w:pPr>
        <w:numPr>
          <w:ilvl w:val="0"/>
          <w:numId w:val="43"/>
        </w:numPr>
        <w:tabs>
          <w:tab w:val="left" w:pos="1155"/>
        </w:tabs>
        <w:spacing w:line="360" w:lineRule="auto"/>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43"/>
        </w:numPr>
        <w:tabs>
          <w:tab w:val="left" w:pos="1155"/>
        </w:tabs>
        <w:spacing w:line="360" w:lineRule="auto"/>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43"/>
        </w:numPr>
        <w:tabs>
          <w:tab w:val="left" w:pos="1155"/>
        </w:tabs>
        <w:spacing w:line="360" w:lineRule="auto"/>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43"/>
        </w:numPr>
        <w:tabs>
          <w:tab w:val="left" w:pos="1155"/>
        </w:tabs>
        <w:spacing w:line="360" w:lineRule="auto"/>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190" w:name="_Toc31485"/>
      <w:r>
        <w:rPr>
          <w:rFonts w:hint="eastAsia" w:ascii="宋体" w:hAnsi="宋体"/>
          <w:b/>
          <w:bCs/>
          <w:sz w:val="28"/>
          <w:szCs w:val="28"/>
        </w:rPr>
        <w:t>评标争议处理规则</w:t>
      </w:r>
      <w:bookmarkEnd w:id="190"/>
    </w:p>
    <w:p>
      <w:pPr>
        <w:tabs>
          <w:tab w:val="left" w:pos="1155"/>
        </w:tabs>
        <w:spacing w:line="360" w:lineRule="auto"/>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rPr>
        <w:t>区公资交易中心</w:t>
      </w:r>
      <w:r>
        <w:rPr>
          <w:rFonts w:hint="eastAsia" w:ascii="宋体" w:hAnsi="宋体"/>
          <w:sz w:val="28"/>
          <w:szCs w:val="28"/>
        </w:rPr>
        <w:t>书面反映。采购人或</w:t>
      </w:r>
      <w:r>
        <w:rPr>
          <w:rFonts w:hint="eastAsia" w:cs="Arial"/>
          <w:sz w:val="28"/>
          <w:szCs w:val="28"/>
        </w:rPr>
        <w:t>区公资交易中心</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191" w:name="_Toc28801"/>
      <w:r>
        <w:rPr>
          <w:rFonts w:hint="eastAsia" w:ascii="宋体" w:hAnsi="宋体"/>
          <w:b/>
          <w:bCs/>
          <w:sz w:val="28"/>
          <w:szCs w:val="28"/>
        </w:rPr>
        <w:t>评标细则及标准</w:t>
      </w:r>
      <w:bookmarkEnd w:id="191"/>
    </w:p>
    <w:p>
      <w:pPr>
        <w:numPr>
          <w:ilvl w:val="0"/>
          <w:numId w:val="44"/>
        </w:numPr>
        <w:tabs>
          <w:tab w:val="left" w:pos="1155"/>
        </w:tabs>
        <w:spacing w:line="360" w:lineRule="auto"/>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44"/>
        </w:numPr>
        <w:tabs>
          <w:tab w:val="left" w:pos="1155"/>
        </w:tabs>
        <w:spacing w:line="360" w:lineRule="auto"/>
        <w:ind w:left="0" w:firstLine="567"/>
        <w:rPr>
          <w:rFonts w:ascii="宋体" w:hAnsi="宋体"/>
          <w:sz w:val="28"/>
          <w:szCs w:val="28"/>
        </w:rPr>
      </w:pPr>
      <w:r>
        <w:rPr>
          <w:rFonts w:hint="eastAsia" w:ascii="宋体" w:hAnsi="宋体"/>
          <w:sz w:val="28"/>
          <w:szCs w:val="28"/>
        </w:rPr>
        <w:t>本次综合评分的因素是：价格、服务、商务等。</w:t>
      </w:r>
    </w:p>
    <w:p>
      <w:pPr>
        <w:numPr>
          <w:ilvl w:val="0"/>
          <w:numId w:val="44"/>
        </w:numPr>
        <w:tabs>
          <w:tab w:val="left" w:pos="1155"/>
        </w:tabs>
        <w:spacing w:line="360" w:lineRule="auto"/>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360" w:lineRule="auto"/>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360" w:lineRule="auto"/>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评分标准</w:t>
      </w:r>
    </w:p>
    <w:tbl>
      <w:tblPr>
        <w:tblStyle w:val="43"/>
        <w:tblW w:w="10065" w:type="dxa"/>
        <w:tblInd w:w="-719" w:type="dxa"/>
        <w:tblLayout w:type="fixed"/>
        <w:tblCellMar>
          <w:top w:w="0" w:type="dxa"/>
          <w:left w:w="108" w:type="dxa"/>
          <w:bottom w:w="0" w:type="dxa"/>
          <w:right w:w="108" w:type="dxa"/>
        </w:tblCellMar>
      </w:tblPr>
      <w:tblGrid>
        <w:gridCol w:w="851"/>
        <w:gridCol w:w="1134"/>
        <w:gridCol w:w="709"/>
        <w:gridCol w:w="4678"/>
        <w:gridCol w:w="1842"/>
        <w:gridCol w:w="851"/>
      </w:tblGrid>
      <w:tr>
        <w:tblPrEx>
          <w:tblCellMar>
            <w:top w:w="0" w:type="dxa"/>
            <w:left w:w="108" w:type="dxa"/>
            <w:bottom w:w="0" w:type="dxa"/>
            <w:right w:w="108" w:type="dxa"/>
          </w:tblCellMar>
        </w:tblPrEx>
        <w:trPr>
          <w:trHeight w:val="20" w:hRule="atLeast"/>
        </w:trPr>
        <w:tc>
          <w:tcPr>
            <w:tcW w:w="851" w:type="dxa"/>
            <w:tcBorders>
              <w:top w:val="single" w:color="000000" w:sz="8" w:space="0"/>
              <w:left w:val="single" w:color="000000" w:sz="8" w:space="0"/>
              <w:bottom w:val="single" w:color="000000" w:sz="4" w:space="0"/>
              <w:right w:val="single" w:color="000000" w:sz="4" w:space="0"/>
            </w:tcBorders>
            <w:vAlign w:val="center"/>
          </w:tcPr>
          <w:p>
            <w:pPr>
              <w:adjustRightInd w:val="0"/>
              <w:snapToGrid w:val="0"/>
              <w:spacing w:line="360" w:lineRule="auto"/>
              <w:jc w:val="center"/>
              <w:rPr>
                <w:rFonts w:cs="宋体" w:asciiTheme="minorEastAsia" w:hAnsiTheme="minorEastAsia" w:eastAsiaTheme="minorEastAsia"/>
                <w:b/>
                <w:bCs/>
                <w:szCs w:val="21"/>
              </w:rPr>
            </w:pPr>
            <w:r>
              <w:rPr>
                <w:rFonts w:hint="eastAsia" w:cs="宋体" w:asciiTheme="minorEastAsia" w:hAnsiTheme="minorEastAsia" w:eastAsiaTheme="minorEastAsia"/>
                <w:b/>
                <w:szCs w:val="21"/>
              </w:rPr>
              <w:t>序号</w:t>
            </w:r>
          </w:p>
        </w:tc>
        <w:tc>
          <w:tcPr>
            <w:tcW w:w="1134" w:type="dxa"/>
            <w:tcBorders>
              <w:top w:val="single" w:color="000000" w:sz="8"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cs="宋体" w:asciiTheme="minorEastAsia" w:hAnsiTheme="minorEastAsia" w:eastAsiaTheme="minorEastAsia"/>
                <w:b/>
                <w:bCs/>
                <w:szCs w:val="21"/>
              </w:rPr>
            </w:pPr>
            <w:r>
              <w:rPr>
                <w:rFonts w:hint="eastAsia" w:cs="宋体" w:asciiTheme="minorEastAsia" w:hAnsiTheme="minorEastAsia" w:eastAsiaTheme="minorEastAsia"/>
                <w:b/>
                <w:szCs w:val="21"/>
              </w:rPr>
              <w:t>评分项目及权重</w:t>
            </w:r>
          </w:p>
        </w:tc>
        <w:tc>
          <w:tcPr>
            <w:tcW w:w="709" w:type="dxa"/>
            <w:tcBorders>
              <w:top w:val="single" w:color="000000" w:sz="8"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cs="宋体" w:asciiTheme="minorEastAsia" w:hAnsiTheme="minorEastAsia" w:eastAsiaTheme="minorEastAsia"/>
                <w:b/>
                <w:bCs/>
                <w:szCs w:val="21"/>
              </w:rPr>
            </w:pPr>
            <w:r>
              <w:rPr>
                <w:rFonts w:hint="eastAsia" w:cs="宋体" w:asciiTheme="minorEastAsia" w:hAnsiTheme="minorEastAsia" w:eastAsiaTheme="minorEastAsia"/>
                <w:b/>
                <w:szCs w:val="21"/>
              </w:rPr>
              <w:t>分值</w:t>
            </w:r>
          </w:p>
        </w:tc>
        <w:tc>
          <w:tcPr>
            <w:tcW w:w="4678" w:type="dxa"/>
            <w:tcBorders>
              <w:top w:val="single" w:color="000000" w:sz="8"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left="135" w:hanging="135" w:hangingChars="64"/>
              <w:jc w:val="center"/>
              <w:rPr>
                <w:rFonts w:cs="宋体" w:asciiTheme="minorEastAsia" w:hAnsiTheme="minorEastAsia" w:eastAsiaTheme="minorEastAsia"/>
                <w:b/>
                <w:bCs/>
                <w:szCs w:val="21"/>
              </w:rPr>
            </w:pPr>
            <w:r>
              <w:rPr>
                <w:rFonts w:hint="eastAsia" w:cs="宋体" w:asciiTheme="minorEastAsia" w:hAnsiTheme="minorEastAsia" w:eastAsiaTheme="minorEastAsia"/>
                <w:b/>
                <w:szCs w:val="21"/>
              </w:rPr>
              <w:t>评分标准</w:t>
            </w:r>
          </w:p>
        </w:tc>
        <w:tc>
          <w:tcPr>
            <w:tcW w:w="1842" w:type="dxa"/>
            <w:tcBorders>
              <w:top w:val="single" w:color="000000" w:sz="8" w:space="0"/>
              <w:left w:val="single" w:color="000000" w:sz="4" w:space="0"/>
              <w:bottom w:val="single" w:color="000000" w:sz="4" w:space="0"/>
              <w:right w:val="single" w:color="000000" w:sz="8" w:space="0"/>
            </w:tcBorders>
            <w:vAlign w:val="center"/>
          </w:tcPr>
          <w:p>
            <w:pPr>
              <w:adjustRightInd w:val="0"/>
              <w:snapToGrid w:val="0"/>
              <w:spacing w:line="360" w:lineRule="auto"/>
              <w:jc w:val="center"/>
              <w:rPr>
                <w:rFonts w:cs="宋体" w:asciiTheme="minorEastAsia" w:hAnsiTheme="minorEastAsia" w:eastAsiaTheme="minorEastAsia"/>
                <w:b/>
                <w:bCs/>
                <w:szCs w:val="21"/>
              </w:rPr>
            </w:pPr>
            <w:r>
              <w:rPr>
                <w:rFonts w:hint="eastAsia" w:cs="宋体" w:asciiTheme="minorEastAsia" w:hAnsiTheme="minorEastAsia" w:eastAsiaTheme="minorEastAsia"/>
                <w:b/>
                <w:szCs w:val="21"/>
              </w:rPr>
              <w:t>说明</w:t>
            </w:r>
          </w:p>
        </w:tc>
        <w:tc>
          <w:tcPr>
            <w:tcW w:w="851" w:type="dxa"/>
            <w:tcBorders>
              <w:top w:val="single" w:color="000000" w:sz="8" w:space="0"/>
              <w:left w:val="single" w:color="000000" w:sz="4" w:space="0"/>
              <w:bottom w:val="single" w:color="000000" w:sz="4" w:space="0"/>
              <w:right w:val="single" w:color="000000" w:sz="8" w:space="0"/>
            </w:tcBorders>
            <w:vAlign w:val="center"/>
          </w:tcPr>
          <w:p>
            <w:pPr>
              <w:adjustRightInd w:val="0"/>
              <w:snapToGrid w:val="0"/>
              <w:spacing w:line="360" w:lineRule="auto"/>
              <w:jc w:val="center"/>
              <w:rPr>
                <w:rFonts w:cs="宋体" w:asciiTheme="minorEastAsia" w:hAnsiTheme="minorEastAsia" w:eastAsiaTheme="minorEastAsia"/>
                <w:b/>
                <w:bCs/>
                <w:kern w:val="0"/>
                <w:szCs w:val="21"/>
                <w:lang w:bidi="ar"/>
              </w:rPr>
            </w:pPr>
            <w:r>
              <w:rPr>
                <w:rFonts w:hint="eastAsia" w:cs="宋体" w:asciiTheme="minorEastAsia" w:hAnsiTheme="minorEastAsia" w:eastAsiaTheme="minorEastAsia"/>
                <w:b/>
                <w:szCs w:val="21"/>
              </w:rPr>
              <w:t>备注</w:t>
            </w:r>
          </w:p>
        </w:tc>
      </w:tr>
      <w:tr>
        <w:tblPrEx>
          <w:tblCellMar>
            <w:top w:w="0" w:type="dxa"/>
            <w:left w:w="108" w:type="dxa"/>
            <w:bottom w:w="0" w:type="dxa"/>
            <w:right w:w="108" w:type="dxa"/>
          </w:tblCellMar>
        </w:tblPrEx>
        <w:trPr>
          <w:trHeight w:val="20" w:hRule="atLeast"/>
        </w:trPr>
        <w:tc>
          <w:tcPr>
            <w:tcW w:w="851" w:type="dxa"/>
            <w:tcBorders>
              <w:top w:val="nil"/>
              <w:left w:val="single" w:color="000000" w:sz="8" w:space="0"/>
              <w:bottom w:val="single" w:color="auto"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lang w:bidi="ar"/>
              </w:rPr>
              <w:t>1</w:t>
            </w:r>
          </w:p>
        </w:tc>
        <w:tc>
          <w:tcPr>
            <w:tcW w:w="1134" w:type="dxa"/>
            <w:tcBorders>
              <w:top w:val="nil"/>
              <w:left w:val="single" w:color="000000" w:sz="4" w:space="0"/>
              <w:bottom w:val="single" w:color="auto"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报价</w:t>
            </w:r>
          </w:p>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lang w:bidi="ar"/>
              </w:rPr>
              <w:t>30%</w:t>
            </w:r>
          </w:p>
        </w:tc>
        <w:tc>
          <w:tcPr>
            <w:tcW w:w="709" w:type="dxa"/>
            <w:tcBorders>
              <w:top w:val="nil"/>
              <w:left w:val="single" w:color="000000" w:sz="4" w:space="0"/>
              <w:bottom w:val="single" w:color="auto"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lang w:bidi="ar"/>
              </w:rPr>
              <w:t>30分</w:t>
            </w:r>
          </w:p>
        </w:tc>
        <w:tc>
          <w:tcPr>
            <w:tcW w:w="4678" w:type="dxa"/>
            <w:tcBorders>
              <w:top w:val="nil"/>
              <w:left w:val="single" w:color="000000" w:sz="4" w:space="0"/>
              <w:bottom w:val="single" w:color="auto" w:sz="4" w:space="0"/>
              <w:right w:val="single" w:color="000000" w:sz="4" w:space="0"/>
            </w:tcBorders>
            <w:vAlign w:val="center"/>
          </w:tcPr>
          <w:p>
            <w:pPr>
              <w:widowControl/>
              <w:spacing w:line="360" w:lineRule="auto"/>
            </w:pPr>
            <w:r>
              <w:rPr>
                <w:rFonts w:hint="eastAsia"/>
              </w:rPr>
              <w:t>满足招标文件要求且投标价格最低的投标报价为评标基准价，其价格分为满分。其他投标人的价格分统一按照下列公式计算：投标报价得分=（评标基准价／投标报价）</w:t>
            </w:r>
            <w:r>
              <w:rPr>
                <w:rFonts w:hint="eastAsia"/>
                <w:szCs w:val="21"/>
              </w:rPr>
              <w:t>×</w:t>
            </w:r>
            <w:r>
              <w:rPr>
                <w:rFonts w:hint="eastAsia"/>
              </w:rPr>
              <w:t>30。</w:t>
            </w:r>
          </w:p>
          <w:p>
            <w:pPr>
              <w:widowControl/>
            </w:pPr>
            <w:r>
              <w:rPr>
                <w:rFonts w:hint="eastAsia"/>
                <w:b/>
                <w:bCs/>
              </w:rPr>
              <w:t>注</w:t>
            </w:r>
            <w:r>
              <w:rPr>
                <w:rFonts w:hint="eastAsia"/>
              </w:rPr>
              <w:t>：1</w:t>
            </w:r>
            <w:r>
              <w:t>.</w:t>
            </w:r>
            <w:r>
              <w:rPr>
                <w:rFonts w:hint="eastAsia"/>
              </w:rPr>
              <w:t>小微企业（监狱企业、残疾人福利性单位视同小微企业）价格扣除等政策评分按照本招标文件投标人须知前附表规定执行。</w:t>
            </w:r>
          </w:p>
          <w:p>
            <w:pPr>
              <w:pStyle w:val="2"/>
            </w:pPr>
            <w:r>
              <w:rPr>
                <w:rFonts w:hint="eastAsia"/>
              </w:rPr>
              <w:t>2.报价评分的取值按四舍五入法，保留小数点后两位。</w:t>
            </w:r>
          </w:p>
        </w:tc>
        <w:tc>
          <w:tcPr>
            <w:tcW w:w="1842" w:type="dxa"/>
            <w:tcBorders>
              <w:top w:val="single" w:color="000000" w:sz="4" w:space="0"/>
              <w:left w:val="single" w:color="000000" w:sz="4" w:space="0"/>
              <w:bottom w:val="single" w:color="000000" w:sz="4" w:space="0"/>
              <w:right w:val="single" w:color="000000" w:sz="8" w:space="0"/>
            </w:tcBorders>
            <w:noWrap/>
            <w:vAlign w:val="center"/>
          </w:tcPr>
          <w:p>
            <w:pPr>
              <w:spacing w:line="360" w:lineRule="auto"/>
              <w:jc w:val="center"/>
              <w:rPr>
                <w:rFonts w:cs="宋体" w:asciiTheme="minorEastAsia" w:hAnsiTheme="minorEastAsia" w:eastAsiaTheme="minorEastAsia"/>
                <w:szCs w:val="21"/>
              </w:rPr>
            </w:pPr>
          </w:p>
        </w:tc>
        <w:tc>
          <w:tcPr>
            <w:tcW w:w="851" w:type="dxa"/>
            <w:tcBorders>
              <w:top w:val="single" w:color="000000" w:sz="4" w:space="0"/>
              <w:left w:val="single" w:color="000000" w:sz="4" w:space="0"/>
              <w:bottom w:val="single" w:color="000000" w:sz="4" w:space="0"/>
              <w:right w:val="single" w:color="000000" w:sz="8" w:space="0"/>
            </w:tcBorders>
            <w:noWrap/>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共同评分因素</w:t>
            </w:r>
          </w:p>
        </w:tc>
      </w:tr>
      <w:tr>
        <w:tblPrEx>
          <w:tblCellMar>
            <w:top w:w="0" w:type="dxa"/>
            <w:left w:w="108" w:type="dxa"/>
            <w:bottom w:w="0" w:type="dxa"/>
            <w:right w:w="108" w:type="dxa"/>
          </w:tblCellMar>
        </w:tblPrEx>
        <w:trPr>
          <w:trHeight w:val="20"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lang w:bidi="ar"/>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技术参数及要求</w:t>
            </w:r>
          </w:p>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lang w:bidi="ar"/>
              </w:rPr>
              <w:t>50%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50分</w:t>
            </w:r>
          </w:p>
        </w:tc>
        <w:tc>
          <w:tcPr>
            <w:tcW w:w="4678" w:type="dxa"/>
            <w:tcBorders>
              <w:top w:val="single" w:color="auto" w:sz="4" w:space="0"/>
              <w:left w:val="single" w:color="auto" w:sz="4" w:space="0"/>
              <w:bottom w:val="single" w:color="auto" w:sz="4" w:space="0"/>
              <w:right w:val="single" w:color="auto" w:sz="4" w:space="0"/>
            </w:tcBorders>
            <w:vAlign w:val="center"/>
          </w:tcPr>
          <w:p>
            <w:pPr>
              <w:spacing w:line="360" w:lineRule="auto"/>
              <w:ind w:left="-38"/>
              <w:rPr>
                <w:rFonts w:cs="宋体" w:asciiTheme="minorEastAsia" w:hAnsiTheme="minorEastAsia" w:eastAsiaTheme="minorEastAsia"/>
                <w:bCs/>
                <w:szCs w:val="21"/>
              </w:rPr>
            </w:pPr>
            <w:r>
              <w:rPr>
                <w:rFonts w:hint="eastAsia" w:cs="宋体" w:asciiTheme="minorEastAsia" w:hAnsiTheme="minorEastAsia" w:eastAsiaTheme="minorEastAsia"/>
                <w:bCs/>
                <w:szCs w:val="21"/>
              </w:rPr>
              <w:t>1．完全满足招标文件“</w:t>
            </w:r>
            <w:r>
              <w:rPr>
                <w:rFonts w:hint="eastAsia" w:cs="宋体" w:asciiTheme="minorEastAsia" w:hAnsiTheme="minorEastAsia" w:eastAsiaTheme="minorEastAsia"/>
                <w:b/>
                <w:bCs/>
                <w:kern w:val="0"/>
                <w:szCs w:val="21"/>
              </w:rPr>
              <w:t>技术参数及要求</w:t>
            </w:r>
            <w:r>
              <w:rPr>
                <w:rFonts w:hint="eastAsia" w:cs="宋体" w:asciiTheme="minorEastAsia" w:hAnsiTheme="minorEastAsia" w:eastAsiaTheme="minorEastAsia"/>
                <w:bCs/>
                <w:szCs w:val="21"/>
              </w:rPr>
              <w:t>”的，没有负偏离得50分。</w:t>
            </w:r>
          </w:p>
          <w:p>
            <w:pPr>
              <w:spacing w:line="360" w:lineRule="auto"/>
              <w:ind w:left="-38"/>
              <w:rPr>
                <w:rFonts w:cs="宋体" w:asciiTheme="minorEastAsia" w:hAnsiTheme="minorEastAsia" w:eastAsiaTheme="minorEastAsia"/>
                <w:bCs/>
                <w:szCs w:val="21"/>
              </w:rPr>
            </w:pPr>
            <w:r>
              <w:rPr>
                <w:rFonts w:hint="eastAsia" w:cs="宋体" w:asciiTheme="minorEastAsia" w:hAnsiTheme="minorEastAsia" w:eastAsiaTheme="minorEastAsia"/>
                <w:bCs/>
                <w:szCs w:val="21"/>
              </w:rPr>
              <w:t>2．如有正负偏离，投标人必须逐一列出并应答。</w:t>
            </w:r>
          </w:p>
          <w:p>
            <w:pPr>
              <w:spacing w:line="360" w:lineRule="auto"/>
              <w:ind w:left="-38"/>
              <w:rPr>
                <w:rFonts w:cs="宋体" w:asciiTheme="minorEastAsia" w:hAnsiTheme="minorEastAsia" w:eastAsiaTheme="minorEastAsia"/>
                <w:bCs/>
                <w:szCs w:val="21"/>
              </w:rPr>
            </w:pPr>
            <w:r>
              <w:rPr>
                <w:rFonts w:hint="eastAsia" w:cs="宋体" w:asciiTheme="minorEastAsia" w:hAnsiTheme="minorEastAsia" w:eastAsiaTheme="minorEastAsia"/>
                <w:bCs/>
                <w:szCs w:val="21"/>
              </w:rPr>
              <w:t>3．投标人针对采购清单中的一般技术参数条款（指未标注 “▲”的条款，共80条）的响应得分规则如下：一般技术参数条款响应得分=（投标人满足一般技术参数条款的数量÷一般技术参数条款的总数量）×</w:t>
            </w:r>
            <w:r>
              <w:rPr>
                <w:rFonts w:hint="eastAsia" w:cs="宋体" w:asciiTheme="minorEastAsia" w:hAnsiTheme="minorEastAsia" w:eastAsiaTheme="minorEastAsia"/>
                <w:b/>
                <w:szCs w:val="21"/>
              </w:rPr>
              <w:t>10</w:t>
            </w:r>
            <w:r>
              <w:rPr>
                <w:rFonts w:hint="eastAsia" w:cs="宋体" w:asciiTheme="minorEastAsia" w:hAnsiTheme="minorEastAsia" w:eastAsiaTheme="minorEastAsia"/>
                <w:bCs/>
                <w:szCs w:val="21"/>
              </w:rPr>
              <w:t>分。</w:t>
            </w:r>
          </w:p>
          <w:p>
            <w:pPr>
              <w:spacing w:line="360" w:lineRule="auto"/>
              <w:ind w:left="-38"/>
              <w:rPr>
                <w:rFonts w:cs="宋体" w:asciiTheme="minorEastAsia" w:hAnsiTheme="minorEastAsia" w:eastAsiaTheme="minorEastAsia"/>
                <w:bCs/>
                <w:szCs w:val="21"/>
              </w:rPr>
            </w:pPr>
            <w:r>
              <w:rPr>
                <w:rFonts w:hint="eastAsia" w:cs="宋体" w:asciiTheme="minorEastAsia" w:hAnsiTheme="minorEastAsia" w:eastAsiaTheme="minorEastAsia"/>
                <w:bCs/>
                <w:szCs w:val="21"/>
              </w:rPr>
              <w:t>4．投标人针对采购清单中带“▲”技术参数条款（共21条）的响应得分规则如下：“▲”技术参数条款响应得分=（投标人满足“▲”技术参数条款的数量÷“▲”技术参数条款的总数量）×</w:t>
            </w:r>
            <w:r>
              <w:rPr>
                <w:rFonts w:hint="eastAsia" w:cs="宋体" w:asciiTheme="minorEastAsia" w:hAnsiTheme="minorEastAsia" w:eastAsiaTheme="minorEastAsia"/>
                <w:b/>
                <w:szCs w:val="21"/>
              </w:rPr>
              <w:t>40</w:t>
            </w:r>
            <w:r>
              <w:rPr>
                <w:rFonts w:hint="eastAsia" w:cs="宋体" w:asciiTheme="minorEastAsia" w:hAnsiTheme="minorEastAsia" w:eastAsiaTheme="minorEastAsia"/>
                <w:bCs/>
                <w:szCs w:val="21"/>
              </w:rPr>
              <w:t>分。</w:t>
            </w:r>
          </w:p>
          <w:p>
            <w:pPr>
              <w:widowControl/>
              <w:spacing w:line="360" w:lineRule="auto"/>
              <w:textAlignment w:val="center"/>
              <w:rPr>
                <w:rFonts w:cs="宋体" w:asciiTheme="minorEastAsia" w:hAnsiTheme="minorEastAsia" w:eastAsiaTheme="minorEastAsia"/>
                <w:szCs w:val="21"/>
              </w:rPr>
            </w:pPr>
            <w:r>
              <w:rPr>
                <w:rFonts w:hint="eastAsia" w:cs="宋体" w:asciiTheme="minorEastAsia" w:hAnsiTheme="minorEastAsia" w:eastAsiaTheme="minorEastAsia"/>
                <w:b/>
                <w:bCs/>
                <w:kern w:val="0"/>
                <w:szCs w:val="21"/>
                <w:lang w:bidi="ar"/>
              </w:rPr>
              <w:t>注：</w:t>
            </w:r>
            <w:r>
              <w:rPr>
                <w:rFonts w:hint="eastAsia" w:cs="宋体" w:asciiTheme="minorEastAsia" w:hAnsiTheme="minorEastAsia" w:eastAsiaTheme="minorEastAsia"/>
                <w:b/>
                <w:bCs/>
                <w:szCs w:val="21"/>
              </w:rPr>
              <w:t>①</w:t>
            </w:r>
            <w:r>
              <w:rPr>
                <w:rFonts w:hint="eastAsia" w:cs="宋体" w:asciiTheme="minorEastAsia" w:hAnsiTheme="minorEastAsia" w:eastAsiaTheme="minorEastAsia"/>
                <w:szCs w:val="21"/>
              </w:rPr>
              <w:t>针对带“▲”条款的技术响应，</w:t>
            </w:r>
            <w:r>
              <w:rPr>
                <w:rFonts w:hint="eastAsia" w:cs="宋体" w:asciiTheme="minorEastAsia" w:hAnsiTheme="minorEastAsia" w:eastAsiaTheme="minorEastAsia"/>
                <w:color w:val="000000" w:themeColor="text1"/>
                <w:szCs w:val="21"/>
                <w14:textFill>
                  <w14:solidFill>
                    <w14:schemeClr w14:val="tx1"/>
                  </w14:solidFill>
                </w14:textFill>
              </w:rPr>
              <w:t>投标人需提供技术参数声明函或产品说明书复印件予以佐</w:t>
            </w:r>
            <w:r>
              <w:rPr>
                <w:rFonts w:hint="eastAsia" w:cs="宋体" w:asciiTheme="minorEastAsia" w:hAnsiTheme="minorEastAsia" w:eastAsiaTheme="minorEastAsia"/>
                <w:szCs w:val="21"/>
              </w:rPr>
              <w:t>证，但招标文件“</w:t>
            </w:r>
            <w:r>
              <w:rPr>
                <w:rFonts w:hint="eastAsia" w:cs="宋体" w:asciiTheme="minorEastAsia" w:hAnsiTheme="minorEastAsia" w:eastAsiaTheme="minorEastAsia"/>
                <w:kern w:val="0"/>
                <w:szCs w:val="21"/>
              </w:rPr>
              <w:t>技术参数及要求</w:t>
            </w:r>
            <w:r>
              <w:rPr>
                <w:rFonts w:hint="eastAsia" w:cs="宋体" w:asciiTheme="minorEastAsia" w:hAnsiTheme="minorEastAsia" w:eastAsiaTheme="minorEastAsia"/>
                <w:szCs w:val="21"/>
              </w:rPr>
              <w:t>”中的“▲”技术条款对技术支撑材料有要求，应按要求提供证明材料原件或复印件，否则对应技术参数条款将视为不满足。</w:t>
            </w:r>
          </w:p>
          <w:p>
            <w:pPr>
              <w:spacing w:line="360" w:lineRule="auto"/>
              <w:ind w:left="-38"/>
              <w:rPr>
                <w:rFonts w:cs="宋体" w:asciiTheme="minorEastAsia" w:hAnsiTheme="minorEastAsia" w:eastAsiaTheme="minorEastAsia"/>
                <w:bCs/>
                <w:szCs w:val="21"/>
              </w:rPr>
            </w:pPr>
            <w:r>
              <w:rPr>
                <w:rFonts w:hint="eastAsia" w:cs="宋体" w:asciiTheme="minorEastAsia" w:hAnsiTheme="minorEastAsia" w:eastAsiaTheme="minorEastAsia"/>
                <w:b/>
                <w:szCs w:val="21"/>
              </w:rPr>
              <w:t>②</w:t>
            </w:r>
            <w:r>
              <w:rPr>
                <w:rFonts w:hint="eastAsia" w:cs="宋体" w:asciiTheme="minorEastAsia" w:hAnsiTheme="minorEastAsia" w:eastAsiaTheme="minorEastAsia"/>
                <w:bCs/>
                <w:szCs w:val="21"/>
              </w:rPr>
              <w:t>针对一般条款的技术响应，如果招标文件“</w:t>
            </w:r>
            <w:r>
              <w:rPr>
                <w:rFonts w:hint="eastAsia" w:cs="宋体" w:asciiTheme="minorEastAsia" w:hAnsiTheme="minorEastAsia" w:eastAsiaTheme="minorEastAsia"/>
                <w:bCs/>
                <w:kern w:val="0"/>
                <w:szCs w:val="21"/>
              </w:rPr>
              <w:t>技术参数及要求</w:t>
            </w:r>
            <w:r>
              <w:rPr>
                <w:rFonts w:hint="eastAsia" w:cs="宋体" w:asciiTheme="minorEastAsia" w:hAnsiTheme="minorEastAsia" w:eastAsiaTheme="minorEastAsia"/>
                <w:bCs/>
                <w:szCs w:val="21"/>
              </w:rPr>
              <w:t>”中技术参数条款对技术支撑材料有要求，应按要求提供，否则对应技术参数条款将视为不满足。</w:t>
            </w:r>
          </w:p>
          <w:p>
            <w:pPr>
              <w:spacing w:line="360" w:lineRule="auto"/>
              <w:ind w:left="-38"/>
              <w:rPr>
                <w:rFonts w:cs="宋体" w:asciiTheme="minorEastAsia" w:hAnsiTheme="minorEastAsia" w:eastAsiaTheme="minorEastAsia"/>
                <w:bCs/>
                <w:szCs w:val="21"/>
              </w:rPr>
            </w:pPr>
            <w:r>
              <w:rPr>
                <w:rFonts w:hint="eastAsia" w:cs="宋体" w:asciiTheme="minorEastAsia" w:hAnsiTheme="minorEastAsia" w:eastAsiaTheme="minorEastAsia"/>
                <w:b/>
                <w:szCs w:val="21"/>
              </w:rPr>
              <w:t>③</w:t>
            </w:r>
            <w:r>
              <w:rPr>
                <w:rFonts w:hint="eastAsia" w:cs="宋体" w:asciiTheme="minorEastAsia" w:hAnsiTheme="minorEastAsia" w:eastAsiaTheme="minorEastAsia"/>
                <w:bCs/>
                <w:szCs w:val="21"/>
              </w:rPr>
              <w:t>得分保留小数点后两位小数，四舍五入。</w:t>
            </w:r>
          </w:p>
          <w:p>
            <w:pPr>
              <w:spacing w:line="360" w:lineRule="auto"/>
              <w:ind w:left="-38"/>
              <w:rPr>
                <w:rFonts w:cs="宋体" w:asciiTheme="minorEastAsia" w:hAnsiTheme="minorEastAsia" w:eastAsiaTheme="minorEastAsia"/>
                <w:bCs/>
                <w:szCs w:val="21"/>
              </w:rPr>
            </w:pPr>
            <w:r>
              <w:rPr>
                <w:rFonts w:hint="eastAsia" w:cs="宋体" w:asciiTheme="minorEastAsia" w:hAnsiTheme="minorEastAsia" w:eastAsiaTheme="minorEastAsia"/>
                <w:b/>
                <w:szCs w:val="21"/>
              </w:rPr>
              <w:t>④</w:t>
            </w:r>
            <w:r>
              <w:rPr>
                <w:rFonts w:hint="eastAsia" w:cs="宋体" w:asciiTheme="minorEastAsia" w:hAnsiTheme="minorEastAsia" w:eastAsiaTheme="minorEastAsia"/>
                <w:bCs/>
                <w:color w:val="000000" w:themeColor="text1"/>
                <w:szCs w:val="21"/>
                <w14:textFill>
                  <w14:solidFill>
                    <w14:schemeClr w14:val="tx1"/>
                  </w14:solidFill>
                </w14:textFill>
              </w:rPr>
              <w:t>技术参数条款是指4</w:t>
            </w:r>
            <w:r>
              <w:rPr>
                <w:rFonts w:cs="宋体" w:asciiTheme="minorEastAsia" w:hAnsiTheme="minorEastAsia" w:eastAsiaTheme="minorEastAsia"/>
                <w:bCs/>
                <w:color w:val="000000" w:themeColor="text1"/>
                <w:szCs w:val="21"/>
                <w14:textFill>
                  <w14:solidFill>
                    <w14:schemeClr w14:val="tx1"/>
                  </w14:solidFill>
                </w14:textFill>
              </w:rPr>
              <w:t>.2.1</w:t>
            </w:r>
            <w:r>
              <w:rPr>
                <w:rFonts w:hint="eastAsia" w:cs="宋体" w:asciiTheme="minorEastAsia" w:hAnsiTheme="minorEastAsia" w:eastAsiaTheme="minorEastAsia"/>
                <w:bCs/>
                <w:color w:val="000000" w:themeColor="text1"/>
                <w:szCs w:val="21"/>
                <w14:textFill>
                  <w14:solidFill>
                    <w14:schemeClr w14:val="tx1"/>
                  </w14:solidFill>
                </w14:textFill>
              </w:rPr>
              <w:t>技术参数表中“技术参数”列中以阿拉伯数字标注的表示为一条。</w:t>
            </w:r>
          </w:p>
        </w:tc>
        <w:tc>
          <w:tcPr>
            <w:tcW w:w="1842" w:type="dxa"/>
            <w:tcBorders>
              <w:top w:val="single" w:color="000000" w:sz="4" w:space="0"/>
              <w:left w:val="single" w:color="auto" w:sz="4" w:space="0"/>
              <w:bottom w:val="single" w:color="auto" w:sz="4" w:space="0"/>
              <w:right w:val="single" w:color="000000" w:sz="8" w:space="0"/>
            </w:tcBorders>
            <w:noWrap/>
            <w:vAlign w:val="center"/>
          </w:tcPr>
          <w:p>
            <w:pPr>
              <w:adjustRightInd w:val="0"/>
              <w:snapToGri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以投标人提供的投标文件为准。</w:t>
            </w:r>
          </w:p>
        </w:tc>
        <w:tc>
          <w:tcPr>
            <w:tcW w:w="851" w:type="dxa"/>
            <w:tcBorders>
              <w:top w:val="single" w:color="000000" w:sz="4" w:space="0"/>
              <w:left w:val="single" w:color="000000" w:sz="4" w:space="0"/>
              <w:bottom w:val="single" w:color="auto" w:sz="4" w:space="0"/>
              <w:right w:val="single" w:color="000000" w:sz="8" w:space="0"/>
            </w:tcBorders>
            <w:noWrap/>
            <w:vAlign w:val="center"/>
          </w:tcPr>
          <w:p>
            <w:pPr>
              <w:adjustRightInd w:val="0"/>
              <w:snapToGri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技术评分因素</w:t>
            </w:r>
          </w:p>
        </w:tc>
      </w:tr>
      <w:tr>
        <w:tblPrEx>
          <w:tblCellMar>
            <w:top w:w="0" w:type="dxa"/>
            <w:left w:w="108" w:type="dxa"/>
            <w:bottom w:w="0" w:type="dxa"/>
            <w:right w:w="108" w:type="dxa"/>
          </w:tblCellMar>
        </w:tblPrEx>
        <w:trPr>
          <w:trHeight w:val="20"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lang w:bidi="ar"/>
              </w:rPr>
              <w:t>3</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综合实力及产品保障</w:t>
            </w:r>
          </w:p>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lang w:bidi="ar"/>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lang w:bidi="ar"/>
              </w:rPr>
              <w:t>3分</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投标人提供具有认证资质的认证机构颁发的合法且在有效期内的①质量管理体系认证证书；②环境管理体系认证证书；③职业健康安全管理体系认证证书；每提供1项得1分，本项最多得3分。不提供不得分。</w:t>
            </w:r>
          </w:p>
        </w:tc>
        <w:tc>
          <w:tcPr>
            <w:tcW w:w="1842"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bCs/>
                <w:szCs w:val="21"/>
              </w:rPr>
              <w:t>提供证书复印件</w:t>
            </w:r>
            <w:r>
              <w:rPr>
                <w:rFonts w:hint="eastAsia" w:cs="宋体" w:asciiTheme="minorEastAsia" w:hAnsiTheme="minorEastAsia" w:eastAsiaTheme="minorEastAsia"/>
                <w:kern w:val="0"/>
                <w:szCs w:val="21"/>
                <w:lang w:bidi="ar"/>
              </w:rPr>
              <w:t>或全国认证认可信息公共服务平台查询截图</w:t>
            </w:r>
            <w:r>
              <w:rPr>
                <w:rFonts w:hint="eastAsia" w:cs="宋体" w:asciiTheme="minorEastAsia" w:hAnsiTheme="minorEastAsia" w:eastAsiaTheme="minorEastAsia"/>
                <w:szCs w:val="21"/>
              </w:rPr>
              <w:t>。</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共同评分因素</w:t>
            </w:r>
          </w:p>
        </w:tc>
      </w:tr>
      <w:tr>
        <w:tblPrEx>
          <w:tblCellMar>
            <w:top w:w="0" w:type="dxa"/>
            <w:left w:w="108" w:type="dxa"/>
            <w:bottom w:w="0" w:type="dxa"/>
            <w:right w:w="108" w:type="dxa"/>
          </w:tblCellMar>
        </w:tblPrEx>
        <w:trPr>
          <w:trHeight w:val="20" w:hRule="atLeast"/>
        </w:trPr>
        <w:tc>
          <w:tcPr>
            <w:tcW w:w="851" w:type="dxa"/>
            <w:tcBorders>
              <w:top w:val="single" w:color="auto" w:sz="4" w:space="0"/>
              <w:left w:val="single" w:color="auto" w:sz="4" w:space="0"/>
              <w:right w:val="single" w:color="auto" w:sz="4" w:space="0"/>
            </w:tcBorders>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lang w:bidi="ar"/>
              </w:rPr>
              <w:t>4</w:t>
            </w:r>
          </w:p>
        </w:tc>
        <w:tc>
          <w:tcPr>
            <w:tcW w:w="1134" w:type="dxa"/>
            <w:tcBorders>
              <w:top w:val="single" w:color="auto" w:sz="4" w:space="0"/>
              <w:left w:val="single" w:color="auto" w:sz="4" w:space="0"/>
              <w:right w:val="single" w:color="auto" w:sz="4" w:space="0"/>
            </w:tcBorders>
            <w:noWrap/>
            <w:vAlign w:val="center"/>
          </w:tcPr>
          <w:p>
            <w:pPr>
              <w:widowControl/>
              <w:spacing w:line="360" w:lineRule="auto"/>
              <w:jc w:val="center"/>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项目实施方案</w:t>
            </w:r>
          </w:p>
          <w:p>
            <w:pPr>
              <w:widowControl/>
              <w:spacing w:line="360" w:lineRule="auto"/>
              <w:jc w:val="center"/>
              <w:textAlignment w:val="center"/>
              <w:rPr>
                <w:rFonts w:cs="宋体" w:asciiTheme="minorEastAsia" w:hAnsiTheme="minorEastAsia" w:eastAsiaTheme="minorEastAsia"/>
                <w:szCs w:val="21"/>
              </w:rPr>
            </w:pPr>
            <w:r>
              <w:rPr>
                <w:rFonts w:cs="宋体" w:asciiTheme="minorEastAsia" w:hAnsiTheme="minorEastAsia" w:eastAsiaTheme="minorEastAsia"/>
                <w:kern w:val="0"/>
                <w:szCs w:val="21"/>
                <w:lang w:bidi="ar"/>
              </w:rPr>
              <w:t>9</w:t>
            </w:r>
            <w:r>
              <w:rPr>
                <w:rFonts w:hint="eastAsia" w:cs="宋体" w:asciiTheme="minorEastAsia" w:hAnsiTheme="minorEastAsia" w:eastAsiaTheme="minorEastAsia"/>
                <w:kern w:val="0"/>
                <w:szCs w:val="21"/>
                <w:lang w:bidi="ar"/>
              </w:rPr>
              <w:t>%</w:t>
            </w:r>
          </w:p>
        </w:tc>
        <w:tc>
          <w:tcPr>
            <w:tcW w:w="709" w:type="dxa"/>
            <w:tcBorders>
              <w:top w:val="single" w:color="auto" w:sz="4" w:space="0"/>
              <w:left w:val="single" w:color="auto" w:sz="4" w:space="0"/>
              <w:right w:val="single" w:color="auto" w:sz="4" w:space="0"/>
            </w:tcBorders>
            <w:vAlign w:val="center"/>
          </w:tcPr>
          <w:p>
            <w:pPr>
              <w:widowControl/>
              <w:spacing w:line="360" w:lineRule="auto"/>
              <w:jc w:val="center"/>
              <w:textAlignment w:val="center"/>
              <w:rPr>
                <w:rFonts w:cs="宋体" w:asciiTheme="minorEastAsia" w:hAnsiTheme="minorEastAsia" w:eastAsiaTheme="minorEastAsia"/>
                <w:szCs w:val="21"/>
              </w:rPr>
            </w:pPr>
            <w:r>
              <w:rPr>
                <w:rFonts w:cs="宋体" w:asciiTheme="minorEastAsia" w:hAnsiTheme="minorEastAsia" w:eastAsiaTheme="minorEastAsia"/>
                <w:kern w:val="0"/>
                <w:szCs w:val="21"/>
                <w:lang w:bidi="ar"/>
              </w:rPr>
              <w:t>9</w:t>
            </w:r>
            <w:r>
              <w:rPr>
                <w:rFonts w:hint="eastAsia" w:cs="宋体" w:asciiTheme="minorEastAsia" w:hAnsiTheme="minorEastAsia" w:eastAsiaTheme="minorEastAsia"/>
                <w:kern w:val="0"/>
                <w:szCs w:val="21"/>
                <w:lang w:bidi="ar"/>
              </w:rPr>
              <w:t>分</w:t>
            </w:r>
          </w:p>
        </w:tc>
        <w:tc>
          <w:tcPr>
            <w:tcW w:w="4678" w:type="dxa"/>
            <w:tcBorders>
              <w:top w:val="single" w:color="auto" w:sz="4" w:space="0"/>
              <w:left w:val="single" w:color="auto" w:sz="4" w:space="0"/>
              <w:right w:val="single" w:color="auto" w:sz="4" w:space="0"/>
            </w:tcBorders>
            <w:vAlign w:val="center"/>
          </w:tcPr>
          <w:p>
            <w:pPr>
              <w:widowControl/>
              <w:spacing w:line="360" w:lineRule="auto"/>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投标人结合对本项目采购需求的理解及采购人实际情况，提供项目实施方案，方案包含但不限于①项目质量方案</w:t>
            </w:r>
            <w:r>
              <w:rPr>
                <w:rFonts w:hint="eastAsia" w:cs="宋体" w:asciiTheme="minorEastAsia" w:hAnsiTheme="minorEastAsia" w:eastAsiaTheme="minorEastAsia"/>
                <w:bCs/>
                <w:szCs w:val="21"/>
              </w:rPr>
              <w:t>；②安装进度计划（进度计划、进度内容）；③调试方案（需提供安装调试人员清单、从业经验）；④工期保障方案（针对本项目实际情况制定的工期保障措施）；⑤</w:t>
            </w:r>
            <w:r>
              <w:rPr>
                <w:rFonts w:hint="eastAsia" w:cs="宋体" w:asciiTheme="minorEastAsia" w:hAnsiTheme="minorEastAsia" w:eastAsiaTheme="minorEastAsia"/>
                <w:kern w:val="0"/>
                <w:szCs w:val="21"/>
                <w:lang w:bidi="ar"/>
              </w:rPr>
              <w:t>培训计划及验收方案；⑥疫情防范措施及保障方案。提供完整方案的得9分，每缺一项方案的扣1.</w:t>
            </w:r>
            <w:r>
              <w:rPr>
                <w:rFonts w:cs="宋体" w:asciiTheme="minorEastAsia" w:hAnsiTheme="minorEastAsia" w:eastAsiaTheme="minorEastAsia"/>
                <w:kern w:val="0"/>
                <w:szCs w:val="21"/>
                <w:lang w:bidi="ar"/>
              </w:rPr>
              <w:t>5</w:t>
            </w:r>
            <w:r>
              <w:rPr>
                <w:rFonts w:hint="eastAsia" w:cs="宋体" w:asciiTheme="minorEastAsia" w:hAnsiTheme="minorEastAsia" w:eastAsiaTheme="minorEastAsia"/>
                <w:kern w:val="0"/>
                <w:szCs w:val="21"/>
                <w:lang w:bidi="ar"/>
              </w:rPr>
              <w:t>分，提供的方案中每有一处具有缺陷</w:t>
            </w:r>
            <w:r>
              <w:rPr>
                <w:rFonts w:hint="eastAsia" w:cs="宋体" w:asciiTheme="minorEastAsia" w:hAnsiTheme="minorEastAsia" w:eastAsiaTheme="minorEastAsia"/>
                <w:color w:val="000000" w:themeColor="text1"/>
                <w:kern w:val="0"/>
                <w:szCs w:val="21"/>
                <w:lang w:bidi="ar"/>
                <w14:textFill>
                  <w14:solidFill>
                    <w14:schemeClr w14:val="tx1"/>
                  </w14:solidFill>
                </w14:textFill>
              </w:rPr>
              <w:t>的扣0.5分</w:t>
            </w:r>
            <w:r>
              <w:rPr>
                <w:rFonts w:hint="eastAsia" w:cs="宋体" w:asciiTheme="minorEastAsia" w:hAnsiTheme="minorEastAsia" w:eastAsiaTheme="minorEastAsia"/>
                <w:kern w:val="0"/>
                <w:szCs w:val="21"/>
                <w:lang w:bidi="ar"/>
              </w:rPr>
              <w:t>，扣完为止。不提供不得分。</w:t>
            </w:r>
          </w:p>
          <w:p>
            <w:pPr>
              <w:pStyle w:val="2"/>
              <w:spacing w:line="360" w:lineRule="auto"/>
              <w:rPr>
                <w:lang w:bidi="ar"/>
              </w:rPr>
            </w:pPr>
            <w:r>
              <w:rPr>
                <w:rFonts w:hint="eastAsia" w:cs="宋体" w:asciiTheme="minorEastAsia" w:hAnsiTheme="minorEastAsia" w:eastAsiaTheme="minorEastAsia"/>
                <w:b/>
                <w:bCs/>
                <w:kern w:val="0"/>
                <w:szCs w:val="21"/>
                <w:lang w:bidi="ar"/>
              </w:rPr>
              <w:t>注：</w:t>
            </w:r>
            <w:r>
              <w:rPr>
                <w:rFonts w:hint="eastAsia" w:cs="宋体" w:asciiTheme="minorEastAsia" w:hAnsiTheme="minorEastAsia" w:eastAsiaTheme="minorEastAsia"/>
                <w:bCs/>
                <w:szCs w:val="21"/>
              </w:rPr>
              <w:t>缺陷是指存在不适用项目实际情况的情形、凭空编造、方案中内容前后不一致、前后逻辑错误、前后矛盾、涉及的规范及标准错误、地点区域错误、内容缺失、不符合采购需求、方案标题与实际内容不相符合、方案不全面。</w:t>
            </w:r>
          </w:p>
        </w:tc>
        <w:tc>
          <w:tcPr>
            <w:tcW w:w="1842" w:type="dxa"/>
            <w:tcBorders>
              <w:top w:val="single" w:color="auto" w:sz="4" w:space="0"/>
              <w:left w:val="single" w:color="auto" w:sz="4" w:space="0"/>
              <w:right w:val="single" w:color="auto" w:sz="4" w:space="0"/>
            </w:tcBorders>
            <w:noWrap/>
            <w:vAlign w:val="center"/>
          </w:tcPr>
          <w:p>
            <w:pPr>
              <w:adjustRightInd w:val="0"/>
              <w:snapToGri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以投标人提供的投标文件为准。</w:t>
            </w:r>
          </w:p>
        </w:tc>
        <w:tc>
          <w:tcPr>
            <w:tcW w:w="85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技术评分因素</w:t>
            </w:r>
          </w:p>
        </w:tc>
      </w:tr>
      <w:tr>
        <w:tblPrEx>
          <w:tblCellMar>
            <w:top w:w="0" w:type="dxa"/>
            <w:left w:w="108" w:type="dxa"/>
            <w:bottom w:w="0" w:type="dxa"/>
            <w:right w:w="108" w:type="dxa"/>
          </w:tblCellMar>
        </w:tblPrEx>
        <w:trPr>
          <w:trHeight w:val="20" w:hRule="atLeast"/>
        </w:trPr>
        <w:tc>
          <w:tcPr>
            <w:tcW w:w="851" w:type="dxa"/>
            <w:tcBorders>
              <w:top w:val="single" w:color="auto" w:sz="4" w:space="0"/>
              <w:left w:val="single" w:color="auto" w:sz="4" w:space="0"/>
              <w:right w:val="single" w:color="auto" w:sz="4" w:space="0"/>
            </w:tcBorders>
            <w:vAlign w:val="center"/>
          </w:tcPr>
          <w:p>
            <w:pPr>
              <w:widowControl/>
              <w:spacing w:line="360" w:lineRule="auto"/>
              <w:jc w:val="center"/>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5</w:t>
            </w:r>
          </w:p>
        </w:tc>
        <w:tc>
          <w:tcPr>
            <w:tcW w:w="1134" w:type="dxa"/>
            <w:tcBorders>
              <w:top w:val="single" w:color="auto" w:sz="4" w:space="0"/>
              <w:left w:val="single" w:color="auto" w:sz="4" w:space="0"/>
              <w:right w:val="single" w:color="auto" w:sz="4" w:space="0"/>
            </w:tcBorders>
            <w:noWrap/>
            <w:vAlign w:val="center"/>
          </w:tcPr>
          <w:p>
            <w:pPr>
              <w:widowControl/>
              <w:spacing w:line="360" w:lineRule="auto"/>
              <w:jc w:val="center"/>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售后服务</w:t>
            </w:r>
            <w:r>
              <w:rPr>
                <w:rFonts w:cs="宋体" w:asciiTheme="minorEastAsia" w:hAnsiTheme="minorEastAsia" w:eastAsiaTheme="minorEastAsia"/>
                <w:kern w:val="0"/>
                <w:szCs w:val="21"/>
                <w:lang w:bidi="ar"/>
              </w:rPr>
              <w:t>6</w:t>
            </w:r>
            <w:r>
              <w:rPr>
                <w:rFonts w:hint="eastAsia" w:cs="宋体" w:asciiTheme="minorEastAsia" w:hAnsiTheme="minorEastAsia" w:eastAsiaTheme="minorEastAsia"/>
                <w:kern w:val="0"/>
                <w:szCs w:val="21"/>
                <w:lang w:bidi="ar"/>
              </w:rPr>
              <w:t>%</w:t>
            </w:r>
          </w:p>
        </w:tc>
        <w:tc>
          <w:tcPr>
            <w:tcW w:w="709" w:type="dxa"/>
            <w:tcBorders>
              <w:top w:val="single" w:color="auto" w:sz="4" w:space="0"/>
              <w:left w:val="single" w:color="auto" w:sz="4" w:space="0"/>
              <w:right w:val="single" w:color="auto" w:sz="4" w:space="0"/>
            </w:tcBorders>
            <w:vAlign w:val="center"/>
          </w:tcPr>
          <w:p>
            <w:pPr>
              <w:widowControl/>
              <w:spacing w:line="360" w:lineRule="auto"/>
              <w:jc w:val="center"/>
              <w:textAlignment w:val="center"/>
              <w:rPr>
                <w:rFonts w:cs="宋体" w:asciiTheme="minorEastAsia" w:hAnsiTheme="minorEastAsia" w:eastAsiaTheme="minorEastAsia"/>
                <w:kern w:val="0"/>
                <w:szCs w:val="21"/>
                <w:lang w:bidi="ar"/>
              </w:rPr>
            </w:pPr>
            <w:r>
              <w:rPr>
                <w:rFonts w:cs="宋体" w:asciiTheme="minorEastAsia" w:hAnsiTheme="minorEastAsia" w:eastAsiaTheme="minorEastAsia"/>
                <w:kern w:val="0"/>
                <w:szCs w:val="21"/>
                <w:lang w:bidi="ar"/>
              </w:rPr>
              <w:t>6</w:t>
            </w:r>
            <w:r>
              <w:rPr>
                <w:rFonts w:hint="eastAsia" w:cs="宋体" w:asciiTheme="minorEastAsia" w:hAnsiTheme="minorEastAsia" w:eastAsiaTheme="minorEastAsia"/>
                <w:kern w:val="0"/>
                <w:szCs w:val="21"/>
                <w:lang w:bidi="ar"/>
              </w:rPr>
              <w:t>分</w:t>
            </w:r>
          </w:p>
        </w:tc>
        <w:tc>
          <w:tcPr>
            <w:tcW w:w="4678" w:type="dxa"/>
            <w:tcBorders>
              <w:top w:val="single" w:color="auto" w:sz="4" w:space="0"/>
              <w:left w:val="single" w:color="auto" w:sz="4" w:space="0"/>
              <w:right w:val="single" w:color="auto" w:sz="4" w:space="0"/>
            </w:tcBorders>
            <w:vAlign w:val="center"/>
          </w:tcPr>
          <w:p>
            <w:pPr>
              <w:widowControl/>
              <w:spacing w:line="360" w:lineRule="auto"/>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投标人结合本项目理解提供售后服务方案（内容包括①售后人员配置方案及分工（提供人员清单、售后经验）；</w:t>
            </w:r>
            <w:r>
              <w:rPr>
                <w:rFonts w:hint="eastAsia" w:cs="宋体" w:asciiTheme="minorEastAsia" w:hAnsiTheme="minorEastAsia" w:eastAsiaTheme="minorEastAsia"/>
                <w:color w:val="000000" w:themeColor="text1"/>
                <w:kern w:val="0"/>
                <w:szCs w:val="21"/>
                <w:lang w:bidi="ar"/>
                <w14:textFill>
                  <w14:solidFill>
                    <w14:schemeClr w14:val="tx1"/>
                  </w14:solidFill>
                </w14:textFill>
              </w:rPr>
              <w:t>②现场服务支持能力（包括售后服务电话、售后服务网点）</w:t>
            </w:r>
            <w:r>
              <w:rPr>
                <w:rFonts w:hint="eastAsia" w:cs="宋体" w:asciiTheme="minorEastAsia" w:hAnsiTheme="minorEastAsia" w:eastAsiaTheme="minorEastAsia"/>
                <w:kern w:val="0"/>
                <w:szCs w:val="21"/>
                <w:lang w:bidi="ar"/>
              </w:rPr>
              <w:t>；③售后巡检方案及质量保证制度；④紧急维修措施；⑤售后培训计划及培训内容；⑥整个项目实施过程涉及到的资料、数据整理及保管方案（包含各环节涉及产品的安装调试记录、验收记录、各流程数据汇总保管处理措施）进行综合评审。提供完整方案的得</w:t>
            </w:r>
            <w:r>
              <w:rPr>
                <w:rFonts w:cs="宋体" w:asciiTheme="minorEastAsia" w:hAnsiTheme="minorEastAsia" w:eastAsiaTheme="minorEastAsia"/>
                <w:kern w:val="0"/>
                <w:szCs w:val="21"/>
                <w:lang w:bidi="ar"/>
              </w:rPr>
              <w:t>6</w:t>
            </w:r>
            <w:r>
              <w:rPr>
                <w:rFonts w:hint="eastAsia" w:cs="宋体" w:asciiTheme="minorEastAsia" w:hAnsiTheme="minorEastAsia" w:eastAsiaTheme="minorEastAsia"/>
                <w:kern w:val="0"/>
                <w:szCs w:val="21"/>
                <w:lang w:bidi="ar"/>
              </w:rPr>
              <w:t>分，每缺一项方案的扣</w:t>
            </w:r>
            <w:r>
              <w:rPr>
                <w:rFonts w:cs="宋体" w:asciiTheme="minorEastAsia" w:hAnsiTheme="minorEastAsia" w:eastAsiaTheme="minorEastAsia"/>
                <w:kern w:val="0"/>
                <w:szCs w:val="21"/>
                <w:lang w:bidi="ar"/>
              </w:rPr>
              <w:t>1</w:t>
            </w:r>
            <w:r>
              <w:rPr>
                <w:rFonts w:hint="eastAsia" w:cs="宋体" w:asciiTheme="minorEastAsia" w:hAnsiTheme="minorEastAsia" w:eastAsiaTheme="minorEastAsia"/>
                <w:kern w:val="0"/>
                <w:szCs w:val="21"/>
                <w:lang w:bidi="ar"/>
              </w:rPr>
              <w:t>分，提供的方案中每有一处具有缺陷的扣0.25分，扣完为止。不提供不得分。</w:t>
            </w:r>
          </w:p>
          <w:p>
            <w:pPr>
              <w:widowControl/>
              <w:spacing w:line="360" w:lineRule="auto"/>
              <w:textAlignment w:val="center"/>
              <w:rPr>
                <w:rFonts w:cs="宋体" w:asciiTheme="minorEastAsia" w:hAnsiTheme="minorEastAsia" w:eastAsiaTheme="minorEastAsia"/>
                <w:b/>
                <w:bCs/>
                <w:kern w:val="0"/>
                <w:szCs w:val="21"/>
                <w:lang w:bidi="ar"/>
              </w:rPr>
            </w:pPr>
            <w:r>
              <w:rPr>
                <w:rFonts w:hint="eastAsia" w:cs="宋体" w:asciiTheme="minorEastAsia" w:hAnsiTheme="minorEastAsia" w:eastAsiaTheme="minorEastAsia"/>
                <w:b/>
                <w:bCs/>
                <w:kern w:val="0"/>
                <w:szCs w:val="21"/>
                <w:lang w:bidi="ar"/>
              </w:rPr>
              <w:t>注：</w:t>
            </w:r>
            <w:r>
              <w:rPr>
                <w:rFonts w:hint="eastAsia" w:cs="宋体" w:asciiTheme="minorEastAsia" w:hAnsiTheme="minorEastAsia" w:eastAsiaTheme="minorEastAsia"/>
                <w:kern w:val="0"/>
                <w:szCs w:val="21"/>
                <w:lang w:bidi="ar"/>
              </w:rPr>
              <w:t>缺陷是指存在不适用项目实际情况的情形、凭空编造、方案中内容前后不一致、前后逻辑错误、涉及的规范及标准错误、地点区域错误、内容缺失、不符合采购需求、方案标题与实际内容不相符合、方案不全面。</w:t>
            </w:r>
          </w:p>
        </w:tc>
        <w:tc>
          <w:tcPr>
            <w:tcW w:w="1842" w:type="dxa"/>
            <w:tcBorders>
              <w:top w:val="single" w:color="auto" w:sz="4" w:space="0"/>
              <w:left w:val="single" w:color="auto" w:sz="4" w:space="0"/>
              <w:right w:val="single" w:color="auto" w:sz="4" w:space="0"/>
            </w:tcBorders>
            <w:noWrap/>
            <w:vAlign w:val="center"/>
          </w:tcPr>
          <w:p>
            <w:pPr>
              <w:adjustRightInd w:val="0"/>
              <w:snapToGri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  </w:t>
            </w:r>
          </w:p>
        </w:tc>
        <w:tc>
          <w:tcPr>
            <w:tcW w:w="85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技术评分因素</w:t>
            </w:r>
          </w:p>
        </w:tc>
      </w:tr>
      <w:tr>
        <w:tblPrEx>
          <w:tblCellMar>
            <w:top w:w="0" w:type="dxa"/>
            <w:left w:w="108" w:type="dxa"/>
            <w:bottom w:w="0" w:type="dxa"/>
            <w:right w:w="108" w:type="dxa"/>
          </w:tblCellMar>
        </w:tblPrEx>
        <w:trPr>
          <w:trHeight w:val="20"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履约能力</w:t>
            </w:r>
          </w:p>
          <w:p>
            <w:pPr>
              <w:widowControl/>
              <w:spacing w:line="360" w:lineRule="auto"/>
              <w:jc w:val="center"/>
              <w:textAlignment w:val="center"/>
              <w:rPr>
                <w:rFonts w:cs="宋体" w:asciiTheme="minorEastAsia" w:hAnsiTheme="minorEastAsia" w:eastAsiaTheme="minorEastAsia"/>
                <w:kern w:val="0"/>
                <w:szCs w:val="21"/>
                <w:lang w:bidi="ar"/>
              </w:rPr>
            </w:pPr>
            <w:r>
              <w:rPr>
                <w:rFonts w:cs="宋体" w:asciiTheme="minorEastAsia" w:hAnsiTheme="minorEastAsia" w:eastAsiaTheme="minorEastAsia"/>
                <w:kern w:val="0"/>
                <w:szCs w:val="21"/>
                <w:lang w:bidi="ar"/>
              </w:rPr>
              <w:t>1</w:t>
            </w:r>
            <w:r>
              <w:rPr>
                <w:rFonts w:hint="eastAsia" w:cs="宋体" w:asciiTheme="minorEastAsia" w:hAnsiTheme="minorEastAsia" w:eastAsiaTheme="minorEastAsia"/>
                <w:kern w:val="0"/>
                <w:szCs w:val="21"/>
                <w:lang w:bidi="ar"/>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cs="宋体" w:asciiTheme="minorEastAsia" w:hAnsiTheme="minorEastAsia" w:eastAsiaTheme="minorEastAsia"/>
                <w:kern w:val="0"/>
                <w:szCs w:val="21"/>
                <w:lang w:bidi="ar"/>
              </w:rPr>
            </w:pPr>
            <w:r>
              <w:rPr>
                <w:rFonts w:cs="宋体" w:asciiTheme="minorEastAsia" w:hAnsiTheme="minorEastAsia" w:eastAsiaTheme="minorEastAsia"/>
                <w:kern w:val="0"/>
                <w:szCs w:val="21"/>
                <w:lang w:bidi="ar"/>
              </w:rPr>
              <w:t>1</w:t>
            </w:r>
            <w:r>
              <w:rPr>
                <w:rFonts w:hint="eastAsia" w:cs="宋体" w:asciiTheme="minorEastAsia" w:hAnsiTheme="minorEastAsia" w:eastAsiaTheme="minorEastAsia"/>
                <w:kern w:val="0"/>
                <w:szCs w:val="21"/>
                <w:lang w:bidi="ar"/>
              </w:rPr>
              <w:t>分</w:t>
            </w:r>
          </w:p>
        </w:tc>
        <w:tc>
          <w:tcPr>
            <w:tcW w:w="4678"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投标人提供自201</w:t>
            </w:r>
            <w:r>
              <w:rPr>
                <w:rFonts w:cs="宋体" w:asciiTheme="minorEastAsia" w:hAnsiTheme="minorEastAsia" w:eastAsiaTheme="minorEastAsia"/>
                <w:kern w:val="0"/>
                <w:szCs w:val="21"/>
                <w:lang w:bidi="ar"/>
              </w:rPr>
              <w:t>9</w:t>
            </w:r>
            <w:r>
              <w:rPr>
                <w:rFonts w:hint="eastAsia" w:cs="宋体" w:asciiTheme="minorEastAsia" w:hAnsiTheme="minorEastAsia" w:eastAsiaTheme="minorEastAsia"/>
                <w:kern w:val="0"/>
                <w:szCs w:val="21"/>
                <w:lang w:bidi="ar"/>
              </w:rPr>
              <w:t>年1月1日（含）至投标截止之日类似项目业绩的，每提供一个得</w:t>
            </w:r>
            <w:r>
              <w:rPr>
                <w:rFonts w:cs="宋体" w:asciiTheme="minorEastAsia" w:hAnsiTheme="minorEastAsia" w:eastAsiaTheme="minorEastAsia"/>
                <w:kern w:val="0"/>
                <w:szCs w:val="21"/>
                <w:lang w:bidi="ar"/>
              </w:rPr>
              <w:t>0</w:t>
            </w:r>
            <w:r>
              <w:rPr>
                <w:rFonts w:hint="eastAsia" w:cs="宋体" w:asciiTheme="minorEastAsia" w:hAnsiTheme="minorEastAsia" w:eastAsiaTheme="minorEastAsia"/>
                <w:kern w:val="0"/>
                <w:szCs w:val="21"/>
                <w:lang w:bidi="ar"/>
              </w:rPr>
              <w:t>.5分，最多得</w:t>
            </w:r>
            <w:r>
              <w:rPr>
                <w:rFonts w:cs="宋体" w:asciiTheme="minorEastAsia" w:hAnsiTheme="minorEastAsia" w:eastAsiaTheme="minorEastAsia"/>
                <w:kern w:val="0"/>
                <w:szCs w:val="21"/>
                <w:lang w:bidi="ar"/>
              </w:rPr>
              <w:t>1</w:t>
            </w:r>
            <w:r>
              <w:rPr>
                <w:rFonts w:hint="eastAsia" w:cs="宋体" w:asciiTheme="minorEastAsia" w:hAnsiTheme="minorEastAsia" w:eastAsiaTheme="minorEastAsia"/>
                <w:kern w:val="0"/>
                <w:szCs w:val="21"/>
                <w:lang w:bidi="ar"/>
              </w:rPr>
              <w:t>分。不提供不得分。</w:t>
            </w:r>
          </w:p>
          <w:p>
            <w:pPr>
              <w:widowControl/>
              <w:spacing w:line="360" w:lineRule="auto"/>
              <w:jc w:val="left"/>
              <w:textAlignment w:val="center"/>
            </w:pPr>
            <w:r>
              <w:rPr>
                <w:rFonts w:hint="eastAsia" w:cs="宋体" w:asciiTheme="minorEastAsia" w:hAnsiTheme="minorEastAsia" w:eastAsiaTheme="minorEastAsia"/>
                <w:b/>
                <w:bCs/>
                <w:kern w:val="0"/>
                <w:szCs w:val="21"/>
                <w:lang w:bidi="ar"/>
              </w:rPr>
              <w:t>注：1</w:t>
            </w:r>
            <w:r>
              <w:rPr>
                <w:rFonts w:cs="宋体" w:asciiTheme="minorEastAsia" w:hAnsiTheme="minorEastAsia" w:eastAsiaTheme="minorEastAsia"/>
                <w:b/>
                <w:bCs/>
                <w:kern w:val="0"/>
                <w:szCs w:val="21"/>
                <w:lang w:bidi="ar"/>
              </w:rPr>
              <w:t>.</w:t>
            </w:r>
            <w:r>
              <w:rPr>
                <w:rFonts w:hint="eastAsia"/>
              </w:rPr>
              <w:t>提供项目合同（协议）复印件或中标（成交）通知书，并提供至少一次合同款项支付凭证复印件。以上证明材料公司名称须与投标人名称完全一致（工商变更的需提供相应证明材料）。</w:t>
            </w:r>
          </w:p>
          <w:p>
            <w:pPr>
              <w:widowControl/>
              <w:spacing w:line="360" w:lineRule="auto"/>
              <w:jc w:val="left"/>
              <w:textAlignment w:val="center"/>
              <w:rPr>
                <w:rFonts w:cs="宋体" w:asciiTheme="minorEastAsia" w:hAnsiTheme="minorEastAsia" w:eastAsiaTheme="minorEastAsia"/>
                <w:b/>
                <w:bCs/>
                <w:kern w:val="0"/>
                <w:szCs w:val="21"/>
                <w:lang w:bidi="ar"/>
              </w:rPr>
            </w:pPr>
            <w:r>
              <w:rPr>
                <w:rFonts w:hint="eastAsia"/>
              </w:rPr>
              <w:t>2</w:t>
            </w:r>
            <w:r>
              <w:t>.</w:t>
            </w:r>
            <w:r>
              <w:rPr>
                <w:rFonts w:hint="eastAsia"/>
              </w:rPr>
              <w:t>同一个项目不同年度签订的合同为一个业绩。</w:t>
            </w:r>
          </w:p>
        </w:tc>
        <w:tc>
          <w:tcPr>
            <w:tcW w:w="1842"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以投标人提供的投标文件为准。</w:t>
            </w:r>
          </w:p>
          <w:p>
            <w:pPr>
              <w:pStyle w:val="2"/>
            </w:pP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共同评分因素</w:t>
            </w:r>
          </w:p>
        </w:tc>
      </w:tr>
      <w:tr>
        <w:tblPrEx>
          <w:tblCellMar>
            <w:top w:w="0" w:type="dxa"/>
            <w:left w:w="108" w:type="dxa"/>
            <w:bottom w:w="0" w:type="dxa"/>
            <w:right w:w="108" w:type="dxa"/>
          </w:tblCellMar>
        </w:tblPrEx>
        <w:trPr>
          <w:trHeight w:val="20" w:hRule="atLeast"/>
        </w:trPr>
        <w:tc>
          <w:tcPr>
            <w:tcW w:w="851" w:type="dxa"/>
            <w:tcBorders>
              <w:top w:val="single" w:color="auto" w:sz="4" w:space="0"/>
              <w:left w:val="single" w:color="000000" w:sz="8" w:space="0"/>
              <w:bottom w:val="single" w:color="000000" w:sz="4" w:space="0"/>
              <w:right w:val="single" w:color="000000" w:sz="4" w:space="0"/>
            </w:tcBorders>
            <w:vAlign w:val="center"/>
          </w:tcPr>
          <w:p>
            <w:pPr>
              <w:adjustRightInd w:val="0"/>
              <w:snapToGri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7</w:t>
            </w:r>
          </w:p>
        </w:tc>
        <w:tc>
          <w:tcPr>
            <w:tcW w:w="1134" w:type="dxa"/>
            <w:tcBorders>
              <w:top w:val="single" w:color="auto"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政府扶持政策1%</w:t>
            </w:r>
          </w:p>
        </w:tc>
        <w:tc>
          <w:tcPr>
            <w:tcW w:w="709" w:type="dxa"/>
            <w:tcBorders>
              <w:top w:val="single" w:color="auto"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1分</w:t>
            </w:r>
          </w:p>
        </w:tc>
        <w:tc>
          <w:tcPr>
            <w:tcW w:w="4678" w:type="dxa"/>
            <w:tcBorders>
              <w:top w:val="single" w:color="auto" w:sz="4" w:space="0"/>
              <w:left w:val="single" w:color="000000" w:sz="4" w:space="0"/>
              <w:bottom w:val="single" w:color="000000" w:sz="4" w:space="0"/>
              <w:right w:val="single" w:color="000000" w:sz="4" w:space="0"/>
            </w:tcBorders>
            <w:vAlign w:val="center"/>
          </w:tcPr>
          <w:p>
            <w:pPr>
              <w:widowControl/>
              <w:spacing w:line="360" w:lineRule="auto"/>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投标产品中属于政府采购优先采购范围的，则每有一项为节能产品或者环境标志产品或者无线局域网产品的得0.25分，非节能、环境标志产品的、无线局域网产品的不得分，本项最多得</w:t>
            </w:r>
            <w:r>
              <w:rPr>
                <w:rFonts w:cs="宋体" w:asciiTheme="minorEastAsia" w:hAnsiTheme="minorEastAsia" w:eastAsiaTheme="minorEastAsia"/>
                <w:kern w:val="0"/>
                <w:szCs w:val="21"/>
                <w:lang w:bidi="ar"/>
              </w:rPr>
              <w:t>1</w:t>
            </w:r>
            <w:r>
              <w:rPr>
                <w:rFonts w:hint="eastAsia" w:cs="宋体" w:asciiTheme="minorEastAsia" w:hAnsiTheme="minorEastAsia" w:eastAsiaTheme="minorEastAsia"/>
                <w:kern w:val="0"/>
                <w:szCs w:val="21"/>
                <w:lang w:bidi="ar"/>
              </w:rPr>
              <w:t>分。</w:t>
            </w:r>
          </w:p>
          <w:p>
            <w:pPr>
              <w:widowControl/>
              <w:spacing w:line="360" w:lineRule="auto"/>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b/>
                <w:bCs/>
                <w:kern w:val="0"/>
                <w:szCs w:val="21"/>
                <w:lang w:bidi="ar"/>
              </w:rPr>
              <w:t>注：</w:t>
            </w:r>
            <w:r>
              <w:rPr>
                <w:rFonts w:hint="eastAsia" w:cs="宋体" w:asciiTheme="minorEastAsia" w:hAnsiTheme="minorEastAsia" w:eastAsiaTheme="minorEastAsia"/>
                <w:kern w:val="0"/>
                <w:szCs w:val="21"/>
                <w:lang w:bidi="ar"/>
              </w:rPr>
              <w:t>①节能产品、环境标志产品优先采购范围以财政部、发展改革委、生态环境部等部门发布的最新品目清单为准。无线局域网产品优先采购范围以中国政府采购网公布的《无线局域网认证产品政府采购清单》为准。</w:t>
            </w:r>
          </w:p>
          <w:p>
            <w:pPr>
              <w:widowControl/>
              <w:spacing w:line="360" w:lineRule="auto"/>
              <w:textAlignment w:val="center"/>
              <w:rPr>
                <w:rFonts w:cs="宋体" w:asciiTheme="minorEastAsia" w:hAnsiTheme="minorEastAsia" w:eastAsiaTheme="minorEastAsia"/>
                <w:kern w:val="0"/>
                <w:szCs w:val="21"/>
                <w:lang w:bidi="ar"/>
              </w:rPr>
            </w:pPr>
            <w:r>
              <w:rPr>
                <w:rFonts w:hint="eastAsia" w:cs="宋体" w:asciiTheme="minorEastAsia" w:hAnsiTheme="minorEastAsia" w:eastAsiaTheme="minorEastAsia"/>
                <w:kern w:val="0"/>
                <w:szCs w:val="21"/>
                <w:lang w:bidi="ar"/>
              </w:rPr>
              <w:t>②投标产品属于优先采购范围内的节能产品或者环境标志产品的，提供国家确定的认证机构出具的、处于有效期之内的节能产品、环境标志产品认证证书复印件。</w:t>
            </w:r>
          </w:p>
          <w:p>
            <w:pPr>
              <w:widowControl/>
              <w:spacing w:line="360" w:lineRule="auto"/>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lang w:bidi="ar"/>
              </w:rPr>
              <w:t>③投标产品属于优先采购范围内的无线局域网产品的，提供政府采购品目清单对应页。</w:t>
            </w:r>
          </w:p>
        </w:tc>
        <w:tc>
          <w:tcPr>
            <w:tcW w:w="1842" w:type="dxa"/>
            <w:tcBorders>
              <w:top w:val="single" w:color="auto" w:sz="4" w:space="0"/>
              <w:left w:val="single" w:color="000000" w:sz="4" w:space="0"/>
              <w:bottom w:val="single" w:color="000000" w:sz="4" w:space="0"/>
              <w:right w:val="single" w:color="000000" w:sz="8" w:space="0"/>
            </w:tcBorders>
            <w:noWrap/>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以投标人提供的投标文件为准。</w:t>
            </w:r>
          </w:p>
        </w:tc>
        <w:tc>
          <w:tcPr>
            <w:tcW w:w="851" w:type="dxa"/>
            <w:tcBorders>
              <w:top w:val="single" w:color="auto" w:sz="4" w:space="0"/>
              <w:left w:val="single" w:color="000000" w:sz="4" w:space="0"/>
              <w:bottom w:val="single" w:color="000000" w:sz="4" w:space="0"/>
              <w:right w:val="single" w:color="000000" w:sz="8" w:space="0"/>
            </w:tcBorders>
            <w:noWrap/>
            <w:vAlign w:val="center"/>
          </w:tcPr>
          <w:p>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共同评分因素</w:t>
            </w:r>
          </w:p>
        </w:tc>
      </w:tr>
    </w:tbl>
    <w:p/>
    <w:p>
      <w:pPr>
        <w:spacing w:line="500" w:lineRule="exact"/>
        <w:ind w:firstLine="560" w:firstLineChars="200"/>
        <w:rPr>
          <w:rFonts w:ascii="宋体" w:hAnsi="宋体"/>
          <w:sz w:val="28"/>
        </w:rPr>
      </w:pPr>
      <w:r>
        <w:rPr>
          <w:rFonts w:hint="eastAsia" w:ascii="宋体" w:hAnsi="宋体"/>
          <w:sz w:val="28"/>
        </w:rPr>
        <w:t>说明：</w:t>
      </w:r>
    </w:p>
    <w:p>
      <w:pPr>
        <w:spacing w:line="500" w:lineRule="exact"/>
        <w:ind w:firstLine="560" w:firstLineChars="200"/>
        <w:rPr>
          <w:rFonts w:ascii="宋体" w:hAnsi="宋体"/>
          <w:sz w:val="28"/>
        </w:rPr>
      </w:pPr>
      <w:r>
        <w:rPr>
          <w:rFonts w:hint="eastAsia" w:ascii="宋体" w:hAnsi="宋体"/>
          <w:sz w:val="28"/>
        </w:rPr>
        <w:t>1、评分的取值按四舍五入法，保留小数点后两位；</w:t>
      </w:r>
    </w:p>
    <w:p>
      <w:pPr>
        <w:spacing w:line="500" w:lineRule="exact"/>
        <w:ind w:firstLine="560" w:firstLineChars="200"/>
        <w:rPr>
          <w:rFonts w:ascii="宋体" w:hAnsi="宋体"/>
          <w:b/>
          <w:bCs/>
          <w:sz w:val="28"/>
          <w:szCs w:val="28"/>
        </w:rPr>
      </w:pPr>
      <w:r>
        <w:rPr>
          <w:rFonts w:hint="eastAsia" w:ascii="宋体" w:hAnsi="宋体"/>
          <w:sz w:val="28"/>
        </w:rPr>
        <w:t>2、评分标准中要求提供复印件的证明材料须清晰可辨。</w:t>
      </w:r>
    </w:p>
    <w:p>
      <w:pPr>
        <w:keepNext/>
        <w:keepLines/>
        <w:numPr>
          <w:ilvl w:val="1"/>
          <w:numId w:val="5"/>
        </w:numPr>
        <w:spacing w:line="360" w:lineRule="auto"/>
        <w:jc w:val="left"/>
        <w:outlineLvl w:val="1"/>
        <w:rPr>
          <w:rFonts w:ascii="宋体" w:hAnsi="宋体"/>
          <w:b/>
          <w:bCs/>
          <w:sz w:val="28"/>
          <w:szCs w:val="28"/>
        </w:rPr>
      </w:pPr>
      <w:bookmarkStart w:id="192" w:name="_Toc6226"/>
      <w:r>
        <w:rPr>
          <w:rFonts w:hint="eastAsia" w:ascii="宋体" w:hAnsi="宋体"/>
          <w:b/>
          <w:bCs/>
          <w:sz w:val="28"/>
          <w:szCs w:val="28"/>
        </w:rPr>
        <w:t>废标</w:t>
      </w:r>
      <w:bookmarkEnd w:id="192"/>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45"/>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45"/>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45"/>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45"/>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45"/>
        </w:numPr>
        <w:tabs>
          <w:tab w:val="left" w:pos="1155"/>
        </w:tabs>
        <w:spacing w:line="360" w:lineRule="auto"/>
        <w:ind w:left="0" w:firstLine="525"/>
        <w:rPr>
          <w:rFonts w:ascii="宋体" w:hAnsi="宋体"/>
          <w:sz w:val="28"/>
          <w:szCs w:val="28"/>
        </w:rPr>
      </w:pPr>
      <w:r>
        <w:rPr>
          <w:rFonts w:hint="eastAsia" w:ascii="宋体" w:hAnsi="宋体"/>
          <w:sz w:val="28"/>
          <w:szCs w:val="28"/>
        </w:rPr>
        <w:t>废标后，区公资交易中心将在“四川政府采购网”和“成都市公共资源交易服务中心”网站上公告。</w:t>
      </w:r>
    </w:p>
    <w:p>
      <w:pPr>
        <w:keepNext/>
        <w:keepLines/>
        <w:numPr>
          <w:ilvl w:val="1"/>
          <w:numId w:val="5"/>
        </w:numPr>
        <w:spacing w:line="360" w:lineRule="auto"/>
        <w:jc w:val="left"/>
        <w:outlineLvl w:val="1"/>
        <w:rPr>
          <w:rFonts w:ascii="宋体" w:hAnsi="宋体"/>
          <w:b/>
          <w:bCs/>
          <w:sz w:val="28"/>
          <w:szCs w:val="28"/>
        </w:rPr>
      </w:pPr>
      <w:bookmarkStart w:id="193" w:name="_Toc30009"/>
      <w:r>
        <w:rPr>
          <w:rFonts w:hint="eastAsia" w:ascii="宋体" w:hAnsi="宋体"/>
          <w:b/>
          <w:bCs/>
          <w:sz w:val="28"/>
          <w:szCs w:val="28"/>
        </w:rPr>
        <w:t>定标</w:t>
      </w:r>
      <w:bookmarkEnd w:id="193"/>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360" w:lineRule="auto"/>
        <w:ind w:firstLine="560" w:firstLineChars="200"/>
        <w:rPr>
          <w:rFonts w:ascii="宋体" w:hAnsi="宋体"/>
          <w:sz w:val="28"/>
          <w:szCs w:val="28"/>
        </w:rPr>
      </w:pPr>
      <w:r>
        <w:rPr>
          <w:rFonts w:hint="eastAsia" w:ascii="宋体" w:hAnsi="宋体"/>
          <w:sz w:val="28"/>
          <w:szCs w:val="28"/>
        </w:rPr>
        <w:t>本项目根据评标委员会确定的中标候选人名单，采购人按顺序确定1名中标人。中标候选供应商并列的，</w:t>
      </w:r>
      <w:r>
        <w:rPr>
          <w:rFonts w:hint="eastAsia" w:ascii="宋体"/>
          <w:sz w:val="28"/>
          <w:szCs w:val="28"/>
        </w:rPr>
        <w:t>由采购人采取随机抽取的方式确定中标人</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cs="Helvetica" w:asciiTheme="minorEastAsia" w:hAnsiTheme="minorEastAsia" w:eastAsiaTheme="minorEastAsia"/>
          <w:kern w:val="0"/>
          <w:sz w:val="28"/>
          <w:szCs w:val="28"/>
        </w:rPr>
        <w:t>采购人在收到评标报告</w:t>
      </w:r>
      <w:r>
        <w:rPr>
          <w:rFonts w:hint="eastAsia" w:cs="宋体" w:asciiTheme="minorEastAsia" w:hAnsiTheme="minorEastAsia" w:eastAsiaTheme="minorEastAsia"/>
          <w:kern w:val="0"/>
          <w:sz w:val="28"/>
          <w:szCs w:val="28"/>
        </w:rPr>
        <w:t>5</w:t>
      </w:r>
      <w:r>
        <w:rPr>
          <w:rFonts w:hint="eastAsia" w:cs="Helvetica" w:asciiTheme="minorEastAsia" w:hAnsiTheme="minorEastAsia" w:eastAsiaTheme="minorEastAsi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二、区公资交易中心在评审结束之日起2个工作日内将评审报告送采购人。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四、根据采购人确定的中标（成交）人，区公资交易中心在“四川政府采购网”和“成都市公共资源交易服务中心”网站上发布中标（成交）公告，同时向中标（成交）人发出中标（成交）通知书。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五、采购人、区公资交易中心不解释中标（成交）或未中标（成交）原因，不退回投标文件和其他投标资料。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8"/>
          <w:szCs w:val="28"/>
        </w:rPr>
      </w:pPr>
      <w:bookmarkStart w:id="194" w:name="_Toc22821"/>
      <w:r>
        <w:rPr>
          <w:rFonts w:hint="eastAsia" w:ascii="宋体" w:hAnsi="宋体"/>
          <w:b/>
          <w:bCs/>
          <w:sz w:val="28"/>
          <w:szCs w:val="28"/>
        </w:rPr>
        <w:t>评标专家在政府采购活动中承担以下义务</w:t>
      </w:r>
      <w:bookmarkEnd w:id="194"/>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保守秘密。不得泄露投标人的投标文件及知悉的商业秘密，不得向投标人透露评审情况。</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发现投标人在政府采购活动中有不正当竞争或恶意串通等违规行为，及时向政府采购评审工作的组织者或财政部门报告并加以制止。</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发现采购人、区公资交易中心及其工作人员在政府采购活动中有干预评审、发表倾向性和歧视性言论、受贿或者接受投标人的其他好处及其他违法违规行为，及时向财政部门报告。</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解答有关方面对政府采购评审工作中有关问题的询问，配合采购人或者区公资交易中心答复投标人的询问、质疑，配合财政部门的投诉处理工作等事宜。</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法律、法规和规章规定的其他义务。</w:t>
      </w:r>
    </w:p>
    <w:p>
      <w:pPr>
        <w:keepNext/>
        <w:keepLines/>
        <w:numPr>
          <w:ilvl w:val="1"/>
          <w:numId w:val="5"/>
        </w:numPr>
        <w:spacing w:line="360" w:lineRule="auto"/>
        <w:jc w:val="left"/>
        <w:outlineLvl w:val="1"/>
        <w:rPr>
          <w:rFonts w:ascii="宋体" w:hAnsi="宋体"/>
          <w:b/>
          <w:bCs/>
          <w:sz w:val="28"/>
          <w:szCs w:val="28"/>
        </w:rPr>
      </w:pPr>
      <w:bookmarkStart w:id="195" w:name="_Toc5738"/>
      <w:r>
        <w:rPr>
          <w:rFonts w:hint="eastAsia" w:ascii="宋体" w:hAnsi="宋体"/>
          <w:b/>
          <w:bCs/>
          <w:sz w:val="28"/>
          <w:szCs w:val="28"/>
        </w:rPr>
        <w:t>评标委员会及其成员不得有下列行为</w:t>
      </w:r>
      <w:bookmarkEnd w:id="195"/>
    </w:p>
    <w:p>
      <w:pPr>
        <w:numPr>
          <w:ilvl w:val="0"/>
          <w:numId w:val="47"/>
        </w:numPr>
        <w:tabs>
          <w:tab w:val="left" w:pos="1155"/>
        </w:tabs>
        <w:spacing w:line="360" w:lineRule="auto"/>
        <w:rPr>
          <w:rFonts w:ascii="宋体" w:hAnsi="宋体"/>
          <w:sz w:val="28"/>
          <w:szCs w:val="28"/>
        </w:rPr>
      </w:pPr>
      <w:r>
        <w:rPr>
          <w:rFonts w:hint="eastAsia" w:ascii="宋体" w:hAnsi="宋体"/>
          <w:sz w:val="28"/>
          <w:szCs w:val="28"/>
        </w:rPr>
        <w:t>确定参与评标至评标结束前私自接触投标人；</w:t>
      </w:r>
    </w:p>
    <w:p>
      <w:pPr>
        <w:numPr>
          <w:ilvl w:val="0"/>
          <w:numId w:val="47"/>
        </w:numPr>
        <w:tabs>
          <w:tab w:val="left" w:pos="1155"/>
        </w:tabs>
        <w:spacing w:line="360" w:lineRule="auto"/>
        <w:ind w:left="0" w:firstLine="567"/>
        <w:rPr>
          <w:rFonts w:ascii="宋体" w:hAnsi="宋体"/>
          <w:sz w:val="28"/>
          <w:szCs w:val="28"/>
        </w:rPr>
      </w:pPr>
      <w:r>
        <w:rPr>
          <w:rFonts w:hint="eastAsia" w:ascii="宋体" w:hAnsi="宋体"/>
          <w:sz w:val="28"/>
          <w:szCs w:val="28"/>
        </w:rPr>
        <w:t>接受投标人提出的与投标文件不一致的澄清或者说明，除招标文件明确可以澄清的除外；</w:t>
      </w:r>
    </w:p>
    <w:p>
      <w:pPr>
        <w:numPr>
          <w:ilvl w:val="0"/>
          <w:numId w:val="47"/>
        </w:numPr>
        <w:tabs>
          <w:tab w:val="left" w:pos="1155"/>
        </w:tabs>
        <w:spacing w:line="360" w:lineRule="auto"/>
        <w:ind w:left="0" w:firstLine="567"/>
        <w:rPr>
          <w:rFonts w:ascii="宋体" w:hAnsi="宋体"/>
          <w:sz w:val="28"/>
          <w:szCs w:val="28"/>
        </w:rPr>
      </w:pPr>
      <w:r>
        <w:rPr>
          <w:rFonts w:hint="eastAsia" w:ascii="宋体" w:hAnsi="宋体"/>
          <w:sz w:val="28"/>
          <w:szCs w:val="28"/>
        </w:rPr>
        <w:t>违反评标纪律发表倾向性意见或者征询采购人的倾向性意见；</w:t>
      </w:r>
    </w:p>
    <w:p>
      <w:pPr>
        <w:numPr>
          <w:ilvl w:val="0"/>
          <w:numId w:val="47"/>
        </w:numPr>
        <w:tabs>
          <w:tab w:val="left" w:pos="1155"/>
        </w:tabs>
        <w:spacing w:line="360" w:lineRule="auto"/>
        <w:rPr>
          <w:rFonts w:ascii="宋体" w:hAnsi="宋体"/>
          <w:sz w:val="28"/>
          <w:szCs w:val="28"/>
        </w:rPr>
      </w:pPr>
      <w:r>
        <w:rPr>
          <w:rFonts w:hint="eastAsia" w:ascii="宋体" w:hAnsi="宋体"/>
          <w:sz w:val="28"/>
          <w:szCs w:val="28"/>
        </w:rPr>
        <w:t>对需要专业判断的主观评审因素协商评分；</w:t>
      </w:r>
    </w:p>
    <w:p>
      <w:pPr>
        <w:numPr>
          <w:ilvl w:val="0"/>
          <w:numId w:val="47"/>
        </w:numPr>
        <w:tabs>
          <w:tab w:val="left" w:pos="1155"/>
        </w:tabs>
        <w:spacing w:line="360" w:lineRule="auto"/>
        <w:rPr>
          <w:rFonts w:ascii="宋体" w:hAnsi="宋体"/>
          <w:sz w:val="28"/>
          <w:szCs w:val="28"/>
        </w:rPr>
      </w:pPr>
      <w:r>
        <w:rPr>
          <w:rFonts w:hint="eastAsia" w:ascii="宋体" w:hAnsi="宋体"/>
          <w:sz w:val="28"/>
          <w:szCs w:val="28"/>
        </w:rPr>
        <w:t>在评标过程中擅离职守，影响评标程序正常进行的；</w:t>
      </w:r>
    </w:p>
    <w:p>
      <w:pPr>
        <w:numPr>
          <w:ilvl w:val="0"/>
          <w:numId w:val="47"/>
        </w:numPr>
        <w:tabs>
          <w:tab w:val="left" w:pos="1155"/>
        </w:tabs>
        <w:spacing w:line="360" w:lineRule="auto"/>
        <w:rPr>
          <w:rFonts w:ascii="宋体" w:hAnsi="宋体"/>
          <w:sz w:val="28"/>
          <w:szCs w:val="28"/>
        </w:rPr>
      </w:pPr>
      <w:r>
        <w:rPr>
          <w:rFonts w:hint="eastAsia" w:ascii="宋体" w:hAnsi="宋体"/>
          <w:sz w:val="28"/>
          <w:szCs w:val="28"/>
        </w:rPr>
        <w:t>记录、复制或者带走任何评标资料；</w:t>
      </w:r>
    </w:p>
    <w:p>
      <w:pPr>
        <w:numPr>
          <w:ilvl w:val="0"/>
          <w:numId w:val="47"/>
        </w:numPr>
        <w:tabs>
          <w:tab w:val="left" w:pos="1155"/>
        </w:tabs>
        <w:spacing w:line="360" w:lineRule="auto"/>
        <w:rPr>
          <w:rFonts w:ascii="宋体" w:hAnsi="宋体"/>
          <w:sz w:val="28"/>
          <w:szCs w:val="28"/>
        </w:rPr>
      </w:pPr>
      <w:r>
        <w:rPr>
          <w:rFonts w:hint="eastAsia" w:ascii="宋体" w:hAnsi="宋体"/>
          <w:sz w:val="28"/>
          <w:szCs w:val="28"/>
        </w:rPr>
        <w:t>其他不遵守评标纪律的行为。</w:t>
      </w:r>
    </w:p>
    <w:p>
      <w:pPr>
        <w:spacing w:line="360" w:lineRule="auto"/>
        <w:ind w:firstLine="560" w:firstLineChars="200"/>
        <w:rPr>
          <w:sz w:val="28"/>
          <w:szCs w:val="28"/>
        </w:rPr>
      </w:pPr>
      <w:r>
        <w:rPr>
          <w:rFonts w:hint="eastAsia"/>
          <w:sz w:val="28"/>
          <w:szCs w:val="28"/>
        </w:rPr>
        <w:t>评标委员会成员有前款第一至五项行为之一的，其评审意见无效，并不得获取评审劳务报酬和报销异地评审差旅费。</w:t>
      </w:r>
    </w:p>
    <w:p>
      <w:pPr>
        <w:keepNext/>
        <w:keepLines/>
        <w:numPr>
          <w:ilvl w:val="1"/>
          <w:numId w:val="5"/>
        </w:numPr>
        <w:spacing w:line="360" w:lineRule="auto"/>
        <w:jc w:val="left"/>
        <w:outlineLvl w:val="1"/>
        <w:rPr>
          <w:rFonts w:ascii="宋体" w:hAnsi="宋体"/>
          <w:b/>
          <w:bCs/>
          <w:sz w:val="28"/>
          <w:szCs w:val="28"/>
        </w:rPr>
      </w:pPr>
      <w:bookmarkStart w:id="196" w:name="_Toc22697"/>
      <w:r>
        <w:rPr>
          <w:rFonts w:hint="eastAsia" w:ascii="宋体" w:hAnsi="宋体"/>
          <w:b/>
          <w:bCs/>
          <w:sz w:val="28"/>
          <w:szCs w:val="28"/>
        </w:rPr>
        <w:t>评标专家在政府采购活动中应当遵守以下工作纪律</w:t>
      </w:r>
      <w:bookmarkEnd w:id="196"/>
    </w:p>
    <w:p>
      <w:pPr>
        <w:numPr>
          <w:ilvl w:val="0"/>
          <w:numId w:val="48"/>
        </w:numPr>
        <w:tabs>
          <w:tab w:val="left" w:pos="1155"/>
        </w:tabs>
        <w:spacing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48"/>
        </w:numPr>
        <w:tabs>
          <w:tab w:val="left" w:pos="1155"/>
        </w:tabs>
        <w:spacing w:line="360" w:lineRule="auto"/>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48"/>
        </w:numPr>
        <w:tabs>
          <w:tab w:val="left" w:pos="1155"/>
        </w:tabs>
        <w:spacing w:line="360" w:lineRule="auto"/>
        <w:ind w:left="0" w:firstLine="527"/>
        <w:rPr>
          <w:rFonts w:ascii="宋体" w:hAnsi="宋体"/>
          <w:sz w:val="28"/>
          <w:szCs w:val="28"/>
        </w:rPr>
      </w:pPr>
      <w:r>
        <w:rPr>
          <w:rFonts w:hint="eastAsia" w:ascii="宋体" w:hAnsi="宋体"/>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sz w:val="28"/>
          <w:szCs w:val="28"/>
        </w:rPr>
        <w:t>区公资交易中心</w:t>
      </w:r>
      <w:r>
        <w:rPr>
          <w:rFonts w:hint="eastAsia" w:ascii="宋体" w:hAnsi="宋体"/>
          <w:sz w:val="28"/>
          <w:szCs w:val="28"/>
        </w:rPr>
        <w:t>，不得私自转托他人。</w:t>
      </w:r>
    </w:p>
    <w:p>
      <w:pPr>
        <w:numPr>
          <w:ilvl w:val="0"/>
          <w:numId w:val="48"/>
        </w:numPr>
        <w:tabs>
          <w:tab w:val="left" w:pos="1155"/>
        </w:tabs>
        <w:spacing w:line="360" w:lineRule="auto"/>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cs="Arial"/>
          <w:sz w:val="28"/>
          <w:szCs w:val="28"/>
        </w:rPr>
        <w:t>区公资交易中心</w:t>
      </w:r>
      <w:r>
        <w:rPr>
          <w:rFonts w:hint="eastAsia" w:ascii="宋体" w:hAnsi="宋体"/>
          <w:sz w:val="28"/>
          <w:szCs w:val="28"/>
        </w:rPr>
        <w:t>也可要求该评标专家回避。</w:t>
      </w:r>
    </w:p>
    <w:p>
      <w:pPr>
        <w:numPr>
          <w:ilvl w:val="0"/>
          <w:numId w:val="48"/>
        </w:numPr>
        <w:tabs>
          <w:tab w:val="left" w:pos="1155"/>
        </w:tabs>
        <w:spacing w:line="360" w:lineRule="auto"/>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8"/>
        </w:numPr>
        <w:tabs>
          <w:tab w:val="left" w:pos="1155"/>
        </w:tabs>
        <w:spacing w:line="360" w:lineRule="auto"/>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8"/>
        </w:numPr>
        <w:tabs>
          <w:tab w:val="left" w:pos="1155"/>
        </w:tabs>
        <w:spacing w:line="360" w:lineRule="auto"/>
        <w:ind w:left="0" w:firstLine="527"/>
        <w:rPr>
          <w:rFonts w:ascii="宋体" w:hAnsi="宋体"/>
          <w:sz w:val="28"/>
          <w:szCs w:val="28"/>
        </w:rPr>
      </w:pPr>
      <w:r>
        <w:rPr>
          <w:rFonts w:hint="eastAsia" w:ascii="宋体" w:hAnsi="宋体"/>
          <w:sz w:val="28"/>
          <w:szCs w:val="28"/>
        </w:rPr>
        <w:t>在评标过程中和评标结束后，不得记录、复制或带走任何评标资料，除因规定的义务外，不得向外界透露评标内容。</w:t>
      </w:r>
    </w:p>
    <w:p>
      <w:pPr>
        <w:numPr>
          <w:ilvl w:val="0"/>
          <w:numId w:val="48"/>
        </w:numPr>
        <w:tabs>
          <w:tab w:val="left" w:pos="1155"/>
        </w:tabs>
        <w:spacing w:line="360" w:lineRule="auto"/>
        <w:ind w:left="0" w:firstLine="527"/>
        <w:rPr>
          <w:rFonts w:ascii="宋体" w:hAnsi="宋体"/>
          <w:sz w:val="28"/>
          <w:szCs w:val="28"/>
        </w:rPr>
      </w:pPr>
      <w:r>
        <w:rPr>
          <w:rFonts w:hint="eastAsia" w:ascii="宋体" w:hAnsi="宋体"/>
          <w:sz w:val="28"/>
          <w:szCs w:val="28"/>
        </w:rPr>
        <w:t>服从评标现场</w:t>
      </w:r>
      <w:r>
        <w:rPr>
          <w:rFonts w:hint="eastAsia" w:cs="Arial"/>
          <w:sz w:val="28"/>
          <w:szCs w:val="28"/>
        </w:rPr>
        <w:t>区公资交易中心</w:t>
      </w:r>
      <w:r>
        <w:rPr>
          <w:rFonts w:hint="eastAsia" w:ascii="宋体" w:hAnsi="宋体"/>
          <w:sz w:val="28"/>
          <w:szCs w:val="28"/>
        </w:rPr>
        <w:t>的现场秩序管理，接受评标现场监督人员的合法监督。</w:t>
      </w:r>
    </w:p>
    <w:p>
      <w:pPr>
        <w:numPr>
          <w:ilvl w:val="0"/>
          <w:numId w:val="48"/>
        </w:numPr>
        <w:tabs>
          <w:tab w:val="left" w:pos="1155"/>
        </w:tabs>
        <w:spacing w:line="360" w:lineRule="auto"/>
        <w:ind w:left="0" w:firstLine="527"/>
        <w:rPr>
          <w:rFonts w:ascii="宋体" w:hAnsi="宋体"/>
          <w:sz w:val="28"/>
          <w:szCs w:val="28"/>
        </w:rPr>
      </w:pPr>
      <w:r>
        <w:rPr>
          <w:rFonts w:hint="eastAsia" w:ascii="宋体" w:hAnsi="宋体"/>
          <w:sz w:val="28"/>
          <w:szCs w:val="28"/>
        </w:rPr>
        <w:t>遵守有关廉洁自律规定，不得私下接触投标人，不得收受投标人及有关业务单位和个人的财物或好处，不得接受采购组织单位的请托。</w:t>
      </w:r>
    </w:p>
    <w:p>
      <w:pPr>
        <w:numPr>
          <w:ilvl w:val="0"/>
          <w:numId w:val="48"/>
        </w:numPr>
        <w:tabs>
          <w:tab w:val="left" w:pos="1155"/>
        </w:tabs>
        <w:spacing w:line="360" w:lineRule="auto"/>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8"/>
        </w:numPr>
        <w:tabs>
          <w:tab w:val="left" w:pos="1155"/>
          <w:tab w:val="left" w:pos="1276"/>
          <w:tab w:val="left" w:pos="1418"/>
        </w:tabs>
        <w:spacing w:line="360" w:lineRule="auto"/>
        <w:ind w:left="527" w:firstLine="40"/>
        <w:rPr>
          <w:rFonts w:ascii="宋体" w:hAnsi="宋体"/>
          <w:sz w:val="28"/>
          <w:szCs w:val="28"/>
        </w:rPr>
      </w:pPr>
      <w:r>
        <w:rPr>
          <w:rFonts w:hint="eastAsia" w:ascii="宋体" w:hAnsi="宋体"/>
          <w:sz w:val="28"/>
          <w:szCs w:val="28"/>
        </w:rPr>
        <w:t>有关部门（机构）制定的其他评审工作纪律。</w:t>
      </w: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pStyle w:val="2"/>
      </w:pPr>
    </w:p>
    <w:bookmarkEnd w:id="0"/>
    <w:bookmarkEnd w:id="1"/>
    <w:bookmarkEnd w:id="2"/>
    <w:bookmarkEnd w:id="3"/>
    <w:bookmarkEnd w:id="163"/>
    <w:bookmarkEnd w:id="164"/>
    <w:p>
      <w:pPr>
        <w:rPr>
          <w:rFonts w:ascii="宋体" w:hAnsi="宋体"/>
          <w:b/>
          <w:bCs/>
          <w:spacing w:val="-20"/>
          <w:kern w:val="44"/>
          <w:sz w:val="32"/>
          <w:szCs w:val="32"/>
        </w:rPr>
      </w:pPr>
      <w:bookmarkStart w:id="197" w:name="_Toc8573798"/>
      <w:bookmarkStart w:id="198" w:name="_Toc217446108"/>
      <w:bookmarkStart w:id="199" w:name="_Toc34729074"/>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200" w:name="_Toc17462"/>
      <w:r>
        <w:rPr>
          <w:rFonts w:hint="eastAsia" w:ascii="宋体" w:hAnsi="宋体"/>
          <w:b/>
          <w:bCs/>
          <w:spacing w:val="-20"/>
          <w:kern w:val="44"/>
          <w:sz w:val="32"/>
          <w:szCs w:val="32"/>
        </w:rPr>
        <w:t>政府采购合同</w:t>
      </w:r>
      <w:bookmarkEnd w:id="200"/>
    </w:p>
    <w:bookmarkEnd w:id="197"/>
    <w:bookmarkEnd w:id="198"/>
    <w:bookmarkEnd w:id="199"/>
    <w:p>
      <w:pPr>
        <w:jc w:val="center"/>
        <w:rPr>
          <w:rFonts w:ascii="宋体" w:hAnsi="宋体" w:cs="宋体"/>
        </w:rPr>
      </w:pPr>
      <w:r>
        <w:rPr>
          <w:rFonts w:hint="eastAsia" w:ascii="宋体" w:hAnsi="宋体"/>
          <w:b/>
          <w:sz w:val="28"/>
          <w:szCs w:val="28"/>
          <w:u w:val="single"/>
        </w:rPr>
        <w:t>成都市双流区教育技术装备管理中心2021年彭镇小学等2校多功能厅LED、音箱和灯光系统采购项目</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合同编号：</w:t>
      </w:r>
      <w:r>
        <w:rPr>
          <w:rFonts w:hint="eastAsia" w:ascii="宋体" w:hAnsi="宋体" w:cs="宋体"/>
          <w:szCs w:val="21"/>
        </w:rPr>
        <w:t>XXXX。</w:t>
      </w:r>
    </w:p>
    <w:p>
      <w:pPr>
        <w:spacing w:line="360" w:lineRule="auto"/>
        <w:ind w:firstLine="480" w:firstLineChars="200"/>
        <w:rPr>
          <w:rFonts w:ascii="宋体" w:hAnsi="宋体" w:cs="宋体"/>
          <w:sz w:val="24"/>
        </w:rPr>
      </w:pPr>
      <w:r>
        <w:rPr>
          <w:rFonts w:hint="eastAsia" w:ascii="宋体" w:hAnsi="宋体" w:cs="宋体"/>
          <w:sz w:val="24"/>
        </w:rPr>
        <w:t>签订地点：</w:t>
      </w:r>
      <w:r>
        <w:rPr>
          <w:rFonts w:hint="eastAsia" w:ascii="宋体" w:hAnsi="宋体" w:cs="宋体"/>
          <w:szCs w:val="21"/>
        </w:rPr>
        <w:t>XXXX。</w:t>
      </w:r>
    </w:p>
    <w:p>
      <w:pPr>
        <w:spacing w:line="360" w:lineRule="auto"/>
        <w:ind w:firstLine="480" w:firstLineChars="200"/>
        <w:rPr>
          <w:rFonts w:ascii="宋体" w:hAnsi="宋体" w:cs="宋体"/>
          <w:sz w:val="24"/>
        </w:rPr>
      </w:pPr>
      <w:r>
        <w:rPr>
          <w:rFonts w:hint="eastAsia" w:ascii="宋体" w:hAnsi="宋体" w:cs="宋体"/>
          <w:sz w:val="24"/>
        </w:rPr>
        <w:t>签订时间：</w:t>
      </w:r>
      <w:r>
        <w:rPr>
          <w:rFonts w:hint="eastAsia" w:ascii="宋体" w:hAnsi="宋体" w:cs="宋体"/>
          <w:szCs w:val="21"/>
        </w:rPr>
        <w:t>XXXX</w:t>
      </w:r>
      <w:r>
        <w:rPr>
          <w:rFonts w:hint="eastAsia" w:ascii="宋体" w:hAnsi="宋体" w:cs="宋体"/>
          <w:sz w:val="24"/>
        </w:rPr>
        <w:t>年</w:t>
      </w:r>
      <w:r>
        <w:rPr>
          <w:rFonts w:hint="eastAsia" w:ascii="宋体" w:hAnsi="宋体" w:cs="宋体"/>
          <w:szCs w:val="21"/>
        </w:rPr>
        <w:t>XX</w:t>
      </w:r>
      <w:r>
        <w:rPr>
          <w:rFonts w:hint="eastAsia" w:ascii="宋体" w:hAnsi="宋体" w:cs="宋体"/>
          <w:sz w:val="24"/>
        </w:rPr>
        <w:t>月</w:t>
      </w:r>
      <w:r>
        <w:rPr>
          <w:rFonts w:hint="eastAsia" w:ascii="宋体" w:hAnsi="宋体" w:cs="宋体"/>
          <w:szCs w:val="21"/>
        </w:rPr>
        <w:t>XX</w:t>
      </w:r>
      <w:r>
        <w:rPr>
          <w:rFonts w:hint="eastAsia" w:ascii="宋体" w:hAnsi="宋体" w:cs="宋体"/>
          <w:sz w:val="24"/>
        </w:rPr>
        <w:t>日。</w:t>
      </w:r>
    </w:p>
    <w:p>
      <w:pPr>
        <w:spacing w:line="360" w:lineRule="auto"/>
        <w:ind w:firstLine="480" w:firstLineChars="200"/>
        <w:rPr>
          <w:rFonts w:ascii="宋体" w:hAnsi="宋体" w:cs="宋体"/>
          <w:sz w:val="24"/>
        </w:rPr>
      </w:pPr>
      <w:r>
        <w:rPr>
          <w:rFonts w:hint="eastAsia" w:ascii="宋体" w:hAnsi="宋体" w:cs="宋体"/>
          <w:sz w:val="24"/>
        </w:rPr>
        <w:t>采购人（甲方）：</w:t>
      </w:r>
    </w:p>
    <w:p>
      <w:pPr>
        <w:spacing w:line="360" w:lineRule="auto"/>
        <w:ind w:firstLine="480" w:firstLineChars="200"/>
        <w:rPr>
          <w:rFonts w:ascii="宋体" w:hAnsi="宋体" w:cs="宋体"/>
          <w:sz w:val="24"/>
        </w:rPr>
      </w:pPr>
      <w:r>
        <w:rPr>
          <w:rFonts w:hint="eastAsia" w:ascii="宋体" w:hAnsi="宋体" w:cs="宋体"/>
          <w:sz w:val="24"/>
        </w:rPr>
        <w:t>供应商（乙方）：</w:t>
      </w:r>
    </w:p>
    <w:p>
      <w:pPr>
        <w:spacing w:line="400" w:lineRule="exact"/>
        <w:rPr>
          <w:rFonts w:ascii="宋体" w:hAnsi="宋体" w:cs="宋体"/>
          <w:sz w:val="24"/>
        </w:rPr>
      </w:pPr>
    </w:p>
    <w:p>
      <w:pPr>
        <w:pStyle w:val="102"/>
        <w:ind w:firstLine="480"/>
        <w:rPr>
          <w:rFonts w:ascii="宋体" w:hAnsi="宋体"/>
        </w:rPr>
      </w:pPr>
      <w:r>
        <w:rPr>
          <w:rFonts w:hint="eastAsia" w:ascii="宋体" w:hAnsi="宋体"/>
        </w:rPr>
        <w:t>根据《中华人民共和国民法典》《中华人民共和国政府采购法》、及</w:t>
      </w:r>
      <w:r>
        <w:rPr>
          <w:rFonts w:hint="eastAsia" w:ascii="宋体" w:hAnsi="宋体"/>
          <w:szCs w:val="21"/>
        </w:rPr>
        <w:t>XXXX</w:t>
      </w:r>
      <w:r>
        <w:rPr>
          <w:rFonts w:hint="eastAsia" w:ascii="宋体" w:hAnsi="宋体"/>
        </w:rPr>
        <w:t>采购项目（项目编号：</w:t>
      </w:r>
      <w:r>
        <w:rPr>
          <w:rFonts w:hint="eastAsia" w:ascii="宋体" w:hAnsi="宋体"/>
          <w:szCs w:val="21"/>
        </w:rPr>
        <w:t>XX</w:t>
      </w:r>
      <w:r>
        <w:rPr>
          <w:rFonts w:hint="eastAsia" w:ascii="宋体" w:hAnsi="宋体"/>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numPr>
          <w:ilvl w:val="1"/>
          <w:numId w:val="0"/>
        </w:numPr>
        <w:spacing w:line="400" w:lineRule="exact"/>
        <w:ind w:left="420" w:leftChars="200"/>
        <w:rPr>
          <w:b/>
          <w:bCs/>
          <w:sz w:val="24"/>
          <w:szCs w:val="24"/>
        </w:rPr>
      </w:pPr>
      <w:bookmarkStart w:id="201" w:name="_Toc217446107"/>
      <w:r>
        <w:rPr>
          <w:rFonts w:hint="eastAsia"/>
          <w:b/>
          <w:bCs/>
          <w:sz w:val="24"/>
          <w:szCs w:val="24"/>
        </w:rPr>
        <w:t>一、合同货物</w:t>
      </w:r>
      <w:bookmarkEnd w:id="201"/>
    </w:p>
    <w:tbl>
      <w:tblPr>
        <w:tblStyle w:val="43"/>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545"/>
        <w:gridCol w:w="1029"/>
        <w:gridCol w:w="705"/>
        <w:gridCol w:w="882"/>
        <w:gridCol w:w="1059"/>
        <w:gridCol w:w="1162"/>
        <w:gridCol w:w="1235"/>
        <w:gridCol w:w="12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宋体" w:hAnsi="宋体" w:cs="宋体"/>
                <w:sz w:val="24"/>
              </w:rPr>
            </w:pPr>
            <w:r>
              <w:rPr>
                <w:rFonts w:hint="eastAsia" w:ascii="宋体" w:hAnsi="宋体" w:cs="宋体"/>
                <w:sz w:val="24"/>
              </w:rPr>
              <w:t>货物品名</w:t>
            </w: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规格</w:t>
            </w:r>
          </w:p>
          <w:p>
            <w:pPr>
              <w:spacing w:line="400" w:lineRule="exact"/>
              <w:jc w:val="center"/>
              <w:rPr>
                <w:rFonts w:ascii="宋体" w:hAnsi="宋体" w:cs="宋体"/>
                <w:sz w:val="24"/>
              </w:rPr>
            </w:pPr>
            <w:r>
              <w:rPr>
                <w:rFonts w:hint="eastAsia" w:ascii="宋体" w:hAnsi="宋体" w:cs="宋体"/>
                <w:sz w:val="24"/>
              </w:rPr>
              <w:t>型号</w:t>
            </w: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sz w:val="24"/>
              </w:rPr>
            </w:pPr>
            <w:r>
              <w:rPr>
                <w:rFonts w:hint="eastAsia" w:ascii="宋体" w:hAnsi="宋体" w:cs="宋体"/>
                <w:sz w:val="24"/>
              </w:rPr>
              <w:t>单位</w:t>
            </w: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宋体" w:hAnsi="宋体" w:cs="宋体"/>
                <w:sz w:val="24"/>
              </w:rPr>
            </w:pPr>
            <w:r>
              <w:rPr>
                <w:rFonts w:hint="eastAsia" w:ascii="宋体" w:hAnsi="宋体" w:cs="宋体"/>
                <w:sz w:val="24"/>
              </w:rPr>
              <w:t>数量</w:t>
            </w: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宋体" w:hAnsi="宋体" w:cs="宋体"/>
                <w:sz w:val="24"/>
              </w:rPr>
            </w:pPr>
            <w:r>
              <w:rPr>
                <w:rFonts w:hint="eastAsia" w:ascii="宋体" w:hAnsi="宋体" w:cs="宋体"/>
                <w:sz w:val="24"/>
              </w:rPr>
              <w:t>单价</w:t>
            </w:r>
          </w:p>
          <w:p>
            <w:pPr>
              <w:spacing w:line="400" w:lineRule="exact"/>
              <w:jc w:val="center"/>
              <w:rPr>
                <w:rFonts w:ascii="宋体" w:hAnsi="宋体" w:cs="宋体"/>
                <w:sz w:val="24"/>
              </w:rPr>
            </w:pPr>
            <w:r>
              <w:rPr>
                <w:rFonts w:hint="eastAsia" w:ascii="宋体" w:hAnsi="宋体" w:cs="宋体"/>
                <w:sz w:val="24"/>
              </w:rPr>
              <w:t>（万元）</w:t>
            </w: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宋体" w:hAnsi="宋体" w:cs="宋体"/>
                <w:sz w:val="24"/>
              </w:rPr>
            </w:pPr>
            <w:r>
              <w:rPr>
                <w:rFonts w:hint="eastAsia" w:ascii="宋体" w:hAnsi="宋体" w:cs="宋体"/>
                <w:sz w:val="24"/>
              </w:rPr>
              <w:t>总价</w:t>
            </w:r>
          </w:p>
          <w:p>
            <w:pPr>
              <w:spacing w:line="400" w:lineRule="exact"/>
              <w:rPr>
                <w:rFonts w:ascii="宋体" w:hAnsi="宋体" w:cs="宋体"/>
                <w:sz w:val="24"/>
              </w:rPr>
            </w:pPr>
            <w:r>
              <w:rPr>
                <w:rFonts w:hint="eastAsia" w:ascii="宋体" w:hAnsi="宋体" w:cs="宋体"/>
                <w:sz w:val="24"/>
              </w:rPr>
              <w:t>（万元）</w:t>
            </w: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随机</w:t>
            </w:r>
          </w:p>
          <w:p>
            <w:pPr>
              <w:spacing w:line="400" w:lineRule="exact"/>
              <w:jc w:val="center"/>
              <w:rPr>
                <w:rFonts w:ascii="宋体" w:hAnsi="宋体" w:cs="宋体"/>
                <w:sz w:val="24"/>
              </w:rPr>
            </w:pPr>
            <w:r>
              <w:rPr>
                <w:rFonts w:hint="eastAsia" w:ascii="宋体" w:hAnsi="宋体" w:cs="宋体"/>
                <w:sz w:val="24"/>
              </w:rPr>
              <w:t>配件</w:t>
            </w: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宋体" w:hAnsi="宋体" w:cs="宋体"/>
                <w:sz w:val="24"/>
              </w:rPr>
            </w:pPr>
            <w:r>
              <w:rPr>
                <w:rFonts w:hint="eastAsia" w:ascii="宋体" w:hAnsi="宋体" w:cs="宋体"/>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r>
    </w:tbl>
    <w:p>
      <w:pPr>
        <w:numPr>
          <w:ilvl w:val="1"/>
          <w:numId w:val="0"/>
        </w:numPr>
        <w:spacing w:line="400" w:lineRule="exact"/>
        <w:ind w:left="420" w:leftChars="200"/>
        <w:rPr>
          <w:b/>
          <w:bCs/>
          <w:sz w:val="24"/>
          <w:szCs w:val="24"/>
        </w:rPr>
      </w:pPr>
      <w:r>
        <w:rPr>
          <w:rFonts w:hint="eastAsia"/>
          <w:b/>
          <w:bCs/>
          <w:sz w:val="24"/>
          <w:szCs w:val="24"/>
        </w:rPr>
        <w:t>二、合同总价</w:t>
      </w:r>
    </w:p>
    <w:p>
      <w:pPr>
        <w:pStyle w:val="13"/>
        <w:spacing w:line="400" w:lineRule="exact"/>
        <w:ind w:firstLineChars="175"/>
        <w:rPr>
          <w:rFonts w:ascii="宋体" w:hAnsi="宋体" w:eastAsia="宋体" w:cs="宋体"/>
          <w:sz w:val="24"/>
        </w:rPr>
      </w:pPr>
      <w:r>
        <w:rPr>
          <w:rFonts w:hint="eastAsia" w:ascii="宋体" w:hAnsi="宋体" w:eastAsia="宋体" w:cs="宋体"/>
          <w:sz w:val="24"/>
        </w:rPr>
        <w:t>合同总价为人民币大写：元，即RMB￥</w:t>
      </w:r>
      <w:r>
        <w:rPr>
          <w:rFonts w:hint="eastAsia" w:ascii="宋体" w:hAnsi="宋体" w:eastAsia="宋体" w:cs="宋体"/>
          <w:sz w:val="24"/>
          <w:u w:val="single"/>
        </w:rPr>
        <w:t xml:space="preserve">      </w:t>
      </w:r>
      <w:r>
        <w:rPr>
          <w:rFonts w:hint="eastAsia" w:ascii="宋体" w:hAnsi="宋体" w:eastAsia="宋体" w:cs="宋体"/>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numPr>
          <w:ilvl w:val="1"/>
          <w:numId w:val="0"/>
        </w:numPr>
        <w:spacing w:line="400" w:lineRule="exact"/>
        <w:ind w:left="420" w:leftChars="200"/>
        <w:rPr>
          <w:b/>
          <w:bCs/>
          <w:sz w:val="24"/>
          <w:szCs w:val="24"/>
        </w:rPr>
      </w:pPr>
      <w:bookmarkStart w:id="202" w:name="_Toc217446109"/>
      <w:r>
        <w:rPr>
          <w:rFonts w:hint="eastAsia"/>
          <w:b/>
          <w:bCs/>
          <w:sz w:val="24"/>
          <w:szCs w:val="24"/>
        </w:rPr>
        <w:t>三、质量要求</w:t>
      </w:r>
      <w:bookmarkEnd w:id="202"/>
    </w:p>
    <w:p>
      <w:pPr>
        <w:pStyle w:val="102"/>
        <w:ind w:firstLine="480"/>
        <w:rPr>
          <w:rFonts w:ascii="宋体" w:hAnsi="宋体"/>
        </w:rPr>
      </w:pPr>
      <w:r>
        <w:rPr>
          <w:rFonts w:hint="eastAsia" w:ascii="宋体" w:hAnsi="宋体"/>
        </w:rPr>
        <w:t>1、乙方须提供全新的货物（含零部件、配件等），表面无划伤、无碰撞痕迹，且权属清楚，不得侵害他人的知识产权。</w:t>
      </w:r>
    </w:p>
    <w:p>
      <w:pPr>
        <w:pStyle w:val="102"/>
        <w:ind w:firstLine="480"/>
        <w:rPr>
          <w:rFonts w:ascii="宋体" w:hAnsi="宋体"/>
        </w:rPr>
      </w:pPr>
      <w:r>
        <w:rPr>
          <w:rFonts w:hint="eastAsia" w:ascii="宋体" w:hAnsi="宋体"/>
        </w:rPr>
        <w:t>2、货物必须符合或优于国家（行业）标准，以及本项目招标文件的质量要求和技术指标与出厂标准。</w:t>
      </w:r>
    </w:p>
    <w:p>
      <w:pPr>
        <w:pStyle w:val="102"/>
        <w:ind w:firstLine="480"/>
        <w:rPr>
          <w:rFonts w:ascii="宋体" w:hAnsi="宋体"/>
        </w:rPr>
      </w:pPr>
      <w:r>
        <w:rPr>
          <w:rFonts w:hint="eastAsia" w:ascii="宋体" w:hAnsi="宋体"/>
        </w:rPr>
        <w:t>3、货物制造质量出现问题，乙方应负责三包（包修、包换、包退），费用由乙方负担，甲方有权到乙方生产场地检查货物质量和生产进度。</w:t>
      </w:r>
    </w:p>
    <w:p>
      <w:pPr>
        <w:pStyle w:val="102"/>
        <w:ind w:firstLine="480"/>
        <w:rPr>
          <w:rFonts w:ascii="宋体" w:hAnsi="宋体"/>
        </w:rPr>
      </w:pPr>
      <w:r>
        <w:rPr>
          <w:rFonts w:hint="eastAsia" w:ascii="宋体" w:hAnsi="宋体"/>
        </w:rPr>
        <w:t>4、货到现场后由于甲方保管不当造成的质量问题，乙方亦应负责修理，但费用由甲方负担。</w:t>
      </w:r>
    </w:p>
    <w:p>
      <w:pPr>
        <w:numPr>
          <w:ilvl w:val="1"/>
          <w:numId w:val="0"/>
        </w:numPr>
        <w:spacing w:line="400" w:lineRule="exact"/>
        <w:ind w:left="420" w:leftChars="200"/>
        <w:rPr>
          <w:b/>
          <w:bCs/>
          <w:sz w:val="24"/>
          <w:szCs w:val="24"/>
        </w:rPr>
      </w:pPr>
      <w:bookmarkStart w:id="203" w:name="_Toc217446110"/>
      <w:r>
        <w:rPr>
          <w:rFonts w:hint="eastAsia"/>
          <w:b/>
          <w:bCs/>
          <w:sz w:val="24"/>
          <w:szCs w:val="24"/>
        </w:rPr>
        <w:t>四、交货及验收</w:t>
      </w:r>
      <w:bookmarkEnd w:id="203"/>
    </w:p>
    <w:p>
      <w:pPr>
        <w:pStyle w:val="102"/>
        <w:ind w:firstLine="480"/>
        <w:rPr>
          <w:rFonts w:ascii="宋体" w:hAnsi="宋体"/>
        </w:rPr>
      </w:pPr>
      <w:r>
        <w:rPr>
          <w:rFonts w:hint="eastAsia" w:ascii="宋体" w:hAnsi="宋体"/>
        </w:rPr>
        <w:t>1、乙方交货期限为合同签订生效后的30日内，在合同签订生效之日起15天内交货到甲方指定地点，随即在15日内全部完成安装调试验收合格交付使用，并且最迟应在</w:t>
      </w:r>
      <w:r>
        <w:rPr>
          <w:rFonts w:hint="eastAsia" w:ascii="宋体" w:hAnsi="宋体"/>
          <w:szCs w:val="21"/>
        </w:rPr>
        <w:t>XX</w:t>
      </w:r>
      <w:r>
        <w:rPr>
          <w:rFonts w:hint="eastAsia" w:ascii="宋体" w:hAnsi="宋体"/>
        </w:rPr>
        <w:t>年</w:t>
      </w:r>
      <w:r>
        <w:rPr>
          <w:rFonts w:hint="eastAsia" w:ascii="宋体" w:hAnsi="宋体"/>
          <w:szCs w:val="21"/>
        </w:rPr>
        <w:t>XX</w:t>
      </w:r>
      <w:r>
        <w:rPr>
          <w:rFonts w:hint="eastAsia" w:ascii="宋体" w:hAnsi="宋体"/>
        </w:rPr>
        <w:t>月</w:t>
      </w:r>
      <w:r>
        <w:rPr>
          <w:rFonts w:hint="eastAsia" w:ascii="宋体" w:hAnsi="宋体"/>
          <w:szCs w:val="21"/>
        </w:rPr>
        <w:t>XX</w:t>
      </w:r>
      <w:r>
        <w:rPr>
          <w:rFonts w:hint="eastAsia" w:ascii="宋体" w:hAnsi="宋体"/>
        </w:rPr>
        <w:t>日前全部完成安装调试验收合格交付使用（如由于采购人的原因造成合同延迟签订或验收的，时间顺延）。交货验收时须提供产品质检部门从同类产品中抽样检查合格的检测报告。</w:t>
      </w:r>
    </w:p>
    <w:p>
      <w:pPr>
        <w:pStyle w:val="102"/>
        <w:ind w:firstLine="480"/>
        <w:rPr>
          <w:rFonts w:ascii="宋体" w:hAnsi="宋体"/>
        </w:rPr>
      </w:pPr>
      <w:r>
        <w:rPr>
          <w:rFonts w:hint="eastAsia" w:ascii="宋体" w:hAnsi="宋体"/>
        </w:rPr>
        <w:t>2、验收由甲方组织，乙方配合进行：</w:t>
      </w:r>
    </w:p>
    <w:p>
      <w:pPr>
        <w:pStyle w:val="102"/>
        <w:ind w:firstLine="480"/>
        <w:rPr>
          <w:rFonts w:ascii="宋体" w:hAnsi="宋体"/>
        </w:rPr>
      </w:pPr>
      <w:r>
        <w:rPr>
          <w:rFonts w:hint="eastAsia" w:ascii="宋体" w:hAnsi="宋体"/>
        </w:rPr>
        <w:t>(1) 货物在乙方通知安装调试完毕后日内初步验收。初步验收合格后，进入试用期；试用期间发生重大质量问题，修复后试用相应顺延；试用期结束后可申请最终验收；</w:t>
      </w:r>
    </w:p>
    <w:p>
      <w:pPr>
        <w:pStyle w:val="102"/>
        <w:ind w:firstLine="480"/>
        <w:rPr>
          <w:rFonts w:ascii="宋体" w:hAnsi="宋体"/>
        </w:rPr>
      </w:pPr>
      <w:r>
        <w:rPr>
          <w:rFonts w:hint="eastAsia" w:ascii="宋体" w:hAnsi="宋体"/>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102"/>
        <w:ind w:firstLine="480"/>
        <w:rPr>
          <w:rFonts w:ascii="宋体" w:hAnsi="宋体"/>
        </w:rPr>
      </w:pPr>
      <w:r>
        <w:rPr>
          <w:rFonts w:hint="eastAsia" w:ascii="宋体" w:hAnsi="宋体"/>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102"/>
        <w:ind w:firstLine="480"/>
        <w:rPr>
          <w:rFonts w:ascii="宋体" w:hAnsi="宋体"/>
        </w:rPr>
      </w:pPr>
      <w:r>
        <w:rPr>
          <w:rFonts w:hint="eastAsia" w:ascii="宋体" w:hAnsi="宋体"/>
        </w:rPr>
        <w:t>(4) 如质量验收合格，双方签署质量验收报告。</w:t>
      </w:r>
    </w:p>
    <w:p>
      <w:pPr>
        <w:pStyle w:val="102"/>
        <w:ind w:firstLine="480"/>
        <w:rPr>
          <w:rFonts w:ascii="宋体" w:hAnsi="宋体"/>
        </w:rPr>
      </w:pPr>
      <w:r>
        <w:rPr>
          <w:rFonts w:hint="eastAsia" w:ascii="宋体" w:hAnsi="宋体"/>
        </w:rPr>
        <w:t>3、货物安装试用完成并提交验收资料X日后，甲方无故不进行验收工作并已使用货物的，视同验收合格。</w:t>
      </w:r>
    </w:p>
    <w:p>
      <w:pPr>
        <w:pStyle w:val="102"/>
        <w:ind w:firstLine="480"/>
        <w:rPr>
          <w:rFonts w:ascii="宋体" w:hAnsi="宋体"/>
        </w:rPr>
      </w:pPr>
      <w:r>
        <w:rPr>
          <w:rFonts w:hint="eastAsia" w:ascii="宋体" w:hAnsi="宋体"/>
        </w:rPr>
        <w:t>4、乙方应将所提供货物的装箱清单、配件、随机工具、用户使用手册、原厂保修卡等资料交付给甲方；乙方不能完整交付货物及本款规定的单证和工具的，必须负责补齐，否则视为未按合同约定交货。</w:t>
      </w:r>
    </w:p>
    <w:p>
      <w:pPr>
        <w:pStyle w:val="102"/>
        <w:ind w:firstLine="480"/>
        <w:rPr>
          <w:rFonts w:ascii="宋体" w:hAnsi="宋体"/>
        </w:rPr>
      </w:pPr>
      <w:r>
        <w:rPr>
          <w:rFonts w:hint="eastAsia" w:ascii="宋体" w:hAnsi="宋体"/>
        </w:rPr>
        <w:t>5、如货物经乙方X次维修仍不能达到合同约定的质量标准，甲方有权退货，并视作乙方不能交付货物而须支付违约赔偿金给甲方，甲方还可依法追究乙方的违约责任。 </w:t>
      </w:r>
    </w:p>
    <w:p>
      <w:pPr>
        <w:pStyle w:val="102"/>
        <w:ind w:firstLine="480"/>
        <w:rPr>
          <w:rFonts w:ascii="宋体" w:hAnsi="宋体"/>
        </w:rPr>
      </w:pPr>
      <w:r>
        <w:rPr>
          <w:rFonts w:hint="eastAsia" w:ascii="宋体" w:hAnsi="宋体"/>
        </w:rPr>
        <w:t>6、其他未尽事宜应严格按照《财政部关于进一步加强政府采购需求和履约验收管理的指导意见》（财库〔2016〕205号）等相关规定的要求进行。</w:t>
      </w:r>
    </w:p>
    <w:p>
      <w:pPr>
        <w:numPr>
          <w:ilvl w:val="1"/>
          <w:numId w:val="0"/>
        </w:numPr>
        <w:spacing w:line="400" w:lineRule="exact"/>
        <w:ind w:left="420" w:leftChars="200"/>
        <w:rPr>
          <w:b/>
          <w:bCs/>
          <w:sz w:val="24"/>
          <w:szCs w:val="24"/>
        </w:rPr>
      </w:pPr>
      <w:bookmarkStart w:id="204" w:name="_Toc217446111"/>
      <w:r>
        <w:rPr>
          <w:rFonts w:hint="eastAsia"/>
          <w:b/>
          <w:bCs/>
          <w:sz w:val="24"/>
          <w:szCs w:val="24"/>
        </w:rPr>
        <w:t>五、付款方式</w:t>
      </w:r>
      <w:bookmarkEnd w:id="204"/>
    </w:p>
    <w:p>
      <w:pPr>
        <w:spacing w:line="360" w:lineRule="auto"/>
        <w:ind w:firstLine="482" w:firstLineChars="200"/>
        <w:rPr>
          <w:rFonts w:ascii="宋体" w:hAnsi="宋体" w:cs="宋体"/>
          <w:sz w:val="24"/>
          <w:szCs w:val="24"/>
        </w:rPr>
      </w:pPr>
      <w:bookmarkStart w:id="205" w:name="_Toc217446112"/>
      <w:r>
        <w:rPr>
          <w:rFonts w:hint="eastAsia" w:ascii="宋体" w:hAnsi="宋体" w:cs="宋体"/>
          <w:b/>
          <w:bCs/>
          <w:sz w:val="24"/>
          <w:szCs w:val="24"/>
        </w:rPr>
        <w:t>①</w:t>
      </w:r>
      <w:r>
        <w:rPr>
          <w:rFonts w:hint="eastAsia" w:ascii="宋体" w:hAnsi="宋体" w:cs="宋体"/>
          <w:sz w:val="24"/>
          <w:szCs w:val="24"/>
        </w:rPr>
        <w:t>合同签订后5个工作日内付合同金额的30%，全部设备安装、调试、交货完验收合格后， 投标人提供真实有效合法票据后10日内支付至合同金额的95%，剩余5%运行一年后无问题支付。</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b/>
          <w:bCs/>
          <w:sz w:val="24"/>
          <w:szCs w:val="24"/>
        </w:rPr>
        <w:t xml:space="preserve"> ②</w:t>
      </w:r>
      <w:r>
        <w:rPr>
          <w:rFonts w:hint="eastAsia" w:ascii="宋体" w:hAnsi="宋体" w:cs="宋体"/>
          <w:sz w:val="24"/>
          <w:szCs w:val="24"/>
        </w:rPr>
        <w:t>采购人按项目进度付款，不得无故拖延应付款，如项目验收合格后，采购人逾期未支付货款，中标人有权要求采购人进行赔偿。</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b/>
          <w:bCs/>
          <w:sz w:val="24"/>
          <w:szCs w:val="24"/>
        </w:rPr>
        <w:t>③</w:t>
      </w:r>
      <w:r>
        <w:rPr>
          <w:rFonts w:hint="eastAsia" w:ascii="宋体" w:hAnsi="宋体" w:cs="宋体"/>
          <w:sz w:val="24"/>
          <w:szCs w:val="24"/>
        </w:rPr>
        <w:t xml:space="preserve">中标人须向采购人出具合法有效完整的发票及凭证资料后进行支付结算，付款方式均采用公对公的银行转账，中标人接受转账的开户信息以采购合同载明的为准。 </w:t>
      </w:r>
    </w:p>
    <w:p>
      <w:pPr>
        <w:numPr>
          <w:ilvl w:val="1"/>
          <w:numId w:val="0"/>
        </w:numPr>
        <w:spacing w:line="400" w:lineRule="exact"/>
        <w:ind w:left="420" w:leftChars="200"/>
        <w:rPr>
          <w:b/>
          <w:bCs/>
          <w:sz w:val="24"/>
          <w:szCs w:val="24"/>
        </w:rPr>
      </w:pPr>
      <w:r>
        <w:rPr>
          <w:rFonts w:hint="eastAsia"/>
          <w:b/>
          <w:bCs/>
          <w:sz w:val="24"/>
          <w:szCs w:val="24"/>
        </w:rPr>
        <w:t>六、售后服务</w:t>
      </w:r>
      <w:bookmarkEnd w:id="205"/>
    </w:p>
    <w:p>
      <w:pPr>
        <w:pStyle w:val="102"/>
        <w:ind w:firstLine="480"/>
        <w:rPr>
          <w:rFonts w:ascii="宋体" w:hAnsi="宋体"/>
        </w:rPr>
      </w:pPr>
      <w:r>
        <w:rPr>
          <w:rFonts w:hint="eastAsia" w:ascii="宋体" w:hAnsi="宋体"/>
        </w:rPr>
        <w:t>1、质保期为验收合格后</w:t>
      </w:r>
      <w:r>
        <w:rPr>
          <w:rFonts w:hint="eastAsia" w:ascii="宋体" w:hAnsi="宋体"/>
          <w:szCs w:val="21"/>
          <w:lang w:val="en-US" w:eastAsia="zh-CN"/>
        </w:rPr>
        <w:t>3</w:t>
      </w:r>
      <w:r>
        <w:rPr>
          <w:rFonts w:hint="eastAsia" w:ascii="宋体" w:hAnsi="宋体"/>
        </w:rPr>
        <w:t>年，质保期内出现质量问题，乙方在接到通知后X小时内响应到场，X小时内完成维修或更换，并承担修理调换的费用；如货物经乙方3次维修仍不能达到本合同约定的质量标准，视作乙方未能按时交货，甲方有权退货并追究乙方的违约责任；乙方应提供一次以上免费技术培训，长期提供技术支持。</w:t>
      </w:r>
    </w:p>
    <w:p>
      <w:pPr>
        <w:pStyle w:val="102"/>
        <w:ind w:firstLine="480"/>
        <w:rPr>
          <w:rFonts w:ascii="宋体" w:hAnsi="宋体"/>
        </w:rPr>
      </w:pPr>
      <w:r>
        <w:rPr>
          <w:rFonts w:hint="eastAsia" w:ascii="宋体" w:hAnsi="宋体"/>
        </w:rPr>
        <w:t>2、货到现场后由于甲方保管不当造成的问题，乙方亦应负责修复，但费用由甲方负担。</w:t>
      </w:r>
    </w:p>
    <w:p>
      <w:pPr>
        <w:pStyle w:val="102"/>
        <w:ind w:firstLine="480"/>
        <w:rPr>
          <w:rFonts w:ascii="宋体" w:hAnsi="宋体"/>
        </w:rPr>
      </w:pPr>
      <w:r>
        <w:rPr>
          <w:rFonts w:hint="eastAsia" w:ascii="宋体" w:hAnsi="宋体"/>
        </w:rPr>
        <w:t>3、乙方须指派专人负责与甲方联系售后服务事宜。 </w:t>
      </w:r>
    </w:p>
    <w:p>
      <w:pPr>
        <w:pStyle w:val="102"/>
        <w:spacing w:line="360" w:lineRule="auto"/>
        <w:ind w:firstLine="480"/>
        <w:rPr>
          <w:rFonts w:ascii="宋体" w:hAnsi="宋体"/>
        </w:rPr>
      </w:pPr>
      <w:r>
        <w:rPr>
          <w:rFonts w:hint="eastAsia" w:ascii="宋体" w:hAnsi="宋体"/>
          <w:lang w:eastAsia="zh-Hans"/>
        </w:rPr>
        <w:t>指定</w:t>
      </w:r>
      <w:r>
        <w:rPr>
          <w:rFonts w:hint="eastAsia" w:ascii="宋体" w:hAnsi="宋体"/>
        </w:rPr>
        <w:t>联系人：</w:t>
      </w:r>
    </w:p>
    <w:p>
      <w:pPr>
        <w:pStyle w:val="102"/>
        <w:ind w:firstLine="0" w:firstLineChars="0"/>
        <w:rPr>
          <w:rFonts w:ascii="宋体" w:hAnsi="宋体"/>
        </w:rPr>
      </w:pPr>
      <w:r>
        <w:rPr>
          <w:rFonts w:hint="eastAsia" w:ascii="宋体" w:hAnsi="宋体"/>
        </w:rPr>
        <w:t>姓名：</w:t>
      </w:r>
      <w:r>
        <w:rPr>
          <w:rFonts w:hint="eastAsia" w:ascii="宋体" w:hAnsi="宋体"/>
          <w:u w:val="single"/>
        </w:rPr>
        <w:t xml:space="preserve">         </w:t>
      </w:r>
      <w:r>
        <w:rPr>
          <w:rFonts w:hint="eastAsia" w:ascii="宋体" w:hAnsi="宋体"/>
        </w:rPr>
        <w:t xml:space="preserve"> ；身份证号：</w:t>
      </w:r>
      <w:r>
        <w:rPr>
          <w:rFonts w:hint="eastAsia" w:ascii="宋体" w:hAnsi="宋体"/>
          <w:u w:val="single"/>
        </w:rPr>
        <w:t xml:space="preserve">                  </w:t>
      </w:r>
      <w:r>
        <w:rPr>
          <w:rFonts w:hint="eastAsia" w:ascii="宋体" w:hAnsi="宋体"/>
        </w:rPr>
        <w:t>；联系方式</w:t>
      </w:r>
      <w:r>
        <w:rPr>
          <w:rFonts w:hint="eastAsia" w:ascii="宋体" w:hAnsi="宋体"/>
          <w:lang w:eastAsia="zh-Hans"/>
        </w:rPr>
        <w:t>：</w:t>
      </w:r>
      <w:r>
        <w:rPr>
          <w:rFonts w:ascii="宋体" w:hAnsi="宋体"/>
          <w:lang w:eastAsia="zh-Hans"/>
        </w:rPr>
        <w:t xml:space="preserve"> </w:t>
      </w:r>
      <w:r>
        <w:rPr>
          <w:rFonts w:ascii="宋体" w:hAnsi="宋体"/>
          <w:u w:val="single"/>
          <w:lang w:eastAsia="zh-Hans"/>
        </w:rPr>
        <w:t xml:space="preserve">     </w:t>
      </w:r>
      <w:r>
        <w:rPr>
          <w:rFonts w:hint="eastAsia" w:ascii="宋体" w:hAnsi="宋体"/>
          <w:u w:val="single"/>
        </w:rPr>
        <w:t xml:space="preserve">    </w:t>
      </w:r>
      <w:r>
        <w:rPr>
          <w:rFonts w:ascii="宋体" w:hAnsi="宋体"/>
          <w:u w:val="single"/>
          <w:lang w:eastAsia="zh-Hans"/>
        </w:rPr>
        <w:t xml:space="preserve">     </w:t>
      </w:r>
      <w:r>
        <w:rPr>
          <w:rFonts w:hint="eastAsia" w:ascii="宋体" w:hAnsi="宋体"/>
          <w:lang w:eastAsia="zh-Hans"/>
        </w:rPr>
        <w:t>。</w:t>
      </w:r>
      <w:r>
        <w:rPr>
          <w:rFonts w:hint="eastAsia" w:ascii="宋体" w:hAnsi="宋体"/>
        </w:rPr>
        <w:t xml:space="preserve"> </w:t>
      </w:r>
    </w:p>
    <w:p>
      <w:pPr>
        <w:numPr>
          <w:ilvl w:val="1"/>
          <w:numId w:val="0"/>
        </w:numPr>
        <w:spacing w:line="400" w:lineRule="exact"/>
        <w:ind w:left="420" w:leftChars="200"/>
        <w:rPr>
          <w:b/>
          <w:bCs/>
          <w:sz w:val="24"/>
          <w:szCs w:val="24"/>
        </w:rPr>
      </w:pPr>
      <w:bookmarkStart w:id="206" w:name="_Toc217446113"/>
      <w:r>
        <w:rPr>
          <w:rFonts w:hint="eastAsia"/>
          <w:b/>
          <w:bCs/>
          <w:sz w:val="24"/>
          <w:szCs w:val="24"/>
        </w:rPr>
        <w:t>七、违约责任</w:t>
      </w:r>
      <w:bookmarkEnd w:id="206"/>
    </w:p>
    <w:p>
      <w:pPr>
        <w:pStyle w:val="2"/>
        <w:spacing w:line="360" w:lineRule="auto"/>
        <w:ind w:firstLine="482" w:firstLineChars="200"/>
        <w:rPr>
          <w:rFonts w:ascii="宋体" w:hAnsi="宋体" w:cs="宋体"/>
          <w:sz w:val="24"/>
          <w:szCs w:val="24"/>
        </w:rPr>
      </w:pPr>
      <w:bookmarkStart w:id="207" w:name="_Toc217446114"/>
      <w:r>
        <w:rPr>
          <w:rFonts w:hint="eastAsia" w:ascii="宋体" w:hAnsi="宋体" w:cs="宋体"/>
          <w:b/>
          <w:bCs/>
          <w:sz w:val="24"/>
          <w:szCs w:val="24"/>
        </w:rPr>
        <w:t>①甲方违约责任</w:t>
      </w:r>
      <w:r>
        <w:rPr>
          <w:rFonts w:hint="eastAsia" w:ascii="宋体" w:hAnsi="宋体" w:cs="宋体"/>
          <w:sz w:val="24"/>
          <w:szCs w:val="24"/>
        </w:rPr>
        <w:t>：</w:t>
      </w:r>
    </w:p>
    <w:p>
      <w:pPr>
        <w:pStyle w:val="2"/>
        <w:spacing w:line="360" w:lineRule="auto"/>
        <w:ind w:firstLine="480" w:firstLineChars="200"/>
        <w:rPr>
          <w:rFonts w:ascii="宋体" w:hAnsi="宋体" w:cs="宋体"/>
          <w:sz w:val="24"/>
          <w:szCs w:val="24"/>
        </w:rPr>
      </w:pPr>
      <w:r>
        <w:rPr>
          <w:rFonts w:hint="eastAsia" w:ascii="宋体" w:hAnsi="宋体" w:cs="宋体"/>
          <w:sz w:val="24"/>
          <w:szCs w:val="24"/>
        </w:rPr>
        <w:t xml:space="preserve">（1）甲方无正当理由拒收货物、拒付货款的，甲方应向乙方偿付拒付货款10％的违约金。 </w:t>
      </w:r>
    </w:p>
    <w:p>
      <w:pPr>
        <w:pStyle w:val="2"/>
        <w:spacing w:line="360" w:lineRule="auto"/>
        <w:ind w:firstLine="480" w:firstLineChars="200"/>
        <w:rPr>
          <w:rFonts w:ascii="宋体" w:hAnsi="宋体" w:cs="宋体"/>
          <w:sz w:val="24"/>
          <w:szCs w:val="24"/>
        </w:rPr>
      </w:pPr>
      <w:r>
        <w:rPr>
          <w:rFonts w:hint="eastAsia" w:ascii="宋体" w:hAnsi="宋体" w:cs="宋体"/>
          <w:sz w:val="24"/>
          <w:szCs w:val="24"/>
        </w:rPr>
        <w:t xml:space="preserve">（2）甲方未按合同规定的期限向乙方支付货款的，每逾期 1 天甲方向乙方偿付欠款总额的 1 ‰违约金，但累计违约金总额不超过欠款总额的 1 ％。 </w:t>
      </w:r>
    </w:p>
    <w:p>
      <w:pPr>
        <w:pStyle w:val="2"/>
        <w:spacing w:line="360" w:lineRule="auto"/>
        <w:ind w:firstLine="482" w:firstLineChars="200"/>
        <w:rPr>
          <w:rFonts w:ascii="宋体" w:hAnsi="宋体" w:cs="宋体"/>
          <w:b/>
          <w:bCs/>
          <w:sz w:val="24"/>
          <w:szCs w:val="24"/>
        </w:rPr>
      </w:pPr>
      <w:r>
        <w:rPr>
          <w:rFonts w:hint="eastAsia" w:ascii="宋体" w:hAnsi="宋体" w:cs="宋体"/>
          <w:b/>
          <w:bCs/>
          <w:sz w:val="24"/>
          <w:szCs w:val="24"/>
        </w:rPr>
        <w:t>②乙方违约责任：</w:t>
      </w:r>
    </w:p>
    <w:p>
      <w:pPr>
        <w:pStyle w:val="2"/>
        <w:spacing w:after="0" w:line="360" w:lineRule="auto"/>
        <w:ind w:firstLine="480" w:firstLineChars="200"/>
        <w:rPr>
          <w:rFonts w:ascii="宋体" w:hAnsi="宋体" w:cs="宋体"/>
          <w:sz w:val="24"/>
          <w:szCs w:val="24"/>
        </w:rPr>
      </w:pPr>
      <w:r>
        <w:rPr>
          <w:rFonts w:hint="eastAsia" w:ascii="宋体" w:hAnsi="宋体" w:cs="宋体"/>
          <w:sz w:val="24"/>
          <w:szCs w:val="24"/>
        </w:rPr>
        <w:t xml:space="preserve">（1）乙方所交付的货物不符合本合同规定的，甲方有权拒收，同时乙方应向甲方支付合同总价 20 ％的违约金。乙方应在得到甲方通知之日起 10 个工作日内采取补救措施。若乙方上述期限内所提供的货物仍不符合规定，乙方应向甲方另行支付合同总价 20 %的违约金，同时甲方有权单方面无条件解除合同。（2）乙方无正当理由逾期交付货物的，每逾期 1 天，乙方向甲方偿付逾期交货部分货款总金额的 3 %的违约金。如乙方逾期交货达 10 天，甲方有权解除合同，甲方解除合同的通知自到达乙方时生效。在此情况下，乙方给甲方造 成的实际损失高于违约金的，对高出违约金的部分乙方应予以赔偿。（3）在乙方承诺的或国家规定的质量保证期内（取两者中最长的期限），如经乙方 2 次维修，货物仍不能达到合同约定的质量标准、运行效果的，甲 方有权要求乙方更换为全新合格货物并按本条第 1 款处理，同时，乙方还须赔偿 甲方因此遭受的损失。（4）乙方保证本合同货物的权利无瑕疵，包括货物所有权及知识产权等权 利无瑕疵。如产生了任何的纠纷、索赔或诉讼等，乙方除应向甲方返还已收款项外，还应另按合同总价的 20 %向甲方支付违约金并赔偿因此给甲方造成的一切损失。 </w:t>
      </w:r>
    </w:p>
    <w:p>
      <w:pPr>
        <w:numPr>
          <w:ilvl w:val="1"/>
          <w:numId w:val="0"/>
        </w:numPr>
        <w:spacing w:line="400" w:lineRule="exact"/>
        <w:ind w:firstLine="422" w:firstLineChars="175"/>
        <w:rPr>
          <w:sz w:val="24"/>
          <w:szCs w:val="24"/>
        </w:rPr>
      </w:pPr>
      <w:r>
        <w:rPr>
          <w:rFonts w:hint="eastAsia"/>
          <w:b/>
          <w:bCs/>
          <w:sz w:val="24"/>
          <w:szCs w:val="24"/>
        </w:rPr>
        <w:t xml:space="preserve">③一方偿付的违约金不足以弥补另一方损失的，还应按另一方损失尚未弥补的部分，支付赔偿金给另一方。 </w:t>
      </w:r>
    </w:p>
    <w:p>
      <w:pPr>
        <w:numPr>
          <w:ilvl w:val="1"/>
          <w:numId w:val="0"/>
        </w:numPr>
        <w:spacing w:line="400" w:lineRule="exact"/>
        <w:ind w:left="420" w:leftChars="200"/>
        <w:rPr>
          <w:b/>
          <w:bCs/>
          <w:sz w:val="24"/>
          <w:szCs w:val="24"/>
        </w:rPr>
      </w:pPr>
      <w:r>
        <w:rPr>
          <w:rFonts w:hint="eastAsia"/>
          <w:b/>
          <w:bCs/>
          <w:sz w:val="24"/>
          <w:szCs w:val="24"/>
        </w:rPr>
        <w:t>八、争议解决办法</w:t>
      </w:r>
      <w:bookmarkEnd w:id="207"/>
    </w:p>
    <w:p>
      <w:pPr>
        <w:pStyle w:val="2"/>
        <w:spacing w:after="0" w:line="360" w:lineRule="auto"/>
        <w:ind w:firstLine="482" w:firstLineChars="200"/>
        <w:rPr>
          <w:rFonts w:ascii="宋体" w:hAnsi="宋体" w:cs="宋体"/>
          <w:sz w:val="24"/>
          <w:szCs w:val="24"/>
        </w:rPr>
      </w:pPr>
      <w:bookmarkStart w:id="208" w:name="_Toc217446115"/>
      <w:r>
        <w:rPr>
          <w:rFonts w:hint="eastAsia" w:ascii="宋体" w:hAnsi="宋体" w:cs="宋体"/>
          <w:b/>
          <w:bCs/>
          <w:sz w:val="24"/>
          <w:szCs w:val="24"/>
        </w:rPr>
        <w:t>①</w:t>
      </w:r>
      <w:r>
        <w:rPr>
          <w:rFonts w:hint="eastAsia" w:ascii="宋体" w:hAnsi="宋体" w:cs="宋体"/>
          <w:sz w:val="24"/>
          <w:szCs w:val="24"/>
        </w:rPr>
        <w:t xml:space="preserve">因货物的质量问题发生争议的，应当邀请国家认可的质量检测机构对货 物质量进行鉴定。货物符合标准的，鉴定费由甲方承担；货物不符合质量标准的， 鉴定费由乙方承担。 </w:t>
      </w:r>
    </w:p>
    <w:p>
      <w:pPr>
        <w:pStyle w:val="2"/>
        <w:spacing w:after="0" w:line="360" w:lineRule="auto"/>
        <w:ind w:firstLine="482" w:firstLineChars="200"/>
        <w:rPr>
          <w:rFonts w:ascii="宋体" w:hAnsi="宋体" w:cs="宋体"/>
          <w:sz w:val="24"/>
          <w:szCs w:val="24"/>
        </w:rPr>
      </w:pPr>
      <w:r>
        <w:rPr>
          <w:rFonts w:hint="eastAsia" w:ascii="宋体" w:hAnsi="宋体" w:cs="宋体"/>
          <w:b/>
          <w:bCs/>
          <w:sz w:val="24"/>
          <w:szCs w:val="24"/>
        </w:rPr>
        <w:t>②</w:t>
      </w:r>
      <w:r>
        <w:rPr>
          <w:rFonts w:hint="eastAsia" w:ascii="宋体" w:hAnsi="宋体" w:cs="宋体"/>
          <w:sz w:val="24"/>
          <w:szCs w:val="24"/>
        </w:rPr>
        <w:t xml:space="preserve">在解释或者执行本合同的过程中发生争议时，双方应通过协商方式解 决。 </w:t>
      </w:r>
    </w:p>
    <w:p>
      <w:pPr>
        <w:pStyle w:val="2"/>
        <w:spacing w:after="0" w:line="360" w:lineRule="auto"/>
        <w:ind w:firstLine="482" w:firstLineChars="200"/>
        <w:rPr>
          <w:rFonts w:ascii="宋体" w:hAnsi="宋体" w:cs="宋体"/>
          <w:sz w:val="24"/>
          <w:szCs w:val="24"/>
        </w:rPr>
      </w:pPr>
      <w:r>
        <w:rPr>
          <w:rFonts w:hint="eastAsia" w:ascii="宋体" w:hAnsi="宋体" w:cs="宋体"/>
          <w:b/>
          <w:bCs/>
          <w:sz w:val="24"/>
          <w:szCs w:val="24"/>
        </w:rPr>
        <w:t>③</w:t>
      </w:r>
      <w:r>
        <w:rPr>
          <w:rFonts w:hint="eastAsia" w:ascii="宋体" w:hAnsi="宋体" w:cs="宋体"/>
          <w:sz w:val="24"/>
          <w:szCs w:val="24"/>
        </w:rPr>
        <w:t xml:space="preserve">经协商不能解决的争议，双方可选择以下第（1）种方式解决： </w:t>
      </w:r>
    </w:p>
    <w:p>
      <w:pPr>
        <w:pStyle w:val="2"/>
        <w:spacing w:after="0" w:line="360" w:lineRule="auto"/>
        <w:ind w:firstLine="480" w:firstLineChars="200"/>
        <w:rPr>
          <w:rFonts w:ascii="宋体" w:hAnsi="宋体" w:cs="宋体"/>
          <w:sz w:val="24"/>
          <w:szCs w:val="24"/>
        </w:rPr>
      </w:pPr>
      <w:r>
        <w:rPr>
          <w:rFonts w:hint="eastAsia" w:ascii="宋体" w:hAnsi="宋体" w:cs="宋体"/>
          <w:sz w:val="24"/>
          <w:szCs w:val="24"/>
        </w:rPr>
        <w:t>（1）向甲方所在地有管辖权的法院提起诉讼； （2）向成都仲裁委员会提出仲裁。</w:t>
      </w:r>
    </w:p>
    <w:p>
      <w:pPr>
        <w:numPr>
          <w:ilvl w:val="1"/>
          <w:numId w:val="0"/>
        </w:numPr>
        <w:spacing w:line="400" w:lineRule="exact"/>
        <w:ind w:firstLine="422" w:firstLineChars="175"/>
        <w:rPr>
          <w:b/>
          <w:bCs/>
          <w:sz w:val="24"/>
          <w:szCs w:val="24"/>
        </w:rPr>
      </w:pPr>
      <w:r>
        <w:rPr>
          <w:rFonts w:hint="eastAsia"/>
          <w:b/>
          <w:bCs/>
          <w:sz w:val="24"/>
          <w:szCs w:val="24"/>
        </w:rPr>
        <w:t>④在法院审理和仲裁期间，除有争议部分外，本合同其他部分可以履行的 仍应按合同条款继续履行。</w:t>
      </w:r>
    </w:p>
    <w:p>
      <w:pPr>
        <w:numPr>
          <w:ilvl w:val="1"/>
          <w:numId w:val="0"/>
        </w:numPr>
        <w:spacing w:line="400" w:lineRule="exact"/>
        <w:ind w:left="420" w:leftChars="200"/>
        <w:rPr>
          <w:b/>
          <w:bCs/>
          <w:sz w:val="24"/>
          <w:szCs w:val="24"/>
        </w:rPr>
      </w:pPr>
      <w:r>
        <w:rPr>
          <w:rFonts w:hint="eastAsia"/>
          <w:b/>
          <w:bCs/>
          <w:sz w:val="24"/>
          <w:szCs w:val="24"/>
        </w:rPr>
        <w:t>九、其他</w:t>
      </w:r>
      <w:bookmarkEnd w:id="208"/>
    </w:p>
    <w:p>
      <w:pPr>
        <w:pStyle w:val="102"/>
        <w:ind w:firstLine="480"/>
        <w:rPr>
          <w:rFonts w:ascii="宋体" w:hAnsi="宋体"/>
        </w:rPr>
      </w:pPr>
      <w:r>
        <w:rPr>
          <w:rFonts w:hint="eastAsia" w:ascii="宋体" w:hAnsi="宋体"/>
        </w:rPr>
        <w:t>1、如有未尽事宜，由双方依法订立补充合同。</w:t>
      </w:r>
    </w:p>
    <w:p>
      <w:pPr>
        <w:pStyle w:val="102"/>
        <w:ind w:firstLine="480"/>
        <w:rPr>
          <w:rFonts w:ascii="宋体" w:hAnsi="宋体"/>
        </w:rPr>
      </w:pPr>
      <w:r>
        <w:rPr>
          <w:rFonts w:hint="eastAsia" w:ascii="宋体" w:hAnsi="宋体"/>
        </w:rPr>
        <w:t>2、本合同一式六份，自双方签章之日起生效。甲方三份，乙方、政府采购管理部门、采购代理机构各一份。</w:t>
      </w:r>
    </w:p>
    <w:tbl>
      <w:tblPr>
        <w:tblStyle w:val="43"/>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506"/>
        <w:gridCol w:w="43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44" w:type="pct"/>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sz w:val="24"/>
                <w:szCs w:val="24"/>
              </w:rPr>
            </w:pPr>
            <w:r>
              <w:rPr>
                <w:rFonts w:hint="eastAsia" w:ascii="宋体" w:hAnsi="宋体" w:cs="宋体"/>
                <w:sz w:val="24"/>
                <w:szCs w:val="24"/>
              </w:rPr>
              <w:t>甲方（盖章）：</w:t>
            </w:r>
          </w:p>
          <w:p>
            <w:pPr>
              <w:spacing w:line="400" w:lineRule="exact"/>
              <w:rPr>
                <w:rFonts w:ascii="宋体" w:hAnsi="宋体" w:cs="宋体"/>
                <w:sz w:val="24"/>
                <w:szCs w:val="24"/>
              </w:rPr>
            </w:pPr>
            <w:r>
              <w:rPr>
                <w:rFonts w:hint="eastAsia" w:ascii="宋体" w:hAnsi="宋体" w:cs="宋体"/>
                <w:sz w:val="24"/>
                <w:szCs w:val="24"/>
              </w:rPr>
              <w:t>甲方代表（签字）：</w:t>
            </w:r>
          </w:p>
          <w:p>
            <w:pPr>
              <w:spacing w:line="400" w:lineRule="exact"/>
              <w:rPr>
                <w:rFonts w:ascii="宋体" w:hAnsi="宋体" w:cs="宋体"/>
                <w:sz w:val="24"/>
                <w:szCs w:val="24"/>
              </w:rPr>
            </w:pPr>
            <w:r>
              <w:rPr>
                <w:rFonts w:hint="eastAsia" w:ascii="宋体" w:hAnsi="宋体" w:cs="宋体"/>
                <w:sz w:val="24"/>
                <w:szCs w:val="24"/>
              </w:rPr>
              <w:t>地址：</w:t>
            </w:r>
          </w:p>
          <w:p>
            <w:pPr>
              <w:spacing w:line="400" w:lineRule="exact"/>
              <w:rPr>
                <w:rFonts w:ascii="宋体" w:hAnsi="宋体" w:cs="宋体"/>
                <w:sz w:val="24"/>
                <w:szCs w:val="24"/>
              </w:rPr>
            </w:pPr>
            <w:r>
              <w:rPr>
                <w:rFonts w:hint="eastAsia" w:ascii="宋体" w:hAnsi="宋体" w:cs="宋体"/>
                <w:sz w:val="24"/>
                <w:szCs w:val="24"/>
              </w:rPr>
              <w:t>电话：</w:t>
            </w: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r>
              <w:rPr>
                <w:rFonts w:hint="eastAsia" w:ascii="宋体" w:hAnsi="宋体" w:cs="宋体"/>
                <w:sz w:val="24"/>
                <w:szCs w:val="24"/>
              </w:rPr>
              <w:t>日期：    年    月    日</w:t>
            </w:r>
          </w:p>
        </w:tc>
        <w:tc>
          <w:tcPr>
            <w:tcW w:w="2455" w:type="pct"/>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sz w:val="24"/>
                <w:szCs w:val="24"/>
              </w:rPr>
            </w:pPr>
            <w:r>
              <w:rPr>
                <w:rFonts w:hint="eastAsia" w:ascii="宋体" w:hAnsi="宋体" w:cs="宋体"/>
                <w:sz w:val="24"/>
                <w:szCs w:val="24"/>
              </w:rPr>
              <w:t xml:space="preserve">乙方（盖章）：  </w:t>
            </w:r>
          </w:p>
          <w:p>
            <w:pPr>
              <w:spacing w:line="400" w:lineRule="exact"/>
              <w:rPr>
                <w:rFonts w:ascii="宋体" w:hAnsi="宋体" w:cs="宋体"/>
                <w:sz w:val="24"/>
                <w:szCs w:val="24"/>
              </w:rPr>
            </w:pPr>
            <w:r>
              <w:rPr>
                <w:rFonts w:hint="eastAsia" w:ascii="宋体" w:hAnsi="宋体" w:cs="宋体"/>
                <w:sz w:val="24"/>
                <w:szCs w:val="24"/>
              </w:rPr>
              <w:t>乙方代表（签字）：</w:t>
            </w:r>
          </w:p>
          <w:p>
            <w:pPr>
              <w:spacing w:line="400" w:lineRule="exact"/>
              <w:rPr>
                <w:rFonts w:ascii="宋体" w:hAnsi="宋体" w:cs="宋体"/>
                <w:sz w:val="24"/>
                <w:szCs w:val="24"/>
              </w:rPr>
            </w:pPr>
            <w:r>
              <w:rPr>
                <w:rFonts w:hint="eastAsia" w:ascii="宋体" w:hAnsi="宋体" w:cs="宋体"/>
                <w:sz w:val="24"/>
                <w:szCs w:val="24"/>
              </w:rPr>
              <w:t xml:space="preserve">地址： </w:t>
            </w:r>
          </w:p>
          <w:p>
            <w:pPr>
              <w:spacing w:line="400" w:lineRule="exact"/>
              <w:rPr>
                <w:rFonts w:ascii="宋体" w:hAnsi="宋体" w:cs="宋体"/>
                <w:sz w:val="24"/>
                <w:szCs w:val="24"/>
              </w:rPr>
            </w:pPr>
            <w:r>
              <w:rPr>
                <w:rFonts w:hint="eastAsia" w:ascii="宋体" w:hAnsi="宋体" w:cs="宋体"/>
                <w:sz w:val="24"/>
                <w:szCs w:val="24"/>
              </w:rPr>
              <w:t>电话：</w:t>
            </w:r>
          </w:p>
          <w:p>
            <w:pPr>
              <w:spacing w:line="400" w:lineRule="exact"/>
              <w:rPr>
                <w:rFonts w:ascii="宋体" w:hAnsi="宋体" w:cs="宋体"/>
                <w:sz w:val="24"/>
                <w:szCs w:val="24"/>
              </w:rPr>
            </w:pPr>
            <w:r>
              <w:rPr>
                <w:rFonts w:hint="eastAsia" w:ascii="宋体" w:hAnsi="宋体" w:cs="宋体"/>
                <w:sz w:val="24"/>
                <w:szCs w:val="24"/>
              </w:rPr>
              <w:t>开户银行：</w:t>
            </w:r>
          </w:p>
          <w:p>
            <w:pPr>
              <w:spacing w:line="400" w:lineRule="exact"/>
              <w:rPr>
                <w:rFonts w:ascii="宋体" w:hAnsi="宋体" w:cs="宋体"/>
                <w:sz w:val="24"/>
                <w:szCs w:val="24"/>
              </w:rPr>
            </w:pPr>
            <w:r>
              <w:rPr>
                <w:rFonts w:hint="eastAsia" w:ascii="宋体" w:hAnsi="宋体" w:cs="宋体"/>
                <w:sz w:val="24"/>
                <w:szCs w:val="24"/>
              </w:rPr>
              <w:t>开户账号：</w:t>
            </w:r>
          </w:p>
          <w:p>
            <w:pPr>
              <w:spacing w:line="400" w:lineRule="exact"/>
              <w:rPr>
                <w:rFonts w:ascii="宋体" w:hAnsi="宋体" w:cs="宋体"/>
                <w:sz w:val="24"/>
                <w:szCs w:val="24"/>
              </w:rPr>
            </w:pPr>
            <w:r>
              <w:rPr>
                <w:rFonts w:hint="eastAsia" w:ascii="宋体" w:hAnsi="宋体" w:cs="宋体"/>
                <w:sz w:val="24"/>
                <w:szCs w:val="24"/>
              </w:rPr>
              <w:t>日期：    年    月    日</w:t>
            </w:r>
          </w:p>
        </w:tc>
      </w:tr>
    </w:tbl>
    <w:p/>
    <w:p/>
    <w:p>
      <w:pPr>
        <w:pStyle w:val="2"/>
      </w:pPr>
    </w:p>
    <w:p/>
    <w:p>
      <w:pPr>
        <w:pStyle w:val="2"/>
      </w:pPr>
    </w:p>
    <w:p/>
    <w:p>
      <w:pPr>
        <w:rPr>
          <w:rFonts w:ascii="宋体" w:hAnsi="宋体" w:cs="宋体"/>
          <w:b/>
          <w:bCs/>
          <w:sz w:val="24"/>
          <w:szCs w:val="24"/>
        </w:rPr>
      </w:pPr>
      <w:r>
        <w:rPr>
          <w:rFonts w:hint="eastAsia" w:ascii="宋体" w:hAnsi="宋体" w:cs="宋体"/>
          <w:b/>
          <w:bCs/>
          <w:sz w:val="24"/>
          <w:szCs w:val="24"/>
        </w:rPr>
        <w:br w:type="page"/>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附件1：</w:t>
      </w:r>
    </w:p>
    <w:p>
      <w:r>
        <w:drawing>
          <wp:inline distT="0" distB="0" distL="0" distR="0">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317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p/>
    <w:p>
      <w:r>
        <w:drawing>
          <wp:inline distT="0" distB="0" distL="0" distR="0">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p/>
    <w:p/>
    <w:p/>
    <w:p/>
    <w:p/>
    <w:p/>
    <w:p>
      <w:r>
        <w:drawing>
          <wp:inline distT="0" distB="0" distL="0" distR="0">
            <wp:extent cx="4905375" cy="68008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905375" cy="6800850"/>
                    </a:xfrm>
                    <a:prstGeom prst="rect">
                      <a:avLst/>
                    </a:prstGeom>
                    <a:noFill/>
                    <a:ln>
                      <a:noFill/>
                    </a:ln>
                  </pic:spPr>
                </pic:pic>
              </a:graphicData>
            </a:graphic>
          </wp:inline>
        </w:drawing>
      </w:r>
    </w:p>
    <w:p/>
    <w:p/>
    <w:p/>
    <w:p/>
    <w:p/>
    <w:p/>
    <w:p/>
    <w:p>
      <w:r>
        <w:drawing>
          <wp:inline distT="0" distB="0" distL="0" distR="0">
            <wp:extent cx="4991100" cy="66770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4991100" cy="6677025"/>
                    </a:xfrm>
                    <a:prstGeom prst="rect">
                      <a:avLst/>
                    </a:prstGeom>
                    <a:noFill/>
                    <a:ln>
                      <a:noFill/>
                    </a:ln>
                  </pic:spPr>
                </pic:pic>
              </a:graphicData>
            </a:graphic>
          </wp:inline>
        </w:drawing>
      </w:r>
    </w:p>
    <w:p/>
    <w:p/>
    <w:p/>
    <w:p/>
    <w:p/>
    <w:p/>
    <w:p/>
    <w:p/>
    <w:p/>
    <w:p/>
    <w:p>
      <w:r>
        <w:drawing>
          <wp:inline distT="0" distB="0" distL="0" distR="0">
            <wp:extent cx="7562850" cy="4876800"/>
            <wp:effectExtent l="0" t="1352550" r="0" b="13335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rot="5400000">
                      <a:off x="0" y="0"/>
                      <a:ext cx="7562850" cy="4876800"/>
                    </a:xfrm>
                    <a:prstGeom prst="rect">
                      <a:avLst/>
                    </a:prstGeom>
                    <a:noFill/>
                    <a:ln>
                      <a:noFill/>
                    </a:ln>
                  </pic:spPr>
                </pic:pic>
              </a:graphicData>
            </a:graphic>
          </wp:inline>
        </w:drawing>
      </w:r>
    </w:p>
    <w:p/>
    <w:p/>
    <w:p/>
    <w:p/>
    <w:p/>
    <w:p>
      <w:r>
        <w:drawing>
          <wp:inline distT="0" distB="0" distL="0" distR="0">
            <wp:extent cx="5105400" cy="65246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105400" cy="6524625"/>
                    </a:xfrm>
                    <a:prstGeom prst="rect">
                      <a:avLst/>
                    </a:prstGeom>
                    <a:noFill/>
                    <a:ln>
                      <a:noFill/>
                    </a:ln>
                  </pic:spPr>
                </pic:pic>
              </a:graphicData>
            </a:graphic>
          </wp:inline>
        </w:drawing>
      </w:r>
    </w:p>
    <w:p/>
    <w:p/>
    <w:p/>
    <w:p/>
    <w:p/>
    <w:p/>
    <w:p/>
    <w:p/>
    <w:p/>
    <w:p/>
    <w:p/>
    <w:p>
      <w:r>
        <w:drawing>
          <wp:inline distT="0" distB="0" distL="0" distR="0">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r>
        <w:drawing>
          <wp:inline distT="0" distB="0" distL="0" distR="0">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r>
        <w:drawing>
          <wp:inline distT="0" distB="0" distL="0" distR="0">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r>
        <w:drawing>
          <wp:inline distT="0" distB="0" distL="0" distR="0">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p>
      <w:pPr>
        <w:pStyle w:val="39"/>
        <w:ind w:left="0" w:firstLine="0"/>
      </w:pPr>
    </w:p>
    <w:p>
      <w:pPr>
        <w:pStyle w:val="39"/>
        <w:ind w:left="0" w:firstLine="0"/>
      </w:pPr>
    </w:p>
    <w:p>
      <w:pPr>
        <w:pStyle w:val="39"/>
        <w:ind w:left="0" w:firstLine="0"/>
      </w:pPr>
    </w:p>
    <w:p>
      <w:pPr>
        <w:pStyle w:val="39"/>
        <w:ind w:left="0" w:firstLine="0"/>
      </w:pPr>
    </w:p>
    <w:p>
      <w:pPr>
        <w:pStyle w:val="39"/>
        <w:ind w:left="0" w:firstLine="0"/>
      </w:pPr>
    </w:p>
    <w:p>
      <w:pPr>
        <w:pStyle w:val="39"/>
        <w:ind w:left="0" w:firstLine="0"/>
      </w:pPr>
    </w:p>
    <w:p>
      <w:pPr>
        <w:pStyle w:val="39"/>
        <w:ind w:left="0" w:firstLine="0"/>
      </w:pPr>
    </w:p>
    <w:p>
      <w:pPr>
        <w:pStyle w:val="39"/>
        <w:ind w:left="0" w:firstLine="0"/>
      </w:pPr>
    </w:p>
    <w:tbl>
      <w:tblPr>
        <w:tblStyle w:val="43"/>
        <w:tblpPr w:leftFromText="180" w:rightFromText="180" w:vertAnchor="text" w:horzAnchor="page" w:tblpX="1786" w:tblpY="302"/>
        <w:tblOverlap w:val="never"/>
        <w:tblW w:w="8352" w:type="dxa"/>
        <w:tblInd w:w="0" w:type="dxa"/>
        <w:tblLayout w:type="fixed"/>
        <w:tblCellMar>
          <w:top w:w="0" w:type="dxa"/>
          <w:left w:w="0" w:type="dxa"/>
          <w:bottom w:w="0" w:type="dxa"/>
          <w:right w:w="0" w:type="dxa"/>
        </w:tblCellMar>
      </w:tblPr>
      <w:tblGrid>
        <w:gridCol w:w="652"/>
        <w:gridCol w:w="2992"/>
        <w:gridCol w:w="1440"/>
        <w:gridCol w:w="3268"/>
      </w:tblGrid>
      <w:tr>
        <w:tblPrEx>
          <w:tblCellMar>
            <w:top w:w="0" w:type="dxa"/>
            <w:left w:w="0" w:type="dxa"/>
            <w:bottom w:w="0" w:type="dxa"/>
            <w:right w:w="0" w:type="dxa"/>
          </w:tblCellMar>
        </w:tblPrEx>
        <w:trPr>
          <w:trHeight w:val="615" w:hRule="atLeast"/>
        </w:trPr>
        <w:tc>
          <w:tcPr>
            <w:tcW w:w="8352"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color w:val="000000"/>
                <w:sz w:val="36"/>
                <w:szCs w:val="36"/>
              </w:rPr>
            </w:pPr>
            <w:r>
              <w:rPr>
                <w:rFonts w:hint="eastAsia" w:ascii="宋体" w:hAnsi="宋体" w:cs="宋体"/>
                <w:b/>
                <w:color w:val="000000"/>
                <w:kern w:val="0"/>
                <w:sz w:val="28"/>
                <w:szCs w:val="28"/>
              </w:rPr>
              <w:t>成都市双流区首批开展政府采购信用融资业务银行联系方式</w:t>
            </w:r>
          </w:p>
        </w:tc>
      </w:tr>
      <w:tr>
        <w:tblPrEx>
          <w:tblCellMar>
            <w:top w:w="0" w:type="dxa"/>
            <w:left w:w="0" w:type="dxa"/>
            <w:bottom w:w="0" w:type="dxa"/>
            <w:right w:w="0" w:type="dxa"/>
          </w:tblCellMar>
        </w:tblPrEx>
        <w:trPr>
          <w:trHeight w:val="491" w:hRule="atLeast"/>
        </w:trPr>
        <w:tc>
          <w:tcPr>
            <w:tcW w:w="65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序号</w:t>
            </w:r>
          </w:p>
        </w:tc>
        <w:tc>
          <w:tcPr>
            <w:tcW w:w="299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银行名称</w:t>
            </w:r>
          </w:p>
        </w:tc>
        <w:tc>
          <w:tcPr>
            <w:tcW w:w="144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联系人</w:t>
            </w:r>
          </w:p>
        </w:tc>
        <w:tc>
          <w:tcPr>
            <w:tcW w:w="3268"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联系电话</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成都银行双流支行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周慧</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18108267808</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胡恒彬</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18190896900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中国建设银行双流分行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袁俊辉</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13688076753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交通银行双流分行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吴旭睿</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18980585584</w:t>
            </w:r>
          </w:p>
        </w:tc>
      </w:tr>
      <w:tr>
        <w:tblPrEx>
          <w:tblCellMar>
            <w:top w:w="0" w:type="dxa"/>
            <w:left w:w="0" w:type="dxa"/>
            <w:bottom w:w="0" w:type="dxa"/>
            <w:right w:w="0" w:type="dxa"/>
          </w:tblCellMar>
        </w:tblPrEx>
        <w:trPr>
          <w:trHeight w:val="542"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席梦娇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18284529669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中国农业银行双流支行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徐丽</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13981781800</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成都农商银行双流支行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谢薇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18581896869</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方讼之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18684003573</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彭洋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13540664856</w:t>
            </w:r>
          </w:p>
        </w:tc>
      </w:tr>
      <w:tr>
        <w:tblPrEx>
          <w:tblCellMar>
            <w:top w:w="0" w:type="dxa"/>
            <w:left w:w="0" w:type="dxa"/>
            <w:bottom w:w="0" w:type="dxa"/>
            <w:right w:w="0" w:type="dxa"/>
          </w:tblCellMar>
        </w:tblPrEx>
        <w:trPr>
          <w:trHeight w:val="549" w:hRule="atLeast"/>
        </w:trPr>
        <w:tc>
          <w:tcPr>
            <w:tcW w:w="65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w:t>
            </w:r>
          </w:p>
        </w:tc>
        <w:tc>
          <w:tcPr>
            <w:tcW w:w="299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上海银行成都双流支行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马欢</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028-67087516  17761260901</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浙商银行成都双流支行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唐城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13540090509</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艾燕</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13308183763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中国工商银行成都双流支行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邓经理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028-62580231</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肖经理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028-85895995</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中国邮政储蓄银行成都双流支行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杨建华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13981895940</w:t>
            </w:r>
          </w:p>
        </w:tc>
      </w:tr>
      <w:tr>
        <w:tblPrEx>
          <w:tblCellMar>
            <w:top w:w="0" w:type="dxa"/>
            <w:left w:w="0" w:type="dxa"/>
            <w:bottom w:w="0" w:type="dxa"/>
            <w:right w:w="0" w:type="dxa"/>
          </w:tblCellMar>
        </w:tblPrEx>
        <w:trPr>
          <w:trHeight w:val="568"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王宇飞</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13540385980</w:t>
            </w:r>
          </w:p>
        </w:tc>
      </w:tr>
    </w:tbl>
    <w:p/>
    <w:p/>
    <w:p/>
    <w:p/>
    <w:sectPr>
      <w:footerReference r:id="rId3" w:type="default"/>
      <w:pgSz w:w="12240" w:h="15840"/>
      <w:pgMar w:top="1440" w:right="1800" w:bottom="1440" w:left="1800" w:header="708" w:footer="708" w:gutter="0"/>
      <w:pgNumType w:fmt="decimal"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48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64514241"/>
                          </w:sdtPr>
                          <w:sdtContent>
                            <w:p>
                              <w:pPr>
                                <w:pStyle w:val="27"/>
                                <w:ind w:firstLine="480"/>
                                <w:jc w:val="center"/>
                              </w:pPr>
                              <w:r>
                                <w:fldChar w:fldCharType="begin"/>
                              </w:r>
                              <w:r>
                                <w:instrText xml:space="preserve">PAGE   \* MERGEFORMAT</w:instrText>
                              </w:r>
                              <w:r>
                                <w:fldChar w:fldCharType="separate"/>
                              </w:r>
                              <w:r>
                                <w:rPr>
                                  <w:lang w:val="zh-CN"/>
                                </w:rPr>
                                <w:t>124</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sdt>
                    <w:sdtPr>
                      <w:id w:val="264514241"/>
                    </w:sdtPr>
                    <w:sdtContent>
                      <w:p>
                        <w:pPr>
                          <w:pStyle w:val="27"/>
                          <w:ind w:firstLine="480"/>
                          <w:jc w:val="center"/>
                        </w:pPr>
                        <w:r>
                          <w:fldChar w:fldCharType="begin"/>
                        </w:r>
                        <w:r>
                          <w:instrText xml:space="preserve">PAGE   \* MERGEFORMAT</w:instrText>
                        </w:r>
                        <w:r>
                          <w:fldChar w:fldCharType="separate"/>
                        </w:r>
                        <w:r>
                          <w:rPr>
                            <w:lang w:val="zh-CN"/>
                          </w:rPr>
                          <w:t>124</w:t>
                        </w:r>
                        <w:r>
                          <w:fldChar w:fldCharType="end"/>
                        </w:r>
                      </w:p>
                    </w:sdtContent>
                  </w:sdt>
                  <w:p>
                    <w:pPr>
                      <w:pStyle w:val="2"/>
                    </w:pPr>
                  </w:p>
                </w:txbxContent>
              </v:textbox>
            </v:shape>
          </w:pict>
        </mc:Fallback>
      </mc:AlternateContent>
    </w:r>
  </w:p>
  <w:p>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DDC5C2"/>
    <w:multiLevelType w:val="singleLevel"/>
    <w:tmpl w:val="8BDDC5C2"/>
    <w:lvl w:ilvl="0" w:tentative="0">
      <w:start w:val="1"/>
      <w:numFmt w:val="chineseCounting"/>
      <w:suff w:val="nothing"/>
      <w:lvlText w:val="（%1）"/>
      <w:lvlJc w:val="left"/>
      <w:pPr>
        <w:ind w:left="0" w:firstLine="420"/>
      </w:pPr>
      <w:rPr>
        <w:rFonts w:hint="eastAsia"/>
      </w:rPr>
    </w:lvl>
  </w:abstractNum>
  <w:abstractNum w:abstractNumId="1">
    <w:nsid w:val="AE611504"/>
    <w:multiLevelType w:val="singleLevel"/>
    <w:tmpl w:val="AE611504"/>
    <w:lvl w:ilvl="0" w:tentative="0">
      <w:start w:val="1"/>
      <w:numFmt w:val="chineseCounting"/>
      <w:suff w:val="nothing"/>
      <w:lvlText w:val="%1、"/>
      <w:lvlJc w:val="left"/>
      <w:pPr>
        <w:ind w:left="0" w:firstLine="420"/>
      </w:pPr>
      <w:rPr>
        <w:rFonts w:hint="eastAsia"/>
      </w:rPr>
    </w:lvl>
  </w:abstractNum>
  <w:abstractNum w:abstractNumId="2">
    <w:nsid w:val="CE481707"/>
    <w:multiLevelType w:val="singleLevel"/>
    <w:tmpl w:val="CE481707"/>
    <w:lvl w:ilvl="0" w:tentative="0">
      <w:start w:val="1"/>
      <w:numFmt w:val="chineseCounting"/>
      <w:suff w:val="nothing"/>
      <w:lvlText w:val="%1、"/>
      <w:lvlJc w:val="left"/>
      <w:rPr>
        <w:rFonts w:hint="eastAsia"/>
      </w:rPr>
    </w:lvl>
  </w:abstractNum>
  <w:abstractNum w:abstractNumId="3">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4">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0"/>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0">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1">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29"/>
    <w:multiLevelType w:val="multilevel"/>
    <w:tmpl w:val="00000029"/>
    <w:lvl w:ilvl="0" w:tentative="0">
      <w:start w:val="1"/>
      <w:numFmt w:val="decimal"/>
      <w:lvlText w:val="%1."/>
      <w:lvlJc w:val="left"/>
      <w:pPr>
        <w:ind w:left="1271"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4">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3260"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5">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7">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3E"/>
    <w:multiLevelType w:val="multilevel"/>
    <w:tmpl w:val="0000003E"/>
    <w:lvl w:ilvl="0" w:tentative="0">
      <w:start w:val="1"/>
      <w:numFmt w:val="chineseCountingThousand"/>
      <w:suff w:val="nothing"/>
      <w:lvlText w:val="%1、"/>
      <w:lvlJc w:val="left"/>
      <w:pPr>
        <w:ind w:left="420" w:hanging="420"/>
      </w:pPr>
      <w:rPr>
        <w:rFonts w:hint="eastAsia"/>
        <w:b/>
        <w:i w:val="0"/>
        <w:color w:val="auto"/>
        <w:lang w:val="en-US"/>
      </w:rPr>
    </w:lvl>
    <w:lvl w:ilvl="1" w:tentative="0">
      <w:start w:val="1"/>
      <w:numFmt w:val="decimal"/>
      <w:lvlText w:val="%2、"/>
      <w:lvlJc w:val="left"/>
      <w:pPr>
        <w:ind w:left="2122" w:hanging="1125"/>
      </w:pPr>
    </w:lvl>
    <w:lvl w:ilvl="2" w:tentative="0">
      <w:start w:val="1"/>
      <w:numFmt w:val="lowerRoman"/>
      <w:lvlText w:val="%3."/>
      <w:lvlJc w:val="right"/>
      <w:pPr>
        <w:ind w:left="2400" w:hanging="420"/>
      </w:pPr>
    </w:lvl>
    <w:lvl w:ilvl="3" w:tentative="0">
      <w:start w:val="1"/>
      <w:numFmt w:val="decimal"/>
      <w:lvlText w:val="%4."/>
      <w:lvlJc w:val="left"/>
      <w:pPr>
        <w:ind w:left="2820" w:hanging="420"/>
      </w:pPr>
    </w:lvl>
    <w:lvl w:ilvl="4" w:tentative="0">
      <w:start w:val="1"/>
      <w:numFmt w:val="lowerLetter"/>
      <w:lvlText w:val="%5)"/>
      <w:lvlJc w:val="left"/>
      <w:pPr>
        <w:ind w:left="3240" w:hanging="420"/>
      </w:pPr>
    </w:lvl>
    <w:lvl w:ilvl="5" w:tentative="0">
      <w:start w:val="1"/>
      <w:numFmt w:val="lowerRoman"/>
      <w:lvlText w:val="%6."/>
      <w:lvlJc w:val="right"/>
      <w:pPr>
        <w:ind w:left="3660" w:hanging="420"/>
      </w:pPr>
    </w:lvl>
    <w:lvl w:ilvl="6" w:tentative="0">
      <w:start w:val="1"/>
      <w:numFmt w:val="decimal"/>
      <w:lvlText w:val="%7."/>
      <w:lvlJc w:val="left"/>
      <w:pPr>
        <w:ind w:left="4080" w:hanging="420"/>
      </w:pPr>
    </w:lvl>
    <w:lvl w:ilvl="7" w:tentative="0">
      <w:start w:val="1"/>
      <w:numFmt w:val="lowerLetter"/>
      <w:lvlText w:val="%8)"/>
      <w:lvlJc w:val="left"/>
      <w:pPr>
        <w:ind w:left="4500" w:hanging="420"/>
      </w:pPr>
    </w:lvl>
    <w:lvl w:ilvl="8" w:tentative="0">
      <w:start w:val="1"/>
      <w:numFmt w:val="lowerRoman"/>
      <w:lvlText w:val="%9."/>
      <w:lvlJc w:val="right"/>
      <w:pPr>
        <w:ind w:left="4920" w:hanging="420"/>
      </w:pPr>
    </w:lvl>
  </w:abstractNum>
  <w:abstractNum w:abstractNumId="19">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00000043"/>
    <w:multiLevelType w:val="multilevel"/>
    <w:tmpl w:val="00000043"/>
    <w:lvl w:ilvl="0" w:tentative="0">
      <w:start w:val="1"/>
      <w:numFmt w:val="chineseCountingThousand"/>
      <w:lvlText w:val="%1、"/>
      <w:lvlJc w:val="left"/>
      <w:pPr>
        <w:ind w:left="1413" w:hanging="420"/>
      </w:pPr>
      <w:rPr>
        <w:color w:val="auto"/>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21">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2">
    <w:nsid w:val="0B7C44A9"/>
    <w:multiLevelType w:val="multilevel"/>
    <w:tmpl w:val="0B7C44A9"/>
    <w:lvl w:ilvl="0" w:tentative="0">
      <w:start w:val="1"/>
      <w:numFmt w:val="japaneseCounting"/>
      <w:lvlText w:val="%1、"/>
      <w:lvlJc w:val="left"/>
      <w:pPr>
        <w:ind w:left="1288" w:hanging="720"/>
      </w:pPr>
      <w:rPr>
        <w:rFonts w:hint="eastAsia"/>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4">
    <w:nsid w:val="18FC8657"/>
    <w:multiLevelType w:val="singleLevel"/>
    <w:tmpl w:val="18FC8657"/>
    <w:lvl w:ilvl="0" w:tentative="0">
      <w:start w:val="1"/>
      <w:numFmt w:val="chineseCounting"/>
      <w:suff w:val="nothing"/>
      <w:lvlText w:val="%1、"/>
      <w:lvlJc w:val="left"/>
      <w:rPr>
        <w:rFonts w:hint="eastAsia"/>
        <w:b w:val="0"/>
        <w:bCs w:val="0"/>
      </w:rPr>
    </w:lvl>
  </w:abstractNum>
  <w:abstractNum w:abstractNumId="25">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6">
    <w:nsid w:val="1B246E06"/>
    <w:multiLevelType w:val="multilevel"/>
    <w:tmpl w:val="1B246E06"/>
    <w:lvl w:ilvl="0" w:tentative="0">
      <w:start w:val="1"/>
      <w:numFmt w:val="japaneseCounting"/>
      <w:lvlText w:val="%1、"/>
      <w:lvlJc w:val="left"/>
      <w:pPr>
        <w:ind w:left="1429" w:hanging="720"/>
      </w:pPr>
      <w:rPr>
        <w:rFonts w:hint="eastAsia"/>
        <w:b w:val="0"/>
        <w:color w:val="000000" w:themeColor="text1"/>
        <w:sz w:val="28"/>
        <w:szCs w:val="28"/>
        <w:lang w:val="en-US"/>
        <w14:textFill>
          <w14:solidFill>
            <w14:schemeClr w14:val="tx1"/>
          </w14:solidFill>
        </w14:textFill>
      </w:rPr>
    </w:lvl>
    <w:lvl w:ilvl="1" w:tentative="0">
      <w:start w:val="1"/>
      <w:numFmt w:val="lowerLetter"/>
      <w:lvlText w:val="%2)"/>
      <w:lvlJc w:val="left"/>
      <w:pPr>
        <w:ind w:left="3244" w:hanging="420"/>
      </w:pPr>
    </w:lvl>
    <w:lvl w:ilvl="2" w:tentative="0">
      <w:start w:val="1"/>
      <w:numFmt w:val="lowerRoman"/>
      <w:lvlText w:val="%3."/>
      <w:lvlJc w:val="right"/>
      <w:pPr>
        <w:ind w:left="3664" w:hanging="420"/>
      </w:pPr>
    </w:lvl>
    <w:lvl w:ilvl="3" w:tentative="0">
      <w:start w:val="1"/>
      <w:numFmt w:val="decimal"/>
      <w:lvlText w:val="%4."/>
      <w:lvlJc w:val="left"/>
      <w:pPr>
        <w:ind w:left="4084" w:hanging="420"/>
      </w:pPr>
    </w:lvl>
    <w:lvl w:ilvl="4" w:tentative="0">
      <w:start w:val="1"/>
      <w:numFmt w:val="lowerLetter"/>
      <w:lvlText w:val="%5)"/>
      <w:lvlJc w:val="left"/>
      <w:pPr>
        <w:ind w:left="4504" w:hanging="420"/>
      </w:pPr>
    </w:lvl>
    <w:lvl w:ilvl="5" w:tentative="0">
      <w:start w:val="1"/>
      <w:numFmt w:val="lowerRoman"/>
      <w:lvlText w:val="%6."/>
      <w:lvlJc w:val="right"/>
      <w:pPr>
        <w:ind w:left="4924" w:hanging="420"/>
      </w:pPr>
    </w:lvl>
    <w:lvl w:ilvl="6" w:tentative="0">
      <w:start w:val="1"/>
      <w:numFmt w:val="decimal"/>
      <w:lvlText w:val="%7."/>
      <w:lvlJc w:val="left"/>
      <w:pPr>
        <w:ind w:left="5344" w:hanging="420"/>
      </w:pPr>
    </w:lvl>
    <w:lvl w:ilvl="7" w:tentative="0">
      <w:start w:val="1"/>
      <w:numFmt w:val="lowerLetter"/>
      <w:lvlText w:val="%8)"/>
      <w:lvlJc w:val="left"/>
      <w:pPr>
        <w:ind w:left="5764" w:hanging="420"/>
      </w:pPr>
    </w:lvl>
    <w:lvl w:ilvl="8" w:tentative="0">
      <w:start w:val="1"/>
      <w:numFmt w:val="lowerRoman"/>
      <w:lvlText w:val="%9."/>
      <w:lvlJc w:val="right"/>
      <w:pPr>
        <w:ind w:left="6184" w:hanging="420"/>
      </w:pPr>
    </w:lvl>
  </w:abstractNum>
  <w:abstractNum w:abstractNumId="27">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8">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9">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30">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1">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2">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38064AA"/>
    <w:multiLevelType w:val="multilevel"/>
    <w:tmpl w:val="638064A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3">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5">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4"/>
  </w:num>
  <w:num w:numId="2">
    <w:abstractNumId w:val="9"/>
  </w:num>
  <w:num w:numId="3">
    <w:abstractNumId w:val="5"/>
  </w:num>
  <w:num w:numId="4">
    <w:abstractNumId w:val="29"/>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 w:numId="21">
    <w:abstractNumId w:val="2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2"/>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6D4"/>
    <w:rsid w:val="00001186"/>
    <w:rsid w:val="000014AD"/>
    <w:rsid w:val="00001B71"/>
    <w:rsid w:val="000115D7"/>
    <w:rsid w:val="00011C04"/>
    <w:rsid w:val="00012151"/>
    <w:rsid w:val="000141F6"/>
    <w:rsid w:val="0001708B"/>
    <w:rsid w:val="000175B6"/>
    <w:rsid w:val="00023388"/>
    <w:rsid w:val="000243B4"/>
    <w:rsid w:val="00027377"/>
    <w:rsid w:val="00030E31"/>
    <w:rsid w:val="0003441E"/>
    <w:rsid w:val="00034B6E"/>
    <w:rsid w:val="000352C7"/>
    <w:rsid w:val="00037CCE"/>
    <w:rsid w:val="0004003F"/>
    <w:rsid w:val="000403DE"/>
    <w:rsid w:val="00044A15"/>
    <w:rsid w:val="000451DB"/>
    <w:rsid w:val="00046A45"/>
    <w:rsid w:val="00050BE8"/>
    <w:rsid w:val="000514D3"/>
    <w:rsid w:val="000518B7"/>
    <w:rsid w:val="00051C10"/>
    <w:rsid w:val="000556AE"/>
    <w:rsid w:val="00060FCD"/>
    <w:rsid w:val="00061B1F"/>
    <w:rsid w:val="00064CC8"/>
    <w:rsid w:val="000651EC"/>
    <w:rsid w:val="00065918"/>
    <w:rsid w:val="00071C77"/>
    <w:rsid w:val="00072223"/>
    <w:rsid w:val="0007245D"/>
    <w:rsid w:val="00072790"/>
    <w:rsid w:val="0007322B"/>
    <w:rsid w:val="000740B8"/>
    <w:rsid w:val="00074605"/>
    <w:rsid w:val="00075226"/>
    <w:rsid w:val="00076637"/>
    <w:rsid w:val="00080AB2"/>
    <w:rsid w:val="0008183B"/>
    <w:rsid w:val="0008396B"/>
    <w:rsid w:val="00090CEC"/>
    <w:rsid w:val="00092CEA"/>
    <w:rsid w:val="000930EB"/>
    <w:rsid w:val="00093A13"/>
    <w:rsid w:val="00094004"/>
    <w:rsid w:val="00094BF4"/>
    <w:rsid w:val="000959DC"/>
    <w:rsid w:val="00096E03"/>
    <w:rsid w:val="00097F27"/>
    <w:rsid w:val="000A04C0"/>
    <w:rsid w:val="000A0A88"/>
    <w:rsid w:val="000A0DBC"/>
    <w:rsid w:val="000A1D1F"/>
    <w:rsid w:val="000A2F7D"/>
    <w:rsid w:val="000A339F"/>
    <w:rsid w:val="000A6A86"/>
    <w:rsid w:val="000A7ED1"/>
    <w:rsid w:val="000B0566"/>
    <w:rsid w:val="000B3687"/>
    <w:rsid w:val="000B6BFA"/>
    <w:rsid w:val="000C156C"/>
    <w:rsid w:val="000C52E5"/>
    <w:rsid w:val="000C78CD"/>
    <w:rsid w:val="000D0F94"/>
    <w:rsid w:val="000D15BC"/>
    <w:rsid w:val="000D18C0"/>
    <w:rsid w:val="000D261C"/>
    <w:rsid w:val="000D28CC"/>
    <w:rsid w:val="000D3D81"/>
    <w:rsid w:val="000D4993"/>
    <w:rsid w:val="000E3744"/>
    <w:rsid w:val="000E7E9D"/>
    <w:rsid w:val="000F0E67"/>
    <w:rsid w:val="000F201A"/>
    <w:rsid w:val="000F574A"/>
    <w:rsid w:val="000F60AD"/>
    <w:rsid w:val="00100D0B"/>
    <w:rsid w:val="001032A8"/>
    <w:rsid w:val="001046C6"/>
    <w:rsid w:val="0010588D"/>
    <w:rsid w:val="00105E67"/>
    <w:rsid w:val="0010662C"/>
    <w:rsid w:val="001073E5"/>
    <w:rsid w:val="00107411"/>
    <w:rsid w:val="00111388"/>
    <w:rsid w:val="00111D9C"/>
    <w:rsid w:val="0011368F"/>
    <w:rsid w:val="001158A8"/>
    <w:rsid w:val="00121DB8"/>
    <w:rsid w:val="00122BD7"/>
    <w:rsid w:val="00122D97"/>
    <w:rsid w:val="001237A6"/>
    <w:rsid w:val="00123A95"/>
    <w:rsid w:val="00124F44"/>
    <w:rsid w:val="001262A7"/>
    <w:rsid w:val="001268B8"/>
    <w:rsid w:val="00127207"/>
    <w:rsid w:val="00132C64"/>
    <w:rsid w:val="00133D0A"/>
    <w:rsid w:val="00134996"/>
    <w:rsid w:val="00134BA8"/>
    <w:rsid w:val="001366BE"/>
    <w:rsid w:val="001408B7"/>
    <w:rsid w:val="00140FD9"/>
    <w:rsid w:val="00143673"/>
    <w:rsid w:val="00144F09"/>
    <w:rsid w:val="00144FDB"/>
    <w:rsid w:val="001471FF"/>
    <w:rsid w:val="00153CE6"/>
    <w:rsid w:val="00155145"/>
    <w:rsid w:val="00163AF9"/>
    <w:rsid w:val="00163B8B"/>
    <w:rsid w:val="00163ED1"/>
    <w:rsid w:val="00167216"/>
    <w:rsid w:val="00185817"/>
    <w:rsid w:val="001861B9"/>
    <w:rsid w:val="001902FC"/>
    <w:rsid w:val="00190CDD"/>
    <w:rsid w:val="00192DEE"/>
    <w:rsid w:val="00193A83"/>
    <w:rsid w:val="00194A61"/>
    <w:rsid w:val="001A11CD"/>
    <w:rsid w:val="001A16D4"/>
    <w:rsid w:val="001A268E"/>
    <w:rsid w:val="001A7C04"/>
    <w:rsid w:val="001B0B26"/>
    <w:rsid w:val="001B33BD"/>
    <w:rsid w:val="001B59CE"/>
    <w:rsid w:val="001B6694"/>
    <w:rsid w:val="001C0C42"/>
    <w:rsid w:val="001C2195"/>
    <w:rsid w:val="001C299D"/>
    <w:rsid w:val="001C6504"/>
    <w:rsid w:val="001C7B91"/>
    <w:rsid w:val="001D0739"/>
    <w:rsid w:val="001D4279"/>
    <w:rsid w:val="001D57E6"/>
    <w:rsid w:val="001D6719"/>
    <w:rsid w:val="001E2114"/>
    <w:rsid w:val="001E369C"/>
    <w:rsid w:val="001E3E2B"/>
    <w:rsid w:val="001F412D"/>
    <w:rsid w:val="001F5DE0"/>
    <w:rsid w:val="00200370"/>
    <w:rsid w:val="00201F03"/>
    <w:rsid w:val="002023C7"/>
    <w:rsid w:val="0020244C"/>
    <w:rsid w:val="002079B2"/>
    <w:rsid w:val="00216EA3"/>
    <w:rsid w:val="00220AC8"/>
    <w:rsid w:val="002258B8"/>
    <w:rsid w:val="00233E88"/>
    <w:rsid w:val="0023546D"/>
    <w:rsid w:val="002359E9"/>
    <w:rsid w:val="00236E6B"/>
    <w:rsid w:val="00243283"/>
    <w:rsid w:val="0024454D"/>
    <w:rsid w:val="00250119"/>
    <w:rsid w:val="00250F2D"/>
    <w:rsid w:val="0025426D"/>
    <w:rsid w:val="00257A52"/>
    <w:rsid w:val="00257C0B"/>
    <w:rsid w:val="0026016F"/>
    <w:rsid w:val="0026057E"/>
    <w:rsid w:val="002606EE"/>
    <w:rsid w:val="0026220D"/>
    <w:rsid w:val="00266214"/>
    <w:rsid w:val="00267499"/>
    <w:rsid w:val="00270D83"/>
    <w:rsid w:val="00271713"/>
    <w:rsid w:val="00272EF3"/>
    <w:rsid w:val="00277630"/>
    <w:rsid w:val="00281AF2"/>
    <w:rsid w:val="0028299F"/>
    <w:rsid w:val="00287268"/>
    <w:rsid w:val="00290A5C"/>
    <w:rsid w:val="00290E1D"/>
    <w:rsid w:val="002923EA"/>
    <w:rsid w:val="0029432D"/>
    <w:rsid w:val="00297F9A"/>
    <w:rsid w:val="002A0908"/>
    <w:rsid w:val="002A0FC0"/>
    <w:rsid w:val="002A35F1"/>
    <w:rsid w:val="002A385D"/>
    <w:rsid w:val="002A4E91"/>
    <w:rsid w:val="002A6C35"/>
    <w:rsid w:val="002A734D"/>
    <w:rsid w:val="002B0F27"/>
    <w:rsid w:val="002B1ABE"/>
    <w:rsid w:val="002B2470"/>
    <w:rsid w:val="002B3BBD"/>
    <w:rsid w:val="002B46A8"/>
    <w:rsid w:val="002B5F08"/>
    <w:rsid w:val="002B6C18"/>
    <w:rsid w:val="002B6FA3"/>
    <w:rsid w:val="002B729A"/>
    <w:rsid w:val="002B7FDA"/>
    <w:rsid w:val="002C022D"/>
    <w:rsid w:val="002C184B"/>
    <w:rsid w:val="002C758B"/>
    <w:rsid w:val="002D1454"/>
    <w:rsid w:val="002D219C"/>
    <w:rsid w:val="002D23E6"/>
    <w:rsid w:val="002D631B"/>
    <w:rsid w:val="002F2C78"/>
    <w:rsid w:val="002F2EFE"/>
    <w:rsid w:val="00301581"/>
    <w:rsid w:val="003048DB"/>
    <w:rsid w:val="00305022"/>
    <w:rsid w:val="003059F1"/>
    <w:rsid w:val="00305EB7"/>
    <w:rsid w:val="00306F8F"/>
    <w:rsid w:val="00310E45"/>
    <w:rsid w:val="003136FF"/>
    <w:rsid w:val="00315FD1"/>
    <w:rsid w:val="00317FDF"/>
    <w:rsid w:val="00321B72"/>
    <w:rsid w:val="00325363"/>
    <w:rsid w:val="003259DB"/>
    <w:rsid w:val="00325D4A"/>
    <w:rsid w:val="003309D6"/>
    <w:rsid w:val="00345ACC"/>
    <w:rsid w:val="0035095F"/>
    <w:rsid w:val="00351C5C"/>
    <w:rsid w:val="00352B15"/>
    <w:rsid w:val="00352CC6"/>
    <w:rsid w:val="00357989"/>
    <w:rsid w:val="00362A5C"/>
    <w:rsid w:val="0036589D"/>
    <w:rsid w:val="0036624A"/>
    <w:rsid w:val="003671A2"/>
    <w:rsid w:val="00367A2C"/>
    <w:rsid w:val="00376071"/>
    <w:rsid w:val="003772F0"/>
    <w:rsid w:val="0037775B"/>
    <w:rsid w:val="00377878"/>
    <w:rsid w:val="00380680"/>
    <w:rsid w:val="00381D40"/>
    <w:rsid w:val="003826D1"/>
    <w:rsid w:val="00383DEC"/>
    <w:rsid w:val="003854BD"/>
    <w:rsid w:val="00385B50"/>
    <w:rsid w:val="003872B9"/>
    <w:rsid w:val="00396342"/>
    <w:rsid w:val="003973AA"/>
    <w:rsid w:val="003A344E"/>
    <w:rsid w:val="003A464B"/>
    <w:rsid w:val="003B0F11"/>
    <w:rsid w:val="003B254C"/>
    <w:rsid w:val="003B3D08"/>
    <w:rsid w:val="003B4E95"/>
    <w:rsid w:val="003C04C7"/>
    <w:rsid w:val="003C1E77"/>
    <w:rsid w:val="003C22B2"/>
    <w:rsid w:val="003C237F"/>
    <w:rsid w:val="003C2637"/>
    <w:rsid w:val="003C2DEB"/>
    <w:rsid w:val="003D2F39"/>
    <w:rsid w:val="003E0EC4"/>
    <w:rsid w:val="003E24A0"/>
    <w:rsid w:val="003E439D"/>
    <w:rsid w:val="003E6238"/>
    <w:rsid w:val="003E62C8"/>
    <w:rsid w:val="003F17D5"/>
    <w:rsid w:val="003F19C0"/>
    <w:rsid w:val="003F1CA4"/>
    <w:rsid w:val="003F231B"/>
    <w:rsid w:val="003F2B24"/>
    <w:rsid w:val="003F4855"/>
    <w:rsid w:val="004023F4"/>
    <w:rsid w:val="004030C8"/>
    <w:rsid w:val="004044F7"/>
    <w:rsid w:val="0040550B"/>
    <w:rsid w:val="00406F30"/>
    <w:rsid w:val="004110CF"/>
    <w:rsid w:val="0041137C"/>
    <w:rsid w:val="004132E6"/>
    <w:rsid w:val="00413FE1"/>
    <w:rsid w:val="00414D00"/>
    <w:rsid w:val="00415846"/>
    <w:rsid w:val="0041672F"/>
    <w:rsid w:val="00421A24"/>
    <w:rsid w:val="004254BB"/>
    <w:rsid w:val="00425AD5"/>
    <w:rsid w:val="004342DC"/>
    <w:rsid w:val="00437153"/>
    <w:rsid w:val="004417D5"/>
    <w:rsid w:val="00444A4E"/>
    <w:rsid w:val="004504FA"/>
    <w:rsid w:val="00450758"/>
    <w:rsid w:val="00451D9F"/>
    <w:rsid w:val="004539B0"/>
    <w:rsid w:val="00453E3D"/>
    <w:rsid w:val="00454540"/>
    <w:rsid w:val="00454B38"/>
    <w:rsid w:val="00455E3A"/>
    <w:rsid w:val="00455E6A"/>
    <w:rsid w:val="00455ED6"/>
    <w:rsid w:val="00461D47"/>
    <w:rsid w:val="004642AB"/>
    <w:rsid w:val="00473B52"/>
    <w:rsid w:val="00480E1E"/>
    <w:rsid w:val="00481271"/>
    <w:rsid w:val="00482461"/>
    <w:rsid w:val="00482861"/>
    <w:rsid w:val="00485D6A"/>
    <w:rsid w:val="00490EB1"/>
    <w:rsid w:val="00492416"/>
    <w:rsid w:val="00493504"/>
    <w:rsid w:val="004937FB"/>
    <w:rsid w:val="00496BF2"/>
    <w:rsid w:val="004A33F2"/>
    <w:rsid w:val="004A46B7"/>
    <w:rsid w:val="004A7164"/>
    <w:rsid w:val="004B29F6"/>
    <w:rsid w:val="004B488F"/>
    <w:rsid w:val="004C0629"/>
    <w:rsid w:val="004C1903"/>
    <w:rsid w:val="004C21C1"/>
    <w:rsid w:val="004D1459"/>
    <w:rsid w:val="004D5161"/>
    <w:rsid w:val="004D51B2"/>
    <w:rsid w:val="004D57C1"/>
    <w:rsid w:val="004D7308"/>
    <w:rsid w:val="004E629C"/>
    <w:rsid w:val="004E69F1"/>
    <w:rsid w:val="004E79AF"/>
    <w:rsid w:val="004F1E70"/>
    <w:rsid w:val="004F3155"/>
    <w:rsid w:val="004F5C26"/>
    <w:rsid w:val="004F7332"/>
    <w:rsid w:val="004F77EB"/>
    <w:rsid w:val="0050142B"/>
    <w:rsid w:val="00503FAD"/>
    <w:rsid w:val="0050612B"/>
    <w:rsid w:val="0050629D"/>
    <w:rsid w:val="00510AF7"/>
    <w:rsid w:val="00512A0A"/>
    <w:rsid w:val="00516E36"/>
    <w:rsid w:val="00516FA0"/>
    <w:rsid w:val="00520369"/>
    <w:rsid w:val="005211D0"/>
    <w:rsid w:val="00521CCA"/>
    <w:rsid w:val="00525240"/>
    <w:rsid w:val="005267BB"/>
    <w:rsid w:val="0053002C"/>
    <w:rsid w:val="00540B6F"/>
    <w:rsid w:val="0054101C"/>
    <w:rsid w:val="00541095"/>
    <w:rsid w:val="005416D4"/>
    <w:rsid w:val="005416FA"/>
    <w:rsid w:val="00542208"/>
    <w:rsid w:val="00543239"/>
    <w:rsid w:val="00543F8F"/>
    <w:rsid w:val="0054431E"/>
    <w:rsid w:val="00545310"/>
    <w:rsid w:val="00550D84"/>
    <w:rsid w:val="00552345"/>
    <w:rsid w:val="0055261B"/>
    <w:rsid w:val="00553FA1"/>
    <w:rsid w:val="00554CC2"/>
    <w:rsid w:val="005551E8"/>
    <w:rsid w:val="00555A3D"/>
    <w:rsid w:val="0055787D"/>
    <w:rsid w:val="00557F72"/>
    <w:rsid w:val="00560B7F"/>
    <w:rsid w:val="00562493"/>
    <w:rsid w:val="00565BEE"/>
    <w:rsid w:val="0056629C"/>
    <w:rsid w:val="00570B90"/>
    <w:rsid w:val="00571BD6"/>
    <w:rsid w:val="00576208"/>
    <w:rsid w:val="005862F0"/>
    <w:rsid w:val="00586D5F"/>
    <w:rsid w:val="0059252D"/>
    <w:rsid w:val="005A0A72"/>
    <w:rsid w:val="005A0D32"/>
    <w:rsid w:val="005A13C1"/>
    <w:rsid w:val="005A635F"/>
    <w:rsid w:val="005A70E8"/>
    <w:rsid w:val="005B4FC8"/>
    <w:rsid w:val="005B6EB1"/>
    <w:rsid w:val="005B754F"/>
    <w:rsid w:val="005B7DF5"/>
    <w:rsid w:val="005C0053"/>
    <w:rsid w:val="005C0EE2"/>
    <w:rsid w:val="005C2371"/>
    <w:rsid w:val="005C405D"/>
    <w:rsid w:val="005C6364"/>
    <w:rsid w:val="005C7D3A"/>
    <w:rsid w:val="005D2B6B"/>
    <w:rsid w:val="005D6B29"/>
    <w:rsid w:val="005D7B85"/>
    <w:rsid w:val="005E091E"/>
    <w:rsid w:val="005E16D8"/>
    <w:rsid w:val="005E19F0"/>
    <w:rsid w:val="005E295C"/>
    <w:rsid w:val="005F120B"/>
    <w:rsid w:val="005F321A"/>
    <w:rsid w:val="005F6D42"/>
    <w:rsid w:val="00602082"/>
    <w:rsid w:val="006026DE"/>
    <w:rsid w:val="006065F6"/>
    <w:rsid w:val="0061094A"/>
    <w:rsid w:val="00612ABE"/>
    <w:rsid w:val="00626FA7"/>
    <w:rsid w:val="00627080"/>
    <w:rsid w:val="006272D6"/>
    <w:rsid w:val="006308A5"/>
    <w:rsid w:val="00631D06"/>
    <w:rsid w:val="006320B8"/>
    <w:rsid w:val="006333B8"/>
    <w:rsid w:val="00636B9B"/>
    <w:rsid w:val="006378C1"/>
    <w:rsid w:val="00642C40"/>
    <w:rsid w:val="00645645"/>
    <w:rsid w:val="0064767E"/>
    <w:rsid w:val="00647A70"/>
    <w:rsid w:val="00647AC9"/>
    <w:rsid w:val="0065074A"/>
    <w:rsid w:val="00651B7B"/>
    <w:rsid w:val="0065253F"/>
    <w:rsid w:val="00653F0D"/>
    <w:rsid w:val="006548AC"/>
    <w:rsid w:val="00654DD5"/>
    <w:rsid w:val="006551E5"/>
    <w:rsid w:val="006557AD"/>
    <w:rsid w:val="00656604"/>
    <w:rsid w:val="0066243E"/>
    <w:rsid w:val="006646FC"/>
    <w:rsid w:val="00666707"/>
    <w:rsid w:val="0066674E"/>
    <w:rsid w:val="006670AD"/>
    <w:rsid w:val="00671E18"/>
    <w:rsid w:val="00673782"/>
    <w:rsid w:val="00673AF4"/>
    <w:rsid w:val="00675258"/>
    <w:rsid w:val="0067654C"/>
    <w:rsid w:val="00676662"/>
    <w:rsid w:val="00680AEF"/>
    <w:rsid w:val="0068137A"/>
    <w:rsid w:val="0068568B"/>
    <w:rsid w:val="00685F5A"/>
    <w:rsid w:val="006871D3"/>
    <w:rsid w:val="006872FD"/>
    <w:rsid w:val="0068756E"/>
    <w:rsid w:val="00691B4A"/>
    <w:rsid w:val="0069224F"/>
    <w:rsid w:val="00693F9D"/>
    <w:rsid w:val="00696759"/>
    <w:rsid w:val="006A39DB"/>
    <w:rsid w:val="006A601C"/>
    <w:rsid w:val="006B0CD6"/>
    <w:rsid w:val="006B5446"/>
    <w:rsid w:val="006B6CF2"/>
    <w:rsid w:val="006B6DBF"/>
    <w:rsid w:val="006C0470"/>
    <w:rsid w:val="006C0C79"/>
    <w:rsid w:val="006C352A"/>
    <w:rsid w:val="006C4859"/>
    <w:rsid w:val="006C49AC"/>
    <w:rsid w:val="006C5F89"/>
    <w:rsid w:val="006D0175"/>
    <w:rsid w:val="006D43AA"/>
    <w:rsid w:val="006D4825"/>
    <w:rsid w:val="006D5C8D"/>
    <w:rsid w:val="006D5D19"/>
    <w:rsid w:val="006D60F6"/>
    <w:rsid w:val="006E3106"/>
    <w:rsid w:val="006E3F62"/>
    <w:rsid w:val="006E4F22"/>
    <w:rsid w:val="006E7141"/>
    <w:rsid w:val="006F02B4"/>
    <w:rsid w:val="006F0597"/>
    <w:rsid w:val="006F6207"/>
    <w:rsid w:val="006F6EA6"/>
    <w:rsid w:val="006F7414"/>
    <w:rsid w:val="00700B80"/>
    <w:rsid w:val="00703B01"/>
    <w:rsid w:val="00704D6E"/>
    <w:rsid w:val="00705675"/>
    <w:rsid w:val="00705EED"/>
    <w:rsid w:val="007101E0"/>
    <w:rsid w:val="00712E30"/>
    <w:rsid w:val="00713C61"/>
    <w:rsid w:val="007149A8"/>
    <w:rsid w:val="00715456"/>
    <w:rsid w:val="00717BA9"/>
    <w:rsid w:val="00717DA5"/>
    <w:rsid w:val="00721CBD"/>
    <w:rsid w:val="00723CC8"/>
    <w:rsid w:val="00726D1D"/>
    <w:rsid w:val="00730EE6"/>
    <w:rsid w:val="0073298A"/>
    <w:rsid w:val="007349BC"/>
    <w:rsid w:val="00737931"/>
    <w:rsid w:val="00740A2F"/>
    <w:rsid w:val="00743169"/>
    <w:rsid w:val="00745F41"/>
    <w:rsid w:val="0074638D"/>
    <w:rsid w:val="007477AD"/>
    <w:rsid w:val="0075057C"/>
    <w:rsid w:val="007513A7"/>
    <w:rsid w:val="00751480"/>
    <w:rsid w:val="00751FD4"/>
    <w:rsid w:val="0075340E"/>
    <w:rsid w:val="00754D3F"/>
    <w:rsid w:val="007560BF"/>
    <w:rsid w:val="007571C9"/>
    <w:rsid w:val="00757DEB"/>
    <w:rsid w:val="00764320"/>
    <w:rsid w:val="0076642E"/>
    <w:rsid w:val="00767EFE"/>
    <w:rsid w:val="00770A0A"/>
    <w:rsid w:val="007712B8"/>
    <w:rsid w:val="007715F6"/>
    <w:rsid w:val="007719E0"/>
    <w:rsid w:val="00772D21"/>
    <w:rsid w:val="007736FB"/>
    <w:rsid w:val="00773D82"/>
    <w:rsid w:val="00776951"/>
    <w:rsid w:val="00780C5B"/>
    <w:rsid w:val="00783451"/>
    <w:rsid w:val="00786497"/>
    <w:rsid w:val="007871AA"/>
    <w:rsid w:val="00793530"/>
    <w:rsid w:val="00795F4E"/>
    <w:rsid w:val="007A0A96"/>
    <w:rsid w:val="007A26C1"/>
    <w:rsid w:val="007A4A3A"/>
    <w:rsid w:val="007A6EF2"/>
    <w:rsid w:val="007B038E"/>
    <w:rsid w:val="007B0CFC"/>
    <w:rsid w:val="007B1777"/>
    <w:rsid w:val="007B5FB7"/>
    <w:rsid w:val="007B6E0E"/>
    <w:rsid w:val="007C034B"/>
    <w:rsid w:val="007C7BFC"/>
    <w:rsid w:val="007C7CBC"/>
    <w:rsid w:val="007D0A52"/>
    <w:rsid w:val="007D1945"/>
    <w:rsid w:val="007D1B8F"/>
    <w:rsid w:val="007D2305"/>
    <w:rsid w:val="007D2E1D"/>
    <w:rsid w:val="007D3F68"/>
    <w:rsid w:val="007D4EB4"/>
    <w:rsid w:val="007D5868"/>
    <w:rsid w:val="007D5C21"/>
    <w:rsid w:val="007D6D58"/>
    <w:rsid w:val="007D7265"/>
    <w:rsid w:val="007D7BDB"/>
    <w:rsid w:val="007E22B8"/>
    <w:rsid w:val="007E2A9E"/>
    <w:rsid w:val="007E45B9"/>
    <w:rsid w:val="007E54C8"/>
    <w:rsid w:val="007E5548"/>
    <w:rsid w:val="007F07FA"/>
    <w:rsid w:val="007F3076"/>
    <w:rsid w:val="007F77C7"/>
    <w:rsid w:val="00801531"/>
    <w:rsid w:val="00802C18"/>
    <w:rsid w:val="00806E5E"/>
    <w:rsid w:val="008079EB"/>
    <w:rsid w:val="00807CC4"/>
    <w:rsid w:val="00815525"/>
    <w:rsid w:val="00816B68"/>
    <w:rsid w:val="008175E0"/>
    <w:rsid w:val="00821EFD"/>
    <w:rsid w:val="00822688"/>
    <w:rsid w:val="00824B5F"/>
    <w:rsid w:val="0082604D"/>
    <w:rsid w:val="00827354"/>
    <w:rsid w:val="00827831"/>
    <w:rsid w:val="0083164D"/>
    <w:rsid w:val="008318C0"/>
    <w:rsid w:val="008344E1"/>
    <w:rsid w:val="00836A82"/>
    <w:rsid w:val="00836B86"/>
    <w:rsid w:val="008409EE"/>
    <w:rsid w:val="008435B2"/>
    <w:rsid w:val="008439C6"/>
    <w:rsid w:val="0084516F"/>
    <w:rsid w:val="008465E3"/>
    <w:rsid w:val="00846A31"/>
    <w:rsid w:val="00851A19"/>
    <w:rsid w:val="0085377B"/>
    <w:rsid w:val="008553D1"/>
    <w:rsid w:val="00855A14"/>
    <w:rsid w:val="00855DF8"/>
    <w:rsid w:val="008602E5"/>
    <w:rsid w:val="00863FFA"/>
    <w:rsid w:val="00865690"/>
    <w:rsid w:val="00867148"/>
    <w:rsid w:val="0087013A"/>
    <w:rsid w:val="00877F22"/>
    <w:rsid w:val="00881614"/>
    <w:rsid w:val="00881FD7"/>
    <w:rsid w:val="00883D12"/>
    <w:rsid w:val="00884A57"/>
    <w:rsid w:val="008868F4"/>
    <w:rsid w:val="00887597"/>
    <w:rsid w:val="00890872"/>
    <w:rsid w:val="00894014"/>
    <w:rsid w:val="00894C03"/>
    <w:rsid w:val="00894FD9"/>
    <w:rsid w:val="00895FBF"/>
    <w:rsid w:val="008A0693"/>
    <w:rsid w:val="008A1AFF"/>
    <w:rsid w:val="008A26CA"/>
    <w:rsid w:val="008A31B9"/>
    <w:rsid w:val="008A491C"/>
    <w:rsid w:val="008A50AC"/>
    <w:rsid w:val="008A59B4"/>
    <w:rsid w:val="008B6096"/>
    <w:rsid w:val="008B6379"/>
    <w:rsid w:val="008B7D79"/>
    <w:rsid w:val="008C269A"/>
    <w:rsid w:val="008C2BE7"/>
    <w:rsid w:val="008C3BAE"/>
    <w:rsid w:val="008C411C"/>
    <w:rsid w:val="008C48AE"/>
    <w:rsid w:val="008C7E4C"/>
    <w:rsid w:val="008D0437"/>
    <w:rsid w:val="008D254E"/>
    <w:rsid w:val="008D2A3B"/>
    <w:rsid w:val="008D3722"/>
    <w:rsid w:val="008D3F9F"/>
    <w:rsid w:val="008E1246"/>
    <w:rsid w:val="008E21A9"/>
    <w:rsid w:val="008E258A"/>
    <w:rsid w:val="008E4233"/>
    <w:rsid w:val="008E53F9"/>
    <w:rsid w:val="008E7EAE"/>
    <w:rsid w:val="008F254C"/>
    <w:rsid w:val="008F2A0D"/>
    <w:rsid w:val="008F38AF"/>
    <w:rsid w:val="008F5E19"/>
    <w:rsid w:val="008F6FA3"/>
    <w:rsid w:val="009018B3"/>
    <w:rsid w:val="00901ECD"/>
    <w:rsid w:val="009035B3"/>
    <w:rsid w:val="00905839"/>
    <w:rsid w:val="009058F6"/>
    <w:rsid w:val="009065A8"/>
    <w:rsid w:val="00907431"/>
    <w:rsid w:val="0091012C"/>
    <w:rsid w:val="009108B0"/>
    <w:rsid w:val="00911362"/>
    <w:rsid w:val="0091311A"/>
    <w:rsid w:val="009147A4"/>
    <w:rsid w:val="00915485"/>
    <w:rsid w:val="00917355"/>
    <w:rsid w:val="0092029D"/>
    <w:rsid w:val="00923B59"/>
    <w:rsid w:val="009248FC"/>
    <w:rsid w:val="00925230"/>
    <w:rsid w:val="0092585C"/>
    <w:rsid w:val="00926676"/>
    <w:rsid w:val="0092720F"/>
    <w:rsid w:val="0093403E"/>
    <w:rsid w:val="009364CF"/>
    <w:rsid w:val="009378BF"/>
    <w:rsid w:val="00937E20"/>
    <w:rsid w:val="0094201C"/>
    <w:rsid w:val="00946CAF"/>
    <w:rsid w:val="009511AB"/>
    <w:rsid w:val="00951219"/>
    <w:rsid w:val="0095172F"/>
    <w:rsid w:val="00952677"/>
    <w:rsid w:val="00954712"/>
    <w:rsid w:val="00955FB3"/>
    <w:rsid w:val="0096104E"/>
    <w:rsid w:val="009613B3"/>
    <w:rsid w:val="00962C7D"/>
    <w:rsid w:val="00963F27"/>
    <w:rsid w:val="00965E96"/>
    <w:rsid w:val="00966327"/>
    <w:rsid w:val="00970DEA"/>
    <w:rsid w:val="00971325"/>
    <w:rsid w:val="009725D8"/>
    <w:rsid w:val="00974961"/>
    <w:rsid w:val="00974C4C"/>
    <w:rsid w:val="00977951"/>
    <w:rsid w:val="00982626"/>
    <w:rsid w:val="009872DB"/>
    <w:rsid w:val="009903DE"/>
    <w:rsid w:val="00993069"/>
    <w:rsid w:val="00994398"/>
    <w:rsid w:val="00995C7B"/>
    <w:rsid w:val="009971B8"/>
    <w:rsid w:val="009A03BC"/>
    <w:rsid w:val="009A053C"/>
    <w:rsid w:val="009A248F"/>
    <w:rsid w:val="009A501D"/>
    <w:rsid w:val="009A5678"/>
    <w:rsid w:val="009A68F5"/>
    <w:rsid w:val="009B1675"/>
    <w:rsid w:val="009B58AF"/>
    <w:rsid w:val="009B60A2"/>
    <w:rsid w:val="009C1154"/>
    <w:rsid w:val="009C260B"/>
    <w:rsid w:val="009C37CA"/>
    <w:rsid w:val="009C3BA2"/>
    <w:rsid w:val="009C63C3"/>
    <w:rsid w:val="009C746B"/>
    <w:rsid w:val="009D10AD"/>
    <w:rsid w:val="009D6AF5"/>
    <w:rsid w:val="009D6D5B"/>
    <w:rsid w:val="009E01C8"/>
    <w:rsid w:val="009E0372"/>
    <w:rsid w:val="009E19A0"/>
    <w:rsid w:val="009E1EF6"/>
    <w:rsid w:val="009E5CB3"/>
    <w:rsid w:val="009E6146"/>
    <w:rsid w:val="009E63B9"/>
    <w:rsid w:val="009F089F"/>
    <w:rsid w:val="009F1B58"/>
    <w:rsid w:val="009F496E"/>
    <w:rsid w:val="009F52E1"/>
    <w:rsid w:val="009F6780"/>
    <w:rsid w:val="009F7BF7"/>
    <w:rsid w:val="00A0119E"/>
    <w:rsid w:val="00A020EB"/>
    <w:rsid w:val="00A02D97"/>
    <w:rsid w:val="00A06B09"/>
    <w:rsid w:val="00A10B6D"/>
    <w:rsid w:val="00A1129D"/>
    <w:rsid w:val="00A1339A"/>
    <w:rsid w:val="00A1574E"/>
    <w:rsid w:val="00A16AA7"/>
    <w:rsid w:val="00A17799"/>
    <w:rsid w:val="00A2013E"/>
    <w:rsid w:val="00A23726"/>
    <w:rsid w:val="00A25B6F"/>
    <w:rsid w:val="00A2615C"/>
    <w:rsid w:val="00A301C6"/>
    <w:rsid w:val="00A31667"/>
    <w:rsid w:val="00A32FEB"/>
    <w:rsid w:val="00A3426A"/>
    <w:rsid w:val="00A35765"/>
    <w:rsid w:val="00A36C0E"/>
    <w:rsid w:val="00A36E25"/>
    <w:rsid w:val="00A37352"/>
    <w:rsid w:val="00A37E17"/>
    <w:rsid w:val="00A420B4"/>
    <w:rsid w:val="00A44395"/>
    <w:rsid w:val="00A4562E"/>
    <w:rsid w:val="00A4725E"/>
    <w:rsid w:val="00A5327E"/>
    <w:rsid w:val="00A545DD"/>
    <w:rsid w:val="00A56FA5"/>
    <w:rsid w:val="00A56FED"/>
    <w:rsid w:val="00A60A57"/>
    <w:rsid w:val="00A7094C"/>
    <w:rsid w:val="00A70B4C"/>
    <w:rsid w:val="00A71E38"/>
    <w:rsid w:val="00A72B3A"/>
    <w:rsid w:val="00A73769"/>
    <w:rsid w:val="00A75058"/>
    <w:rsid w:val="00A861B6"/>
    <w:rsid w:val="00A86A02"/>
    <w:rsid w:val="00A86BED"/>
    <w:rsid w:val="00A8712B"/>
    <w:rsid w:val="00A92071"/>
    <w:rsid w:val="00A93303"/>
    <w:rsid w:val="00AA09CA"/>
    <w:rsid w:val="00AA0E63"/>
    <w:rsid w:val="00AA1803"/>
    <w:rsid w:val="00AA408C"/>
    <w:rsid w:val="00AA5229"/>
    <w:rsid w:val="00AA660C"/>
    <w:rsid w:val="00AB1127"/>
    <w:rsid w:val="00AB1571"/>
    <w:rsid w:val="00AB2105"/>
    <w:rsid w:val="00AC0ED3"/>
    <w:rsid w:val="00AC5977"/>
    <w:rsid w:val="00AD2FF1"/>
    <w:rsid w:val="00AD4F5A"/>
    <w:rsid w:val="00AD6F75"/>
    <w:rsid w:val="00AD7551"/>
    <w:rsid w:val="00AE18E6"/>
    <w:rsid w:val="00AE1F28"/>
    <w:rsid w:val="00AE5199"/>
    <w:rsid w:val="00AE5F10"/>
    <w:rsid w:val="00AF2422"/>
    <w:rsid w:val="00AF54C6"/>
    <w:rsid w:val="00B0162A"/>
    <w:rsid w:val="00B02E10"/>
    <w:rsid w:val="00B04827"/>
    <w:rsid w:val="00B04A92"/>
    <w:rsid w:val="00B0526D"/>
    <w:rsid w:val="00B05831"/>
    <w:rsid w:val="00B06C4F"/>
    <w:rsid w:val="00B0755F"/>
    <w:rsid w:val="00B11DC8"/>
    <w:rsid w:val="00B128C8"/>
    <w:rsid w:val="00B14099"/>
    <w:rsid w:val="00B14EC8"/>
    <w:rsid w:val="00B14F90"/>
    <w:rsid w:val="00B164D0"/>
    <w:rsid w:val="00B17AB6"/>
    <w:rsid w:val="00B204D2"/>
    <w:rsid w:val="00B22954"/>
    <w:rsid w:val="00B25536"/>
    <w:rsid w:val="00B25CE7"/>
    <w:rsid w:val="00B25E6E"/>
    <w:rsid w:val="00B26012"/>
    <w:rsid w:val="00B302DC"/>
    <w:rsid w:val="00B3066F"/>
    <w:rsid w:val="00B32191"/>
    <w:rsid w:val="00B35784"/>
    <w:rsid w:val="00B35FBD"/>
    <w:rsid w:val="00B37BCF"/>
    <w:rsid w:val="00B37D0A"/>
    <w:rsid w:val="00B40703"/>
    <w:rsid w:val="00B41E9C"/>
    <w:rsid w:val="00B42AB8"/>
    <w:rsid w:val="00B4520A"/>
    <w:rsid w:val="00B45CDC"/>
    <w:rsid w:val="00B51908"/>
    <w:rsid w:val="00B5326F"/>
    <w:rsid w:val="00B560A1"/>
    <w:rsid w:val="00B56739"/>
    <w:rsid w:val="00B572D0"/>
    <w:rsid w:val="00B615CA"/>
    <w:rsid w:val="00B668E1"/>
    <w:rsid w:val="00B673F4"/>
    <w:rsid w:val="00B707CD"/>
    <w:rsid w:val="00B71718"/>
    <w:rsid w:val="00B74D61"/>
    <w:rsid w:val="00B75EE4"/>
    <w:rsid w:val="00B772FA"/>
    <w:rsid w:val="00B80B3A"/>
    <w:rsid w:val="00B8140B"/>
    <w:rsid w:val="00B82721"/>
    <w:rsid w:val="00B82C8D"/>
    <w:rsid w:val="00B8500A"/>
    <w:rsid w:val="00B85368"/>
    <w:rsid w:val="00B9180C"/>
    <w:rsid w:val="00B93639"/>
    <w:rsid w:val="00B93DEB"/>
    <w:rsid w:val="00B950DF"/>
    <w:rsid w:val="00B958F4"/>
    <w:rsid w:val="00B95A28"/>
    <w:rsid w:val="00B96FF3"/>
    <w:rsid w:val="00BA2ED0"/>
    <w:rsid w:val="00BA537D"/>
    <w:rsid w:val="00BB0E10"/>
    <w:rsid w:val="00BB2867"/>
    <w:rsid w:val="00BB6E19"/>
    <w:rsid w:val="00BC0A36"/>
    <w:rsid w:val="00BC541F"/>
    <w:rsid w:val="00BC7807"/>
    <w:rsid w:val="00BD2D6B"/>
    <w:rsid w:val="00BD3681"/>
    <w:rsid w:val="00BD3F1F"/>
    <w:rsid w:val="00BD454B"/>
    <w:rsid w:val="00BE69B4"/>
    <w:rsid w:val="00BE74CE"/>
    <w:rsid w:val="00BF4B00"/>
    <w:rsid w:val="00BF6056"/>
    <w:rsid w:val="00C0374B"/>
    <w:rsid w:val="00C03BB4"/>
    <w:rsid w:val="00C04B7B"/>
    <w:rsid w:val="00C056BB"/>
    <w:rsid w:val="00C06829"/>
    <w:rsid w:val="00C07C25"/>
    <w:rsid w:val="00C11711"/>
    <w:rsid w:val="00C14BDB"/>
    <w:rsid w:val="00C179CA"/>
    <w:rsid w:val="00C24996"/>
    <w:rsid w:val="00C25C2B"/>
    <w:rsid w:val="00C276A7"/>
    <w:rsid w:val="00C303AD"/>
    <w:rsid w:val="00C30B81"/>
    <w:rsid w:val="00C30D53"/>
    <w:rsid w:val="00C30FA1"/>
    <w:rsid w:val="00C34EB0"/>
    <w:rsid w:val="00C36913"/>
    <w:rsid w:val="00C36B4E"/>
    <w:rsid w:val="00C4016E"/>
    <w:rsid w:val="00C4116C"/>
    <w:rsid w:val="00C43EE7"/>
    <w:rsid w:val="00C46172"/>
    <w:rsid w:val="00C51EC3"/>
    <w:rsid w:val="00C53932"/>
    <w:rsid w:val="00C54448"/>
    <w:rsid w:val="00C5530F"/>
    <w:rsid w:val="00C60C21"/>
    <w:rsid w:val="00C61327"/>
    <w:rsid w:val="00C61592"/>
    <w:rsid w:val="00C63AC3"/>
    <w:rsid w:val="00C640C6"/>
    <w:rsid w:val="00C6423C"/>
    <w:rsid w:val="00C65ED0"/>
    <w:rsid w:val="00C6761E"/>
    <w:rsid w:val="00C70E74"/>
    <w:rsid w:val="00C737F6"/>
    <w:rsid w:val="00C75791"/>
    <w:rsid w:val="00C75E07"/>
    <w:rsid w:val="00C766D0"/>
    <w:rsid w:val="00C76A2E"/>
    <w:rsid w:val="00C80668"/>
    <w:rsid w:val="00C905A4"/>
    <w:rsid w:val="00C91820"/>
    <w:rsid w:val="00C91CC7"/>
    <w:rsid w:val="00C94FCF"/>
    <w:rsid w:val="00C9549E"/>
    <w:rsid w:val="00C956B1"/>
    <w:rsid w:val="00C9599A"/>
    <w:rsid w:val="00C9618B"/>
    <w:rsid w:val="00CA06D6"/>
    <w:rsid w:val="00CA07B5"/>
    <w:rsid w:val="00CA51D8"/>
    <w:rsid w:val="00CA74BE"/>
    <w:rsid w:val="00CB041D"/>
    <w:rsid w:val="00CB1CD9"/>
    <w:rsid w:val="00CB466B"/>
    <w:rsid w:val="00CB4B67"/>
    <w:rsid w:val="00CB5AF7"/>
    <w:rsid w:val="00CB5F88"/>
    <w:rsid w:val="00CB66A1"/>
    <w:rsid w:val="00CC0110"/>
    <w:rsid w:val="00CC01A8"/>
    <w:rsid w:val="00CC0B90"/>
    <w:rsid w:val="00CC18DF"/>
    <w:rsid w:val="00CC1CEA"/>
    <w:rsid w:val="00CC4EBE"/>
    <w:rsid w:val="00CD0DC3"/>
    <w:rsid w:val="00CD3CBF"/>
    <w:rsid w:val="00CD7AFB"/>
    <w:rsid w:val="00CE0807"/>
    <w:rsid w:val="00CE0967"/>
    <w:rsid w:val="00CE3AC4"/>
    <w:rsid w:val="00CE448D"/>
    <w:rsid w:val="00CE76DC"/>
    <w:rsid w:val="00CE7A61"/>
    <w:rsid w:val="00CF0E3B"/>
    <w:rsid w:val="00CF1907"/>
    <w:rsid w:val="00CF5368"/>
    <w:rsid w:val="00CF77E0"/>
    <w:rsid w:val="00D026F0"/>
    <w:rsid w:val="00D043F0"/>
    <w:rsid w:val="00D0518C"/>
    <w:rsid w:val="00D06718"/>
    <w:rsid w:val="00D07B57"/>
    <w:rsid w:val="00D11B23"/>
    <w:rsid w:val="00D143A5"/>
    <w:rsid w:val="00D15C2D"/>
    <w:rsid w:val="00D160C4"/>
    <w:rsid w:val="00D174F9"/>
    <w:rsid w:val="00D2197A"/>
    <w:rsid w:val="00D22ED8"/>
    <w:rsid w:val="00D23120"/>
    <w:rsid w:val="00D238EE"/>
    <w:rsid w:val="00D26E08"/>
    <w:rsid w:val="00D312B2"/>
    <w:rsid w:val="00D358EA"/>
    <w:rsid w:val="00D36479"/>
    <w:rsid w:val="00D3706A"/>
    <w:rsid w:val="00D37995"/>
    <w:rsid w:val="00D4142B"/>
    <w:rsid w:val="00D4311A"/>
    <w:rsid w:val="00D43DE9"/>
    <w:rsid w:val="00D44390"/>
    <w:rsid w:val="00D450DC"/>
    <w:rsid w:val="00D50A74"/>
    <w:rsid w:val="00D51B77"/>
    <w:rsid w:val="00D53F4E"/>
    <w:rsid w:val="00D547DC"/>
    <w:rsid w:val="00D55190"/>
    <w:rsid w:val="00D55433"/>
    <w:rsid w:val="00D56AEA"/>
    <w:rsid w:val="00D60811"/>
    <w:rsid w:val="00D62941"/>
    <w:rsid w:val="00D62F26"/>
    <w:rsid w:val="00D6306E"/>
    <w:rsid w:val="00D65C74"/>
    <w:rsid w:val="00D66060"/>
    <w:rsid w:val="00D67E2D"/>
    <w:rsid w:val="00D73F77"/>
    <w:rsid w:val="00D7670A"/>
    <w:rsid w:val="00D82056"/>
    <w:rsid w:val="00D84B58"/>
    <w:rsid w:val="00D8576D"/>
    <w:rsid w:val="00D90D1E"/>
    <w:rsid w:val="00D917DE"/>
    <w:rsid w:val="00D966C9"/>
    <w:rsid w:val="00D96BE0"/>
    <w:rsid w:val="00DA0594"/>
    <w:rsid w:val="00DA15E2"/>
    <w:rsid w:val="00DA21FB"/>
    <w:rsid w:val="00DA5A85"/>
    <w:rsid w:val="00DA6808"/>
    <w:rsid w:val="00DB01BF"/>
    <w:rsid w:val="00DB04A7"/>
    <w:rsid w:val="00DB0F4C"/>
    <w:rsid w:val="00DB23B4"/>
    <w:rsid w:val="00DB2A92"/>
    <w:rsid w:val="00DB3FD6"/>
    <w:rsid w:val="00DB41AF"/>
    <w:rsid w:val="00DB62B1"/>
    <w:rsid w:val="00DB6341"/>
    <w:rsid w:val="00DB7E76"/>
    <w:rsid w:val="00DC1525"/>
    <w:rsid w:val="00DC2865"/>
    <w:rsid w:val="00DC2DAB"/>
    <w:rsid w:val="00DC6537"/>
    <w:rsid w:val="00DD0BC6"/>
    <w:rsid w:val="00DD433A"/>
    <w:rsid w:val="00DD517A"/>
    <w:rsid w:val="00DD56D5"/>
    <w:rsid w:val="00DD5D55"/>
    <w:rsid w:val="00DD7A21"/>
    <w:rsid w:val="00DD7C85"/>
    <w:rsid w:val="00DE02EF"/>
    <w:rsid w:val="00DE1E00"/>
    <w:rsid w:val="00DE2A7B"/>
    <w:rsid w:val="00DE56DF"/>
    <w:rsid w:val="00DF0935"/>
    <w:rsid w:val="00DF186F"/>
    <w:rsid w:val="00DF1C26"/>
    <w:rsid w:val="00DF4D5A"/>
    <w:rsid w:val="00E009A3"/>
    <w:rsid w:val="00E00E44"/>
    <w:rsid w:val="00E075CA"/>
    <w:rsid w:val="00E12BCD"/>
    <w:rsid w:val="00E14F25"/>
    <w:rsid w:val="00E20E5A"/>
    <w:rsid w:val="00E21A0D"/>
    <w:rsid w:val="00E22362"/>
    <w:rsid w:val="00E223ED"/>
    <w:rsid w:val="00E254E0"/>
    <w:rsid w:val="00E26769"/>
    <w:rsid w:val="00E278A6"/>
    <w:rsid w:val="00E30E70"/>
    <w:rsid w:val="00E32899"/>
    <w:rsid w:val="00E32EC7"/>
    <w:rsid w:val="00E33B64"/>
    <w:rsid w:val="00E403D2"/>
    <w:rsid w:val="00E41B13"/>
    <w:rsid w:val="00E4569B"/>
    <w:rsid w:val="00E46910"/>
    <w:rsid w:val="00E46B93"/>
    <w:rsid w:val="00E47DFE"/>
    <w:rsid w:val="00E505CD"/>
    <w:rsid w:val="00E5060F"/>
    <w:rsid w:val="00E52228"/>
    <w:rsid w:val="00E537F6"/>
    <w:rsid w:val="00E55917"/>
    <w:rsid w:val="00E6348B"/>
    <w:rsid w:val="00E659CF"/>
    <w:rsid w:val="00E70AEA"/>
    <w:rsid w:val="00E731B9"/>
    <w:rsid w:val="00E7391E"/>
    <w:rsid w:val="00E7471F"/>
    <w:rsid w:val="00E77702"/>
    <w:rsid w:val="00E803F1"/>
    <w:rsid w:val="00E80555"/>
    <w:rsid w:val="00E83A59"/>
    <w:rsid w:val="00E879F0"/>
    <w:rsid w:val="00E9016E"/>
    <w:rsid w:val="00E91619"/>
    <w:rsid w:val="00E942EE"/>
    <w:rsid w:val="00E967CD"/>
    <w:rsid w:val="00E96C70"/>
    <w:rsid w:val="00E97716"/>
    <w:rsid w:val="00EA21BC"/>
    <w:rsid w:val="00EA35CE"/>
    <w:rsid w:val="00EA478D"/>
    <w:rsid w:val="00EA55D7"/>
    <w:rsid w:val="00EB5195"/>
    <w:rsid w:val="00EB5D94"/>
    <w:rsid w:val="00EC0B24"/>
    <w:rsid w:val="00EC2852"/>
    <w:rsid w:val="00EC49FF"/>
    <w:rsid w:val="00EC66DD"/>
    <w:rsid w:val="00EC6CA9"/>
    <w:rsid w:val="00EC7450"/>
    <w:rsid w:val="00ED2F68"/>
    <w:rsid w:val="00ED3AF5"/>
    <w:rsid w:val="00ED3BC1"/>
    <w:rsid w:val="00ED3E86"/>
    <w:rsid w:val="00ED5404"/>
    <w:rsid w:val="00ED6272"/>
    <w:rsid w:val="00ED7B19"/>
    <w:rsid w:val="00EE04B8"/>
    <w:rsid w:val="00EE04F6"/>
    <w:rsid w:val="00EE278D"/>
    <w:rsid w:val="00EE42A3"/>
    <w:rsid w:val="00EF0045"/>
    <w:rsid w:val="00EF130A"/>
    <w:rsid w:val="00EF22E3"/>
    <w:rsid w:val="00EF4C3C"/>
    <w:rsid w:val="00EF6688"/>
    <w:rsid w:val="00EF6DFF"/>
    <w:rsid w:val="00F1035A"/>
    <w:rsid w:val="00F153C7"/>
    <w:rsid w:val="00F20531"/>
    <w:rsid w:val="00F23178"/>
    <w:rsid w:val="00F23671"/>
    <w:rsid w:val="00F244AE"/>
    <w:rsid w:val="00F25130"/>
    <w:rsid w:val="00F31C7C"/>
    <w:rsid w:val="00F33887"/>
    <w:rsid w:val="00F400F6"/>
    <w:rsid w:val="00F4080B"/>
    <w:rsid w:val="00F419CF"/>
    <w:rsid w:val="00F41AEA"/>
    <w:rsid w:val="00F42C83"/>
    <w:rsid w:val="00F47CDF"/>
    <w:rsid w:val="00F50729"/>
    <w:rsid w:val="00F545BB"/>
    <w:rsid w:val="00F62B66"/>
    <w:rsid w:val="00F64FF7"/>
    <w:rsid w:val="00F67ACB"/>
    <w:rsid w:val="00F70261"/>
    <w:rsid w:val="00F771F9"/>
    <w:rsid w:val="00F81C60"/>
    <w:rsid w:val="00F8328F"/>
    <w:rsid w:val="00F90655"/>
    <w:rsid w:val="00F96652"/>
    <w:rsid w:val="00F96D6F"/>
    <w:rsid w:val="00FA01CE"/>
    <w:rsid w:val="00FA03F9"/>
    <w:rsid w:val="00FA2CAE"/>
    <w:rsid w:val="00FA6039"/>
    <w:rsid w:val="00FA639C"/>
    <w:rsid w:val="00FA7455"/>
    <w:rsid w:val="00FB2B3C"/>
    <w:rsid w:val="00FB2C5D"/>
    <w:rsid w:val="00FB3DE3"/>
    <w:rsid w:val="00FB5F59"/>
    <w:rsid w:val="00FB63F2"/>
    <w:rsid w:val="00FB6571"/>
    <w:rsid w:val="00FC27FC"/>
    <w:rsid w:val="00FC3E65"/>
    <w:rsid w:val="00FC554B"/>
    <w:rsid w:val="00FC6936"/>
    <w:rsid w:val="00FC6C3D"/>
    <w:rsid w:val="00FD4714"/>
    <w:rsid w:val="00FD5FB7"/>
    <w:rsid w:val="00FD6888"/>
    <w:rsid w:val="00FD74A2"/>
    <w:rsid w:val="00FE02F4"/>
    <w:rsid w:val="00FE47B2"/>
    <w:rsid w:val="00FF72E9"/>
    <w:rsid w:val="00FF75D6"/>
    <w:rsid w:val="012B1D35"/>
    <w:rsid w:val="023E6137"/>
    <w:rsid w:val="028A33A6"/>
    <w:rsid w:val="03990517"/>
    <w:rsid w:val="044D6370"/>
    <w:rsid w:val="04BC75F1"/>
    <w:rsid w:val="050C0020"/>
    <w:rsid w:val="053E1AEE"/>
    <w:rsid w:val="057E5AAB"/>
    <w:rsid w:val="05F03EF1"/>
    <w:rsid w:val="06307916"/>
    <w:rsid w:val="07F03C8E"/>
    <w:rsid w:val="08752B10"/>
    <w:rsid w:val="098F752A"/>
    <w:rsid w:val="0A4F3C9D"/>
    <w:rsid w:val="0A961813"/>
    <w:rsid w:val="0CE658B5"/>
    <w:rsid w:val="0DD92CED"/>
    <w:rsid w:val="0E6E27E7"/>
    <w:rsid w:val="0F46548B"/>
    <w:rsid w:val="0FBC73C8"/>
    <w:rsid w:val="108D4485"/>
    <w:rsid w:val="11DD6313"/>
    <w:rsid w:val="1295563D"/>
    <w:rsid w:val="12E15882"/>
    <w:rsid w:val="13645C85"/>
    <w:rsid w:val="13943D33"/>
    <w:rsid w:val="13CB23D2"/>
    <w:rsid w:val="14112789"/>
    <w:rsid w:val="14193348"/>
    <w:rsid w:val="14207237"/>
    <w:rsid w:val="14505CFC"/>
    <w:rsid w:val="146E3E1D"/>
    <w:rsid w:val="163A04A7"/>
    <w:rsid w:val="16BC7CC8"/>
    <w:rsid w:val="17D50195"/>
    <w:rsid w:val="1849709B"/>
    <w:rsid w:val="1874440D"/>
    <w:rsid w:val="18962C75"/>
    <w:rsid w:val="191F0F85"/>
    <w:rsid w:val="19461ADD"/>
    <w:rsid w:val="1A3E4E1C"/>
    <w:rsid w:val="1BD51DB6"/>
    <w:rsid w:val="1C250096"/>
    <w:rsid w:val="1D1844C1"/>
    <w:rsid w:val="1DFB5D27"/>
    <w:rsid w:val="1E704515"/>
    <w:rsid w:val="1EA633D1"/>
    <w:rsid w:val="1F76119C"/>
    <w:rsid w:val="21103C57"/>
    <w:rsid w:val="22F1625E"/>
    <w:rsid w:val="23E511C4"/>
    <w:rsid w:val="24EC5C9B"/>
    <w:rsid w:val="25AF2BAE"/>
    <w:rsid w:val="274A7413"/>
    <w:rsid w:val="28CA20DC"/>
    <w:rsid w:val="29AE0FC8"/>
    <w:rsid w:val="2A5814B9"/>
    <w:rsid w:val="2A8157C1"/>
    <w:rsid w:val="2AAC0B39"/>
    <w:rsid w:val="2AC472FE"/>
    <w:rsid w:val="2AC64D78"/>
    <w:rsid w:val="2D291DE5"/>
    <w:rsid w:val="2D2B60EA"/>
    <w:rsid w:val="2D4D451B"/>
    <w:rsid w:val="2EB8070C"/>
    <w:rsid w:val="2F6D1BE2"/>
    <w:rsid w:val="3094186E"/>
    <w:rsid w:val="30DB1989"/>
    <w:rsid w:val="314C558C"/>
    <w:rsid w:val="31D74624"/>
    <w:rsid w:val="322B31CC"/>
    <w:rsid w:val="33C75737"/>
    <w:rsid w:val="34BC4D20"/>
    <w:rsid w:val="34CE6B89"/>
    <w:rsid w:val="34EE4509"/>
    <w:rsid w:val="35BD55E6"/>
    <w:rsid w:val="365F2DEE"/>
    <w:rsid w:val="36B22AFB"/>
    <w:rsid w:val="37523916"/>
    <w:rsid w:val="37E31DCF"/>
    <w:rsid w:val="383B2933"/>
    <w:rsid w:val="39263492"/>
    <w:rsid w:val="39D63AC7"/>
    <w:rsid w:val="39F3108A"/>
    <w:rsid w:val="3A6E674D"/>
    <w:rsid w:val="3B1274BC"/>
    <w:rsid w:val="3B150552"/>
    <w:rsid w:val="3BCE3237"/>
    <w:rsid w:val="3D593337"/>
    <w:rsid w:val="3DAE7B06"/>
    <w:rsid w:val="3F7548BB"/>
    <w:rsid w:val="40522AD3"/>
    <w:rsid w:val="40C41350"/>
    <w:rsid w:val="41A764F3"/>
    <w:rsid w:val="42362E67"/>
    <w:rsid w:val="42911525"/>
    <w:rsid w:val="43FD1A8F"/>
    <w:rsid w:val="449E684B"/>
    <w:rsid w:val="45207C6D"/>
    <w:rsid w:val="456A2D0D"/>
    <w:rsid w:val="45B064D5"/>
    <w:rsid w:val="45B5407A"/>
    <w:rsid w:val="463E3FCA"/>
    <w:rsid w:val="47A74C3D"/>
    <w:rsid w:val="495D0607"/>
    <w:rsid w:val="495E2989"/>
    <w:rsid w:val="4BDA5FAB"/>
    <w:rsid w:val="4C046923"/>
    <w:rsid w:val="4CA546DE"/>
    <w:rsid w:val="4D315B75"/>
    <w:rsid w:val="4D7C440A"/>
    <w:rsid w:val="4DDD2BF5"/>
    <w:rsid w:val="50562ABB"/>
    <w:rsid w:val="5067488B"/>
    <w:rsid w:val="521E6866"/>
    <w:rsid w:val="524B4F9B"/>
    <w:rsid w:val="527331D4"/>
    <w:rsid w:val="52766BBE"/>
    <w:rsid w:val="530B29A5"/>
    <w:rsid w:val="53235644"/>
    <w:rsid w:val="55A52517"/>
    <w:rsid w:val="5659222A"/>
    <w:rsid w:val="57536BEE"/>
    <w:rsid w:val="5963688F"/>
    <w:rsid w:val="5A984454"/>
    <w:rsid w:val="5ADD037E"/>
    <w:rsid w:val="5B932F89"/>
    <w:rsid w:val="5CBE696D"/>
    <w:rsid w:val="5DB263ED"/>
    <w:rsid w:val="5FAD4456"/>
    <w:rsid w:val="60BF58A1"/>
    <w:rsid w:val="610F481D"/>
    <w:rsid w:val="613D6AA6"/>
    <w:rsid w:val="61647571"/>
    <w:rsid w:val="61F318DC"/>
    <w:rsid w:val="629820FC"/>
    <w:rsid w:val="62E3213B"/>
    <w:rsid w:val="6340759B"/>
    <w:rsid w:val="64CC7E4B"/>
    <w:rsid w:val="65AF2AB8"/>
    <w:rsid w:val="68B63D83"/>
    <w:rsid w:val="69C35705"/>
    <w:rsid w:val="6B2A5FE5"/>
    <w:rsid w:val="6EC61438"/>
    <w:rsid w:val="6EE3271D"/>
    <w:rsid w:val="6F385474"/>
    <w:rsid w:val="6F762077"/>
    <w:rsid w:val="709F5848"/>
    <w:rsid w:val="70A93B2E"/>
    <w:rsid w:val="7174724D"/>
    <w:rsid w:val="71946B83"/>
    <w:rsid w:val="71977471"/>
    <w:rsid w:val="71D560A2"/>
    <w:rsid w:val="74B512FE"/>
    <w:rsid w:val="753A50E0"/>
    <w:rsid w:val="75E77BF0"/>
    <w:rsid w:val="76AC4215"/>
    <w:rsid w:val="76C33654"/>
    <w:rsid w:val="7866113E"/>
    <w:rsid w:val="78EB7DB7"/>
    <w:rsid w:val="796C7784"/>
    <w:rsid w:val="79942F7B"/>
    <w:rsid w:val="7AB265BE"/>
    <w:rsid w:val="7D78595E"/>
    <w:rsid w:val="7DBB46E6"/>
    <w:rsid w:val="7FF41C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2"/>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3"/>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4"/>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6"/>
    <w:semiHidden/>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7"/>
    <w:semiHidden/>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8"/>
    <w:semiHidden/>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85"/>
    <w:unhideWhenUsed/>
    <w:qFormat/>
    <w:uiPriority w:val="99"/>
    <w:pPr>
      <w:spacing w:after="120"/>
    </w:pPr>
  </w:style>
  <w:style w:type="paragraph" w:styleId="12">
    <w:name w:val="toc 7"/>
    <w:basedOn w:val="1"/>
    <w:next w:val="1"/>
    <w:unhideWhenUsed/>
    <w:qFormat/>
    <w:uiPriority w:val="0"/>
    <w:pPr>
      <w:ind w:left="2520" w:leftChars="1200"/>
    </w:pPr>
    <w:rPr>
      <w:rFonts w:ascii="Times New Roman" w:hAnsi="Times New Roman"/>
      <w:szCs w:val="24"/>
    </w:rPr>
  </w:style>
  <w:style w:type="paragraph" w:styleId="13">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3"/>
    <w:unhideWhenUsed/>
    <w:qFormat/>
    <w:uiPriority w:val="0"/>
    <w:pPr>
      <w:shd w:val="clear" w:color="auto" w:fill="000080"/>
    </w:pPr>
    <w:rPr>
      <w:rFonts w:ascii="Times New Roman" w:hAnsi="Times New Roman"/>
      <w:kern w:val="0"/>
      <w:sz w:val="18"/>
      <w:szCs w:val="18"/>
    </w:rPr>
  </w:style>
  <w:style w:type="paragraph" w:styleId="16">
    <w:name w:val="annotation text"/>
    <w:basedOn w:val="1"/>
    <w:link w:val="61"/>
    <w:unhideWhenUsed/>
    <w:qFormat/>
    <w:uiPriority w:val="0"/>
    <w:pPr>
      <w:jc w:val="left"/>
    </w:pPr>
    <w:rPr>
      <w:rFonts w:ascii="Times New Roman" w:hAnsi="Times New Roman"/>
      <w:kern w:val="0"/>
      <w:sz w:val="18"/>
      <w:szCs w:val="18"/>
    </w:rPr>
  </w:style>
  <w:style w:type="paragraph" w:styleId="17">
    <w:name w:val="Body Text 3"/>
    <w:basedOn w:val="1"/>
    <w:link w:val="70"/>
    <w:unhideWhenUsed/>
    <w:qFormat/>
    <w:uiPriority w:val="0"/>
    <w:pPr>
      <w:jc w:val="center"/>
    </w:pPr>
    <w:rPr>
      <w:rFonts w:ascii="Times New Roman" w:hAnsi="Times New Roman" w:eastAsia="黑体"/>
      <w:sz w:val="44"/>
      <w:szCs w:val="24"/>
    </w:rPr>
  </w:style>
  <w:style w:type="paragraph" w:styleId="18">
    <w:name w:val="Body Text Indent"/>
    <w:basedOn w:val="1"/>
    <w:link w:val="65"/>
    <w:unhideWhenUsed/>
    <w:qFormat/>
    <w:uiPriority w:val="0"/>
    <w:pPr>
      <w:spacing w:after="120"/>
      <w:ind w:left="420" w:leftChars="200"/>
    </w:pPr>
    <w:rPr>
      <w:rFonts w:ascii="Times New Roman" w:hAnsi="Times New Roman"/>
      <w:kern w:val="0"/>
      <w:sz w:val="20"/>
      <w:szCs w:val="24"/>
    </w:rPr>
  </w:style>
  <w:style w:type="paragraph" w:styleId="19">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unhideWhenUsed/>
    <w:qFormat/>
    <w:uiPriority w:val="0"/>
    <w:pPr>
      <w:ind w:left="1680" w:leftChars="800"/>
    </w:pPr>
    <w:rPr>
      <w:rFonts w:ascii="Times New Roman" w:hAnsi="Times New Roman"/>
      <w:sz w:val="18"/>
      <w:szCs w:val="18"/>
    </w:rPr>
  </w:style>
  <w:style w:type="paragraph" w:styleId="21">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90"/>
    <w:unhideWhenUsed/>
    <w:qFormat/>
    <w:uiPriority w:val="0"/>
    <w:rPr>
      <w:rFonts w:ascii="宋体" w:hAnsi="Courier New"/>
      <w:kern w:val="0"/>
      <w:sz w:val="20"/>
      <w:szCs w:val="18"/>
    </w:rPr>
  </w:style>
  <w:style w:type="paragraph" w:styleId="23">
    <w:name w:val="toc 8"/>
    <w:basedOn w:val="1"/>
    <w:next w:val="1"/>
    <w:unhideWhenUsed/>
    <w:qFormat/>
    <w:uiPriority w:val="0"/>
    <w:pPr>
      <w:ind w:left="2940" w:leftChars="1400"/>
    </w:pPr>
    <w:rPr>
      <w:rFonts w:ascii="Times New Roman" w:hAnsi="Times New Roman"/>
      <w:szCs w:val="24"/>
    </w:rPr>
  </w:style>
  <w:style w:type="paragraph" w:styleId="24">
    <w:name w:val="Date"/>
    <w:basedOn w:val="1"/>
    <w:next w:val="1"/>
    <w:link w:val="67"/>
    <w:unhideWhenUsed/>
    <w:qFormat/>
    <w:uiPriority w:val="0"/>
    <w:pPr>
      <w:ind w:left="100" w:leftChars="2500"/>
    </w:pPr>
    <w:rPr>
      <w:rFonts w:ascii="Times New Roman" w:hAnsi="Times New Roman"/>
      <w:kern w:val="0"/>
      <w:sz w:val="24"/>
      <w:szCs w:val="24"/>
    </w:rPr>
  </w:style>
  <w:style w:type="paragraph" w:styleId="25">
    <w:name w:val="Body Text Indent 2"/>
    <w:basedOn w:val="1"/>
    <w:link w:val="71"/>
    <w:unhideWhenUsed/>
    <w:qFormat/>
    <w:uiPriority w:val="0"/>
    <w:pPr>
      <w:spacing w:after="120" w:line="480" w:lineRule="auto"/>
      <w:ind w:left="420" w:leftChars="200"/>
    </w:pPr>
  </w:style>
  <w:style w:type="paragraph" w:styleId="26">
    <w:name w:val="Balloon Text"/>
    <w:basedOn w:val="1"/>
    <w:link w:val="76"/>
    <w:unhideWhenUsed/>
    <w:qFormat/>
    <w:uiPriority w:val="99"/>
    <w:rPr>
      <w:rFonts w:ascii="Times New Roman" w:hAnsi="Times New Roman"/>
      <w:kern w:val="0"/>
      <w:sz w:val="18"/>
      <w:szCs w:val="18"/>
    </w:rPr>
  </w:style>
  <w:style w:type="paragraph" w:styleId="27">
    <w:name w:val="footer"/>
    <w:basedOn w:val="1"/>
    <w:link w:val="63"/>
    <w:unhideWhenUsed/>
    <w:qFormat/>
    <w:uiPriority w:val="99"/>
    <w:pPr>
      <w:tabs>
        <w:tab w:val="center" w:pos="4153"/>
        <w:tab w:val="right" w:pos="8306"/>
      </w:tabs>
      <w:snapToGrid w:val="0"/>
      <w:jc w:val="left"/>
    </w:pPr>
    <w:rPr>
      <w:kern w:val="0"/>
      <w:sz w:val="18"/>
      <w:szCs w:val="18"/>
    </w:rPr>
  </w:style>
  <w:style w:type="paragraph" w:styleId="28">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6"/>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2"/>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unhideWhenUsed/>
    <w:qFormat/>
    <w:uiPriority w:val="0"/>
    <w:pPr>
      <w:ind w:left="3360" w:leftChars="1600"/>
    </w:pPr>
    <w:rPr>
      <w:rFonts w:ascii="Times New Roman" w:hAnsi="Times New Roman"/>
      <w:szCs w:val="24"/>
    </w:rPr>
  </w:style>
  <w:style w:type="paragraph" w:styleId="37">
    <w:name w:val="Body Text 2"/>
    <w:basedOn w:val="1"/>
    <w:link w:val="69"/>
    <w:unhideWhenUsed/>
    <w:qFormat/>
    <w:uiPriority w:val="0"/>
    <w:pPr>
      <w:spacing w:after="120" w:line="480" w:lineRule="auto"/>
    </w:pPr>
    <w:rPr>
      <w:rFonts w:ascii="Times New Roman" w:hAnsi="Times New Roman"/>
      <w:kern w:val="0"/>
      <w:sz w:val="18"/>
      <w:szCs w:val="18"/>
    </w:rPr>
  </w:style>
  <w:style w:type="paragraph" w:styleId="38">
    <w:name w:val="Message Header"/>
    <w:basedOn w:val="1"/>
    <w:next w:val="39"/>
    <w:unhideWhenUsed/>
    <w:qFormat/>
    <w:uiPriority w:val="99"/>
    <w:pPr>
      <w:shd w:val="pct20" w:color="auto" w:fill="auto"/>
      <w:ind w:left="500" w:leftChars="500" w:hanging="1080" w:hangingChars="500"/>
    </w:pPr>
    <w:rPr>
      <w:rFonts w:ascii="Arial" w:hAnsi="Arial" w:cs="Arial"/>
      <w:sz w:val="24"/>
      <w:szCs w:val="24"/>
    </w:rPr>
  </w:style>
  <w:style w:type="paragraph" w:customStyle="1" w:styleId="39">
    <w:name w:val="Bullet 2"/>
    <w:qFormat/>
    <w:uiPriority w:val="0"/>
    <w:pPr>
      <w:tabs>
        <w:tab w:val="left" w:pos="360"/>
      </w:tabs>
      <w:spacing w:after="120"/>
      <w:ind w:left="360" w:hanging="360"/>
      <w:jc w:val="both"/>
    </w:pPr>
    <w:rPr>
      <w:rFonts w:ascii="Times New Roman" w:hAnsi="Times New Roman" w:eastAsia="宋体" w:cs="Times New Roman"/>
      <w:color w:val="000000"/>
      <w:sz w:val="24"/>
      <w:lang w:val="en-US" w:eastAsia="en-US" w:bidi="ar-SA"/>
    </w:rPr>
  </w:style>
  <w:style w:type="paragraph" w:styleId="40">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1">
    <w:name w:val="annotation subject"/>
    <w:basedOn w:val="16"/>
    <w:next w:val="16"/>
    <w:link w:val="75"/>
    <w:unhideWhenUsed/>
    <w:qFormat/>
    <w:uiPriority w:val="99"/>
    <w:rPr>
      <w:rFonts w:ascii="Calibri" w:hAnsi="Calibri"/>
      <w:b/>
      <w:bCs/>
      <w:kern w:val="2"/>
      <w:sz w:val="21"/>
      <w:szCs w:val="22"/>
    </w:rPr>
  </w:style>
  <w:style w:type="paragraph" w:styleId="42">
    <w:name w:val="Body Text First Indent"/>
    <w:basedOn w:val="2"/>
    <w:link w:val="68"/>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FollowedHyperlink"/>
    <w:basedOn w:val="45"/>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0"/>
    <w:rPr>
      <w:sz w:val="21"/>
      <w:szCs w:val="21"/>
    </w:rPr>
  </w:style>
  <w:style w:type="character" w:styleId="49">
    <w:name w:val="footnote reference"/>
    <w:unhideWhenUsed/>
    <w:qFormat/>
    <w:uiPriority w:val="0"/>
    <w:rPr>
      <w:vertAlign w:val="superscript"/>
    </w:rPr>
  </w:style>
  <w:style w:type="character" w:customStyle="1" w:styleId="50">
    <w:name w:val="标题 1 字符"/>
    <w:basedOn w:val="45"/>
    <w:link w:val="3"/>
    <w:qFormat/>
    <w:uiPriority w:val="9"/>
    <w:rPr>
      <w:rFonts w:ascii="宋体" w:hAnsi="宋体" w:cs="宋体"/>
      <w:b/>
      <w:bCs/>
      <w:spacing w:val="-20"/>
      <w:kern w:val="44"/>
      <w:sz w:val="32"/>
      <w:szCs w:val="32"/>
    </w:rPr>
  </w:style>
  <w:style w:type="character" w:customStyle="1" w:styleId="51">
    <w:name w:val="标题 2 字符"/>
    <w:basedOn w:val="45"/>
    <w:link w:val="4"/>
    <w:qFormat/>
    <w:uiPriority w:val="0"/>
    <w:rPr>
      <w:rFonts w:ascii="宋体" w:hAnsi="宋体" w:cs="宋体"/>
      <w:b/>
      <w:bCs/>
      <w:kern w:val="2"/>
      <w:sz w:val="28"/>
      <w:szCs w:val="28"/>
    </w:rPr>
  </w:style>
  <w:style w:type="character" w:customStyle="1" w:styleId="52">
    <w:name w:val="标题 3 字符"/>
    <w:basedOn w:val="45"/>
    <w:link w:val="5"/>
    <w:qFormat/>
    <w:uiPriority w:val="0"/>
    <w:rPr>
      <w:rFonts w:ascii="宋体" w:hAnsi="宋体" w:cs="宋体"/>
      <w:b/>
      <w:bCs/>
      <w:color w:val="000000"/>
      <w:sz w:val="28"/>
      <w:szCs w:val="28"/>
    </w:rPr>
  </w:style>
  <w:style w:type="character" w:customStyle="1" w:styleId="53">
    <w:name w:val="标题 4 字符"/>
    <w:basedOn w:val="45"/>
    <w:link w:val="6"/>
    <w:qFormat/>
    <w:uiPriority w:val="0"/>
    <w:rPr>
      <w:rFonts w:ascii="Arial" w:hAnsi="Arial"/>
      <w:b/>
      <w:bCs/>
      <w:sz w:val="28"/>
      <w:szCs w:val="28"/>
    </w:rPr>
  </w:style>
  <w:style w:type="character" w:customStyle="1" w:styleId="54">
    <w:name w:val="标题 5 字符"/>
    <w:basedOn w:val="45"/>
    <w:link w:val="7"/>
    <w:qFormat/>
    <w:uiPriority w:val="0"/>
    <w:rPr>
      <w:rFonts w:ascii="Calibri" w:hAnsi="Calibri" w:cs="宋体"/>
      <w:b/>
      <w:bCs/>
      <w:sz w:val="28"/>
      <w:szCs w:val="28"/>
    </w:rPr>
  </w:style>
  <w:style w:type="character" w:customStyle="1" w:styleId="55">
    <w:name w:val="标题 6 字符"/>
    <w:basedOn w:val="45"/>
    <w:link w:val="8"/>
    <w:qFormat/>
    <w:uiPriority w:val="0"/>
    <w:rPr>
      <w:rFonts w:ascii="Arial" w:hAnsi="Arial"/>
      <w:b/>
      <w:bCs/>
      <w:sz w:val="28"/>
      <w:szCs w:val="18"/>
    </w:rPr>
  </w:style>
  <w:style w:type="character" w:customStyle="1" w:styleId="56">
    <w:name w:val="标题 7 字符"/>
    <w:basedOn w:val="45"/>
    <w:link w:val="9"/>
    <w:semiHidden/>
    <w:qFormat/>
    <w:uiPriority w:val="0"/>
    <w:rPr>
      <w:rFonts w:ascii="Arial Narrow" w:hAnsi="Arial Narrow" w:eastAsia="宋体" w:cs="Times New Roman"/>
      <w:b/>
      <w:bCs/>
      <w:iCs/>
      <w:kern w:val="0"/>
      <w:sz w:val="20"/>
      <w:szCs w:val="24"/>
      <w:lang w:eastAsia="en-US"/>
    </w:rPr>
  </w:style>
  <w:style w:type="character" w:customStyle="1" w:styleId="57">
    <w:name w:val="标题 8 字符"/>
    <w:basedOn w:val="45"/>
    <w:link w:val="10"/>
    <w:semiHidden/>
    <w:qFormat/>
    <w:uiPriority w:val="0"/>
    <w:rPr>
      <w:rFonts w:ascii="Arial" w:hAnsi="Arial" w:eastAsia="黑体" w:cs="Times New Roman"/>
      <w:kern w:val="0"/>
      <w:sz w:val="24"/>
      <w:szCs w:val="24"/>
    </w:rPr>
  </w:style>
  <w:style w:type="character" w:customStyle="1" w:styleId="58">
    <w:name w:val="标题 9 字符"/>
    <w:basedOn w:val="45"/>
    <w:link w:val="11"/>
    <w:semiHidden/>
    <w:qFormat/>
    <w:uiPriority w:val="0"/>
    <w:rPr>
      <w:rFonts w:ascii="Arial" w:hAnsi="Arial" w:eastAsia="黑体" w:cs="Times New Roman"/>
      <w:kern w:val="0"/>
      <w:sz w:val="20"/>
      <w:szCs w:val="21"/>
    </w:rPr>
  </w:style>
  <w:style w:type="character" w:customStyle="1" w:styleId="59">
    <w:name w:val="正文缩进 字符"/>
    <w:link w:val="13"/>
    <w:qFormat/>
    <w:locked/>
    <w:uiPriority w:val="0"/>
  </w:style>
  <w:style w:type="character" w:customStyle="1" w:styleId="60">
    <w:name w:val="脚注文本 字符"/>
    <w:basedOn w:val="45"/>
    <w:link w:val="32"/>
    <w:qFormat/>
    <w:uiPriority w:val="0"/>
    <w:rPr>
      <w:rFonts w:ascii="Calibri" w:hAnsi="Calibri" w:eastAsia="宋体" w:cs="Times New Roman"/>
      <w:sz w:val="18"/>
      <w:szCs w:val="18"/>
    </w:rPr>
  </w:style>
  <w:style w:type="character" w:customStyle="1" w:styleId="61">
    <w:name w:val="批注文字 字符"/>
    <w:basedOn w:val="45"/>
    <w:link w:val="16"/>
    <w:qFormat/>
    <w:uiPriority w:val="99"/>
    <w:rPr>
      <w:rFonts w:ascii="Times New Roman" w:hAnsi="Times New Roman" w:eastAsia="宋体" w:cs="Times New Roman"/>
      <w:kern w:val="0"/>
      <w:sz w:val="18"/>
      <w:szCs w:val="18"/>
    </w:rPr>
  </w:style>
  <w:style w:type="character" w:customStyle="1" w:styleId="62">
    <w:name w:val="页眉 字符"/>
    <w:basedOn w:val="45"/>
    <w:link w:val="28"/>
    <w:qFormat/>
    <w:uiPriority w:val="99"/>
    <w:rPr>
      <w:rFonts w:ascii="Calibri" w:hAnsi="Calibri" w:eastAsia="宋体" w:cs="Times New Roman"/>
      <w:kern w:val="0"/>
      <w:sz w:val="18"/>
      <w:szCs w:val="18"/>
    </w:rPr>
  </w:style>
  <w:style w:type="character" w:customStyle="1" w:styleId="63">
    <w:name w:val="页脚 字符"/>
    <w:basedOn w:val="45"/>
    <w:link w:val="27"/>
    <w:qFormat/>
    <w:uiPriority w:val="99"/>
    <w:rPr>
      <w:rFonts w:ascii="Calibri" w:hAnsi="Calibri" w:eastAsia="宋体" w:cs="Times New Roman"/>
      <w:kern w:val="0"/>
      <w:sz w:val="18"/>
      <w:szCs w:val="18"/>
    </w:rPr>
  </w:style>
  <w:style w:type="character" w:customStyle="1" w:styleId="64">
    <w:name w:val="正文文本 Char"/>
    <w:basedOn w:val="45"/>
    <w:qFormat/>
    <w:uiPriority w:val="0"/>
    <w:rPr>
      <w:rFonts w:ascii="Calibri" w:hAnsi="Calibri" w:eastAsia="宋体" w:cs="Times New Roman"/>
    </w:rPr>
  </w:style>
  <w:style w:type="character" w:customStyle="1" w:styleId="65">
    <w:name w:val="正文文本缩进 字符"/>
    <w:basedOn w:val="45"/>
    <w:link w:val="18"/>
    <w:qFormat/>
    <w:uiPriority w:val="0"/>
    <w:rPr>
      <w:rFonts w:ascii="Times New Roman" w:hAnsi="Times New Roman" w:eastAsia="宋体" w:cs="Times New Roman"/>
      <w:kern w:val="0"/>
      <w:sz w:val="20"/>
      <w:szCs w:val="24"/>
    </w:rPr>
  </w:style>
  <w:style w:type="character" w:customStyle="1" w:styleId="66">
    <w:name w:val="副标题 字符"/>
    <w:basedOn w:val="45"/>
    <w:link w:val="31"/>
    <w:qFormat/>
    <w:uiPriority w:val="0"/>
    <w:rPr>
      <w:rFonts w:ascii="Cambria" w:hAnsi="Cambria" w:eastAsia="宋体" w:cs="Times New Roman"/>
      <w:b/>
      <w:bCs/>
      <w:kern w:val="28"/>
      <w:sz w:val="32"/>
      <w:szCs w:val="32"/>
    </w:rPr>
  </w:style>
  <w:style w:type="character" w:customStyle="1" w:styleId="67">
    <w:name w:val="日期 字符"/>
    <w:basedOn w:val="45"/>
    <w:link w:val="24"/>
    <w:qFormat/>
    <w:uiPriority w:val="0"/>
    <w:rPr>
      <w:rFonts w:ascii="Times New Roman" w:hAnsi="Times New Roman" w:eastAsia="宋体" w:cs="Times New Roman"/>
      <w:kern w:val="0"/>
      <w:sz w:val="24"/>
      <w:szCs w:val="24"/>
    </w:rPr>
  </w:style>
  <w:style w:type="character" w:customStyle="1" w:styleId="68">
    <w:name w:val="正文文本首行缩进 字符"/>
    <w:basedOn w:val="64"/>
    <w:link w:val="42"/>
    <w:qFormat/>
    <w:uiPriority w:val="0"/>
    <w:rPr>
      <w:rFonts w:ascii="Times New Roman" w:hAnsi="Times New Roman" w:eastAsia="宋体" w:cs="Times New Roman"/>
      <w:kern w:val="0"/>
      <w:sz w:val="18"/>
      <w:szCs w:val="18"/>
    </w:rPr>
  </w:style>
  <w:style w:type="character" w:customStyle="1" w:styleId="69">
    <w:name w:val="正文文本 2 字符"/>
    <w:basedOn w:val="45"/>
    <w:link w:val="37"/>
    <w:qFormat/>
    <w:uiPriority w:val="0"/>
    <w:rPr>
      <w:rFonts w:ascii="Times New Roman" w:hAnsi="Times New Roman" w:eastAsia="宋体" w:cs="Times New Roman"/>
      <w:kern w:val="0"/>
      <w:sz w:val="18"/>
      <w:szCs w:val="18"/>
    </w:rPr>
  </w:style>
  <w:style w:type="character" w:customStyle="1" w:styleId="70">
    <w:name w:val="正文文本 3 字符"/>
    <w:basedOn w:val="45"/>
    <w:link w:val="17"/>
    <w:qFormat/>
    <w:uiPriority w:val="0"/>
    <w:rPr>
      <w:rFonts w:ascii="Times New Roman" w:hAnsi="Times New Roman" w:eastAsia="黑体" w:cs="Times New Roman"/>
      <w:sz w:val="44"/>
      <w:szCs w:val="24"/>
    </w:rPr>
  </w:style>
  <w:style w:type="character" w:customStyle="1" w:styleId="71">
    <w:name w:val="正文文本缩进 2 字符"/>
    <w:basedOn w:val="45"/>
    <w:link w:val="25"/>
    <w:qFormat/>
    <w:uiPriority w:val="0"/>
    <w:rPr>
      <w:rFonts w:ascii="Calibri" w:hAnsi="Calibri" w:eastAsia="宋体" w:cs="Times New Roman"/>
    </w:rPr>
  </w:style>
  <w:style w:type="character" w:customStyle="1" w:styleId="72">
    <w:name w:val="正文文本缩进 3 字符"/>
    <w:basedOn w:val="45"/>
    <w:link w:val="34"/>
    <w:qFormat/>
    <w:uiPriority w:val="0"/>
    <w:rPr>
      <w:rFonts w:ascii="宋体" w:hAnsi="宋体" w:eastAsia="宋体" w:cs="Times New Roman"/>
      <w:kern w:val="0"/>
      <w:sz w:val="28"/>
      <w:szCs w:val="28"/>
    </w:rPr>
  </w:style>
  <w:style w:type="character" w:customStyle="1" w:styleId="73">
    <w:name w:val="文档结构图 字符"/>
    <w:basedOn w:val="45"/>
    <w:link w:val="15"/>
    <w:qFormat/>
    <w:uiPriority w:val="0"/>
    <w:rPr>
      <w:rFonts w:ascii="Times New Roman" w:hAnsi="Times New Roman" w:eastAsia="宋体" w:cs="Times New Roman"/>
      <w:kern w:val="0"/>
      <w:sz w:val="18"/>
      <w:szCs w:val="18"/>
      <w:shd w:val="clear" w:color="auto" w:fill="000080"/>
    </w:rPr>
  </w:style>
  <w:style w:type="character" w:customStyle="1" w:styleId="74">
    <w:name w:val="纯文本 Char"/>
    <w:basedOn w:val="45"/>
    <w:qFormat/>
    <w:uiPriority w:val="0"/>
    <w:rPr>
      <w:rFonts w:ascii="宋体" w:hAnsi="Courier New" w:eastAsia="宋体" w:cs="Courier New"/>
      <w:szCs w:val="21"/>
    </w:rPr>
  </w:style>
  <w:style w:type="character" w:customStyle="1" w:styleId="75">
    <w:name w:val="批注主题 字符"/>
    <w:basedOn w:val="61"/>
    <w:link w:val="41"/>
    <w:qFormat/>
    <w:uiPriority w:val="99"/>
    <w:rPr>
      <w:rFonts w:ascii="Calibri" w:hAnsi="Calibri" w:eastAsia="宋体" w:cs="Times New Roman"/>
      <w:b/>
      <w:bCs/>
      <w:kern w:val="0"/>
      <w:sz w:val="18"/>
      <w:szCs w:val="18"/>
    </w:rPr>
  </w:style>
  <w:style w:type="character" w:customStyle="1" w:styleId="76">
    <w:name w:val="批注框文本 字符"/>
    <w:basedOn w:val="45"/>
    <w:link w:val="26"/>
    <w:qFormat/>
    <w:uiPriority w:val="99"/>
    <w:rPr>
      <w:rFonts w:ascii="Times New Roman" w:hAnsi="Times New Roman" w:eastAsia="宋体" w:cs="Times New Roman"/>
      <w:kern w:val="0"/>
      <w:sz w:val="18"/>
      <w:szCs w:val="18"/>
    </w:rPr>
  </w:style>
  <w:style w:type="paragraph" w:styleId="7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表段落 字符"/>
    <w:link w:val="79"/>
    <w:qFormat/>
    <w:locked/>
    <w:uiPriority w:val="34"/>
    <w:rPr>
      <w:rFonts w:ascii="Calibri" w:hAnsi="Calibri"/>
    </w:rPr>
  </w:style>
  <w:style w:type="paragraph" w:styleId="79">
    <w:name w:val="List Paragraph"/>
    <w:basedOn w:val="1"/>
    <w:link w:val="78"/>
    <w:qFormat/>
    <w:uiPriority w:val="34"/>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0"/>
    <w:pPr>
      <w:spacing w:before="240" w:after="60"/>
      <w:jc w:val="center"/>
      <w:outlineLvl w:val="0"/>
    </w:pPr>
    <w:rPr>
      <w:rFonts w:ascii="Arial" w:hAnsi="Arial" w:cs="Arial"/>
      <w:b/>
      <w:bCs/>
      <w:sz w:val="32"/>
      <w:szCs w:val="32"/>
    </w:rPr>
  </w:style>
  <w:style w:type="paragraph" w:customStyle="1" w:styleId="84">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0"/>
    <w:pPr>
      <w:ind w:firstLine="200" w:firstLineChars="200"/>
    </w:pPr>
    <w:rPr>
      <w:rFonts w:ascii="Times New Roman" w:hAnsi="Times New Roman"/>
      <w:szCs w:val="24"/>
    </w:rPr>
  </w:style>
  <w:style w:type="paragraph" w:customStyle="1" w:styleId="87">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0"/>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0"/>
    <w:rPr>
      <w:rFonts w:ascii="Tahoma" w:hAnsi="Tahoma"/>
      <w:sz w:val="24"/>
      <w:szCs w:val="20"/>
    </w:rPr>
  </w:style>
  <w:style w:type="paragraph" w:customStyle="1" w:styleId="93">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6">
    <w:name w:val="表格文字"/>
    <w:basedOn w:val="1"/>
    <w:qFormat/>
    <w:uiPriority w:val="0"/>
    <w:pPr>
      <w:spacing w:beforeLines="25"/>
    </w:pPr>
    <w:rPr>
      <w:rFonts w:ascii="Times New (W1)" w:hAnsi="Times New (W1)"/>
      <w:spacing w:val="10"/>
      <w:szCs w:val="24"/>
    </w:rPr>
  </w:style>
  <w:style w:type="paragraph" w:customStyle="1" w:styleId="97">
    <w:name w:val="文章正文"/>
    <w:basedOn w:val="1"/>
    <w:qFormat/>
    <w:uiPriority w:val="0"/>
    <w:pPr>
      <w:spacing w:line="360" w:lineRule="auto"/>
      <w:ind w:firstLine="420"/>
    </w:pPr>
    <w:rPr>
      <w:rFonts w:ascii="Times New Roman" w:hAnsi="Times New Roman"/>
      <w:sz w:val="24"/>
      <w:szCs w:val="24"/>
    </w:rPr>
  </w:style>
  <w:style w:type="paragraph" w:customStyle="1" w:styleId="98">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0"/>
    <w:rPr>
      <w:rFonts w:ascii="Times New Roman" w:hAnsi="Times New Roman"/>
      <w:szCs w:val="24"/>
    </w:rPr>
  </w:style>
  <w:style w:type="paragraph" w:customStyle="1" w:styleId="100">
    <w:name w:val="MM Topic 6"/>
    <w:basedOn w:val="8"/>
    <w:qFormat/>
    <w:uiPriority w:val="0"/>
    <w:pPr>
      <w:tabs>
        <w:tab w:val="left" w:pos="3260"/>
        <w:tab w:val="clear" w:pos="1702"/>
      </w:tabs>
      <w:ind w:left="0" w:firstLine="0"/>
    </w:pPr>
    <w:rPr>
      <w:rFonts w:eastAsia="黑体"/>
    </w:rPr>
  </w:style>
  <w:style w:type="paragraph" w:customStyle="1" w:styleId="101">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7"/>
    <w:next w:val="18"/>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0"/>
    <w:rPr>
      <w:rFonts w:ascii="仿宋_GB2312" w:hAnsi="Times New Roman"/>
      <w:b/>
      <w:sz w:val="30"/>
      <w:szCs w:val="32"/>
    </w:rPr>
  </w:style>
  <w:style w:type="paragraph" w:customStyle="1" w:styleId="106">
    <w:name w:val="MM Topic 2"/>
    <w:basedOn w:val="4"/>
    <w:qFormat/>
    <w:uiPriority w:val="0"/>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09">
    <w:name w:val="MM Topic 8"/>
    <w:basedOn w:val="10"/>
    <w:qFormat/>
    <w:uiPriority w:val="0"/>
    <w:pPr>
      <w:tabs>
        <w:tab w:val="left" w:pos="4394"/>
      </w:tabs>
    </w:pPr>
  </w:style>
  <w:style w:type="paragraph" w:customStyle="1" w:styleId="110">
    <w:name w:val="Char1 Char Char Char Char Char Char"/>
    <w:basedOn w:val="1"/>
    <w:qFormat/>
    <w:uiPriority w:val="0"/>
    <w:rPr>
      <w:rFonts w:ascii="Tahoma" w:hAnsi="Tahoma"/>
      <w:sz w:val="24"/>
      <w:szCs w:val="20"/>
    </w:rPr>
  </w:style>
  <w:style w:type="paragraph" w:customStyle="1" w:styleId="111">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0"/>
    <w:rPr>
      <w:rFonts w:ascii="宋体" w:hAnsi="宋体"/>
      <w:sz w:val="24"/>
      <w:szCs w:val="24"/>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4">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0"/>
    <w:pPr>
      <w:spacing w:line="360" w:lineRule="auto"/>
      <w:ind w:firstLine="420"/>
    </w:pPr>
    <w:rPr>
      <w:rFonts w:ascii="Times New Roman" w:hAnsi="Times New Roman"/>
      <w:sz w:val="24"/>
      <w:szCs w:val="24"/>
    </w:rPr>
  </w:style>
  <w:style w:type="paragraph" w:customStyle="1" w:styleId="118">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223"/>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0">
    <w:name w:val="图"/>
    <w:basedOn w:val="1"/>
    <w:qFormat/>
    <w:uiPriority w:val="0"/>
    <w:pPr>
      <w:widowControl/>
      <w:adjustRightInd w:val="0"/>
      <w:snapToGrid w:val="0"/>
      <w:jc w:val="center"/>
    </w:pPr>
    <w:rPr>
      <w:rFonts w:ascii="宋体" w:hAnsi="宋体"/>
      <w:bCs/>
      <w:szCs w:val="24"/>
    </w:rPr>
  </w:style>
  <w:style w:type="paragraph" w:customStyle="1" w:styleId="121">
    <w:name w:val="Char1 Char Char Char Char Char Char1"/>
    <w:basedOn w:val="1"/>
    <w:qFormat/>
    <w:uiPriority w:val="0"/>
    <w:rPr>
      <w:rFonts w:ascii="Tahoma" w:hAnsi="Tahoma"/>
      <w:sz w:val="24"/>
      <w:szCs w:val="20"/>
    </w:rPr>
  </w:style>
  <w:style w:type="paragraph" w:customStyle="1" w:styleId="122">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3">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4">
    <w:name w:val="MM Topic 1"/>
    <w:basedOn w:val="3"/>
    <w:qFormat/>
    <w:uiPriority w:val="0"/>
    <w:pPr>
      <w:tabs>
        <w:tab w:val="left" w:pos="425"/>
      </w:tabs>
    </w:pPr>
    <w:rPr>
      <w:rFonts w:cs="Times New Roman"/>
      <w:sz w:val="44"/>
    </w:rPr>
  </w:style>
  <w:style w:type="paragraph" w:customStyle="1" w:styleId="125">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6">
    <w:name w:val="我的正文"/>
    <w:basedOn w:val="1"/>
    <w:qFormat/>
    <w:uiPriority w:val="0"/>
    <w:pPr>
      <w:spacing w:line="360" w:lineRule="auto"/>
      <w:ind w:firstLine="420" w:firstLineChars="200"/>
    </w:pPr>
    <w:rPr>
      <w:rFonts w:ascii="宋体" w:hAnsi="宋体"/>
      <w:szCs w:val="24"/>
    </w:rPr>
  </w:style>
  <w:style w:type="paragraph" w:customStyle="1" w:styleId="127">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8">
    <w:name w:val="标书（正文）"/>
    <w:basedOn w:val="1"/>
    <w:qFormat/>
    <w:uiPriority w:val="0"/>
    <w:pPr>
      <w:spacing w:line="360" w:lineRule="auto"/>
      <w:ind w:firstLine="560" w:firstLineChars="200"/>
    </w:pPr>
    <w:rPr>
      <w:rFonts w:ascii="宋体" w:hAnsi="宋体"/>
      <w:kern w:val="10"/>
      <w:sz w:val="28"/>
      <w:szCs w:val="28"/>
    </w:rPr>
  </w:style>
  <w:style w:type="paragraph" w:customStyle="1" w:styleId="129">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0">
    <w:name w:val="论文正文"/>
    <w:basedOn w:val="1"/>
    <w:qFormat/>
    <w:uiPriority w:val="0"/>
    <w:pPr>
      <w:spacing w:line="360" w:lineRule="auto"/>
      <w:ind w:firstLine="700" w:firstLineChars="250"/>
    </w:pPr>
    <w:rPr>
      <w:rFonts w:ascii="宋体" w:hAnsi="宋体"/>
      <w:bCs/>
      <w:sz w:val="28"/>
      <w:szCs w:val="28"/>
    </w:rPr>
  </w:style>
  <w:style w:type="paragraph" w:customStyle="1" w:styleId="131">
    <w:name w:val="样式1"/>
    <w:basedOn w:val="1"/>
    <w:qFormat/>
    <w:uiPriority w:val="0"/>
    <w:rPr>
      <w:rFonts w:ascii="Times New Roman" w:hAnsi="Times New Roman" w:eastAsia="隶书"/>
      <w:i/>
      <w:dstrike/>
      <w:sz w:val="28"/>
      <w:szCs w:val="18"/>
    </w:rPr>
  </w:style>
  <w:style w:type="paragraph" w:customStyle="1" w:styleId="132">
    <w:name w:val="表格"/>
    <w:basedOn w:val="1"/>
    <w:qFormat/>
    <w:uiPriority w:val="0"/>
    <w:pPr>
      <w:spacing w:line="400" w:lineRule="exact"/>
    </w:pPr>
    <w:rPr>
      <w:rFonts w:ascii="Times New Roman" w:hAnsi="Times New Roman"/>
      <w:sz w:val="24"/>
      <w:szCs w:val="24"/>
    </w:rPr>
  </w:style>
  <w:style w:type="paragraph" w:customStyle="1" w:styleId="133">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4">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5">
    <w:name w:val="Char Char Char Char Char Char Char Char Char Char Char Char Char"/>
    <w:basedOn w:val="15"/>
    <w:qFormat/>
    <w:uiPriority w:val="0"/>
    <w:rPr>
      <w:rFonts w:ascii="Tahoma" w:hAnsi="Tahoma"/>
      <w:sz w:val="24"/>
      <w:szCs w:val="24"/>
    </w:rPr>
  </w:style>
  <w:style w:type="paragraph" w:customStyle="1" w:styleId="136">
    <w:name w:val="MM Topic 3"/>
    <w:basedOn w:val="5"/>
    <w:qFormat/>
    <w:uiPriority w:val="0"/>
    <w:pPr>
      <w:numPr>
        <w:ilvl w:val="0"/>
        <w:numId w:val="0"/>
      </w:numPr>
      <w:tabs>
        <w:tab w:val="left" w:pos="1418"/>
      </w:tabs>
    </w:pPr>
    <w:rPr>
      <w:rFonts w:cs="Times New Roman"/>
    </w:rPr>
  </w:style>
  <w:style w:type="paragraph" w:customStyle="1" w:styleId="137">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8">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39">
    <w:name w:val="Char Char Char Char"/>
    <w:basedOn w:val="1"/>
    <w:qFormat/>
    <w:uiPriority w:val="0"/>
    <w:rPr>
      <w:rFonts w:ascii="Tahoma" w:hAnsi="Tahoma"/>
      <w:sz w:val="24"/>
      <w:szCs w:val="20"/>
    </w:rPr>
  </w:style>
  <w:style w:type="paragraph" w:customStyle="1" w:styleId="140">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1">
    <w:name w:val="MM Topic 9"/>
    <w:basedOn w:val="11"/>
    <w:qFormat/>
    <w:uiPriority w:val="0"/>
    <w:pPr>
      <w:tabs>
        <w:tab w:val="left" w:pos="5102"/>
      </w:tabs>
    </w:pPr>
  </w:style>
  <w:style w:type="paragraph" w:customStyle="1" w:styleId="142">
    <w:name w:val="MM Topic 5"/>
    <w:basedOn w:val="7"/>
    <w:qFormat/>
    <w:uiPriority w:val="0"/>
    <w:pPr>
      <w:tabs>
        <w:tab w:val="left" w:pos="2551"/>
        <w:tab w:val="clear" w:pos="1134"/>
        <w:tab w:val="clear" w:pos="1560"/>
      </w:tabs>
      <w:ind w:left="0" w:firstLine="0"/>
    </w:pPr>
    <w:rPr>
      <w:rFonts w:cs="Times New Roman"/>
    </w:rPr>
  </w:style>
  <w:style w:type="paragraph" w:customStyle="1" w:styleId="143">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4">
    <w:name w:val="MM Topic 4"/>
    <w:basedOn w:val="6"/>
    <w:qFormat/>
    <w:uiPriority w:val="0"/>
    <w:pPr>
      <w:tabs>
        <w:tab w:val="left" w:pos="1984"/>
      </w:tabs>
      <w:ind w:left="0" w:firstLine="0"/>
    </w:pPr>
  </w:style>
  <w:style w:type="paragraph" w:customStyle="1" w:styleId="14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6">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7">
    <w:name w:val="样式 标题 2H2第一章 标题 2Heading 2 HiddenHeading 2 CCBSheading 2h2..."/>
    <w:basedOn w:val="4"/>
    <w:qFormat/>
    <w:uiPriority w:val="0"/>
    <w:pPr>
      <w:tabs>
        <w:tab w:val="left" w:pos="-2493"/>
      </w:tabs>
    </w:pPr>
    <w:rPr>
      <w:rFonts w:cs="Times New Roman"/>
      <w:szCs w:val="20"/>
    </w:rPr>
  </w:style>
  <w:style w:type="paragraph" w:customStyle="1" w:styleId="148">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49">
    <w:name w:val="列出段落2"/>
    <w:basedOn w:val="1"/>
    <w:qFormat/>
    <w:uiPriority w:val="0"/>
    <w:pPr>
      <w:ind w:firstLine="420" w:firstLineChars="200"/>
    </w:pPr>
  </w:style>
  <w:style w:type="paragraph" w:customStyle="1" w:styleId="150">
    <w:name w:val="列出段落4"/>
    <w:basedOn w:val="1"/>
    <w:qFormat/>
    <w:uiPriority w:val="34"/>
    <w:pPr>
      <w:ind w:firstLine="420" w:firstLineChars="200"/>
    </w:pPr>
    <w:rPr>
      <w:rFonts w:ascii="Times New Roman" w:hAnsi="Times New Roman"/>
      <w:szCs w:val="24"/>
    </w:rPr>
  </w:style>
  <w:style w:type="paragraph" w:customStyle="1" w:styleId="151">
    <w:name w:val="列出段落1"/>
    <w:basedOn w:val="1"/>
    <w:qFormat/>
    <w:uiPriority w:val="0"/>
    <w:pPr>
      <w:ind w:firstLine="420" w:firstLineChars="200"/>
    </w:pPr>
  </w:style>
  <w:style w:type="paragraph" w:customStyle="1" w:styleId="152">
    <w:name w:val="修订1"/>
    <w:qFormat/>
    <w:uiPriority w:val="99"/>
    <w:rPr>
      <w:rFonts w:ascii="Calibri" w:hAnsi="Calibri" w:eastAsia="宋体" w:cs="Times New Roman"/>
      <w:kern w:val="2"/>
      <w:sz w:val="21"/>
      <w:szCs w:val="22"/>
      <w:lang w:val="en-US" w:eastAsia="zh-CN" w:bidi="ar-SA"/>
    </w:rPr>
  </w:style>
  <w:style w:type="paragraph" w:customStyle="1" w:styleId="153">
    <w:name w:val="彩色列表 - 强调文字颜色 12"/>
    <w:basedOn w:val="1"/>
    <w:qFormat/>
    <w:uiPriority w:val="0"/>
    <w:pPr>
      <w:ind w:firstLine="420" w:firstLineChars="200"/>
    </w:pPr>
  </w:style>
  <w:style w:type="paragraph" w:customStyle="1" w:styleId="154">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5">
    <w:name w:val="列出段落3"/>
    <w:basedOn w:val="1"/>
    <w:qFormat/>
    <w:uiPriority w:val="34"/>
    <w:pPr>
      <w:widowControl/>
      <w:ind w:firstLine="420" w:firstLineChars="200"/>
      <w:jc w:val="left"/>
    </w:pPr>
    <w:rPr>
      <w:rFonts w:ascii="Times New Roman" w:hAnsi="Times New Roman"/>
      <w:kern w:val="0"/>
      <w:sz w:val="24"/>
      <w:szCs w:val="24"/>
    </w:rPr>
  </w:style>
  <w:style w:type="paragraph" w:customStyle="1" w:styleId="156">
    <w:name w:val="列项——（一级）"/>
    <w:qFormat/>
    <w:uiPriority w:val="0"/>
    <w:pPr>
      <w:widowControl w:val="0"/>
      <w:numPr>
        <w:ilvl w:val="0"/>
        <w:numId w:val="4"/>
      </w:numPr>
      <w:jc w:val="both"/>
    </w:pPr>
    <w:rPr>
      <w:rFonts w:ascii="宋体" w:hAnsi="Times New Roman" w:eastAsia="宋体" w:cs="Times New Roman"/>
      <w:sz w:val="21"/>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5"/>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5"/>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5"/>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字符"/>
    <w:basedOn w:val="45"/>
    <w:link w:val="2"/>
    <w:qFormat/>
    <w:locked/>
    <w:uiPriority w:val="0"/>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字符"/>
    <w:link w:val="22"/>
    <w:qFormat/>
    <w:locked/>
    <w:uiPriority w:val="0"/>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5"/>
    <w:qFormat/>
    <w:uiPriority w:val="0"/>
    <w:rPr>
      <w:rFonts w:hint="eastAsia" w:ascii="宋体" w:hAnsi="宋体" w:eastAsia="宋体" w:cs="宋体"/>
      <w:b/>
      <w:color w:val="000000"/>
      <w:sz w:val="22"/>
      <w:szCs w:val="22"/>
      <w:u w:val="none"/>
    </w:rPr>
  </w:style>
  <w:style w:type="character" w:customStyle="1" w:styleId="195">
    <w:name w:val="font01"/>
    <w:basedOn w:val="45"/>
    <w:qFormat/>
    <w:uiPriority w:val="0"/>
    <w:rPr>
      <w:rFonts w:hint="eastAsia" w:ascii="宋体" w:hAnsi="宋体" w:eastAsia="宋体" w:cs="宋体"/>
      <w:color w:val="000000"/>
      <w:sz w:val="22"/>
      <w:szCs w:val="22"/>
      <w:u w:val="none"/>
    </w:rPr>
  </w:style>
  <w:style w:type="character" w:customStyle="1" w:styleId="196">
    <w:name w:val="页脚 Char1"/>
    <w:basedOn w:val="45"/>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34"/>
    <w:rPr>
      <w:rFonts w:hint="default" w:ascii="Calibri" w:hAnsi="Calibri"/>
      <w:kern w:val="2"/>
      <w:sz w:val="21"/>
      <w:szCs w:val="22"/>
    </w:rPr>
  </w:style>
  <w:style w:type="paragraph" w:customStyle="1" w:styleId="199">
    <w:name w:val="CD正文"/>
    <w:basedOn w:val="97"/>
    <w:qFormat/>
    <w:uiPriority w:val="0"/>
  </w:style>
  <w:style w:type="paragraph" w:customStyle="1" w:styleId="200">
    <w:name w:val="项目符号：一级"/>
    <w:basedOn w:val="84"/>
    <w:next w:val="84"/>
    <w:qFormat/>
    <w:uiPriority w:val="0"/>
  </w:style>
  <w:style w:type="paragraph" w:customStyle="1" w:styleId="201">
    <w:name w:val="修订2"/>
    <w:semiHidden/>
    <w:qFormat/>
    <w:uiPriority w:val="99"/>
    <w:rPr>
      <w:rFonts w:ascii="Calibri" w:hAnsi="Calibri" w:eastAsia="宋体" w:cs="Times New Roman"/>
      <w:kern w:val="2"/>
      <w:sz w:val="21"/>
      <w:szCs w:val="22"/>
      <w:lang w:val="en-US" w:eastAsia="zh-CN" w:bidi="ar-SA"/>
    </w:rPr>
  </w:style>
  <w:style w:type="paragraph" w:customStyle="1" w:styleId="202">
    <w:name w:val="修订21"/>
    <w:semiHidden/>
    <w:qFormat/>
    <w:uiPriority w:val="99"/>
    <w:rPr>
      <w:rFonts w:ascii="Calibri" w:hAnsi="Calibri" w:eastAsia="宋体" w:cs="Times New Roman"/>
      <w:kern w:val="2"/>
      <w:sz w:val="21"/>
      <w:szCs w:val="22"/>
      <w:lang w:val="en-US" w:eastAsia="zh-CN" w:bidi="ar-SA"/>
    </w:rPr>
  </w:style>
  <w:style w:type="paragraph" w:customStyle="1" w:styleId="203">
    <w:name w:val="List Paragraph1"/>
    <w:basedOn w:val="1"/>
    <w:semiHidden/>
    <w:qFormat/>
    <w:uiPriority w:val="0"/>
    <w:pPr>
      <w:ind w:firstLine="420" w:firstLineChars="200"/>
    </w:pPr>
    <w:rPr>
      <w:rFonts w:ascii="Times New Roman" w:hAnsi="Times New Roman"/>
      <w:szCs w:val="24"/>
    </w:rPr>
  </w:style>
  <w:style w:type="paragraph" w:customStyle="1" w:styleId="204">
    <w:name w:val="修订3"/>
    <w:semiHidden/>
    <w:qFormat/>
    <w:uiPriority w:val="99"/>
    <w:rPr>
      <w:rFonts w:ascii="Calibri" w:hAnsi="Calibri" w:eastAsia="宋体" w:cs="Times New Roman"/>
      <w:kern w:val="2"/>
      <w:sz w:val="21"/>
      <w:szCs w:val="22"/>
      <w:lang w:val="en-US" w:eastAsia="zh-CN" w:bidi="ar-SA"/>
    </w:rPr>
  </w:style>
  <w:style w:type="paragraph" w:customStyle="1" w:styleId="205">
    <w:name w:val="Normal Indent1"/>
    <w:basedOn w:val="1"/>
    <w:semiHidden/>
    <w:qFormat/>
    <w:uiPriority w:val="99"/>
    <w:pPr>
      <w:spacing w:line="360" w:lineRule="auto"/>
      <w:ind w:firstLine="200" w:firstLineChars="200"/>
    </w:pPr>
    <w:rPr>
      <w:sz w:val="24"/>
      <w:szCs w:val="24"/>
    </w:rPr>
  </w:style>
  <w:style w:type="character" w:styleId="206">
    <w:name w:val="Placeholder Text"/>
    <w:basedOn w:val="45"/>
    <w:semiHidden/>
    <w:qFormat/>
    <w:uiPriority w:val="99"/>
    <w:rPr>
      <w:color w:val="808080"/>
    </w:rPr>
  </w:style>
  <w:style w:type="character" w:customStyle="1" w:styleId="207">
    <w:name w:val="font61"/>
    <w:qFormat/>
    <w:uiPriority w:val="0"/>
    <w:rPr>
      <w:rFonts w:hint="eastAsia" w:ascii="仿宋_GB2312" w:eastAsia="仿宋_GB2312" w:cs="仿宋_GB2312"/>
      <w:color w:val="000000"/>
      <w:sz w:val="24"/>
      <w:szCs w:val="24"/>
      <w:u w:val="none"/>
    </w:rPr>
  </w:style>
  <w:style w:type="character" w:customStyle="1" w:styleId="208">
    <w:name w:val="日期 Char1"/>
    <w:basedOn w:val="45"/>
    <w:semiHidden/>
    <w:qFormat/>
    <w:uiPriority w:val="99"/>
    <w:rPr>
      <w:rFonts w:hint="default" w:ascii="Calibri" w:hAnsi="Calibri" w:eastAsia="宋体" w:cs="Times New Roman"/>
    </w:rPr>
  </w:style>
  <w:style w:type="character" w:customStyle="1" w:styleId="209">
    <w:name w:val="副标题 Char2"/>
    <w:basedOn w:val="45"/>
    <w:qFormat/>
    <w:uiPriority w:val="11"/>
    <w:rPr>
      <w:rFonts w:hint="default" w:eastAsia="宋体" w:asciiTheme="majorHAnsi" w:hAnsiTheme="majorHAnsi" w:cstheme="majorBidi"/>
      <w:b/>
      <w:bCs/>
      <w:kern w:val="28"/>
      <w:sz w:val="32"/>
      <w:szCs w:val="32"/>
    </w:rPr>
  </w:style>
  <w:style w:type="character" w:customStyle="1" w:styleId="210">
    <w:name w:val="正文文本缩进 3 Char1"/>
    <w:basedOn w:val="45"/>
    <w:semiHidden/>
    <w:qFormat/>
    <w:uiPriority w:val="99"/>
    <w:rPr>
      <w:rFonts w:hint="default" w:ascii="Calibri" w:hAnsi="Calibri" w:eastAsia="宋体" w:cs="Times New Roman"/>
      <w:sz w:val="16"/>
      <w:szCs w:val="16"/>
    </w:rPr>
  </w:style>
  <w:style w:type="character" w:customStyle="1" w:styleId="211">
    <w:name w:val="批注框文本 Char1"/>
    <w:basedOn w:val="45"/>
    <w:semiHidden/>
    <w:qFormat/>
    <w:uiPriority w:val="99"/>
    <w:rPr>
      <w:rFonts w:hint="default" w:ascii="Calibri" w:hAnsi="Calibri" w:eastAsia="宋体" w:cs="Times New Roman"/>
      <w:sz w:val="18"/>
      <w:szCs w:val="18"/>
    </w:rPr>
  </w:style>
  <w:style w:type="character" w:customStyle="1" w:styleId="212">
    <w:name w:val="纯文本 Char2"/>
    <w:basedOn w:val="45"/>
    <w:qFormat/>
    <w:uiPriority w:val="99"/>
    <w:rPr>
      <w:rFonts w:hint="eastAsia" w:ascii="宋体" w:hAnsi="Courier New" w:eastAsia="宋体" w:cs="Courier New"/>
      <w:szCs w:val="21"/>
    </w:rPr>
  </w:style>
  <w:style w:type="character" w:customStyle="1" w:styleId="213">
    <w:name w:val="正文文本缩进 2 Char1"/>
    <w:basedOn w:val="45"/>
    <w:semiHidden/>
    <w:qFormat/>
    <w:uiPriority w:val="99"/>
    <w:rPr>
      <w:rFonts w:hint="default" w:ascii="Calibri" w:hAnsi="Calibri" w:eastAsia="宋体" w:cs="Times New Roman"/>
    </w:rPr>
  </w:style>
  <w:style w:type="character" w:customStyle="1" w:styleId="214">
    <w:name w:val="正文文本缩进 Char1"/>
    <w:basedOn w:val="45"/>
    <w:semiHidden/>
    <w:qFormat/>
    <w:uiPriority w:val="99"/>
    <w:rPr>
      <w:rFonts w:hint="default" w:ascii="Calibri" w:hAnsi="Calibri" w:eastAsia="宋体" w:cs="Times New Roman"/>
    </w:rPr>
  </w:style>
  <w:style w:type="character" w:customStyle="1" w:styleId="215">
    <w:name w:val="正文文本 2 Char1"/>
    <w:basedOn w:val="45"/>
    <w:semiHidden/>
    <w:qFormat/>
    <w:uiPriority w:val="99"/>
    <w:rPr>
      <w:rFonts w:hint="default" w:ascii="Calibri" w:hAnsi="Calibri" w:eastAsia="宋体" w:cs="Times New Roman"/>
    </w:rPr>
  </w:style>
  <w:style w:type="character" w:customStyle="1" w:styleId="216">
    <w:name w:val="正文文本 Char3"/>
    <w:basedOn w:val="45"/>
    <w:qFormat/>
    <w:locked/>
    <w:uiPriority w:val="0"/>
    <w:rPr>
      <w:rFonts w:ascii="Calibri" w:hAnsi="Calibri" w:eastAsia="宋体"/>
      <w:kern w:val="2"/>
      <w:sz w:val="21"/>
      <w:szCs w:val="22"/>
    </w:rPr>
  </w:style>
  <w:style w:type="character" w:customStyle="1" w:styleId="217">
    <w:name w:val="正文首行缩进 Char1"/>
    <w:basedOn w:val="216"/>
    <w:semiHidden/>
    <w:qFormat/>
    <w:uiPriority w:val="99"/>
    <w:rPr>
      <w:rFonts w:ascii="Calibri" w:hAnsi="Calibri" w:eastAsia="宋体"/>
      <w:kern w:val="2"/>
      <w:sz w:val="21"/>
      <w:szCs w:val="22"/>
    </w:rPr>
  </w:style>
  <w:style w:type="character" w:customStyle="1" w:styleId="218">
    <w:name w:val="批注文字 Char1"/>
    <w:basedOn w:val="45"/>
    <w:semiHidden/>
    <w:qFormat/>
    <w:uiPriority w:val="0"/>
    <w:rPr>
      <w:rFonts w:hint="default" w:ascii="Calibri" w:hAnsi="Calibri" w:eastAsia="宋体" w:cs="Times New Roman"/>
    </w:rPr>
  </w:style>
  <w:style w:type="character" w:customStyle="1" w:styleId="219">
    <w:name w:val="正文文本 3 Char1"/>
    <w:basedOn w:val="45"/>
    <w:semiHidden/>
    <w:qFormat/>
    <w:uiPriority w:val="99"/>
    <w:rPr>
      <w:rFonts w:hint="default" w:ascii="Calibri" w:hAnsi="Calibri" w:eastAsia="宋体" w:cs="Times New Roman"/>
      <w:sz w:val="16"/>
      <w:szCs w:val="16"/>
    </w:rPr>
  </w:style>
  <w:style w:type="character" w:customStyle="1" w:styleId="220">
    <w:name w:val="文档结构图 Char1"/>
    <w:basedOn w:val="45"/>
    <w:semiHidden/>
    <w:qFormat/>
    <w:uiPriority w:val="99"/>
    <w:rPr>
      <w:rFonts w:hint="eastAsia" w:ascii="宋体" w:hAnsi="Calibri" w:eastAsia="宋体" w:cs="Times New Roman"/>
      <w:sz w:val="18"/>
      <w:szCs w:val="18"/>
    </w:rPr>
  </w:style>
  <w:style w:type="character" w:customStyle="1" w:styleId="221">
    <w:name w:val="font21"/>
    <w:qFormat/>
    <w:uiPriority w:val="0"/>
    <w:rPr>
      <w:rFonts w:hint="eastAsia" w:ascii="仿宋_GB2312" w:eastAsia="仿宋_GB2312" w:cs="仿宋_GB2312"/>
      <w:color w:val="000000"/>
      <w:sz w:val="24"/>
      <w:szCs w:val="24"/>
      <w:u w:val="none"/>
    </w:rPr>
  </w:style>
  <w:style w:type="paragraph" w:customStyle="1" w:styleId="222">
    <w:name w:val="正文_58"/>
    <w:qFormat/>
    <w:uiPriority w:val="0"/>
    <w:pPr>
      <w:widowControl w:val="0"/>
      <w:jc w:val="both"/>
    </w:pPr>
    <w:rPr>
      <w:rFonts w:ascii="Calibri" w:hAnsi="Calibri" w:eastAsia="宋体" w:cs="Times New Roman"/>
      <w:kern w:val="2"/>
      <w:sz w:val="21"/>
      <w:szCs w:val="22"/>
      <w:lang w:val="en-US" w:eastAsia="zh-CN" w:bidi="ar-SA"/>
    </w:rPr>
  </w:style>
  <w:style w:type="character" w:customStyle="1" w:styleId="223">
    <w:name w:val="样式 Char Char"/>
    <w:link w:val="119"/>
    <w:qFormat/>
    <w:locked/>
    <w:uiPriority w:val="0"/>
    <w:rPr>
      <w:rFonts w:ascii="宋体" w:hAnsi="宋体" w:eastAsia="宋体" w:cs="宋体"/>
      <w:kern w:val="0"/>
      <w:sz w:val="24"/>
      <w:szCs w:val="24"/>
    </w:rPr>
  </w:style>
  <w:style w:type="paragraph" w:customStyle="1" w:styleId="224">
    <w:name w:val="Table Paragraph"/>
    <w:basedOn w:val="1"/>
    <w:qFormat/>
    <w:uiPriority w:val="1"/>
    <w:rPr>
      <w:rFonts w:ascii="宋体" w:hAnsi="宋体" w:cs="宋体"/>
      <w:lang w:eastAsia="en-US" w:bidi="en-US"/>
    </w:rPr>
  </w:style>
  <w:style w:type="character" w:customStyle="1" w:styleId="225">
    <w:name w:val="font41"/>
    <w:qFormat/>
    <w:uiPriority w:val="0"/>
    <w:rPr>
      <w:rFonts w:hint="default" w:ascii="Calibri" w:hAnsi="Calibri" w:cs="Calibri"/>
      <w:color w:val="000000"/>
      <w:sz w:val="20"/>
      <w:szCs w:val="20"/>
      <w:u w:val="none"/>
    </w:rPr>
  </w:style>
  <w:style w:type="paragraph" w:customStyle="1" w:styleId="226">
    <w:name w:val="Other|1"/>
    <w:basedOn w:val="1"/>
    <w:qFormat/>
    <w:uiPriority w:val="0"/>
    <w:pPr>
      <w:spacing w:after="200"/>
    </w:pPr>
    <w:rPr>
      <w:rFonts w:ascii="宋体" w:hAnsi="宋体" w:cs="宋体"/>
      <w:sz w:val="22"/>
      <w:lang w:val="zh-TW" w:eastAsia="zh-TW" w:bidi="zh-TW"/>
    </w:rPr>
  </w:style>
  <w:style w:type="paragraph" w:customStyle="1" w:styleId="227">
    <w:name w:val="Header or footer|1"/>
    <w:basedOn w:val="1"/>
    <w:qFormat/>
    <w:uiPriority w:val="0"/>
    <w:rPr>
      <w:sz w:val="20"/>
      <w:szCs w:val="20"/>
      <w:lang w:val="zh-TW" w:eastAsia="zh-TW" w:bidi="zh-TW"/>
    </w:rPr>
  </w:style>
  <w:style w:type="paragraph" w:customStyle="1" w:styleId="228">
    <w:name w:val="Body text|1"/>
    <w:basedOn w:val="1"/>
    <w:qFormat/>
    <w:uiPriority w:val="0"/>
    <w:pPr>
      <w:spacing w:after="200"/>
    </w:pPr>
    <w:rPr>
      <w:rFonts w:ascii="宋体" w:hAnsi="宋体" w:cs="宋体"/>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D71EC2-93A7-FE4A-A0AC-1389675B8ADD}">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126</Pages>
  <Words>8950</Words>
  <Characters>51018</Characters>
  <Lines>425</Lines>
  <Paragraphs>119</Paragraphs>
  <TotalTime>33</TotalTime>
  <ScaleCrop>false</ScaleCrop>
  <LinksUpToDate>false</LinksUpToDate>
  <CharactersWithSpaces>59849</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2021-10-20T12:47:00Z</dcterms:created>
  <dc:creator>高文豪</dc:creator>
  <cp:lastModifiedBy>刘刚</cp:lastModifiedBy>
  <cp:lastPrinted>2021-06-22T09:52:00Z</cp:lastPrinted>
  <dcterms:modified xsi:type="dcterms:W3CDTF">2021-10-28T05:31:40Z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3ED9D2F2684B46749CD64B45D078EE30</vt:lpwstr>
  </property>
</Properties>
</file>