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spacing w:val="42"/>
          <w:sz w:val="130"/>
          <w:szCs w:val="130"/>
        </w:rPr>
      </w:pPr>
      <w:r>
        <w:rPr>
          <w:rFonts w:hint="eastAsia" w:ascii="宋体" w:hAnsi="宋体" w:cs="宋体"/>
          <w:spacing w:val="42"/>
          <w:sz w:val="130"/>
          <w:szCs w:val="130"/>
        </w:rPr>
        <w:t>招 标 文 件</w:t>
      </w:r>
    </w:p>
    <w:p>
      <w:pPr>
        <w:spacing w:line="360" w:lineRule="auto"/>
        <w:jc w:val="center"/>
        <w:rPr>
          <w:rFonts w:ascii="宋体" w:hAnsi="宋体" w:cs="宋体"/>
          <w:sz w:val="32"/>
          <w:szCs w:val="32"/>
        </w:rPr>
      </w:pPr>
    </w:p>
    <w:p>
      <w:pPr>
        <w:pStyle w:val="2"/>
      </w:pPr>
    </w:p>
    <w:p>
      <w:pPr>
        <w:spacing w:line="360" w:lineRule="auto"/>
        <w:rPr>
          <w:rFonts w:ascii="宋体" w:hAnsi="宋体" w:cs="宋体"/>
        </w:rPr>
      </w:pPr>
    </w:p>
    <w:p>
      <w:pPr>
        <w:spacing w:line="360" w:lineRule="auto"/>
        <w:ind w:left="2416" w:leftChars="338" w:hanging="1706" w:hangingChars="531"/>
        <w:rPr>
          <w:rFonts w:ascii="宋体" w:hAnsi="宋体" w:cs="宋体"/>
          <w:b/>
          <w:bCs/>
          <w:sz w:val="32"/>
          <w:szCs w:val="32"/>
        </w:rPr>
      </w:pPr>
      <w:r>
        <w:rPr>
          <w:rFonts w:hint="eastAsia" w:ascii="宋体" w:hAnsi="宋体" w:cs="宋体"/>
          <w:b/>
          <w:bCs/>
          <w:sz w:val="32"/>
          <w:szCs w:val="32"/>
        </w:rPr>
        <w:t>项目名称：成都市双流区人民政府怡心街道办事处生活垃圾清运服务采购项目</w:t>
      </w:r>
    </w:p>
    <w:p>
      <w:pPr>
        <w:spacing w:line="360" w:lineRule="auto"/>
        <w:ind w:left="2416" w:leftChars="338" w:hanging="1706" w:hangingChars="531"/>
        <w:rPr>
          <w:rFonts w:ascii="宋体" w:hAnsi="宋体" w:cs="宋体"/>
          <w:b/>
          <w:bCs/>
          <w:sz w:val="32"/>
          <w:szCs w:val="32"/>
        </w:rPr>
      </w:pPr>
      <w:r>
        <w:rPr>
          <w:rFonts w:hint="eastAsia" w:ascii="宋体" w:hAnsi="宋体" w:cs="宋体"/>
          <w:b/>
          <w:bCs/>
          <w:sz w:val="32"/>
          <w:szCs w:val="32"/>
        </w:rPr>
        <w:t>项目编号：双流政采（2021）A0118号</w:t>
      </w:r>
    </w:p>
    <w:p>
      <w:pPr>
        <w:spacing w:line="360" w:lineRule="auto"/>
        <w:ind w:firstLine="1280" w:firstLineChars="400"/>
        <w:rPr>
          <w:rFonts w:ascii="宋体" w:hAnsi="宋体" w:cs="宋体"/>
          <w:sz w:val="32"/>
          <w:szCs w:val="32"/>
        </w:rPr>
      </w:pPr>
    </w:p>
    <w:p>
      <w:pPr>
        <w:spacing w:line="360" w:lineRule="auto"/>
        <w:jc w:val="center"/>
        <w:rPr>
          <w:rFonts w:ascii="宋体" w:hAnsi="宋体" w:cs="宋体"/>
          <w:kern w:val="24"/>
          <w:sz w:val="32"/>
          <w:szCs w:val="32"/>
        </w:rPr>
      </w:pPr>
    </w:p>
    <w:p>
      <w:pPr>
        <w:spacing w:line="360" w:lineRule="auto"/>
        <w:jc w:val="center"/>
        <w:rPr>
          <w:rFonts w:ascii="宋体" w:hAnsi="宋体" w:cs="宋体"/>
          <w:b/>
          <w:bCs/>
          <w:sz w:val="32"/>
          <w:szCs w:val="32"/>
        </w:rPr>
      </w:pPr>
      <w:bookmarkStart w:id="0" w:name="采购单位名称_1619330871506"/>
      <w:r>
        <w:rPr>
          <w:rFonts w:hint="eastAsia" w:ascii="宋体" w:hAnsi="宋体" w:cs="宋体"/>
          <w:b/>
          <w:bCs/>
          <w:sz w:val="32"/>
          <w:szCs w:val="32"/>
        </w:rPr>
        <w:t>成都市双流区人民政府</w:t>
      </w:r>
      <w:bookmarkEnd w:id="0"/>
      <w:r>
        <w:rPr>
          <w:rFonts w:hint="eastAsia" w:ascii="宋体" w:hAnsi="宋体" w:cs="宋体"/>
          <w:b/>
          <w:bCs/>
          <w:sz w:val="32"/>
          <w:szCs w:val="32"/>
        </w:rPr>
        <w:t>怡心街道办事处</w:t>
      </w:r>
    </w:p>
    <w:p>
      <w:pPr>
        <w:spacing w:line="360" w:lineRule="auto"/>
        <w:jc w:val="center"/>
        <w:rPr>
          <w:rFonts w:ascii="宋体" w:hAnsi="宋体" w:cs="宋体"/>
          <w:b/>
          <w:bCs/>
          <w:sz w:val="32"/>
          <w:szCs w:val="32"/>
        </w:rPr>
      </w:pPr>
      <w:r>
        <w:rPr>
          <w:rFonts w:hint="eastAsia" w:ascii="宋体" w:hAnsi="宋体" w:cs="宋体"/>
          <w:b/>
          <w:bCs/>
          <w:sz w:val="32"/>
          <w:szCs w:val="32"/>
        </w:rPr>
        <w:t>成都市双流区公共资源交易服务中心</w:t>
      </w:r>
    </w:p>
    <w:p>
      <w:pPr>
        <w:spacing w:line="360" w:lineRule="auto"/>
        <w:jc w:val="center"/>
        <w:rPr>
          <w:rFonts w:ascii="宋体" w:hAnsi="宋体" w:cs="宋体"/>
          <w:b/>
          <w:bCs/>
          <w:sz w:val="32"/>
          <w:szCs w:val="32"/>
        </w:rPr>
      </w:pPr>
      <w:r>
        <w:rPr>
          <w:rFonts w:hint="eastAsia" w:ascii="宋体" w:hAnsi="宋体" w:cs="宋体"/>
          <w:b/>
          <w:bCs/>
          <w:sz w:val="32"/>
          <w:szCs w:val="32"/>
        </w:rPr>
        <w:t>共同编制</w:t>
      </w:r>
    </w:p>
    <w:p>
      <w:pPr>
        <w:spacing w:line="360" w:lineRule="auto"/>
        <w:jc w:val="center"/>
        <w:rPr>
          <w:rFonts w:ascii="宋体" w:hAnsi="宋体" w:cs="宋体"/>
          <w:b/>
          <w:bCs/>
          <w:color w:val="FF0000"/>
          <w:sz w:val="32"/>
          <w:szCs w:val="32"/>
        </w:rPr>
      </w:pPr>
      <w:r>
        <w:rPr>
          <w:rFonts w:hint="eastAsia" w:ascii="宋体" w:hAnsi="宋体" w:cs="宋体"/>
          <w:b/>
          <w:bCs/>
          <w:sz w:val="32"/>
          <w:szCs w:val="32"/>
        </w:rPr>
        <w:t>二〇二</w:t>
      </w:r>
      <w:r>
        <w:rPr>
          <w:rFonts w:hint="eastAsia" w:ascii="宋体" w:hAnsi="宋体" w:cs="宋体"/>
          <w:b/>
          <w:bCs/>
          <w:color w:val="auto"/>
          <w:sz w:val="32"/>
          <w:szCs w:val="32"/>
        </w:rPr>
        <w:t>一年十二月</w:t>
      </w:r>
      <w:bookmarkStart w:id="1" w:name="_Toc101247312"/>
      <w:bookmarkStart w:id="2" w:name="_Toc101234248"/>
      <w:bookmarkStart w:id="3" w:name="_Toc148505181"/>
      <w:bookmarkStart w:id="4" w:name="_Toc101328520"/>
    </w:p>
    <w:p>
      <w:pPr>
        <w:pStyle w:val="2"/>
        <w:rPr>
          <w:rFonts w:ascii="宋体" w:hAnsi="宋体" w:cs="宋体"/>
          <w:sz w:val="32"/>
          <w:szCs w:val="32"/>
        </w:rPr>
      </w:pPr>
    </w:p>
    <w:p>
      <w:pPr>
        <w:rPr>
          <w:rFonts w:ascii="宋体" w:hAnsi="宋体" w:cs="宋体"/>
          <w:sz w:val="32"/>
          <w:szCs w:val="32"/>
        </w:rPr>
      </w:pPr>
    </w:p>
    <w:p>
      <w:pPr>
        <w:pStyle w:val="2"/>
      </w:pPr>
    </w:p>
    <w:p>
      <w:pPr>
        <w:pStyle w:val="15"/>
        <w:ind w:firstLine="180"/>
      </w:pPr>
    </w:p>
    <w:p>
      <w:pPr>
        <w:spacing w:line="360" w:lineRule="auto"/>
        <w:jc w:val="center"/>
        <w:rPr>
          <w:rFonts w:ascii="宋体" w:hAnsi="宋体" w:cs="宋体"/>
          <w:b/>
          <w:sz w:val="36"/>
        </w:rPr>
      </w:pPr>
      <w:r>
        <w:rPr>
          <w:rFonts w:hint="eastAsia" w:ascii="宋体" w:hAnsi="宋体" w:cs="宋体"/>
          <w:b/>
          <w:sz w:val="32"/>
          <w:szCs w:val="32"/>
        </w:rPr>
        <w:t>目 录</w:t>
      </w:r>
    </w:p>
    <w:p>
      <w:pPr>
        <w:pStyle w:val="11"/>
        <w:tabs>
          <w:tab w:val="right" w:leader="dot" w:pos="8306"/>
          <w:tab w:val="clear" w:pos="709"/>
          <w:tab w:val="clear" w:pos="8364"/>
        </w:tabs>
      </w:pPr>
      <w:r>
        <w:rPr>
          <w:rFonts w:hint="eastAsia" w:ascii="宋体" w:hAnsi="宋体" w:eastAsia="宋体" w:cs="宋体"/>
        </w:rPr>
        <w:fldChar w:fldCharType="begin"/>
      </w:r>
      <w:r>
        <w:rPr>
          <w:rFonts w:hint="eastAsia" w:ascii="宋体" w:hAnsi="宋体" w:eastAsia="宋体" w:cs="宋体"/>
          <w:smallCaps/>
        </w:rPr>
        <w:instrText xml:space="preserve"> TOC \o "1-2" \h \z \u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_Toc6769 </w:instrText>
      </w:r>
      <w:r>
        <w:rPr>
          <w:rFonts w:hint="eastAsia" w:ascii="宋体" w:hAnsi="宋体" w:eastAsia="宋体" w:cs="宋体"/>
        </w:rPr>
        <w:fldChar w:fldCharType="separate"/>
      </w:r>
      <w:r>
        <w:rPr>
          <w:rFonts w:hint="default" w:ascii="Times New Roman" w:hAnsi="Times New Roman" w:eastAsia="宋体" w:cs="Times New Roman"/>
          <w:bCs/>
          <w:i w:val="0"/>
          <w:spacing w:val="-20"/>
          <w:kern w:val="44"/>
          <w:szCs w:val="32"/>
        </w:rPr>
        <w:t xml:space="preserve">第1章 </w:t>
      </w:r>
      <w:r>
        <w:rPr>
          <w:rFonts w:hint="eastAsia" w:ascii="宋体" w:hAnsi="宋体" w:cs="宋体"/>
          <w:bCs/>
          <w:spacing w:val="-20"/>
          <w:kern w:val="44"/>
          <w:szCs w:val="32"/>
        </w:rPr>
        <w:t>投标邀请</w:t>
      </w:r>
      <w:r>
        <w:tab/>
      </w:r>
      <w:r>
        <w:fldChar w:fldCharType="begin"/>
      </w:r>
      <w:r>
        <w:instrText xml:space="preserve"> PAGEREF _Toc6769 \h </w:instrText>
      </w:r>
      <w:r>
        <w:fldChar w:fldCharType="separate"/>
      </w:r>
      <w:r>
        <w:t>4</w:t>
      </w:r>
      <w:r>
        <w:fldChar w:fldCharType="end"/>
      </w:r>
      <w:r>
        <w:rPr>
          <w:rFonts w:hint="eastAsia" w:ascii="宋体" w:hAnsi="宋体" w:eastAsia="宋体" w:cs="宋体"/>
        </w:rPr>
        <w:fldChar w:fldCharType="end"/>
      </w:r>
    </w:p>
    <w:p>
      <w:pPr>
        <w:pStyle w:val="11"/>
        <w:tabs>
          <w:tab w:val="right" w:leader="dot" w:pos="8306"/>
          <w:tab w:val="clear" w:pos="709"/>
          <w:tab w:val="clear" w:pos="8364"/>
        </w:tabs>
      </w:pPr>
      <w:r>
        <w:rPr>
          <w:rFonts w:hint="eastAsia" w:ascii="宋体" w:hAnsi="宋体" w:cs="宋体"/>
        </w:rPr>
        <w:fldChar w:fldCharType="begin"/>
      </w:r>
      <w:r>
        <w:rPr>
          <w:rFonts w:hint="eastAsia" w:ascii="宋体" w:hAnsi="宋体" w:cs="宋体"/>
        </w:rPr>
        <w:instrText xml:space="preserve"> HYPERLINK \l _Toc2801 </w:instrText>
      </w:r>
      <w:r>
        <w:rPr>
          <w:rFonts w:hint="eastAsia" w:ascii="宋体" w:hAnsi="宋体" w:cs="宋体"/>
        </w:rPr>
        <w:fldChar w:fldCharType="separate"/>
      </w:r>
      <w:r>
        <w:rPr>
          <w:rFonts w:hint="default" w:ascii="Times New Roman" w:hAnsi="Times New Roman" w:eastAsia="宋体" w:cs="Times New Roman"/>
          <w:bCs/>
          <w:i w:val="0"/>
          <w:spacing w:val="-20"/>
          <w:kern w:val="44"/>
          <w:szCs w:val="32"/>
        </w:rPr>
        <w:t xml:space="preserve">第2章 </w:t>
      </w:r>
      <w:r>
        <w:rPr>
          <w:rFonts w:hint="eastAsia" w:ascii="宋体" w:hAnsi="宋体" w:cs="宋体"/>
          <w:bCs/>
          <w:spacing w:val="-20"/>
          <w:kern w:val="44"/>
          <w:szCs w:val="32"/>
        </w:rPr>
        <w:t>投标人须知</w:t>
      </w:r>
      <w:r>
        <w:tab/>
      </w:r>
      <w:r>
        <w:fldChar w:fldCharType="begin"/>
      </w:r>
      <w:r>
        <w:instrText xml:space="preserve"> PAGEREF _Toc2801 \h </w:instrText>
      </w:r>
      <w:r>
        <w:fldChar w:fldCharType="separate"/>
      </w:r>
      <w:r>
        <w:t>9</w:t>
      </w:r>
      <w:r>
        <w:fldChar w:fldCharType="end"/>
      </w:r>
      <w:r>
        <w:rPr>
          <w:rFonts w:hint="eastAsia" w:ascii="宋体" w:hAnsi="宋体" w:cs="宋体"/>
        </w:rPr>
        <w:fldChar w:fldCharType="end"/>
      </w:r>
    </w:p>
    <w:p>
      <w:pPr>
        <w:pStyle w:val="12"/>
        <w:tabs>
          <w:tab w:val="right" w:leader="dot" w:pos="8306"/>
          <w:tab w:val="clear" w:pos="620"/>
          <w:tab w:val="clear" w:pos="8364"/>
        </w:tabs>
      </w:pPr>
      <w:r>
        <w:rPr>
          <w:rFonts w:hint="eastAsia" w:ascii="宋体" w:hAnsi="宋体" w:cs="宋体"/>
        </w:rPr>
        <w:fldChar w:fldCharType="begin"/>
      </w:r>
      <w:r>
        <w:rPr>
          <w:rFonts w:hint="eastAsia" w:ascii="宋体" w:hAnsi="宋体" w:cs="宋体"/>
        </w:rPr>
        <w:instrText xml:space="preserve"> HYPERLINK \l _Toc11100 </w:instrText>
      </w:r>
      <w:r>
        <w:rPr>
          <w:rFonts w:hint="eastAsia" w:ascii="宋体" w:hAnsi="宋体" w:cs="宋体"/>
        </w:rPr>
        <w:fldChar w:fldCharType="separate"/>
      </w:r>
      <w:r>
        <w:rPr>
          <w:rFonts w:hint="default" w:ascii="Times New Roman" w:hAnsi="Times New Roman" w:eastAsia="宋体" w:cs="Times New Roman"/>
          <w:bCs/>
          <w:i w:val="0"/>
          <w:szCs w:val="28"/>
        </w:rPr>
        <w:t xml:space="preserve">2.1 </w:t>
      </w:r>
      <w:r>
        <w:rPr>
          <w:rFonts w:hint="eastAsia" w:ascii="宋体" w:hAnsi="宋体" w:cs="宋体"/>
          <w:bCs/>
          <w:szCs w:val="28"/>
        </w:rPr>
        <w:t>投标人须知前附表</w:t>
      </w:r>
      <w:r>
        <w:tab/>
      </w:r>
      <w:r>
        <w:fldChar w:fldCharType="begin"/>
      </w:r>
      <w:r>
        <w:instrText xml:space="preserve"> PAGEREF _Toc11100 \h </w:instrText>
      </w:r>
      <w:r>
        <w:fldChar w:fldCharType="separate"/>
      </w:r>
      <w:r>
        <w:t>9</w:t>
      </w:r>
      <w:r>
        <w:fldChar w:fldCharType="end"/>
      </w:r>
      <w:r>
        <w:rPr>
          <w:rFonts w:hint="eastAsia" w:ascii="宋体" w:hAnsi="宋体" w:cs="宋体"/>
        </w:rPr>
        <w:fldChar w:fldCharType="end"/>
      </w:r>
    </w:p>
    <w:p>
      <w:pPr>
        <w:pStyle w:val="12"/>
        <w:tabs>
          <w:tab w:val="right" w:leader="dot" w:pos="8306"/>
          <w:tab w:val="clear" w:pos="620"/>
          <w:tab w:val="clear" w:pos="8364"/>
        </w:tabs>
      </w:pPr>
      <w:r>
        <w:rPr>
          <w:rFonts w:hint="eastAsia" w:ascii="宋体" w:hAnsi="宋体" w:cs="宋体"/>
        </w:rPr>
        <w:fldChar w:fldCharType="begin"/>
      </w:r>
      <w:r>
        <w:rPr>
          <w:rFonts w:hint="eastAsia" w:ascii="宋体" w:hAnsi="宋体" w:cs="宋体"/>
        </w:rPr>
        <w:instrText xml:space="preserve"> HYPERLINK \l _Toc11976 </w:instrText>
      </w:r>
      <w:r>
        <w:rPr>
          <w:rFonts w:hint="eastAsia" w:ascii="宋体" w:hAnsi="宋体" w:cs="宋体"/>
        </w:rPr>
        <w:fldChar w:fldCharType="separate"/>
      </w:r>
      <w:r>
        <w:rPr>
          <w:rFonts w:hint="default" w:ascii="Times New Roman" w:hAnsi="Times New Roman" w:eastAsia="宋体" w:cs="Times New Roman"/>
          <w:bCs/>
          <w:i w:val="0"/>
          <w:szCs w:val="28"/>
        </w:rPr>
        <w:t xml:space="preserve">2.2 </w:t>
      </w:r>
      <w:r>
        <w:rPr>
          <w:rFonts w:hint="eastAsia" w:ascii="宋体" w:hAnsi="宋体" w:cs="宋体"/>
          <w:bCs/>
          <w:szCs w:val="28"/>
        </w:rPr>
        <w:t>总则</w:t>
      </w:r>
      <w:r>
        <w:tab/>
      </w:r>
      <w:r>
        <w:fldChar w:fldCharType="begin"/>
      </w:r>
      <w:r>
        <w:instrText xml:space="preserve"> PAGEREF _Toc11976 \h </w:instrText>
      </w:r>
      <w:r>
        <w:fldChar w:fldCharType="separate"/>
      </w:r>
      <w:r>
        <w:t>13</w:t>
      </w:r>
      <w:r>
        <w:fldChar w:fldCharType="end"/>
      </w:r>
      <w:r>
        <w:rPr>
          <w:rFonts w:hint="eastAsia" w:ascii="宋体" w:hAnsi="宋体" w:cs="宋体"/>
        </w:rPr>
        <w:fldChar w:fldCharType="end"/>
      </w:r>
    </w:p>
    <w:p>
      <w:pPr>
        <w:pStyle w:val="12"/>
        <w:tabs>
          <w:tab w:val="right" w:leader="dot" w:pos="8306"/>
          <w:tab w:val="clear" w:pos="620"/>
          <w:tab w:val="clear" w:pos="8364"/>
        </w:tabs>
      </w:pPr>
      <w:r>
        <w:rPr>
          <w:rFonts w:hint="eastAsia" w:ascii="宋体" w:hAnsi="宋体" w:cs="宋体"/>
        </w:rPr>
        <w:fldChar w:fldCharType="begin"/>
      </w:r>
      <w:r>
        <w:rPr>
          <w:rFonts w:hint="eastAsia" w:ascii="宋体" w:hAnsi="宋体" w:cs="宋体"/>
        </w:rPr>
        <w:instrText xml:space="preserve"> HYPERLINK \l _Toc1837 </w:instrText>
      </w:r>
      <w:r>
        <w:rPr>
          <w:rFonts w:hint="eastAsia" w:ascii="宋体" w:hAnsi="宋体" w:cs="宋体"/>
        </w:rPr>
        <w:fldChar w:fldCharType="separate"/>
      </w:r>
      <w:r>
        <w:rPr>
          <w:rFonts w:hint="default" w:ascii="Times New Roman" w:hAnsi="Times New Roman" w:eastAsia="宋体" w:cs="Times New Roman"/>
          <w:bCs/>
          <w:i w:val="0"/>
          <w:szCs w:val="28"/>
        </w:rPr>
        <w:t xml:space="preserve">2.3 </w:t>
      </w:r>
      <w:r>
        <w:rPr>
          <w:rFonts w:hint="eastAsia" w:ascii="宋体" w:hAnsi="宋体" w:cs="宋体"/>
          <w:bCs/>
          <w:szCs w:val="28"/>
        </w:rPr>
        <w:t>招标文件</w:t>
      </w:r>
      <w:r>
        <w:tab/>
      </w:r>
      <w:r>
        <w:fldChar w:fldCharType="begin"/>
      </w:r>
      <w:r>
        <w:instrText xml:space="preserve"> PAGEREF _Toc1837 \h </w:instrText>
      </w:r>
      <w:r>
        <w:fldChar w:fldCharType="separate"/>
      </w:r>
      <w:r>
        <w:t>15</w:t>
      </w:r>
      <w:r>
        <w:fldChar w:fldCharType="end"/>
      </w:r>
      <w:r>
        <w:rPr>
          <w:rFonts w:hint="eastAsia" w:ascii="宋体" w:hAnsi="宋体" w:cs="宋体"/>
        </w:rPr>
        <w:fldChar w:fldCharType="end"/>
      </w:r>
    </w:p>
    <w:p>
      <w:pPr>
        <w:pStyle w:val="12"/>
        <w:tabs>
          <w:tab w:val="right" w:leader="dot" w:pos="8306"/>
          <w:tab w:val="clear" w:pos="620"/>
          <w:tab w:val="clear" w:pos="8364"/>
        </w:tabs>
      </w:pPr>
      <w:r>
        <w:rPr>
          <w:rFonts w:hint="eastAsia" w:ascii="宋体" w:hAnsi="宋体" w:cs="宋体"/>
        </w:rPr>
        <w:fldChar w:fldCharType="begin"/>
      </w:r>
      <w:r>
        <w:rPr>
          <w:rFonts w:hint="eastAsia" w:ascii="宋体" w:hAnsi="宋体" w:cs="宋体"/>
        </w:rPr>
        <w:instrText xml:space="preserve"> HYPERLINK \l _Toc25584 </w:instrText>
      </w:r>
      <w:r>
        <w:rPr>
          <w:rFonts w:hint="eastAsia" w:ascii="宋体" w:hAnsi="宋体" w:cs="宋体"/>
        </w:rPr>
        <w:fldChar w:fldCharType="separate"/>
      </w:r>
      <w:r>
        <w:rPr>
          <w:rFonts w:hint="default" w:ascii="Times New Roman" w:hAnsi="Times New Roman" w:eastAsia="宋体" w:cs="Times New Roman"/>
          <w:bCs/>
          <w:i w:val="0"/>
          <w:szCs w:val="28"/>
        </w:rPr>
        <w:t xml:space="preserve">2.4 </w:t>
      </w:r>
      <w:r>
        <w:rPr>
          <w:rFonts w:hint="eastAsia" w:ascii="宋体" w:hAnsi="宋体" w:cs="宋体"/>
          <w:bCs/>
          <w:szCs w:val="28"/>
        </w:rPr>
        <w:t>投标文件</w:t>
      </w:r>
      <w:r>
        <w:tab/>
      </w:r>
      <w:r>
        <w:fldChar w:fldCharType="begin"/>
      </w:r>
      <w:r>
        <w:instrText xml:space="preserve"> PAGEREF _Toc25584 \h </w:instrText>
      </w:r>
      <w:r>
        <w:fldChar w:fldCharType="separate"/>
      </w:r>
      <w:r>
        <w:t>17</w:t>
      </w:r>
      <w:r>
        <w:fldChar w:fldCharType="end"/>
      </w:r>
      <w:r>
        <w:rPr>
          <w:rFonts w:hint="eastAsia" w:ascii="宋体" w:hAnsi="宋体" w:cs="宋体"/>
        </w:rPr>
        <w:fldChar w:fldCharType="end"/>
      </w:r>
    </w:p>
    <w:p>
      <w:pPr>
        <w:pStyle w:val="12"/>
        <w:tabs>
          <w:tab w:val="right" w:leader="dot" w:pos="8306"/>
          <w:tab w:val="clear" w:pos="620"/>
          <w:tab w:val="clear" w:pos="8364"/>
        </w:tabs>
      </w:pPr>
      <w:r>
        <w:rPr>
          <w:rFonts w:hint="eastAsia" w:ascii="宋体" w:hAnsi="宋体" w:cs="宋体"/>
        </w:rPr>
        <w:fldChar w:fldCharType="begin"/>
      </w:r>
      <w:r>
        <w:rPr>
          <w:rFonts w:hint="eastAsia" w:ascii="宋体" w:hAnsi="宋体" w:cs="宋体"/>
        </w:rPr>
        <w:instrText xml:space="preserve"> HYPERLINK \l _Toc12807 </w:instrText>
      </w:r>
      <w:r>
        <w:rPr>
          <w:rFonts w:hint="eastAsia" w:ascii="宋体" w:hAnsi="宋体" w:cs="宋体"/>
        </w:rPr>
        <w:fldChar w:fldCharType="separate"/>
      </w:r>
      <w:r>
        <w:rPr>
          <w:rFonts w:hint="default" w:ascii="Times New Roman" w:hAnsi="Times New Roman" w:eastAsia="宋体" w:cs="Times New Roman"/>
          <w:bCs/>
          <w:i w:val="0"/>
          <w:szCs w:val="28"/>
        </w:rPr>
        <w:t xml:space="preserve">2.5 </w:t>
      </w:r>
      <w:r>
        <w:rPr>
          <w:rFonts w:hint="eastAsia" w:ascii="宋体" w:hAnsi="宋体" w:cs="宋体"/>
          <w:bCs/>
          <w:szCs w:val="28"/>
        </w:rPr>
        <w:t>开标、资格审查、评标和中标</w:t>
      </w:r>
      <w:r>
        <w:tab/>
      </w:r>
      <w:r>
        <w:fldChar w:fldCharType="begin"/>
      </w:r>
      <w:r>
        <w:instrText xml:space="preserve"> PAGEREF _Toc12807 \h </w:instrText>
      </w:r>
      <w:r>
        <w:fldChar w:fldCharType="separate"/>
      </w:r>
      <w:r>
        <w:t>26</w:t>
      </w:r>
      <w:r>
        <w:fldChar w:fldCharType="end"/>
      </w:r>
      <w:r>
        <w:rPr>
          <w:rFonts w:hint="eastAsia" w:ascii="宋体" w:hAnsi="宋体" w:cs="宋体"/>
        </w:rPr>
        <w:fldChar w:fldCharType="end"/>
      </w:r>
    </w:p>
    <w:p>
      <w:pPr>
        <w:pStyle w:val="12"/>
        <w:tabs>
          <w:tab w:val="right" w:leader="dot" w:pos="8306"/>
          <w:tab w:val="clear" w:pos="620"/>
          <w:tab w:val="clear" w:pos="8364"/>
        </w:tabs>
      </w:pPr>
      <w:r>
        <w:rPr>
          <w:rFonts w:hint="eastAsia" w:ascii="宋体" w:hAnsi="宋体" w:cs="宋体"/>
        </w:rPr>
        <w:fldChar w:fldCharType="begin"/>
      </w:r>
      <w:r>
        <w:rPr>
          <w:rFonts w:hint="eastAsia" w:ascii="宋体" w:hAnsi="宋体" w:cs="宋体"/>
        </w:rPr>
        <w:instrText xml:space="preserve"> HYPERLINK \l _Toc6159 </w:instrText>
      </w:r>
      <w:r>
        <w:rPr>
          <w:rFonts w:hint="eastAsia" w:ascii="宋体" w:hAnsi="宋体" w:cs="宋体"/>
        </w:rPr>
        <w:fldChar w:fldCharType="separate"/>
      </w:r>
      <w:r>
        <w:rPr>
          <w:rFonts w:hint="default" w:ascii="Times New Roman" w:hAnsi="Times New Roman" w:eastAsia="宋体" w:cs="Times New Roman"/>
          <w:bCs/>
          <w:i w:val="0"/>
          <w:szCs w:val="28"/>
        </w:rPr>
        <w:t xml:space="preserve">2.6 </w:t>
      </w:r>
      <w:r>
        <w:rPr>
          <w:rFonts w:hint="eastAsia" w:ascii="宋体" w:hAnsi="宋体" w:cs="宋体"/>
          <w:bCs/>
          <w:szCs w:val="28"/>
        </w:rPr>
        <w:t>签订及履行合同和验收</w:t>
      </w:r>
      <w:r>
        <w:tab/>
      </w:r>
      <w:r>
        <w:fldChar w:fldCharType="begin"/>
      </w:r>
      <w:r>
        <w:instrText xml:space="preserve"> PAGEREF _Toc6159 \h </w:instrText>
      </w:r>
      <w:r>
        <w:fldChar w:fldCharType="separate"/>
      </w:r>
      <w:r>
        <w:t>28</w:t>
      </w:r>
      <w:r>
        <w:fldChar w:fldCharType="end"/>
      </w:r>
      <w:r>
        <w:rPr>
          <w:rFonts w:hint="eastAsia" w:ascii="宋体" w:hAnsi="宋体" w:cs="宋体"/>
        </w:rPr>
        <w:fldChar w:fldCharType="end"/>
      </w:r>
    </w:p>
    <w:p>
      <w:pPr>
        <w:pStyle w:val="12"/>
        <w:tabs>
          <w:tab w:val="right" w:leader="dot" w:pos="8306"/>
          <w:tab w:val="clear" w:pos="620"/>
          <w:tab w:val="clear" w:pos="8364"/>
        </w:tabs>
      </w:pPr>
      <w:r>
        <w:rPr>
          <w:rFonts w:hint="eastAsia" w:ascii="宋体" w:hAnsi="宋体" w:cs="宋体"/>
        </w:rPr>
        <w:fldChar w:fldCharType="begin"/>
      </w:r>
      <w:r>
        <w:rPr>
          <w:rFonts w:hint="eastAsia" w:ascii="宋体" w:hAnsi="宋体" w:cs="宋体"/>
        </w:rPr>
        <w:instrText xml:space="preserve"> HYPERLINK \l _Toc15549 </w:instrText>
      </w:r>
      <w:r>
        <w:rPr>
          <w:rFonts w:hint="eastAsia" w:ascii="宋体" w:hAnsi="宋体" w:cs="宋体"/>
        </w:rPr>
        <w:fldChar w:fldCharType="separate"/>
      </w:r>
      <w:r>
        <w:rPr>
          <w:rFonts w:hint="default" w:ascii="Times New Roman" w:hAnsi="Times New Roman" w:eastAsia="宋体" w:cs="Times New Roman"/>
          <w:bCs/>
          <w:i w:val="0"/>
          <w:szCs w:val="28"/>
        </w:rPr>
        <w:t xml:space="preserve">2.7 </w:t>
      </w:r>
      <w:r>
        <w:rPr>
          <w:rFonts w:hint="eastAsia" w:ascii="宋体" w:hAnsi="宋体" w:cs="宋体"/>
          <w:bCs/>
          <w:szCs w:val="28"/>
        </w:rPr>
        <w:t>投标纪律要求</w:t>
      </w:r>
      <w:r>
        <w:tab/>
      </w:r>
      <w:r>
        <w:fldChar w:fldCharType="begin"/>
      </w:r>
      <w:r>
        <w:instrText xml:space="preserve"> PAGEREF _Toc15549 \h </w:instrText>
      </w:r>
      <w:r>
        <w:fldChar w:fldCharType="separate"/>
      </w:r>
      <w:r>
        <w:t>31</w:t>
      </w:r>
      <w:r>
        <w:fldChar w:fldCharType="end"/>
      </w:r>
      <w:r>
        <w:rPr>
          <w:rFonts w:hint="eastAsia" w:ascii="宋体" w:hAnsi="宋体" w:cs="宋体"/>
        </w:rPr>
        <w:fldChar w:fldCharType="end"/>
      </w:r>
    </w:p>
    <w:p>
      <w:pPr>
        <w:pStyle w:val="12"/>
        <w:tabs>
          <w:tab w:val="right" w:leader="dot" w:pos="8306"/>
          <w:tab w:val="clear" w:pos="620"/>
          <w:tab w:val="clear" w:pos="8364"/>
        </w:tabs>
      </w:pPr>
      <w:r>
        <w:rPr>
          <w:rFonts w:hint="eastAsia" w:ascii="宋体" w:hAnsi="宋体" w:cs="宋体"/>
        </w:rPr>
        <w:fldChar w:fldCharType="begin"/>
      </w:r>
      <w:r>
        <w:rPr>
          <w:rFonts w:hint="eastAsia" w:ascii="宋体" w:hAnsi="宋体" w:cs="宋体"/>
        </w:rPr>
        <w:instrText xml:space="preserve"> HYPERLINK \l _Toc13137 </w:instrText>
      </w:r>
      <w:r>
        <w:rPr>
          <w:rFonts w:hint="eastAsia" w:ascii="宋体" w:hAnsi="宋体" w:cs="宋体"/>
        </w:rPr>
        <w:fldChar w:fldCharType="separate"/>
      </w:r>
      <w:r>
        <w:rPr>
          <w:rFonts w:hint="default" w:ascii="Times New Roman" w:hAnsi="Times New Roman" w:eastAsia="宋体" w:cs="Times New Roman"/>
          <w:bCs/>
          <w:i w:val="0"/>
          <w:szCs w:val="28"/>
        </w:rPr>
        <w:t xml:space="preserve">2.8 </w:t>
      </w:r>
      <w:r>
        <w:rPr>
          <w:rFonts w:hint="eastAsia" w:ascii="宋体" w:hAnsi="宋体" w:cs="宋体"/>
          <w:bCs/>
          <w:szCs w:val="28"/>
        </w:rPr>
        <w:t>询问、质疑和投诉</w:t>
      </w:r>
      <w:r>
        <w:tab/>
      </w:r>
      <w:r>
        <w:fldChar w:fldCharType="begin"/>
      </w:r>
      <w:r>
        <w:instrText xml:space="preserve"> PAGEREF _Toc13137 \h </w:instrText>
      </w:r>
      <w:r>
        <w:fldChar w:fldCharType="separate"/>
      </w:r>
      <w:r>
        <w:t>34</w:t>
      </w:r>
      <w:r>
        <w:fldChar w:fldCharType="end"/>
      </w:r>
      <w:r>
        <w:rPr>
          <w:rFonts w:hint="eastAsia" w:ascii="宋体" w:hAnsi="宋体" w:cs="宋体"/>
        </w:rPr>
        <w:fldChar w:fldCharType="end"/>
      </w:r>
    </w:p>
    <w:p>
      <w:pPr>
        <w:pStyle w:val="12"/>
        <w:tabs>
          <w:tab w:val="right" w:leader="dot" w:pos="8306"/>
          <w:tab w:val="clear" w:pos="620"/>
          <w:tab w:val="clear" w:pos="8364"/>
        </w:tabs>
      </w:pPr>
      <w:r>
        <w:rPr>
          <w:rFonts w:hint="eastAsia" w:ascii="宋体" w:hAnsi="宋体" w:cs="宋体"/>
        </w:rPr>
        <w:fldChar w:fldCharType="begin"/>
      </w:r>
      <w:r>
        <w:rPr>
          <w:rFonts w:hint="eastAsia" w:ascii="宋体" w:hAnsi="宋体" w:cs="宋体"/>
        </w:rPr>
        <w:instrText xml:space="preserve"> HYPERLINK \l _Toc9960 </w:instrText>
      </w:r>
      <w:r>
        <w:rPr>
          <w:rFonts w:hint="eastAsia" w:ascii="宋体" w:hAnsi="宋体" w:cs="宋体"/>
        </w:rPr>
        <w:fldChar w:fldCharType="separate"/>
      </w:r>
      <w:r>
        <w:rPr>
          <w:rFonts w:hint="default" w:ascii="Times New Roman" w:hAnsi="Times New Roman" w:eastAsia="宋体" w:cs="Times New Roman"/>
          <w:bCs/>
          <w:i w:val="0"/>
          <w:szCs w:val="28"/>
        </w:rPr>
        <w:t xml:space="preserve">2.9 </w:t>
      </w:r>
      <w:r>
        <w:rPr>
          <w:rFonts w:hint="eastAsia" w:ascii="宋体" w:hAnsi="宋体" w:cs="宋体"/>
          <w:bCs/>
          <w:szCs w:val="28"/>
        </w:rPr>
        <w:t>信用融资</w:t>
      </w:r>
      <w:r>
        <w:tab/>
      </w:r>
      <w:r>
        <w:fldChar w:fldCharType="begin"/>
      </w:r>
      <w:r>
        <w:instrText xml:space="preserve"> PAGEREF _Toc9960 \h </w:instrText>
      </w:r>
      <w:r>
        <w:fldChar w:fldCharType="separate"/>
      </w:r>
      <w:r>
        <w:t>35</w:t>
      </w:r>
      <w:r>
        <w:fldChar w:fldCharType="end"/>
      </w:r>
      <w:r>
        <w:rPr>
          <w:rFonts w:hint="eastAsia" w:ascii="宋体" w:hAnsi="宋体" w:cs="宋体"/>
        </w:rPr>
        <w:fldChar w:fldCharType="end"/>
      </w:r>
    </w:p>
    <w:p>
      <w:pPr>
        <w:pStyle w:val="11"/>
        <w:tabs>
          <w:tab w:val="right" w:leader="dot" w:pos="8306"/>
          <w:tab w:val="clear" w:pos="709"/>
          <w:tab w:val="clear" w:pos="8364"/>
        </w:tabs>
      </w:pPr>
      <w:r>
        <w:rPr>
          <w:rFonts w:hint="eastAsia" w:ascii="宋体" w:hAnsi="宋体" w:cs="宋体"/>
        </w:rPr>
        <w:fldChar w:fldCharType="begin"/>
      </w:r>
      <w:r>
        <w:rPr>
          <w:rFonts w:hint="eastAsia" w:ascii="宋体" w:hAnsi="宋体" w:cs="宋体"/>
        </w:rPr>
        <w:instrText xml:space="preserve"> HYPERLINK \l _Toc30368 </w:instrText>
      </w:r>
      <w:r>
        <w:rPr>
          <w:rFonts w:hint="eastAsia" w:ascii="宋体" w:hAnsi="宋体" w:cs="宋体"/>
        </w:rPr>
        <w:fldChar w:fldCharType="separate"/>
      </w:r>
      <w:r>
        <w:rPr>
          <w:rFonts w:hint="default" w:ascii="Times New Roman" w:hAnsi="Times New Roman" w:eastAsia="宋体" w:cs="Times New Roman"/>
          <w:bCs/>
          <w:i w:val="0"/>
          <w:spacing w:val="-20"/>
          <w:kern w:val="44"/>
          <w:szCs w:val="32"/>
        </w:rPr>
        <w:t xml:space="preserve">第3章 </w:t>
      </w:r>
      <w:r>
        <w:rPr>
          <w:rFonts w:hint="eastAsia" w:ascii="宋体" w:hAnsi="宋体" w:cs="宋体"/>
          <w:bCs/>
          <w:spacing w:val="-20"/>
          <w:kern w:val="44"/>
          <w:szCs w:val="32"/>
        </w:rPr>
        <w:t>投标文件格式</w:t>
      </w:r>
      <w:r>
        <w:tab/>
      </w:r>
      <w:r>
        <w:fldChar w:fldCharType="begin"/>
      </w:r>
      <w:r>
        <w:instrText xml:space="preserve"> PAGEREF _Toc30368 \h </w:instrText>
      </w:r>
      <w:r>
        <w:fldChar w:fldCharType="separate"/>
      </w:r>
      <w:r>
        <w:t>36</w:t>
      </w:r>
      <w:r>
        <w:fldChar w:fldCharType="end"/>
      </w:r>
      <w:r>
        <w:rPr>
          <w:rFonts w:hint="eastAsia" w:ascii="宋体" w:hAnsi="宋体" w:cs="宋体"/>
        </w:rPr>
        <w:fldChar w:fldCharType="end"/>
      </w:r>
    </w:p>
    <w:p>
      <w:pPr>
        <w:pStyle w:val="12"/>
        <w:tabs>
          <w:tab w:val="right" w:leader="dot" w:pos="8306"/>
          <w:tab w:val="clear" w:pos="620"/>
          <w:tab w:val="clear" w:pos="8364"/>
        </w:tabs>
      </w:pPr>
      <w:r>
        <w:rPr>
          <w:rFonts w:hint="eastAsia" w:ascii="宋体" w:hAnsi="宋体" w:cs="宋体"/>
        </w:rPr>
        <w:fldChar w:fldCharType="begin"/>
      </w:r>
      <w:r>
        <w:rPr>
          <w:rFonts w:hint="eastAsia" w:ascii="宋体" w:hAnsi="宋体" w:cs="宋体"/>
        </w:rPr>
        <w:instrText xml:space="preserve"> HYPERLINK \l _Toc14004 </w:instrText>
      </w:r>
      <w:r>
        <w:rPr>
          <w:rFonts w:hint="eastAsia" w:ascii="宋体" w:hAnsi="宋体" w:cs="宋体"/>
        </w:rPr>
        <w:fldChar w:fldCharType="separate"/>
      </w:r>
      <w:r>
        <w:rPr>
          <w:rFonts w:hint="default" w:ascii="Times New Roman" w:hAnsi="Times New Roman" w:eastAsia="宋体" w:cs="Times New Roman"/>
          <w:bCs/>
          <w:i w:val="0"/>
          <w:szCs w:val="28"/>
        </w:rPr>
        <w:t xml:space="preserve">3.1 </w:t>
      </w:r>
      <w:r>
        <w:rPr>
          <w:rFonts w:hint="eastAsia" w:ascii="宋体" w:hAnsi="宋体" w:cs="宋体"/>
          <w:bCs/>
          <w:szCs w:val="28"/>
        </w:rPr>
        <w:t>投标文件封面格式</w:t>
      </w:r>
      <w:r>
        <w:tab/>
      </w:r>
      <w:r>
        <w:fldChar w:fldCharType="begin"/>
      </w:r>
      <w:r>
        <w:instrText xml:space="preserve"> PAGEREF _Toc14004 \h </w:instrText>
      </w:r>
      <w:r>
        <w:fldChar w:fldCharType="separate"/>
      </w:r>
      <w:r>
        <w:t>36</w:t>
      </w:r>
      <w:r>
        <w:fldChar w:fldCharType="end"/>
      </w:r>
      <w:r>
        <w:rPr>
          <w:rFonts w:hint="eastAsia" w:ascii="宋体" w:hAnsi="宋体" w:cs="宋体"/>
        </w:rPr>
        <w:fldChar w:fldCharType="end"/>
      </w:r>
    </w:p>
    <w:p>
      <w:pPr>
        <w:pStyle w:val="12"/>
        <w:tabs>
          <w:tab w:val="right" w:leader="dot" w:pos="8306"/>
          <w:tab w:val="clear" w:pos="620"/>
          <w:tab w:val="clear" w:pos="8364"/>
        </w:tabs>
      </w:pPr>
      <w:r>
        <w:rPr>
          <w:rFonts w:hint="eastAsia" w:ascii="宋体" w:hAnsi="宋体" w:cs="宋体"/>
        </w:rPr>
        <w:fldChar w:fldCharType="begin"/>
      </w:r>
      <w:r>
        <w:rPr>
          <w:rFonts w:hint="eastAsia" w:ascii="宋体" w:hAnsi="宋体" w:cs="宋体"/>
        </w:rPr>
        <w:instrText xml:space="preserve"> HYPERLINK \l _Toc7345 </w:instrText>
      </w:r>
      <w:r>
        <w:rPr>
          <w:rFonts w:hint="eastAsia" w:ascii="宋体" w:hAnsi="宋体" w:cs="宋体"/>
        </w:rPr>
        <w:fldChar w:fldCharType="separate"/>
      </w:r>
      <w:r>
        <w:rPr>
          <w:rFonts w:hint="default" w:ascii="Times New Roman" w:hAnsi="Times New Roman" w:eastAsia="宋体" w:cs="Times New Roman"/>
          <w:bCs/>
          <w:i w:val="0"/>
          <w:szCs w:val="28"/>
        </w:rPr>
        <w:t xml:space="preserve">3.2 </w:t>
      </w:r>
      <w:r>
        <w:rPr>
          <w:rFonts w:hint="eastAsia" w:ascii="宋体" w:hAnsi="宋体" w:cs="宋体"/>
          <w:bCs/>
          <w:szCs w:val="28"/>
        </w:rPr>
        <w:t>资格性响应文件</w:t>
      </w:r>
      <w:r>
        <w:tab/>
      </w:r>
      <w:r>
        <w:fldChar w:fldCharType="begin"/>
      </w:r>
      <w:r>
        <w:instrText xml:space="preserve"> PAGEREF _Toc7345 \h </w:instrText>
      </w:r>
      <w:r>
        <w:fldChar w:fldCharType="separate"/>
      </w:r>
      <w:r>
        <w:t>37</w:t>
      </w:r>
      <w:r>
        <w:fldChar w:fldCharType="end"/>
      </w:r>
      <w:r>
        <w:rPr>
          <w:rFonts w:hint="eastAsia" w:ascii="宋体" w:hAnsi="宋体" w:cs="宋体"/>
        </w:rPr>
        <w:fldChar w:fldCharType="end"/>
      </w:r>
    </w:p>
    <w:p>
      <w:pPr>
        <w:pStyle w:val="12"/>
        <w:tabs>
          <w:tab w:val="right" w:leader="dot" w:pos="8306"/>
          <w:tab w:val="clear" w:pos="620"/>
          <w:tab w:val="clear" w:pos="8364"/>
        </w:tabs>
      </w:pPr>
      <w:r>
        <w:rPr>
          <w:rFonts w:hint="eastAsia" w:ascii="宋体" w:hAnsi="宋体" w:cs="宋体"/>
        </w:rPr>
        <w:fldChar w:fldCharType="begin"/>
      </w:r>
      <w:r>
        <w:rPr>
          <w:rFonts w:hint="eastAsia" w:ascii="宋体" w:hAnsi="宋体" w:cs="宋体"/>
        </w:rPr>
        <w:instrText xml:space="preserve"> HYPERLINK \l _Toc7225 </w:instrText>
      </w:r>
      <w:r>
        <w:rPr>
          <w:rFonts w:hint="eastAsia" w:ascii="宋体" w:hAnsi="宋体" w:cs="宋体"/>
        </w:rPr>
        <w:fldChar w:fldCharType="separate"/>
      </w:r>
      <w:r>
        <w:rPr>
          <w:rFonts w:hint="default" w:ascii="Times New Roman" w:hAnsi="Times New Roman" w:eastAsia="宋体" w:cs="Times New Roman"/>
          <w:bCs/>
          <w:i w:val="0"/>
          <w:szCs w:val="28"/>
        </w:rPr>
        <w:t xml:space="preserve">3.3 </w:t>
      </w:r>
      <w:r>
        <w:rPr>
          <w:rFonts w:hint="eastAsia" w:ascii="宋体" w:hAnsi="宋体" w:cs="宋体"/>
          <w:bCs/>
          <w:szCs w:val="28"/>
        </w:rPr>
        <w:t>商务技术响应文件</w:t>
      </w:r>
      <w:r>
        <w:tab/>
      </w:r>
      <w:r>
        <w:fldChar w:fldCharType="begin"/>
      </w:r>
      <w:r>
        <w:instrText xml:space="preserve"> PAGEREF _Toc7225 \h </w:instrText>
      </w:r>
      <w:r>
        <w:fldChar w:fldCharType="separate"/>
      </w:r>
      <w:r>
        <w:t>46</w:t>
      </w:r>
      <w:r>
        <w:fldChar w:fldCharType="end"/>
      </w:r>
      <w:r>
        <w:rPr>
          <w:rFonts w:hint="eastAsia" w:ascii="宋体" w:hAnsi="宋体" w:cs="宋体"/>
        </w:rPr>
        <w:fldChar w:fldCharType="end"/>
      </w:r>
    </w:p>
    <w:p>
      <w:pPr>
        <w:pStyle w:val="12"/>
        <w:tabs>
          <w:tab w:val="right" w:leader="dot" w:pos="8306"/>
          <w:tab w:val="clear" w:pos="620"/>
          <w:tab w:val="clear" w:pos="8364"/>
        </w:tabs>
      </w:pPr>
      <w:r>
        <w:rPr>
          <w:rFonts w:hint="eastAsia" w:ascii="宋体" w:hAnsi="宋体" w:cs="宋体"/>
        </w:rPr>
        <w:fldChar w:fldCharType="begin"/>
      </w:r>
      <w:r>
        <w:rPr>
          <w:rFonts w:hint="eastAsia" w:ascii="宋体" w:hAnsi="宋体" w:cs="宋体"/>
        </w:rPr>
        <w:instrText xml:space="preserve"> HYPERLINK \l _Toc23703 </w:instrText>
      </w:r>
      <w:r>
        <w:rPr>
          <w:rFonts w:hint="eastAsia" w:ascii="宋体" w:hAnsi="宋体" w:cs="宋体"/>
        </w:rPr>
        <w:fldChar w:fldCharType="separate"/>
      </w:r>
      <w:r>
        <w:rPr>
          <w:rFonts w:hint="default" w:ascii="Times New Roman" w:hAnsi="Times New Roman" w:eastAsia="宋体" w:cs="Times New Roman"/>
          <w:i w:val="0"/>
          <w:szCs w:val="28"/>
        </w:rPr>
        <w:t xml:space="preserve">3.4 </w:t>
      </w:r>
      <w:r>
        <w:rPr>
          <w:rFonts w:hint="eastAsia" w:ascii="宋体" w:hAnsi="宋体" w:cs="宋体"/>
          <w:bCs/>
        </w:rPr>
        <w:t>报价响应文件</w:t>
      </w:r>
      <w:r>
        <w:tab/>
      </w:r>
      <w:r>
        <w:fldChar w:fldCharType="begin"/>
      </w:r>
      <w:r>
        <w:instrText xml:space="preserve"> PAGEREF _Toc23703 \h </w:instrText>
      </w:r>
      <w:r>
        <w:fldChar w:fldCharType="separate"/>
      </w:r>
      <w:r>
        <w:t>58</w:t>
      </w:r>
      <w:r>
        <w:fldChar w:fldCharType="end"/>
      </w:r>
      <w:r>
        <w:rPr>
          <w:rFonts w:hint="eastAsia" w:ascii="宋体" w:hAnsi="宋体" w:cs="宋体"/>
        </w:rPr>
        <w:fldChar w:fldCharType="end"/>
      </w:r>
    </w:p>
    <w:p>
      <w:pPr>
        <w:pStyle w:val="11"/>
        <w:tabs>
          <w:tab w:val="right" w:leader="dot" w:pos="8306"/>
          <w:tab w:val="clear" w:pos="709"/>
          <w:tab w:val="clear" w:pos="8364"/>
        </w:tabs>
      </w:pPr>
      <w:r>
        <w:rPr>
          <w:rFonts w:hint="eastAsia" w:ascii="宋体" w:hAnsi="宋体" w:cs="宋体"/>
        </w:rPr>
        <w:fldChar w:fldCharType="begin"/>
      </w:r>
      <w:r>
        <w:rPr>
          <w:rFonts w:hint="eastAsia" w:ascii="宋体" w:hAnsi="宋体" w:cs="宋体"/>
        </w:rPr>
        <w:instrText xml:space="preserve"> HYPERLINK \l _Toc9293 </w:instrText>
      </w:r>
      <w:r>
        <w:rPr>
          <w:rFonts w:hint="eastAsia" w:ascii="宋体" w:hAnsi="宋体" w:cs="宋体"/>
        </w:rPr>
        <w:fldChar w:fldCharType="separate"/>
      </w:r>
      <w:r>
        <w:rPr>
          <w:rFonts w:hint="default" w:ascii="Times New Roman" w:hAnsi="Times New Roman" w:eastAsia="宋体" w:cs="Times New Roman"/>
          <w:bCs/>
          <w:i w:val="0"/>
          <w:spacing w:val="-20"/>
          <w:kern w:val="44"/>
          <w:szCs w:val="32"/>
        </w:rPr>
        <w:t xml:space="preserve">第4章 </w:t>
      </w:r>
      <w:r>
        <w:rPr>
          <w:rFonts w:hint="eastAsia" w:ascii="宋体" w:hAnsi="宋体" w:cs="宋体"/>
          <w:bCs/>
          <w:spacing w:val="-20"/>
          <w:kern w:val="44"/>
          <w:szCs w:val="32"/>
        </w:rPr>
        <w:t>招标项目服务、商务及其他要求</w:t>
      </w:r>
      <w:r>
        <w:tab/>
      </w:r>
      <w:r>
        <w:fldChar w:fldCharType="begin"/>
      </w:r>
      <w:r>
        <w:instrText xml:space="preserve"> PAGEREF _Toc9293 \h </w:instrText>
      </w:r>
      <w:r>
        <w:fldChar w:fldCharType="separate"/>
      </w:r>
      <w:r>
        <w:t>60</w:t>
      </w:r>
      <w:r>
        <w:fldChar w:fldCharType="end"/>
      </w:r>
      <w:r>
        <w:rPr>
          <w:rFonts w:hint="eastAsia" w:ascii="宋体" w:hAnsi="宋体" w:cs="宋体"/>
        </w:rPr>
        <w:fldChar w:fldCharType="end"/>
      </w:r>
    </w:p>
    <w:p>
      <w:pPr>
        <w:pStyle w:val="12"/>
        <w:tabs>
          <w:tab w:val="right" w:leader="dot" w:pos="8306"/>
          <w:tab w:val="clear" w:pos="620"/>
          <w:tab w:val="clear" w:pos="8364"/>
        </w:tabs>
      </w:pPr>
      <w:r>
        <w:rPr>
          <w:rFonts w:hint="eastAsia" w:ascii="宋体" w:hAnsi="宋体" w:cs="宋体"/>
        </w:rPr>
        <w:fldChar w:fldCharType="begin"/>
      </w:r>
      <w:r>
        <w:rPr>
          <w:rFonts w:hint="eastAsia" w:ascii="宋体" w:hAnsi="宋体" w:cs="宋体"/>
        </w:rPr>
        <w:instrText xml:space="preserve"> HYPERLINK \l _Toc8621 </w:instrText>
      </w:r>
      <w:r>
        <w:rPr>
          <w:rFonts w:hint="eastAsia" w:ascii="宋体" w:hAnsi="宋体" w:cs="宋体"/>
        </w:rPr>
        <w:fldChar w:fldCharType="separate"/>
      </w:r>
      <w:r>
        <w:rPr>
          <w:rFonts w:hint="default" w:ascii="Times New Roman" w:hAnsi="Times New Roman" w:eastAsia="宋体" w:cs="Times New Roman"/>
          <w:i w:val="0"/>
          <w:szCs w:val="28"/>
        </w:rPr>
        <w:t xml:space="preserve">4.1 </w:t>
      </w:r>
      <w:r>
        <w:rPr>
          <w:rFonts w:hint="eastAsia" w:ascii="宋体" w:hAnsi="宋体" w:cs="宋体"/>
          <w:bCs/>
          <w:szCs w:val="28"/>
        </w:rPr>
        <w:t>项目概况</w:t>
      </w:r>
      <w:r>
        <w:tab/>
      </w:r>
      <w:r>
        <w:fldChar w:fldCharType="begin"/>
      </w:r>
      <w:r>
        <w:instrText xml:space="preserve"> PAGEREF _Toc8621 \h </w:instrText>
      </w:r>
      <w:r>
        <w:fldChar w:fldCharType="separate"/>
      </w:r>
      <w:r>
        <w:t>60</w:t>
      </w:r>
      <w:r>
        <w:fldChar w:fldCharType="end"/>
      </w:r>
      <w:r>
        <w:rPr>
          <w:rFonts w:hint="eastAsia" w:ascii="宋体" w:hAnsi="宋体" w:cs="宋体"/>
        </w:rPr>
        <w:fldChar w:fldCharType="end"/>
      </w:r>
    </w:p>
    <w:p>
      <w:pPr>
        <w:pStyle w:val="12"/>
        <w:tabs>
          <w:tab w:val="right" w:leader="dot" w:pos="8306"/>
          <w:tab w:val="clear" w:pos="620"/>
          <w:tab w:val="clear" w:pos="8364"/>
        </w:tabs>
      </w:pPr>
      <w:r>
        <w:rPr>
          <w:rFonts w:hint="eastAsia" w:ascii="宋体" w:hAnsi="宋体" w:cs="宋体"/>
        </w:rPr>
        <w:fldChar w:fldCharType="begin"/>
      </w:r>
      <w:r>
        <w:rPr>
          <w:rFonts w:hint="eastAsia" w:ascii="宋体" w:hAnsi="宋体" w:cs="宋体"/>
        </w:rPr>
        <w:instrText xml:space="preserve"> HYPERLINK \l _Toc7988 </w:instrText>
      </w:r>
      <w:r>
        <w:rPr>
          <w:rFonts w:hint="eastAsia" w:ascii="宋体" w:hAnsi="宋体" w:cs="宋体"/>
        </w:rPr>
        <w:fldChar w:fldCharType="separate"/>
      </w:r>
      <w:r>
        <w:rPr>
          <w:rFonts w:hint="default" w:ascii="Times New Roman" w:hAnsi="Times New Roman" w:eastAsia="宋体" w:cs="Times New Roman"/>
          <w:bCs/>
          <w:i w:val="0"/>
          <w:szCs w:val="28"/>
        </w:rPr>
        <w:t xml:space="preserve">4.2 </w:t>
      </w:r>
      <w:r>
        <w:rPr>
          <w:rFonts w:hint="eastAsia" w:ascii="宋体" w:hAnsi="宋体" w:cs="宋体"/>
          <w:bCs/>
          <w:szCs w:val="28"/>
        </w:rPr>
        <w:t>项目基本情况表</w:t>
      </w:r>
      <w:r>
        <w:tab/>
      </w:r>
      <w:r>
        <w:fldChar w:fldCharType="begin"/>
      </w:r>
      <w:r>
        <w:instrText xml:space="preserve"> PAGEREF _Toc7988 \h </w:instrText>
      </w:r>
      <w:r>
        <w:fldChar w:fldCharType="separate"/>
      </w:r>
      <w:r>
        <w:t>60</w:t>
      </w:r>
      <w:r>
        <w:fldChar w:fldCharType="end"/>
      </w:r>
      <w:r>
        <w:rPr>
          <w:rFonts w:hint="eastAsia" w:ascii="宋体" w:hAnsi="宋体" w:cs="宋体"/>
        </w:rPr>
        <w:fldChar w:fldCharType="end"/>
      </w:r>
    </w:p>
    <w:p>
      <w:pPr>
        <w:pStyle w:val="12"/>
        <w:tabs>
          <w:tab w:val="right" w:leader="dot" w:pos="8306"/>
          <w:tab w:val="clear" w:pos="620"/>
          <w:tab w:val="clear" w:pos="8364"/>
        </w:tabs>
      </w:pPr>
      <w:r>
        <w:rPr>
          <w:rFonts w:hint="eastAsia" w:ascii="宋体" w:hAnsi="宋体" w:cs="宋体"/>
        </w:rPr>
        <w:fldChar w:fldCharType="begin"/>
      </w:r>
      <w:r>
        <w:rPr>
          <w:rFonts w:hint="eastAsia" w:ascii="宋体" w:hAnsi="宋体" w:cs="宋体"/>
        </w:rPr>
        <w:instrText xml:space="preserve"> HYPERLINK \l _Toc11292 </w:instrText>
      </w:r>
      <w:r>
        <w:rPr>
          <w:rFonts w:hint="eastAsia" w:ascii="宋体" w:hAnsi="宋体" w:cs="宋体"/>
        </w:rPr>
        <w:fldChar w:fldCharType="separate"/>
      </w:r>
      <w:r>
        <w:rPr>
          <w:rFonts w:hint="default" w:ascii="Times New Roman" w:hAnsi="Times New Roman" w:eastAsia="宋体" w:cs="Times New Roman"/>
          <w:bCs/>
          <w:i w:val="0"/>
          <w:szCs w:val="28"/>
        </w:rPr>
        <w:t xml:space="preserve">4.3 </w:t>
      </w:r>
      <w:r>
        <w:rPr>
          <w:rFonts w:hint="eastAsia" w:ascii="宋体" w:hAnsi="宋体" w:cs="宋体"/>
          <w:bCs/>
          <w:szCs w:val="28"/>
        </w:rPr>
        <w:t>服务内容</w:t>
      </w:r>
      <w:r>
        <w:tab/>
      </w:r>
      <w:r>
        <w:fldChar w:fldCharType="begin"/>
      </w:r>
      <w:r>
        <w:instrText xml:space="preserve"> PAGEREF _Toc11292 \h </w:instrText>
      </w:r>
      <w:r>
        <w:fldChar w:fldCharType="separate"/>
      </w:r>
      <w:r>
        <w:t>61</w:t>
      </w:r>
      <w:r>
        <w:fldChar w:fldCharType="end"/>
      </w:r>
      <w:r>
        <w:rPr>
          <w:rFonts w:hint="eastAsia" w:ascii="宋体" w:hAnsi="宋体" w:cs="宋体"/>
        </w:rPr>
        <w:fldChar w:fldCharType="end"/>
      </w:r>
    </w:p>
    <w:p>
      <w:pPr>
        <w:pStyle w:val="12"/>
        <w:tabs>
          <w:tab w:val="right" w:leader="dot" w:pos="8306"/>
          <w:tab w:val="clear" w:pos="620"/>
          <w:tab w:val="clear" w:pos="8364"/>
        </w:tabs>
      </w:pPr>
      <w:r>
        <w:rPr>
          <w:rFonts w:hint="eastAsia" w:ascii="宋体" w:hAnsi="宋体" w:cs="宋体"/>
        </w:rPr>
        <w:fldChar w:fldCharType="begin"/>
      </w:r>
      <w:r>
        <w:rPr>
          <w:rFonts w:hint="eastAsia" w:ascii="宋体" w:hAnsi="宋体" w:cs="宋体"/>
        </w:rPr>
        <w:instrText xml:space="preserve"> HYPERLINK \l _Toc417 </w:instrText>
      </w:r>
      <w:r>
        <w:rPr>
          <w:rFonts w:hint="eastAsia" w:ascii="宋体" w:hAnsi="宋体" w:cs="宋体"/>
        </w:rPr>
        <w:fldChar w:fldCharType="separate"/>
      </w:r>
      <w:r>
        <w:rPr>
          <w:rFonts w:hint="default" w:ascii="Times New Roman" w:hAnsi="Times New Roman" w:eastAsia="宋体" w:cs="Times New Roman"/>
          <w:bCs/>
          <w:i w:val="0"/>
          <w:szCs w:val="28"/>
        </w:rPr>
        <w:t xml:space="preserve">4.4 </w:t>
      </w:r>
      <w:r>
        <w:rPr>
          <w:rFonts w:hint="eastAsia" w:ascii="宋体" w:hAnsi="宋体" w:cs="宋体"/>
          <w:bCs/>
          <w:szCs w:val="28"/>
        </w:rPr>
        <w:t>商务要求</w:t>
      </w:r>
      <w:r>
        <w:tab/>
      </w:r>
      <w:r>
        <w:fldChar w:fldCharType="begin"/>
      </w:r>
      <w:r>
        <w:instrText xml:space="preserve"> PAGEREF _Toc417 \h </w:instrText>
      </w:r>
      <w:r>
        <w:fldChar w:fldCharType="separate"/>
      </w:r>
      <w:r>
        <w:t>62</w:t>
      </w:r>
      <w:r>
        <w:fldChar w:fldCharType="end"/>
      </w:r>
      <w:r>
        <w:rPr>
          <w:rFonts w:hint="eastAsia" w:ascii="宋体" w:hAnsi="宋体" w:cs="宋体"/>
        </w:rPr>
        <w:fldChar w:fldCharType="end"/>
      </w:r>
    </w:p>
    <w:p>
      <w:pPr>
        <w:pStyle w:val="11"/>
        <w:tabs>
          <w:tab w:val="right" w:leader="dot" w:pos="8306"/>
          <w:tab w:val="clear" w:pos="709"/>
          <w:tab w:val="clear" w:pos="8364"/>
        </w:tabs>
      </w:pPr>
      <w:r>
        <w:rPr>
          <w:rFonts w:hint="eastAsia" w:ascii="宋体" w:hAnsi="宋体" w:cs="宋体"/>
        </w:rPr>
        <w:fldChar w:fldCharType="begin"/>
      </w:r>
      <w:r>
        <w:rPr>
          <w:rFonts w:hint="eastAsia" w:ascii="宋体" w:hAnsi="宋体" w:cs="宋体"/>
        </w:rPr>
        <w:instrText xml:space="preserve"> HYPERLINK \l _Toc9800 </w:instrText>
      </w:r>
      <w:r>
        <w:rPr>
          <w:rFonts w:hint="eastAsia" w:ascii="宋体" w:hAnsi="宋体" w:cs="宋体"/>
        </w:rPr>
        <w:fldChar w:fldCharType="separate"/>
      </w:r>
      <w:r>
        <w:rPr>
          <w:rFonts w:hint="default" w:ascii="Times New Roman" w:hAnsi="Times New Roman" w:eastAsia="宋体" w:cs="Times New Roman"/>
          <w:bCs/>
          <w:i w:val="0"/>
          <w:spacing w:val="-20"/>
          <w:kern w:val="44"/>
          <w:szCs w:val="32"/>
        </w:rPr>
        <w:t xml:space="preserve">第5章 </w:t>
      </w:r>
      <w:r>
        <w:rPr>
          <w:rFonts w:hint="eastAsia" w:ascii="宋体" w:hAnsi="宋体" w:cs="宋体"/>
          <w:bCs/>
          <w:spacing w:val="-20"/>
          <w:kern w:val="44"/>
          <w:szCs w:val="32"/>
        </w:rPr>
        <w:t>资格性审查</w:t>
      </w:r>
      <w:r>
        <w:tab/>
      </w:r>
      <w:r>
        <w:fldChar w:fldCharType="begin"/>
      </w:r>
      <w:r>
        <w:instrText xml:space="preserve"> PAGEREF _Toc9800 \h </w:instrText>
      </w:r>
      <w:r>
        <w:fldChar w:fldCharType="separate"/>
      </w:r>
      <w:r>
        <w:t>69</w:t>
      </w:r>
      <w:r>
        <w:fldChar w:fldCharType="end"/>
      </w:r>
      <w:r>
        <w:rPr>
          <w:rFonts w:hint="eastAsia" w:ascii="宋体" w:hAnsi="宋体" w:cs="宋体"/>
        </w:rPr>
        <w:fldChar w:fldCharType="end"/>
      </w:r>
    </w:p>
    <w:p>
      <w:pPr>
        <w:pStyle w:val="11"/>
        <w:tabs>
          <w:tab w:val="right" w:leader="dot" w:pos="8306"/>
          <w:tab w:val="clear" w:pos="709"/>
          <w:tab w:val="clear" w:pos="8364"/>
        </w:tabs>
      </w:pPr>
      <w:r>
        <w:rPr>
          <w:rFonts w:hint="eastAsia" w:ascii="宋体" w:hAnsi="宋体" w:cs="宋体"/>
        </w:rPr>
        <w:fldChar w:fldCharType="begin"/>
      </w:r>
      <w:r>
        <w:rPr>
          <w:rFonts w:hint="eastAsia" w:ascii="宋体" w:hAnsi="宋体" w:cs="宋体"/>
        </w:rPr>
        <w:instrText xml:space="preserve"> HYPERLINK \l _Toc15072 </w:instrText>
      </w:r>
      <w:r>
        <w:rPr>
          <w:rFonts w:hint="eastAsia" w:ascii="宋体" w:hAnsi="宋体" w:cs="宋体"/>
        </w:rPr>
        <w:fldChar w:fldCharType="separate"/>
      </w:r>
      <w:r>
        <w:rPr>
          <w:rFonts w:hint="default" w:ascii="Times New Roman" w:hAnsi="Times New Roman" w:eastAsia="宋体" w:cs="Times New Roman"/>
          <w:bCs/>
          <w:i w:val="0"/>
          <w:spacing w:val="-20"/>
          <w:kern w:val="44"/>
          <w:szCs w:val="32"/>
        </w:rPr>
        <w:t xml:space="preserve">第6章 </w:t>
      </w:r>
      <w:r>
        <w:rPr>
          <w:rFonts w:hint="eastAsia" w:ascii="宋体" w:hAnsi="宋体" w:cs="宋体"/>
          <w:bCs/>
          <w:spacing w:val="-20"/>
          <w:kern w:val="44"/>
          <w:szCs w:val="32"/>
        </w:rPr>
        <w:t>评标办法</w:t>
      </w:r>
      <w:r>
        <w:tab/>
      </w:r>
      <w:r>
        <w:fldChar w:fldCharType="begin"/>
      </w:r>
      <w:r>
        <w:instrText xml:space="preserve"> PAGEREF _Toc15072 \h </w:instrText>
      </w:r>
      <w:r>
        <w:fldChar w:fldCharType="separate"/>
      </w:r>
      <w:r>
        <w:t>74</w:t>
      </w:r>
      <w:r>
        <w:fldChar w:fldCharType="end"/>
      </w:r>
      <w:r>
        <w:rPr>
          <w:rFonts w:hint="eastAsia" w:ascii="宋体" w:hAnsi="宋体" w:cs="宋体"/>
        </w:rPr>
        <w:fldChar w:fldCharType="end"/>
      </w:r>
    </w:p>
    <w:p>
      <w:pPr>
        <w:pStyle w:val="12"/>
        <w:tabs>
          <w:tab w:val="right" w:leader="dot" w:pos="8306"/>
          <w:tab w:val="clear" w:pos="620"/>
          <w:tab w:val="clear" w:pos="8364"/>
        </w:tabs>
      </w:pPr>
      <w:r>
        <w:rPr>
          <w:rFonts w:hint="eastAsia" w:ascii="宋体" w:hAnsi="宋体" w:cs="宋体"/>
        </w:rPr>
        <w:fldChar w:fldCharType="begin"/>
      </w:r>
      <w:r>
        <w:rPr>
          <w:rFonts w:hint="eastAsia" w:ascii="宋体" w:hAnsi="宋体" w:cs="宋体"/>
        </w:rPr>
        <w:instrText xml:space="preserve"> HYPERLINK \l _Toc24293 </w:instrText>
      </w:r>
      <w:r>
        <w:rPr>
          <w:rFonts w:hint="eastAsia" w:ascii="宋体" w:hAnsi="宋体" w:cs="宋体"/>
        </w:rPr>
        <w:fldChar w:fldCharType="separate"/>
      </w:r>
      <w:r>
        <w:rPr>
          <w:rFonts w:hint="default" w:ascii="Times New Roman" w:hAnsi="Times New Roman" w:eastAsia="宋体" w:cs="Times New Roman"/>
          <w:bCs/>
          <w:i w:val="0"/>
          <w:szCs w:val="28"/>
        </w:rPr>
        <w:t xml:space="preserve">6.1 </w:t>
      </w:r>
      <w:r>
        <w:rPr>
          <w:rFonts w:hint="eastAsia" w:ascii="宋体" w:hAnsi="宋体" w:cs="宋体"/>
          <w:bCs/>
          <w:szCs w:val="28"/>
        </w:rPr>
        <w:t>总则</w:t>
      </w:r>
      <w:r>
        <w:tab/>
      </w:r>
      <w:r>
        <w:fldChar w:fldCharType="begin"/>
      </w:r>
      <w:r>
        <w:instrText xml:space="preserve"> PAGEREF _Toc24293 \h </w:instrText>
      </w:r>
      <w:r>
        <w:fldChar w:fldCharType="separate"/>
      </w:r>
      <w:r>
        <w:t>74</w:t>
      </w:r>
      <w:r>
        <w:fldChar w:fldCharType="end"/>
      </w:r>
      <w:r>
        <w:rPr>
          <w:rFonts w:hint="eastAsia" w:ascii="宋体" w:hAnsi="宋体" w:cs="宋体"/>
        </w:rPr>
        <w:fldChar w:fldCharType="end"/>
      </w:r>
    </w:p>
    <w:p>
      <w:pPr>
        <w:pStyle w:val="12"/>
        <w:tabs>
          <w:tab w:val="right" w:leader="dot" w:pos="8306"/>
          <w:tab w:val="clear" w:pos="620"/>
          <w:tab w:val="clear" w:pos="8364"/>
        </w:tabs>
      </w:pPr>
      <w:r>
        <w:rPr>
          <w:rFonts w:hint="eastAsia" w:ascii="宋体" w:hAnsi="宋体" w:cs="宋体"/>
        </w:rPr>
        <w:fldChar w:fldCharType="begin"/>
      </w:r>
      <w:r>
        <w:rPr>
          <w:rFonts w:hint="eastAsia" w:ascii="宋体" w:hAnsi="宋体" w:cs="宋体"/>
        </w:rPr>
        <w:instrText xml:space="preserve"> HYPERLINK \l _Toc20765 </w:instrText>
      </w:r>
      <w:r>
        <w:rPr>
          <w:rFonts w:hint="eastAsia" w:ascii="宋体" w:hAnsi="宋体" w:cs="宋体"/>
        </w:rPr>
        <w:fldChar w:fldCharType="separate"/>
      </w:r>
      <w:r>
        <w:rPr>
          <w:rFonts w:hint="default" w:ascii="Times New Roman" w:hAnsi="Times New Roman" w:eastAsia="宋体" w:cs="Times New Roman"/>
          <w:bCs/>
          <w:i w:val="0"/>
          <w:szCs w:val="28"/>
        </w:rPr>
        <w:t xml:space="preserve">6.2 </w:t>
      </w:r>
      <w:r>
        <w:rPr>
          <w:rFonts w:hint="eastAsia" w:ascii="宋体" w:hAnsi="宋体" w:cs="宋体"/>
          <w:bCs/>
          <w:szCs w:val="28"/>
        </w:rPr>
        <w:t>评标方法</w:t>
      </w:r>
      <w:r>
        <w:tab/>
      </w:r>
      <w:r>
        <w:fldChar w:fldCharType="begin"/>
      </w:r>
      <w:r>
        <w:instrText xml:space="preserve"> PAGEREF _Toc20765 \h </w:instrText>
      </w:r>
      <w:r>
        <w:fldChar w:fldCharType="separate"/>
      </w:r>
      <w:r>
        <w:t>75</w:t>
      </w:r>
      <w:r>
        <w:fldChar w:fldCharType="end"/>
      </w:r>
      <w:r>
        <w:rPr>
          <w:rFonts w:hint="eastAsia" w:ascii="宋体" w:hAnsi="宋体" w:cs="宋体"/>
        </w:rPr>
        <w:fldChar w:fldCharType="end"/>
      </w:r>
    </w:p>
    <w:p>
      <w:pPr>
        <w:pStyle w:val="12"/>
        <w:tabs>
          <w:tab w:val="right" w:leader="dot" w:pos="8306"/>
          <w:tab w:val="clear" w:pos="620"/>
          <w:tab w:val="clear" w:pos="8364"/>
        </w:tabs>
      </w:pPr>
      <w:r>
        <w:rPr>
          <w:rFonts w:hint="eastAsia" w:ascii="宋体" w:hAnsi="宋体" w:cs="宋体"/>
        </w:rPr>
        <w:fldChar w:fldCharType="begin"/>
      </w:r>
      <w:r>
        <w:rPr>
          <w:rFonts w:hint="eastAsia" w:ascii="宋体" w:hAnsi="宋体" w:cs="宋体"/>
        </w:rPr>
        <w:instrText xml:space="preserve"> HYPERLINK \l _Toc5260 </w:instrText>
      </w:r>
      <w:r>
        <w:rPr>
          <w:rFonts w:hint="eastAsia" w:ascii="宋体" w:hAnsi="宋体" w:cs="宋体"/>
        </w:rPr>
        <w:fldChar w:fldCharType="separate"/>
      </w:r>
      <w:r>
        <w:rPr>
          <w:rFonts w:hint="default" w:ascii="Times New Roman" w:hAnsi="Times New Roman" w:eastAsia="宋体" w:cs="Times New Roman"/>
          <w:bCs/>
          <w:i w:val="0"/>
          <w:szCs w:val="28"/>
        </w:rPr>
        <w:t xml:space="preserve">6.3 </w:t>
      </w:r>
      <w:r>
        <w:rPr>
          <w:rFonts w:hint="eastAsia" w:ascii="宋体" w:hAnsi="宋体" w:cs="宋体"/>
          <w:bCs/>
          <w:szCs w:val="28"/>
        </w:rPr>
        <w:t>评标程序</w:t>
      </w:r>
      <w:r>
        <w:tab/>
      </w:r>
      <w:r>
        <w:fldChar w:fldCharType="begin"/>
      </w:r>
      <w:r>
        <w:instrText xml:space="preserve"> PAGEREF _Toc5260 \h </w:instrText>
      </w:r>
      <w:r>
        <w:fldChar w:fldCharType="separate"/>
      </w:r>
      <w:r>
        <w:t>75</w:t>
      </w:r>
      <w:r>
        <w:fldChar w:fldCharType="end"/>
      </w:r>
      <w:r>
        <w:rPr>
          <w:rFonts w:hint="eastAsia" w:ascii="宋体" w:hAnsi="宋体" w:cs="宋体"/>
        </w:rPr>
        <w:fldChar w:fldCharType="end"/>
      </w:r>
    </w:p>
    <w:p>
      <w:pPr>
        <w:pStyle w:val="12"/>
        <w:tabs>
          <w:tab w:val="right" w:leader="dot" w:pos="8306"/>
          <w:tab w:val="clear" w:pos="620"/>
          <w:tab w:val="clear" w:pos="8364"/>
        </w:tabs>
      </w:pPr>
      <w:r>
        <w:rPr>
          <w:rFonts w:hint="eastAsia" w:ascii="宋体" w:hAnsi="宋体" w:cs="宋体"/>
        </w:rPr>
        <w:fldChar w:fldCharType="begin"/>
      </w:r>
      <w:r>
        <w:rPr>
          <w:rFonts w:hint="eastAsia" w:ascii="宋体" w:hAnsi="宋体" w:cs="宋体"/>
        </w:rPr>
        <w:instrText xml:space="preserve"> HYPERLINK \l _Toc7466 </w:instrText>
      </w:r>
      <w:r>
        <w:rPr>
          <w:rFonts w:hint="eastAsia" w:ascii="宋体" w:hAnsi="宋体" w:cs="宋体"/>
        </w:rPr>
        <w:fldChar w:fldCharType="separate"/>
      </w:r>
      <w:r>
        <w:rPr>
          <w:rFonts w:hint="default" w:ascii="Times New Roman" w:hAnsi="Times New Roman" w:eastAsia="宋体" w:cs="Times New Roman"/>
          <w:bCs/>
          <w:i w:val="0"/>
          <w:szCs w:val="28"/>
        </w:rPr>
        <w:t xml:space="preserve">6.4 </w:t>
      </w:r>
      <w:r>
        <w:rPr>
          <w:rFonts w:hint="eastAsia" w:ascii="宋体" w:hAnsi="宋体" w:cs="宋体"/>
          <w:bCs/>
          <w:szCs w:val="28"/>
        </w:rPr>
        <w:t>评标争议处理规则</w:t>
      </w:r>
      <w:r>
        <w:tab/>
      </w:r>
      <w:r>
        <w:fldChar w:fldCharType="begin"/>
      </w:r>
      <w:r>
        <w:instrText xml:space="preserve"> PAGEREF _Toc7466 \h </w:instrText>
      </w:r>
      <w:r>
        <w:fldChar w:fldCharType="separate"/>
      </w:r>
      <w:r>
        <w:t>82</w:t>
      </w:r>
      <w:r>
        <w:fldChar w:fldCharType="end"/>
      </w:r>
      <w:r>
        <w:rPr>
          <w:rFonts w:hint="eastAsia" w:ascii="宋体" w:hAnsi="宋体" w:cs="宋体"/>
        </w:rPr>
        <w:fldChar w:fldCharType="end"/>
      </w:r>
    </w:p>
    <w:p>
      <w:pPr>
        <w:pStyle w:val="12"/>
        <w:tabs>
          <w:tab w:val="right" w:leader="dot" w:pos="8306"/>
          <w:tab w:val="clear" w:pos="620"/>
          <w:tab w:val="clear" w:pos="8364"/>
        </w:tabs>
      </w:pPr>
      <w:r>
        <w:rPr>
          <w:rFonts w:hint="eastAsia" w:ascii="宋体" w:hAnsi="宋体" w:cs="宋体"/>
        </w:rPr>
        <w:fldChar w:fldCharType="begin"/>
      </w:r>
      <w:r>
        <w:rPr>
          <w:rFonts w:hint="eastAsia" w:ascii="宋体" w:hAnsi="宋体" w:cs="宋体"/>
        </w:rPr>
        <w:instrText xml:space="preserve"> HYPERLINK \l _Toc26365 </w:instrText>
      </w:r>
      <w:r>
        <w:rPr>
          <w:rFonts w:hint="eastAsia" w:ascii="宋体" w:hAnsi="宋体" w:cs="宋体"/>
        </w:rPr>
        <w:fldChar w:fldCharType="separate"/>
      </w:r>
      <w:r>
        <w:rPr>
          <w:rFonts w:hint="default" w:ascii="Times New Roman" w:hAnsi="Times New Roman" w:eastAsia="宋体" w:cs="Times New Roman"/>
          <w:bCs/>
          <w:i w:val="0"/>
          <w:szCs w:val="28"/>
        </w:rPr>
        <w:t xml:space="preserve">6.5 </w:t>
      </w:r>
      <w:r>
        <w:rPr>
          <w:rFonts w:hint="eastAsia" w:ascii="宋体" w:hAnsi="宋体" w:cs="宋体"/>
          <w:bCs/>
          <w:szCs w:val="28"/>
        </w:rPr>
        <w:t>评标细则及标准</w:t>
      </w:r>
      <w:r>
        <w:tab/>
      </w:r>
      <w:r>
        <w:fldChar w:fldCharType="begin"/>
      </w:r>
      <w:r>
        <w:instrText xml:space="preserve"> PAGEREF _Toc26365 \h </w:instrText>
      </w:r>
      <w:r>
        <w:fldChar w:fldCharType="separate"/>
      </w:r>
      <w:r>
        <w:t>83</w:t>
      </w:r>
      <w:r>
        <w:fldChar w:fldCharType="end"/>
      </w:r>
      <w:r>
        <w:rPr>
          <w:rFonts w:hint="eastAsia" w:ascii="宋体" w:hAnsi="宋体" w:cs="宋体"/>
        </w:rPr>
        <w:fldChar w:fldCharType="end"/>
      </w:r>
    </w:p>
    <w:p>
      <w:pPr>
        <w:pStyle w:val="12"/>
        <w:tabs>
          <w:tab w:val="right" w:leader="dot" w:pos="8306"/>
          <w:tab w:val="clear" w:pos="620"/>
          <w:tab w:val="clear" w:pos="8364"/>
        </w:tabs>
      </w:pPr>
      <w:r>
        <w:rPr>
          <w:rFonts w:hint="eastAsia" w:ascii="宋体" w:hAnsi="宋体" w:cs="宋体"/>
        </w:rPr>
        <w:fldChar w:fldCharType="begin"/>
      </w:r>
      <w:r>
        <w:rPr>
          <w:rFonts w:hint="eastAsia" w:ascii="宋体" w:hAnsi="宋体" w:cs="宋体"/>
        </w:rPr>
        <w:instrText xml:space="preserve"> HYPERLINK \l _Toc2354 </w:instrText>
      </w:r>
      <w:r>
        <w:rPr>
          <w:rFonts w:hint="eastAsia" w:ascii="宋体" w:hAnsi="宋体" w:cs="宋体"/>
        </w:rPr>
        <w:fldChar w:fldCharType="separate"/>
      </w:r>
      <w:r>
        <w:rPr>
          <w:rFonts w:hint="default" w:ascii="Times New Roman" w:hAnsi="Times New Roman" w:eastAsia="宋体" w:cs="Times New Roman"/>
          <w:bCs/>
          <w:i w:val="0"/>
          <w:szCs w:val="28"/>
        </w:rPr>
        <w:t xml:space="preserve">6.6 </w:t>
      </w:r>
      <w:r>
        <w:rPr>
          <w:rFonts w:hint="eastAsia" w:ascii="宋体" w:hAnsi="宋体" w:cs="宋体"/>
          <w:bCs/>
          <w:szCs w:val="28"/>
        </w:rPr>
        <w:t>废标</w:t>
      </w:r>
      <w:r>
        <w:tab/>
      </w:r>
      <w:r>
        <w:fldChar w:fldCharType="begin"/>
      </w:r>
      <w:r>
        <w:instrText xml:space="preserve"> PAGEREF _Toc2354 \h </w:instrText>
      </w:r>
      <w:r>
        <w:fldChar w:fldCharType="separate"/>
      </w:r>
      <w:r>
        <w:t>85</w:t>
      </w:r>
      <w:r>
        <w:fldChar w:fldCharType="end"/>
      </w:r>
      <w:r>
        <w:rPr>
          <w:rFonts w:hint="eastAsia" w:ascii="宋体" w:hAnsi="宋体" w:cs="宋体"/>
        </w:rPr>
        <w:fldChar w:fldCharType="end"/>
      </w:r>
    </w:p>
    <w:p>
      <w:pPr>
        <w:pStyle w:val="12"/>
        <w:tabs>
          <w:tab w:val="right" w:leader="dot" w:pos="8306"/>
          <w:tab w:val="clear" w:pos="620"/>
          <w:tab w:val="clear" w:pos="8364"/>
        </w:tabs>
      </w:pPr>
      <w:r>
        <w:rPr>
          <w:rFonts w:hint="eastAsia" w:ascii="宋体" w:hAnsi="宋体" w:cs="宋体"/>
        </w:rPr>
        <w:fldChar w:fldCharType="begin"/>
      </w:r>
      <w:r>
        <w:rPr>
          <w:rFonts w:hint="eastAsia" w:ascii="宋体" w:hAnsi="宋体" w:cs="宋体"/>
        </w:rPr>
        <w:instrText xml:space="preserve"> HYPERLINK \l _Toc25461 </w:instrText>
      </w:r>
      <w:r>
        <w:rPr>
          <w:rFonts w:hint="eastAsia" w:ascii="宋体" w:hAnsi="宋体" w:cs="宋体"/>
        </w:rPr>
        <w:fldChar w:fldCharType="separate"/>
      </w:r>
      <w:r>
        <w:rPr>
          <w:rFonts w:hint="default" w:ascii="Times New Roman" w:hAnsi="Times New Roman" w:eastAsia="宋体" w:cs="Times New Roman"/>
          <w:bCs/>
          <w:i w:val="0"/>
          <w:szCs w:val="28"/>
        </w:rPr>
        <w:t xml:space="preserve">6.7 </w:t>
      </w:r>
      <w:r>
        <w:rPr>
          <w:rFonts w:hint="eastAsia" w:ascii="宋体" w:hAnsi="宋体" w:cs="宋体"/>
          <w:bCs/>
          <w:szCs w:val="28"/>
        </w:rPr>
        <w:t>定标</w:t>
      </w:r>
      <w:r>
        <w:tab/>
      </w:r>
      <w:r>
        <w:fldChar w:fldCharType="begin"/>
      </w:r>
      <w:r>
        <w:instrText xml:space="preserve"> PAGEREF _Toc25461 \h </w:instrText>
      </w:r>
      <w:r>
        <w:fldChar w:fldCharType="separate"/>
      </w:r>
      <w:r>
        <w:t>86</w:t>
      </w:r>
      <w:r>
        <w:fldChar w:fldCharType="end"/>
      </w:r>
      <w:r>
        <w:rPr>
          <w:rFonts w:hint="eastAsia" w:ascii="宋体" w:hAnsi="宋体" w:cs="宋体"/>
        </w:rPr>
        <w:fldChar w:fldCharType="end"/>
      </w:r>
    </w:p>
    <w:p>
      <w:pPr>
        <w:pStyle w:val="12"/>
        <w:tabs>
          <w:tab w:val="right" w:leader="dot" w:pos="8306"/>
          <w:tab w:val="clear" w:pos="620"/>
          <w:tab w:val="clear" w:pos="8364"/>
        </w:tabs>
      </w:pPr>
      <w:r>
        <w:rPr>
          <w:rFonts w:hint="eastAsia" w:ascii="宋体" w:hAnsi="宋体" w:cs="宋体"/>
        </w:rPr>
        <w:fldChar w:fldCharType="begin"/>
      </w:r>
      <w:r>
        <w:rPr>
          <w:rFonts w:hint="eastAsia" w:ascii="宋体" w:hAnsi="宋体" w:cs="宋体"/>
        </w:rPr>
        <w:instrText xml:space="preserve"> HYPERLINK \l _Toc4663 </w:instrText>
      </w:r>
      <w:r>
        <w:rPr>
          <w:rFonts w:hint="eastAsia" w:ascii="宋体" w:hAnsi="宋体" w:cs="宋体"/>
        </w:rPr>
        <w:fldChar w:fldCharType="separate"/>
      </w:r>
      <w:r>
        <w:rPr>
          <w:rFonts w:hint="default" w:ascii="Times New Roman" w:hAnsi="Times New Roman" w:eastAsia="宋体" w:cs="Times New Roman"/>
          <w:bCs/>
          <w:i w:val="0"/>
          <w:szCs w:val="28"/>
        </w:rPr>
        <w:t xml:space="preserve">6.8 </w:t>
      </w:r>
      <w:r>
        <w:rPr>
          <w:rFonts w:hint="eastAsia" w:ascii="宋体" w:hAnsi="宋体" w:cs="宋体"/>
          <w:bCs/>
          <w:szCs w:val="28"/>
        </w:rPr>
        <w:t>评标专家在政府采购活动中承担以下义务</w:t>
      </w:r>
      <w:r>
        <w:tab/>
      </w:r>
      <w:r>
        <w:fldChar w:fldCharType="begin"/>
      </w:r>
      <w:r>
        <w:instrText xml:space="preserve"> PAGEREF _Toc4663 \h </w:instrText>
      </w:r>
      <w:r>
        <w:fldChar w:fldCharType="separate"/>
      </w:r>
      <w:r>
        <w:t>87</w:t>
      </w:r>
      <w:r>
        <w:fldChar w:fldCharType="end"/>
      </w:r>
      <w:r>
        <w:rPr>
          <w:rFonts w:hint="eastAsia" w:ascii="宋体" w:hAnsi="宋体" w:cs="宋体"/>
        </w:rPr>
        <w:fldChar w:fldCharType="end"/>
      </w:r>
    </w:p>
    <w:p>
      <w:pPr>
        <w:pStyle w:val="12"/>
        <w:tabs>
          <w:tab w:val="right" w:leader="dot" w:pos="8306"/>
          <w:tab w:val="clear" w:pos="620"/>
          <w:tab w:val="clear" w:pos="8364"/>
        </w:tabs>
      </w:pPr>
      <w:r>
        <w:rPr>
          <w:rFonts w:hint="eastAsia" w:ascii="宋体" w:hAnsi="宋体" w:cs="宋体"/>
        </w:rPr>
        <w:fldChar w:fldCharType="begin"/>
      </w:r>
      <w:r>
        <w:rPr>
          <w:rFonts w:hint="eastAsia" w:ascii="宋体" w:hAnsi="宋体" w:cs="宋体"/>
        </w:rPr>
        <w:instrText xml:space="preserve"> HYPERLINK \l _Toc3268 </w:instrText>
      </w:r>
      <w:r>
        <w:rPr>
          <w:rFonts w:hint="eastAsia" w:ascii="宋体" w:hAnsi="宋体" w:cs="宋体"/>
        </w:rPr>
        <w:fldChar w:fldCharType="separate"/>
      </w:r>
      <w:r>
        <w:rPr>
          <w:rFonts w:hint="default" w:ascii="Times New Roman" w:hAnsi="Times New Roman" w:eastAsia="宋体" w:cs="Times New Roman"/>
          <w:bCs/>
          <w:i w:val="0"/>
          <w:szCs w:val="28"/>
        </w:rPr>
        <w:t xml:space="preserve">6.9 </w:t>
      </w:r>
      <w:r>
        <w:rPr>
          <w:rFonts w:hint="eastAsia" w:ascii="宋体" w:hAnsi="宋体" w:cs="宋体"/>
          <w:bCs/>
          <w:szCs w:val="28"/>
        </w:rPr>
        <w:t>评标委员会及其成员不得有下列行为</w:t>
      </w:r>
      <w:r>
        <w:tab/>
      </w:r>
      <w:r>
        <w:fldChar w:fldCharType="begin"/>
      </w:r>
      <w:r>
        <w:instrText xml:space="preserve"> PAGEREF _Toc3268 \h </w:instrText>
      </w:r>
      <w:r>
        <w:fldChar w:fldCharType="separate"/>
      </w:r>
      <w:r>
        <w:t>88</w:t>
      </w:r>
      <w:r>
        <w:fldChar w:fldCharType="end"/>
      </w:r>
      <w:r>
        <w:rPr>
          <w:rFonts w:hint="eastAsia" w:ascii="宋体" w:hAnsi="宋体" w:cs="宋体"/>
        </w:rPr>
        <w:fldChar w:fldCharType="end"/>
      </w:r>
    </w:p>
    <w:p>
      <w:pPr>
        <w:pStyle w:val="12"/>
        <w:tabs>
          <w:tab w:val="right" w:leader="dot" w:pos="8306"/>
          <w:tab w:val="clear" w:pos="620"/>
          <w:tab w:val="clear" w:pos="8364"/>
        </w:tabs>
      </w:pPr>
      <w:r>
        <w:rPr>
          <w:rFonts w:hint="eastAsia" w:ascii="宋体" w:hAnsi="宋体" w:cs="宋体"/>
        </w:rPr>
        <w:fldChar w:fldCharType="begin"/>
      </w:r>
      <w:r>
        <w:rPr>
          <w:rFonts w:hint="eastAsia" w:ascii="宋体" w:hAnsi="宋体" w:cs="宋体"/>
        </w:rPr>
        <w:instrText xml:space="preserve"> HYPERLINK \l _Toc2638 </w:instrText>
      </w:r>
      <w:r>
        <w:rPr>
          <w:rFonts w:hint="eastAsia" w:ascii="宋体" w:hAnsi="宋体" w:cs="宋体"/>
        </w:rPr>
        <w:fldChar w:fldCharType="separate"/>
      </w:r>
      <w:r>
        <w:rPr>
          <w:rFonts w:hint="default" w:ascii="Times New Roman" w:hAnsi="Times New Roman" w:eastAsia="宋体" w:cs="Times New Roman"/>
          <w:bCs/>
          <w:i w:val="0"/>
          <w:szCs w:val="28"/>
        </w:rPr>
        <w:t xml:space="preserve">6.10 </w:t>
      </w:r>
      <w:r>
        <w:rPr>
          <w:rFonts w:hint="eastAsia" w:ascii="宋体" w:hAnsi="宋体" w:cs="宋体"/>
          <w:bCs/>
          <w:szCs w:val="28"/>
        </w:rPr>
        <w:t>评审专家在政府采购活动中应当遵守以下工作纪律</w:t>
      </w:r>
      <w:r>
        <w:tab/>
      </w:r>
      <w:r>
        <w:fldChar w:fldCharType="begin"/>
      </w:r>
      <w:r>
        <w:instrText xml:space="preserve"> PAGEREF _Toc2638 \h </w:instrText>
      </w:r>
      <w:r>
        <w:fldChar w:fldCharType="separate"/>
      </w:r>
      <w:r>
        <w:t>89</w:t>
      </w:r>
      <w:r>
        <w:fldChar w:fldCharType="end"/>
      </w:r>
      <w:r>
        <w:rPr>
          <w:rFonts w:hint="eastAsia" w:ascii="宋体" w:hAnsi="宋体" w:cs="宋体"/>
        </w:rPr>
        <w:fldChar w:fldCharType="end"/>
      </w:r>
    </w:p>
    <w:p>
      <w:pPr>
        <w:pStyle w:val="11"/>
        <w:tabs>
          <w:tab w:val="right" w:leader="dot" w:pos="8306"/>
          <w:tab w:val="clear" w:pos="709"/>
          <w:tab w:val="clear" w:pos="8364"/>
        </w:tabs>
      </w:pPr>
      <w:r>
        <w:rPr>
          <w:rFonts w:hint="eastAsia" w:ascii="宋体" w:hAnsi="宋体" w:cs="宋体"/>
        </w:rPr>
        <w:fldChar w:fldCharType="begin"/>
      </w:r>
      <w:r>
        <w:rPr>
          <w:rFonts w:hint="eastAsia" w:ascii="宋体" w:hAnsi="宋体" w:cs="宋体"/>
        </w:rPr>
        <w:instrText xml:space="preserve"> HYPERLINK \l _Toc1290 </w:instrText>
      </w:r>
      <w:r>
        <w:rPr>
          <w:rFonts w:hint="eastAsia" w:ascii="宋体" w:hAnsi="宋体" w:cs="宋体"/>
        </w:rPr>
        <w:fldChar w:fldCharType="separate"/>
      </w:r>
      <w:r>
        <w:rPr>
          <w:rFonts w:hint="default" w:ascii="Times New Roman" w:hAnsi="Times New Roman" w:eastAsia="宋体" w:cs="Times New Roman"/>
          <w:bCs/>
          <w:i w:val="0"/>
          <w:spacing w:val="-20"/>
          <w:kern w:val="44"/>
          <w:szCs w:val="32"/>
        </w:rPr>
        <w:t xml:space="preserve">第7章 </w:t>
      </w:r>
      <w:r>
        <w:rPr>
          <w:rFonts w:hint="eastAsia" w:ascii="宋体" w:hAnsi="宋体" w:cs="宋体"/>
          <w:bCs/>
          <w:spacing w:val="-20"/>
          <w:kern w:val="44"/>
          <w:szCs w:val="32"/>
        </w:rPr>
        <w:t>拟签订合同文本</w:t>
      </w:r>
      <w:r>
        <w:tab/>
      </w:r>
      <w:r>
        <w:fldChar w:fldCharType="begin"/>
      </w:r>
      <w:r>
        <w:instrText xml:space="preserve"> PAGEREF _Toc1290 \h </w:instrText>
      </w:r>
      <w:r>
        <w:fldChar w:fldCharType="separate"/>
      </w:r>
      <w:r>
        <w:t>91</w:t>
      </w:r>
      <w:r>
        <w:fldChar w:fldCharType="end"/>
      </w:r>
      <w:r>
        <w:rPr>
          <w:rFonts w:hint="eastAsia" w:ascii="宋体" w:hAnsi="宋体" w:cs="宋体"/>
        </w:rPr>
        <w:fldChar w:fldCharType="end"/>
      </w:r>
    </w:p>
    <w:p>
      <w:pPr>
        <w:pStyle w:val="11"/>
        <w:tabs>
          <w:tab w:val="right" w:leader="dot" w:pos="8306"/>
          <w:tab w:val="clear" w:pos="709"/>
          <w:tab w:val="clear" w:pos="8364"/>
        </w:tabs>
      </w:pPr>
      <w:r>
        <w:rPr>
          <w:rFonts w:hint="eastAsia" w:ascii="宋体" w:hAnsi="宋体" w:cs="宋体"/>
        </w:rPr>
        <w:fldChar w:fldCharType="begin"/>
      </w:r>
      <w:r>
        <w:rPr>
          <w:rFonts w:hint="eastAsia" w:ascii="宋体" w:hAnsi="宋体" w:cs="宋体"/>
        </w:rPr>
        <w:instrText xml:space="preserve"> HYPERLINK \l _Toc18937 </w:instrText>
      </w:r>
      <w:r>
        <w:rPr>
          <w:rFonts w:hint="eastAsia" w:ascii="宋体" w:hAnsi="宋体" w:cs="宋体"/>
        </w:rPr>
        <w:fldChar w:fldCharType="separate"/>
      </w:r>
      <w:r>
        <w:rPr>
          <w:rFonts w:hint="eastAsia" w:ascii="宋体" w:hAnsi="宋体" w:cs="宋体"/>
          <w:bCs/>
          <w:spacing w:val="-20"/>
          <w:kern w:val="44"/>
          <w:szCs w:val="30"/>
        </w:rPr>
        <w:t>附件1：</w:t>
      </w:r>
      <w:r>
        <w:tab/>
      </w:r>
      <w:r>
        <w:fldChar w:fldCharType="begin"/>
      </w:r>
      <w:r>
        <w:instrText xml:space="preserve"> PAGEREF _Toc18937 \h </w:instrText>
      </w:r>
      <w:r>
        <w:fldChar w:fldCharType="separate"/>
      </w:r>
      <w:r>
        <w:t>96</w:t>
      </w:r>
      <w:r>
        <w:fldChar w:fldCharType="end"/>
      </w:r>
      <w:r>
        <w:rPr>
          <w:rFonts w:hint="eastAsia" w:ascii="宋体" w:hAnsi="宋体" w:cs="宋体"/>
        </w:rPr>
        <w:fldChar w:fldCharType="end"/>
      </w:r>
    </w:p>
    <w:p>
      <w:pPr>
        <w:tabs>
          <w:tab w:val="left" w:pos="620"/>
          <w:tab w:val="right" w:leader="dot" w:pos="8364"/>
        </w:tabs>
        <w:ind w:left="180"/>
        <w:rPr>
          <w:rFonts w:ascii="宋体" w:hAnsi="宋体" w:cs="宋体"/>
          <w:b/>
          <w:bCs/>
          <w:caps/>
          <w:smallCaps/>
          <w:sz w:val="20"/>
          <w:szCs w:val="20"/>
        </w:rPr>
      </w:pPr>
      <w:r>
        <w:rPr>
          <w:rFonts w:hint="eastAsia" w:ascii="宋体" w:hAnsi="宋体" w:cs="宋体"/>
        </w:rPr>
        <w:fldChar w:fldCharType="end"/>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pStyle w:val="2"/>
        <w:rPr>
          <w:rFonts w:ascii="宋体" w:hAnsi="宋体" w:cs="宋体"/>
        </w:rPr>
      </w:pPr>
    </w:p>
    <w:p>
      <w:pPr>
        <w:pStyle w:val="15"/>
        <w:ind w:firstLine="180"/>
        <w:rPr>
          <w:rFonts w:ascii="宋体" w:hAnsi="宋体" w:cs="宋体"/>
        </w:rPr>
      </w:pPr>
    </w:p>
    <w:p>
      <w:pPr>
        <w:pStyle w:val="15"/>
        <w:ind w:firstLine="180"/>
        <w:rPr>
          <w:rFonts w:ascii="宋体" w:hAnsi="宋体" w:cs="宋体"/>
        </w:rPr>
      </w:pPr>
    </w:p>
    <w:p>
      <w:pPr>
        <w:pStyle w:val="15"/>
        <w:ind w:firstLine="180"/>
        <w:rPr>
          <w:rFonts w:ascii="宋体" w:hAnsi="宋体" w:cs="宋体"/>
        </w:rPr>
      </w:pPr>
    </w:p>
    <w:p>
      <w:pPr>
        <w:pStyle w:val="15"/>
        <w:ind w:firstLine="180"/>
        <w:rPr>
          <w:rFonts w:ascii="宋体" w:hAnsi="宋体" w:cs="宋体"/>
        </w:rPr>
      </w:pPr>
    </w:p>
    <w:p>
      <w:pPr>
        <w:pStyle w:val="15"/>
        <w:ind w:firstLine="180"/>
        <w:rPr>
          <w:rFonts w:ascii="宋体" w:hAnsi="宋体" w:cs="宋体"/>
        </w:rPr>
      </w:pPr>
    </w:p>
    <w:p>
      <w:pPr>
        <w:pStyle w:val="15"/>
        <w:ind w:firstLine="180"/>
        <w:rPr>
          <w:rFonts w:ascii="宋体" w:hAnsi="宋体" w:cs="宋体"/>
        </w:rPr>
      </w:pPr>
    </w:p>
    <w:p>
      <w:pPr>
        <w:pStyle w:val="2"/>
      </w:pPr>
    </w:p>
    <w:p>
      <w:pPr>
        <w:keepNext/>
        <w:keepLines/>
        <w:numPr>
          <w:ilvl w:val="0"/>
          <w:numId w:val="2"/>
        </w:numPr>
        <w:spacing w:before="340" w:after="330" w:line="400" w:lineRule="exact"/>
        <w:jc w:val="center"/>
        <w:outlineLvl w:val="0"/>
        <w:rPr>
          <w:rFonts w:ascii="宋体" w:hAnsi="宋体" w:cs="宋体"/>
          <w:b/>
          <w:bCs/>
          <w:spacing w:val="-20"/>
          <w:kern w:val="44"/>
          <w:sz w:val="32"/>
          <w:szCs w:val="32"/>
        </w:rPr>
      </w:pPr>
      <w:bookmarkStart w:id="5" w:name="_Toc204575871"/>
      <w:bookmarkStart w:id="6" w:name="_Toc181591102"/>
      <w:bookmarkStart w:id="7" w:name="_Toc6769"/>
      <w:bookmarkStart w:id="8" w:name="_Toc181610856"/>
      <w:r>
        <w:rPr>
          <w:rFonts w:hint="eastAsia" w:ascii="宋体" w:hAnsi="宋体" w:cs="宋体"/>
          <w:b/>
          <w:bCs/>
          <w:spacing w:val="-20"/>
          <w:kern w:val="44"/>
          <w:sz w:val="32"/>
          <w:szCs w:val="32"/>
        </w:rPr>
        <w:t>投标邀请</w:t>
      </w:r>
      <w:bookmarkEnd w:id="5"/>
      <w:bookmarkEnd w:id="6"/>
      <w:bookmarkEnd w:id="7"/>
      <w:bookmarkEnd w:id="8"/>
    </w:p>
    <w:p>
      <w:pPr>
        <w:spacing w:line="360" w:lineRule="auto"/>
        <w:ind w:firstLine="565" w:firstLineChars="202"/>
        <w:rPr>
          <w:rFonts w:ascii="宋体" w:hAnsi="宋体" w:cs="宋体"/>
          <w:sz w:val="28"/>
          <w:szCs w:val="28"/>
        </w:rPr>
      </w:pPr>
      <w:r>
        <w:rPr>
          <w:rFonts w:hint="eastAsia" w:ascii="宋体" w:hAnsi="宋体" w:cs="宋体"/>
          <w:sz w:val="28"/>
          <w:szCs w:val="28"/>
        </w:rPr>
        <w:t>成都市双流区公共资源交易服务中心(以下简称“区公资交易中心”)受</w:t>
      </w:r>
      <w:bookmarkStart w:id="9" w:name="采购单位名称_1619330905280"/>
      <w:r>
        <w:rPr>
          <w:rFonts w:hint="eastAsia" w:ascii="宋体" w:hAnsi="宋体" w:cs="宋体"/>
          <w:b/>
          <w:sz w:val="28"/>
          <w:szCs w:val="28"/>
        </w:rPr>
        <w:t>成都市双流区人民政府</w:t>
      </w:r>
      <w:bookmarkEnd w:id="9"/>
      <w:r>
        <w:rPr>
          <w:rFonts w:hint="eastAsia" w:ascii="宋体" w:hAnsi="宋体" w:cs="宋体"/>
          <w:b/>
          <w:sz w:val="28"/>
          <w:szCs w:val="28"/>
        </w:rPr>
        <w:t>怡心街道办事处</w:t>
      </w:r>
      <w:r>
        <w:rPr>
          <w:rFonts w:hint="eastAsia" w:ascii="宋体" w:hAnsi="宋体" w:cs="宋体"/>
          <w:sz w:val="28"/>
          <w:szCs w:val="28"/>
        </w:rPr>
        <w:t>委托，拟对</w:t>
      </w:r>
      <w:r>
        <w:rPr>
          <w:rFonts w:hint="eastAsia" w:ascii="宋体" w:hAnsi="宋体" w:cs="宋体"/>
          <w:b/>
          <w:bCs/>
          <w:sz w:val="28"/>
          <w:szCs w:val="28"/>
          <w:u w:val="single"/>
        </w:rPr>
        <w:t>成都市双流区人民政府怡心街道办事处生活垃圾清运服务采购项目</w:t>
      </w:r>
      <w:r>
        <w:rPr>
          <w:rFonts w:hint="eastAsia" w:ascii="宋体" w:hAnsi="宋体" w:cs="宋体"/>
          <w:sz w:val="28"/>
          <w:szCs w:val="28"/>
        </w:rPr>
        <w:t>进行国内公开招标，兹邀请符合本次招标要求的投标人参加投标。</w:t>
      </w:r>
    </w:p>
    <w:p>
      <w:pPr>
        <w:numPr>
          <w:ilvl w:val="0"/>
          <w:numId w:val="3"/>
        </w:numPr>
        <w:spacing w:line="360" w:lineRule="auto"/>
        <w:ind w:left="0" w:firstLine="567"/>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项目编号：双流政采（2021）A0118号</w:t>
      </w:r>
    </w:p>
    <w:p>
      <w:pPr>
        <w:spacing w:line="360" w:lineRule="auto"/>
        <w:ind w:left="567" w:firstLine="281" w:firstLineChars="100"/>
        <w:rPr>
          <w:rFonts w:ascii="宋体" w:hAnsi="宋体" w:cs="宋体"/>
          <w:b/>
          <w:color w:val="FF0000"/>
          <w:sz w:val="28"/>
          <w:szCs w:val="28"/>
        </w:rPr>
      </w:pPr>
      <w:r>
        <w:rPr>
          <w:rFonts w:hint="eastAsia" w:ascii="宋体" w:hAnsi="宋体" w:cs="宋体"/>
          <w:b/>
          <w:color w:val="000000" w:themeColor="text1"/>
          <w:sz w:val="28"/>
          <w:szCs w:val="28"/>
          <w14:textFill>
            <w14:solidFill>
              <w14:schemeClr w14:val="tx1"/>
            </w14:solidFill>
          </w14:textFill>
        </w:rPr>
        <w:t xml:space="preserve">（采购项目编号：510122202100550） </w:t>
      </w:r>
    </w:p>
    <w:p>
      <w:pPr>
        <w:numPr>
          <w:ilvl w:val="0"/>
          <w:numId w:val="3"/>
        </w:numPr>
        <w:spacing w:line="360" w:lineRule="auto"/>
        <w:ind w:left="988"/>
        <w:rPr>
          <w:rFonts w:ascii="宋体" w:hAnsi="宋体" w:cs="宋体"/>
          <w:b/>
          <w:sz w:val="28"/>
          <w:szCs w:val="28"/>
        </w:rPr>
      </w:pPr>
      <w:r>
        <w:rPr>
          <w:rFonts w:hint="eastAsia" w:ascii="宋体" w:hAnsi="宋体" w:cs="宋体"/>
          <w:b/>
          <w:sz w:val="28"/>
          <w:szCs w:val="28"/>
        </w:rPr>
        <w:t>项目名称：成都市双流区人民政府怡心街道办事处生活垃圾清运服务采购项目</w:t>
      </w:r>
    </w:p>
    <w:p>
      <w:pPr>
        <w:numPr>
          <w:ilvl w:val="0"/>
          <w:numId w:val="3"/>
        </w:numPr>
        <w:spacing w:line="360" w:lineRule="auto"/>
        <w:ind w:left="0" w:firstLine="568"/>
        <w:rPr>
          <w:rFonts w:ascii="宋体" w:hAnsi="宋体" w:cs="宋体"/>
          <w:b/>
          <w:bCs/>
          <w:sz w:val="28"/>
          <w:szCs w:val="28"/>
        </w:rPr>
      </w:pPr>
      <w:r>
        <w:rPr>
          <w:rFonts w:hint="eastAsia" w:ascii="宋体" w:hAnsi="宋体" w:cs="宋体"/>
          <w:b/>
          <w:sz w:val="28"/>
          <w:szCs w:val="28"/>
        </w:rPr>
        <w:t>资</w:t>
      </w:r>
      <w:r>
        <w:rPr>
          <w:rFonts w:hint="eastAsia" w:ascii="宋体" w:hAnsi="宋体" w:cs="宋体"/>
          <w:b/>
          <w:color w:val="auto"/>
          <w:sz w:val="28"/>
          <w:szCs w:val="28"/>
        </w:rPr>
        <w:t>金来源、预算金额及最高限价：</w:t>
      </w:r>
      <w:r>
        <w:rPr>
          <w:rFonts w:hint="eastAsia" w:ascii="宋体" w:hAnsi="宋体" w:cs="宋体"/>
          <w:color w:val="auto"/>
          <w:sz w:val="28"/>
          <w:szCs w:val="28"/>
        </w:rPr>
        <w:t>财政性资金，政府采购实施计划备案表号：</w:t>
      </w:r>
      <w:bookmarkStart w:id="10" w:name="采购计划号_1619062314246"/>
      <w:r>
        <w:rPr>
          <w:rFonts w:hint="eastAsia" w:ascii="宋体" w:hAnsi="宋体" w:cs="宋体"/>
          <w:color w:val="auto"/>
          <w:sz w:val="28"/>
          <w:szCs w:val="28"/>
        </w:rPr>
        <w:t>(2021)0865号</w:t>
      </w:r>
      <w:bookmarkEnd w:id="10"/>
      <w:r>
        <w:rPr>
          <w:rFonts w:hint="eastAsia" w:ascii="宋体" w:hAnsi="宋体" w:cs="宋体"/>
          <w:color w:val="auto"/>
          <w:sz w:val="28"/>
          <w:szCs w:val="28"/>
        </w:rPr>
        <w:t>；行业类别：其他未列明行业；预算品目：</w:t>
      </w:r>
      <w:r>
        <w:rPr>
          <w:rFonts w:hint="eastAsia" w:ascii="宋体" w:hAnsi="宋体" w:cs="宋体"/>
          <w:color w:val="auto"/>
          <w:sz w:val="28"/>
          <w:szCs w:val="28"/>
          <w:lang w:eastAsia="zh-CN"/>
        </w:rPr>
        <w:t>垃圾处理服务</w:t>
      </w:r>
      <w:r>
        <w:rPr>
          <w:rFonts w:hint="eastAsia" w:ascii="宋体" w:hAnsi="宋体" w:cs="宋体"/>
          <w:color w:val="auto"/>
          <w:sz w:val="28"/>
          <w:szCs w:val="28"/>
        </w:rPr>
        <w:t>；预算金额：1046000元/年；</w:t>
      </w:r>
      <w:r>
        <w:rPr>
          <w:rFonts w:hint="eastAsia" w:ascii="宋体" w:hAnsi="宋体" w:cs="宋体"/>
          <w:b/>
          <w:bCs/>
          <w:color w:val="auto"/>
          <w:sz w:val="28"/>
          <w:szCs w:val="28"/>
        </w:rPr>
        <w:t>本项目最高限价</w:t>
      </w:r>
      <w:r>
        <w:rPr>
          <w:rFonts w:hint="eastAsia" w:ascii="宋体" w:hAnsi="宋体" w:cs="宋体"/>
          <w:color w:val="auto"/>
          <w:sz w:val="28"/>
          <w:szCs w:val="28"/>
        </w:rPr>
        <w:t>：</w:t>
      </w:r>
      <w:r>
        <w:rPr>
          <w:rFonts w:hint="eastAsia" w:ascii="宋体" w:hAnsi="宋体" w:cs="宋体"/>
          <w:b/>
          <w:bCs/>
          <w:color w:val="auto"/>
          <w:sz w:val="28"/>
          <w:szCs w:val="28"/>
        </w:rPr>
        <w:t>1046000元/年。</w:t>
      </w:r>
    </w:p>
    <w:p>
      <w:pPr>
        <w:numPr>
          <w:ilvl w:val="0"/>
          <w:numId w:val="3"/>
        </w:numPr>
        <w:spacing w:line="360" w:lineRule="auto"/>
        <w:ind w:left="0" w:firstLine="567"/>
        <w:rPr>
          <w:rFonts w:ascii="宋体" w:hAnsi="宋体" w:cs="宋体"/>
          <w:sz w:val="28"/>
        </w:rPr>
      </w:pPr>
      <w:r>
        <w:rPr>
          <w:rFonts w:hint="eastAsia" w:ascii="宋体" w:hAnsi="宋体" w:cs="宋体"/>
          <w:b/>
          <w:sz w:val="28"/>
          <w:szCs w:val="28"/>
        </w:rPr>
        <w:t>招标项目简介</w:t>
      </w:r>
    </w:p>
    <w:p>
      <w:pPr>
        <w:spacing w:line="480" w:lineRule="exact"/>
        <w:ind w:firstLine="560" w:firstLineChars="200"/>
      </w:pPr>
      <w:r>
        <w:rPr>
          <w:rFonts w:hint="eastAsia" w:ascii="宋体" w:hAnsi="宋体"/>
          <w:sz w:val="28"/>
          <w:szCs w:val="28"/>
        </w:rPr>
        <w:t>本项目拟确定一名中标投标人为成都市双流区人民政府怡心街道办事处提供协和片区范</w:t>
      </w:r>
      <w:r>
        <w:rPr>
          <w:rFonts w:hint="eastAsia" w:ascii="宋体" w:hAnsi="宋体" w:cs="宋体"/>
          <w:sz w:val="28"/>
          <w:szCs w:val="28"/>
        </w:rPr>
        <w:t>围内的垃圾清运服务。</w:t>
      </w:r>
    </w:p>
    <w:p>
      <w:pPr>
        <w:pStyle w:val="21"/>
        <w:spacing w:line="360" w:lineRule="auto"/>
        <w:ind w:firstLine="560"/>
        <w:rPr>
          <w:rFonts w:ascii="宋体" w:hAnsi="宋体" w:eastAsia="宋体" w:cs="宋体"/>
          <w:sz w:val="28"/>
          <w:szCs w:val="28"/>
        </w:rPr>
      </w:pPr>
      <w:r>
        <w:rPr>
          <w:rFonts w:hint="eastAsia" w:ascii="宋体" w:hAnsi="宋体" w:eastAsia="宋体" w:cs="宋体"/>
          <w:sz w:val="28"/>
          <w:szCs w:val="28"/>
        </w:rPr>
        <w:t>详细的服务、商务及其他要求见第4章</w:t>
      </w:r>
    </w:p>
    <w:p>
      <w:pPr>
        <w:numPr>
          <w:ilvl w:val="0"/>
          <w:numId w:val="3"/>
        </w:numPr>
        <w:spacing w:line="360" w:lineRule="auto"/>
        <w:ind w:left="0" w:firstLine="567"/>
        <w:rPr>
          <w:rFonts w:ascii="宋体" w:hAnsi="宋体" w:cs="宋体"/>
          <w:b/>
          <w:sz w:val="28"/>
          <w:szCs w:val="28"/>
        </w:rPr>
      </w:pPr>
      <w:r>
        <w:rPr>
          <w:rFonts w:hint="eastAsia" w:ascii="宋体" w:hAnsi="宋体" w:cs="宋体"/>
          <w:b/>
          <w:sz w:val="28"/>
          <w:szCs w:val="28"/>
        </w:rPr>
        <w:t>投标人参加本次政府采购活动应具备的条件</w:t>
      </w:r>
    </w:p>
    <w:p>
      <w:pPr>
        <w:numPr>
          <w:ilvl w:val="1"/>
          <w:numId w:val="4"/>
        </w:numPr>
        <w:spacing w:line="360" w:lineRule="auto"/>
        <w:ind w:left="0" w:firstLine="567"/>
        <w:rPr>
          <w:rFonts w:ascii="宋体" w:hAnsi="宋体" w:cs="宋体"/>
          <w:sz w:val="28"/>
          <w:szCs w:val="28"/>
        </w:rPr>
      </w:pPr>
      <w:r>
        <w:rPr>
          <w:rFonts w:hint="eastAsia" w:ascii="宋体" w:hAnsi="宋体" w:cs="宋体"/>
          <w:sz w:val="28"/>
          <w:szCs w:val="28"/>
        </w:rPr>
        <w:t>符合《政府采购法》第二十二条第一款规定的条件；</w:t>
      </w:r>
    </w:p>
    <w:p>
      <w:pPr>
        <w:numPr>
          <w:ilvl w:val="1"/>
          <w:numId w:val="4"/>
        </w:numPr>
        <w:spacing w:line="240" w:lineRule="auto"/>
        <w:ind w:left="0" w:firstLine="567"/>
        <w:rPr>
          <w:rFonts w:ascii="宋体" w:hAnsi="宋体" w:cs="宋体"/>
          <w:sz w:val="28"/>
          <w:szCs w:val="28"/>
        </w:rPr>
      </w:pPr>
      <w:r>
        <w:rPr>
          <w:rFonts w:hint="eastAsia" w:ascii="宋体" w:hAnsi="宋体" w:cs="宋体"/>
          <w:sz w:val="28"/>
          <w:szCs w:val="28"/>
        </w:rPr>
        <w:t>本项目为</w:t>
      </w:r>
      <w:r>
        <w:rPr>
          <w:rFonts w:hint="eastAsia" w:ascii="宋体" w:hAnsi="宋体" w:cs="宋体"/>
          <w:b/>
          <w:bCs/>
          <w:sz w:val="28"/>
          <w:szCs w:val="28"/>
        </w:rPr>
        <w:t>专门面向中小企业采购项目</w:t>
      </w:r>
      <w:r>
        <w:rPr>
          <w:rFonts w:hint="eastAsia" w:ascii="宋体" w:hAnsi="宋体" w:cs="宋体"/>
          <w:sz w:val="28"/>
          <w:szCs w:val="28"/>
        </w:rPr>
        <w:t>，服务全部由符合政策要求的中小企业承接。（说明：监狱企业、残疾人福利性单位视同小型、微型企业）；</w:t>
      </w:r>
    </w:p>
    <w:p>
      <w:pPr>
        <w:numPr>
          <w:ilvl w:val="1"/>
          <w:numId w:val="4"/>
        </w:numPr>
        <w:spacing w:line="360" w:lineRule="auto"/>
        <w:ind w:left="0" w:firstLine="567"/>
        <w:rPr>
          <w:rFonts w:ascii="宋体" w:hAnsi="宋体" w:cs="宋体"/>
          <w:sz w:val="28"/>
          <w:szCs w:val="28"/>
        </w:rPr>
      </w:pPr>
      <w:r>
        <w:rPr>
          <w:rFonts w:hint="eastAsia" w:ascii="宋体" w:hAnsi="宋体" w:cs="宋体"/>
          <w:sz w:val="28"/>
          <w:szCs w:val="28"/>
        </w:rPr>
        <w:t>未被列入失信被执行人、重大税收违法案件当事人名单、政府采购严重违法失信行为记录名单；</w:t>
      </w:r>
    </w:p>
    <w:p>
      <w:pPr>
        <w:numPr>
          <w:ilvl w:val="1"/>
          <w:numId w:val="4"/>
        </w:numPr>
        <w:spacing w:line="360" w:lineRule="auto"/>
        <w:ind w:left="0" w:firstLine="567"/>
        <w:rPr>
          <w:rFonts w:ascii="宋体" w:hAnsi="宋体" w:cs="宋体"/>
          <w:sz w:val="28"/>
          <w:szCs w:val="28"/>
        </w:rPr>
      </w:pPr>
      <w:r>
        <w:rPr>
          <w:rFonts w:hint="eastAsia" w:ascii="宋体" w:hAnsi="宋体" w:cs="宋体"/>
          <w:sz w:val="28"/>
          <w:szCs w:val="28"/>
        </w:rPr>
        <w:t>在行贿犯罪信息查询期限内，投标人及其现任法定代表人、主要负责人没有行贿犯罪记录；</w:t>
      </w:r>
    </w:p>
    <w:p>
      <w:pPr>
        <w:numPr>
          <w:ilvl w:val="1"/>
          <w:numId w:val="4"/>
        </w:numPr>
        <w:spacing w:line="360" w:lineRule="auto"/>
        <w:ind w:left="0" w:firstLine="567"/>
        <w:rPr>
          <w:rFonts w:ascii="宋体" w:hAnsi="宋体" w:cs="宋体"/>
          <w:sz w:val="28"/>
          <w:szCs w:val="28"/>
        </w:rPr>
      </w:pPr>
      <w:r>
        <w:rPr>
          <w:rFonts w:hint="eastAsia" w:ascii="宋体" w:hAnsi="宋体" w:cs="宋体"/>
          <w:sz w:val="28"/>
          <w:szCs w:val="28"/>
        </w:rPr>
        <w:t>不属于其他国家相关法律法规规定的禁止参加投标的投标人；</w:t>
      </w:r>
    </w:p>
    <w:p>
      <w:pPr>
        <w:numPr>
          <w:ilvl w:val="1"/>
          <w:numId w:val="4"/>
        </w:numPr>
        <w:spacing w:line="360" w:lineRule="auto"/>
        <w:ind w:left="0" w:firstLine="567"/>
        <w:rPr>
          <w:rFonts w:ascii="宋体" w:hAnsi="宋体" w:cs="宋体"/>
          <w:sz w:val="28"/>
          <w:szCs w:val="28"/>
        </w:rPr>
      </w:pPr>
      <w:r>
        <w:rPr>
          <w:rFonts w:hint="eastAsia" w:ascii="宋体" w:hAnsi="宋体" w:cs="宋体"/>
          <w:sz w:val="28"/>
          <w:szCs w:val="28"/>
        </w:rPr>
        <w:t>未处于被行政部门禁止参与政府采购活动的期限内；</w:t>
      </w:r>
    </w:p>
    <w:p>
      <w:pPr>
        <w:numPr>
          <w:ilvl w:val="1"/>
          <w:numId w:val="4"/>
        </w:numPr>
        <w:spacing w:line="360" w:lineRule="auto"/>
        <w:ind w:left="0" w:firstLine="567"/>
        <w:rPr>
          <w:rFonts w:ascii="宋体" w:hAnsi="宋体" w:cs="宋体"/>
          <w:sz w:val="28"/>
          <w:szCs w:val="28"/>
        </w:rPr>
      </w:pPr>
      <w:r>
        <w:rPr>
          <w:rFonts w:hint="eastAsia" w:ascii="宋体" w:hAnsi="宋体" w:cs="宋体"/>
          <w:sz w:val="28"/>
          <w:szCs w:val="28"/>
        </w:rPr>
        <w:t>在中华人民共和国境内依法登记注册，并有效存续具有独立法人资格的投标人；</w:t>
      </w:r>
    </w:p>
    <w:p>
      <w:pPr>
        <w:numPr>
          <w:ilvl w:val="1"/>
          <w:numId w:val="4"/>
        </w:numPr>
        <w:spacing w:line="360" w:lineRule="auto"/>
        <w:ind w:left="0" w:firstLine="567"/>
        <w:rPr>
          <w:rFonts w:ascii="宋体" w:hAnsi="宋体" w:cs="宋体"/>
          <w:sz w:val="28"/>
          <w:szCs w:val="28"/>
        </w:rPr>
      </w:pPr>
      <w:r>
        <w:rPr>
          <w:rFonts w:hint="eastAsia" w:ascii="宋体" w:hAnsi="宋体" w:cs="宋体"/>
          <w:sz w:val="28"/>
          <w:szCs w:val="28"/>
        </w:rPr>
        <w:t>本项目</w:t>
      </w:r>
      <w:r>
        <w:rPr>
          <w:rFonts w:hint="eastAsia" w:ascii="宋体" w:hAnsi="宋体" w:cs="宋体"/>
          <w:b/>
          <w:bCs/>
          <w:sz w:val="28"/>
          <w:szCs w:val="28"/>
        </w:rPr>
        <w:t>不接受</w:t>
      </w:r>
      <w:r>
        <w:rPr>
          <w:rFonts w:hint="eastAsia" w:ascii="宋体" w:hAnsi="宋体" w:cs="宋体"/>
          <w:sz w:val="28"/>
          <w:szCs w:val="28"/>
        </w:rPr>
        <w:t>联合体投标。</w:t>
      </w:r>
    </w:p>
    <w:p>
      <w:pPr>
        <w:numPr>
          <w:ilvl w:val="0"/>
          <w:numId w:val="3"/>
        </w:numPr>
        <w:spacing w:line="360" w:lineRule="auto"/>
        <w:ind w:left="0" w:firstLine="567"/>
        <w:rPr>
          <w:rFonts w:ascii="宋体" w:hAnsi="宋体" w:cs="宋体"/>
          <w:sz w:val="28"/>
        </w:rPr>
      </w:pPr>
      <w:r>
        <w:rPr>
          <w:rFonts w:hint="eastAsia" w:ascii="宋体" w:hAnsi="宋体" w:cs="宋体"/>
          <w:b/>
          <w:sz w:val="28"/>
          <w:szCs w:val="28"/>
        </w:rPr>
        <w:t>招标文件获取时间</w:t>
      </w:r>
    </w:p>
    <w:p>
      <w:pPr>
        <w:numPr>
          <w:ilvl w:val="0"/>
          <w:numId w:val="5"/>
        </w:numPr>
        <w:spacing w:line="360" w:lineRule="auto"/>
        <w:ind w:left="0" w:firstLine="567"/>
        <w:rPr>
          <w:rFonts w:ascii="宋体" w:hAnsi="宋体" w:cs="宋体"/>
          <w:b/>
          <w:color w:val="auto"/>
          <w:sz w:val="28"/>
        </w:rPr>
      </w:pPr>
      <w:r>
        <w:rPr>
          <w:rFonts w:hint="eastAsia" w:ascii="宋体" w:hAnsi="宋体" w:cs="宋体"/>
          <w:b/>
          <w:color w:val="auto"/>
          <w:sz w:val="28"/>
          <w:szCs w:val="28"/>
        </w:rPr>
        <w:t>招标文件获取时间：2021年</w:t>
      </w:r>
      <w:r>
        <w:rPr>
          <w:rFonts w:hint="eastAsia" w:ascii="宋体" w:hAnsi="宋体" w:cs="宋体"/>
          <w:b/>
          <w:color w:val="auto"/>
          <w:sz w:val="28"/>
          <w:szCs w:val="28"/>
          <w:lang w:val="en-US" w:eastAsia="zh-CN"/>
        </w:rPr>
        <w:t>12</w:t>
      </w:r>
      <w:r>
        <w:rPr>
          <w:rFonts w:hint="eastAsia" w:ascii="宋体" w:hAnsi="宋体" w:cs="宋体"/>
          <w:b/>
          <w:color w:val="auto"/>
          <w:sz w:val="28"/>
          <w:szCs w:val="28"/>
        </w:rPr>
        <w:t>月</w:t>
      </w:r>
      <w:r>
        <w:rPr>
          <w:rFonts w:hint="eastAsia" w:ascii="宋体" w:hAnsi="宋体" w:cs="宋体"/>
          <w:b/>
          <w:color w:val="auto"/>
          <w:sz w:val="28"/>
          <w:szCs w:val="28"/>
          <w:lang w:val="en-US" w:eastAsia="zh-CN"/>
        </w:rPr>
        <w:t>8</w:t>
      </w:r>
      <w:r>
        <w:rPr>
          <w:rFonts w:hint="eastAsia" w:ascii="宋体" w:hAnsi="宋体" w:cs="宋体"/>
          <w:b/>
          <w:color w:val="auto"/>
          <w:sz w:val="28"/>
          <w:szCs w:val="28"/>
        </w:rPr>
        <w:t>日至</w:t>
      </w:r>
      <w:r>
        <w:rPr>
          <w:rFonts w:hint="eastAsia" w:ascii="宋体" w:hAnsi="宋体" w:cs="宋体"/>
          <w:b/>
          <w:color w:val="auto"/>
          <w:sz w:val="28"/>
          <w:szCs w:val="28"/>
          <w:lang w:val="en-US" w:eastAsia="zh-CN"/>
        </w:rPr>
        <w:t>12</w:t>
      </w:r>
      <w:r>
        <w:rPr>
          <w:rFonts w:hint="eastAsia" w:ascii="宋体" w:hAnsi="宋体" w:cs="宋体"/>
          <w:b/>
          <w:color w:val="auto"/>
          <w:sz w:val="28"/>
          <w:szCs w:val="28"/>
        </w:rPr>
        <w:t>月</w:t>
      </w:r>
      <w:r>
        <w:rPr>
          <w:rFonts w:hint="eastAsia" w:ascii="宋体" w:hAnsi="宋体" w:cs="宋体"/>
          <w:b/>
          <w:color w:val="auto"/>
          <w:sz w:val="28"/>
          <w:szCs w:val="28"/>
          <w:lang w:val="en-US" w:eastAsia="zh-CN"/>
        </w:rPr>
        <w:t>27</w:t>
      </w:r>
      <w:r>
        <w:rPr>
          <w:rFonts w:hint="eastAsia" w:ascii="宋体" w:hAnsi="宋体" w:cs="宋体"/>
          <w:b/>
          <w:color w:val="auto"/>
          <w:sz w:val="28"/>
          <w:szCs w:val="28"/>
        </w:rPr>
        <w:t>日；</w:t>
      </w:r>
    </w:p>
    <w:p>
      <w:pPr>
        <w:numPr>
          <w:ilvl w:val="0"/>
          <w:numId w:val="5"/>
        </w:numPr>
        <w:spacing w:line="360" w:lineRule="auto"/>
        <w:ind w:left="0" w:firstLine="567"/>
        <w:rPr>
          <w:rFonts w:ascii="宋体" w:hAnsi="宋体" w:cs="宋体"/>
          <w:b/>
          <w:color w:val="auto"/>
          <w:sz w:val="28"/>
        </w:rPr>
      </w:pPr>
      <w:r>
        <w:rPr>
          <w:rFonts w:hint="eastAsia" w:ascii="宋体" w:hAnsi="宋体" w:cs="宋体"/>
          <w:b/>
          <w:color w:val="auto"/>
          <w:sz w:val="28"/>
          <w:szCs w:val="28"/>
        </w:rPr>
        <w:t>公告期限：2021年</w:t>
      </w:r>
      <w:r>
        <w:rPr>
          <w:rFonts w:hint="eastAsia" w:ascii="宋体" w:hAnsi="宋体" w:cs="宋体"/>
          <w:b/>
          <w:color w:val="auto"/>
          <w:sz w:val="28"/>
          <w:szCs w:val="28"/>
          <w:lang w:val="en-US" w:eastAsia="zh-CN"/>
        </w:rPr>
        <w:t>12</w:t>
      </w:r>
      <w:r>
        <w:rPr>
          <w:rFonts w:hint="eastAsia" w:ascii="宋体" w:hAnsi="宋体" w:cs="宋体"/>
          <w:b/>
          <w:color w:val="auto"/>
          <w:sz w:val="28"/>
          <w:szCs w:val="28"/>
        </w:rPr>
        <w:t>月</w:t>
      </w:r>
      <w:r>
        <w:rPr>
          <w:rFonts w:hint="eastAsia" w:ascii="宋体" w:hAnsi="宋体" w:cs="宋体"/>
          <w:b/>
          <w:color w:val="auto"/>
          <w:sz w:val="28"/>
          <w:szCs w:val="28"/>
          <w:lang w:val="en-US" w:eastAsia="zh-CN"/>
        </w:rPr>
        <w:t>8</w:t>
      </w:r>
      <w:r>
        <w:rPr>
          <w:rFonts w:hint="eastAsia" w:ascii="宋体" w:hAnsi="宋体" w:cs="宋体"/>
          <w:b/>
          <w:color w:val="auto"/>
          <w:sz w:val="28"/>
          <w:szCs w:val="28"/>
        </w:rPr>
        <w:t>日至</w:t>
      </w:r>
      <w:r>
        <w:rPr>
          <w:rFonts w:hint="eastAsia" w:ascii="宋体" w:hAnsi="宋体" w:cs="宋体"/>
          <w:b/>
          <w:color w:val="auto"/>
          <w:sz w:val="28"/>
          <w:szCs w:val="28"/>
          <w:lang w:val="en-US" w:eastAsia="zh-CN"/>
        </w:rPr>
        <w:t>12</w:t>
      </w:r>
      <w:r>
        <w:rPr>
          <w:rFonts w:hint="eastAsia" w:ascii="宋体" w:hAnsi="宋体" w:cs="宋体"/>
          <w:b/>
          <w:color w:val="auto"/>
          <w:sz w:val="28"/>
          <w:szCs w:val="28"/>
        </w:rPr>
        <w:t>月</w:t>
      </w:r>
      <w:r>
        <w:rPr>
          <w:rFonts w:hint="eastAsia" w:ascii="宋体" w:hAnsi="宋体" w:cs="宋体"/>
          <w:b/>
          <w:color w:val="auto"/>
          <w:sz w:val="28"/>
          <w:szCs w:val="28"/>
          <w:lang w:val="en-US" w:eastAsia="zh-CN"/>
        </w:rPr>
        <w:t>14</w:t>
      </w:r>
      <w:r>
        <w:rPr>
          <w:rFonts w:hint="eastAsia" w:ascii="宋体" w:hAnsi="宋体" w:cs="宋体"/>
          <w:b/>
          <w:color w:val="auto"/>
          <w:sz w:val="28"/>
          <w:szCs w:val="28"/>
        </w:rPr>
        <w:t>日；</w:t>
      </w:r>
    </w:p>
    <w:p>
      <w:pPr>
        <w:numPr>
          <w:ilvl w:val="0"/>
          <w:numId w:val="5"/>
        </w:numPr>
        <w:spacing w:line="360" w:lineRule="auto"/>
        <w:ind w:left="0" w:firstLine="567"/>
        <w:rPr>
          <w:rFonts w:ascii="宋体" w:hAnsi="宋体" w:cs="宋体"/>
          <w:sz w:val="28"/>
          <w:szCs w:val="28"/>
        </w:rPr>
      </w:pPr>
      <w:r>
        <w:rPr>
          <w:rFonts w:hint="eastAsia" w:ascii="宋体" w:hAnsi="宋体" w:cs="宋体"/>
          <w:sz w:val="28"/>
          <w:szCs w:val="28"/>
        </w:rPr>
        <w:t>招标文件获取截止时间之后如有潜在投标人提出要求获取招标文件的，区公资交易中心允许其获取，但该投标人如对招标文件有质疑的，应于自招标文件公告期限届满之日起七个工作日内以书面形式提出。</w:t>
      </w:r>
    </w:p>
    <w:p>
      <w:pPr>
        <w:numPr>
          <w:ilvl w:val="0"/>
          <w:numId w:val="3"/>
        </w:numPr>
        <w:spacing w:line="360" w:lineRule="auto"/>
        <w:ind w:left="0" w:firstLine="567"/>
        <w:rPr>
          <w:rFonts w:ascii="宋体" w:hAnsi="宋体" w:cs="宋体"/>
          <w:b/>
          <w:sz w:val="28"/>
          <w:szCs w:val="28"/>
        </w:rPr>
      </w:pPr>
      <w:r>
        <w:rPr>
          <w:rFonts w:hint="eastAsia" w:ascii="宋体" w:hAnsi="宋体" w:cs="宋体"/>
          <w:b/>
          <w:sz w:val="28"/>
          <w:szCs w:val="28"/>
        </w:rPr>
        <w:t>招标文件获取方式</w:t>
      </w:r>
    </w:p>
    <w:p>
      <w:pPr>
        <w:spacing w:line="360" w:lineRule="auto"/>
        <w:ind w:firstLine="565" w:firstLineChars="202"/>
        <w:rPr>
          <w:rFonts w:ascii="宋体" w:hAnsi="宋体"/>
          <w:sz w:val="28"/>
          <w:szCs w:val="28"/>
        </w:rPr>
      </w:pPr>
      <w:r>
        <w:rPr>
          <w:rFonts w:hint="eastAsia" w:ascii="宋体" w:hAnsi="宋体"/>
          <w:sz w:val="28"/>
          <w:szCs w:val="28"/>
        </w:rPr>
        <w:t>投标人要参加投标，应在成都市公共资源交易服务中心“政府采购云平台”获取采购文件。登录成都市公共资源交易服务中心门户网站（https://www.cdggzy.com/）—用户中心—政府采购云平台—项目采购—获取采购文件—申请获取采购文件。</w:t>
      </w:r>
    </w:p>
    <w:p>
      <w:pPr>
        <w:spacing w:line="360" w:lineRule="auto"/>
        <w:ind w:firstLine="565" w:firstLineChars="202"/>
        <w:rPr>
          <w:rFonts w:ascii="宋体" w:hAnsi="宋体"/>
          <w:sz w:val="28"/>
          <w:szCs w:val="28"/>
        </w:rPr>
      </w:pPr>
      <w:r>
        <w:rPr>
          <w:rFonts w:hint="eastAsia" w:ascii="宋体" w:hAnsi="宋体"/>
          <w:sz w:val="28"/>
          <w:szCs w:val="28"/>
        </w:rPr>
        <w:t>提示：</w:t>
      </w:r>
    </w:p>
    <w:p>
      <w:pPr>
        <w:spacing w:line="360" w:lineRule="auto"/>
        <w:ind w:firstLine="565" w:firstLineChars="202"/>
        <w:rPr>
          <w:rFonts w:ascii="宋体" w:hAnsi="宋体"/>
          <w:sz w:val="28"/>
          <w:szCs w:val="28"/>
        </w:rPr>
      </w:pPr>
      <w:r>
        <w:rPr>
          <w:rFonts w:hint="eastAsia" w:ascii="宋体" w:hAnsi="宋体"/>
          <w:sz w:val="28"/>
          <w:szCs w:val="28"/>
        </w:rPr>
        <w:t>（1）本项目采购文件免费获取。</w:t>
      </w:r>
    </w:p>
    <w:p>
      <w:pPr>
        <w:spacing w:line="360" w:lineRule="auto"/>
        <w:ind w:firstLine="565" w:firstLineChars="202"/>
        <w:rPr>
          <w:rFonts w:ascii="宋体" w:hAnsi="宋体"/>
          <w:sz w:val="28"/>
          <w:szCs w:val="28"/>
        </w:rPr>
      </w:pPr>
      <w:r>
        <w:rPr>
          <w:rFonts w:hint="eastAsia" w:ascii="宋体" w:hAnsi="宋体"/>
          <w:sz w:val="28"/>
          <w:szCs w:val="28"/>
        </w:rPr>
        <w:t>（2）成都市公共资源交易服务中心门户网站上采购公告附件内的采购文件仅供下载阅览使用，投标人只有在“政府采购云平台”完成获取采购文件申请并下载采购文件后才视作依法参与本项目。如未在“政府采购云平台”内完成相关流程，引起的投标无效责任自负。</w:t>
      </w:r>
    </w:p>
    <w:p>
      <w:pPr>
        <w:spacing w:line="360" w:lineRule="auto"/>
        <w:ind w:firstLine="565" w:firstLineChars="202"/>
        <w:rPr>
          <w:rFonts w:ascii="宋体" w:hAnsi="宋体"/>
          <w:sz w:val="28"/>
          <w:szCs w:val="28"/>
        </w:rPr>
      </w:pPr>
      <w:r>
        <w:rPr>
          <w:rFonts w:hint="eastAsia" w:ascii="宋体" w:hAnsi="宋体"/>
          <w:sz w:val="28"/>
          <w:szCs w:val="28"/>
        </w:rPr>
        <w:t>（3）首次登录成都市公共资源交易服务中心门户网站的新用户应先点击“注册新用户”，注册成功后再登录。</w:t>
      </w:r>
    </w:p>
    <w:p>
      <w:pPr>
        <w:spacing w:line="360" w:lineRule="auto"/>
        <w:ind w:firstLine="565" w:firstLineChars="202"/>
        <w:rPr>
          <w:rFonts w:ascii="宋体" w:hAnsi="宋体"/>
          <w:sz w:val="28"/>
          <w:szCs w:val="28"/>
        </w:rPr>
      </w:pPr>
      <w:r>
        <w:rPr>
          <w:rFonts w:hint="eastAsia" w:ascii="宋体" w:hAnsi="宋体"/>
          <w:sz w:val="28"/>
          <w:szCs w:val="28"/>
        </w:rPr>
        <w:t>（4）本项目为电子招标投标项目，投标人参与本项目全过程中凡涉及系统操作请详见《成都市全流程电子化采购系统操作指南——投标人版》。（操作指南请登录政府采购云平台后，点击“前台大厅</w:t>
      </w:r>
      <w:r>
        <w:rPr>
          <w:rFonts w:ascii="宋体" w:hAnsi="宋体"/>
          <w:sz w:val="28"/>
          <w:szCs w:val="28"/>
        </w:rPr>
        <w:t>—</w:t>
      </w:r>
      <w:r>
        <w:rPr>
          <w:rFonts w:hint="eastAsia" w:ascii="宋体" w:hAnsi="宋体"/>
          <w:sz w:val="28"/>
          <w:szCs w:val="28"/>
        </w:rPr>
        <w:t>操作指南</w:t>
      </w:r>
      <w:r>
        <w:rPr>
          <w:rFonts w:ascii="宋体" w:hAnsi="宋体"/>
          <w:sz w:val="28"/>
          <w:szCs w:val="28"/>
        </w:rPr>
        <w:t>—</w:t>
      </w:r>
      <w:r>
        <w:rPr>
          <w:rFonts w:hint="eastAsia" w:ascii="宋体" w:hAnsi="宋体"/>
          <w:sz w:val="28"/>
          <w:szCs w:val="28"/>
        </w:rPr>
        <w:t>投标人”处下载查看）。</w:t>
      </w:r>
    </w:p>
    <w:p>
      <w:pPr>
        <w:numPr>
          <w:ilvl w:val="0"/>
          <w:numId w:val="3"/>
        </w:numPr>
        <w:spacing w:line="360" w:lineRule="auto"/>
        <w:ind w:left="0" w:firstLine="567"/>
        <w:rPr>
          <w:rFonts w:ascii="宋体" w:hAnsi="宋体" w:cs="宋体"/>
          <w:b/>
          <w:sz w:val="28"/>
          <w:szCs w:val="28"/>
        </w:rPr>
      </w:pPr>
      <w:r>
        <w:rPr>
          <w:rFonts w:hint="eastAsia" w:ascii="宋体" w:hAnsi="宋体" w:cs="宋体"/>
          <w:b/>
          <w:sz w:val="28"/>
          <w:szCs w:val="28"/>
        </w:rPr>
        <w:t>招标文件获取地点</w:t>
      </w:r>
    </w:p>
    <w:p>
      <w:pPr>
        <w:spacing w:line="360" w:lineRule="auto"/>
        <w:ind w:firstLine="565" w:firstLineChars="202"/>
        <w:rPr>
          <w:rFonts w:ascii="宋体" w:hAnsi="宋体"/>
          <w:sz w:val="28"/>
          <w:szCs w:val="28"/>
        </w:rPr>
      </w:pPr>
      <w:bookmarkStart w:id="11" w:name="_Toc184023104"/>
      <w:bookmarkStart w:id="12" w:name="_Toc184013605"/>
      <w:bookmarkStart w:id="13" w:name="_Toc186274101"/>
      <w:bookmarkStart w:id="14" w:name="_Toc180051012"/>
      <w:bookmarkStart w:id="15" w:name="_Toc174185149"/>
      <w:r>
        <w:rPr>
          <w:rFonts w:hint="eastAsia" w:ascii="宋体" w:hAnsi="宋体"/>
          <w:sz w:val="28"/>
          <w:szCs w:val="28"/>
        </w:rPr>
        <w:t>登录成都市公共资源交易服务中心门户网站（https://www.cdggzy.com/）—用户中心—政府采购云平台获取</w:t>
      </w:r>
      <w:r>
        <w:rPr>
          <w:rFonts w:hint="eastAsia" w:ascii="宋体" w:hAnsi="宋体"/>
          <w:sz w:val="28"/>
        </w:rPr>
        <w:t>。</w:t>
      </w:r>
    </w:p>
    <w:p>
      <w:pPr>
        <w:numPr>
          <w:ilvl w:val="0"/>
          <w:numId w:val="3"/>
        </w:numPr>
        <w:spacing w:line="360" w:lineRule="auto"/>
        <w:ind w:left="0" w:firstLine="567"/>
        <w:rPr>
          <w:rFonts w:ascii="宋体" w:hAnsi="宋体" w:cs="宋体"/>
          <w:b/>
          <w:sz w:val="28"/>
          <w:szCs w:val="28"/>
        </w:rPr>
      </w:pPr>
      <w:r>
        <w:rPr>
          <w:rFonts w:hint="eastAsia" w:ascii="宋体" w:hAnsi="宋体" w:cs="宋体"/>
          <w:b/>
          <w:sz w:val="28"/>
          <w:szCs w:val="28"/>
        </w:rPr>
        <w:t>投标文件递交截止时间及开标时间</w:t>
      </w:r>
      <w:bookmarkEnd w:id="11"/>
      <w:bookmarkEnd w:id="12"/>
      <w:bookmarkEnd w:id="13"/>
      <w:bookmarkEnd w:id="14"/>
      <w:bookmarkEnd w:id="15"/>
      <w:r>
        <w:rPr>
          <w:rFonts w:hint="eastAsia" w:ascii="宋体" w:hAnsi="宋体" w:cs="宋体"/>
          <w:b/>
          <w:sz w:val="28"/>
          <w:szCs w:val="28"/>
        </w:rPr>
        <w:t>(北京时间)、地点、方式</w:t>
      </w:r>
    </w:p>
    <w:p>
      <w:pPr>
        <w:spacing w:line="560" w:lineRule="exact"/>
        <w:ind w:firstLine="560" w:firstLineChars="200"/>
        <w:rPr>
          <w:rFonts w:ascii="宋体" w:hAnsi="宋体"/>
          <w:b/>
          <w:color w:val="FF0000"/>
          <w:sz w:val="28"/>
          <w:szCs w:val="28"/>
        </w:rPr>
      </w:pPr>
      <w:r>
        <w:rPr>
          <w:rFonts w:hint="eastAsia" w:ascii="宋体" w:hAnsi="宋体"/>
          <w:sz w:val="28"/>
          <w:szCs w:val="28"/>
        </w:rPr>
        <w:t>（一）投标文件</w:t>
      </w:r>
      <w:r>
        <w:rPr>
          <w:rFonts w:hint="eastAsia" w:ascii="宋体" w:hAnsi="宋体"/>
          <w:color w:val="auto"/>
          <w:sz w:val="28"/>
          <w:szCs w:val="28"/>
        </w:rPr>
        <w:t>递交截止时间及开标时间：</w:t>
      </w:r>
      <w:r>
        <w:rPr>
          <w:rFonts w:hint="eastAsia" w:ascii="宋体" w:hAnsi="宋体"/>
          <w:b/>
          <w:color w:val="auto"/>
          <w:sz w:val="28"/>
          <w:szCs w:val="28"/>
        </w:rPr>
        <w:t>2021年</w:t>
      </w:r>
      <w:r>
        <w:rPr>
          <w:rFonts w:hint="eastAsia" w:ascii="宋体" w:hAnsi="宋体"/>
          <w:b/>
          <w:color w:val="auto"/>
          <w:sz w:val="28"/>
          <w:szCs w:val="28"/>
          <w:lang w:val="en-US" w:eastAsia="zh-CN"/>
        </w:rPr>
        <w:t>12</w:t>
      </w:r>
      <w:r>
        <w:rPr>
          <w:rFonts w:hint="eastAsia" w:ascii="宋体" w:hAnsi="宋体"/>
          <w:b/>
          <w:color w:val="auto"/>
          <w:sz w:val="28"/>
          <w:szCs w:val="28"/>
        </w:rPr>
        <w:t>月</w:t>
      </w:r>
      <w:r>
        <w:rPr>
          <w:rFonts w:hint="eastAsia" w:ascii="宋体" w:hAnsi="宋体"/>
          <w:b/>
          <w:color w:val="auto"/>
          <w:sz w:val="28"/>
          <w:szCs w:val="28"/>
          <w:lang w:val="en-US" w:eastAsia="zh-CN"/>
        </w:rPr>
        <w:t>28</w:t>
      </w:r>
      <w:r>
        <w:rPr>
          <w:rFonts w:hint="eastAsia" w:ascii="宋体" w:hAnsi="宋体"/>
          <w:b/>
          <w:color w:val="auto"/>
          <w:sz w:val="28"/>
          <w:szCs w:val="28"/>
        </w:rPr>
        <w:t>日上午09:</w:t>
      </w:r>
      <w:r>
        <w:rPr>
          <w:rFonts w:hint="eastAsia" w:ascii="宋体" w:hAnsi="宋体"/>
          <w:b/>
          <w:color w:val="auto"/>
          <w:sz w:val="28"/>
          <w:szCs w:val="28"/>
          <w:lang w:val="en-US" w:eastAsia="zh-CN"/>
        </w:rPr>
        <w:t>2</w:t>
      </w:r>
      <w:r>
        <w:rPr>
          <w:rFonts w:hint="eastAsia" w:ascii="宋体" w:hAnsi="宋体"/>
          <w:b/>
          <w:color w:val="auto"/>
          <w:sz w:val="28"/>
          <w:szCs w:val="28"/>
        </w:rPr>
        <w:t>0。</w:t>
      </w:r>
    </w:p>
    <w:p>
      <w:pPr>
        <w:spacing w:line="560" w:lineRule="exact"/>
        <w:ind w:firstLine="560" w:firstLineChars="200"/>
        <w:rPr>
          <w:rFonts w:ascii="宋体" w:hAnsi="宋体"/>
          <w:b/>
          <w:sz w:val="28"/>
          <w:szCs w:val="28"/>
        </w:rPr>
      </w:pPr>
      <w:r>
        <w:rPr>
          <w:rFonts w:hint="eastAsia" w:ascii="宋体" w:hAnsi="宋体"/>
          <w:sz w:val="28"/>
          <w:szCs w:val="28"/>
        </w:rPr>
        <w:t>（二）投标文件递交方式、地点：投标截止时间前，投标人应将加密的电子投标文件递交至“政府采购云平台”对应项目。</w:t>
      </w:r>
    </w:p>
    <w:p>
      <w:pPr>
        <w:numPr>
          <w:ilvl w:val="0"/>
          <w:numId w:val="3"/>
        </w:numPr>
        <w:spacing w:line="360" w:lineRule="auto"/>
        <w:ind w:left="0" w:firstLine="567"/>
        <w:rPr>
          <w:rFonts w:ascii="宋体" w:hAnsi="宋体" w:cs="宋体"/>
          <w:b/>
          <w:sz w:val="28"/>
          <w:szCs w:val="28"/>
        </w:rPr>
      </w:pPr>
      <w:r>
        <w:rPr>
          <w:rFonts w:hint="eastAsia" w:ascii="宋体" w:hAnsi="宋体" w:cs="宋体"/>
          <w:b/>
          <w:sz w:val="28"/>
          <w:szCs w:val="28"/>
        </w:rPr>
        <w:t>开标地点</w:t>
      </w:r>
    </w:p>
    <w:p>
      <w:pPr>
        <w:spacing w:line="360" w:lineRule="auto"/>
        <w:ind w:firstLine="420" w:firstLineChars="150"/>
        <w:rPr>
          <w:rFonts w:ascii="宋体" w:hAnsi="宋体"/>
          <w:sz w:val="28"/>
          <w:szCs w:val="28"/>
        </w:rPr>
      </w:pPr>
      <w:r>
        <w:rPr>
          <w:rFonts w:hint="eastAsia" w:ascii="宋体" w:hAnsi="宋体"/>
          <w:sz w:val="28"/>
          <w:szCs w:val="28"/>
        </w:rPr>
        <w:t>本项目为</w:t>
      </w:r>
      <w:r>
        <w:rPr>
          <w:rFonts w:hint="eastAsia" w:ascii="宋体" w:hAnsi="宋体"/>
          <w:b/>
          <w:bCs/>
          <w:sz w:val="28"/>
          <w:szCs w:val="28"/>
        </w:rPr>
        <w:t>不见面开标项目</w:t>
      </w:r>
      <w:r>
        <w:rPr>
          <w:rFonts w:hint="eastAsia" w:ascii="宋体" w:hAnsi="宋体"/>
          <w:sz w:val="28"/>
          <w:szCs w:val="28"/>
        </w:rPr>
        <w:t>。</w:t>
      </w:r>
    </w:p>
    <w:p>
      <w:pPr>
        <w:spacing w:line="360" w:lineRule="auto"/>
        <w:ind w:firstLine="420" w:firstLineChars="150"/>
        <w:rPr>
          <w:rFonts w:ascii="宋体" w:hAnsi="宋体"/>
          <w:sz w:val="28"/>
          <w:szCs w:val="28"/>
        </w:rPr>
      </w:pPr>
      <w:r>
        <w:rPr>
          <w:rFonts w:hint="eastAsia" w:ascii="宋体" w:hAnsi="宋体"/>
          <w:sz w:val="28"/>
          <w:szCs w:val="28"/>
        </w:rPr>
        <w:t>开标地点为：成都市公共资源交易服务中心“政府采购云平台”。登录成都市公共资源交易服务中心门户网站（https://www.cdggzy.com）—用户中心—政府采购云平台。</w:t>
      </w:r>
    </w:p>
    <w:p>
      <w:pPr>
        <w:spacing w:line="360" w:lineRule="auto"/>
        <w:ind w:firstLine="420" w:firstLineChars="150"/>
        <w:rPr>
          <w:rFonts w:ascii="宋体" w:hAnsi="宋体"/>
          <w:sz w:val="28"/>
          <w:szCs w:val="28"/>
        </w:rPr>
      </w:pPr>
      <w:r>
        <w:rPr>
          <w:rFonts w:hint="eastAsia" w:ascii="宋体" w:hAnsi="宋体"/>
          <w:sz w:val="28"/>
          <w:szCs w:val="28"/>
        </w:rPr>
        <w:t>本项目只接受投标人加密并递交至“政府采购云平台”的投标文件。</w:t>
      </w:r>
    </w:p>
    <w:p>
      <w:pPr>
        <w:numPr>
          <w:ilvl w:val="0"/>
          <w:numId w:val="3"/>
        </w:numPr>
        <w:spacing w:line="360" w:lineRule="auto"/>
        <w:ind w:left="0" w:firstLine="567"/>
        <w:rPr>
          <w:rFonts w:ascii="宋体" w:hAnsi="宋体" w:cs="宋体"/>
          <w:b/>
          <w:sz w:val="28"/>
          <w:szCs w:val="28"/>
        </w:rPr>
      </w:pPr>
      <w:r>
        <w:rPr>
          <w:rFonts w:hint="eastAsia" w:ascii="宋体" w:hAnsi="宋体" w:cs="宋体"/>
          <w:b/>
          <w:sz w:val="28"/>
          <w:szCs w:val="28"/>
        </w:rPr>
        <w:t>政采中小企业政府采购信用担保融资。</w:t>
      </w:r>
    </w:p>
    <w:p>
      <w:pPr>
        <w:spacing w:line="360" w:lineRule="auto"/>
        <w:ind w:firstLine="420" w:firstLineChars="150"/>
        <w:rPr>
          <w:rFonts w:ascii="宋体" w:hAnsi="宋体"/>
          <w:sz w:val="28"/>
          <w:szCs w:val="28"/>
        </w:rPr>
      </w:pPr>
      <w:r>
        <w:rPr>
          <w:rFonts w:hint="eastAsia" w:ascii="宋体" w:hAnsi="宋体"/>
          <w:sz w:val="28"/>
          <w:szCs w:val="28"/>
        </w:rPr>
        <w:t>本项目属于政府采购信用融资业务项目，融资利率上浮比例不超过人民银行同期贷款基准利率30%，银行机构名单、联系方式见附件1。</w:t>
      </w:r>
      <w:r>
        <w:rPr>
          <w:rFonts w:hint="eastAsia" w:ascii="宋体" w:hAnsi="宋体"/>
          <w:sz w:val="28"/>
          <w:szCs w:val="28"/>
        </w:rPr>
        <w:tab/>
      </w:r>
    </w:p>
    <w:p>
      <w:pPr>
        <w:numPr>
          <w:ilvl w:val="0"/>
          <w:numId w:val="3"/>
        </w:numPr>
        <w:spacing w:line="360" w:lineRule="auto"/>
        <w:ind w:left="0" w:firstLine="567"/>
        <w:rPr>
          <w:rFonts w:ascii="宋体" w:hAnsi="宋体" w:cs="宋体"/>
          <w:b/>
          <w:sz w:val="28"/>
          <w:szCs w:val="28"/>
        </w:rPr>
      </w:pPr>
      <w:r>
        <w:rPr>
          <w:rFonts w:hint="eastAsia" w:ascii="宋体" w:hAnsi="宋体" w:cs="宋体"/>
          <w:b/>
          <w:sz w:val="28"/>
          <w:szCs w:val="28"/>
        </w:rPr>
        <w:t>本投标邀请在“四川政府采购网”和“成都市公共资源交易服务中心”网站上以公告形式发布。</w:t>
      </w:r>
    </w:p>
    <w:p>
      <w:pPr>
        <w:numPr>
          <w:ilvl w:val="0"/>
          <w:numId w:val="3"/>
        </w:numPr>
        <w:spacing w:line="360" w:lineRule="auto"/>
        <w:ind w:left="0" w:firstLine="567"/>
        <w:rPr>
          <w:rFonts w:ascii="宋体" w:hAnsi="宋体" w:cs="宋体"/>
          <w:b/>
          <w:sz w:val="28"/>
          <w:szCs w:val="28"/>
        </w:rPr>
      </w:pPr>
      <w:r>
        <w:rPr>
          <w:rFonts w:hint="eastAsia" w:ascii="宋体" w:hAnsi="宋体" w:cs="宋体"/>
          <w:b/>
          <w:sz w:val="28"/>
          <w:szCs w:val="28"/>
        </w:rPr>
        <w:t>联系方式</w:t>
      </w:r>
    </w:p>
    <w:p>
      <w:pPr>
        <w:spacing w:line="360" w:lineRule="auto"/>
        <w:ind w:firstLine="568" w:firstLineChars="202"/>
        <w:rPr>
          <w:rFonts w:ascii="宋体" w:hAnsi="宋体" w:cs="宋体"/>
          <w:b/>
          <w:kern w:val="0"/>
          <w:sz w:val="28"/>
        </w:rPr>
      </w:pPr>
      <w:r>
        <w:rPr>
          <w:rFonts w:hint="eastAsia" w:ascii="宋体" w:hAnsi="宋体" w:cs="宋体"/>
          <w:b/>
          <w:sz w:val="28"/>
        </w:rPr>
        <w:t>采购人：</w:t>
      </w:r>
      <w:bookmarkStart w:id="16" w:name="采购单位名称_1619331007416"/>
      <w:r>
        <w:rPr>
          <w:rFonts w:hint="eastAsia" w:ascii="宋体" w:hAnsi="宋体" w:cs="宋体"/>
          <w:b/>
          <w:kern w:val="0"/>
          <w:sz w:val="28"/>
        </w:rPr>
        <w:t>成都市双流区</w:t>
      </w:r>
      <w:bookmarkEnd w:id="16"/>
      <w:r>
        <w:rPr>
          <w:rFonts w:hint="eastAsia" w:ascii="宋体" w:hAnsi="宋体" w:cs="宋体"/>
          <w:b/>
          <w:kern w:val="0"/>
          <w:sz w:val="28"/>
        </w:rPr>
        <w:t>人民政府怡心街道办事处</w:t>
      </w:r>
    </w:p>
    <w:p>
      <w:pPr>
        <w:pStyle w:val="22"/>
        <w:ind w:firstLine="560"/>
        <w:rPr>
          <w:rFonts w:ascii="宋体" w:hAnsi="宋体" w:cs="宋体"/>
          <w:color w:val="000000" w:themeColor="text1"/>
          <w:kern w:val="0"/>
          <w:sz w:val="28"/>
          <w:szCs w:val="22"/>
          <w14:textFill>
            <w14:solidFill>
              <w14:schemeClr w14:val="tx1"/>
            </w14:solidFill>
          </w14:textFill>
        </w:rPr>
      </w:pPr>
      <w:r>
        <w:rPr>
          <w:rFonts w:hint="eastAsia" w:ascii="宋体" w:hAnsi="宋体" w:cs="宋体"/>
          <w:color w:val="000000" w:themeColor="text1"/>
          <w:kern w:val="0"/>
          <w:sz w:val="28"/>
          <w:szCs w:val="22"/>
          <w14:textFill>
            <w14:solidFill>
              <w14:schemeClr w14:val="tx1"/>
            </w14:solidFill>
          </w14:textFill>
        </w:rPr>
        <w:t>地  址：成都市双流区怡心街道政府街41号</w:t>
      </w:r>
    </w:p>
    <w:p>
      <w:pPr>
        <w:pStyle w:val="22"/>
        <w:ind w:firstLine="560"/>
        <w:rPr>
          <w:rFonts w:ascii="宋体" w:hAnsi="宋体" w:cs="宋体"/>
          <w:sz w:val="28"/>
          <w:szCs w:val="22"/>
        </w:rPr>
      </w:pPr>
      <w:r>
        <w:rPr>
          <w:rFonts w:hint="eastAsia" w:ascii="宋体" w:hAnsi="宋体" w:cs="宋体"/>
          <w:kern w:val="0"/>
          <w:sz w:val="28"/>
          <w:szCs w:val="28"/>
        </w:rPr>
        <w:t>联系人：周定忠</w:t>
      </w:r>
    </w:p>
    <w:p>
      <w:pPr>
        <w:widowControl/>
        <w:adjustRightInd w:val="0"/>
        <w:snapToGrid w:val="0"/>
        <w:spacing w:line="400" w:lineRule="exact"/>
        <w:ind w:firstLine="560" w:firstLineChars="200"/>
        <w:jc w:val="left"/>
        <w:rPr>
          <w:rFonts w:ascii="宋体" w:hAnsi="宋体" w:cs="宋体"/>
          <w:sz w:val="28"/>
        </w:rPr>
      </w:pPr>
      <w:r>
        <w:rPr>
          <w:rFonts w:hint="eastAsia" w:ascii="宋体" w:hAnsi="宋体" w:cs="宋体"/>
          <w:sz w:val="28"/>
        </w:rPr>
        <w:t>联系电话：</w:t>
      </w:r>
      <w:r>
        <w:rPr>
          <w:rFonts w:hint="eastAsia" w:ascii="宋体" w:hAnsi="宋体" w:cs="宋体"/>
          <w:sz w:val="28"/>
        </w:rPr>
        <w:sym w:font="Wingdings" w:char="F081"/>
      </w:r>
      <w:r>
        <w:rPr>
          <w:rFonts w:hint="eastAsia" w:ascii="宋体" w:hAnsi="宋体" w:cs="宋体"/>
          <w:sz w:val="28"/>
        </w:rPr>
        <w:t xml:space="preserve">座机：85680025 </w:t>
      </w:r>
      <w:r>
        <w:rPr>
          <w:rFonts w:hint="eastAsia" w:ascii="宋体" w:hAnsi="宋体" w:cs="宋体"/>
          <w:sz w:val="28"/>
        </w:rPr>
        <w:sym w:font="Wingdings" w:char="F082"/>
      </w:r>
      <w:r>
        <w:rPr>
          <w:rFonts w:hint="eastAsia" w:ascii="宋体" w:hAnsi="宋体" w:cs="宋体"/>
          <w:sz w:val="28"/>
        </w:rPr>
        <w:t xml:space="preserve"> 手机：15184356699 </w:t>
      </w:r>
    </w:p>
    <w:p>
      <w:pPr>
        <w:spacing w:line="360" w:lineRule="auto"/>
        <w:ind w:firstLine="568" w:firstLineChars="202"/>
        <w:rPr>
          <w:rFonts w:ascii="宋体" w:hAnsi="宋体" w:cs="宋体"/>
          <w:b/>
          <w:sz w:val="28"/>
        </w:rPr>
      </w:pPr>
      <w:r>
        <w:rPr>
          <w:rFonts w:hint="eastAsia" w:ascii="宋体" w:hAnsi="宋体" w:cs="宋体"/>
          <w:b/>
          <w:sz w:val="28"/>
        </w:rPr>
        <w:t>成都市双流区公共资源交易服务中心</w:t>
      </w:r>
    </w:p>
    <w:p>
      <w:pPr>
        <w:spacing w:line="360" w:lineRule="auto"/>
        <w:ind w:firstLine="565" w:firstLineChars="202"/>
        <w:rPr>
          <w:rFonts w:ascii="宋体" w:hAnsi="宋体" w:cs="宋体"/>
          <w:sz w:val="28"/>
        </w:rPr>
      </w:pPr>
      <w:r>
        <w:rPr>
          <w:rFonts w:hint="eastAsia" w:ascii="宋体" w:hAnsi="宋体" w:cs="宋体"/>
          <w:sz w:val="28"/>
        </w:rPr>
        <w:t>地  址：成都市双流区西航港街道机场路土桥段八十号</w:t>
      </w:r>
    </w:p>
    <w:p>
      <w:pPr>
        <w:spacing w:line="360" w:lineRule="auto"/>
        <w:ind w:firstLine="565" w:firstLineChars="202"/>
        <w:rPr>
          <w:rFonts w:ascii="宋体" w:hAnsi="宋体" w:cs="宋体"/>
          <w:sz w:val="28"/>
        </w:rPr>
      </w:pPr>
      <w:r>
        <w:rPr>
          <w:rFonts w:hint="eastAsia" w:ascii="宋体" w:hAnsi="宋体" w:cs="宋体"/>
          <w:sz w:val="28"/>
        </w:rPr>
        <w:t>邮  编：</w:t>
      </w:r>
      <w:r>
        <w:rPr>
          <w:rFonts w:hint="eastAsia" w:ascii="宋体" w:hAnsi="宋体" w:cs="宋体"/>
          <w:kern w:val="0"/>
          <w:sz w:val="28"/>
        </w:rPr>
        <w:t>610200</w:t>
      </w:r>
    </w:p>
    <w:p>
      <w:pPr>
        <w:spacing w:line="360" w:lineRule="auto"/>
        <w:ind w:firstLine="565" w:firstLineChars="202"/>
        <w:rPr>
          <w:rFonts w:hint="eastAsia" w:ascii="宋体" w:hAnsi="宋体" w:eastAsia="宋体" w:cs="宋体"/>
          <w:sz w:val="28"/>
          <w:lang w:val="en-US" w:eastAsia="zh-CN"/>
        </w:rPr>
      </w:pPr>
      <w:r>
        <w:rPr>
          <w:rFonts w:hint="eastAsia" w:ascii="宋体" w:hAnsi="宋体" w:cs="宋体"/>
          <w:sz w:val="28"/>
        </w:rPr>
        <w:t>联系人：潘磊、</w:t>
      </w:r>
      <w:r>
        <w:rPr>
          <w:rFonts w:hint="eastAsia" w:ascii="宋体" w:hAnsi="宋体" w:cs="宋体"/>
          <w:sz w:val="28"/>
          <w:lang w:eastAsia="zh-CN"/>
        </w:rPr>
        <w:t>肖迪</w:t>
      </w:r>
    </w:p>
    <w:p>
      <w:pPr>
        <w:spacing w:line="360" w:lineRule="auto"/>
        <w:ind w:firstLine="565" w:firstLineChars="202"/>
        <w:rPr>
          <w:rFonts w:ascii="宋体" w:hAnsi="宋体" w:cs="宋体"/>
          <w:kern w:val="0"/>
          <w:sz w:val="28"/>
        </w:rPr>
      </w:pPr>
      <w:r>
        <w:rPr>
          <w:rFonts w:hint="eastAsia" w:ascii="宋体" w:hAnsi="宋体" w:cs="宋体"/>
          <w:sz w:val="28"/>
        </w:rPr>
        <w:t>联系电话：</w:t>
      </w:r>
      <w:r>
        <w:rPr>
          <w:rFonts w:hint="eastAsia" w:ascii="宋体" w:hAnsi="宋体" w:cs="宋体"/>
          <w:kern w:val="0"/>
          <w:sz w:val="28"/>
        </w:rPr>
        <w:t>028-85825012、028-85825029</w:t>
      </w:r>
    </w:p>
    <w:p>
      <w:pPr>
        <w:spacing w:line="360" w:lineRule="auto"/>
        <w:ind w:firstLine="568" w:firstLineChars="202"/>
        <w:rPr>
          <w:rFonts w:ascii="宋体" w:hAnsi="宋体" w:cs="宋体"/>
          <w:b/>
          <w:sz w:val="28"/>
        </w:rPr>
      </w:pPr>
      <w:r>
        <w:rPr>
          <w:rFonts w:hint="eastAsia" w:ascii="宋体" w:hAnsi="宋体" w:cs="宋体"/>
          <w:b/>
          <w:sz w:val="28"/>
        </w:rPr>
        <w:t>政府采购云平台</w:t>
      </w:r>
    </w:p>
    <w:p>
      <w:pPr>
        <w:spacing w:line="360" w:lineRule="auto"/>
        <w:ind w:firstLine="565" w:firstLineChars="202"/>
        <w:rPr>
          <w:rFonts w:ascii="宋体" w:hAnsi="宋体" w:cs="宋体"/>
          <w:bCs/>
          <w:sz w:val="28"/>
        </w:rPr>
      </w:pPr>
      <w:r>
        <w:rPr>
          <w:rFonts w:hint="eastAsia" w:ascii="宋体" w:hAnsi="宋体" w:cs="宋体"/>
          <w:bCs/>
          <w:sz w:val="28"/>
        </w:rPr>
        <w:t>技术支持电话：400-881-7190</w:t>
      </w:r>
    </w:p>
    <w:p>
      <w:pPr>
        <w:spacing w:line="360" w:lineRule="auto"/>
        <w:ind w:firstLine="565" w:firstLineChars="202"/>
        <w:rPr>
          <w:rFonts w:ascii="宋体" w:hAnsi="宋体" w:cs="宋体"/>
          <w:bCs/>
          <w:sz w:val="28"/>
        </w:rPr>
      </w:pPr>
      <w:r>
        <w:rPr>
          <w:rFonts w:hint="eastAsia" w:ascii="宋体" w:hAnsi="宋体" w:cs="宋体"/>
          <w:bCs/>
          <w:sz w:val="28"/>
        </w:rPr>
        <w:t>钉钉群号：32568251、33782435</w:t>
      </w:r>
    </w:p>
    <w:p>
      <w:pPr>
        <w:spacing w:line="360" w:lineRule="auto"/>
        <w:ind w:firstLine="562" w:firstLineChars="200"/>
        <w:rPr>
          <w:rFonts w:ascii="宋体" w:hAnsi="宋体" w:cs="宋体"/>
          <w:b/>
          <w:sz w:val="28"/>
          <w:szCs w:val="28"/>
        </w:rPr>
      </w:pPr>
      <w:r>
        <w:rPr>
          <w:rFonts w:hint="eastAsia" w:ascii="宋体" w:hAnsi="宋体" w:cs="宋体"/>
          <w:b/>
          <w:sz w:val="28"/>
          <w:szCs w:val="28"/>
        </w:rPr>
        <w:t>集中采购监督机构：成都市双流区财政局</w:t>
      </w:r>
    </w:p>
    <w:p>
      <w:pPr>
        <w:pStyle w:val="23"/>
        <w:tabs>
          <w:tab w:val="left" w:pos="900"/>
        </w:tabs>
        <w:spacing w:line="360" w:lineRule="auto"/>
        <w:ind w:firstLine="560"/>
        <w:rPr>
          <w:rFonts w:ascii="宋体" w:hAnsi="宋体" w:eastAsia="宋体" w:cs="宋体"/>
          <w:kern w:val="0"/>
          <w:sz w:val="28"/>
        </w:rPr>
      </w:pPr>
      <w:r>
        <w:rPr>
          <w:rFonts w:hint="eastAsia" w:ascii="宋体" w:hAnsi="宋体" w:eastAsia="宋体" w:cs="宋体"/>
          <w:kern w:val="0"/>
          <w:sz w:val="28"/>
        </w:rPr>
        <w:t>地 址：成都市双流区电视塔路2段36号</w:t>
      </w:r>
    </w:p>
    <w:p>
      <w:pPr>
        <w:pStyle w:val="23"/>
        <w:tabs>
          <w:tab w:val="left" w:pos="900"/>
        </w:tabs>
        <w:spacing w:line="360" w:lineRule="auto"/>
        <w:ind w:firstLine="560"/>
        <w:rPr>
          <w:rFonts w:ascii="宋体" w:hAnsi="宋体" w:cs="宋体"/>
        </w:rPr>
      </w:pPr>
      <w:r>
        <w:rPr>
          <w:rFonts w:hint="eastAsia" w:ascii="宋体" w:hAnsi="宋体" w:eastAsia="宋体" w:cs="宋体"/>
          <w:kern w:val="0"/>
          <w:sz w:val="28"/>
        </w:rPr>
        <w:t>联系电话：028-85804726</w:t>
      </w:r>
    </w:p>
    <w:p>
      <w:pPr>
        <w:keepNext/>
        <w:keepLines/>
        <w:numPr>
          <w:ilvl w:val="0"/>
          <w:numId w:val="2"/>
        </w:numPr>
        <w:spacing w:before="340" w:after="330" w:line="400" w:lineRule="exact"/>
        <w:jc w:val="center"/>
        <w:outlineLvl w:val="0"/>
        <w:rPr>
          <w:rFonts w:ascii="宋体" w:hAnsi="宋体" w:cs="宋体"/>
          <w:b/>
          <w:bCs/>
          <w:spacing w:val="-20"/>
          <w:kern w:val="44"/>
          <w:sz w:val="32"/>
          <w:szCs w:val="32"/>
        </w:rPr>
      </w:pPr>
      <w:bookmarkStart w:id="17" w:name="_Toc2801"/>
      <w:r>
        <w:rPr>
          <w:rFonts w:hint="eastAsia" w:ascii="宋体" w:hAnsi="宋体" w:cs="宋体"/>
          <w:b/>
          <w:bCs/>
          <w:spacing w:val="-20"/>
          <w:kern w:val="44"/>
          <w:sz w:val="32"/>
          <w:szCs w:val="32"/>
        </w:rPr>
        <w:t>投标人须知</w:t>
      </w:r>
      <w:bookmarkEnd w:id="17"/>
    </w:p>
    <w:p>
      <w:pPr>
        <w:keepNext/>
        <w:keepLines/>
        <w:numPr>
          <w:ilvl w:val="1"/>
          <w:numId w:val="6"/>
        </w:numPr>
        <w:spacing w:before="260" w:after="260" w:line="360" w:lineRule="auto"/>
        <w:jc w:val="left"/>
        <w:outlineLvl w:val="1"/>
        <w:rPr>
          <w:rFonts w:ascii="宋体" w:hAnsi="宋体" w:cs="宋体"/>
          <w:b/>
          <w:bCs/>
          <w:sz w:val="28"/>
          <w:szCs w:val="28"/>
        </w:rPr>
      </w:pPr>
      <w:bookmarkStart w:id="18" w:name="_Toc217446032"/>
      <w:bookmarkStart w:id="19" w:name="_Toc213396946"/>
      <w:bookmarkStart w:id="20" w:name="_Toc213397010"/>
      <w:bookmarkStart w:id="21" w:name="_Toc213496268"/>
      <w:bookmarkStart w:id="22" w:name="_Toc6157"/>
      <w:bookmarkStart w:id="23" w:name="_Toc189727030"/>
      <w:bookmarkStart w:id="24" w:name="_Toc11100"/>
      <w:bookmarkStart w:id="25" w:name="_Toc213396760"/>
      <w:bookmarkStart w:id="26" w:name="_Toc316462344"/>
      <w:r>
        <w:rPr>
          <w:rFonts w:hint="eastAsia" w:ascii="宋体" w:hAnsi="宋体" w:cs="宋体"/>
          <w:b/>
          <w:bCs/>
          <w:sz w:val="28"/>
          <w:szCs w:val="28"/>
        </w:rPr>
        <w:t>投标人须知前附表</w:t>
      </w:r>
      <w:bookmarkEnd w:id="18"/>
      <w:bookmarkEnd w:id="19"/>
      <w:bookmarkEnd w:id="20"/>
      <w:bookmarkEnd w:id="21"/>
      <w:bookmarkEnd w:id="22"/>
      <w:bookmarkEnd w:id="23"/>
      <w:bookmarkEnd w:id="24"/>
      <w:bookmarkEnd w:id="25"/>
      <w:bookmarkEnd w:id="26"/>
    </w:p>
    <w:tbl>
      <w:tblPr>
        <w:tblStyle w:val="16"/>
        <w:tblW w:w="9510"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84"/>
        <w:gridCol w:w="1716"/>
        <w:gridCol w:w="6910"/>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1" w:hRule="exact"/>
          <w:jc w:val="center"/>
        </w:trPr>
        <w:tc>
          <w:tcPr>
            <w:tcW w:w="884" w:type="dxa"/>
            <w:tcBorders>
              <w:top w:val="single" w:color="auto" w:sz="18" w:space="0"/>
              <w:left w:val="single" w:color="auto" w:sz="18" w:space="0"/>
              <w:bottom w:val="single" w:color="auto" w:sz="8" w:space="0"/>
              <w:right w:val="single" w:color="auto" w:sz="8" w:space="0"/>
            </w:tcBorders>
            <w:vAlign w:val="center"/>
          </w:tcPr>
          <w:p>
            <w:pPr>
              <w:snapToGrid w:val="0"/>
              <w:jc w:val="center"/>
              <w:rPr>
                <w:rFonts w:ascii="宋体" w:hAnsi="宋体" w:cs="宋体"/>
                <w:b/>
              </w:rPr>
            </w:pPr>
            <w:r>
              <w:rPr>
                <w:rFonts w:hint="eastAsia" w:ascii="宋体" w:hAnsi="宋体" w:cs="宋体"/>
                <w:b/>
                <w:sz w:val="28"/>
                <w:szCs w:val="28"/>
                <w:lang w:val="zh-CN"/>
              </w:rPr>
              <w:t>序号</w:t>
            </w:r>
          </w:p>
        </w:tc>
        <w:tc>
          <w:tcPr>
            <w:tcW w:w="1716" w:type="dxa"/>
            <w:tcBorders>
              <w:top w:val="single" w:color="auto" w:sz="18" w:space="0"/>
              <w:left w:val="single" w:color="auto" w:sz="8" w:space="0"/>
              <w:bottom w:val="single" w:color="auto" w:sz="8" w:space="0"/>
              <w:right w:val="single" w:color="auto" w:sz="8" w:space="0"/>
            </w:tcBorders>
            <w:vAlign w:val="center"/>
          </w:tcPr>
          <w:p>
            <w:pPr>
              <w:autoSpaceDE w:val="0"/>
              <w:autoSpaceDN w:val="0"/>
              <w:adjustRightInd w:val="0"/>
              <w:spacing w:line="360" w:lineRule="auto"/>
              <w:ind w:left="38"/>
              <w:jc w:val="center"/>
              <w:rPr>
                <w:rFonts w:ascii="宋体" w:hAnsi="宋体" w:cs="宋体"/>
                <w:b/>
                <w:lang w:val="zh-CN"/>
              </w:rPr>
            </w:pPr>
            <w:r>
              <w:rPr>
                <w:rFonts w:hint="eastAsia" w:ascii="宋体" w:hAnsi="宋体" w:cs="宋体"/>
                <w:b/>
                <w:sz w:val="28"/>
                <w:szCs w:val="28"/>
                <w:lang w:val="zh-CN"/>
              </w:rPr>
              <w:t>应知事项</w:t>
            </w:r>
          </w:p>
        </w:tc>
        <w:tc>
          <w:tcPr>
            <w:tcW w:w="6910" w:type="dxa"/>
            <w:tcBorders>
              <w:top w:val="single" w:color="auto" w:sz="18" w:space="0"/>
              <w:left w:val="single" w:color="auto" w:sz="8" w:space="0"/>
              <w:bottom w:val="single" w:color="auto" w:sz="8" w:space="0"/>
              <w:right w:val="single" w:color="auto" w:sz="18" w:space="0"/>
            </w:tcBorders>
            <w:vAlign w:val="center"/>
          </w:tcPr>
          <w:p>
            <w:pPr>
              <w:autoSpaceDE w:val="0"/>
              <w:autoSpaceDN w:val="0"/>
              <w:adjustRightInd w:val="0"/>
              <w:spacing w:line="360" w:lineRule="auto"/>
              <w:jc w:val="center"/>
              <w:rPr>
                <w:rFonts w:ascii="宋体" w:hAnsi="宋体" w:cs="宋体"/>
                <w:b/>
                <w:lang w:val="zh-CN"/>
              </w:rPr>
            </w:pPr>
            <w:r>
              <w:rPr>
                <w:rFonts w:hint="eastAsia" w:ascii="宋体" w:hAnsi="宋体" w:cs="宋体"/>
                <w:b/>
                <w:sz w:val="28"/>
                <w:szCs w:val="28"/>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6" w:hRule="exac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line="360" w:lineRule="auto"/>
              <w:ind w:left="630"/>
              <w:jc w:val="center"/>
              <w:rPr>
                <w:rFonts w:ascii="宋体" w:hAnsi="宋体" w:cs="宋体"/>
                <w:sz w:val="24"/>
                <w:szCs w:val="24"/>
              </w:rPr>
            </w:pPr>
          </w:p>
        </w:tc>
        <w:tc>
          <w:tcPr>
            <w:tcW w:w="1716" w:type="dxa"/>
            <w:tcBorders>
              <w:top w:val="single" w:color="auto" w:sz="8" w:space="0"/>
              <w:left w:val="single" w:color="auto" w:sz="8" w:space="0"/>
              <w:bottom w:val="single" w:color="auto" w:sz="8" w:space="0"/>
              <w:right w:val="single" w:color="auto" w:sz="8" w:space="0"/>
            </w:tcBorders>
            <w:vAlign w:val="center"/>
          </w:tcPr>
          <w:p>
            <w:pPr>
              <w:spacing w:line="360" w:lineRule="auto"/>
              <w:ind w:right="210" w:rightChars="100"/>
              <w:rPr>
                <w:rFonts w:ascii="宋体" w:hAnsi="宋体" w:cs="宋体"/>
                <w:sz w:val="24"/>
                <w:szCs w:val="24"/>
              </w:rPr>
            </w:pPr>
            <w:r>
              <w:rPr>
                <w:rFonts w:hint="eastAsia" w:ascii="宋体" w:hAnsi="宋体" w:cs="宋体"/>
                <w:sz w:val="24"/>
                <w:szCs w:val="24"/>
              </w:rPr>
              <w:t>采购预算</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ind w:right="210" w:rightChars="100"/>
              <w:rPr>
                <w:rFonts w:ascii="宋体" w:hAnsi="宋体" w:cs="宋体"/>
                <w:b/>
                <w:sz w:val="24"/>
                <w:szCs w:val="24"/>
                <w:lang w:val="zh-CN"/>
              </w:rPr>
            </w:pPr>
            <w:r>
              <w:rPr>
                <w:rFonts w:hint="eastAsia" w:ascii="宋体" w:hAnsi="宋体" w:cs="宋体"/>
                <w:b/>
                <w:bCs/>
                <w:sz w:val="24"/>
                <w:szCs w:val="24"/>
              </w:rPr>
              <w:t>人民币1046000.00元/年。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906" w:hRule="exac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line="360" w:lineRule="auto"/>
              <w:ind w:left="630"/>
              <w:jc w:val="center"/>
              <w:rPr>
                <w:rFonts w:ascii="宋体" w:hAnsi="宋体" w:cs="宋体"/>
                <w:sz w:val="24"/>
                <w:szCs w:val="24"/>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rPr>
                <w:rFonts w:ascii="宋体" w:hAnsi="宋体" w:cs="宋体"/>
                <w:sz w:val="24"/>
                <w:szCs w:val="24"/>
                <w:lang w:val="zh-CN"/>
              </w:rPr>
            </w:pPr>
            <w:r>
              <w:rPr>
                <w:rFonts w:hint="eastAsia" w:ascii="宋体" w:hAnsi="宋体" w:cs="宋体"/>
                <w:sz w:val="24"/>
                <w:szCs w:val="24"/>
                <w:lang w:val="zh-CN"/>
              </w:rPr>
              <w:t>最高限价</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ind w:right="210" w:rightChars="100"/>
              <w:rPr>
                <w:rFonts w:ascii="宋体" w:hAnsi="宋体" w:cs="宋体"/>
                <w:b/>
                <w:sz w:val="24"/>
                <w:szCs w:val="24"/>
                <w:lang w:val="zh-CN"/>
              </w:rPr>
            </w:pPr>
            <w:r>
              <w:rPr>
                <w:rFonts w:hint="eastAsia" w:ascii="宋体" w:hAnsi="宋体" w:cs="宋体"/>
                <w:bCs/>
                <w:sz w:val="24"/>
                <w:szCs w:val="24"/>
                <w:lang w:val="zh-CN"/>
              </w:rPr>
              <w:t>本项目总最高限价为人民币</w:t>
            </w:r>
            <w:r>
              <w:rPr>
                <w:rFonts w:hint="eastAsia" w:ascii="宋体" w:hAnsi="宋体" w:cs="宋体"/>
                <w:bCs/>
                <w:sz w:val="24"/>
                <w:szCs w:val="24"/>
              </w:rPr>
              <w:t>1046000.00</w:t>
            </w:r>
            <w:r>
              <w:rPr>
                <w:rFonts w:hint="eastAsia" w:ascii="宋体" w:hAnsi="宋体" w:cs="宋体"/>
                <w:bCs/>
                <w:sz w:val="24"/>
                <w:szCs w:val="24"/>
                <w:lang w:val="zh-CN"/>
              </w:rPr>
              <w:t>元</w:t>
            </w:r>
            <w:r>
              <w:rPr>
                <w:rFonts w:hint="eastAsia" w:ascii="宋体" w:hAnsi="宋体" w:cs="宋体"/>
                <w:bCs/>
                <w:sz w:val="24"/>
                <w:szCs w:val="24"/>
              </w:rPr>
              <w:t>/年</w:t>
            </w:r>
            <w:r>
              <w:rPr>
                <w:rFonts w:hint="eastAsia" w:ascii="宋体" w:hAnsi="宋体" w:cs="宋体"/>
                <w:bCs/>
                <w:sz w:val="24"/>
                <w:szCs w:val="24"/>
                <w:lang w:val="zh-CN"/>
              </w:rPr>
              <w:t>，</w:t>
            </w:r>
            <w:r>
              <w:rPr>
                <w:rFonts w:hint="eastAsia" w:ascii="宋体" w:hAnsi="宋体" w:cs="宋体"/>
                <w:b/>
                <w:sz w:val="24"/>
                <w:szCs w:val="24"/>
                <w:lang w:val="zh-CN"/>
              </w:rPr>
              <w:t>投标人投标报价超过所投最高限价的，则其所投投标文件将按无效投标文件处理。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08" w:hRule="exac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line="360" w:lineRule="auto"/>
              <w:ind w:left="630"/>
              <w:jc w:val="center"/>
              <w:rPr>
                <w:rFonts w:ascii="宋体" w:hAnsi="宋体" w:cs="宋体"/>
                <w:sz w:val="24"/>
                <w:szCs w:val="24"/>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rPr>
                <w:rFonts w:ascii="宋体" w:hAnsi="宋体" w:cs="宋体"/>
                <w:sz w:val="24"/>
                <w:szCs w:val="24"/>
                <w:lang w:val="zh-CN"/>
              </w:rPr>
            </w:pPr>
            <w:r>
              <w:rPr>
                <w:rFonts w:hint="eastAsia" w:ascii="宋体" w:hAnsi="宋体" w:cs="宋体"/>
                <w:sz w:val="24"/>
                <w:szCs w:val="24"/>
                <w:lang w:val="zh-CN"/>
              </w:rPr>
              <w:t>采购方式</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rPr>
                <w:rFonts w:ascii="宋体" w:hAnsi="宋体" w:cs="宋体"/>
                <w:sz w:val="24"/>
                <w:szCs w:val="24"/>
                <w:lang w:val="zh-CN"/>
              </w:rPr>
            </w:pPr>
            <w:r>
              <w:rPr>
                <w:rFonts w:hint="eastAsia" w:ascii="宋体" w:hAnsi="宋体" w:cs="宋体"/>
                <w:sz w:val="24"/>
                <w:szCs w:val="24"/>
                <w:lang w:val="zh-CN"/>
              </w:rPr>
              <w:t>公开招标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6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line="360" w:lineRule="auto"/>
              <w:ind w:left="630"/>
              <w:jc w:val="center"/>
              <w:rPr>
                <w:rFonts w:ascii="宋体" w:hAnsi="宋体" w:cs="宋体"/>
                <w:sz w:val="24"/>
                <w:szCs w:val="24"/>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rPr>
                <w:rFonts w:ascii="宋体" w:hAnsi="宋体" w:cs="宋体"/>
                <w:sz w:val="24"/>
                <w:szCs w:val="24"/>
                <w:lang w:val="zh-CN"/>
              </w:rPr>
            </w:pPr>
            <w:r>
              <w:rPr>
                <w:rFonts w:hint="eastAsia" w:ascii="宋体" w:hAnsi="宋体" w:cs="宋体"/>
                <w:sz w:val="24"/>
                <w:szCs w:val="24"/>
                <w:lang w:val="zh-CN"/>
              </w:rPr>
              <w:t>评标方法</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rPr>
                <w:rFonts w:ascii="宋体" w:hAnsi="宋体" w:cs="宋体"/>
                <w:sz w:val="24"/>
                <w:szCs w:val="24"/>
                <w:lang w:val="zh-CN"/>
              </w:rPr>
            </w:pPr>
            <w:r>
              <w:rPr>
                <w:rFonts w:hint="eastAsia" w:ascii="宋体" w:hAnsi="宋体" w:cs="宋体"/>
                <w:sz w:val="24"/>
                <w:szCs w:val="24"/>
                <w:lang w:val="zh-CN"/>
              </w:rPr>
              <w:t>综合评分法(详见第6章)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1"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line="360" w:lineRule="auto"/>
              <w:ind w:left="630"/>
              <w:jc w:val="center"/>
              <w:rPr>
                <w:rFonts w:ascii="宋体" w:hAnsi="宋体" w:cs="宋体"/>
                <w:sz w:val="24"/>
                <w:szCs w:val="24"/>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ind w:right="210" w:rightChars="100"/>
              <w:rPr>
                <w:rFonts w:ascii="宋体" w:hAnsi="宋体" w:cs="宋体"/>
                <w:sz w:val="24"/>
                <w:szCs w:val="24"/>
                <w:lang w:val="zh-CN"/>
              </w:rPr>
            </w:pPr>
            <w:r>
              <w:rPr>
                <w:rFonts w:hint="eastAsia" w:ascii="宋体" w:hAnsi="宋体" w:cs="宋体"/>
                <w:sz w:val="24"/>
                <w:szCs w:val="24"/>
                <w:lang w:val="zh-CN"/>
              </w:rPr>
              <w:t>低于成本价不正当竞争预防措施</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ind w:right="210" w:rightChars="100"/>
              <w:rPr>
                <w:rFonts w:ascii="宋体" w:hAnsi="宋体" w:cs="宋体"/>
                <w:sz w:val="24"/>
                <w:szCs w:val="24"/>
              </w:rPr>
            </w:pPr>
            <w:r>
              <w:rPr>
                <w:rFonts w:hint="eastAsia" w:ascii="宋体" w:hAnsi="宋体" w:cs="宋体"/>
                <w:sz w:val="24"/>
                <w:szCs w:val="24"/>
                <w:lang w:val="zh-CN"/>
              </w:rPr>
              <w:t>在评标过程中，评标委员会认为投标人投标报价明显低于其他通过符合性审查投标人的投标报价，有可能影响产品质量或者不能诚信履约的，评标委员会应当要求其在合理的时间内提供书面说明，必要时提交相关证明材料。投标人提交的书面说明、相关证明材料（如涉及），应当加盖投标人（法定名称）电子签章，在评标委员会要求的时间内通过政府采购云平台进行递交，否则无效。如因断电、断网、系统故障或其他不可抗力等因素，导致系统无法使用的，由投标人按评标委员会的要求进行澄清或者说明。投标人不能证明其投标报价合理性的，评标委员会应当将其投标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251" w:hRule="atLeast"/>
          <w:jc w:val="center"/>
        </w:trPr>
        <w:tc>
          <w:tcPr>
            <w:tcW w:w="884" w:type="dxa"/>
            <w:tcBorders>
              <w:top w:val="single" w:color="auto" w:sz="8" w:space="0"/>
              <w:left w:val="single" w:color="auto" w:sz="18" w:space="0"/>
              <w:right w:val="single" w:color="auto" w:sz="8" w:space="0"/>
            </w:tcBorders>
            <w:vAlign w:val="center"/>
          </w:tcPr>
          <w:p>
            <w:pPr>
              <w:numPr>
                <w:ilvl w:val="0"/>
                <w:numId w:val="7"/>
              </w:numPr>
              <w:snapToGrid w:val="0"/>
              <w:spacing w:line="360" w:lineRule="auto"/>
              <w:ind w:left="630"/>
              <w:jc w:val="center"/>
              <w:rPr>
                <w:rFonts w:ascii="宋体" w:hAnsi="宋体" w:cs="宋体"/>
                <w:sz w:val="24"/>
                <w:szCs w:val="24"/>
              </w:rPr>
            </w:pPr>
          </w:p>
        </w:tc>
        <w:tc>
          <w:tcPr>
            <w:tcW w:w="1716" w:type="dxa"/>
            <w:tcBorders>
              <w:top w:val="single" w:color="auto" w:sz="8" w:space="0"/>
              <w:left w:val="single" w:color="auto" w:sz="8" w:space="0"/>
              <w:right w:val="single" w:color="auto" w:sz="8" w:space="0"/>
            </w:tcBorders>
            <w:vAlign w:val="center"/>
          </w:tcPr>
          <w:p>
            <w:pPr>
              <w:pStyle w:val="24"/>
              <w:spacing w:line="360" w:lineRule="auto"/>
              <w:ind w:left="96"/>
              <w:jc w:val="center"/>
              <w:rPr>
                <w:lang w:val="zh-CN"/>
              </w:rPr>
            </w:pPr>
            <w:r>
              <w:rPr>
                <w:rFonts w:hint="eastAsia"/>
                <w:lang w:val="zh-CN"/>
              </w:rPr>
              <w:t>小微企业（监狱企业、残疾人福利性单位视同小微企业）价格扣除</w:t>
            </w:r>
          </w:p>
        </w:tc>
        <w:tc>
          <w:tcPr>
            <w:tcW w:w="6910" w:type="dxa"/>
            <w:tcBorders>
              <w:top w:val="single" w:color="auto" w:sz="8" w:space="0"/>
              <w:left w:val="single" w:color="auto" w:sz="8" w:space="0"/>
              <w:bottom w:val="single" w:color="auto" w:sz="8" w:space="0"/>
              <w:right w:val="single" w:color="auto" w:sz="18" w:space="0"/>
            </w:tcBorders>
            <w:vAlign w:val="center"/>
          </w:tcPr>
          <w:p>
            <w:pPr>
              <w:widowControl/>
              <w:jc w:val="left"/>
              <w:rPr>
                <w:rFonts w:ascii="宋体" w:hAnsi="宋体" w:cs="宋体"/>
                <w:sz w:val="24"/>
                <w:szCs w:val="24"/>
                <w:lang w:val="zh-CN"/>
              </w:rPr>
            </w:pPr>
            <w:r>
              <w:rPr>
                <w:rFonts w:hint="eastAsia" w:ascii="宋体" w:hAnsi="宋体" w:cs="宋体"/>
                <w:sz w:val="24"/>
                <w:szCs w:val="24"/>
                <w:lang w:val="zh-CN"/>
              </w:rPr>
              <w:t>小微企业（监狱企业、残疾人福利性单位均视同小、微企业）价格扣除：</w:t>
            </w:r>
          </w:p>
          <w:p>
            <w:pPr>
              <w:widowControl/>
              <w:spacing w:line="360" w:lineRule="auto"/>
              <w:jc w:val="left"/>
              <w:rPr>
                <w:rFonts w:ascii="宋体" w:hAnsi="宋体" w:cs="宋体"/>
                <w:sz w:val="24"/>
                <w:szCs w:val="24"/>
                <w:lang w:val="zh-CN"/>
              </w:rPr>
            </w:pPr>
            <w:r>
              <w:rPr>
                <w:rFonts w:hint="eastAsia" w:ascii="宋体" w:hAnsi="宋体" w:cs="宋体"/>
                <w:sz w:val="24"/>
                <w:szCs w:val="24"/>
                <w:lang w:val="zh-CN"/>
              </w:rPr>
              <w:t>1.根据《政府采购促进中小企业发展管理办法》（财库[2020]46号）的规定，对小型和微型企业的价格给予10%的价格扣除，用扣除后的价格参与评标。</w:t>
            </w:r>
          </w:p>
          <w:p>
            <w:pPr>
              <w:widowControl/>
              <w:spacing w:line="360" w:lineRule="auto"/>
              <w:jc w:val="left"/>
              <w:rPr>
                <w:rFonts w:ascii="宋体" w:hAnsi="宋体" w:cs="宋体"/>
                <w:sz w:val="24"/>
                <w:szCs w:val="24"/>
                <w:lang w:val="zh-CN"/>
              </w:rPr>
            </w:pPr>
            <w:r>
              <w:rPr>
                <w:rFonts w:hint="eastAsia" w:ascii="宋体" w:hAnsi="宋体" w:cs="宋体"/>
                <w:sz w:val="24"/>
                <w:szCs w:val="24"/>
                <w:lang w:val="zh-CN"/>
              </w:rPr>
              <w:t>2.参加政府采购活动的中小企业提供《中小企业声明函》，未提供视为放弃享受小微企业价格扣除优惠政策。</w:t>
            </w:r>
          </w:p>
          <w:p>
            <w:pPr>
              <w:widowControl/>
              <w:spacing w:line="360" w:lineRule="auto"/>
              <w:jc w:val="left"/>
              <w:rPr>
                <w:rFonts w:ascii="宋体" w:hAnsi="宋体" w:cs="宋体"/>
                <w:sz w:val="24"/>
                <w:szCs w:val="24"/>
                <w:lang w:val="zh-CN"/>
              </w:rPr>
            </w:pPr>
            <w:r>
              <w:rPr>
                <w:rFonts w:hint="eastAsia" w:ascii="宋体" w:hAnsi="宋体" w:cs="宋体"/>
                <w:sz w:val="24"/>
                <w:szCs w:val="24"/>
                <w:lang w:val="zh-CN"/>
              </w:rPr>
              <w:t>3.监狱企业参加政府采购活动时，应当提供由省级以上监狱管理局、戒毒管理局（含新疆生产建设兵团）出具的属于监狱企业的证明文件复印件。</w:t>
            </w:r>
          </w:p>
          <w:p>
            <w:pPr>
              <w:widowControl/>
              <w:spacing w:line="360" w:lineRule="auto"/>
              <w:jc w:val="left"/>
              <w:rPr>
                <w:rFonts w:ascii="宋体" w:hAnsi="宋体" w:cs="宋体"/>
                <w:sz w:val="24"/>
                <w:szCs w:val="24"/>
                <w:lang w:val="zh-CN"/>
              </w:rPr>
            </w:pPr>
            <w:r>
              <w:rPr>
                <w:rFonts w:hint="eastAsia" w:ascii="宋体" w:hAnsi="宋体" w:cs="宋体"/>
                <w:sz w:val="24"/>
                <w:szCs w:val="24"/>
                <w:lang w:val="zh-CN"/>
              </w:rPr>
              <w:t>4.参加政府采购活动的残疾人福利性单位应当提供《残疾人福利性单位声明函》，未提供视为放弃享受小微企业价格扣除优惠政策。</w:t>
            </w:r>
          </w:p>
          <w:p>
            <w:pPr>
              <w:pStyle w:val="2"/>
              <w:rPr>
                <w:lang w:val="zh-CN"/>
              </w:rPr>
            </w:pPr>
            <w:r>
              <w:rPr>
                <w:rFonts w:hint="eastAsia" w:ascii="宋体" w:hAnsi="宋体" w:cs="宋体"/>
                <w:color w:val="auto"/>
                <w:sz w:val="24"/>
                <w:szCs w:val="24"/>
                <w:lang w:val="zh-CN"/>
              </w:rPr>
              <w:t>5</w:t>
            </w:r>
            <w:r>
              <w:rPr>
                <w:rFonts w:hint="eastAsia" w:ascii="宋体" w:hAnsi="宋体" w:cs="宋体"/>
                <w:b/>
                <w:bCs/>
                <w:color w:val="auto"/>
                <w:sz w:val="24"/>
                <w:szCs w:val="24"/>
                <w:lang w:val="zh-CN"/>
              </w:rPr>
              <w:t>.本项目为专门面向中小企业采购的项目或者采购包，不再执行价格评审优惠的扶持政策。</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6"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line="360" w:lineRule="auto"/>
              <w:ind w:left="630"/>
              <w:jc w:val="center"/>
              <w:rPr>
                <w:rFonts w:ascii="宋体" w:hAnsi="宋体" w:cs="宋体"/>
                <w:sz w:val="24"/>
                <w:szCs w:val="24"/>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rPr>
                <w:rFonts w:ascii="宋体" w:hAnsi="宋体" w:cs="宋体"/>
                <w:sz w:val="24"/>
                <w:szCs w:val="24"/>
                <w:lang w:val="zh-CN"/>
              </w:rPr>
            </w:pPr>
            <w:r>
              <w:rPr>
                <w:rFonts w:hint="eastAsia" w:ascii="宋体" w:hAnsi="宋体" w:cs="宋体"/>
                <w:sz w:val="24"/>
                <w:szCs w:val="24"/>
                <w:lang w:val="zh-CN"/>
              </w:rPr>
              <w:t>投标保证金</w:t>
            </w:r>
          </w:p>
        </w:tc>
        <w:tc>
          <w:tcPr>
            <w:tcW w:w="6910" w:type="dxa"/>
            <w:tcBorders>
              <w:top w:val="single" w:color="auto" w:sz="8" w:space="0"/>
              <w:left w:val="single" w:color="auto" w:sz="8" w:space="0"/>
              <w:bottom w:val="single" w:color="auto" w:sz="8" w:space="0"/>
              <w:right w:val="single" w:color="auto" w:sz="18" w:space="0"/>
            </w:tcBorders>
            <w:vAlign w:val="center"/>
          </w:tcPr>
          <w:p>
            <w:pPr>
              <w:spacing w:line="360" w:lineRule="auto"/>
              <w:rPr>
                <w:rFonts w:ascii="宋体" w:hAnsi="宋体" w:cs="宋体"/>
                <w:b/>
                <w:sz w:val="24"/>
                <w:szCs w:val="24"/>
              </w:rPr>
            </w:pPr>
            <w:r>
              <w:rPr>
                <w:rFonts w:hint="eastAsia" w:ascii="宋体" w:hAnsi="宋体" w:cs="宋体"/>
                <w:b/>
                <w:sz w:val="24"/>
                <w:szCs w:val="24"/>
              </w:rPr>
              <w:t>本项目不收取投标保证金。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93"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line="360" w:lineRule="auto"/>
              <w:ind w:left="630"/>
              <w:jc w:val="center"/>
              <w:rPr>
                <w:rFonts w:ascii="宋体" w:hAnsi="宋体" w:cs="宋体"/>
                <w:sz w:val="24"/>
                <w:szCs w:val="24"/>
              </w:rPr>
            </w:pPr>
          </w:p>
        </w:tc>
        <w:tc>
          <w:tcPr>
            <w:tcW w:w="1716" w:type="dxa"/>
            <w:tcBorders>
              <w:top w:val="single" w:color="auto" w:sz="8" w:space="0"/>
              <w:left w:val="single" w:color="auto" w:sz="8" w:space="0"/>
              <w:bottom w:val="single" w:color="auto" w:sz="8" w:space="0"/>
              <w:right w:val="single" w:color="auto" w:sz="8" w:space="0"/>
            </w:tcBorders>
            <w:vAlign w:val="center"/>
          </w:tcPr>
          <w:p>
            <w:pPr>
              <w:spacing w:line="360" w:lineRule="auto"/>
              <w:rPr>
                <w:rFonts w:ascii="宋体" w:hAnsi="宋体" w:cs="宋体"/>
                <w:sz w:val="24"/>
                <w:szCs w:val="24"/>
                <w:lang w:val="zh-CN"/>
              </w:rPr>
            </w:pPr>
            <w:r>
              <w:rPr>
                <w:rFonts w:hint="eastAsia" w:ascii="宋体" w:hAnsi="宋体" w:cs="宋体"/>
                <w:sz w:val="24"/>
                <w:szCs w:val="24"/>
                <w:lang w:val="zh-CN"/>
              </w:rPr>
              <w:t>履约保证金</w:t>
            </w:r>
          </w:p>
        </w:tc>
        <w:tc>
          <w:tcPr>
            <w:tcW w:w="6910" w:type="dxa"/>
            <w:tcBorders>
              <w:top w:val="single" w:color="auto" w:sz="8" w:space="0"/>
              <w:left w:val="single" w:color="auto" w:sz="8" w:space="0"/>
              <w:bottom w:val="single" w:color="auto" w:sz="8" w:space="0"/>
              <w:right w:val="single" w:color="auto" w:sz="18" w:space="0"/>
            </w:tcBorders>
            <w:vAlign w:val="center"/>
          </w:tcPr>
          <w:p>
            <w:pPr>
              <w:spacing w:line="360" w:lineRule="auto"/>
              <w:rPr>
                <w:rFonts w:ascii="宋体" w:hAnsi="宋体" w:cs="宋体"/>
                <w:sz w:val="24"/>
                <w:szCs w:val="24"/>
                <w:lang w:val="zh-CN"/>
              </w:rPr>
            </w:pPr>
            <w:r>
              <w:rPr>
                <w:rFonts w:hint="eastAsia" w:ascii="宋体" w:hAnsi="宋体" w:cs="宋体"/>
                <w:sz w:val="24"/>
                <w:szCs w:val="24"/>
                <w:lang w:val="zh-CN"/>
              </w:rPr>
              <w:t>详见</w:t>
            </w:r>
            <w:r>
              <w:rPr>
                <w:rFonts w:hint="eastAsia" w:ascii="宋体" w:hAnsi="宋体" w:cs="宋体"/>
                <w:sz w:val="24"/>
                <w:szCs w:val="24"/>
              </w:rPr>
              <w:t>第2章</w:t>
            </w:r>
            <w:r>
              <w:rPr>
                <w:rFonts w:hint="eastAsia" w:ascii="宋体" w:hAnsi="宋体" w:cs="宋体"/>
                <w:sz w:val="24"/>
                <w:szCs w:val="24"/>
                <w:lang w:val="zh-CN"/>
              </w:rPr>
              <w:t>投标人须知2.6.4</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line="360" w:lineRule="auto"/>
              <w:ind w:left="630"/>
              <w:jc w:val="center"/>
              <w:rPr>
                <w:rFonts w:ascii="宋体" w:hAnsi="宋体" w:cs="宋体"/>
                <w:sz w:val="24"/>
                <w:szCs w:val="24"/>
              </w:rPr>
            </w:pPr>
          </w:p>
        </w:tc>
        <w:tc>
          <w:tcPr>
            <w:tcW w:w="1716" w:type="dxa"/>
            <w:tcBorders>
              <w:top w:val="single" w:color="auto" w:sz="8" w:space="0"/>
              <w:left w:val="single" w:color="auto" w:sz="8" w:space="0"/>
              <w:bottom w:val="single" w:color="auto" w:sz="8" w:space="0"/>
              <w:right w:val="single" w:color="auto" w:sz="8" w:space="0"/>
            </w:tcBorders>
            <w:vAlign w:val="center"/>
          </w:tcPr>
          <w:p>
            <w:pPr>
              <w:spacing w:line="360" w:lineRule="auto"/>
              <w:rPr>
                <w:rFonts w:ascii="宋体" w:hAnsi="宋体" w:cs="宋体"/>
                <w:sz w:val="24"/>
                <w:szCs w:val="24"/>
                <w:lang w:val="zh-CN"/>
              </w:rPr>
            </w:pPr>
            <w:r>
              <w:rPr>
                <w:rFonts w:hint="eastAsia" w:ascii="宋体" w:hAnsi="宋体" w:cs="宋体"/>
                <w:sz w:val="24"/>
                <w:szCs w:val="24"/>
                <w:lang w:val="zh-CN"/>
              </w:rPr>
              <w:t>投标有效期</w:t>
            </w:r>
          </w:p>
        </w:tc>
        <w:tc>
          <w:tcPr>
            <w:tcW w:w="6910" w:type="dxa"/>
            <w:tcBorders>
              <w:top w:val="single" w:color="auto" w:sz="8" w:space="0"/>
              <w:left w:val="single" w:color="auto" w:sz="8" w:space="0"/>
              <w:bottom w:val="single" w:color="auto" w:sz="8" w:space="0"/>
              <w:right w:val="single" w:color="auto" w:sz="18" w:space="0"/>
            </w:tcBorders>
            <w:vAlign w:val="center"/>
          </w:tcPr>
          <w:p>
            <w:pPr>
              <w:spacing w:line="360" w:lineRule="auto"/>
              <w:rPr>
                <w:rFonts w:ascii="宋体" w:hAnsi="宋体" w:cs="宋体"/>
                <w:sz w:val="24"/>
                <w:szCs w:val="24"/>
                <w:lang w:val="zh-CN"/>
              </w:rPr>
            </w:pPr>
            <w:r>
              <w:rPr>
                <w:rFonts w:hint="eastAsia" w:ascii="宋体" w:hAnsi="宋体" w:cs="宋体"/>
                <w:sz w:val="24"/>
                <w:szCs w:val="24"/>
                <w:lang w:val="zh-CN"/>
              </w:rPr>
              <w:t>提交投标文件的截止之日起</w:t>
            </w:r>
            <w:r>
              <w:rPr>
                <w:rFonts w:hint="eastAsia" w:ascii="宋体" w:hAnsi="宋体" w:cs="宋体"/>
                <w:sz w:val="24"/>
                <w:szCs w:val="24"/>
                <w:u w:val="single"/>
                <w:lang w:val="zh-CN"/>
              </w:rPr>
              <w:t>120</w:t>
            </w:r>
            <w:r>
              <w:rPr>
                <w:rFonts w:hint="eastAsia" w:ascii="宋体" w:hAnsi="宋体" w:cs="宋体"/>
                <w:sz w:val="24"/>
                <w:szCs w:val="24"/>
                <w:lang w:val="zh-CN"/>
              </w:rPr>
              <w:t>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55"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line="360" w:lineRule="auto"/>
              <w:ind w:left="630"/>
              <w:jc w:val="center"/>
              <w:rPr>
                <w:rFonts w:ascii="宋体" w:hAnsi="宋体" w:cs="宋体"/>
                <w:sz w:val="24"/>
                <w:szCs w:val="24"/>
              </w:rPr>
            </w:pPr>
          </w:p>
        </w:tc>
        <w:tc>
          <w:tcPr>
            <w:tcW w:w="17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cs="宋体"/>
                <w:sz w:val="24"/>
                <w:szCs w:val="24"/>
              </w:rPr>
            </w:pPr>
            <w:r>
              <w:rPr>
                <w:rFonts w:hint="eastAsia" w:ascii="宋体" w:hAnsi="宋体" w:cs="宋体"/>
                <w:sz w:val="24"/>
                <w:szCs w:val="24"/>
              </w:rPr>
              <w:t>投标文件的制作和签章、加密</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jc w:val="left"/>
              <w:rPr>
                <w:rFonts w:ascii="宋体" w:hAnsi="宋体" w:cs="宋体"/>
                <w:sz w:val="24"/>
                <w:szCs w:val="24"/>
              </w:rPr>
            </w:pPr>
            <w:r>
              <w:rPr>
                <w:rFonts w:hint="eastAsia" w:ascii="宋体" w:hAnsi="宋体" w:cs="宋体"/>
                <w:sz w:val="24"/>
                <w:szCs w:val="24"/>
              </w:rPr>
              <w:t>详见第2章投标人须知2.4.11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11"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line="360" w:lineRule="auto"/>
              <w:ind w:left="630"/>
              <w:jc w:val="center"/>
              <w:rPr>
                <w:rFonts w:ascii="宋体" w:hAnsi="宋体" w:cs="宋体"/>
                <w:sz w:val="24"/>
                <w:szCs w:val="24"/>
              </w:rPr>
            </w:pPr>
          </w:p>
        </w:tc>
        <w:tc>
          <w:tcPr>
            <w:tcW w:w="17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cs="宋体"/>
                <w:sz w:val="24"/>
                <w:szCs w:val="24"/>
              </w:rPr>
            </w:pPr>
            <w:r>
              <w:rPr>
                <w:rFonts w:hint="eastAsia" w:ascii="宋体" w:hAnsi="宋体" w:cs="宋体"/>
                <w:sz w:val="24"/>
                <w:szCs w:val="24"/>
              </w:rPr>
              <w:t>投标文件的递交</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jc w:val="left"/>
              <w:rPr>
                <w:rFonts w:ascii="宋体" w:hAnsi="宋体"/>
                <w:color w:val="auto"/>
                <w:sz w:val="24"/>
              </w:rPr>
            </w:pPr>
            <w:r>
              <w:rPr>
                <w:rFonts w:hint="eastAsia" w:ascii="宋体" w:hAnsi="宋体"/>
                <w:color w:val="auto"/>
                <w:sz w:val="24"/>
              </w:rPr>
              <w:t>详见投标人须知2.4.12</w:t>
            </w:r>
          </w:p>
          <w:p>
            <w:pPr>
              <w:tabs>
                <w:tab w:val="left" w:pos="7665"/>
              </w:tabs>
              <w:snapToGrid w:val="0"/>
              <w:jc w:val="left"/>
              <w:rPr>
                <w:rFonts w:ascii="宋体" w:hAnsi="宋体" w:cs="宋体"/>
                <w:sz w:val="24"/>
                <w:szCs w:val="24"/>
              </w:rPr>
            </w:pPr>
            <w:r>
              <w:rPr>
                <w:rFonts w:hint="eastAsia" w:ascii="宋体" w:hAnsi="宋体"/>
                <w:color w:val="auto"/>
                <w:sz w:val="24"/>
              </w:rPr>
              <w:t>说明：投标人使用CA证书在投标截止时间前，将电子投标文件上传至政府采购</w:t>
            </w:r>
            <w:r>
              <w:rPr>
                <w:rFonts w:hint="eastAsia" w:ascii="宋体" w:hAnsi="宋体"/>
                <w:sz w:val="24"/>
              </w:rPr>
              <w:t>云平台，上传前须对电子投标文件是否有电子签章等进行核对。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4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line="360" w:lineRule="auto"/>
              <w:ind w:left="630"/>
              <w:jc w:val="center"/>
              <w:rPr>
                <w:rFonts w:ascii="宋体" w:hAnsi="宋体" w:cs="宋体"/>
                <w:sz w:val="24"/>
                <w:szCs w:val="24"/>
              </w:rPr>
            </w:pPr>
          </w:p>
        </w:tc>
        <w:tc>
          <w:tcPr>
            <w:tcW w:w="17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cs="宋体"/>
                <w:sz w:val="24"/>
                <w:szCs w:val="24"/>
              </w:rPr>
            </w:pPr>
            <w:r>
              <w:rPr>
                <w:rFonts w:hint="eastAsia" w:ascii="宋体" w:hAnsi="宋体" w:cs="宋体"/>
                <w:sz w:val="24"/>
                <w:szCs w:val="24"/>
              </w:rPr>
              <w:t>投标文件的补充、修改</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jc w:val="left"/>
              <w:rPr>
                <w:rFonts w:ascii="宋体" w:hAnsi="宋体" w:cs="宋体"/>
                <w:sz w:val="24"/>
                <w:szCs w:val="24"/>
              </w:rPr>
            </w:pPr>
            <w:r>
              <w:rPr>
                <w:rFonts w:hint="eastAsia" w:ascii="宋体" w:hAnsi="宋体" w:cs="宋体"/>
                <w:sz w:val="24"/>
                <w:szCs w:val="24"/>
              </w:rPr>
              <w:t>详见第2章投标人须知2.4.13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line="360" w:lineRule="auto"/>
              <w:ind w:left="630"/>
              <w:jc w:val="center"/>
              <w:rPr>
                <w:rFonts w:ascii="宋体" w:hAnsi="宋体" w:cs="宋体"/>
                <w:sz w:val="24"/>
                <w:szCs w:val="24"/>
              </w:rPr>
            </w:pPr>
          </w:p>
        </w:tc>
        <w:tc>
          <w:tcPr>
            <w:tcW w:w="17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cs="宋体"/>
                <w:sz w:val="24"/>
                <w:szCs w:val="24"/>
              </w:rPr>
            </w:pPr>
            <w:r>
              <w:rPr>
                <w:rFonts w:hint="eastAsia" w:ascii="宋体" w:hAnsi="宋体" w:cs="宋体"/>
                <w:sz w:val="24"/>
                <w:szCs w:val="24"/>
              </w:rPr>
              <w:t>投标文件的撤回</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jc w:val="left"/>
              <w:rPr>
                <w:rFonts w:ascii="宋体" w:hAnsi="宋体" w:cs="宋体"/>
                <w:sz w:val="24"/>
                <w:szCs w:val="24"/>
              </w:rPr>
            </w:pPr>
            <w:r>
              <w:rPr>
                <w:rFonts w:hint="eastAsia" w:ascii="宋体" w:hAnsi="宋体" w:cs="宋体"/>
                <w:sz w:val="24"/>
                <w:szCs w:val="24"/>
              </w:rPr>
              <w:t>详见第2章投标人须知2.4.14</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line="360" w:lineRule="auto"/>
              <w:ind w:left="630"/>
              <w:jc w:val="center"/>
              <w:rPr>
                <w:rFonts w:ascii="宋体" w:hAnsi="宋体" w:cs="宋体"/>
                <w:sz w:val="24"/>
                <w:szCs w:val="24"/>
              </w:rPr>
            </w:pPr>
          </w:p>
        </w:tc>
        <w:tc>
          <w:tcPr>
            <w:tcW w:w="17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cs="宋体"/>
                <w:sz w:val="24"/>
                <w:szCs w:val="24"/>
                <w:highlight w:val="yellow"/>
              </w:rPr>
            </w:pPr>
            <w:r>
              <w:rPr>
                <w:rFonts w:hint="eastAsia" w:ascii="宋体" w:hAnsi="宋体" w:cs="宋体"/>
                <w:b/>
                <w:sz w:val="24"/>
                <w:szCs w:val="24"/>
              </w:rPr>
              <w:t>开标及开标程序</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jc w:val="left"/>
              <w:rPr>
                <w:rFonts w:ascii="宋体" w:hAnsi="宋体" w:cs="宋体"/>
                <w:b/>
                <w:bCs/>
                <w:sz w:val="24"/>
                <w:szCs w:val="24"/>
              </w:rPr>
            </w:pPr>
            <w:r>
              <w:rPr>
                <w:rFonts w:hint="eastAsia" w:ascii="宋体" w:hAnsi="宋体" w:cs="宋体"/>
                <w:b/>
                <w:bCs/>
                <w:sz w:val="24"/>
                <w:szCs w:val="24"/>
              </w:rPr>
              <w:t>详见投标人须知2.5.1。</w:t>
            </w:r>
          </w:p>
          <w:p>
            <w:pPr>
              <w:tabs>
                <w:tab w:val="left" w:pos="7665"/>
              </w:tabs>
              <w:snapToGrid w:val="0"/>
              <w:jc w:val="left"/>
              <w:rPr>
                <w:rFonts w:ascii="宋体" w:hAnsi="宋体" w:cs="宋体"/>
                <w:b/>
                <w:bCs/>
                <w:sz w:val="24"/>
                <w:szCs w:val="24"/>
              </w:rPr>
            </w:pPr>
            <w:r>
              <w:rPr>
                <w:rFonts w:hint="eastAsia" w:ascii="宋体" w:hAnsi="宋体" w:cs="宋体"/>
                <w:b/>
                <w:bCs/>
                <w:sz w:val="24"/>
                <w:szCs w:val="24"/>
              </w:rPr>
              <w:t>投标文件解密：开启解密后，投标人应在系统提示的解密开始时间后60分钟内 ，使用对投标文件进行加密的CA证书在线完成对投标人递交至政府采购云平台的投标文件的解密。</w:t>
            </w:r>
          </w:p>
          <w:p>
            <w:pPr>
              <w:tabs>
                <w:tab w:val="left" w:pos="7665"/>
              </w:tabs>
              <w:snapToGrid w:val="0"/>
              <w:jc w:val="left"/>
              <w:rPr>
                <w:rFonts w:ascii="宋体" w:hAnsi="宋体" w:cs="宋体"/>
                <w:b/>
                <w:bCs/>
                <w:sz w:val="24"/>
                <w:szCs w:val="24"/>
              </w:rPr>
            </w:pPr>
            <w:r>
              <w:rPr>
                <w:rFonts w:hint="eastAsia" w:ascii="宋体" w:hAnsi="宋体" w:cs="宋体"/>
                <w:b/>
                <w:bCs/>
                <w:sz w:val="24"/>
                <w:szCs w:val="24"/>
              </w:rPr>
              <w:t>投标人电脑终端等硬件设备和软件系统配置：投标人电脑终端等硬件设备和软件系统配置应符合开标大厅投标人电脑终端配置要求并运行正常，投标人承担因未尽职责产生的不利后果。</w:t>
            </w:r>
          </w:p>
          <w:p>
            <w:pPr>
              <w:tabs>
                <w:tab w:val="left" w:pos="7665"/>
              </w:tabs>
              <w:snapToGrid w:val="0"/>
              <w:jc w:val="left"/>
              <w:rPr>
                <w:rFonts w:ascii="宋体" w:hAnsi="宋体" w:cs="宋体"/>
                <w:sz w:val="24"/>
                <w:szCs w:val="24"/>
                <w:highlight w:val="yellow"/>
              </w:rPr>
            </w:pPr>
            <w:r>
              <w:rPr>
                <w:rFonts w:hint="eastAsia" w:ascii="宋体" w:hAnsi="宋体" w:cs="宋体"/>
                <w:b/>
                <w:bCs/>
                <w:sz w:val="24"/>
                <w:szCs w:val="24"/>
              </w:rPr>
              <w:t>开标、投标文件的解密详见《成都市全流程电子化采购系统操作指南——投标人版》。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41"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line="360" w:lineRule="auto"/>
              <w:ind w:left="630"/>
              <w:jc w:val="center"/>
              <w:rPr>
                <w:rFonts w:ascii="宋体" w:hAnsi="宋体" w:cs="宋体"/>
                <w:sz w:val="24"/>
                <w:szCs w:val="24"/>
              </w:rPr>
            </w:pPr>
          </w:p>
        </w:tc>
        <w:tc>
          <w:tcPr>
            <w:tcW w:w="1716" w:type="dxa"/>
            <w:tcBorders>
              <w:top w:val="single" w:color="auto" w:sz="8" w:space="0"/>
              <w:left w:val="single" w:color="auto" w:sz="8" w:space="0"/>
              <w:bottom w:val="single" w:color="auto" w:sz="8" w:space="0"/>
              <w:right w:val="single" w:color="auto" w:sz="8" w:space="0"/>
            </w:tcBorders>
            <w:vAlign w:val="center"/>
          </w:tcPr>
          <w:p>
            <w:pPr>
              <w:snapToGrid w:val="0"/>
              <w:spacing w:line="360" w:lineRule="auto"/>
              <w:rPr>
                <w:rFonts w:ascii="宋体" w:hAnsi="宋体" w:cs="宋体"/>
                <w:sz w:val="24"/>
                <w:szCs w:val="24"/>
              </w:rPr>
            </w:pPr>
            <w:r>
              <w:rPr>
                <w:rFonts w:hint="eastAsia" w:ascii="宋体" w:hAnsi="宋体" w:cs="宋体"/>
                <w:sz w:val="24"/>
                <w:szCs w:val="24"/>
              </w:rPr>
              <w:t>对招标文件中投标人参加本次政府采购活动应当具备的条件，招标项目技术、服务、商务及其他要求，评标细则及标准和资格审查、中标结果提出询问或质疑</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spacing w:line="360" w:lineRule="auto"/>
              <w:ind w:right="210"/>
              <w:rPr>
                <w:rFonts w:ascii="宋体" w:hAnsi="宋体" w:cs="宋体"/>
                <w:sz w:val="24"/>
                <w:szCs w:val="24"/>
              </w:rPr>
            </w:pPr>
            <w:r>
              <w:rPr>
                <w:rFonts w:hint="eastAsia" w:ascii="宋体" w:hAnsi="宋体" w:cs="宋体"/>
                <w:sz w:val="24"/>
                <w:szCs w:val="24"/>
              </w:rPr>
              <w:t>向采购人提出，并由采购人按相关规定作出答复（详见第2章投标人须知2.8）。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33"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line="360" w:lineRule="auto"/>
              <w:ind w:left="630"/>
              <w:jc w:val="center"/>
              <w:rPr>
                <w:rFonts w:ascii="宋体" w:hAnsi="宋体" w:cs="宋体"/>
                <w:sz w:val="24"/>
                <w:szCs w:val="24"/>
              </w:rPr>
            </w:pPr>
          </w:p>
        </w:tc>
        <w:tc>
          <w:tcPr>
            <w:tcW w:w="1716" w:type="dxa"/>
            <w:tcBorders>
              <w:top w:val="single" w:color="auto" w:sz="8" w:space="0"/>
              <w:left w:val="single" w:color="auto" w:sz="8" w:space="0"/>
              <w:bottom w:val="single" w:color="auto" w:sz="8" w:space="0"/>
              <w:right w:val="single" w:color="auto" w:sz="8" w:space="0"/>
            </w:tcBorders>
            <w:vAlign w:val="center"/>
          </w:tcPr>
          <w:p>
            <w:pPr>
              <w:snapToGrid w:val="0"/>
              <w:spacing w:line="360" w:lineRule="auto"/>
              <w:rPr>
                <w:rFonts w:ascii="宋体" w:hAnsi="宋体" w:cs="宋体"/>
                <w:sz w:val="24"/>
                <w:szCs w:val="24"/>
              </w:rPr>
            </w:pPr>
            <w:r>
              <w:rPr>
                <w:rFonts w:hint="eastAsia" w:ascii="宋体" w:hAnsi="宋体" w:cs="宋体"/>
                <w:sz w:val="24"/>
                <w:szCs w:val="24"/>
              </w:rPr>
              <w:t>除上述招标文件中的其他内容，招标文件中采购程序、采购文件中投标人须知、采购合同格式、投标文件格式、以及开标过程程序提出询问或质疑</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spacing w:line="360" w:lineRule="auto"/>
              <w:ind w:right="210"/>
              <w:rPr>
                <w:rFonts w:ascii="宋体" w:hAnsi="宋体" w:cs="宋体"/>
                <w:sz w:val="24"/>
                <w:szCs w:val="24"/>
              </w:rPr>
            </w:pPr>
            <w:r>
              <w:rPr>
                <w:rFonts w:hint="eastAsia" w:ascii="宋体" w:hAnsi="宋体" w:cs="宋体"/>
                <w:sz w:val="24"/>
                <w:szCs w:val="24"/>
              </w:rPr>
              <w:t>向区公资交易中心提出，并由区公资交易中心按相关规定作出答复（详见第2章投标人须知2.8）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line="360" w:lineRule="auto"/>
              <w:ind w:left="630"/>
              <w:jc w:val="center"/>
              <w:rPr>
                <w:rFonts w:ascii="宋体" w:hAnsi="宋体" w:cs="宋体"/>
                <w:sz w:val="24"/>
                <w:szCs w:val="24"/>
              </w:rPr>
            </w:pPr>
          </w:p>
        </w:tc>
        <w:tc>
          <w:tcPr>
            <w:tcW w:w="1716" w:type="dxa"/>
            <w:tcBorders>
              <w:top w:val="single" w:color="auto" w:sz="8" w:space="0"/>
              <w:left w:val="single" w:color="auto" w:sz="8" w:space="0"/>
              <w:bottom w:val="single" w:color="auto" w:sz="8" w:space="0"/>
              <w:right w:val="single" w:color="auto" w:sz="8" w:space="0"/>
            </w:tcBorders>
            <w:vAlign w:val="center"/>
          </w:tcPr>
          <w:p>
            <w:pPr>
              <w:snapToGrid w:val="0"/>
              <w:spacing w:line="360" w:lineRule="auto"/>
              <w:ind w:right="210" w:rightChars="100"/>
              <w:rPr>
                <w:rFonts w:ascii="宋体" w:hAnsi="宋体" w:cs="宋体"/>
                <w:sz w:val="24"/>
                <w:szCs w:val="24"/>
              </w:rPr>
            </w:pPr>
            <w:r>
              <w:rPr>
                <w:rFonts w:hint="eastAsia" w:ascii="宋体" w:hAnsi="宋体" w:cs="宋体"/>
                <w:sz w:val="24"/>
                <w:szCs w:val="24"/>
              </w:rPr>
              <w:t>投标人投诉</w:t>
            </w:r>
          </w:p>
        </w:tc>
        <w:tc>
          <w:tcPr>
            <w:tcW w:w="6910" w:type="dxa"/>
            <w:tcBorders>
              <w:top w:val="single" w:color="auto" w:sz="8" w:space="0"/>
              <w:left w:val="single" w:color="auto" w:sz="8" w:space="0"/>
              <w:bottom w:val="single" w:color="auto" w:sz="8" w:space="0"/>
              <w:right w:val="single" w:color="auto" w:sz="18" w:space="0"/>
            </w:tcBorders>
            <w:vAlign w:val="center"/>
          </w:tcPr>
          <w:p>
            <w:pPr>
              <w:pStyle w:val="23"/>
              <w:tabs>
                <w:tab w:val="left" w:pos="900"/>
              </w:tabs>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投诉受理单位：本项目同级财政部门，即成都市双流区财政局。</w:t>
            </w:r>
          </w:p>
          <w:p>
            <w:pPr>
              <w:pStyle w:val="23"/>
              <w:tabs>
                <w:tab w:val="left" w:pos="900"/>
              </w:tabs>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地 址：成都市双流区电视塔路2段36号</w:t>
            </w:r>
          </w:p>
          <w:p>
            <w:pPr>
              <w:pStyle w:val="23"/>
              <w:tabs>
                <w:tab w:val="left" w:pos="900"/>
              </w:tabs>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联系电话：028-85804726</w:t>
            </w:r>
          </w:p>
          <w:p>
            <w:pPr>
              <w:pStyle w:val="23"/>
              <w:tabs>
                <w:tab w:val="left" w:pos="900"/>
              </w:tabs>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邮编：610200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39"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numPr>
                <w:ilvl w:val="0"/>
                <w:numId w:val="7"/>
              </w:numPr>
              <w:snapToGrid w:val="0"/>
              <w:spacing w:line="360" w:lineRule="auto"/>
              <w:ind w:left="210" w:firstLine="0"/>
              <w:jc w:val="center"/>
              <w:rPr>
                <w:rFonts w:ascii="宋体" w:hAnsi="宋体" w:cs="宋体"/>
                <w:sz w:val="24"/>
                <w:szCs w:val="24"/>
              </w:rPr>
            </w:pPr>
          </w:p>
        </w:tc>
        <w:tc>
          <w:tcPr>
            <w:tcW w:w="1716" w:type="dxa"/>
            <w:tcBorders>
              <w:top w:val="single" w:color="auto" w:sz="8" w:space="0"/>
              <w:left w:val="single" w:color="auto" w:sz="8" w:space="0"/>
              <w:bottom w:val="single" w:color="auto" w:sz="4" w:space="0"/>
              <w:right w:val="single" w:color="auto" w:sz="8" w:space="0"/>
            </w:tcBorders>
            <w:vAlign w:val="center"/>
          </w:tcPr>
          <w:p>
            <w:pPr>
              <w:snapToGrid w:val="0"/>
              <w:spacing w:line="360" w:lineRule="auto"/>
              <w:rPr>
                <w:rFonts w:ascii="宋体" w:hAnsi="宋体" w:cs="宋体"/>
                <w:sz w:val="24"/>
                <w:szCs w:val="24"/>
                <w:lang w:val="zh-CN"/>
              </w:rPr>
            </w:pPr>
            <w:r>
              <w:rPr>
                <w:rFonts w:hint="eastAsia" w:ascii="宋体" w:hAnsi="宋体" w:cs="宋体"/>
                <w:sz w:val="24"/>
                <w:szCs w:val="24"/>
                <w:lang w:val="zh-CN"/>
              </w:rPr>
              <w:t>评标情况公告</w:t>
            </w:r>
          </w:p>
        </w:tc>
        <w:tc>
          <w:tcPr>
            <w:tcW w:w="6910" w:type="dxa"/>
            <w:tcBorders>
              <w:top w:val="single" w:color="auto" w:sz="8" w:space="0"/>
              <w:left w:val="single" w:color="auto" w:sz="8" w:space="0"/>
              <w:bottom w:val="single" w:color="auto" w:sz="4" w:space="0"/>
              <w:right w:val="single" w:color="auto" w:sz="18" w:space="0"/>
            </w:tcBorders>
            <w:vAlign w:val="center"/>
          </w:tcPr>
          <w:p>
            <w:pPr>
              <w:tabs>
                <w:tab w:val="left" w:pos="7665"/>
              </w:tabs>
              <w:spacing w:line="360" w:lineRule="auto"/>
              <w:rPr>
                <w:rFonts w:ascii="宋体" w:hAnsi="宋体" w:cs="宋体"/>
                <w:sz w:val="24"/>
                <w:szCs w:val="24"/>
                <w:lang w:val="zh-CN"/>
              </w:rPr>
            </w:pPr>
            <w:r>
              <w:rPr>
                <w:rFonts w:hint="eastAsia" w:ascii="宋体" w:hAnsi="宋体" w:cs="宋体"/>
                <w:sz w:val="24"/>
                <w:szCs w:val="24"/>
                <w:lang w:val="zh-CN"/>
              </w:rPr>
              <w:t>所有</w:t>
            </w:r>
            <w:r>
              <w:rPr>
                <w:rFonts w:hint="eastAsia" w:ascii="宋体" w:hAnsi="宋体" w:cs="宋体"/>
                <w:sz w:val="24"/>
                <w:szCs w:val="24"/>
              </w:rPr>
              <w:t>投标人</w:t>
            </w:r>
            <w:r>
              <w:rPr>
                <w:rFonts w:hint="eastAsia" w:ascii="宋体" w:hAnsi="宋体" w:cs="宋体"/>
                <w:sz w:val="24"/>
                <w:szCs w:val="24"/>
                <w:lang w:val="zh-CN"/>
              </w:rPr>
              <w:t>投标文件资格性、符合性检查情况、采用综合评分法时的总得分和分项汇总得分情况、评标结果等将在成都市公共资源交易服务中心网、四川政府采购网上采购结果公告栏中予以公告。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93"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numPr>
                <w:ilvl w:val="0"/>
                <w:numId w:val="7"/>
              </w:numPr>
              <w:snapToGrid w:val="0"/>
              <w:spacing w:line="360" w:lineRule="auto"/>
              <w:ind w:left="210" w:firstLine="0"/>
              <w:jc w:val="center"/>
              <w:rPr>
                <w:rFonts w:ascii="宋体" w:hAnsi="宋体" w:cs="宋体"/>
                <w:sz w:val="24"/>
                <w:szCs w:val="24"/>
              </w:rPr>
            </w:pPr>
          </w:p>
        </w:tc>
        <w:tc>
          <w:tcPr>
            <w:tcW w:w="1716" w:type="dxa"/>
            <w:tcBorders>
              <w:top w:val="single" w:color="auto" w:sz="8" w:space="0"/>
              <w:left w:val="single" w:color="auto" w:sz="8" w:space="0"/>
              <w:bottom w:val="single" w:color="auto" w:sz="4" w:space="0"/>
              <w:right w:val="single" w:color="auto" w:sz="8" w:space="0"/>
            </w:tcBorders>
            <w:vAlign w:val="center"/>
          </w:tcPr>
          <w:p>
            <w:pPr>
              <w:snapToGrid w:val="0"/>
              <w:spacing w:line="360" w:lineRule="auto"/>
              <w:rPr>
                <w:rFonts w:ascii="宋体" w:hAnsi="宋体" w:cs="宋体"/>
                <w:sz w:val="24"/>
                <w:szCs w:val="24"/>
              </w:rPr>
            </w:pPr>
            <w:r>
              <w:rPr>
                <w:rFonts w:hint="eastAsia" w:ascii="宋体" w:hAnsi="宋体" w:cs="宋体"/>
                <w:sz w:val="24"/>
                <w:szCs w:val="24"/>
                <w:lang w:val="zh-CN"/>
              </w:rPr>
              <w:t>中标通知书</w:t>
            </w:r>
          </w:p>
        </w:tc>
        <w:tc>
          <w:tcPr>
            <w:tcW w:w="6910" w:type="dxa"/>
            <w:tcBorders>
              <w:top w:val="single" w:color="auto" w:sz="8"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cs="宋体"/>
                <w:sz w:val="24"/>
                <w:szCs w:val="24"/>
              </w:rPr>
            </w:pPr>
            <w:r>
              <w:rPr>
                <w:rFonts w:hint="eastAsia" w:ascii="宋体" w:hAnsi="宋体"/>
                <w:kern w:val="0"/>
                <w:sz w:val="24"/>
                <w:szCs w:val="24"/>
              </w:rPr>
              <w:t>中标公告在四川政府采购网上公告后，中标投标人自行登录政府采购云平台下载中标通知书。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0"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numPr>
                <w:ilvl w:val="0"/>
                <w:numId w:val="7"/>
              </w:numPr>
              <w:snapToGrid w:val="0"/>
              <w:spacing w:line="360" w:lineRule="auto"/>
              <w:ind w:left="210" w:firstLine="0"/>
              <w:jc w:val="center"/>
              <w:rPr>
                <w:rFonts w:ascii="宋体" w:hAnsi="宋体" w:cs="宋体"/>
                <w:sz w:val="24"/>
                <w:szCs w:val="24"/>
              </w:rPr>
            </w:pPr>
          </w:p>
        </w:tc>
        <w:tc>
          <w:tcPr>
            <w:tcW w:w="1716" w:type="dxa"/>
            <w:tcBorders>
              <w:top w:val="single" w:color="auto" w:sz="8" w:space="0"/>
              <w:left w:val="single" w:color="auto" w:sz="8" w:space="0"/>
              <w:bottom w:val="single" w:color="auto" w:sz="4" w:space="0"/>
              <w:right w:val="single" w:color="auto" w:sz="8" w:space="0"/>
            </w:tcBorders>
            <w:vAlign w:val="center"/>
          </w:tcPr>
          <w:p>
            <w:pPr>
              <w:snapToGrid w:val="0"/>
              <w:spacing w:line="360" w:lineRule="auto"/>
              <w:rPr>
                <w:rFonts w:ascii="宋体" w:hAnsi="宋体" w:cs="宋体"/>
                <w:sz w:val="24"/>
                <w:szCs w:val="24"/>
              </w:rPr>
            </w:pPr>
            <w:r>
              <w:rPr>
                <w:rFonts w:hint="eastAsia" w:ascii="宋体" w:hAnsi="宋体" w:cs="宋体"/>
                <w:sz w:val="24"/>
                <w:szCs w:val="24"/>
              </w:rPr>
              <w:t>合同签订地点</w:t>
            </w:r>
          </w:p>
        </w:tc>
        <w:tc>
          <w:tcPr>
            <w:tcW w:w="6910" w:type="dxa"/>
            <w:tcBorders>
              <w:top w:val="single" w:color="auto" w:sz="8"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cs="宋体"/>
                <w:sz w:val="24"/>
                <w:szCs w:val="24"/>
              </w:rPr>
            </w:pPr>
            <w:r>
              <w:rPr>
                <w:rFonts w:hint="eastAsia" w:ascii="宋体" w:hAnsi="宋体" w:cs="宋体"/>
                <w:sz w:val="24"/>
                <w:szCs w:val="24"/>
              </w:rPr>
              <w:t>四川省成都市双流区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82"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7"/>
              </w:numPr>
              <w:snapToGrid w:val="0"/>
              <w:spacing w:line="360" w:lineRule="auto"/>
              <w:ind w:left="210" w:firstLine="0"/>
              <w:jc w:val="center"/>
              <w:rPr>
                <w:rFonts w:ascii="宋体" w:hAnsi="宋体" w:cs="宋体"/>
                <w:sz w:val="24"/>
                <w:szCs w:val="24"/>
              </w:rPr>
            </w:pPr>
          </w:p>
        </w:tc>
        <w:tc>
          <w:tcPr>
            <w:tcW w:w="1716" w:type="dxa"/>
            <w:tcBorders>
              <w:top w:val="single" w:color="auto" w:sz="4" w:space="0"/>
              <w:left w:val="single" w:color="auto" w:sz="8" w:space="0"/>
              <w:bottom w:val="single" w:color="auto" w:sz="4" w:space="0"/>
              <w:right w:val="single" w:color="auto" w:sz="8" w:space="0"/>
            </w:tcBorders>
            <w:vAlign w:val="center"/>
          </w:tcPr>
          <w:p>
            <w:pPr>
              <w:snapToGrid w:val="0"/>
              <w:spacing w:line="360" w:lineRule="auto"/>
              <w:ind w:right="210" w:rightChars="100"/>
              <w:rPr>
                <w:rFonts w:ascii="宋体" w:hAnsi="宋体" w:cs="宋体"/>
                <w:sz w:val="24"/>
                <w:szCs w:val="24"/>
              </w:rPr>
            </w:pPr>
            <w:r>
              <w:rPr>
                <w:rFonts w:hint="eastAsia" w:ascii="宋体" w:hAnsi="宋体" w:cs="宋体"/>
                <w:sz w:val="24"/>
                <w:szCs w:val="24"/>
              </w:rPr>
              <w:t>政府采购合同公告、备案</w:t>
            </w:r>
          </w:p>
        </w:tc>
        <w:tc>
          <w:tcPr>
            <w:tcW w:w="6910"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ind w:left="-4" w:leftChars="-2" w:right="210" w:firstLine="14" w:firstLineChars="6"/>
              <w:rPr>
                <w:rFonts w:ascii="宋体" w:hAnsi="宋体" w:cs="宋体"/>
                <w:sz w:val="24"/>
                <w:szCs w:val="24"/>
              </w:rPr>
            </w:pPr>
            <w:r>
              <w:rPr>
                <w:rFonts w:hint="eastAsia" w:ascii="宋体" w:hAnsi="宋体" w:cs="宋体"/>
                <w:sz w:val="24"/>
                <w:szCs w:val="24"/>
              </w:rPr>
              <w:t>政府采购合同签订之日起2个工作日内，政府采购合同将在四川政府采购网公告；政府采购合同签订之日起七个工作日内，政府采购合同将向本采购项目同级财政部门，即成都市</w:t>
            </w:r>
            <w:r>
              <w:rPr>
                <w:rFonts w:hint="eastAsia" w:ascii="宋体" w:hAnsi="宋体" w:cs="宋体"/>
                <w:sz w:val="24"/>
                <w:szCs w:val="24"/>
                <w:lang w:val="zh-CN"/>
              </w:rPr>
              <w:t>双流区财政局备案。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06"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7"/>
              </w:numPr>
              <w:snapToGrid w:val="0"/>
              <w:spacing w:line="360" w:lineRule="auto"/>
              <w:ind w:left="210" w:firstLine="0"/>
              <w:jc w:val="center"/>
              <w:rPr>
                <w:rFonts w:ascii="宋体" w:hAnsi="宋体" w:cs="宋体"/>
                <w:sz w:val="24"/>
                <w:szCs w:val="24"/>
              </w:rPr>
            </w:pPr>
          </w:p>
        </w:tc>
        <w:tc>
          <w:tcPr>
            <w:tcW w:w="1716" w:type="dxa"/>
            <w:tcBorders>
              <w:top w:val="single" w:color="auto" w:sz="4" w:space="0"/>
              <w:left w:val="single" w:color="auto" w:sz="8" w:space="0"/>
              <w:bottom w:val="single" w:color="auto" w:sz="4" w:space="0"/>
              <w:right w:val="single" w:color="auto" w:sz="8" w:space="0"/>
            </w:tcBorders>
            <w:vAlign w:val="center"/>
          </w:tcPr>
          <w:p>
            <w:pPr>
              <w:tabs>
                <w:tab w:val="left" w:pos="7665"/>
              </w:tabs>
              <w:snapToGrid w:val="0"/>
              <w:spacing w:line="360" w:lineRule="auto"/>
              <w:rPr>
                <w:rFonts w:ascii="宋体" w:hAnsi="宋体" w:cs="宋体"/>
                <w:sz w:val="24"/>
                <w:szCs w:val="24"/>
              </w:rPr>
            </w:pPr>
            <w:r>
              <w:rPr>
                <w:rFonts w:hint="eastAsia" w:ascii="宋体" w:hAnsi="宋体" w:cs="宋体"/>
                <w:sz w:val="24"/>
                <w:szCs w:val="24"/>
              </w:rPr>
              <w:t>政采信用担保融资</w:t>
            </w:r>
          </w:p>
        </w:tc>
        <w:tc>
          <w:tcPr>
            <w:tcW w:w="6910"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cs="宋体"/>
                <w:sz w:val="24"/>
                <w:szCs w:val="24"/>
              </w:rPr>
            </w:pPr>
            <w:r>
              <w:rPr>
                <w:rFonts w:hint="eastAsia" w:ascii="宋体" w:hAnsi="宋体" w:cs="宋体"/>
                <w:sz w:val="24"/>
                <w:szCs w:val="24"/>
              </w:rPr>
              <w:t>本项目属于政府采购信用融资业务项目，融资利率上浮比例不超过人民银行同期贷款基准利率30%，银行机构名单联系方式见附件1。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01"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7"/>
              </w:numPr>
              <w:snapToGrid w:val="0"/>
              <w:spacing w:line="360" w:lineRule="auto"/>
              <w:ind w:left="210" w:firstLine="0"/>
              <w:jc w:val="center"/>
              <w:rPr>
                <w:rFonts w:ascii="宋体" w:hAnsi="宋体" w:cs="宋体"/>
                <w:sz w:val="24"/>
                <w:szCs w:val="24"/>
              </w:rPr>
            </w:pPr>
          </w:p>
        </w:tc>
        <w:tc>
          <w:tcPr>
            <w:tcW w:w="1716" w:type="dxa"/>
            <w:tcBorders>
              <w:top w:val="single" w:color="auto" w:sz="4" w:space="0"/>
              <w:left w:val="single" w:color="auto" w:sz="8" w:space="0"/>
              <w:bottom w:val="single" w:color="auto" w:sz="4" w:space="0"/>
              <w:right w:val="single" w:color="auto" w:sz="8" w:space="0"/>
            </w:tcBorders>
            <w:vAlign w:val="center"/>
          </w:tcPr>
          <w:p>
            <w:pPr>
              <w:snapToGrid w:val="0"/>
              <w:spacing w:line="360" w:lineRule="auto"/>
              <w:rPr>
                <w:rFonts w:ascii="宋体" w:hAnsi="宋体" w:cs="宋体"/>
                <w:sz w:val="24"/>
                <w:szCs w:val="24"/>
              </w:rPr>
            </w:pPr>
            <w:r>
              <w:rPr>
                <w:rFonts w:hint="eastAsia" w:ascii="宋体" w:hAnsi="宋体" w:cs="宋体"/>
                <w:sz w:val="24"/>
                <w:szCs w:val="24"/>
              </w:rPr>
              <w:t>进口产品（如采购内容中涉及货物采购的）</w:t>
            </w:r>
          </w:p>
        </w:tc>
        <w:tc>
          <w:tcPr>
            <w:tcW w:w="6910"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cs="宋体"/>
                <w:sz w:val="24"/>
                <w:szCs w:val="24"/>
              </w:rPr>
            </w:pPr>
            <w:r>
              <w:rPr>
                <w:rFonts w:hint="eastAsia" w:ascii="宋体" w:hAnsi="宋体" w:cs="宋体"/>
                <w:sz w:val="24"/>
                <w:szCs w:val="24"/>
              </w:rPr>
              <w:t>招标文件中未载明“允许采购进口产品”的产品，拒绝进口产品的投标。招标文件中载明“允许采购进口产品”的产品，允许国产产品参与投标竞争。</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48"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8"/>
              </w:numPr>
              <w:snapToGrid w:val="0"/>
              <w:spacing w:after="0" w:line="360" w:lineRule="auto"/>
              <w:ind w:left="210" w:firstLine="0"/>
              <w:jc w:val="center"/>
              <w:rPr>
                <w:rFonts w:ascii="宋体" w:hAnsi="宋体" w:cs="宋体"/>
                <w:sz w:val="24"/>
                <w:szCs w:val="24"/>
              </w:rPr>
            </w:pPr>
          </w:p>
        </w:tc>
        <w:tc>
          <w:tcPr>
            <w:tcW w:w="8626" w:type="dxa"/>
            <w:gridSpan w:val="2"/>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cs="宋体"/>
                <w:sz w:val="24"/>
                <w:szCs w:val="24"/>
              </w:rPr>
            </w:pPr>
            <w:r>
              <w:rPr>
                <w:rFonts w:hint="eastAsia" w:ascii="宋体" w:hAnsi="宋体" w:cs="宋体"/>
                <w:color w:val="FF0000"/>
                <w:sz w:val="24"/>
                <w:szCs w:val="24"/>
              </w:rPr>
              <w:t>本项目</w:t>
            </w:r>
            <w:r>
              <w:rPr>
                <w:rFonts w:hint="eastAsia" w:ascii="宋体" w:hAnsi="宋体" w:cs="宋体"/>
                <w:b/>
                <w:bCs/>
                <w:color w:val="FF0000"/>
                <w:sz w:val="24"/>
                <w:szCs w:val="24"/>
              </w:rPr>
              <w:t>为专门面向</w:t>
            </w:r>
            <w:r>
              <w:rPr>
                <w:rFonts w:hint="eastAsia" w:ascii="宋体" w:hAnsi="宋体" w:cs="宋体"/>
                <w:color w:val="FF0000"/>
                <w:sz w:val="24"/>
                <w:szCs w:val="24"/>
              </w:rPr>
              <w:t>中小企业的采购项目。</w:t>
            </w:r>
            <w:r>
              <w:rPr>
                <w:rFonts w:hint="eastAsia" w:ascii="宋体" w:hAnsi="宋体" w:cs="宋体"/>
                <w:b/>
                <w:bCs/>
                <w:color w:val="FF0000"/>
                <w:sz w:val="24"/>
                <w:szCs w:val="24"/>
              </w:rPr>
              <w:t>中小企业包括中小微企业、监狱企业、残疾人福利性单位。</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70"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8"/>
              </w:numPr>
              <w:snapToGrid w:val="0"/>
              <w:spacing w:after="0" w:line="360" w:lineRule="auto"/>
              <w:ind w:left="210" w:firstLine="0"/>
              <w:jc w:val="center"/>
              <w:rPr>
                <w:rFonts w:ascii="宋体" w:hAnsi="宋体" w:cs="宋体"/>
                <w:sz w:val="24"/>
                <w:szCs w:val="24"/>
              </w:rPr>
            </w:pPr>
          </w:p>
        </w:tc>
        <w:tc>
          <w:tcPr>
            <w:tcW w:w="8626" w:type="dxa"/>
            <w:gridSpan w:val="2"/>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cs="宋体"/>
                <w:sz w:val="24"/>
                <w:szCs w:val="24"/>
              </w:rPr>
            </w:pPr>
            <w:r>
              <w:rPr>
                <w:rFonts w:hint="eastAsia" w:ascii="宋体" w:hAnsi="宋体" w:cs="宋体"/>
                <w:sz w:val="24"/>
                <w:szCs w:val="24"/>
              </w:rPr>
              <w:t>本项目</w:t>
            </w:r>
            <w:r>
              <w:rPr>
                <w:rFonts w:hint="eastAsia" w:ascii="宋体" w:hAnsi="宋体" w:cs="宋体"/>
                <w:b/>
                <w:bCs/>
                <w:sz w:val="24"/>
                <w:szCs w:val="24"/>
              </w:rPr>
              <w:t>不接受</w:t>
            </w:r>
            <w:r>
              <w:rPr>
                <w:rFonts w:hint="eastAsia" w:ascii="宋体" w:hAnsi="宋体" w:cs="宋体"/>
                <w:sz w:val="24"/>
                <w:szCs w:val="24"/>
              </w:rPr>
              <w:t>联合体投标。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92"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8"/>
              </w:numPr>
              <w:snapToGrid w:val="0"/>
              <w:spacing w:after="0" w:line="360" w:lineRule="auto"/>
              <w:ind w:left="210" w:firstLine="0"/>
              <w:jc w:val="center"/>
              <w:rPr>
                <w:rFonts w:ascii="宋体" w:hAnsi="宋体" w:cs="宋体"/>
                <w:sz w:val="24"/>
                <w:szCs w:val="24"/>
              </w:rPr>
            </w:pPr>
          </w:p>
        </w:tc>
        <w:tc>
          <w:tcPr>
            <w:tcW w:w="8626" w:type="dxa"/>
            <w:gridSpan w:val="2"/>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cs="宋体"/>
                <w:sz w:val="24"/>
                <w:szCs w:val="24"/>
              </w:rPr>
            </w:pPr>
            <w:r>
              <w:rPr>
                <w:rFonts w:hint="eastAsia" w:ascii="宋体" w:hAnsi="宋体" w:cs="宋体"/>
                <w:sz w:val="24"/>
                <w:szCs w:val="24"/>
              </w:rPr>
              <w:t>采购人可以要求参加政府采购的投标人提供有关资质证明文件和业绩情况，并根据《中华人民共和国政府采购法》规定的投标人条件和采购项目对投标人的特定要求，对投标人的资格进行审查。</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68"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8"/>
              </w:numPr>
              <w:snapToGrid w:val="0"/>
              <w:spacing w:after="0" w:line="360" w:lineRule="auto"/>
              <w:ind w:left="210" w:firstLine="0"/>
              <w:jc w:val="center"/>
              <w:rPr>
                <w:rFonts w:ascii="宋体" w:hAnsi="宋体" w:cs="宋体"/>
                <w:sz w:val="24"/>
                <w:szCs w:val="24"/>
              </w:rPr>
            </w:pPr>
          </w:p>
        </w:tc>
        <w:tc>
          <w:tcPr>
            <w:tcW w:w="8626" w:type="dxa"/>
            <w:gridSpan w:val="2"/>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cs="宋体"/>
                <w:sz w:val="24"/>
                <w:szCs w:val="24"/>
              </w:rPr>
            </w:pPr>
            <w:r>
              <w:rPr>
                <w:rFonts w:hint="eastAsia" w:ascii="宋体" w:hAnsi="宋体" w:cs="宋体"/>
                <w:sz w:val="24"/>
                <w:szCs w:val="24"/>
              </w:rPr>
              <w:t>投标人信用信息查询时间截止时点：信用信息查询在资格审查阶段完成。</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15"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8"/>
              </w:numPr>
              <w:snapToGrid w:val="0"/>
              <w:spacing w:after="0" w:line="360" w:lineRule="auto"/>
              <w:ind w:left="210" w:firstLine="0"/>
              <w:jc w:val="center"/>
              <w:rPr>
                <w:rFonts w:ascii="宋体" w:hAnsi="宋体" w:cs="宋体"/>
                <w:sz w:val="24"/>
                <w:szCs w:val="24"/>
              </w:rPr>
            </w:pPr>
          </w:p>
        </w:tc>
        <w:tc>
          <w:tcPr>
            <w:tcW w:w="8626" w:type="dxa"/>
            <w:gridSpan w:val="2"/>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cs="宋体"/>
                <w:sz w:val="24"/>
                <w:szCs w:val="24"/>
              </w:rPr>
            </w:pPr>
            <w:r>
              <w:rPr>
                <w:rFonts w:hint="eastAsia" w:ascii="宋体" w:hAnsi="宋体"/>
                <w:sz w:val="24"/>
              </w:rPr>
              <w:t>采购人须对第4章、第5章和第6章中要求投标人提供的承诺函、相关材料及证明文件进行查验并做好查验记录。查验时间截止时点：采购人在收到评标报告后，确认中标投标人前完成查验。</w:t>
            </w:r>
          </w:p>
        </w:tc>
      </w:tr>
    </w:tbl>
    <w:p>
      <w:pPr>
        <w:keepNext/>
        <w:keepLines/>
        <w:numPr>
          <w:ilvl w:val="1"/>
          <w:numId w:val="2"/>
        </w:numPr>
        <w:spacing w:before="260" w:after="260" w:line="360" w:lineRule="auto"/>
        <w:jc w:val="left"/>
        <w:outlineLvl w:val="1"/>
        <w:rPr>
          <w:rFonts w:ascii="宋体" w:hAnsi="宋体" w:cs="宋体"/>
          <w:b/>
          <w:bCs/>
          <w:sz w:val="28"/>
          <w:szCs w:val="28"/>
        </w:rPr>
      </w:pPr>
      <w:bookmarkStart w:id="27" w:name="_Toc11976"/>
      <w:r>
        <w:rPr>
          <w:rFonts w:hint="eastAsia" w:ascii="宋体" w:hAnsi="宋体" w:cs="宋体"/>
          <w:b/>
          <w:bCs/>
          <w:sz w:val="28"/>
          <w:szCs w:val="28"/>
        </w:rPr>
        <w:t>总则</w:t>
      </w:r>
      <w:bookmarkEnd w:id="27"/>
    </w:p>
    <w:p>
      <w:pPr>
        <w:keepNext/>
        <w:keepLines/>
        <w:numPr>
          <w:ilvl w:val="2"/>
          <w:numId w:val="2"/>
        </w:numPr>
        <w:spacing w:line="360" w:lineRule="auto"/>
        <w:ind w:left="0" w:firstLine="0"/>
        <w:outlineLvl w:val="2"/>
        <w:rPr>
          <w:rFonts w:ascii="宋体" w:hAnsi="宋体" w:cs="宋体"/>
          <w:b/>
          <w:bCs/>
          <w:sz w:val="28"/>
          <w:szCs w:val="28"/>
        </w:rPr>
      </w:pPr>
      <w:r>
        <w:rPr>
          <w:rFonts w:hint="eastAsia" w:ascii="宋体" w:hAnsi="宋体" w:cs="宋体"/>
          <w:b/>
          <w:bCs/>
          <w:sz w:val="28"/>
          <w:szCs w:val="28"/>
        </w:rPr>
        <w:t>适用范围</w:t>
      </w:r>
    </w:p>
    <w:p>
      <w:pPr>
        <w:numPr>
          <w:ilvl w:val="0"/>
          <w:numId w:val="9"/>
        </w:numPr>
        <w:tabs>
          <w:tab w:val="left" w:pos="1134"/>
        </w:tabs>
        <w:spacing w:line="360" w:lineRule="auto"/>
        <w:ind w:left="0" w:firstLine="565" w:firstLineChars="202"/>
        <w:rPr>
          <w:rFonts w:ascii="宋体" w:hAnsi="宋体" w:cs="宋体"/>
          <w:sz w:val="28"/>
          <w:szCs w:val="28"/>
        </w:rPr>
      </w:pPr>
      <w:r>
        <w:rPr>
          <w:rFonts w:hint="eastAsia" w:ascii="宋体" w:hAnsi="宋体" w:cs="宋体"/>
          <w:sz w:val="28"/>
          <w:szCs w:val="28"/>
        </w:rPr>
        <w:t>本招标文件仅适用于本次公开招标采购项目。</w:t>
      </w:r>
    </w:p>
    <w:p>
      <w:pPr>
        <w:numPr>
          <w:ilvl w:val="0"/>
          <w:numId w:val="9"/>
        </w:numPr>
        <w:tabs>
          <w:tab w:val="left" w:pos="1134"/>
        </w:tabs>
        <w:spacing w:line="360" w:lineRule="auto"/>
        <w:ind w:left="0" w:firstLine="565" w:firstLineChars="202"/>
        <w:rPr>
          <w:rFonts w:ascii="宋体" w:hAnsi="宋体" w:cs="宋体"/>
          <w:sz w:val="28"/>
          <w:szCs w:val="28"/>
        </w:rPr>
      </w:pPr>
      <w:r>
        <w:rPr>
          <w:rFonts w:hint="eastAsia" w:ascii="宋体" w:hAnsi="宋体" w:cs="宋体"/>
          <w:sz w:val="28"/>
          <w:szCs w:val="28"/>
        </w:rPr>
        <w:t>本招标文件的最终解释权由采购人或区公资交易中心享有。对招标文件中投标人参加本次政府采购活动应当具备的条件，招标项目服务、商务及其他要求，评标细则及标准由采购人负责解释。除上述招标文件内容，其他内容由区公资交易中心负责解释。</w:t>
      </w:r>
    </w:p>
    <w:p>
      <w:pPr>
        <w:keepNext/>
        <w:keepLines/>
        <w:numPr>
          <w:ilvl w:val="2"/>
          <w:numId w:val="2"/>
        </w:numPr>
        <w:spacing w:line="360" w:lineRule="auto"/>
        <w:ind w:left="0" w:firstLine="0"/>
        <w:outlineLvl w:val="2"/>
        <w:rPr>
          <w:rFonts w:ascii="宋体" w:hAnsi="宋体" w:cs="宋体"/>
          <w:b/>
          <w:bCs/>
          <w:sz w:val="28"/>
          <w:szCs w:val="28"/>
        </w:rPr>
      </w:pPr>
      <w:r>
        <w:rPr>
          <w:rFonts w:hint="eastAsia" w:ascii="宋体" w:hAnsi="宋体" w:cs="宋体"/>
          <w:b/>
          <w:bCs/>
          <w:sz w:val="28"/>
          <w:szCs w:val="28"/>
        </w:rPr>
        <w:t>有关定义</w:t>
      </w:r>
    </w:p>
    <w:p>
      <w:pPr>
        <w:numPr>
          <w:ilvl w:val="0"/>
          <w:numId w:val="10"/>
        </w:numPr>
        <w:tabs>
          <w:tab w:val="left" w:pos="1134"/>
        </w:tabs>
        <w:spacing w:line="360" w:lineRule="auto"/>
        <w:ind w:left="0" w:firstLine="568"/>
        <w:rPr>
          <w:rFonts w:ascii="宋体" w:hAnsi="宋体" w:cs="宋体"/>
          <w:sz w:val="28"/>
          <w:szCs w:val="28"/>
        </w:rPr>
      </w:pPr>
      <w:r>
        <w:rPr>
          <w:rFonts w:hint="eastAsia" w:ascii="宋体" w:hAnsi="宋体" w:cs="宋体"/>
          <w:sz w:val="28"/>
          <w:szCs w:val="28"/>
        </w:rPr>
        <w:t>“采购人”和“甲方”系指依法进行政府采购的成都市双流区级机关、事业单位、团体组织。本次招标的采购人是</w:t>
      </w:r>
      <w:bookmarkStart w:id="28" w:name="采购单位名称_1619331069080"/>
      <w:r>
        <w:rPr>
          <w:rFonts w:hint="eastAsia" w:ascii="宋体" w:hAnsi="宋体" w:cs="宋体"/>
          <w:b/>
          <w:sz w:val="28"/>
          <w:szCs w:val="28"/>
        </w:rPr>
        <w:t>成都市双流区人民政府</w:t>
      </w:r>
      <w:bookmarkEnd w:id="28"/>
      <w:r>
        <w:rPr>
          <w:rFonts w:hint="eastAsia" w:ascii="宋体" w:hAnsi="宋体" w:cs="宋体"/>
          <w:b/>
          <w:sz w:val="28"/>
          <w:szCs w:val="28"/>
        </w:rPr>
        <w:t>怡心街道办事处</w:t>
      </w:r>
      <w:r>
        <w:rPr>
          <w:rFonts w:hint="eastAsia" w:ascii="宋体" w:hAnsi="宋体" w:cs="宋体"/>
          <w:sz w:val="28"/>
          <w:szCs w:val="28"/>
        </w:rPr>
        <w:t>。</w:t>
      </w:r>
    </w:p>
    <w:p>
      <w:pPr>
        <w:numPr>
          <w:ilvl w:val="0"/>
          <w:numId w:val="10"/>
        </w:numPr>
        <w:tabs>
          <w:tab w:val="left" w:pos="1134"/>
        </w:tabs>
        <w:spacing w:line="360" w:lineRule="auto"/>
        <w:ind w:left="0" w:firstLine="567"/>
        <w:rPr>
          <w:rFonts w:ascii="宋体" w:hAnsi="宋体" w:cs="宋体"/>
          <w:sz w:val="28"/>
          <w:szCs w:val="28"/>
        </w:rPr>
      </w:pPr>
      <w:r>
        <w:rPr>
          <w:rFonts w:hint="eastAsia" w:ascii="宋体" w:hAnsi="宋体" w:cs="宋体"/>
          <w:sz w:val="28"/>
          <w:szCs w:val="28"/>
        </w:rPr>
        <w:t>“投标人”系指在系统中成功提交《采购文件获取登记表》拟参加投标和向采购人提供货物及服务的投标人。</w:t>
      </w:r>
    </w:p>
    <w:p>
      <w:pPr>
        <w:numPr>
          <w:ilvl w:val="0"/>
          <w:numId w:val="10"/>
        </w:numPr>
        <w:tabs>
          <w:tab w:val="left" w:pos="1134"/>
        </w:tabs>
        <w:spacing w:line="360" w:lineRule="auto"/>
        <w:ind w:left="0" w:firstLine="567"/>
        <w:rPr>
          <w:rFonts w:ascii="宋体" w:hAnsi="宋体" w:cs="宋体"/>
          <w:sz w:val="28"/>
          <w:szCs w:val="28"/>
        </w:rPr>
      </w:pPr>
      <w:r>
        <w:rPr>
          <w:rFonts w:hint="eastAsia" w:ascii="宋体" w:hAnsi="宋体" w:cs="宋体"/>
          <w:sz w:val="28"/>
          <w:szCs w:val="28"/>
        </w:rPr>
        <w:t>本招标文件各部分规定的期间以时、日、月、年计算。期间开始的时和日，不计算在期间内，而从次日开始计算。期间届满的最后一天是节假日的，以节假日后的第一日为期间届满的日期。</w:t>
      </w:r>
    </w:p>
    <w:p>
      <w:pPr>
        <w:tabs>
          <w:tab w:val="left" w:pos="1134"/>
        </w:tabs>
        <w:spacing w:line="360" w:lineRule="auto"/>
        <w:ind w:firstLine="560" w:firstLineChars="200"/>
        <w:rPr>
          <w:rFonts w:ascii="宋体" w:hAnsi="宋体" w:cs="宋体"/>
          <w:sz w:val="28"/>
          <w:szCs w:val="28"/>
        </w:rPr>
      </w:pPr>
      <w:r>
        <w:rPr>
          <w:rFonts w:hint="eastAsia" w:ascii="宋体" w:hAnsi="宋体" w:cs="宋体"/>
          <w:sz w:val="28"/>
          <w:szCs w:val="28"/>
        </w:rPr>
        <w:t>四、本招标文件各部分规定的“以上”、“以下”、“内”、“以内”，包括本数；所称的“不足”，不包括本数。</w:t>
      </w:r>
    </w:p>
    <w:p>
      <w:pPr>
        <w:tabs>
          <w:tab w:val="left" w:pos="1134"/>
        </w:tabs>
        <w:spacing w:line="360" w:lineRule="auto"/>
        <w:ind w:firstLine="560" w:firstLineChars="200"/>
        <w:rPr>
          <w:rFonts w:ascii="宋体" w:hAnsi="宋体" w:cs="宋体"/>
          <w:sz w:val="28"/>
          <w:szCs w:val="28"/>
        </w:rPr>
      </w:pPr>
      <w:r>
        <w:rPr>
          <w:rFonts w:hint="eastAsia" w:ascii="宋体" w:hAnsi="宋体" w:cs="宋体"/>
          <w:sz w:val="28"/>
          <w:szCs w:val="28"/>
        </w:rPr>
        <w:t>五、重大违法记录是指投标人因违法经营受到刑事处罚或者责令停产停业、吊销许可证或者执照、较大数额罚款等行政处罚。</w:t>
      </w:r>
    </w:p>
    <w:p>
      <w:pPr>
        <w:pStyle w:val="2"/>
        <w:ind w:firstLine="560" w:firstLineChars="200"/>
        <w:rPr>
          <w:rFonts w:ascii="宋体" w:hAnsi="宋体"/>
          <w:sz w:val="28"/>
          <w:szCs w:val="28"/>
        </w:rPr>
      </w:pPr>
      <w:r>
        <w:rPr>
          <w:rFonts w:hint="eastAsia" w:ascii="宋体" w:hAnsi="宋体"/>
          <w:sz w:val="28"/>
          <w:szCs w:val="28"/>
        </w:rPr>
        <w:t>六、本项目重大违法记录中的较大数额罚款的具体金额标准：若行业行政主管部门对较大数额罚款金额标准有明文规定的，以行业行政主管部门规定的较大数额罚款金额标准为准；若行业行政主管部门对较大数额罚款金额标准未明文规定的，以作出行政处罚机关当地的行政处罚罚款听证标准金额为准。</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七、不见面开标是指，区公资交易中心依托政府采购云平台组织开标活动，投标人在线参与开标的一种组织形式。 </w:t>
      </w:r>
    </w:p>
    <w:p>
      <w:pPr>
        <w:keepNext/>
        <w:keepLines/>
        <w:numPr>
          <w:ilvl w:val="2"/>
          <w:numId w:val="2"/>
        </w:numPr>
        <w:spacing w:line="360" w:lineRule="auto"/>
        <w:ind w:left="3119" w:hanging="3119"/>
        <w:outlineLvl w:val="2"/>
        <w:rPr>
          <w:rFonts w:ascii="宋体" w:hAnsi="宋体" w:cs="宋体"/>
          <w:b/>
          <w:bCs/>
          <w:sz w:val="28"/>
          <w:szCs w:val="28"/>
        </w:rPr>
      </w:pPr>
      <w:bookmarkStart w:id="29" w:name="_Toc183582207"/>
      <w:bookmarkStart w:id="30" w:name="_Toc217390843"/>
      <w:bookmarkStart w:id="31" w:name="_Toc183682344"/>
      <w:bookmarkStart w:id="32" w:name="_Toc217446036"/>
      <w:r>
        <w:rPr>
          <w:rFonts w:hint="eastAsia" w:ascii="宋体" w:hAnsi="宋体" w:cs="宋体"/>
          <w:b/>
          <w:bCs/>
          <w:sz w:val="28"/>
          <w:szCs w:val="28"/>
        </w:rPr>
        <w:t>合格的投标人</w:t>
      </w:r>
      <w:bookmarkEnd w:id="29"/>
      <w:bookmarkEnd w:id="30"/>
      <w:bookmarkEnd w:id="31"/>
      <w:bookmarkEnd w:id="32"/>
    </w:p>
    <w:p>
      <w:pPr>
        <w:tabs>
          <w:tab w:val="left" w:pos="7665"/>
        </w:tabs>
        <w:spacing w:line="360" w:lineRule="auto"/>
        <w:ind w:firstLine="565" w:firstLineChars="202"/>
        <w:rPr>
          <w:rFonts w:ascii="宋体" w:hAnsi="宋体" w:cs="宋体"/>
          <w:sz w:val="28"/>
          <w:szCs w:val="28"/>
        </w:rPr>
      </w:pPr>
      <w:r>
        <w:rPr>
          <w:rFonts w:hint="eastAsia" w:ascii="宋体" w:hAnsi="宋体" w:cs="宋体"/>
          <w:sz w:val="28"/>
          <w:szCs w:val="28"/>
        </w:rPr>
        <w:t>合格的投标人应具备以下条件：</w:t>
      </w:r>
    </w:p>
    <w:p>
      <w:pPr>
        <w:numPr>
          <w:ilvl w:val="0"/>
          <w:numId w:val="11"/>
        </w:numPr>
        <w:tabs>
          <w:tab w:val="left" w:pos="1134"/>
        </w:tabs>
        <w:spacing w:line="360" w:lineRule="auto"/>
        <w:rPr>
          <w:rFonts w:ascii="宋体" w:hAnsi="宋体" w:cs="宋体"/>
          <w:sz w:val="28"/>
          <w:szCs w:val="28"/>
        </w:rPr>
      </w:pPr>
      <w:r>
        <w:rPr>
          <w:rFonts w:hint="eastAsia" w:ascii="宋体" w:hAnsi="宋体" w:cs="宋体"/>
          <w:sz w:val="28"/>
          <w:szCs w:val="28"/>
        </w:rPr>
        <w:t>本招标文件“投标邀请”第五条规定的条件；</w:t>
      </w:r>
    </w:p>
    <w:p>
      <w:pPr>
        <w:numPr>
          <w:ilvl w:val="0"/>
          <w:numId w:val="11"/>
        </w:numPr>
        <w:tabs>
          <w:tab w:val="left" w:pos="1134"/>
        </w:tabs>
        <w:spacing w:line="360" w:lineRule="auto"/>
        <w:ind w:left="0" w:firstLine="568"/>
        <w:rPr>
          <w:rFonts w:ascii="宋体" w:hAnsi="宋体" w:cs="宋体"/>
          <w:sz w:val="28"/>
          <w:szCs w:val="28"/>
        </w:rPr>
      </w:pPr>
      <w:r>
        <w:rPr>
          <w:rFonts w:hint="eastAsia" w:ascii="宋体" w:hAnsi="宋体" w:cs="宋体"/>
          <w:sz w:val="28"/>
          <w:szCs w:val="28"/>
        </w:rPr>
        <w:t>按照招标文件“投标邀请”中第六、七、八条规定获取了招标文件。</w:t>
      </w:r>
    </w:p>
    <w:p>
      <w:pPr>
        <w:keepNext/>
        <w:keepLines/>
        <w:numPr>
          <w:ilvl w:val="2"/>
          <w:numId w:val="2"/>
        </w:numPr>
        <w:spacing w:line="360" w:lineRule="auto"/>
        <w:ind w:left="0" w:firstLine="0"/>
        <w:outlineLvl w:val="2"/>
        <w:rPr>
          <w:rFonts w:ascii="宋体" w:hAnsi="宋体" w:cs="宋体"/>
          <w:b/>
          <w:bCs/>
          <w:sz w:val="28"/>
          <w:szCs w:val="28"/>
        </w:rPr>
      </w:pPr>
      <w:r>
        <w:rPr>
          <w:rFonts w:hint="eastAsia" w:ascii="宋体" w:hAnsi="宋体" w:cs="宋体"/>
          <w:b/>
          <w:bCs/>
          <w:sz w:val="28"/>
          <w:szCs w:val="28"/>
        </w:rPr>
        <w:t>投标费用</w:t>
      </w:r>
    </w:p>
    <w:p>
      <w:pPr>
        <w:spacing w:line="360" w:lineRule="auto"/>
        <w:ind w:firstLine="660" w:firstLineChars="236"/>
        <w:rPr>
          <w:rFonts w:ascii="宋体" w:hAnsi="宋体" w:cs="宋体"/>
          <w:sz w:val="28"/>
          <w:szCs w:val="28"/>
        </w:rPr>
      </w:pPr>
      <w:r>
        <w:rPr>
          <w:rFonts w:hint="eastAsia" w:ascii="宋体" w:hAnsi="宋体" w:cs="宋体"/>
          <w:sz w:val="28"/>
          <w:szCs w:val="28"/>
        </w:rPr>
        <w:t>投标人应自行承担参加投标的全部费用。</w:t>
      </w:r>
    </w:p>
    <w:p>
      <w:pPr>
        <w:keepNext/>
        <w:keepLines/>
        <w:numPr>
          <w:ilvl w:val="2"/>
          <w:numId w:val="2"/>
        </w:numPr>
        <w:spacing w:line="360" w:lineRule="auto"/>
        <w:ind w:left="0" w:firstLine="0"/>
        <w:outlineLvl w:val="2"/>
        <w:rPr>
          <w:rFonts w:ascii="宋体" w:hAnsi="宋体" w:cs="宋体"/>
          <w:b/>
          <w:bCs/>
          <w:sz w:val="28"/>
          <w:szCs w:val="28"/>
        </w:rPr>
      </w:pPr>
      <w:r>
        <w:rPr>
          <w:rFonts w:hint="eastAsia" w:ascii="宋体" w:hAnsi="宋体" w:cs="宋体"/>
          <w:b/>
          <w:bCs/>
          <w:sz w:val="28"/>
          <w:szCs w:val="28"/>
        </w:rPr>
        <w:t>充分、公平竞争保障措施</w:t>
      </w:r>
    </w:p>
    <w:p>
      <w:pPr>
        <w:numPr>
          <w:ilvl w:val="0"/>
          <w:numId w:val="12"/>
        </w:numPr>
        <w:tabs>
          <w:tab w:val="left" w:pos="1134"/>
        </w:tabs>
        <w:adjustRightInd w:val="0"/>
        <w:spacing w:line="560" w:lineRule="exact"/>
        <w:ind w:left="0" w:firstLine="567"/>
        <w:rPr>
          <w:rFonts w:ascii="宋体" w:hAnsi="宋体" w:cs="宋体"/>
          <w:sz w:val="28"/>
          <w:szCs w:val="28"/>
        </w:rPr>
      </w:pPr>
      <w:r>
        <w:rPr>
          <w:rFonts w:hint="eastAsia" w:ascii="宋体" w:hAnsi="宋体" w:cs="宋体"/>
          <w:sz w:val="28"/>
          <w:szCs w:val="28"/>
        </w:rPr>
        <w:t>单位负责人为同一人或者存在直接控股、管理关系的不同投标人，不得参加同一项目的投标。</w:t>
      </w:r>
    </w:p>
    <w:p>
      <w:pPr>
        <w:numPr>
          <w:ilvl w:val="0"/>
          <w:numId w:val="12"/>
        </w:numPr>
        <w:tabs>
          <w:tab w:val="left" w:pos="1134"/>
        </w:tabs>
        <w:adjustRightInd w:val="0"/>
        <w:spacing w:line="560" w:lineRule="exact"/>
        <w:ind w:left="0" w:firstLine="567"/>
        <w:rPr>
          <w:rFonts w:ascii="宋体" w:hAnsi="宋体" w:cs="宋体"/>
          <w:b/>
          <w:sz w:val="28"/>
          <w:szCs w:val="28"/>
        </w:rPr>
      </w:pPr>
      <w:r>
        <w:rPr>
          <w:rFonts w:hint="eastAsia" w:ascii="宋体" w:hAnsi="宋体" w:cs="宋体"/>
          <w:sz w:val="28"/>
          <w:szCs w:val="28"/>
        </w:rPr>
        <w:t>为采购项目提供整体设计、规范编制或者项目管理、监理、检测等服务的投标人，不得再参加该采购项目的其他采购活动。投标人为采购人、采购代理机构在确定采购需求、编制采购文件过程中提供咨询论证，其提供的咨询论证意见成为采购文件中规定的投标人资格条件、技术服务商务要求、评审因素和标准、政府采购合同等实质性内容条款的，视同为采购项目提供规范编制。</w:t>
      </w:r>
      <w:r>
        <w:rPr>
          <w:rFonts w:hint="eastAsia" w:ascii="宋体" w:hAnsi="宋体" w:cs="宋体"/>
          <w:b/>
          <w:sz w:val="28"/>
          <w:szCs w:val="28"/>
        </w:rPr>
        <w:t>（</w:t>
      </w:r>
      <w:r>
        <w:rPr>
          <w:rFonts w:hint="eastAsia" w:ascii="宋体" w:hAnsi="宋体" w:cs="宋体"/>
          <w:b/>
          <w:color w:val="auto"/>
          <w:sz w:val="28"/>
          <w:szCs w:val="28"/>
        </w:rPr>
        <w:t>说明：无投</w:t>
      </w:r>
      <w:r>
        <w:rPr>
          <w:rFonts w:hint="eastAsia" w:ascii="宋体" w:hAnsi="宋体" w:cs="宋体"/>
          <w:b/>
          <w:color w:val="000000" w:themeColor="text1"/>
          <w:sz w:val="28"/>
          <w:szCs w:val="28"/>
          <w14:textFill>
            <w14:solidFill>
              <w14:schemeClr w14:val="tx1"/>
            </w14:solidFill>
          </w14:textFill>
        </w:rPr>
        <w:t>标人为本项目提供整体设计、规范编制或者项目管理、监理、检测等服务。）</w:t>
      </w:r>
    </w:p>
    <w:p>
      <w:pPr>
        <w:keepNext/>
        <w:keepLines/>
        <w:numPr>
          <w:ilvl w:val="1"/>
          <w:numId w:val="2"/>
        </w:numPr>
        <w:spacing w:line="360" w:lineRule="auto"/>
        <w:jc w:val="left"/>
        <w:outlineLvl w:val="1"/>
        <w:rPr>
          <w:rFonts w:ascii="宋体" w:hAnsi="宋体" w:cs="宋体"/>
          <w:b/>
          <w:bCs/>
          <w:sz w:val="28"/>
          <w:szCs w:val="28"/>
        </w:rPr>
      </w:pPr>
      <w:bookmarkStart w:id="33" w:name="_Toc1837"/>
      <w:bookmarkStart w:id="34" w:name="_Toc183682347"/>
      <w:bookmarkStart w:id="35" w:name="_Toc183582210"/>
      <w:bookmarkStart w:id="36" w:name="_Toc217446039"/>
      <w:r>
        <w:rPr>
          <w:rFonts w:hint="eastAsia" w:ascii="宋体" w:hAnsi="宋体" w:cs="宋体"/>
          <w:b/>
          <w:bCs/>
          <w:sz w:val="28"/>
          <w:szCs w:val="28"/>
        </w:rPr>
        <w:t>招标文件</w:t>
      </w:r>
      <w:bookmarkEnd w:id="33"/>
      <w:bookmarkEnd w:id="34"/>
      <w:bookmarkEnd w:id="35"/>
      <w:bookmarkEnd w:id="36"/>
    </w:p>
    <w:p>
      <w:pPr>
        <w:keepNext/>
        <w:keepLines/>
        <w:numPr>
          <w:ilvl w:val="2"/>
          <w:numId w:val="2"/>
        </w:numPr>
        <w:spacing w:line="360" w:lineRule="auto"/>
        <w:ind w:left="0" w:firstLine="0"/>
        <w:outlineLvl w:val="2"/>
        <w:rPr>
          <w:rFonts w:ascii="宋体" w:hAnsi="宋体" w:cs="宋体"/>
          <w:b/>
          <w:bCs/>
          <w:sz w:val="28"/>
          <w:szCs w:val="28"/>
        </w:rPr>
      </w:pPr>
      <w:r>
        <w:rPr>
          <w:rFonts w:hint="eastAsia" w:ascii="宋体" w:hAnsi="宋体" w:cs="宋体"/>
          <w:b/>
          <w:bCs/>
          <w:sz w:val="28"/>
          <w:szCs w:val="28"/>
        </w:rPr>
        <w:t>招标文件的构成</w:t>
      </w:r>
    </w:p>
    <w:p>
      <w:pPr>
        <w:numPr>
          <w:ilvl w:val="0"/>
          <w:numId w:val="13"/>
        </w:numPr>
        <w:tabs>
          <w:tab w:val="left" w:pos="1134"/>
        </w:tabs>
        <w:spacing w:line="360" w:lineRule="auto"/>
        <w:ind w:left="0" w:firstLine="567"/>
        <w:rPr>
          <w:rFonts w:ascii="宋体" w:hAnsi="宋体" w:cs="宋体"/>
          <w:sz w:val="28"/>
          <w:szCs w:val="28"/>
        </w:rPr>
      </w:pPr>
      <w:r>
        <w:rPr>
          <w:rFonts w:hint="eastAsia" w:ascii="宋体" w:hAnsi="宋体" w:cs="宋体"/>
          <w:sz w:val="28"/>
          <w:szCs w:val="28"/>
        </w:rPr>
        <w:t>招标文件是投标人准备投标文件和参加投标的依据，同时也是评标的重要依据。招标文件用以阐明招标项目所需的资质、技术、服务及报价等要求、招标投标程序、有关规定和注意事项以及合同主要条款等。本招标文件包括以下内容：</w:t>
      </w:r>
    </w:p>
    <w:p>
      <w:pPr>
        <w:numPr>
          <w:ilvl w:val="1"/>
          <w:numId w:val="14"/>
        </w:numPr>
        <w:tabs>
          <w:tab w:val="left" w:pos="1134"/>
        </w:tabs>
        <w:spacing w:line="360" w:lineRule="auto"/>
        <w:ind w:left="0" w:firstLine="567"/>
        <w:rPr>
          <w:rFonts w:ascii="宋体" w:hAnsi="宋体" w:cs="宋体"/>
          <w:sz w:val="28"/>
          <w:szCs w:val="28"/>
        </w:rPr>
      </w:pPr>
      <w:r>
        <w:rPr>
          <w:rFonts w:hint="eastAsia" w:ascii="宋体" w:hAnsi="宋体" w:cs="宋体"/>
          <w:sz w:val="28"/>
          <w:szCs w:val="28"/>
        </w:rPr>
        <w:t>投标邀请；</w:t>
      </w:r>
    </w:p>
    <w:p>
      <w:pPr>
        <w:numPr>
          <w:ilvl w:val="1"/>
          <w:numId w:val="14"/>
        </w:numPr>
        <w:tabs>
          <w:tab w:val="left" w:pos="1134"/>
        </w:tabs>
        <w:spacing w:line="360" w:lineRule="auto"/>
        <w:ind w:left="0" w:firstLine="567"/>
        <w:rPr>
          <w:rFonts w:ascii="宋体" w:hAnsi="宋体" w:cs="宋体"/>
          <w:sz w:val="28"/>
          <w:szCs w:val="28"/>
        </w:rPr>
      </w:pPr>
      <w:r>
        <w:rPr>
          <w:rFonts w:hint="eastAsia" w:ascii="宋体" w:hAnsi="宋体" w:cs="宋体"/>
          <w:sz w:val="28"/>
          <w:szCs w:val="28"/>
        </w:rPr>
        <w:t>投标人须知；</w:t>
      </w:r>
    </w:p>
    <w:p>
      <w:pPr>
        <w:numPr>
          <w:ilvl w:val="1"/>
          <w:numId w:val="14"/>
        </w:numPr>
        <w:tabs>
          <w:tab w:val="left" w:pos="1134"/>
        </w:tabs>
        <w:spacing w:line="360" w:lineRule="auto"/>
        <w:ind w:left="0" w:firstLine="567"/>
        <w:rPr>
          <w:rFonts w:ascii="宋体" w:hAnsi="宋体" w:cs="宋体"/>
          <w:sz w:val="28"/>
          <w:szCs w:val="28"/>
        </w:rPr>
      </w:pPr>
      <w:r>
        <w:rPr>
          <w:rFonts w:hint="eastAsia" w:ascii="宋体" w:hAnsi="宋体" w:cs="宋体"/>
          <w:sz w:val="28"/>
          <w:szCs w:val="28"/>
        </w:rPr>
        <w:t>投标文件格式；</w:t>
      </w:r>
    </w:p>
    <w:p>
      <w:pPr>
        <w:numPr>
          <w:ilvl w:val="1"/>
          <w:numId w:val="14"/>
        </w:numPr>
        <w:tabs>
          <w:tab w:val="left" w:pos="1134"/>
        </w:tabs>
        <w:spacing w:line="360" w:lineRule="auto"/>
        <w:ind w:left="0" w:firstLine="567"/>
        <w:rPr>
          <w:rFonts w:ascii="宋体" w:hAnsi="宋体" w:cs="宋体"/>
          <w:sz w:val="28"/>
          <w:szCs w:val="28"/>
        </w:rPr>
      </w:pPr>
      <w:r>
        <w:rPr>
          <w:rFonts w:hint="eastAsia" w:ascii="宋体" w:hAnsi="宋体" w:cs="宋体"/>
          <w:sz w:val="28"/>
          <w:szCs w:val="28"/>
        </w:rPr>
        <w:t>招标项目服务、商务及其他要求；</w:t>
      </w:r>
    </w:p>
    <w:p>
      <w:pPr>
        <w:numPr>
          <w:ilvl w:val="1"/>
          <w:numId w:val="14"/>
        </w:numPr>
        <w:tabs>
          <w:tab w:val="left" w:pos="1134"/>
        </w:tabs>
        <w:spacing w:line="360" w:lineRule="auto"/>
        <w:ind w:left="0" w:firstLine="567"/>
        <w:rPr>
          <w:rFonts w:ascii="宋体" w:hAnsi="宋体" w:cs="宋体"/>
          <w:sz w:val="28"/>
          <w:szCs w:val="28"/>
        </w:rPr>
      </w:pPr>
      <w:r>
        <w:rPr>
          <w:rFonts w:hint="eastAsia" w:ascii="宋体" w:hAnsi="宋体" w:cs="宋体"/>
          <w:sz w:val="28"/>
          <w:szCs w:val="28"/>
        </w:rPr>
        <w:t>资格性审查；</w:t>
      </w:r>
    </w:p>
    <w:p>
      <w:pPr>
        <w:numPr>
          <w:ilvl w:val="1"/>
          <w:numId w:val="14"/>
        </w:numPr>
        <w:tabs>
          <w:tab w:val="left" w:pos="1134"/>
        </w:tabs>
        <w:spacing w:line="360" w:lineRule="auto"/>
        <w:ind w:left="0" w:firstLine="567"/>
        <w:rPr>
          <w:rFonts w:ascii="宋体" w:hAnsi="宋体" w:cs="宋体"/>
          <w:sz w:val="28"/>
          <w:szCs w:val="28"/>
        </w:rPr>
      </w:pPr>
      <w:r>
        <w:rPr>
          <w:rFonts w:hint="eastAsia" w:ascii="宋体" w:hAnsi="宋体" w:cs="宋体"/>
          <w:sz w:val="28"/>
          <w:szCs w:val="28"/>
        </w:rPr>
        <w:t>评标办法；</w:t>
      </w:r>
    </w:p>
    <w:p>
      <w:pPr>
        <w:numPr>
          <w:ilvl w:val="1"/>
          <w:numId w:val="14"/>
        </w:numPr>
        <w:tabs>
          <w:tab w:val="left" w:pos="1134"/>
        </w:tabs>
        <w:spacing w:line="360" w:lineRule="auto"/>
        <w:ind w:left="0" w:firstLine="567"/>
        <w:rPr>
          <w:rFonts w:ascii="宋体" w:hAnsi="宋体" w:cs="宋体"/>
          <w:sz w:val="28"/>
          <w:szCs w:val="28"/>
        </w:rPr>
      </w:pPr>
      <w:r>
        <w:rPr>
          <w:rFonts w:hint="eastAsia" w:ascii="宋体" w:hAnsi="宋体" w:cs="宋体"/>
          <w:sz w:val="28"/>
          <w:szCs w:val="28"/>
        </w:rPr>
        <w:t>拟签订合同文本。</w:t>
      </w:r>
    </w:p>
    <w:p>
      <w:pPr>
        <w:numPr>
          <w:ilvl w:val="0"/>
          <w:numId w:val="13"/>
        </w:numPr>
        <w:tabs>
          <w:tab w:val="left" w:pos="1134"/>
        </w:tabs>
        <w:spacing w:line="360" w:lineRule="auto"/>
        <w:ind w:left="0" w:firstLine="567"/>
        <w:rPr>
          <w:rFonts w:ascii="宋体" w:hAnsi="宋体" w:cs="宋体"/>
          <w:sz w:val="28"/>
          <w:szCs w:val="28"/>
        </w:rPr>
      </w:pPr>
      <w:r>
        <w:rPr>
          <w:rFonts w:hint="eastAsia" w:ascii="宋体" w:hAnsi="宋体" w:cs="宋体"/>
          <w:sz w:val="28"/>
          <w:szCs w:val="28"/>
        </w:rPr>
        <w:t>投标人应认真阅读和充分理解招标文件中所有的事项、格式条款和规范要求。投标人没有对招标文件全面做出实质性响应所产生的风险由投标人承担。</w:t>
      </w:r>
    </w:p>
    <w:p>
      <w:pPr>
        <w:keepNext/>
        <w:keepLines/>
        <w:numPr>
          <w:ilvl w:val="2"/>
          <w:numId w:val="2"/>
        </w:numPr>
        <w:spacing w:line="360" w:lineRule="auto"/>
        <w:ind w:left="0" w:firstLine="0"/>
        <w:outlineLvl w:val="2"/>
        <w:rPr>
          <w:rFonts w:ascii="宋体" w:hAnsi="宋体" w:cs="宋体"/>
          <w:b/>
          <w:bCs/>
          <w:sz w:val="28"/>
          <w:szCs w:val="28"/>
        </w:rPr>
      </w:pPr>
      <w:bookmarkStart w:id="37" w:name="_Toc183682348"/>
      <w:bookmarkStart w:id="38" w:name="_Toc183582211"/>
      <w:bookmarkStart w:id="39" w:name="_Toc217446040"/>
      <w:r>
        <w:rPr>
          <w:rFonts w:hint="eastAsia" w:ascii="宋体" w:hAnsi="宋体" w:cs="宋体"/>
          <w:b/>
          <w:bCs/>
          <w:sz w:val="28"/>
          <w:szCs w:val="28"/>
        </w:rPr>
        <w:t>招标文件的澄清</w:t>
      </w:r>
      <w:bookmarkEnd w:id="37"/>
      <w:bookmarkEnd w:id="38"/>
      <w:r>
        <w:rPr>
          <w:rFonts w:hint="eastAsia" w:ascii="宋体" w:hAnsi="宋体" w:cs="宋体"/>
          <w:b/>
          <w:bCs/>
          <w:sz w:val="28"/>
          <w:szCs w:val="28"/>
        </w:rPr>
        <w:t>和修改</w:t>
      </w:r>
      <w:bookmarkEnd w:id="39"/>
      <w:bookmarkStart w:id="40" w:name="_Toc183582214"/>
      <w:bookmarkStart w:id="41" w:name="_Toc183682351"/>
      <w:bookmarkStart w:id="42" w:name="_Toc89075876"/>
      <w:bookmarkStart w:id="43" w:name="_Toc77400780"/>
      <w:bookmarkStart w:id="44" w:name="_Toc217446042"/>
    </w:p>
    <w:p>
      <w:pPr>
        <w:numPr>
          <w:ilvl w:val="0"/>
          <w:numId w:val="15"/>
        </w:numPr>
        <w:tabs>
          <w:tab w:val="left" w:pos="142"/>
          <w:tab w:val="left" w:pos="1134"/>
        </w:tabs>
        <w:spacing w:line="360" w:lineRule="auto"/>
        <w:ind w:left="0" w:firstLine="560"/>
        <w:rPr>
          <w:rFonts w:ascii="宋体" w:hAnsi="宋体"/>
          <w:sz w:val="28"/>
          <w:szCs w:val="28"/>
        </w:rPr>
      </w:pPr>
      <w:r>
        <w:rPr>
          <w:rFonts w:hint="eastAsia" w:ascii="宋体" w:hAnsi="宋体"/>
          <w:sz w:val="28"/>
          <w:szCs w:val="28"/>
        </w:rPr>
        <w:t>在投标截止时间前，采购人或者</w:t>
      </w:r>
      <w:r>
        <w:rPr>
          <w:rFonts w:hint="eastAsia" w:cs="Arial"/>
          <w:sz w:val="28"/>
          <w:szCs w:val="28"/>
        </w:rPr>
        <w:t>区公资交易中心</w:t>
      </w:r>
      <w:r>
        <w:rPr>
          <w:rFonts w:hint="eastAsia" w:ascii="宋体" w:hAnsi="宋体"/>
          <w:sz w:val="28"/>
          <w:szCs w:val="28"/>
        </w:rPr>
        <w:t>可以对已发出的招标文件进行必要的澄清或者修改。</w:t>
      </w:r>
    </w:p>
    <w:p>
      <w:pPr>
        <w:numPr>
          <w:ilvl w:val="0"/>
          <w:numId w:val="15"/>
        </w:numPr>
        <w:spacing w:line="360" w:lineRule="auto"/>
        <w:ind w:left="0" w:firstLine="567"/>
        <w:rPr>
          <w:rFonts w:ascii="宋体" w:hAnsi="宋体"/>
          <w:sz w:val="28"/>
          <w:szCs w:val="28"/>
        </w:rPr>
      </w:pPr>
      <w:r>
        <w:rPr>
          <w:rFonts w:hint="eastAsia" w:ascii="宋体" w:hAnsi="宋体"/>
          <w:sz w:val="28"/>
          <w:szCs w:val="28"/>
        </w:rPr>
        <w:t>澄清或者修改的内容，区公资交易中心将在“四川政府采购网”和“成都市公共资源交易服务中心”网站上发布澄清公告，同时通过政府采购云平台将澄清或者修改的内容告知所有在系统中成功获取招标文件的潜在投标人（投标人通过账号或CA证书登录云平台查看）</w:t>
      </w:r>
    </w:p>
    <w:p>
      <w:pPr>
        <w:tabs>
          <w:tab w:val="left" w:pos="142"/>
          <w:tab w:val="left" w:pos="1134"/>
        </w:tabs>
        <w:spacing w:line="240" w:lineRule="auto"/>
        <w:ind w:firstLine="560" w:firstLineChars="200"/>
        <w:rPr>
          <w:rFonts w:ascii="宋体" w:hAnsi="宋体" w:cs="宋体"/>
          <w:sz w:val="28"/>
          <w:szCs w:val="28"/>
        </w:rPr>
      </w:pPr>
      <w:r>
        <w:rPr>
          <w:rFonts w:hint="eastAsia" w:ascii="宋体" w:hAnsi="宋体"/>
          <w:sz w:val="28"/>
          <w:szCs w:val="28"/>
        </w:rPr>
        <w:t>三、澄清或者修改的内容可能影响投标文件编制的，区公资交易中心应当在投标截止时间至少15日前，通过政府采购云平台通知所有获取招标文件的潜在投标人；不足15日的，采购人或区公资交易中心应当顺延提交投标文件的截止时间。</w:t>
      </w:r>
    </w:p>
    <w:p>
      <w:pPr>
        <w:keepNext/>
        <w:keepLines/>
        <w:numPr>
          <w:ilvl w:val="1"/>
          <w:numId w:val="2"/>
        </w:numPr>
        <w:spacing w:line="360" w:lineRule="auto"/>
        <w:jc w:val="left"/>
        <w:outlineLvl w:val="1"/>
        <w:rPr>
          <w:rFonts w:ascii="宋体" w:hAnsi="宋体" w:cs="宋体"/>
          <w:b/>
          <w:bCs/>
          <w:sz w:val="28"/>
          <w:szCs w:val="28"/>
        </w:rPr>
      </w:pPr>
      <w:bookmarkStart w:id="45" w:name="_Toc25584"/>
      <w:r>
        <w:rPr>
          <w:rFonts w:hint="eastAsia" w:ascii="宋体" w:hAnsi="宋体" w:cs="宋体"/>
          <w:b/>
          <w:bCs/>
          <w:sz w:val="28"/>
          <w:szCs w:val="28"/>
        </w:rPr>
        <w:t>投标文件</w:t>
      </w:r>
      <w:bookmarkEnd w:id="40"/>
      <w:bookmarkEnd w:id="41"/>
      <w:bookmarkEnd w:id="42"/>
      <w:bookmarkEnd w:id="43"/>
      <w:bookmarkEnd w:id="44"/>
      <w:bookmarkEnd w:id="45"/>
    </w:p>
    <w:p>
      <w:pPr>
        <w:keepNext/>
        <w:keepLines/>
        <w:numPr>
          <w:ilvl w:val="2"/>
          <w:numId w:val="2"/>
        </w:numPr>
        <w:spacing w:line="360" w:lineRule="auto"/>
        <w:ind w:left="0" w:firstLine="0"/>
        <w:outlineLvl w:val="2"/>
        <w:rPr>
          <w:rFonts w:ascii="宋体" w:hAnsi="宋体" w:cs="宋体"/>
          <w:b/>
          <w:bCs/>
          <w:sz w:val="28"/>
          <w:szCs w:val="28"/>
        </w:rPr>
      </w:pPr>
      <w:bookmarkStart w:id="46" w:name="_Toc183582215"/>
      <w:bookmarkStart w:id="47" w:name="_Toc183682352"/>
      <w:bookmarkStart w:id="48" w:name="_Toc217446043"/>
      <w:r>
        <w:rPr>
          <w:rFonts w:hint="eastAsia" w:ascii="宋体" w:hAnsi="宋体" w:cs="宋体"/>
          <w:b/>
          <w:bCs/>
          <w:sz w:val="28"/>
          <w:szCs w:val="28"/>
        </w:rPr>
        <w:t>投标文件的语言</w:t>
      </w:r>
      <w:bookmarkEnd w:id="46"/>
      <w:bookmarkEnd w:id="47"/>
      <w:bookmarkEnd w:id="48"/>
    </w:p>
    <w:p>
      <w:pPr>
        <w:numPr>
          <w:ilvl w:val="0"/>
          <w:numId w:val="16"/>
        </w:numPr>
        <w:tabs>
          <w:tab w:val="left" w:pos="1134"/>
        </w:tabs>
        <w:spacing w:line="360" w:lineRule="auto"/>
        <w:ind w:left="0" w:firstLine="560"/>
        <w:rPr>
          <w:rFonts w:ascii="宋体" w:hAnsi="宋体" w:cs="宋体"/>
          <w:sz w:val="28"/>
          <w:szCs w:val="28"/>
        </w:rPr>
      </w:pPr>
      <w:r>
        <w:rPr>
          <w:rFonts w:hint="eastAsia" w:ascii="宋体" w:hAnsi="宋体" w:cs="宋体"/>
          <w:sz w:val="28"/>
          <w:szCs w:val="28"/>
        </w:rPr>
        <w:t>投标人提交的投标文件以及投标人与采购人或区公资交易中心就有关投标的所有来往书面文件均须使用中文，投标文件中所附或引用的外文资料，应翻译成中文附在相关外文资料后面。（</w:t>
      </w:r>
      <w:r>
        <w:rPr>
          <w:rFonts w:hint="eastAsia" w:ascii="宋体" w:hAnsi="宋体" w:cs="宋体"/>
          <w:b/>
          <w:bCs/>
          <w:sz w:val="28"/>
          <w:szCs w:val="28"/>
        </w:rPr>
        <w:t>说明</w:t>
      </w:r>
      <w:r>
        <w:rPr>
          <w:rFonts w:hint="eastAsia" w:ascii="宋体" w:hAnsi="宋体" w:cs="宋体"/>
          <w:sz w:val="28"/>
          <w:szCs w:val="28"/>
        </w:rPr>
        <w:t>：投标人的法定代表人为外籍人士的，则法定代表人的签字和护照除外）。</w:t>
      </w:r>
    </w:p>
    <w:p>
      <w:pPr>
        <w:numPr>
          <w:ilvl w:val="0"/>
          <w:numId w:val="16"/>
        </w:numPr>
        <w:tabs>
          <w:tab w:val="left" w:pos="1134"/>
        </w:tabs>
        <w:spacing w:line="360" w:lineRule="auto"/>
        <w:ind w:left="0" w:firstLine="560"/>
        <w:rPr>
          <w:rFonts w:ascii="宋体" w:hAnsi="宋体" w:cs="宋体"/>
          <w:sz w:val="28"/>
          <w:szCs w:val="28"/>
        </w:rPr>
      </w:pPr>
      <w:r>
        <w:rPr>
          <w:rFonts w:hint="eastAsia" w:ascii="宋体" w:hAnsi="宋体" w:cs="宋体"/>
          <w:sz w:val="28"/>
          <w:szCs w:val="28"/>
        </w:rPr>
        <w:t xml:space="preserve">对不同文字文本投标文件的解释发生异议的，以中文文本为准。若投标人投标文件中提供的外文资料未翻译成中文，则评标委员会可将其视为无效材料。 </w:t>
      </w:r>
    </w:p>
    <w:p>
      <w:pPr>
        <w:keepNext/>
        <w:keepLines/>
        <w:numPr>
          <w:ilvl w:val="2"/>
          <w:numId w:val="2"/>
        </w:numPr>
        <w:spacing w:line="360" w:lineRule="auto"/>
        <w:ind w:left="0" w:firstLine="0"/>
        <w:outlineLvl w:val="2"/>
        <w:rPr>
          <w:rFonts w:ascii="宋体" w:hAnsi="宋体" w:cs="宋体"/>
          <w:b/>
          <w:bCs/>
          <w:sz w:val="28"/>
          <w:szCs w:val="28"/>
        </w:rPr>
      </w:pPr>
      <w:bookmarkStart w:id="49" w:name="_Toc217446044"/>
      <w:bookmarkStart w:id="50" w:name="_Toc183682353"/>
      <w:bookmarkStart w:id="51" w:name="_Toc183582216"/>
      <w:r>
        <w:rPr>
          <w:rFonts w:hint="eastAsia" w:ascii="宋体" w:hAnsi="宋体" w:cs="宋体"/>
          <w:b/>
          <w:bCs/>
          <w:sz w:val="28"/>
          <w:szCs w:val="28"/>
        </w:rPr>
        <w:t>计量单位</w:t>
      </w:r>
      <w:bookmarkEnd w:id="49"/>
      <w:bookmarkEnd w:id="50"/>
      <w:bookmarkEnd w:id="51"/>
    </w:p>
    <w:p>
      <w:pPr>
        <w:tabs>
          <w:tab w:val="left" w:pos="7665"/>
        </w:tabs>
        <w:spacing w:line="360" w:lineRule="auto"/>
        <w:ind w:left="13" w:firstLine="554"/>
        <w:rPr>
          <w:rFonts w:ascii="宋体" w:hAnsi="宋体" w:cs="宋体"/>
          <w:sz w:val="28"/>
          <w:szCs w:val="28"/>
        </w:rPr>
      </w:pPr>
      <w:r>
        <w:rPr>
          <w:rFonts w:hint="eastAsia" w:ascii="宋体" w:hAnsi="宋体" w:cs="宋体"/>
          <w:sz w:val="28"/>
          <w:szCs w:val="28"/>
        </w:rPr>
        <w:t>除招标文件中另有规定外，本次采购项目所有合同项下的投标均采用国家法定的计量单位。</w:t>
      </w:r>
    </w:p>
    <w:p>
      <w:pPr>
        <w:keepNext/>
        <w:keepLines/>
        <w:numPr>
          <w:ilvl w:val="2"/>
          <w:numId w:val="2"/>
        </w:numPr>
        <w:spacing w:line="360" w:lineRule="auto"/>
        <w:ind w:left="0" w:firstLine="0"/>
        <w:outlineLvl w:val="2"/>
        <w:rPr>
          <w:rFonts w:ascii="宋体" w:hAnsi="宋体" w:cs="宋体"/>
          <w:b/>
          <w:bCs/>
          <w:sz w:val="28"/>
          <w:szCs w:val="28"/>
        </w:rPr>
      </w:pPr>
      <w:bookmarkStart w:id="52" w:name="_Toc217446045"/>
      <w:r>
        <w:rPr>
          <w:rFonts w:hint="eastAsia" w:ascii="宋体" w:hAnsi="宋体" w:cs="宋体"/>
          <w:b/>
          <w:bCs/>
          <w:sz w:val="28"/>
          <w:szCs w:val="28"/>
        </w:rPr>
        <w:t>投标货币</w:t>
      </w:r>
      <w:bookmarkEnd w:id="52"/>
    </w:p>
    <w:p>
      <w:pPr>
        <w:tabs>
          <w:tab w:val="left" w:pos="7665"/>
        </w:tabs>
        <w:spacing w:line="360" w:lineRule="auto"/>
        <w:ind w:left="13" w:firstLine="554"/>
        <w:rPr>
          <w:rFonts w:ascii="宋体" w:hAnsi="宋体" w:cs="宋体"/>
          <w:sz w:val="28"/>
          <w:szCs w:val="28"/>
        </w:rPr>
      </w:pPr>
      <w:r>
        <w:rPr>
          <w:rFonts w:hint="eastAsia" w:ascii="宋体" w:hAnsi="宋体" w:cs="宋体"/>
          <w:sz w:val="28"/>
          <w:szCs w:val="28"/>
        </w:rPr>
        <w:t>本次招标项目的投标均以人民币报价。</w:t>
      </w:r>
    </w:p>
    <w:p>
      <w:pPr>
        <w:keepNext/>
        <w:keepLines/>
        <w:numPr>
          <w:ilvl w:val="2"/>
          <w:numId w:val="2"/>
        </w:numPr>
        <w:spacing w:line="360" w:lineRule="auto"/>
        <w:ind w:left="0" w:firstLine="0"/>
        <w:outlineLvl w:val="2"/>
        <w:rPr>
          <w:rFonts w:ascii="宋体" w:hAnsi="宋体" w:cs="宋体"/>
          <w:b/>
          <w:bCs/>
          <w:sz w:val="28"/>
          <w:szCs w:val="28"/>
        </w:rPr>
      </w:pPr>
      <w:bookmarkStart w:id="53" w:name="_Toc217446046"/>
      <w:r>
        <w:rPr>
          <w:rFonts w:hint="eastAsia" w:ascii="宋体" w:hAnsi="宋体" w:cs="宋体"/>
          <w:b/>
          <w:bCs/>
          <w:sz w:val="28"/>
          <w:szCs w:val="28"/>
        </w:rPr>
        <w:t>联合体投标</w:t>
      </w:r>
      <w:bookmarkEnd w:id="53"/>
    </w:p>
    <w:p>
      <w:pPr>
        <w:tabs>
          <w:tab w:val="left" w:pos="1134"/>
        </w:tabs>
        <w:spacing w:line="360" w:lineRule="auto"/>
        <w:ind w:left="546"/>
        <w:rPr>
          <w:rFonts w:ascii="宋体" w:hAnsi="宋体" w:cs="宋体"/>
          <w:sz w:val="28"/>
          <w:szCs w:val="28"/>
        </w:rPr>
      </w:pPr>
      <w:r>
        <w:rPr>
          <w:rFonts w:hint="eastAsia" w:ascii="宋体" w:hAnsi="宋体" w:cs="宋体"/>
          <w:sz w:val="28"/>
          <w:szCs w:val="28"/>
        </w:rPr>
        <w:t>本次政府采购活动</w:t>
      </w:r>
      <w:r>
        <w:rPr>
          <w:rFonts w:hint="eastAsia" w:ascii="宋体" w:hAnsi="宋体" w:cs="宋体"/>
          <w:b/>
          <w:sz w:val="28"/>
          <w:szCs w:val="28"/>
        </w:rPr>
        <w:t>不接受</w:t>
      </w:r>
      <w:r>
        <w:rPr>
          <w:rFonts w:hint="eastAsia" w:ascii="宋体" w:hAnsi="宋体" w:cs="宋体"/>
          <w:sz w:val="28"/>
          <w:szCs w:val="28"/>
        </w:rPr>
        <w:t>联合体投标。</w:t>
      </w:r>
    </w:p>
    <w:p>
      <w:pPr>
        <w:keepNext/>
        <w:keepLines/>
        <w:numPr>
          <w:ilvl w:val="2"/>
          <w:numId w:val="2"/>
        </w:numPr>
        <w:spacing w:line="360" w:lineRule="auto"/>
        <w:ind w:left="0" w:firstLine="0"/>
        <w:outlineLvl w:val="2"/>
        <w:rPr>
          <w:rFonts w:ascii="宋体" w:hAnsi="宋体" w:cs="宋体"/>
          <w:b/>
          <w:bCs/>
          <w:sz w:val="28"/>
          <w:szCs w:val="28"/>
        </w:rPr>
      </w:pPr>
      <w:bookmarkStart w:id="54" w:name="_Toc217446047"/>
      <w:r>
        <w:rPr>
          <w:rFonts w:hint="eastAsia" w:ascii="宋体" w:hAnsi="宋体" w:cs="宋体"/>
          <w:b/>
          <w:bCs/>
          <w:sz w:val="28"/>
          <w:szCs w:val="28"/>
        </w:rPr>
        <w:t>知识产权</w:t>
      </w:r>
      <w:bookmarkEnd w:id="54"/>
      <w:bookmarkStart w:id="55" w:name="_Hlk84960737"/>
    </w:p>
    <w:bookmarkEnd w:id="55"/>
    <w:p>
      <w:pPr>
        <w:numPr>
          <w:ilvl w:val="0"/>
          <w:numId w:val="17"/>
        </w:numPr>
        <w:spacing w:line="360" w:lineRule="auto"/>
        <w:ind w:left="0" w:firstLine="549"/>
        <w:rPr>
          <w:rFonts w:ascii="宋体" w:hAnsi="宋体" w:cs="宋体"/>
          <w:sz w:val="28"/>
          <w:szCs w:val="28"/>
        </w:rPr>
      </w:pPr>
      <w:r>
        <w:rPr>
          <w:rFonts w:hint="eastAsia" w:ascii="宋体" w:hAnsi="宋体" w:cs="宋体"/>
          <w:sz w:val="28"/>
          <w:szCs w:val="28"/>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numPr>
          <w:ilvl w:val="0"/>
          <w:numId w:val="17"/>
        </w:numPr>
        <w:spacing w:line="360" w:lineRule="auto"/>
        <w:ind w:left="0" w:firstLine="549"/>
        <w:rPr>
          <w:rFonts w:ascii="宋体" w:hAnsi="宋体" w:cs="宋体"/>
          <w:sz w:val="28"/>
          <w:szCs w:val="28"/>
        </w:rPr>
      </w:pPr>
      <w:r>
        <w:rPr>
          <w:rFonts w:hint="eastAsia" w:ascii="宋体" w:hAnsi="宋体" w:cs="宋体"/>
          <w:sz w:val="28"/>
          <w:szCs w:val="28"/>
        </w:rPr>
        <w:t>采购人享有本项目实施过程中产生的知识成果及知识产权。</w:t>
      </w:r>
    </w:p>
    <w:p>
      <w:pPr>
        <w:numPr>
          <w:ilvl w:val="0"/>
          <w:numId w:val="17"/>
        </w:numPr>
        <w:spacing w:line="360" w:lineRule="auto"/>
        <w:ind w:left="0" w:firstLine="549"/>
        <w:rPr>
          <w:rFonts w:ascii="宋体" w:hAnsi="宋体" w:cs="宋体"/>
          <w:sz w:val="28"/>
          <w:szCs w:val="28"/>
        </w:rPr>
      </w:pPr>
      <w:r>
        <w:rPr>
          <w:rFonts w:hint="eastAsia" w:ascii="宋体" w:hAnsi="宋体" w:cs="宋体"/>
          <w:sz w:val="28"/>
          <w:szCs w:val="28"/>
        </w:rPr>
        <w:t>投标人如拟在项目实施过程中采用自有知识成果，需在投标文件中声明，并提供相关知识产权证明文件。使用该知识成果后，投标人需提供开发接口和开发手册等技术文档，并提供无限期技术支持，采购人享有永久使用权（含采购人委托第三方在该项目后续开发的使用权）。</w:t>
      </w:r>
    </w:p>
    <w:p>
      <w:pPr>
        <w:numPr>
          <w:ilvl w:val="0"/>
          <w:numId w:val="17"/>
        </w:numPr>
        <w:spacing w:line="360" w:lineRule="auto"/>
        <w:ind w:left="0" w:firstLine="549"/>
        <w:rPr>
          <w:rFonts w:ascii="宋体" w:hAnsi="宋体" w:cs="宋体"/>
          <w:sz w:val="28"/>
          <w:szCs w:val="28"/>
        </w:rPr>
      </w:pPr>
      <w:r>
        <w:rPr>
          <w:rFonts w:hint="eastAsia" w:ascii="宋体" w:hAnsi="宋体" w:cs="宋体"/>
          <w:sz w:val="28"/>
          <w:szCs w:val="28"/>
        </w:rPr>
        <w:t>如采用投标人所不拥有的知识产权，则在投标报价中必须包括合法获取该知识产权的相关费用。</w:t>
      </w:r>
    </w:p>
    <w:p>
      <w:pPr>
        <w:keepNext/>
        <w:keepLines/>
        <w:numPr>
          <w:ilvl w:val="2"/>
          <w:numId w:val="2"/>
        </w:numPr>
        <w:tabs>
          <w:tab w:val="left" w:pos="472"/>
        </w:tabs>
        <w:spacing w:line="360" w:lineRule="auto"/>
        <w:ind w:left="0" w:firstLine="0"/>
        <w:outlineLvl w:val="2"/>
        <w:rPr>
          <w:rFonts w:ascii="宋体" w:hAnsi="宋体" w:cs="宋体"/>
          <w:b/>
          <w:bCs/>
          <w:sz w:val="28"/>
          <w:szCs w:val="28"/>
        </w:rPr>
      </w:pPr>
      <w:bookmarkStart w:id="56" w:name="_Toc217446048"/>
      <w:bookmarkStart w:id="57" w:name="_Toc183682354"/>
      <w:bookmarkStart w:id="58" w:name="_Toc183582217"/>
      <w:r>
        <w:rPr>
          <w:rFonts w:hint="eastAsia" w:ascii="宋体" w:hAnsi="宋体" w:cs="宋体"/>
          <w:b/>
          <w:bCs/>
          <w:sz w:val="28"/>
          <w:szCs w:val="28"/>
        </w:rPr>
        <w:t>投标文件的组成</w:t>
      </w:r>
      <w:bookmarkEnd w:id="56"/>
      <w:bookmarkEnd w:id="57"/>
      <w:bookmarkEnd w:id="58"/>
    </w:p>
    <w:p>
      <w:pPr>
        <w:spacing w:line="360" w:lineRule="auto"/>
        <w:ind w:firstLine="548" w:firstLineChars="196"/>
        <w:rPr>
          <w:rFonts w:ascii="宋体" w:hAnsi="宋体" w:cs="宋体"/>
          <w:sz w:val="28"/>
          <w:szCs w:val="28"/>
        </w:rPr>
      </w:pPr>
      <w:r>
        <w:rPr>
          <w:rFonts w:hint="eastAsia" w:ascii="宋体" w:hAnsi="宋体" w:cs="宋体"/>
          <w:sz w:val="28"/>
          <w:szCs w:val="28"/>
        </w:rPr>
        <w:t>投标人应按照招标文件的规定和要求编制投标文件。投标人拟在中标后将中标项目的非主体、非关键性工作交由他人完成的，应当在投标文件中载明。投标人编写的投标文件应包括下列部分：</w:t>
      </w:r>
    </w:p>
    <w:p>
      <w:pPr>
        <w:spacing w:line="360" w:lineRule="auto"/>
        <w:ind w:left="546"/>
        <w:rPr>
          <w:rFonts w:ascii="宋体" w:hAnsi="宋体" w:cs="宋体"/>
          <w:b/>
          <w:sz w:val="28"/>
          <w:szCs w:val="28"/>
        </w:rPr>
      </w:pPr>
      <w:r>
        <w:rPr>
          <w:rFonts w:hint="eastAsia" w:ascii="宋体" w:hAnsi="宋体" w:cs="宋体"/>
          <w:b/>
          <w:sz w:val="28"/>
          <w:szCs w:val="28"/>
        </w:rPr>
        <w:t>投标文件封面；</w:t>
      </w:r>
    </w:p>
    <w:p>
      <w:pPr>
        <w:pStyle w:val="5"/>
        <w:numPr>
          <w:ilvl w:val="3"/>
          <w:numId w:val="18"/>
        </w:numPr>
        <w:spacing w:line="560" w:lineRule="exact"/>
        <w:rPr>
          <w:rFonts w:ascii="宋体" w:hAnsi="宋体"/>
        </w:rPr>
      </w:pPr>
      <w:r>
        <w:rPr>
          <w:rFonts w:hint="eastAsia" w:ascii="宋体" w:hAnsi="宋体"/>
        </w:rPr>
        <w:t>资格性响应文件：</w:t>
      </w:r>
    </w:p>
    <w:p>
      <w:pPr>
        <w:pStyle w:val="25"/>
        <w:numPr>
          <w:ilvl w:val="0"/>
          <w:numId w:val="19"/>
        </w:numPr>
        <w:tabs>
          <w:tab w:val="left" w:pos="993"/>
        </w:tabs>
        <w:spacing w:line="360" w:lineRule="auto"/>
        <w:ind w:left="0" w:firstLine="420" w:firstLineChars="0"/>
        <w:rPr>
          <w:rFonts w:ascii="宋体" w:hAnsi="宋体" w:cs="宋体"/>
          <w:b/>
          <w:bCs/>
          <w:kern w:val="0"/>
          <w:sz w:val="28"/>
          <w:szCs w:val="28"/>
        </w:rPr>
      </w:pPr>
      <w:r>
        <w:rPr>
          <w:rFonts w:hint="eastAsia" w:ascii="宋体" w:hAnsi="宋体" w:cs="宋体"/>
          <w:b/>
          <w:bCs/>
          <w:kern w:val="0"/>
          <w:sz w:val="28"/>
          <w:szCs w:val="28"/>
        </w:rPr>
        <w:t>关于投标人资格声明的函；</w:t>
      </w:r>
    </w:p>
    <w:p>
      <w:pPr>
        <w:pStyle w:val="25"/>
        <w:numPr>
          <w:ilvl w:val="0"/>
          <w:numId w:val="19"/>
        </w:numPr>
        <w:tabs>
          <w:tab w:val="left" w:pos="993"/>
        </w:tabs>
        <w:spacing w:line="360" w:lineRule="auto"/>
        <w:ind w:left="0" w:firstLine="420" w:firstLineChars="0"/>
        <w:rPr>
          <w:rFonts w:ascii="宋体" w:hAnsi="宋体" w:cs="宋体"/>
          <w:b/>
          <w:kern w:val="0"/>
          <w:sz w:val="28"/>
          <w:szCs w:val="28"/>
        </w:rPr>
      </w:pPr>
      <w:r>
        <w:rPr>
          <w:rFonts w:hint="eastAsia" w:ascii="宋体" w:hAnsi="宋体" w:cs="宋体"/>
          <w:b/>
          <w:bCs/>
          <w:kern w:val="0"/>
          <w:sz w:val="28"/>
          <w:szCs w:val="28"/>
        </w:rPr>
        <w:t>声明；</w:t>
      </w:r>
    </w:p>
    <w:p>
      <w:pPr>
        <w:pStyle w:val="25"/>
        <w:numPr>
          <w:ilvl w:val="0"/>
          <w:numId w:val="19"/>
        </w:numPr>
        <w:tabs>
          <w:tab w:val="left" w:pos="993"/>
        </w:tabs>
        <w:spacing w:line="360" w:lineRule="auto"/>
        <w:ind w:left="0" w:firstLine="420" w:firstLineChars="0"/>
        <w:rPr>
          <w:rFonts w:ascii="宋体" w:hAnsi="宋体" w:cs="宋体"/>
          <w:b/>
          <w:kern w:val="0"/>
          <w:sz w:val="28"/>
          <w:szCs w:val="28"/>
        </w:rPr>
      </w:pPr>
      <w:r>
        <w:rPr>
          <w:rFonts w:hint="eastAsia" w:ascii="宋体" w:hAnsi="宋体" w:cs="宋体"/>
          <w:b/>
          <w:kern w:val="0"/>
          <w:sz w:val="28"/>
          <w:szCs w:val="28"/>
        </w:rPr>
        <w:t>中小企业声明函（提供了《残疾人福利性单位声明函》或监狱企业证明文件的，可不提供；如未提供《中小企业声明函》或《残疾人福利性单位声明函》或监狱企业证明文件，则其响应文件无效）；</w:t>
      </w:r>
    </w:p>
    <w:p>
      <w:pPr>
        <w:pStyle w:val="25"/>
        <w:numPr>
          <w:ilvl w:val="0"/>
          <w:numId w:val="19"/>
        </w:numPr>
        <w:tabs>
          <w:tab w:val="left" w:pos="993"/>
        </w:tabs>
        <w:spacing w:line="360" w:lineRule="auto"/>
        <w:ind w:left="0" w:firstLine="420" w:firstLineChars="0"/>
        <w:rPr>
          <w:rFonts w:ascii="宋体" w:hAnsi="宋体" w:cs="宋体"/>
          <w:b/>
          <w:kern w:val="0"/>
          <w:sz w:val="28"/>
          <w:szCs w:val="28"/>
        </w:rPr>
      </w:pPr>
      <w:r>
        <w:rPr>
          <w:rFonts w:hint="eastAsia" w:ascii="宋体" w:hAnsi="宋体" w:cs="宋体"/>
          <w:b/>
          <w:kern w:val="0"/>
          <w:sz w:val="28"/>
          <w:szCs w:val="28"/>
        </w:rPr>
        <w:t>残疾人福利性单位声明函（提供了《中小企业声明函》或监狱企业证明文件的，可不提供；如未提供《中小企业声明函》或《残疾人福利性单位声明函》或监狱企业证明文件，则其响应文件无效）；</w:t>
      </w:r>
    </w:p>
    <w:p>
      <w:pPr>
        <w:pStyle w:val="25"/>
        <w:numPr>
          <w:ilvl w:val="0"/>
          <w:numId w:val="19"/>
        </w:numPr>
        <w:tabs>
          <w:tab w:val="left" w:pos="993"/>
        </w:tabs>
        <w:spacing w:line="360" w:lineRule="auto"/>
        <w:ind w:left="0" w:firstLine="420" w:firstLineChars="0"/>
        <w:rPr>
          <w:rFonts w:ascii="宋体" w:hAnsi="宋体" w:cs="宋体"/>
          <w:b/>
          <w:kern w:val="0"/>
          <w:sz w:val="28"/>
          <w:szCs w:val="28"/>
        </w:rPr>
      </w:pPr>
      <w:r>
        <w:rPr>
          <w:rFonts w:hint="eastAsia" w:ascii="宋体" w:hAnsi="宋体" w:cs="宋体"/>
          <w:b/>
          <w:kern w:val="0"/>
          <w:sz w:val="28"/>
          <w:szCs w:val="28"/>
        </w:rPr>
        <w:t>投标人属于监狱企业的证明文件复印件（投标人属于监狱企业的应提供由省级以上监狱管理局、戒毒管理局（含新疆生产建设兵团）出具的投标人属于监狱企业的证明文件复印件；提供了《中小企业声明函》或《残疾人福利性单位声明函》的，可不提供；如未提供《中小企业声明函》或《残疾人福利性单位声明函》或监狱企业证明文件，则其响应文件无效）；</w:t>
      </w:r>
    </w:p>
    <w:p>
      <w:pPr>
        <w:pStyle w:val="25"/>
        <w:numPr>
          <w:ilvl w:val="0"/>
          <w:numId w:val="19"/>
        </w:numPr>
        <w:tabs>
          <w:tab w:val="left" w:pos="993"/>
        </w:tabs>
        <w:spacing w:line="360" w:lineRule="auto"/>
        <w:ind w:left="0" w:firstLine="420" w:firstLineChars="0"/>
        <w:rPr>
          <w:rFonts w:ascii="宋体" w:hAnsi="宋体" w:cs="宋体"/>
          <w:b/>
          <w:kern w:val="0"/>
          <w:sz w:val="28"/>
          <w:szCs w:val="28"/>
        </w:rPr>
      </w:pPr>
      <w:r>
        <w:rPr>
          <w:rFonts w:hint="eastAsia" w:ascii="宋体" w:hAnsi="宋体" w:cs="宋体"/>
          <w:b/>
          <w:kern w:val="0"/>
          <w:sz w:val="28"/>
          <w:szCs w:val="28"/>
        </w:rPr>
        <w:t>投标人应提交的相关资格证明材料：</w:t>
      </w:r>
    </w:p>
    <w:p>
      <w:pPr>
        <w:pStyle w:val="26"/>
        <w:numPr>
          <w:ilvl w:val="0"/>
          <w:numId w:val="20"/>
        </w:numPr>
        <w:spacing w:after="0" w:line="360" w:lineRule="auto"/>
        <w:ind w:left="0" w:firstLine="567" w:firstLineChars="0"/>
        <w:rPr>
          <w:rFonts w:ascii="宋体" w:hAnsi="宋体" w:cs="宋体"/>
          <w:b/>
          <w:kern w:val="0"/>
          <w:sz w:val="28"/>
          <w:szCs w:val="28"/>
        </w:rPr>
      </w:pPr>
      <w:r>
        <w:rPr>
          <w:rFonts w:hint="eastAsia" w:ascii="宋体" w:hAnsi="宋体" w:cs="宋体"/>
          <w:b/>
          <w:kern w:val="0"/>
          <w:sz w:val="28"/>
          <w:szCs w:val="28"/>
        </w:rPr>
        <w:t>营业执照复印件（正本或副本）或法人证书复印件（正本或副本）；</w:t>
      </w:r>
    </w:p>
    <w:p>
      <w:pPr>
        <w:pStyle w:val="26"/>
        <w:numPr>
          <w:ilvl w:val="0"/>
          <w:numId w:val="20"/>
        </w:numPr>
        <w:spacing w:after="0" w:line="360" w:lineRule="auto"/>
        <w:ind w:left="0" w:firstLine="546" w:firstLineChars="0"/>
        <w:rPr>
          <w:rFonts w:ascii="宋体" w:hAnsi="宋体" w:cs="宋体"/>
          <w:b/>
          <w:kern w:val="0"/>
          <w:sz w:val="28"/>
          <w:szCs w:val="28"/>
        </w:rPr>
      </w:pPr>
      <w:r>
        <w:rPr>
          <w:rFonts w:hint="eastAsia" w:ascii="宋体" w:hAnsi="宋体" w:cs="宋体"/>
          <w:b/>
          <w:kern w:val="0"/>
          <w:sz w:val="28"/>
          <w:szCs w:val="28"/>
        </w:rPr>
        <w:t>2020年会计年度资产负债表复印件（说明：①可提供2020年度经审计的财务报告复印件；②也可提供2020年度投标人内部的财务报表复印件（包括资产负债表、现金流量表、利润表）；③也可提供距文件递交截止日一年内银行出具的资信证明（复印件）；④投标人注册时间至文件递交截止日不足一年的，也可提供在工商备案的公司章程（复印件）；⑤投标人为事业法人或其他组织的提供其具有健全的财务会计制度的承诺函复印件。）；</w:t>
      </w:r>
    </w:p>
    <w:p>
      <w:pPr>
        <w:pStyle w:val="26"/>
        <w:numPr>
          <w:ilvl w:val="0"/>
          <w:numId w:val="20"/>
        </w:numPr>
        <w:spacing w:after="0" w:line="360" w:lineRule="auto"/>
        <w:ind w:left="0" w:firstLine="546" w:firstLineChars="0"/>
        <w:rPr>
          <w:rFonts w:ascii="宋体" w:hAnsi="宋体" w:cs="宋体"/>
          <w:b/>
          <w:kern w:val="0"/>
          <w:sz w:val="28"/>
          <w:szCs w:val="28"/>
        </w:rPr>
      </w:pPr>
      <w:r>
        <w:rPr>
          <w:rFonts w:hint="eastAsia" w:ascii="宋体" w:hAnsi="宋体" w:cs="宋体"/>
          <w:b/>
          <w:kern w:val="0"/>
          <w:sz w:val="28"/>
          <w:szCs w:val="28"/>
        </w:rPr>
        <w:t>投标人缴纳2021年至今任意时段的税收的银行电子回单或者行政部门出具的纳税证明或完税证明复印件或承诺函（格式自拟）复印件（依法免税的投标人，应提供相应文件证明其免税）；</w:t>
      </w:r>
    </w:p>
    <w:p>
      <w:pPr>
        <w:pStyle w:val="26"/>
        <w:numPr>
          <w:ilvl w:val="0"/>
          <w:numId w:val="20"/>
        </w:numPr>
        <w:spacing w:after="0" w:line="360" w:lineRule="auto"/>
        <w:ind w:left="0" w:firstLine="546" w:firstLineChars="0"/>
        <w:rPr>
          <w:rFonts w:ascii="宋体" w:hAnsi="宋体" w:cs="宋体"/>
          <w:b/>
          <w:kern w:val="0"/>
          <w:sz w:val="28"/>
          <w:szCs w:val="28"/>
        </w:rPr>
      </w:pPr>
      <w:r>
        <w:rPr>
          <w:rFonts w:hint="eastAsia" w:ascii="宋体" w:hAnsi="宋体" w:cs="宋体"/>
          <w:b/>
          <w:kern w:val="0"/>
          <w:sz w:val="28"/>
          <w:szCs w:val="28"/>
        </w:rPr>
        <w:t>采购人对投标人履行合同所必须的设备和专业技术能力无其他特殊要求，投标人具有有效的营业执照或法人证书即可，可不提供其他证明材料；</w:t>
      </w:r>
    </w:p>
    <w:p>
      <w:pPr>
        <w:pStyle w:val="26"/>
        <w:numPr>
          <w:ilvl w:val="0"/>
          <w:numId w:val="20"/>
        </w:numPr>
        <w:spacing w:after="0" w:line="360" w:lineRule="auto"/>
        <w:ind w:left="0" w:firstLine="546" w:firstLineChars="0"/>
        <w:rPr>
          <w:rFonts w:ascii="宋体" w:hAnsi="宋体" w:cs="宋体"/>
          <w:b/>
          <w:kern w:val="0"/>
          <w:sz w:val="28"/>
          <w:szCs w:val="28"/>
        </w:rPr>
      </w:pPr>
      <w:r>
        <w:rPr>
          <w:rFonts w:hint="eastAsia" w:ascii="宋体" w:hAnsi="宋体" w:cs="宋体"/>
          <w:b/>
          <w:kern w:val="0"/>
          <w:sz w:val="28"/>
          <w:szCs w:val="28"/>
        </w:rPr>
        <w:t>投标人缴纳2021年至今任意时段的社保的银行电子回单或行政部门出具的社保缴纳证明材料复印件或承诺函（格式自拟）复印件（依法不需要缴纳社保的投标人，应提供相应文件证明其依法不需要缴纳社保）；</w:t>
      </w:r>
    </w:p>
    <w:p>
      <w:pPr>
        <w:pStyle w:val="26"/>
        <w:numPr>
          <w:ilvl w:val="0"/>
          <w:numId w:val="20"/>
        </w:numPr>
        <w:spacing w:after="0" w:line="360" w:lineRule="auto"/>
        <w:ind w:left="0" w:firstLine="546" w:firstLineChars="0"/>
        <w:rPr>
          <w:rFonts w:ascii="宋体" w:hAnsi="宋体" w:cs="宋体"/>
          <w:b/>
          <w:kern w:val="0"/>
          <w:sz w:val="28"/>
          <w:szCs w:val="28"/>
        </w:rPr>
      </w:pPr>
      <w:r>
        <w:rPr>
          <w:rFonts w:hint="eastAsia" w:ascii="宋体" w:hAnsi="宋体" w:cs="宋体"/>
          <w:b/>
          <w:kern w:val="0"/>
          <w:sz w:val="28"/>
          <w:szCs w:val="28"/>
        </w:rPr>
        <w:t>采购人对法律、行政法规规定的其他条件无其他特殊要求，投标人具有有效的营业执照或法人证书即可，可不提供其他证明材料。</w:t>
      </w:r>
    </w:p>
    <w:p>
      <w:pPr>
        <w:pStyle w:val="5"/>
        <w:numPr>
          <w:ilvl w:val="3"/>
          <w:numId w:val="18"/>
        </w:numPr>
        <w:spacing w:line="560" w:lineRule="exact"/>
        <w:jc w:val="both"/>
        <w:rPr>
          <w:rFonts w:ascii="宋体" w:hAnsi="宋体" w:cs="宋体"/>
        </w:rPr>
      </w:pPr>
      <w:r>
        <w:rPr>
          <w:rFonts w:hint="eastAsia" w:ascii="宋体" w:hAnsi="宋体" w:cs="宋体"/>
        </w:rPr>
        <w:t>商务技术响应文件：</w:t>
      </w:r>
    </w:p>
    <w:p>
      <w:pPr>
        <w:numPr>
          <w:ilvl w:val="0"/>
          <w:numId w:val="21"/>
        </w:numPr>
        <w:tabs>
          <w:tab w:val="left" w:pos="1134"/>
        </w:tabs>
        <w:spacing w:line="360" w:lineRule="auto"/>
        <w:ind w:hanging="279"/>
        <w:rPr>
          <w:rFonts w:ascii="宋体" w:hAnsi="宋体" w:cs="宋体"/>
          <w:b/>
          <w:sz w:val="28"/>
          <w:szCs w:val="28"/>
        </w:rPr>
      </w:pPr>
      <w:r>
        <w:rPr>
          <w:rFonts w:hint="eastAsia" w:ascii="宋体" w:hAnsi="宋体" w:cs="宋体"/>
          <w:b/>
          <w:sz w:val="28"/>
          <w:szCs w:val="28"/>
        </w:rPr>
        <w:t>投标函；</w:t>
      </w:r>
    </w:p>
    <w:p>
      <w:pPr>
        <w:numPr>
          <w:ilvl w:val="0"/>
          <w:numId w:val="21"/>
        </w:numPr>
        <w:tabs>
          <w:tab w:val="left" w:pos="1134"/>
        </w:tabs>
        <w:spacing w:line="360" w:lineRule="auto"/>
        <w:ind w:hanging="279"/>
        <w:rPr>
          <w:rFonts w:ascii="宋体" w:hAnsi="宋体" w:cs="宋体"/>
          <w:b/>
          <w:sz w:val="28"/>
          <w:szCs w:val="28"/>
        </w:rPr>
      </w:pPr>
      <w:r>
        <w:rPr>
          <w:rFonts w:hint="eastAsia" w:ascii="宋体" w:hAnsi="宋体" w:cs="宋体"/>
          <w:b/>
          <w:sz w:val="28"/>
          <w:szCs w:val="28"/>
        </w:rPr>
        <w:t>法定代表人身份证明书；</w:t>
      </w:r>
    </w:p>
    <w:p>
      <w:pPr>
        <w:numPr>
          <w:ilvl w:val="0"/>
          <w:numId w:val="21"/>
        </w:numPr>
        <w:tabs>
          <w:tab w:val="left" w:pos="1134"/>
        </w:tabs>
        <w:spacing w:line="360" w:lineRule="auto"/>
        <w:ind w:hanging="279"/>
        <w:rPr>
          <w:rFonts w:ascii="宋体" w:hAnsi="宋体" w:cs="宋体"/>
          <w:b/>
          <w:sz w:val="28"/>
          <w:szCs w:val="28"/>
        </w:rPr>
      </w:pPr>
      <w:r>
        <w:rPr>
          <w:rFonts w:hint="eastAsia" w:ascii="宋体" w:hAnsi="宋体" w:cs="宋体"/>
          <w:b/>
          <w:sz w:val="28"/>
          <w:szCs w:val="28"/>
        </w:rPr>
        <w:t>投标人基本情况表；</w:t>
      </w:r>
    </w:p>
    <w:p>
      <w:pPr>
        <w:numPr>
          <w:ilvl w:val="0"/>
          <w:numId w:val="21"/>
        </w:numPr>
        <w:tabs>
          <w:tab w:val="left" w:pos="1134"/>
        </w:tabs>
        <w:spacing w:line="360" w:lineRule="auto"/>
        <w:ind w:left="0" w:firstLine="546"/>
        <w:rPr>
          <w:rFonts w:ascii="宋体" w:hAnsi="宋体" w:cs="宋体"/>
        </w:rPr>
      </w:pPr>
      <w:r>
        <w:rPr>
          <w:rFonts w:hint="eastAsia" w:ascii="宋体" w:hAnsi="宋体" w:cs="宋体"/>
          <w:b/>
          <w:sz w:val="28"/>
          <w:szCs w:val="28"/>
        </w:rPr>
        <w:t>商务应答表；</w:t>
      </w:r>
    </w:p>
    <w:p>
      <w:pPr>
        <w:numPr>
          <w:ilvl w:val="0"/>
          <w:numId w:val="21"/>
        </w:numPr>
        <w:tabs>
          <w:tab w:val="left" w:pos="1134"/>
        </w:tabs>
        <w:spacing w:line="360" w:lineRule="auto"/>
        <w:ind w:left="0" w:firstLine="546"/>
        <w:rPr>
          <w:rFonts w:ascii="宋体" w:hAnsi="宋体" w:cs="宋体"/>
        </w:rPr>
      </w:pPr>
      <w:r>
        <w:rPr>
          <w:rFonts w:hint="eastAsia" w:ascii="宋体" w:hAnsi="宋体" w:cs="宋体"/>
          <w:b/>
          <w:sz w:val="28"/>
          <w:szCs w:val="28"/>
        </w:rPr>
        <w:t>服务应答表；</w:t>
      </w:r>
    </w:p>
    <w:p>
      <w:pPr>
        <w:numPr>
          <w:ilvl w:val="0"/>
          <w:numId w:val="21"/>
        </w:numPr>
        <w:tabs>
          <w:tab w:val="left" w:pos="1134"/>
        </w:tabs>
        <w:spacing w:line="360" w:lineRule="auto"/>
        <w:ind w:left="0" w:firstLine="546"/>
        <w:rPr>
          <w:rFonts w:ascii="宋体" w:hAnsi="宋体"/>
          <w:b/>
          <w:kern w:val="0"/>
          <w:sz w:val="28"/>
          <w:szCs w:val="28"/>
        </w:rPr>
      </w:pPr>
      <w:r>
        <w:rPr>
          <w:rFonts w:hint="eastAsia" w:ascii="宋体" w:hAnsi="宋体"/>
          <w:b/>
          <w:kern w:val="0"/>
          <w:sz w:val="28"/>
          <w:szCs w:val="28"/>
        </w:rPr>
        <w:t>服务方案及服务承诺；</w:t>
      </w:r>
    </w:p>
    <w:p>
      <w:pPr>
        <w:numPr>
          <w:ilvl w:val="0"/>
          <w:numId w:val="21"/>
        </w:numPr>
        <w:tabs>
          <w:tab w:val="left" w:pos="1134"/>
        </w:tabs>
        <w:spacing w:line="360" w:lineRule="auto"/>
        <w:ind w:left="0" w:firstLine="546"/>
        <w:rPr>
          <w:rFonts w:ascii="宋体" w:hAnsi="宋体" w:cs="宋体"/>
          <w:b/>
          <w:kern w:val="0"/>
          <w:sz w:val="28"/>
          <w:szCs w:val="28"/>
        </w:rPr>
      </w:pPr>
      <w:r>
        <w:rPr>
          <w:rFonts w:hint="eastAsia" w:ascii="宋体" w:hAnsi="宋体"/>
          <w:b/>
          <w:kern w:val="0"/>
          <w:sz w:val="28"/>
          <w:szCs w:val="28"/>
        </w:rPr>
        <w:t>承诺函；</w:t>
      </w:r>
    </w:p>
    <w:p>
      <w:pPr>
        <w:numPr>
          <w:ilvl w:val="0"/>
          <w:numId w:val="21"/>
        </w:numPr>
        <w:tabs>
          <w:tab w:val="left" w:pos="1134"/>
        </w:tabs>
        <w:spacing w:line="360" w:lineRule="auto"/>
        <w:ind w:left="0" w:firstLine="546"/>
        <w:rPr>
          <w:rFonts w:ascii="宋体" w:hAnsi="宋体" w:cs="宋体"/>
          <w:b/>
          <w:kern w:val="0"/>
          <w:sz w:val="28"/>
          <w:szCs w:val="28"/>
        </w:rPr>
      </w:pPr>
      <w:r>
        <w:rPr>
          <w:rFonts w:hint="eastAsia" w:ascii="宋体" w:hAnsi="宋体" w:cs="宋体"/>
          <w:b/>
          <w:kern w:val="0"/>
          <w:sz w:val="28"/>
          <w:szCs w:val="28"/>
        </w:rPr>
        <w:t>投标人本项目管理、技术、服务人员情况表；</w:t>
      </w:r>
    </w:p>
    <w:p>
      <w:pPr>
        <w:numPr>
          <w:ilvl w:val="0"/>
          <w:numId w:val="22"/>
        </w:numPr>
        <w:tabs>
          <w:tab w:val="left" w:pos="1134"/>
        </w:tabs>
        <w:spacing w:after="0" w:line="360" w:lineRule="auto"/>
        <w:ind w:left="0" w:firstLine="546"/>
        <w:rPr>
          <w:rFonts w:ascii="宋体" w:hAnsi="宋体" w:cs="宋体"/>
          <w:b/>
          <w:sz w:val="28"/>
          <w:szCs w:val="28"/>
        </w:rPr>
      </w:pPr>
      <w:r>
        <w:rPr>
          <w:rFonts w:hint="eastAsia" w:ascii="宋体" w:hAnsi="宋体" w:cs="宋体"/>
          <w:b/>
          <w:kern w:val="0"/>
          <w:sz w:val="28"/>
          <w:szCs w:val="28"/>
        </w:rPr>
        <w:t>投标人类似项目业绩一览表。</w:t>
      </w:r>
    </w:p>
    <w:p>
      <w:pPr>
        <w:numPr>
          <w:ilvl w:val="0"/>
          <w:numId w:val="22"/>
        </w:numPr>
        <w:tabs>
          <w:tab w:val="left" w:pos="1134"/>
        </w:tabs>
        <w:spacing w:after="0" w:line="360" w:lineRule="auto"/>
        <w:ind w:left="0" w:firstLine="546"/>
        <w:rPr>
          <w:rFonts w:ascii="宋体" w:hAnsi="宋体" w:cs="宋体"/>
          <w:b/>
          <w:sz w:val="28"/>
          <w:szCs w:val="28"/>
        </w:rPr>
      </w:pPr>
      <w:r>
        <w:rPr>
          <w:rFonts w:hint="eastAsia" w:ascii="宋体" w:hAnsi="宋体" w:cs="宋体"/>
          <w:b/>
          <w:sz w:val="28"/>
          <w:szCs w:val="28"/>
        </w:rPr>
        <w:t>本项目要求提供的其他资格性检查、符合性检查相关证明材料；</w:t>
      </w:r>
    </w:p>
    <w:p>
      <w:pPr>
        <w:tabs>
          <w:tab w:val="left" w:pos="1134"/>
        </w:tabs>
        <w:spacing w:after="0" w:line="360" w:lineRule="auto"/>
        <w:ind w:left="546"/>
        <w:rPr>
          <w:rFonts w:ascii="宋体" w:hAnsi="宋体" w:cs="宋体"/>
          <w:b/>
          <w:sz w:val="28"/>
          <w:szCs w:val="28"/>
        </w:rPr>
      </w:pPr>
      <w:r>
        <w:rPr>
          <w:rFonts w:hint="eastAsia" w:ascii="宋体" w:hAnsi="宋体" w:cs="宋体"/>
          <w:b/>
          <w:sz w:val="28"/>
          <w:szCs w:val="28"/>
        </w:rPr>
        <w:t>十一、其他投标人认为需要提供的文件和资料。</w:t>
      </w:r>
    </w:p>
    <w:p>
      <w:pPr>
        <w:pStyle w:val="5"/>
        <w:numPr>
          <w:ilvl w:val="3"/>
          <w:numId w:val="18"/>
        </w:numPr>
        <w:spacing w:line="560" w:lineRule="exact"/>
        <w:jc w:val="both"/>
      </w:pPr>
      <w:r>
        <w:rPr>
          <w:rFonts w:hint="eastAsia" w:ascii="宋体" w:hAnsi="宋体" w:cs="宋体"/>
        </w:rPr>
        <w:t>报价要求响应文件</w:t>
      </w:r>
    </w:p>
    <w:p>
      <w:pPr>
        <w:numPr>
          <w:ilvl w:val="0"/>
          <w:numId w:val="23"/>
        </w:numPr>
        <w:tabs>
          <w:tab w:val="left" w:pos="1134"/>
        </w:tabs>
        <w:spacing w:line="360" w:lineRule="auto"/>
        <w:rPr>
          <w:rFonts w:ascii="宋体" w:hAnsi="宋体" w:cs="宋体"/>
        </w:rPr>
      </w:pPr>
      <w:r>
        <w:rPr>
          <w:rFonts w:hint="eastAsia" w:ascii="宋体" w:hAnsi="宋体" w:cs="宋体"/>
          <w:b/>
          <w:sz w:val="28"/>
          <w:szCs w:val="28"/>
        </w:rPr>
        <w:t>开标一览表</w:t>
      </w:r>
    </w:p>
    <w:p>
      <w:pPr>
        <w:numPr>
          <w:ilvl w:val="0"/>
          <w:numId w:val="23"/>
        </w:numPr>
        <w:tabs>
          <w:tab w:val="left" w:pos="1134"/>
        </w:tabs>
        <w:spacing w:line="360" w:lineRule="auto"/>
      </w:pPr>
      <w:r>
        <w:rPr>
          <w:rFonts w:hint="eastAsia" w:ascii="宋体" w:hAnsi="宋体" w:cs="宋体"/>
          <w:b/>
          <w:sz w:val="28"/>
          <w:szCs w:val="28"/>
        </w:rPr>
        <w:t>分项报价明细表（如涉及）</w:t>
      </w:r>
    </w:p>
    <w:p>
      <w:pPr>
        <w:keepNext/>
        <w:keepLines/>
        <w:numPr>
          <w:ilvl w:val="2"/>
          <w:numId w:val="2"/>
        </w:numPr>
        <w:spacing w:line="360" w:lineRule="auto"/>
        <w:ind w:left="0" w:firstLine="0"/>
        <w:outlineLvl w:val="2"/>
        <w:rPr>
          <w:rFonts w:ascii="宋体" w:hAnsi="宋体" w:cs="宋体"/>
          <w:b/>
          <w:bCs/>
          <w:sz w:val="28"/>
          <w:szCs w:val="28"/>
        </w:rPr>
      </w:pPr>
      <w:bookmarkStart w:id="59" w:name="_Toc316292020"/>
      <w:bookmarkEnd w:id="59"/>
      <w:bookmarkStart w:id="60" w:name="_Toc316292019"/>
      <w:bookmarkEnd w:id="60"/>
      <w:bookmarkStart w:id="61" w:name="_Toc316291395"/>
      <w:bookmarkEnd w:id="61"/>
      <w:bookmarkStart w:id="62" w:name="_Toc316291396"/>
      <w:bookmarkEnd w:id="62"/>
      <w:bookmarkStart w:id="63" w:name="_Toc183682355"/>
      <w:bookmarkStart w:id="64" w:name="_Toc217446049"/>
      <w:bookmarkStart w:id="65" w:name="_Toc183582218"/>
      <w:r>
        <w:rPr>
          <w:rFonts w:hint="eastAsia" w:ascii="宋体" w:hAnsi="宋体" w:cs="宋体"/>
          <w:b/>
          <w:bCs/>
          <w:sz w:val="28"/>
          <w:szCs w:val="28"/>
        </w:rPr>
        <w:t>投标文件格式</w:t>
      </w:r>
      <w:bookmarkEnd w:id="63"/>
      <w:bookmarkEnd w:id="64"/>
      <w:bookmarkEnd w:id="65"/>
      <w:r>
        <w:rPr>
          <w:rFonts w:hint="eastAsia" w:ascii="宋体" w:hAnsi="宋体" w:cs="宋体"/>
          <w:b/>
          <w:bCs/>
          <w:sz w:val="28"/>
          <w:szCs w:val="28"/>
        </w:rPr>
        <w:tab/>
      </w:r>
    </w:p>
    <w:p>
      <w:pPr>
        <w:numPr>
          <w:ilvl w:val="0"/>
          <w:numId w:val="24"/>
        </w:numPr>
        <w:tabs>
          <w:tab w:val="left" w:pos="1134"/>
        </w:tabs>
        <w:spacing w:line="360" w:lineRule="auto"/>
        <w:ind w:left="0" w:firstLine="567"/>
        <w:rPr>
          <w:rFonts w:ascii="宋体" w:hAnsi="宋体" w:cs="宋体"/>
          <w:sz w:val="28"/>
          <w:szCs w:val="28"/>
        </w:rPr>
      </w:pPr>
      <w:r>
        <w:rPr>
          <w:rFonts w:hint="eastAsia" w:ascii="宋体" w:hAnsi="宋体" w:cs="宋体"/>
          <w:sz w:val="28"/>
          <w:szCs w:val="28"/>
        </w:rPr>
        <w:t>投标人应按照招标文件第3章中提供的“投标文件格式”填写相关内容。</w:t>
      </w:r>
    </w:p>
    <w:p>
      <w:pPr>
        <w:numPr>
          <w:ilvl w:val="0"/>
          <w:numId w:val="24"/>
        </w:numPr>
        <w:tabs>
          <w:tab w:val="left" w:pos="1134"/>
        </w:tabs>
        <w:spacing w:line="360" w:lineRule="auto"/>
        <w:ind w:left="0" w:firstLine="567"/>
        <w:rPr>
          <w:rFonts w:ascii="宋体" w:hAnsi="宋体" w:cs="宋体"/>
          <w:sz w:val="28"/>
          <w:szCs w:val="28"/>
        </w:rPr>
      </w:pPr>
      <w:r>
        <w:rPr>
          <w:rFonts w:hint="eastAsia" w:ascii="宋体" w:hAnsi="宋体" w:cs="宋体"/>
          <w:sz w:val="28"/>
          <w:szCs w:val="28"/>
        </w:rPr>
        <w:t>对于没有格式要求的投标文件由投标人自行编写。</w:t>
      </w:r>
    </w:p>
    <w:p>
      <w:pPr>
        <w:keepNext/>
        <w:keepLines/>
        <w:numPr>
          <w:ilvl w:val="2"/>
          <w:numId w:val="2"/>
        </w:numPr>
        <w:spacing w:line="360" w:lineRule="auto"/>
        <w:ind w:left="0" w:firstLine="0"/>
        <w:outlineLvl w:val="2"/>
        <w:rPr>
          <w:rFonts w:ascii="宋体" w:hAnsi="宋体" w:cs="宋体"/>
          <w:b/>
          <w:bCs/>
          <w:sz w:val="28"/>
          <w:szCs w:val="28"/>
        </w:rPr>
      </w:pPr>
      <w:r>
        <w:rPr>
          <w:rFonts w:hint="eastAsia" w:ascii="宋体" w:hAnsi="宋体" w:cs="宋体"/>
          <w:b/>
          <w:bCs/>
          <w:sz w:val="28"/>
          <w:szCs w:val="28"/>
        </w:rPr>
        <w:t>投标报价</w:t>
      </w:r>
    </w:p>
    <w:p>
      <w:pPr>
        <w:numPr>
          <w:ilvl w:val="0"/>
          <w:numId w:val="25"/>
        </w:numPr>
        <w:tabs>
          <w:tab w:val="left" w:pos="1134"/>
        </w:tabs>
        <w:spacing w:line="360" w:lineRule="auto"/>
        <w:ind w:left="0" w:firstLine="560"/>
        <w:rPr>
          <w:rFonts w:ascii="宋体" w:hAnsi="宋体" w:cs="宋体"/>
          <w:sz w:val="28"/>
          <w:szCs w:val="28"/>
        </w:rPr>
      </w:pPr>
      <w:r>
        <w:rPr>
          <w:rFonts w:hint="eastAsia" w:ascii="宋体" w:hAnsi="宋体" w:cs="宋体"/>
          <w:sz w:val="28"/>
          <w:szCs w:val="28"/>
        </w:rPr>
        <w:t>投标人的报价是投标人响应招标项目要求的全部工作内容的价格体现，包括投标人完成本项目所需的一切费用。</w:t>
      </w:r>
    </w:p>
    <w:p>
      <w:pPr>
        <w:numPr>
          <w:ilvl w:val="0"/>
          <w:numId w:val="25"/>
        </w:numPr>
        <w:tabs>
          <w:tab w:val="left" w:pos="1134"/>
        </w:tabs>
        <w:spacing w:line="360" w:lineRule="auto"/>
        <w:ind w:left="0" w:firstLine="560"/>
        <w:rPr>
          <w:rFonts w:ascii="宋体" w:hAnsi="宋体" w:cs="宋体"/>
          <w:sz w:val="28"/>
          <w:szCs w:val="28"/>
        </w:rPr>
      </w:pPr>
      <w:r>
        <w:rPr>
          <w:rFonts w:hint="eastAsia" w:ascii="宋体" w:hAnsi="宋体" w:cs="宋体"/>
          <w:sz w:val="28"/>
          <w:szCs w:val="28"/>
        </w:rPr>
        <w:t>投标人每种货物及服务内容只允许有一个报价，并且在合同履行过程中是固定不变的，任何有选择或可调整的报价将不予接受，并按无效投标处理。</w:t>
      </w:r>
    </w:p>
    <w:p>
      <w:pPr>
        <w:numPr>
          <w:ilvl w:val="0"/>
          <w:numId w:val="23"/>
        </w:numPr>
        <w:tabs>
          <w:tab w:val="left" w:pos="1134"/>
        </w:tabs>
        <w:spacing w:line="360" w:lineRule="auto"/>
        <w:rPr>
          <w:rFonts w:ascii="宋体" w:hAnsi="宋体" w:cs="宋体"/>
          <w:sz w:val="28"/>
          <w:szCs w:val="28"/>
        </w:rPr>
      </w:pPr>
      <w:bookmarkStart w:id="66" w:name="_Toc217446050"/>
      <w:bookmarkStart w:id="67" w:name="_Toc183682360"/>
      <w:bookmarkStart w:id="68" w:name="_Toc183582223"/>
      <w:r>
        <w:rPr>
          <w:rFonts w:hint="eastAsia" w:ascii="宋体" w:hAnsi="宋体" w:cs="宋体"/>
          <w:sz w:val="28"/>
          <w:szCs w:val="28"/>
        </w:rPr>
        <w:t>投标文件报价出现前后不一致的，按照下列规定修正：</w:t>
      </w:r>
    </w:p>
    <w:p>
      <w:pPr>
        <w:numPr>
          <w:ilvl w:val="0"/>
          <w:numId w:val="26"/>
        </w:numPr>
        <w:tabs>
          <w:tab w:val="left" w:pos="1134"/>
        </w:tabs>
        <w:spacing w:line="360" w:lineRule="auto"/>
        <w:ind w:firstLine="560" w:firstLineChars="200"/>
        <w:rPr>
          <w:rFonts w:ascii="宋体" w:hAnsi="宋体" w:cs="宋体"/>
          <w:sz w:val="28"/>
          <w:szCs w:val="28"/>
        </w:rPr>
      </w:pPr>
      <w:r>
        <w:rPr>
          <w:rFonts w:hint="eastAsia" w:ascii="宋体" w:hAnsi="宋体" w:cs="宋体"/>
          <w:sz w:val="28"/>
          <w:szCs w:val="28"/>
        </w:rPr>
        <w:t>开标现场宣读的投标报价与投标文件中的投标报价不一致的，以投标人在“电子投标辅助制作软件”中填写的投标报价为准;</w:t>
      </w:r>
    </w:p>
    <w:p>
      <w:pPr>
        <w:numPr>
          <w:ilvl w:val="0"/>
          <w:numId w:val="26"/>
        </w:numPr>
        <w:tabs>
          <w:tab w:val="left" w:pos="1134"/>
        </w:tabs>
        <w:spacing w:line="360" w:lineRule="auto"/>
        <w:ind w:firstLine="560" w:firstLineChars="200"/>
        <w:rPr>
          <w:rFonts w:ascii="宋体" w:hAnsi="宋体" w:cs="宋体"/>
          <w:sz w:val="28"/>
          <w:szCs w:val="28"/>
        </w:rPr>
      </w:pPr>
      <w:r>
        <w:rPr>
          <w:rFonts w:hint="eastAsia" w:ascii="宋体" w:hAnsi="宋体" w:cs="宋体"/>
          <w:sz w:val="28"/>
          <w:szCs w:val="28"/>
        </w:rPr>
        <w:t>大写金额和小写金额不一致的，以大写金额为准，但大写金额出现文字错误，导致金额无法判断的除外；</w:t>
      </w:r>
    </w:p>
    <w:p>
      <w:pPr>
        <w:numPr>
          <w:ilvl w:val="0"/>
          <w:numId w:val="26"/>
        </w:numPr>
        <w:tabs>
          <w:tab w:val="left" w:pos="1134"/>
        </w:tabs>
        <w:spacing w:line="360" w:lineRule="auto"/>
        <w:ind w:firstLine="560" w:firstLineChars="200"/>
        <w:rPr>
          <w:rFonts w:ascii="宋体" w:hAnsi="宋体" w:cs="宋体"/>
          <w:sz w:val="28"/>
          <w:szCs w:val="28"/>
        </w:rPr>
      </w:pPr>
      <w:r>
        <w:rPr>
          <w:rFonts w:hint="eastAsia" w:ascii="宋体" w:hAnsi="宋体" w:cs="宋体"/>
          <w:sz w:val="28"/>
          <w:szCs w:val="28"/>
        </w:rPr>
        <w:t>单价金额小数点或者百分比有明显错位的，应以总价为准，并修改单价；</w:t>
      </w:r>
    </w:p>
    <w:p>
      <w:pPr>
        <w:numPr>
          <w:ilvl w:val="0"/>
          <w:numId w:val="26"/>
        </w:numPr>
        <w:tabs>
          <w:tab w:val="left" w:pos="1134"/>
        </w:tabs>
        <w:spacing w:line="360" w:lineRule="auto"/>
        <w:ind w:firstLine="560" w:firstLineChars="200"/>
        <w:rPr>
          <w:rFonts w:ascii="宋体" w:hAnsi="宋体" w:cs="宋体"/>
          <w:sz w:val="28"/>
          <w:szCs w:val="28"/>
        </w:rPr>
      </w:pPr>
      <w:r>
        <w:rPr>
          <w:rFonts w:hint="eastAsia" w:ascii="宋体" w:hAnsi="宋体" w:cs="宋体"/>
          <w:sz w:val="28"/>
          <w:szCs w:val="28"/>
        </w:rPr>
        <w:t>总价金额与按单价汇总金额不一致的，以单价金额计算结果为准；</w:t>
      </w:r>
    </w:p>
    <w:p>
      <w:pPr>
        <w:tabs>
          <w:tab w:val="left" w:pos="1134"/>
        </w:tabs>
        <w:spacing w:line="360" w:lineRule="auto"/>
        <w:ind w:firstLine="565" w:firstLineChars="202"/>
        <w:rPr>
          <w:rFonts w:ascii="宋体" w:hAnsi="宋体" w:cs="宋体"/>
          <w:sz w:val="28"/>
          <w:szCs w:val="28"/>
        </w:rPr>
      </w:pPr>
      <w:r>
        <w:rPr>
          <w:rFonts w:hint="eastAsia" w:ascii="宋体" w:hAnsi="宋体" w:cs="宋体"/>
          <w:sz w:val="28"/>
          <w:szCs w:val="28"/>
        </w:rPr>
        <w:t>（五）同时出现两种以上不一致的，按照前款规定的顺序修正。修正后的报价经投标人以书面形式通过云平台进行确认，并加盖投标人（法定名称）电子签章，投标人逾时确认的，其投标无效。如因断电、断网、系统故障或其他不可抗力等因素，导致系统无法使用的，由投标人按评标委员会的要求进行澄清或者说明。</w:t>
      </w:r>
    </w:p>
    <w:p>
      <w:pPr>
        <w:keepNext/>
        <w:keepLines/>
        <w:numPr>
          <w:ilvl w:val="2"/>
          <w:numId w:val="2"/>
        </w:numPr>
        <w:spacing w:line="360" w:lineRule="auto"/>
        <w:ind w:left="0" w:firstLine="0"/>
        <w:outlineLvl w:val="2"/>
        <w:rPr>
          <w:rFonts w:ascii="宋体" w:hAnsi="宋体" w:cs="宋体"/>
          <w:b/>
          <w:bCs/>
          <w:sz w:val="28"/>
          <w:szCs w:val="28"/>
        </w:rPr>
      </w:pPr>
      <w:r>
        <w:rPr>
          <w:rFonts w:hint="eastAsia" w:ascii="宋体" w:hAnsi="宋体" w:cs="宋体"/>
          <w:b/>
          <w:bCs/>
          <w:sz w:val="28"/>
          <w:szCs w:val="28"/>
        </w:rPr>
        <w:t>投标保证金</w:t>
      </w:r>
      <w:bookmarkEnd w:id="66"/>
      <w:bookmarkEnd w:id="67"/>
      <w:bookmarkEnd w:id="68"/>
    </w:p>
    <w:p>
      <w:pPr>
        <w:spacing w:line="360" w:lineRule="auto"/>
        <w:ind w:firstLine="560" w:firstLineChars="200"/>
        <w:rPr>
          <w:rFonts w:ascii="宋体" w:hAnsi="宋体" w:cs="宋体"/>
          <w:sz w:val="28"/>
          <w:szCs w:val="28"/>
        </w:rPr>
      </w:pPr>
      <w:r>
        <w:rPr>
          <w:rFonts w:hint="eastAsia" w:ascii="宋体" w:hAnsi="宋体" w:cs="宋体"/>
          <w:sz w:val="28"/>
          <w:szCs w:val="28"/>
        </w:rPr>
        <w:t>本项目</w:t>
      </w:r>
      <w:r>
        <w:rPr>
          <w:rFonts w:hint="eastAsia" w:ascii="宋体" w:hAnsi="宋体" w:cs="宋体"/>
          <w:b/>
          <w:bCs/>
          <w:sz w:val="28"/>
          <w:szCs w:val="28"/>
        </w:rPr>
        <w:t>不收取</w:t>
      </w:r>
      <w:r>
        <w:rPr>
          <w:rFonts w:hint="eastAsia" w:ascii="宋体" w:hAnsi="宋体" w:cs="宋体"/>
          <w:sz w:val="28"/>
          <w:szCs w:val="28"/>
        </w:rPr>
        <w:t>投标保证金。</w:t>
      </w:r>
    </w:p>
    <w:p>
      <w:pPr>
        <w:keepNext/>
        <w:keepLines/>
        <w:numPr>
          <w:ilvl w:val="2"/>
          <w:numId w:val="2"/>
        </w:numPr>
        <w:tabs>
          <w:tab w:val="left" w:pos="851"/>
        </w:tabs>
        <w:spacing w:line="360" w:lineRule="auto"/>
        <w:ind w:left="0" w:firstLine="0"/>
        <w:outlineLvl w:val="2"/>
        <w:rPr>
          <w:rFonts w:ascii="宋体" w:hAnsi="宋体" w:cs="宋体"/>
          <w:b/>
          <w:bCs/>
          <w:sz w:val="28"/>
          <w:szCs w:val="28"/>
        </w:rPr>
      </w:pPr>
      <w:bookmarkStart w:id="69" w:name="_Toc316291400"/>
      <w:bookmarkEnd w:id="69"/>
      <w:bookmarkStart w:id="70" w:name="_Toc316292024"/>
      <w:bookmarkEnd w:id="70"/>
      <w:bookmarkStart w:id="71" w:name="_Toc217446051"/>
      <w:bookmarkStart w:id="72" w:name="_Toc183582224"/>
      <w:bookmarkStart w:id="73" w:name="_Toc183682361"/>
      <w:r>
        <w:rPr>
          <w:rFonts w:hint="eastAsia" w:ascii="宋体" w:hAnsi="宋体" w:cs="宋体"/>
          <w:b/>
          <w:bCs/>
          <w:sz w:val="28"/>
          <w:szCs w:val="28"/>
        </w:rPr>
        <w:t>投标有效期</w:t>
      </w:r>
      <w:bookmarkEnd w:id="71"/>
      <w:bookmarkEnd w:id="72"/>
      <w:bookmarkEnd w:id="73"/>
    </w:p>
    <w:p>
      <w:pPr>
        <w:numPr>
          <w:ilvl w:val="0"/>
          <w:numId w:val="27"/>
        </w:numPr>
        <w:tabs>
          <w:tab w:val="left" w:pos="1134"/>
        </w:tabs>
        <w:spacing w:line="360" w:lineRule="auto"/>
        <w:ind w:left="0" w:firstLine="567"/>
        <w:rPr>
          <w:rFonts w:ascii="宋体" w:hAnsi="宋体" w:cs="宋体"/>
          <w:sz w:val="28"/>
          <w:szCs w:val="28"/>
        </w:rPr>
      </w:pPr>
      <w:r>
        <w:rPr>
          <w:rFonts w:hint="eastAsia" w:ascii="宋体" w:hAnsi="宋体" w:cs="宋体"/>
          <w:sz w:val="28"/>
          <w:szCs w:val="28"/>
        </w:rPr>
        <w:t>投标有效期为提交投标文件的截止之日起</w:t>
      </w:r>
      <w:r>
        <w:rPr>
          <w:rFonts w:hint="eastAsia" w:ascii="宋体" w:hAnsi="宋体" w:cs="宋体"/>
          <w:sz w:val="28"/>
          <w:szCs w:val="28"/>
          <w:u w:val="single"/>
        </w:rPr>
        <w:t>120</w:t>
      </w:r>
      <w:r>
        <w:rPr>
          <w:rFonts w:hint="eastAsia" w:ascii="宋体" w:hAnsi="宋体" w:cs="宋体"/>
          <w:sz w:val="28"/>
          <w:szCs w:val="28"/>
        </w:rPr>
        <w:t>天。投标有效期短于此规定期限的或不作响应的，则其投标文件将按无效投标文件处理。</w:t>
      </w:r>
    </w:p>
    <w:p>
      <w:pPr>
        <w:numPr>
          <w:ilvl w:val="0"/>
          <w:numId w:val="27"/>
        </w:numPr>
        <w:tabs>
          <w:tab w:val="left" w:pos="1134"/>
        </w:tabs>
        <w:spacing w:line="360" w:lineRule="auto"/>
        <w:ind w:left="0" w:firstLine="567"/>
        <w:rPr>
          <w:rFonts w:ascii="宋体" w:hAnsi="宋体" w:cs="宋体"/>
          <w:sz w:val="28"/>
          <w:szCs w:val="28"/>
        </w:rPr>
      </w:pPr>
      <w:r>
        <w:rPr>
          <w:rFonts w:hint="eastAsia" w:ascii="宋体" w:hAnsi="宋体" w:cs="宋体"/>
          <w:sz w:val="28"/>
          <w:szCs w:val="28"/>
        </w:rPr>
        <w:t>特殊情况下，采购人可于投标有效期满之前要求投标人同意延长有效期，要求与答复均应为书面形式。投标人可以拒绝上述要求，其投标保证金不被没收。同意延长投标有效期的投标人不能修改其投标文件，关于投标保证金的有关规定在延长的投标有效期内继续有效。</w:t>
      </w:r>
    </w:p>
    <w:p>
      <w:pPr>
        <w:pStyle w:val="4"/>
        <w:numPr>
          <w:ilvl w:val="2"/>
          <w:numId w:val="2"/>
        </w:numPr>
        <w:tabs>
          <w:tab w:val="left" w:pos="851"/>
        </w:tabs>
        <w:spacing w:line="240" w:lineRule="auto"/>
        <w:ind w:left="0" w:firstLine="0"/>
        <w:rPr>
          <w:color w:val="auto"/>
        </w:rPr>
      </w:pPr>
      <w:bookmarkStart w:id="74" w:name="_Toc183682364"/>
      <w:bookmarkStart w:id="75" w:name="_Toc183582227"/>
      <w:bookmarkStart w:id="76" w:name="_Toc217446054"/>
      <w:r>
        <w:rPr>
          <w:rFonts w:hint="eastAsia"/>
          <w:color w:val="auto"/>
        </w:rPr>
        <w:t>投标文件的制作和签章、加密</w:t>
      </w:r>
    </w:p>
    <w:p>
      <w:pPr>
        <w:spacing w:line="360" w:lineRule="auto"/>
        <w:ind w:firstLine="560" w:firstLineChars="200"/>
        <w:rPr>
          <w:rFonts w:ascii="宋体" w:hAnsi="宋体"/>
          <w:sz w:val="28"/>
          <w:szCs w:val="28"/>
        </w:rPr>
      </w:pPr>
      <w:r>
        <w:rPr>
          <w:rFonts w:hint="eastAsia" w:ascii="宋体" w:hAnsi="宋体"/>
          <w:sz w:val="28"/>
          <w:szCs w:val="28"/>
        </w:rPr>
        <w:t>投标文件应根据招标文件的要求进行制作。</w:t>
      </w:r>
      <w:r>
        <w:rPr>
          <w:rFonts w:hint="eastAsia" w:ascii="宋体" w:hAnsi="宋体"/>
          <w:b/>
          <w:bCs/>
          <w:sz w:val="28"/>
          <w:szCs w:val="28"/>
        </w:rPr>
        <w:t>（说明：1.招标文件中要求提供复印件证明材料的，包含提供原件的影印件或复印件。2.要求提供复印件的证明材料须清晰可辨，如投标人提供复印件的证明材料使评审小组无法辨别、不予认可，由投标人自行承担可能产生的一切后果。）</w:t>
      </w:r>
    </w:p>
    <w:p>
      <w:pPr>
        <w:spacing w:line="360" w:lineRule="auto"/>
        <w:ind w:firstLine="560" w:firstLineChars="200"/>
        <w:rPr>
          <w:rFonts w:ascii="宋体" w:hAnsi="宋体"/>
          <w:sz w:val="28"/>
          <w:szCs w:val="28"/>
        </w:rPr>
      </w:pPr>
      <w:r>
        <w:rPr>
          <w:rFonts w:hint="eastAsia" w:ascii="宋体" w:hAnsi="宋体"/>
          <w:sz w:val="28"/>
          <w:szCs w:val="28"/>
        </w:rPr>
        <w:t>二、投标文件制作详情：</w:t>
      </w:r>
    </w:p>
    <w:p>
      <w:pPr>
        <w:spacing w:line="360" w:lineRule="auto"/>
        <w:ind w:firstLine="560" w:firstLineChars="200"/>
        <w:rPr>
          <w:rFonts w:ascii="宋体" w:hAnsi="宋体"/>
          <w:sz w:val="28"/>
          <w:szCs w:val="28"/>
        </w:rPr>
      </w:pPr>
      <w:r>
        <w:rPr>
          <w:rFonts w:hint="eastAsia" w:ascii="宋体" w:hAnsi="宋体"/>
          <w:sz w:val="28"/>
          <w:szCs w:val="28"/>
        </w:rPr>
        <w:t>（一）本项目实行电子投标。投标人应先安装“政采云投标客户端”（下载地址1：前往成都市公共资源交易服务中心门户网站—业务办理—下载专区—政府采购下载专区下载“政采云投标客户端”；下载地址2：政府采购云平台—CA管理—绑定CA—下载驱动—“政采云投标客户端”立即下载）。</w:t>
      </w:r>
      <w:r>
        <w:rPr>
          <w:rFonts w:hint="eastAsia" w:ascii="宋体" w:hAnsi="宋体"/>
          <w:b/>
          <w:bCs/>
          <w:sz w:val="28"/>
          <w:szCs w:val="28"/>
        </w:rPr>
        <w:t>投标人应按招标文件要求，通过“政采云投标客户端”制作、加密并提交投标文件。</w:t>
      </w:r>
    </w:p>
    <w:p>
      <w:pPr>
        <w:spacing w:line="360" w:lineRule="auto"/>
        <w:ind w:firstLine="562" w:firstLineChars="200"/>
        <w:rPr>
          <w:rFonts w:ascii="宋体" w:hAnsi="宋体"/>
          <w:b/>
          <w:bCs/>
          <w:sz w:val="28"/>
          <w:szCs w:val="28"/>
        </w:rPr>
      </w:pPr>
      <w:r>
        <w:rPr>
          <w:rFonts w:hint="eastAsia" w:ascii="宋体" w:hAnsi="宋体"/>
          <w:b/>
          <w:bCs/>
          <w:sz w:val="28"/>
          <w:szCs w:val="28"/>
        </w:rPr>
        <w:t>（二）投标文件应加盖投标人（法定名称）电子签章，不得使用投标人专用章（如经济合同章、投标专用章等）或下属单位印章代替。</w:t>
      </w:r>
    </w:p>
    <w:p>
      <w:pPr>
        <w:spacing w:line="360" w:lineRule="auto"/>
        <w:ind w:firstLine="562" w:firstLineChars="200"/>
        <w:rPr>
          <w:rFonts w:ascii="宋体" w:hAnsi="宋体"/>
          <w:b/>
          <w:bCs/>
          <w:sz w:val="28"/>
          <w:szCs w:val="28"/>
        </w:rPr>
      </w:pPr>
      <w:r>
        <w:rPr>
          <w:rFonts w:hint="eastAsia" w:ascii="宋体" w:hAnsi="宋体"/>
          <w:b/>
          <w:bCs/>
          <w:sz w:val="28"/>
          <w:szCs w:val="28"/>
        </w:rPr>
        <w:t>（三）投标人应使用本企业CA数字证书对投标文件进行加密。</w:t>
      </w:r>
    </w:p>
    <w:p>
      <w:pPr>
        <w:spacing w:line="360" w:lineRule="auto"/>
        <w:ind w:firstLine="562" w:firstLineChars="200"/>
        <w:rPr>
          <w:rFonts w:ascii="宋体" w:hAnsi="宋体"/>
          <w:b/>
          <w:bCs/>
          <w:sz w:val="28"/>
          <w:szCs w:val="28"/>
        </w:rPr>
      </w:pPr>
      <w:r>
        <w:rPr>
          <w:rFonts w:hint="eastAsia" w:ascii="宋体" w:hAnsi="宋体"/>
          <w:b/>
          <w:bCs/>
          <w:sz w:val="28"/>
          <w:szCs w:val="28"/>
        </w:rPr>
        <w:t>（四）招标文件有修改的，投标人须重新下载修改后的招标文件（修改后的招标文件在更正公告中下载），根据修改后的招标文件制作、撤回修改，并递交投标文件。</w:t>
      </w:r>
    </w:p>
    <w:p>
      <w:pPr>
        <w:spacing w:line="360" w:lineRule="auto"/>
        <w:ind w:firstLine="560" w:firstLineChars="200"/>
        <w:rPr>
          <w:rFonts w:ascii="宋体" w:hAnsi="宋体"/>
          <w:sz w:val="28"/>
          <w:szCs w:val="28"/>
        </w:rPr>
      </w:pPr>
      <w:r>
        <w:rPr>
          <w:rFonts w:hint="eastAsia" w:ascii="宋体" w:hAnsi="宋体"/>
          <w:sz w:val="28"/>
          <w:szCs w:val="28"/>
        </w:rPr>
        <w:t>（五）使用“政府采购云平台”（含政采云电子交易客户端）需要提前申领CA数字证书及电子签章，请自行前往四川CA、CFCA、天威CA服务点办理，只需办理其中一家CA数字证书及签章（提示：办理时请说明参与成都市政府采购项目）。投标人应及时完成在“政府采购云平台”的CA账号绑定，确保顺利参与电子投标。</w:t>
      </w:r>
    </w:p>
    <w:p>
      <w:pPr>
        <w:pStyle w:val="4"/>
        <w:numPr>
          <w:ilvl w:val="2"/>
          <w:numId w:val="2"/>
        </w:numPr>
        <w:spacing w:line="240" w:lineRule="auto"/>
        <w:ind w:left="0" w:firstLine="0"/>
        <w:rPr>
          <w:color w:val="auto"/>
        </w:rPr>
      </w:pPr>
      <w:r>
        <w:rPr>
          <w:rFonts w:hint="eastAsia"/>
          <w:color w:val="auto"/>
        </w:rPr>
        <w:t>投标文件的</w:t>
      </w:r>
      <w:bookmarkEnd w:id="74"/>
      <w:bookmarkEnd w:id="75"/>
      <w:r>
        <w:rPr>
          <w:rFonts w:hint="eastAsia"/>
          <w:color w:val="auto"/>
        </w:rPr>
        <w:t>递交</w:t>
      </w:r>
      <w:bookmarkEnd w:id="76"/>
    </w:p>
    <w:p>
      <w:pPr>
        <w:tabs>
          <w:tab w:val="left" w:pos="0"/>
        </w:tabs>
        <w:spacing w:line="360" w:lineRule="auto"/>
        <w:ind w:firstLine="420" w:firstLineChars="150"/>
        <w:rPr>
          <w:rFonts w:ascii="宋体" w:hAnsi="宋体" w:eastAsiaTheme="minorEastAsia" w:cstheme="minorBidi"/>
          <w:bCs/>
          <w:sz w:val="28"/>
          <w:szCs w:val="28"/>
        </w:rPr>
      </w:pPr>
      <w:r>
        <w:rPr>
          <w:rFonts w:hint="eastAsia" w:ascii="宋体" w:hAnsi="宋体" w:eastAsiaTheme="minorEastAsia" w:cstheme="minorBidi"/>
          <w:bCs/>
          <w:sz w:val="28"/>
          <w:szCs w:val="28"/>
        </w:rPr>
        <w:t>一、投标人应当在投标文件递交截止时间前，将生成的已加密的电子投标文件成功递交至“政府采购云平台”。</w:t>
      </w:r>
    </w:p>
    <w:p>
      <w:pPr>
        <w:tabs>
          <w:tab w:val="left" w:pos="0"/>
        </w:tabs>
        <w:spacing w:line="360" w:lineRule="auto"/>
        <w:ind w:firstLine="420" w:firstLineChars="150"/>
        <w:rPr>
          <w:rFonts w:ascii="宋体" w:hAnsi="宋体" w:eastAsiaTheme="minorEastAsia" w:cstheme="minorBidi"/>
          <w:bCs/>
          <w:sz w:val="28"/>
          <w:szCs w:val="28"/>
        </w:rPr>
      </w:pPr>
      <w:r>
        <w:rPr>
          <w:rFonts w:hint="eastAsia" w:ascii="宋体" w:hAnsi="宋体" w:eastAsiaTheme="minorEastAsia" w:cstheme="minorBidi"/>
          <w:bCs/>
          <w:sz w:val="28"/>
          <w:szCs w:val="28"/>
        </w:rPr>
        <w:t>二、因招标文件的修改推迟投标截止日期的，投标人按区公资交易中心在“四川政府采购网”和“成都市公共资源交易服务中心”网站上发布的澄清公告中修改的时间递交投标文件，同时通过“政府采购云平台”将澄清或者修改的内容告知所有在系统中成功获取招标文件的潜在投标人。</w:t>
      </w:r>
    </w:p>
    <w:p>
      <w:pPr>
        <w:tabs>
          <w:tab w:val="left" w:pos="0"/>
        </w:tabs>
        <w:spacing w:line="360" w:lineRule="auto"/>
        <w:ind w:firstLine="420" w:firstLineChars="150"/>
        <w:rPr>
          <w:rFonts w:ascii="宋体" w:hAnsi="宋体" w:cs="宋体"/>
          <w:bCs/>
          <w:sz w:val="28"/>
          <w:szCs w:val="28"/>
        </w:rPr>
      </w:pPr>
      <w:r>
        <w:rPr>
          <w:rFonts w:hint="eastAsia" w:ascii="宋体" w:hAnsi="宋体" w:eastAsiaTheme="minorEastAsia" w:cstheme="minorBidi"/>
          <w:bCs/>
          <w:sz w:val="28"/>
          <w:szCs w:val="28"/>
        </w:rPr>
        <w:t>三、投标人应充分考虑递交文件的不可预见因素，未在投标截止时间前完成递交的，在投标截止时间后将无法递交</w:t>
      </w:r>
      <w:r>
        <w:rPr>
          <w:rFonts w:hint="eastAsia" w:ascii="宋体" w:hAnsi="宋体"/>
          <w:bCs/>
          <w:sz w:val="28"/>
          <w:szCs w:val="28"/>
        </w:rPr>
        <w:t>。</w:t>
      </w:r>
    </w:p>
    <w:p>
      <w:pPr>
        <w:pStyle w:val="4"/>
        <w:numPr>
          <w:ilvl w:val="2"/>
          <w:numId w:val="2"/>
        </w:numPr>
        <w:spacing w:line="276" w:lineRule="auto"/>
        <w:ind w:left="0" w:firstLine="0"/>
        <w:rPr>
          <w:color w:val="auto"/>
        </w:rPr>
      </w:pPr>
      <w:bookmarkStart w:id="77" w:name="_Toc316475587"/>
      <w:bookmarkEnd w:id="77"/>
      <w:bookmarkStart w:id="78" w:name="_Toc316475586"/>
      <w:bookmarkEnd w:id="78"/>
      <w:bookmarkStart w:id="79" w:name="_Toc217446055"/>
      <w:bookmarkStart w:id="80" w:name="_Toc183682365"/>
      <w:bookmarkStart w:id="81" w:name="_Toc183582228"/>
      <w:r>
        <w:rPr>
          <w:rFonts w:hint="eastAsia"/>
          <w:color w:val="auto"/>
        </w:rPr>
        <w:t>投标文件的</w:t>
      </w:r>
      <w:bookmarkEnd w:id="79"/>
      <w:bookmarkEnd w:id="80"/>
      <w:bookmarkEnd w:id="81"/>
      <w:r>
        <w:rPr>
          <w:rFonts w:hint="eastAsia"/>
          <w:color w:val="auto"/>
        </w:rPr>
        <w:t>补充、修改</w:t>
      </w:r>
    </w:p>
    <w:p>
      <w:pPr>
        <w:numPr>
          <w:ilvl w:val="0"/>
          <w:numId w:val="28"/>
        </w:numPr>
        <w:spacing w:before="120" w:line="360" w:lineRule="auto"/>
        <w:ind w:left="0" w:firstLine="567"/>
        <w:rPr>
          <w:rFonts w:ascii="宋体" w:hAnsi="宋体"/>
          <w:sz w:val="28"/>
          <w:szCs w:val="28"/>
        </w:rPr>
      </w:pPr>
      <w:r>
        <w:rPr>
          <w:rFonts w:hint="eastAsia" w:ascii="宋体" w:hAnsi="宋体"/>
          <w:sz w:val="28"/>
          <w:szCs w:val="28"/>
        </w:rPr>
        <w:t>在投标截止时间之前，投标人可对已递交的投标文件进行补充、修改。补充或者修改投标文件的，应当先撤回已递交的投标文件，在“政采云投标客户端”补充、修改投标文件并签章、加密后重新递交。撤回投标文件进行补充、修改，在投标截止时间前未重新递交的，视为撤回投标文件。</w:t>
      </w:r>
    </w:p>
    <w:p>
      <w:pPr>
        <w:numPr>
          <w:ilvl w:val="0"/>
          <w:numId w:val="28"/>
        </w:numPr>
        <w:spacing w:before="120" w:line="360" w:lineRule="auto"/>
        <w:ind w:left="0" w:firstLine="567"/>
        <w:rPr>
          <w:rFonts w:ascii="宋体" w:hAnsi="宋体"/>
          <w:sz w:val="28"/>
          <w:szCs w:val="28"/>
        </w:rPr>
      </w:pPr>
      <w:r>
        <w:rPr>
          <w:rFonts w:hint="eastAsia" w:ascii="宋体" w:hAnsi="宋体"/>
          <w:sz w:val="28"/>
          <w:szCs w:val="28"/>
        </w:rPr>
        <w:t>在投标截止时间之后，投标人不得对其递交的投标文件做任何补充、修改。</w:t>
      </w:r>
    </w:p>
    <w:p>
      <w:pPr>
        <w:pStyle w:val="4"/>
        <w:numPr>
          <w:ilvl w:val="2"/>
          <w:numId w:val="2"/>
        </w:numPr>
        <w:spacing w:line="276" w:lineRule="auto"/>
        <w:ind w:left="851"/>
        <w:rPr>
          <w:color w:val="auto"/>
        </w:rPr>
      </w:pPr>
      <w:r>
        <w:rPr>
          <w:rFonts w:hint="eastAsia"/>
          <w:color w:val="auto"/>
        </w:rPr>
        <w:t>投标文件的撤回</w:t>
      </w:r>
    </w:p>
    <w:p>
      <w:pPr>
        <w:spacing w:before="120" w:line="360" w:lineRule="auto"/>
        <w:ind w:firstLine="560" w:firstLineChars="200"/>
        <w:rPr>
          <w:rFonts w:ascii="宋体" w:hAnsi="宋体"/>
          <w:bCs/>
          <w:sz w:val="28"/>
          <w:szCs w:val="28"/>
        </w:rPr>
      </w:pPr>
      <w:bookmarkStart w:id="82" w:name="_Toc217446056"/>
      <w:bookmarkStart w:id="83" w:name="_Toc183582231"/>
      <w:bookmarkStart w:id="84" w:name="_Toc183682368"/>
      <w:bookmarkStart w:id="85" w:name="_Toc77400782"/>
      <w:bookmarkStart w:id="86" w:name="_Toc89075878"/>
      <w:r>
        <w:rPr>
          <w:rFonts w:hint="eastAsia" w:ascii="宋体" w:hAnsi="宋体"/>
          <w:bCs/>
          <w:sz w:val="28"/>
          <w:szCs w:val="28"/>
        </w:rPr>
        <w:t>在投截止时间之前，投标人可对已递交的投标文件进行撤回。在投标截止时间之后，投标人不得撤标回投标文件。</w:t>
      </w:r>
    </w:p>
    <w:p>
      <w:pPr>
        <w:pStyle w:val="4"/>
        <w:numPr>
          <w:ilvl w:val="2"/>
          <w:numId w:val="18"/>
        </w:numPr>
        <w:spacing w:line="240" w:lineRule="auto"/>
        <w:ind w:left="851"/>
        <w:rPr>
          <w:color w:val="auto"/>
        </w:rPr>
      </w:pPr>
      <w:r>
        <w:rPr>
          <w:rFonts w:hint="eastAsia"/>
          <w:color w:val="auto"/>
        </w:rPr>
        <w:t>投标文件的解密</w:t>
      </w:r>
    </w:p>
    <w:p>
      <w:pPr>
        <w:tabs>
          <w:tab w:val="left" w:pos="1134"/>
        </w:tabs>
        <w:spacing w:before="120" w:line="360" w:lineRule="auto"/>
        <w:ind w:firstLine="565" w:firstLineChars="202"/>
      </w:pPr>
      <w:r>
        <w:rPr>
          <w:rFonts w:hint="eastAsia" w:ascii="宋体" w:hAnsi="宋体"/>
          <w:bCs/>
          <w:sz w:val="28"/>
          <w:szCs w:val="28"/>
        </w:rPr>
        <w:t>投标人</w:t>
      </w:r>
      <w:r>
        <w:rPr>
          <w:rFonts w:hint="eastAsia" w:ascii="宋体" w:hAnsi="宋体"/>
          <w:sz w:val="28"/>
          <w:szCs w:val="28"/>
        </w:rPr>
        <w:t>登录政府采购云平台，点击“项目采购—开标评标”模块，找到对应项目，进入“开标大厅”，等待区公资交易中心开启解密后，进行线上解密。</w:t>
      </w:r>
      <w:r>
        <w:rPr>
          <w:rFonts w:hint="eastAsia" w:ascii="宋体" w:hAnsi="宋体"/>
          <w:bCs/>
          <w:sz w:val="28"/>
          <w:szCs w:val="28"/>
        </w:rPr>
        <w:t>除因</w:t>
      </w:r>
      <w:r>
        <w:rPr>
          <w:rFonts w:hint="eastAsia" w:ascii="宋体" w:hAnsi="宋体"/>
          <w:sz w:val="28"/>
          <w:szCs w:val="28"/>
        </w:rPr>
        <w:t>区公资交易中心</w:t>
      </w:r>
      <w:r>
        <w:rPr>
          <w:rFonts w:hint="eastAsia" w:ascii="宋体" w:hAnsi="宋体"/>
          <w:bCs/>
          <w:sz w:val="28"/>
          <w:szCs w:val="28"/>
        </w:rPr>
        <w:t>断电、断网、系统故障或其他不可抗力等因素，导致系统无法使用外，投标人在规定的解密时间内，未成功解密的投标文件将视为无效投标文件。</w:t>
      </w:r>
    </w:p>
    <w:p>
      <w:pPr>
        <w:keepNext/>
        <w:keepLines/>
        <w:numPr>
          <w:ilvl w:val="1"/>
          <w:numId w:val="2"/>
        </w:numPr>
        <w:spacing w:line="360" w:lineRule="auto"/>
        <w:outlineLvl w:val="1"/>
        <w:rPr>
          <w:rFonts w:ascii="宋体" w:hAnsi="宋体" w:cs="宋体"/>
          <w:b/>
          <w:bCs/>
          <w:sz w:val="28"/>
          <w:szCs w:val="28"/>
        </w:rPr>
      </w:pPr>
      <w:bookmarkStart w:id="87" w:name="_Toc12807"/>
      <w:r>
        <w:rPr>
          <w:rFonts w:hint="eastAsia" w:ascii="宋体" w:hAnsi="宋体" w:cs="宋体"/>
          <w:b/>
          <w:bCs/>
          <w:sz w:val="28"/>
          <w:szCs w:val="28"/>
        </w:rPr>
        <w:t>开标、资格审查、评标和中标</w:t>
      </w:r>
      <w:bookmarkEnd w:id="82"/>
      <w:bookmarkEnd w:id="83"/>
      <w:bookmarkEnd w:id="84"/>
      <w:bookmarkEnd w:id="85"/>
      <w:bookmarkEnd w:id="86"/>
      <w:bookmarkEnd w:id="87"/>
    </w:p>
    <w:p>
      <w:pPr>
        <w:keepNext/>
        <w:keepLines/>
        <w:numPr>
          <w:ilvl w:val="2"/>
          <w:numId w:val="2"/>
        </w:numPr>
        <w:spacing w:line="360" w:lineRule="auto"/>
        <w:ind w:left="0" w:firstLine="0"/>
        <w:outlineLvl w:val="2"/>
        <w:rPr>
          <w:rFonts w:ascii="宋体" w:hAnsi="宋体" w:cs="宋体"/>
          <w:b/>
          <w:bCs/>
          <w:sz w:val="28"/>
          <w:szCs w:val="28"/>
        </w:rPr>
      </w:pPr>
      <w:bookmarkStart w:id="88" w:name="_Toc183582232"/>
      <w:bookmarkStart w:id="89" w:name="_Toc183682369"/>
      <w:bookmarkStart w:id="90" w:name="_Toc217446057"/>
      <w:r>
        <w:rPr>
          <w:rFonts w:hint="eastAsia" w:ascii="宋体" w:hAnsi="宋体" w:cs="宋体"/>
          <w:b/>
          <w:bCs/>
          <w:sz w:val="28"/>
          <w:szCs w:val="28"/>
        </w:rPr>
        <w:t>开标</w:t>
      </w:r>
      <w:bookmarkEnd w:id="88"/>
      <w:bookmarkEnd w:id="89"/>
      <w:bookmarkEnd w:id="90"/>
      <w:r>
        <w:rPr>
          <w:rFonts w:hint="eastAsia" w:ascii="宋体" w:hAnsi="宋体" w:cs="宋体"/>
          <w:b/>
          <w:bCs/>
          <w:sz w:val="28"/>
          <w:szCs w:val="28"/>
        </w:rPr>
        <w:t>及开标程序</w:t>
      </w:r>
    </w:p>
    <w:p>
      <w:pPr>
        <w:pStyle w:val="21"/>
        <w:numPr>
          <w:ilvl w:val="0"/>
          <w:numId w:val="29"/>
        </w:numPr>
        <w:spacing w:before="120" w:line="360" w:lineRule="auto"/>
        <w:ind w:left="0" w:right="210" w:firstLine="567" w:firstLineChars="0"/>
        <w:rPr>
          <w:rFonts w:ascii="宋体" w:hAnsi="宋体" w:eastAsia="宋体" w:cs="宋体"/>
          <w:bCs/>
          <w:sz w:val="28"/>
          <w:szCs w:val="28"/>
        </w:rPr>
      </w:pPr>
      <w:r>
        <w:rPr>
          <w:rFonts w:hint="eastAsia" w:ascii="宋体" w:hAnsi="宋体" w:eastAsia="宋体" w:cs="宋体"/>
          <w:bCs/>
          <w:sz w:val="28"/>
          <w:szCs w:val="28"/>
        </w:rPr>
        <w:t>本项目为不见面开标项目。递交电子投标文件的投标人不足3家的，不予开标。</w:t>
      </w:r>
    </w:p>
    <w:p>
      <w:pPr>
        <w:pStyle w:val="21"/>
        <w:numPr>
          <w:ilvl w:val="0"/>
          <w:numId w:val="29"/>
        </w:numPr>
        <w:spacing w:before="12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开标准备工作。投标人需在开标当日、投标截止时间前登录“政府采购云平台”，通过“开标大厅”参与不见面开标。登录成都市公共资源交易服务中心门户网站（https://www.cdggzy.com/）—政府采购云平台—项目采购—开标评标—开标大厅（找到对应项目）。提示：投标人未按时登录不见面开标系统，错过开标解密时间的，由投标人自行承担不利后果。</w:t>
      </w:r>
    </w:p>
    <w:p>
      <w:pPr>
        <w:pStyle w:val="21"/>
        <w:numPr>
          <w:ilvl w:val="0"/>
          <w:numId w:val="29"/>
        </w:numPr>
        <w:spacing w:before="12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解密投标文件。等待区公资交易中心开启解密后，投标人进行线上解密。开启解密后，投标人应在60分钟内，使用加密该投标文件的CA数字证书在线完成投标文件的解密。除因区公资交易中心断电、断网、系统故障或其他不可抗力等因素，导致系统无法使用外，投标人在规定的解密时间内，未成功解密的投标文件将视为无效投标文件。</w:t>
      </w:r>
    </w:p>
    <w:p>
      <w:pPr>
        <w:pStyle w:val="21"/>
        <w:numPr>
          <w:ilvl w:val="0"/>
          <w:numId w:val="29"/>
        </w:numPr>
        <w:spacing w:before="12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确认开标记录。解密时间截止或者所有投标人投标文件均完成解密后（以发生在先的时间为准），由“政府采购云平台”系统展示投标人名称、投标文件解密情况、投标报价等唱标内容。如成功解密投标文件的投标人不足三家的，则只展示投标人名称、投标文件解密情况。投标人对开标记录（包含解密情况、投标报价、其他情况等）在规定时间内确认，如未确认，视为认同开标记录。</w:t>
      </w:r>
    </w:p>
    <w:p>
      <w:pPr>
        <w:pStyle w:val="21"/>
        <w:numPr>
          <w:ilvl w:val="0"/>
          <w:numId w:val="29"/>
        </w:numPr>
        <w:spacing w:before="12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投标人对开标过程和开标记录有疑义，以及认为采购人、区公资交易中心相关工作人员有需要回避的情形的，及时向工作人员提出询问或者回避申请。采购人、区公资交易中心对投标人提出的询问或者回避申请应当及时处理。</w:t>
      </w:r>
    </w:p>
    <w:p>
      <w:pPr>
        <w:pStyle w:val="21"/>
        <w:numPr>
          <w:ilvl w:val="0"/>
          <w:numId w:val="29"/>
        </w:numPr>
        <w:spacing w:before="12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投标人电脑终端等硬件设备和软件系统配置：投标人电脑终端等硬件设备和软件系统配置应符合电子投标（含不见面开标大厅）投标人电脑终端配置要求并运行正常，投标人承担因未尽职责产生的不利后果。</w:t>
      </w:r>
    </w:p>
    <w:p>
      <w:pPr>
        <w:pStyle w:val="21"/>
        <w:numPr>
          <w:ilvl w:val="0"/>
          <w:numId w:val="29"/>
        </w:numPr>
        <w:spacing w:before="12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因区公资交易中心断电、断网、系统故障或其他不可抗力等因素导致不见面开标系统无法正常运行的，开标活动中止或延迟，待系统恢复正常后继续进行开标活动。</w:t>
      </w:r>
    </w:p>
    <w:p>
      <w:pPr>
        <w:pStyle w:val="21"/>
        <w:numPr>
          <w:ilvl w:val="0"/>
          <w:numId w:val="29"/>
        </w:numPr>
        <w:spacing w:before="12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不见面开标过程中，各方主体均应遵守互联网有关规定，不得发表与交易活动无关的言论。</w:t>
      </w:r>
    </w:p>
    <w:p>
      <w:pPr>
        <w:keepNext/>
        <w:keepLines/>
        <w:numPr>
          <w:ilvl w:val="2"/>
          <w:numId w:val="2"/>
        </w:numPr>
        <w:spacing w:line="360" w:lineRule="auto"/>
        <w:ind w:left="0" w:firstLine="0"/>
        <w:outlineLvl w:val="2"/>
        <w:rPr>
          <w:rFonts w:ascii="宋体" w:hAnsi="宋体" w:cs="宋体"/>
          <w:b/>
          <w:bCs/>
          <w:sz w:val="28"/>
          <w:szCs w:val="28"/>
        </w:rPr>
      </w:pPr>
      <w:r>
        <w:rPr>
          <w:rFonts w:hint="eastAsia" w:ascii="宋体" w:hAnsi="宋体" w:cs="宋体"/>
          <w:b/>
          <w:bCs/>
          <w:sz w:val="28"/>
          <w:szCs w:val="28"/>
        </w:rPr>
        <w:t>资格审查</w:t>
      </w:r>
    </w:p>
    <w:p>
      <w:pPr>
        <w:spacing w:line="360" w:lineRule="auto"/>
        <w:ind w:firstLine="495"/>
        <w:rPr>
          <w:rFonts w:ascii="宋体" w:hAnsi="宋体" w:cs="宋体"/>
          <w:sz w:val="28"/>
          <w:szCs w:val="28"/>
        </w:rPr>
      </w:pPr>
      <w:r>
        <w:rPr>
          <w:rFonts w:hint="eastAsia" w:ascii="宋体" w:hAnsi="宋体" w:cs="宋体"/>
          <w:sz w:val="28"/>
          <w:szCs w:val="28"/>
        </w:rPr>
        <w:t>详见招标文件第5章。</w:t>
      </w:r>
    </w:p>
    <w:p>
      <w:pPr>
        <w:keepNext/>
        <w:keepLines/>
        <w:numPr>
          <w:ilvl w:val="2"/>
          <w:numId w:val="2"/>
        </w:numPr>
        <w:spacing w:line="360" w:lineRule="auto"/>
        <w:ind w:left="0" w:firstLine="0"/>
        <w:outlineLvl w:val="2"/>
        <w:rPr>
          <w:rFonts w:ascii="宋体" w:hAnsi="宋体" w:cs="宋体"/>
          <w:b/>
          <w:bCs/>
          <w:sz w:val="28"/>
          <w:szCs w:val="28"/>
        </w:rPr>
      </w:pPr>
      <w:r>
        <w:rPr>
          <w:rFonts w:hint="eastAsia" w:ascii="宋体" w:hAnsi="宋体" w:cs="宋体"/>
          <w:b/>
          <w:bCs/>
          <w:sz w:val="28"/>
          <w:szCs w:val="28"/>
        </w:rPr>
        <w:t>评标</w:t>
      </w:r>
    </w:p>
    <w:p>
      <w:pPr>
        <w:spacing w:line="360" w:lineRule="auto"/>
        <w:ind w:firstLine="495"/>
        <w:rPr>
          <w:rFonts w:ascii="宋体" w:hAnsi="宋体" w:cs="宋体"/>
          <w:sz w:val="28"/>
          <w:szCs w:val="28"/>
        </w:rPr>
      </w:pPr>
      <w:r>
        <w:rPr>
          <w:rFonts w:hint="eastAsia" w:ascii="宋体" w:hAnsi="宋体" w:cs="宋体"/>
          <w:sz w:val="28"/>
          <w:szCs w:val="28"/>
        </w:rPr>
        <w:t>详见招标文件第6章。</w:t>
      </w:r>
    </w:p>
    <w:p>
      <w:pPr>
        <w:keepNext/>
        <w:keepLines/>
        <w:numPr>
          <w:ilvl w:val="2"/>
          <w:numId w:val="2"/>
        </w:numPr>
        <w:spacing w:line="360" w:lineRule="auto"/>
        <w:ind w:left="0" w:firstLine="0"/>
        <w:outlineLvl w:val="2"/>
        <w:rPr>
          <w:rFonts w:ascii="宋体" w:hAnsi="宋体" w:cs="宋体"/>
          <w:b/>
          <w:bCs/>
          <w:sz w:val="28"/>
          <w:szCs w:val="28"/>
        </w:rPr>
      </w:pPr>
      <w:bookmarkStart w:id="91" w:name="_Toc183682375"/>
      <w:bookmarkStart w:id="92" w:name="_Toc183582238"/>
      <w:bookmarkStart w:id="93" w:name="_Toc217446063"/>
      <w:r>
        <w:rPr>
          <w:rFonts w:hint="eastAsia" w:ascii="宋体" w:hAnsi="宋体" w:cs="宋体"/>
          <w:b/>
          <w:bCs/>
          <w:sz w:val="28"/>
          <w:szCs w:val="28"/>
        </w:rPr>
        <w:t>中标通知</w:t>
      </w:r>
      <w:bookmarkEnd w:id="91"/>
      <w:bookmarkEnd w:id="92"/>
      <w:r>
        <w:rPr>
          <w:rFonts w:hint="eastAsia" w:ascii="宋体" w:hAnsi="宋体" w:cs="宋体"/>
          <w:b/>
          <w:bCs/>
          <w:sz w:val="28"/>
          <w:szCs w:val="28"/>
        </w:rPr>
        <w:t>书</w:t>
      </w:r>
      <w:bookmarkEnd w:id="93"/>
    </w:p>
    <w:p>
      <w:pPr>
        <w:widowControl/>
        <w:ind w:right="210" w:firstLine="560" w:firstLineChars="200"/>
        <w:rPr>
          <w:rFonts w:ascii="宋体" w:hAnsi="宋体"/>
          <w:sz w:val="28"/>
          <w:szCs w:val="28"/>
        </w:rPr>
      </w:pPr>
      <w:bookmarkStart w:id="94" w:name="_Toc217446064"/>
      <w:bookmarkStart w:id="95" w:name="_Toc183582240"/>
      <w:bookmarkStart w:id="96" w:name="_Toc183682377"/>
      <w:r>
        <w:rPr>
          <w:rFonts w:hint="eastAsia" w:ascii="宋体" w:hAnsi="宋体"/>
          <w:sz w:val="28"/>
          <w:szCs w:val="28"/>
        </w:rPr>
        <w:t>一、中标通知书为采购人签订政府采购合同的依据，是合同的有效组成部分。如果出现政府采购法律法规、规章制度规定的中标无效情形的，将以公告形式宣布发出的中标通知书无效，中标通知书将自动失效，并依法重新确定中标人或者重新开展采购活动。</w:t>
      </w:r>
    </w:p>
    <w:p>
      <w:pPr>
        <w:ind w:firstLine="560" w:firstLineChars="200"/>
        <w:rPr>
          <w:rFonts w:ascii="宋体" w:hAnsi="宋体"/>
          <w:sz w:val="28"/>
          <w:szCs w:val="28"/>
        </w:rPr>
      </w:pPr>
      <w:r>
        <w:rPr>
          <w:rFonts w:hint="eastAsia" w:ascii="宋体" w:hAnsi="宋体"/>
          <w:sz w:val="28"/>
          <w:szCs w:val="28"/>
        </w:rPr>
        <w:t>二、中标通知书对采购人和中标人均具有法律效力。中标通知书发出后，采购人改变中标结果，或者中标人无正当理由放弃中标的，应当承担相应的法律责任。</w:t>
      </w:r>
    </w:p>
    <w:p>
      <w:pPr>
        <w:ind w:firstLine="560" w:firstLineChars="200"/>
        <w:rPr>
          <w:rFonts w:ascii="宋体" w:hAnsi="宋体" w:cs="宋体"/>
          <w:sz w:val="28"/>
          <w:szCs w:val="28"/>
        </w:rPr>
      </w:pPr>
      <w:r>
        <w:rPr>
          <w:rFonts w:hint="eastAsia" w:ascii="宋体" w:hAnsi="宋体"/>
          <w:sz w:val="28"/>
          <w:szCs w:val="28"/>
        </w:rPr>
        <w:t>三、中标公告在四川政府采购网上公告后，中标投标人自行登录政府采购云平台下载中标通知书。</w:t>
      </w:r>
    </w:p>
    <w:p>
      <w:pPr>
        <w:keepNext/>
        <w:keepLines/>
        <w:numPr>
          <w:ilvl w:val="1"/>
          <w:numId w:val="2"/>
        </w:numPr>
        <w:spacing w:before="240" w:line="360" w:lineRule="auto"/>
        <w:jc w:val="left"/>
        <w:outlineLvl w:val="1"/>
        <w:rPr>
          <w:rFonts w:ascii="宋体" w:hAnsi="宋体" w:cs="宋体"/>
          <w:b/>
          <w:bCs/>
          <w:sz w:val="28"/>
          <w:szCs w:val="28"/>
        </w:rPr>
      </w:pPr>
      <w:bookmarkStart w:id="97" w:name="_Toc6159"/>
      <w:r>
        <w:rPr>
          <w:rFonts w:hint="eastAsia" w:ascii="宋体" w:hAnsi="宋体" w:cs="宋体"/>
          <w:b/>
          <w:bCs/>
          <w:sz w:val="28"/>
          <w:szCs w:val="28"/>
        </w:rPr>
        <w:t>签订及履行合同和验收</w:t>
      </w:r>
      <w:bookmarkEnd w:id="94"/>
      <w:bookmarkEnd w:id="97"/>
    </w:p>
    <w:p>
      <w:pPr>
        <w:keepNext/>
        <w:keepLines/>
        <w:numPr>
          <w:ilvl w:val="2"/>
          <w:numId w:val="2"/>
        </w:numPr>
        <w:spacing w:line="360" w:lineRule="auto"/>
        <w:ind w:left="0" w:firstLine="0"/>
        <w:outlineLvl w:val="2"/>
        <w:rPr>
          <w:rFonts w:ascii="宋体" w:hAnsi="宋体" w:cs="宋体"/>
          <w:b/>
          <w:bCs/>
          <w:sz w:val="28"/>
          <w:szCs w:val="28"/>
        </w:rPr>
      </w:pPr>
      <w:bookmarkStart w:id="98" w:name="_Toc217446065"/>
      <w:r>
        <w:rPr>
          <w:rFonts w:hint="eastAsia" w:ascii="宋体" w:hAnsi="宋体" w:cs="宋体"/>
          <w:b/>
          <w:bCs/>
          <w:sz w:val="28"/>
          <w:szCs w:val="28"/>
        </w:rPr>
        <w:t>签订合同</w:t>
      </w:r>
      <w:bookmarkEnd w:id="98"/>
    </w:p>
    <w:p>
      <w:pPr>
        <w:numPr>
          <w:ilvl w:val="0"/>
          <w:numId w:val="30"/>
        </w:numPr>
        <w:tabs>
          <w:tab w:val="left" w:pos="1134"/>
        </w:tabs>
        <w:spacing w:after="0" w:line="360" w:lineRule="auto"/>
        <w:ind w:left="0" w:firstLine="565" w:firstLineChars="202"/>
        <w:rPr>
          <w:rFonts w:ascii="宋体" w:hAnsi="宋体" w:cs="宋体"/>
          <w:sz w:val="28"/>
          <w:szCs w:val="28"/>
        </w:rPr>
      </w:pPr>
      <w:bookmarkStart w:id="99" w:name="_Toc315871033"/>
      <w:bookmarkEnd w:id="99"/>
      <w:bookmarkStart w:id="100" w:name="_Toc217446066"/>
      <w:r>
        <w:rPr>
          <w:rFonts w:hint="eastAsia" w:ascii="宋体" w:hAnsi="宋体" w:cs="宋体"/>
          <w:sz w:val="28"/>
          <w:szCs w:val="28"/>
        </w:rPr>
        <w:t>中标人应在中标通知书发出之日起30天内与采购人签订采购合同，因中标人的原因在中标通知书发出之日起30日内未与采购人签订采购合同或者中标人拒绝与采购人签订合同的，采购人可以按照评审报告推荐的中标候选人名单排序，确定下一候选人为中标投标人，也可以重新开展政府采购活动。</w:t>
      </w:r>
    </w:p>
    <w:p>
      <w:pPr>
        <w:numPr>
          <w:ilvl w:val="0"/>
          <w:numId w:val="30"/>
        </w:numPr>
        <w:tabs>
          <w:tab w:val="left" w:pos="1134"/>
        </w:tabs>
        <w:spacing w:after="0" w:line="360" w:lineRule="auto"/>
        <w:ind w:left="0" w:firstLine="565" w:firstLineChars="202"/>
        <w:rPr>
          <w:rFonts w:ascii="宋体" w:hAnsi="宋体" w:cs="宋体"/>
          <w:sz w:val="28"/>
          <w:szCs w:val="28"/>
        </w:rPr>
      </w:pPr>
      <w:r>
        <w:rPr>
          <w:rFonts w:hint="eastAsia" w:ascii="宋体" w:hAnsi="宋体" w:cs="宋体"/>
          <w:sz w:val="28"/>
          <w:szCs w:val="28"/>
        </w:rPr>
        <w:t>采购人不得向中标人提出任何不合理的要求，作为签订合同的条件，不得与中标人私下订立背离合同实质性内容的任何协议，所签订的合同不得对招标文件和中标人投标文件作实质性修改。</w:t>
      </w:r>
    </w:p>
    <w:p>
      <w:pPr>
        <w:numPr>
          <w:ilvl w:val="0"/>
          <w:numId w:val="30"/>
        </w:numPr>
        <w:tabs>
          <w:tab w:val="left" w:pos="1134"/>
        </w:tabs>
        <w:spacing w:after="0" w:line="360" w:lineRule="auto"/>
        <w:ind w:left="0" w:firstLine="565" w:firstLineChars="202"/>
        <w:rPr>
          <w:rFonts w:ascii="宋体" w:hAnsi="宋体" w:cs="宋体"/>
          <w:sz w:val="28"/>
          <w:szCs w:val="28"/>
        </w:rPr>
      </w:pPr>
      <w:r>
        <w:rPr>
          <w:rFonts w:hint="eastAsia" w:ascii="宋体" w:hAnsi="宋体" w:cs="宋体"/>
          <w:sz w:val="28"/>
          <w:szCs w:val="28"/>
        </w:rPr>
        <w:t>招标文件、投标文件、中标通知书等一切与本项目评标结果有关且经责任主体确认的资料均为合同的有效组成部分。</w:t>
      </w:r>
    </w:p>
    <w:p>
      <w:pPr>
        <w:numPr>
          <w:ilvl w:val="0"/>
          <w:numId w:val="30"/>
        </w:numPr>
        <w:tabs>
          <w:tab w:val="left" w:pos="1134"/>
        </w:tabs>
        <w:spacing w:after="0" w:line="360" w:lineRule="auto"/>
        <w:ind w:left="0" w:firstLine="565" w:firstLineChars="202"/>
        <w:rPr>
          <w:rFonts w:ascii="宋体" w:hAnsi="宋体" w:cs="宋体"/>
          <w:kern w:val="0"/>
          <w:sz w:val="28"/>
          <w:szCs w:val="28"/>
        </w:rPr>
      </w:pPr>
      <w:r>
        <w:rPr>
          <w:rFonts w:hint="eastAsia" w:ascii="宋体" w:hAnsi="宋体" w:cs="宋体"/>
          <w:kern w:val="0"/>
          <w:sz w:val="28"/>
          <w:szCs w:val="28"/>
        </w:rPr>
        <w:t>询问或者质疑事项可能影响中标、成交结果的，采购人应当暂停签订合同，已经签订合同的，应当中止履行合同。</w:t>
      </w:r>
    </w:p>
    <w:p>
      <w:pPr>
        <w:keepNext/>
        <w:keepLines/>
        <w:numPr>
          <w:ilvl w:val="2"/>
          <w:numId w:val="2"/>
        </w:numPr>
        <w:spacing w:line="360" w:lineRule="auto"/>
        <w:ind w:left="3119" w:hanging="3119"/>
        <w:outlineLvl w:val="2"/>
        <w:rPr>
          <w:rFonts w:ascii="宋体" w:hAnsi="宋体" w:cs="宋体"/>
          <w:b/>
          <w:bCs/>
          <w:sz w:val="28"/>
          <w:szCs w:val="28"/>
        </w:rPr>
      </w:pPr>
      <w:r>
        <w:rPr>
          <w:rFonts w:hint="eastAsia" w:ascii="宋体" w:hAnsi="宋体" w:cs="宋体"/>
          <w:b/>
          <w:bCs/>
          <w:sz w:val="28"/>
          <w:szCs w:val="28"/>
        </w:rPr>
        <w:t>合同分包</w:t>
      </w:r>
      <w:bookmarkEnd w:id="100"/>
      <w:r>
        <w:rPr>
          <w:rFonts w:hint="eastAsia" w:ascii="宋体" w:hAnsi="宋体" w:cs="宋体"/>
          <w:b/>
          <w:bCs/>
          <w:sz w:val="28"/>
          <w:szCs w:val="28"/>
        </w:rPr>
        <w:t>和转包</w:t>
      </w:r>
    </w:p>
    <w:p>
      <w:pPr>
        <w:keepNext/>
        <w:keepLines/>
        <w:numPr>
          <w:ilvl w:val="3"/>
          <w:numId w:val="2"/>
        </w:numPr>
        <w:spacing w:line="360" w:lineRule="auto"/>
        <w:ind w:left="1275" w:hanging="918"/>
        <w:outlineLvl w:val="2"/>
        <w:rPr>
          <w:rFonts w:ascii="宋体" w:hAnsi="宋体" w:cs="宋体"/>
          <w:b/>
          <w:bCs/>
          <w:sz w:val="28"/>
          <w:szCs w:val="28"/>
        </w:rPr>
      </w:pPr>
      <w:r>
        <w:rPr>
          <w:rFonts w:hint="eastAsia" w:ascii="宋体" w:hAnsi="宋体" w:cs="宋体"/>
          <w:b/>
          <w:bCs/>
          <w:sz w:val="28"/>
          <w:szCs w:val="28"/>
        </w:rPr>
        <w:t>合同分包</w:t>
      </w:r>
    </w:p>
    <w:p>
      <w:pPr>
        <w:pStyle w:val="24"/>
        <w:spacing w:line="360" w:lineRule="auto"/>
        <w:ind w:firstLine="560" w:firstLineChars="200"/>
        <w:jc w:val="both"/>
        <w:rPr>
          <w:sz w:val="28"/>
          <w:szCs w:val="28"/>
          <w:lang w:val="zh-CN"/>
        </w:rPr>
      </w:pPr>
      <w:r>
        <w:rPr>
          <w:rFonts w:hint="eastAsia"/>
          <w:sz w:val="28"/>
          <w:szCs w:val="28"/>
          <w:lang w:val="zh-CN"/>
        </w:rPr>
        <w:t>本项目</w:t>
      </w:r>
      <w:r>
        <w:rPr>
          <w:rFonts w:hint="eastAsia"/>
          <w:b/>
          <w:bCs/>
          <w:sz w:val="28"/>
          <w:szCs w:val="28"/>
          <w:lang w:val="zh-CN"/>
        </w:rPr>
        <w:t>不允许</w:t>
      </w:r>
      <w:r>
        <w:rPr>
          <w:rFonts w:hint="eastAsia"/>
          <w:sz w:val="28"/>
          <w:szCs w:val="28"/>
          <w:lang w:val="zh-CN"/>
        </w:rPr>
        <w:t xml:space="preserve">分包 </w:t>
      </w:r>
    </w:p>
    <w:p>
      <w:pPr>
        <w:keepNext/>
        <w:keepLines/>
        <w:numPr>
          <w:ilvl w:val="3"/>
          <w:numId w:val="2"/>
        </w:numPr>
        <w:spacing w:line="360" w:lineRule="auto"/>
        <w:ind w:left="1275" w:hanging="918"/>
        <w:outlineLvl w:val="2"/>
        <w:rPr>
          <w:rFonts w:ascii="宋体" w:hAnsi="宋体" w:cs="宋体"/>
          <w:b/>
          <w:bCs/>
          <w:sz w:val="28"/>
          <w:szCs w:val="28"/>
        </w:rPr>
      </w:pPr>
      <w:r>
        <w:rPr>
          <w:rFonts w:hint="eastAsia" w:ascii="宋体" w:hAnsi="宋体" w:cs="宋体"/>
          <w:b/>
          <w:bCs/>
          <w:sz w:val="28"/>
          <w:szCs w:val="28"/>
        </w:rPr>
        <w:t>合同转包</w:t>
      </w:r>
    </w:p>
    <w:p>
      <w:pPr>
        <w:spacing w:line="360" w:lineRule="auto"/>
        <w:ind w:firstLine="560" w:firstLineChars="200"/>
        <w:rPr>
          <w:rFonts w:ascii="宋体" w:hAnsi="宋体" w:cs="宋体"/>
          <w:sz w:val="28"/>
          <w:szCs w:val="28"/>
        </w:rPr>
      </w:pPr>
      <w:r>
        <w:rPr>
          <w:rFonts w:hint="eastAsia" w:ascii="宋体" w:hAnsi="宋体" w:cs="宋体"/>
          <w:sz w:val="28"/>
          <w:szCs w:val="28"/>
        </w:rPr>
        <w:t xml:space="preserve">一、严禁中标投标人将本项目转包。本项目所称转包，是指将本项目转给他人或者将本项目全部肢解以后以分包的名义分别转给他人的行为。 </w:t>
      </w:r>
    </w:p>
    <w:p>
      <w:pPr>
        <w:spacing w:line="360" w:lineRule="auto"/>
        <w:ind w:firstLine="495"/>
        <w:rPr>
          <w:rFonts w:ascii="宋体" w:hAnsi="宋体" w:cs="宋体"/>
          <w:sz w:val="28"/>
          <w:szCs w:val="28"/>
        </w:rPr>
      </w:pPr>
      <w:r>
        <w:rPr>
          <w:rFonts w:hint="eastAsia" w:ascii="宋体" w:hAnsi="宋体" w:cs="宋体"/>
          <w:sz w:val="28"/>
          <w:szCs w:val="28"/>
        </w:rPr>
        <w:t>二、中标投标人转包的，视同拒绝履行政府采购合同，将依法追究法律责任。</w:t>
      </w:r>
    </w:p>
    <w:p>
      <w:pPr>
        <w:keepNext/>
        <w:keepLines/>
        <w:numPr>
          <w:ilvl w:val="2"/>
          <w:numId w:val="2"/>
        </w:numPr>
        <w:spacing w:before="240" w:line="360" w:lineRule="auto"/>
        <w:ind w:left="0" w:firstLine="0"/>
        <w:outlineLvl w:val="2"/>
        <w:rPr>
          <w:rFonts w:ascii="宋体" w:hAnsi="宋体" w:cs="宋体"/>
          <w:b/>
          <w:bCs/>
          <w:sz w:val="28"/>
          <w:szCs w:val="28"/>
        </w:rPr>
      </w:pPr>
      <w:bookmarkStart w:id="101" w:name="_Toc217446067"/>
      <w:r>
        <w:rPr>
          <w:rFonts w:hint="eastAsia" w:ascii="宋体" w:hAnsi="宋体" w:cs="宋体"/>
          <w:b/>
          <w:bCs/>
          <w:sz w:val="28"/>
          <w:szCs w:val="28"/>
        </w:rPr>
        <w:t>采购人增加合同标的的权</w:t>
      </w:r>
      <w:bookmarkEnd w:id="101"/>
      <w:r>
        <w:rPr>
          <w:rFonts w:hint="eastAsia" w:ascii="宋体" w:hAnsi="宋体" w:cs="宋体"/>
          <w:b/>
          <w:bCs/>
          <w:sz w:val="28"/>
          <w:szCs w:val="28"/>
        </w:rPr>
        <w:t>利</w:t>
      </w:r>
    </w:p>
    <w:p>
      <w:pPr>
        <w:spacing w:after="180" w:line="360" w:lineRule="auto"/>
        <w:ind w:firstLine="560" w:firstLineChars="200"/>
        <w:rPr>
          <w:rFonts w:ascii="宋体" w:hAnsi="宋体" w:cs="宋体"/>
          <w:sz w:val="28"/>
          <w:szCs w:val="28"/>
        </w:rPr>
      </w:pPr>
      <w:r>
        <w:rPr>
          <w:rFonts w:hint="eastAsia" w:ascii="宋体" w:hAnsi="宋体" w:cs="宋体"/>
          <w:sz w:val="28"/>
          <w:szCs w:val="28"/>
        </w:rPr>
        <w:t>采购合同履行过程中，采购人需要追加与合同标的相同的货物或者服务的，在不改变合同其他条款的前提下，可以与中标人协商签订补充合同，但所有补充合同的采购金额不得超过原合同采购金额的百分之十。</w:t>
      </w:r>
    </w:p>
    <w:p>
      <w:pPr>
        <w:keepNext/>
        <w:keepLines/>
        <w:numPr>
          <w:ilvl w:val="2"/>
          <w:numId w:val="2"/>
        </w:numPr>
        <w:spacing w:line="360" w:lineRule="auto"/>
        <w:ind w:left="0" w:firstLine="0"/>
        <w:outlineLvl w:val="2"/>
        <w:rPr>
          <w:rFonts w:ascii="宋体" w:hAnsi="宋体" w:cs="宋体"/>
          <w:b/>
          <w:bCs/>
          <w:sz w:val="28"/>
          <w:szCs w:val="28"/>
        </w:rPr>
      </w:pPr>
      <w:bookmarkStart w:id="102" w:name="_Toc217446068"/>
      <w:r>
        <w:rPr>
          <w:rFonts w:hint="eastAsia" w:ascii="宋体" w:hAnsi="宋体" w:cs="宋体"/>
          <w:b/>
          <w:bCs/>
          <w:sz w:val="28"/>
          <w:szCs w:val="28"/>
        </w:rPr>
        <w:t>履约保证金</w:t>
      </w:r>
      <w:bookmarkEnd w:id="102"/>
    </w:p>
    <w:p>
      <w:pPr>
        <w:spacing w:line="360" w:lineRule="auto"/>
        <w:ind w:firstLine="495"/>
        <w:rPr>
          <w:rFonts w:ascii="宋体" w:hAnsi="宋体" w:cs="宋体"/>
          <w:sz w:val="28"/>
          <w:szCs w:val="28"/>
        </w:rPr>
      </w:pPr>
      <w:r>
        <w:rPr>
          <w:rFonts w:hint="eastAsia" w:ascii="宋体" w:hAnsi="宋体" w:cs="宋体"/>
          <w:sz w:val="28"/>
          <w:szCs w:val="28"/>
        </w:rPr>
        <w:t>本项目</w:t>
      </w:r>
      <w:r>
        <w:rPr>
          <w:rFonts w:hint="eastAsia" w:ascii="宋体" w:hAnsi="宋体" w:cs="宋体"/>
          <w:b/>
          <w:bCs/>
          <w:sz w:val="28"/>
          <w:szCs w:val="28"/>
        </w:rPr>
        <w:t>不收取</w:t>
      </w:r>
      <w:r>
        <w:rPr>
          <w:rFonts w:hint="eastAsia" w:ascii="宋体" w:hAnsi="宋体" w:cs="宋体"/>
          <w:sz w:val="28"/>
          <w:szCs w:val="28"/>
        </w:rPr>
        <w:t>履约保证金。</w:t>
      </w:r>
    </w:p>
    <w:p>
      <w:pPr>
        <w:keepNext/>
        <w:keepLines/>
        <w:numPr>
          <w:ilvl w:val="2"/>
          <w:numId w:val="2"/>
        </w:numPr>
        <w:spacing w:line="360" w:lineRule="auto"/>
        <w:ind w:left="0" w:firstLine="0"/>
        <w:outlineLvl w:val="2"/>
        <w:rPr>
          <w:rFonts w:ascii="宋体" w:hAnsi="宋体" w:cs="宋体"/>
          <w:b/>
          <w:bCs/>
          <w:sz w:val="28"/>
          <w:szCs w:val="28"/>
        </w:rPr>
      </w:pPr>
      <w:bookmarkStart w:id="103" w:name="_Toc217446069"/>
      <w:r>
        <w:rPr>
          <w:rFonts w:hint="eastAsia" w:ascii="宋体" w:hAnsi="宋体" w:cs="宋体"/>
          <w:b/>
          <w:bCs/>
          <w:sz w:val="28"/>
          <w:szCs w:val="28"/>
        </w:rPr>
        <w:t>合同公告</w:t>
      </w:r>
    </w:p>
    <w:p>
      <w:pPr>
        <w:spacing w:after="180" w:line="360" w:lineRule="auto"/>
        <w:ind w:firstLine="560" w:firstLineChars="200"/>
        <w:rPr>
          <w:rFonts w:ascii="宋体" w:hAnsi="宋体" w:cs="宋体"/>
          <w:sz w:val="28"/>
          <w:szCs w:val="28"/>
        </w:rPr>
      </w:pPr>
      <w:r>
        <w:rPr>
          <w:rFonts w:hint="eastAsia" w:ascii="宋体" w:hAnsi="宋体" w:cs="宋体"/>
          <w:sz w:val="28"/>
          <w:szCs w:val="28"/>
        </w:rPr>
        <w:t>采购人应当自政府采购合同签订之日起2个工作日内，在四川政府采购网公告，但政府采购合同中涉及国家秘密、商业秘密的内容除外。</w:t>
      </w:r>
    </w:p>
    <w:p>
      <w:pPr>
        <w:keepNext/>
        <w:keepLines/>
        <w:numPr>
          <w:ilvl w:val="2"/>
          <w:numId w:val="2"/>
        </w:numPr>
        <w:spacing w:line="360" w:lineRule="auto"/>
        <w:ind w:left="0" w:firstLine="0"/>
        <w:outlineLvl w:val="2"/>
        <w:rPr>
          <w:rFonts w:ascii="宋体" w:hAnsi="宋体" w:cs="宋体"/>
          <w:b/>
          <w:bCs/>
          <w:sz w:val="28"/>
          <w:szCs w:val="28"/>
        </w:rPr>
      </w:pPr>
      <w:r>
        <w:rPr>
          <w:rFonts w:hint="eastAsia" w:ascii="宋体" w:hAnsi="宋体" w:cs="宋体"/>
          <w:b/>
          <w:bCs/>
          <w:sz w:val="28"/>
          <w:szCs w:val="28"/>
        </w:rPr>
        <w:t>合同备案</w:t>
      </w:r>
    </w:p>
    <w:p>
      <w:pPr>
        <w:pStyle w:val="6"/>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政府采购合同签订之日起2个工作日内，政府采购合同将在四川政府采购网公告；政府采购合同签订之日起七个工作日内，政府采购合同将向本采购项目同级财政部门，即成都市</w:t>
      </w:r>
      <w:r>
        <w:rPr>
          <w:rFonts w:hint="eastAsia" w:ascii="宋体" w:hAnsi="宋体" w:eastAsia="宋体" w:cs="宋体"/>
          <w:sz w:val="28"/>
          <w:szCs w:val="28"/>
          <w:lang w:val="zh-CN"/>
        </w:rPr>
        <w:t>双流区财政局备案。</w:t>
      </w:r>
    </w:p>
    <w:p>
      <w:pPr>
        <w:keepNext/>
        <w:keepLines/>
        <w:numPr>
          <w:ilvl w:val="2"/>
          <w:numId w:val="2"/>
        </w:numPr>
        <w:spacing w:line="360" w:lineRule="auto"/>
        <w:ind w:left="0" w:firstLine="0"/>
        <w:outlineLvl w:val="2"/>
        <w:rPr>
          <w:rFonts w:ascii="宋体" w:hAnsi="宋体" w:cs="宋体"/>
          <w:b/>
          <w:bCs/>
          <w:sz w:val="28"/>
          <w:szCs w:val="28"/>
        </w:rPr>
      </w:pPr>
      <w:r>
        <w:rPr>
          <w:rFonts w:hint="eastAsia" w:ascii="宋体" w:hAnsi="宋体" w:cs="宋体"/>
          <w:b/>
          <w:bCs/>
          <w:sz w:val="28"/>
          <w:szCs w:val="28"/>
        </w:rPr>
        <w:t>履行合同</w:t>
      </w:r>
      <w:bookmarkEnd w:id="103"/>
    </w:p>
    <w:p>
      <w:pPr>
        <w:tabs>
          <w:tab w:val="left" w:pos="1134"/>
        </w:tabs>
        <w:spacing w:line="360" w:lineRule="auto"/>
        <w:ind w:firstLine="560" w:firstLineChars="200"/>
        <w:rPr>
          <w:rFonts w:ascii="宋体" w:hAnsi="宋体" w:cs="宋体"/>
          <w:sz w:val="28"/>
          <w:szCs w:val="28"/>
        </w:rPr>
      </w:pPr>
      <w:r>
        <w:rPr>
          <w:rFonts w:hint="eastAsia" w:ascii="宋体" w:hAnsi="宋体" w:cs="宋体"/>
          <w:sz w:val="28"/>
          <w:szCs w:val="28"/>
        </w:rPr>
        <w:t>一、合同一经签订，双方应严格履行合同规定的义务。</w:t>
      </w:r>
    </w:p>
    <w:p>
      <w:pPr>
        <w:tabs>
          <w:tab w:val="left" w:pos="1134"/>
        </w:tabs>
        <w:spacing w:line="360" w:lineRule="auto"/>
        <w:ind w:firstLine="560" w:firstLineChars="200"/>
        <w:rPr>
          <w:rFonts w:ascii="宋体" w:hAnsi="宋体" w:cs="宋体"/>
          <w:sz w:val="28"/>
          <w:szCs w:val="28"/>
        </w:rPr>
      </w:pPr>
      <w:r>
        <w:rPr>
          <w:rFonts w:hint="eastAsia" w:ascii="宋体" w:hAnsi="宋体" w:cs="宋体"/>
          <w:sz w:val="28"/>
          <w:szCs w:val="28"/>
        </w:rPr>
        <w:t>二、在合同履行过程中，如发生合同纠纷，合同双方应按照《中华人民共和国民法典》及合同条款的有关规定进行处理。</w:t>
      </w:r>
    </w:p>
    <w:p>
      <w:pPr>
        <w:keepNext/>
        <w:keepLines/>
        <w:numPr>
          <w:ilvl w:val="2"/>
          <w:numId w:val="2"/>
        </w:numPr>
        <w:spacing w:line="360" w:lineRule="auto"/>
        <w:ind w:left="0" w:firstLine="0"/>
        <w:outlineLvl w:val="2"/>
        <w:rPr>
          <w:rFonts w:ascii="宋体" w:hAnsi="宋体" w:cs="宋体"/>
          <w:b/>
          <w:bCs/>
          <w:sz w:val="28"/>
          <w:szCs w:val="28"/>
        </w:rPr>
      </w:pPr>
      <w:bookmarkStart w:id="104" w:name="_Toc217446070"/>
      <w:r>
        <w:rPr>
          <w:rFonts w:hint="eastAsia" w:ascii="宋体" w:hAnsi="宋体" w:cs="宋体"/>
          <w:b/>
          <w:bCs/>
          <w:sz w:val="28"/>
          <w:szCs w:val="28"/>
        </w:rPr>
        <w:t>验收</w:t>
      </w:r>
      <w:bookmarkEnd w:id="104"/>
      <w:r>
        <w:rPr>
          <w:rFonts w:hint="eastAsia" w:ascii="宋体" w:hAnsi="宋体" w:cs="宋体"/>
          <w:b/>
          <w:bCs/>
          <w:sz w:val="28"/>
          <w:szCs w:val="28"/>
        </w:rPr>
        <w:t>或考核</w:t>
      </w:r>
    </w:p>
    <w:bookmarkEnd w:id="95"/>
    <w:bookmarkEnd w:id="96"/>
    <w:p>
      <w:pPr>
        <w:spacing w:line="360" w:lineRule="auto"/>
        <w:ind w:firstLine="560" w:firstLineChars="200"/>
        <w:rPr>
          <w:rFonts w:ascii="宋体" w:hAnsi="宋体" w:cs="宋体"/>
          <w:sz w:val="28"/>
          <w:szCs w:val="28"/>
        </w:rPr>
      </w:pPr>
      <w:bookmarkStart w:id="105" w:name="_Toc217446074"/>
      <w:bookmarkStart w:id="106" w:name="_Toc183682380"/>
      <w:bookmarkStart w:id="107" w:name="_Toc183582243"/>
      <w:r>
        <w:rPr>
          <w:rFonts w:hint="eastAsia" w:ascii="宋体" w:hAnsi="宋体" w:cs="宋体"/>
          <w:sz w:val="28"/>
          <w:szCs w:val="28"/>
        </w:rPr>
        <w:t>采购人严格按照国家相关法律法规及合同条款的要求组织验收或考核。</w:t>
      </w:r>
    </w:p>
    <w:p>
      <w:pPr>
        <w:keepNext/>
        <w:keepLines/>
        <w:numPr>
          <w:ilvl w:val="2"/>
          <w:numId w:val="2"/>
        </w:numPr>
        <w:spacing w:line="360" w:lineRule="auto"/>
        <w:ind w:left="0" w:firstLine="0"/>
        <w:outlineLvl w:val="2"/>
        <w:rPr>
          <w:rFonts w:ascii="宋体" w:hAnsi="宋体" w:cs="宋体"/>
          <w:b/>
          <w:bCs/>
          <w:sz w:val="28"/>
          <w:szCs w:val="28"/>
        </w:rPr>
      </w:pPr>
      <w:r>
        <w:rPr>
          <w:rFonts w:hint="eastAsia" w:ascii="宋体" w:hAnsi="宋体" w:cs="宋体"/>
          <w:b/>
          <w:bCs/>
          <w:sz w:val="28"/>
          <w:szCs w:val="28"/>
        </w:rPr>
        <w:t>资金支付</w:t>
      </w:r>
    </w:p>
    <w:p>
      <w:pPr>
        <w:spacing w:line="360" w:lineRule="auto"/>
        <w:ind w:firstLine="570"/>
        <w:rPr>
          <w:rFonts w:ascii="宋体" w:hAnsi="宋体" w:cs="宋体"/>
          <w:sz w:val="28"/>
          <w:szCs w:val="28"/>
        </w:rPr>
      </w:pPr>
      <w:r>
        <w:rPr>
          <w:rFonts w:hint="eastAsia" w:ascii="宋体" w:hAnsi="宋体" w:cs="宋体"/>
          <w:sz w:val="28"/>
          <w:szCs w:val="28"/>
        </w:rPr>
        <w:t>采购人按财政部门的相关规定及采购合同的约定进行支付。</w:t>
      </w:r>
    </w:p>
    <w:p>
      <w:pPr>
        <w:keepNext/>
        <w:keepLines/>
        <w:numPr>
          <w:ilvl w:val="1"/>
          <w:numId w:val="2"/>
        </w:numPr>
        <w:spacing w:line="360" w:lineRule="auto"/>
        <w:jc w:val="left"/>
        <w:outlineLvl w:val="1"/>
        <w:rPr>
          <w:rFonts w:ascii="宋体" w:hAnsi="宋体" w:cs="宋体"/>
          <w:b/>
          <w:bCs/>
          <w:sz w:val="28"/>
          <w:szCs w:val="28"/>
        </w:rPr>
      </w:pPr>
      <w:bookmarkStart w:id="108" w:name="_Toc15549"/>
      <w:r>
        <w:rPr>
          <w:rFonts w:hint="eastAsia" w:ascii="宋体" w:hAnsi="宋体" w:cs="宋体"/>
          <w:b/>
          <w:bCs/>
          <w:sz w:val="28"/>
          <w:szCs w:val="28"/>
        </w:rPr>
        <w:t>投标纪律要求</w:t>
      </w:r>
      <w:bookmarkEnd w:id="105"/>
      <w:bookmarkEnd w:id="108"/>
    </w:p>
    <w:p>
      <w:pPr>
        <w:keepNext/>
        <w:keepLines/>
        <w:numPr>
          <w:ilvl w:val="2"/>
          <w:numId w:val="2"/>
        </w:numPr>
        <w:spacing w:line="360" w:lineRule="auto"/>
        <w:ind w:left="0" w:firstLine="0"/>
        <w:outlineLvl w:val="2"/>
        <w:rPr>
          <w:rFonts w:ascii="宋体" w:hAnsi="宋体" w:cs="宋体"/>
          <w:b/>
          <w:bCs/>
          <w:sz w:val="28"/>
          <w:szCs w:val="28"/>
        </w:rPr>
      </w:pPr>
      <w:bookmarkStart w:id="109" w:name="_Toc217446075"/>
      <w:r>
        <w:rPr>
          <w:rFonts w:hint="eastAsia" w:ascii="宋体" w:hAnsi="宋体" w:cs="宋体"/>
          <w:b/>
          <w:bCs/>
          <w:sz w:val="28"/>
          <w:szCs w:val="28"/>
        </w:rPr>
        <w:t>投标人不得具有的情形</w:t>
      </w:r>
      <w:bookmarkEnd w:id="109"/>
    </w:p>
    <w:p>
      <w:pPr>
        <w:numPr>
          <w:ilvl w:val="0"/>
          <w:numId w:val="31"/>
        </w:numPr>
        <w:spacing w:after="180" w:line="360" w:lineRule="auto"/>
        <w:ind w:firstLine="567"/>
        <w:rPr>
          <w:rFonts w:ascii="宋体" w:hAnsi="宋体" w:cs="宋体"/>
          <w:sz w:val="28"/>
          <w:szCs w:val="28"/>
        </w:rPr>
      </w:pPr>
      <w:r>
        <w:rPr>
          <w:rFonts w:hint="eastAsia" w:ascii="宋体" w:hAnsi="宋体" w:cs="宋体"/>
          <w:sz w:val="28"/>
          <w:szCs w:val="28"/>
        </w:rPr>
        <w:t>投标人参加投标不得有下列情形：</w:t>
      </w:r>
    </w:p>
    <w:p>
      <w:pPr>
        <w:spacing w:after="180" w:line="360" w:lineRule="auto"/>
        <w:ind w:firstLine="560" w:firstLineChars="200"/>
        <w:rPr>
          <w:rFonts w:ascii="宋体" w:hAnsi="宋体" w:cs="宋体"/>
          <w:sz w:val="28"/>
          <w:szCs w:val="28"/>
        </w:rPr>
      </w:pPr>
      <w:r>
        <w:rPr>
          <w:rFonts w:hint="eastAsia" w:ascii="宋体" w:hAnsi="宋体" w:cs="宋体"/>
          <w:sz w:val="28"/>
          <w:szCs w:val="28"/>
        </w:rPr>
        <w:t>（一）有下列情形之一的，视为投标人串通投标：</w:t>
      </w:r>
    </w:p>
    <w:p>
      <w:pPr>
        <w:tabs>
          <w:tab w:val="left" w:pos="1134"/>
        </w:tabs>
        <w:spacing w:line="360" w:lineRule="auto"/>
        <w:ind w:firstLine="560" w:firstLineChars="200"/>
        <w:rPr>
          <w:rFonts w:ascii="宋体" w:hAnsi="宋体" w:cs="宋体"/>
          <w:sz w:val="28"/>
          <w:szCs w:val="28"/>
        </w:rPr>
      </w:pPr>
      <w:r>
        <w:rPr>
          <w:rFonts w:hint="eastAsia" w:ascii="宋体" w:hAnsi="宋体" w:cs="宋体"/>
          <w:sz w:val="28"/>
          <w:szCs w:val="28"/>
        </w:rPr>
        <w:t>1.不同投标人的投标文件由同一单位或者个人编制；</w:t>
      </w:r>
    </w:p>
    <w:p>
      <w:pPr>
        <w:tabs>
          <w:tab w:val="left" w:pos="1134"/>
        </w:tabs>
        <w:spacing w:line="360" w:lineRule="auto"/>
        <w:ind w:firstLine="560" w:firstLineChars="200"/>
        <w:rPr>
          <w:rFonts w:ascii="宋体" w:hAnsi="宋体" w:cs="宋体"/>
          <w:sz w:val="28"/>
          <w:szCs w:val="28"/>
        </w:rPr>
      </w:pPr>
      <w:r>
        <w:rPr>
          <w:rFonts w:hint="eastAsia" w:ascii="宋体" w:hAnsi="宋体" w:cs="宋体"/>
          <w:sz w:val="28"/>
          <w:szCs w:val="28"/>
        </w:rPr>
        <w:t>2.不同投标人委托同一单位或者个人办理投标事宜；</w:t>
      </w:r>
    </w:p>
    <w:p>
      <w:pPr>
        <w:tabs>
          <w:tab w:val="left" w:pos="1134"/>
        </w:tabs>
        <w:spacing w:line="360" w:lineRule="auto"/>
        <w:ind w:firstLine="560" w:firstLineChars="200"/>
        <w:rPr>
          <w:rFonts w:ascii="宋体" w:hAnsi="宋体" w:cs="宋体"/>
          <w:sz w:val="28"/>
          <w:szCs w:val="28"/>
        </w:rPr>
      </w:pPr>
      <w:r>
        <w:rPr>
          <w:rFonts w:hint="eastAsia" w:ascii="宋体" w:hAnsi="宋体" w:cs="宋体"/>
          <w:sz w:val="28"/>
          <w:szCs w:val="28"/>
        </w:rPr>
        <w:t>3.不同投标人的投标文件载明的项目管理成员或者联系人员为同一人；</w:t>
      </w:r>
    </w:p>
    <w:p>
      <w:pPr>
        <w:tabs>
          <w:tab w:val="left" w:pos="1134"/>
        </w:tabs>
        <w:spacing w:line="360" w:lineRule="auto"/>
        <w:ind w:firstLine="560" w:firstLineChars="200"/>
        <w:rPr>
          <w:rFonts w:ascii="宋体" w:hAnsi="宋体" w:cs="宋体"/>
          <w:sz w:val="28"/>
          <w:szCs w:val="28"/>
        </w:rPr>
      </w:pPr>
      <w:r>
        <w:rPr>
          <w:rFonts w:hint="eastAsia" w:ascii="宋体" w:hAnsi="宋体" w:cs="宋体"/>
          <w:sz w:val="28"/>
          <w:szCs w:val="28"/>
        </w:rPr>
        <w:t>4.不同投标人的投标文件异常一致或者投标报价呈规律性差异；</w:t>
      </w:r>
    </w:p>
    <w:p>
      <w:pPr>
        <w:tabs>
          <w:tab w:val="left" w:pos="1134"/>
        </w:tabs>
        <w:spacing w:line="360" w:lineRule="auto"/>
        <w:ind w:firstLine="560" w:firstLineChars="200"/>
        <w:rPr>
          <w:rFonts w:ascii="宋体" w:hAnsi="宋体" w:cs="宋体"/>
          <w:sz w:val="28"/>
          <w:szCs w:val="28"/>
        </w:rPr>
      </w:pPr>
      <w:r>
        <w:rPr>
          <w:rFonts w:hint="eastAsia" w:ascii="宋体" w:hAnsi="宋体" w:cs="宋体"/>
          <w:sz w:val="28"/>
          <w:szCs w:val="28"/>
        </w:rPr>
        <w:t>5.不同投标人的投标文件相互混装；</w:t>
      </w:r>
    </w:p>
    <w:p>
      <w:pPr>
        <w:tabs>
          <w:tab w:val="left" w:pos="1134"/>
        </w:tabs>
        <w:spacing w:line="360" w:lineRule="auto"/>
        <w:ind w:left="559" w:leftChars="266"/>
        <w:rPr>
          <w:rFonts w:ascii="宋体" w:hAnsi="宋体" w:cs="宋体"/>
          <w:sz w:val="28"/>
          <w:szCs w:val="28"/>
        </w:rPr>
      </w:pPr>
      <w:r>
        <w:rPr>
          <w:rFonts w:hint="eastAsia" w:ascii="宋体" w:hAnsi="宋体" w:cs="宋体"/>
          <w:sz w:val="28"/>
          <w:szCs w:val="28"/>
        </w:rPr>
        <w:t>6.不同投标人的投标保证金从同一单位或者个人的账户转出；（二）提供虚假材料谋取中标；</w:t>
      </w:r>
    </w:p>
    <w:p>
      <w:pPr>
        <w:tabs>
          <w:tab w:val="left" w:pos="1134"/>
        </w:tabs>
        <w:spacing w:line="360" w:lineRule="auto"/>
        <w:ind w:left="567"/>
        <w:rPr>
          <w:rFonts w:ascii="宋体" w:hAnsi="宋体" w:cs="宋体"/>
          <w:sz w:val="28"/>
          <w:szCs w:val="28"/>
        </w:rPr>
      </w:pPr>
      <w:r>
        <w:rPr>
          <w:rFonts w:hint="eastAsia" w:ascii="宋体" w:hAnsi="宋体" w:cs="宋体"/>
          <w:sz w:val="28"/>
          <w:szCs w:val="28"/>
        </w:rPr>
        <w:t>（三）采取不正当手段诋毁、排挤其他投标人；</w:t>
      </w:r>
    </w:p>
    <w:p>
      <w:pPr>
        <w:tabs>
          <w:tab w:val="left" w:pos="1134"/>
        </w:tabs>
        <w:spacing w:line="360" w:lineRule="auto"/>
        <w:ind w:left="567"/>
        <w:rPr>
          <w:rFonts w:ascii="宋体" w:hAnsi="宋体" w:cs="宋体"/>
          <w:sz w:val="28"/>
          <w:szCs w:val="28"/>
        </w:rPr>
      </w:pPr>
      <w:r>
        <w:rPr>
          <w:rFonts w:hint="eastAsia" w:ascii="宋体" w:hAnsi="宋体" w:cs="宋体"/>
          <w:sz w:val="28"/>
          <w:szCs w:val="28"/>
        </w:rPr>
        <w:t>（四）与采购人或区公资交易中心、其他投标人恶意串通；</w:t>
      </w:r>
    </w:p>
    <w:p>
      <w:pPr>
        <w:tabs>
          <w:tab w:val="left" w:pos="1134"/>
        </w:tabs>
        <w:spacing w:line="360" w:lineRule="auto"/>
        <w:ind w:left="567"/>
        <w:rPr>
          <w:rFonts w:ascii="宋体" w:hAnsi="宋体" w:cs="宋体"/>
          <w:sz w:val="28"/>
          <w:szCs w:val="28"/>
        </w:rPr>
      </w:pPr>
      <w:r>
        <w:rPr>
          <w:rFonts w:hint="eastAsia" w:ascii="宋体" w:hAnsi="宋体" w:cs="宋体"/>
          <w:sz w:val="28"/>
          <w:szCs w:val="28"/>
        </w:rPr>
        <w:t>（五）向采购人或区公资交易中心、评标委员会成员行贿或者提供其他不正当利益；</w:t>
      </w:r>
    </w:p>
    <w:p>
      <w:pPr>
        <w:tabs>
          <w:tab w:val="left" w:pos="1134"/>
        </w:tabs>
        <w:spacing w:line="360" w:lineRule="auto"/>
        <w:ind w:left="567"/>
        <w:rPr>
          <w:rFonts w:ascii="宋体" w:hAnsi="宋体" w:cs="宋体"/>
          <w:sz w:val="28"/>
          <w:szCs w:val="28"/>
        </w:rPr>
      </w:pPr>
      <w:r>
        <w:rPr>
          <w:rFonts w:hint="eastAsia" w:ascii="宋体" w:hAnsi="宋体" w:cs="宋体"/>
          <w:sz w:val="28"/>
          <w:szCs w:val="28"/>
        </w:rPr>
        <w:t>（六）在招标过程中与采购人或区公资交易中心进行协商谈判；</w:t>
      </w:r>
    </w:p>
    <w:p>
      <w:pPr>
        <w:tabs>
          <w:tab w:val="left" w:pos="1134"/>
        </w:tabs>
        <w:spacing w:line="360" w:lineRule="auto"/>
        <w:ind w:firstLine="560" w:firstLineChars="200"/>
        <w:rPr>
          <w:rFonts w:ascii="宋体" w:hAnsi="宋体" w:cs="宋体"/>
          <w:sz w:val="28"/>
          <w:szCs w:val="28"/>
        </w:rPr>
      </w:pPr>
      <w:r>
        <w:rPr>
          <w:rFonts w:hint="eastAsia" w:ascii="宋体" w:hAnsi="宋体" w:cs="宋体"/>
          <w:sz w:val="28"/>
          <w:szCs w:val="28"/>
        </w:rPr>
        <w:t>（七）中标后无正当理由拒不与采购人签订政府采购合同；</w:t>
      </w:r>
    </w:p>
    <w:p>
      <w:pPr>
        <w:tabs>
          <w:tab w:val="left" w:pos="1134"/>
        </w:tabs>
        <w:spacing w:line="360" w:lineRule="auto"/>
        <w:ind w:left="567"/>
        <w:rPr>
          <w:rFonts w:ascii="宋体" w:hAnsi="宋体" w:cs="宋体"/>
          <w:sz w:val="28"/>
          <w:szCs w:val="28"/>
        </w:rPr>
      </w:pPr>
      <w:r>
        <w:rPr>
          <w:rFonts w:hint="eastAsia" w:ascii="宋体" w:hAnsi="宋体" w:cs="宋体"/>
          <w:sz w:val="28"/>
          <w:szCs w:val="28"/>
        </w:rPr>
        <w:t>（八）未按照采购文件确定的事项签订政府采购合同；</w:t>
      </w:r>
    </w:p>
    <w:p>
      <w:pPr>
        <w:tabs>
          <w:tab w:val="left" w:pos="1134"/>
        </w:tabs>
        <w:spacing w:line="360" w:lineRule="auto"/>
        <w:ind w:left="567"/>
        <w:rPr>
          <w:rFonts w:ascii="宋体" w:hAnsi="宋体" w:cs="宋体"/>
          <w:sz w:val="28"/>
          <w:szCs w:val="28"/>
        </w:rPr>
      </w:pPr>
      <w:r>
        <w:rPr>
          <w:rFonts w:hint="eastAsia" w:ascii="宋体" w:hAnsi="宋体" w:cs="宋体"/>
          <w:sz w:val="28"/>
          <w:szCs w:val="28"/>
        </w:rPr>
        <w:t>（九）将政府采购合同转包或者违规分包；</w:t>
      </w:r>
    </w:p>
    <w:p>
      <w:pPr>
        <w:tabs>
          <w:tab w:val="left" w:pos="1134"/>
        </w:tabs>
        <w:spacing w:line="360" w:lineRule="auto"/>
        <w:ind w:left="567"/>
        <w:rPr>
          <w:rFonts w:ascii="宋体" w:hAnsi="宋体" w:cs="宋体"/>
          <w:sz w:val="28"/>
          <w:szCs w:val="28"/>
        </w:rPr>
      </w:pPr>
      <w:r>
        <w:rPr>
          <w:rFonts w:hint="eastAsia" w:ascii="宋体" w:hAnsi="宋体" w:cs="宋体"/>
          <w:sz w:val="28"/>
          <w:szCs w:val="28"/>
        </w:rPr>
        <w:t>（十）提供假冒伪劣产品；</w:t>
      </w:r>
    </w:p>
    <w:p>
      <w:pPr>
        <w:tabs>
          <w:tab w:val="left" w:pos="1134"/>
          <w:tab w:val="left" w:pos="1418"/>
        </w:tabs>
        <w:spacing w:line="360" w:lineRule="auto"/>
        <w:ind w:left="567"/>
        <w:rPr>
          <w:rFonts w:ascii="宋体" w:hAnsi="宋体" w:cs="宋体"/>
          <w:sz w:val="28"/>
          <w:szCs w:val="28"/>
        </w:rPr>
      </w:pPr>
      <w:r>
        <w:rPr>
          <w:rFonts w:hint="eastAsia" w:ascii="宋体" w:hAnsi="宋体" w:cs="宋体"/>
          <w:sz w:val="28"/>
          <w:szCs w:val="28"/>
        </w:rPr>
        <w:t>（十一）擅自变更、中止或者终止政府采购合同；</w:t>
      </w:r>
    </w:p>
    <w:p>
      <w:pPr>
        <w:tabs>
          <w:tab w:val="left" w:pos="1134"/>
        </w:tabs>
        <w:spacing w:line="360" w:lineRule="auto"/>
        <w:ind w:firstLine="560" w:firstLineChars="200"/>
        <w:rPr>
          <w:rFonts w:ascii="宋体" w:hAnsi="宋体" w:cs="宋体"/>
          <w:sz w:val="28"/>
          <w:szCs w:val="28"/>
        </w:rPr>
      </w:pPr>
      <w:r>
        <w:rPr>
          <w:rFonts w:hint="eastAsia" w:ascii="宋体" w:hAnsi="宋体" w:cs="宋体"/>
          <w:sz w:val="28"/>
          <w:szCs w:val="28"/>
        </w:rPr>
        <w:t>（十二）被列入失信被执行人、重大税收违法案件当事人名单、政府采购严重违法失信行为记录名单。参加政府采购活动前三年内，在经营活动中有重大违法记录；</w:t>
      </w:r>
    </w:p>
    <w:p>
      <w:pPr>
        <w:tabs>
          <w:tab w:val="left" w:pos="1134"/>
        </w:tabs>
        <w:spacing w:line="360" w:lineRule="auto"/>
        <w:ind w:firstLine="560" w:firstLineChars="200"/>
        <w:rPr>
          <w:rFonts w:ascii="宋体" w:hAnsi="宋体" w:cs="宋体"/>
          <w:sz w:val="28"/>
          <w:szCs w:val="28"/>
        </w:rPr>
      </w:pPr>
      <w:r>
        <w:rPr>
          <w:rFonts w:hint="eastAsia" w:ascii="宋体" w:hAnsi="宋体" w:cs="宋体"/>
          <w:sz w:val="28"/>
          <w:szCs w:val="28"/>
        </w:rPr>
        <w:t>（十三）在行贿犯罪信息查询期限内，根据中国裁判文书网（https://wenshu.court.gov.cn）查询结果投标人及其现任法定代表人、主要负责人有行贿犯罪记录；</w:t>
      </w:r>
    </w:p>
    <w:p>
      <w:pPr>
        <w:tabs>
          <w:tab w:val="left" w:pos="1134"/>
        </w:tabs>
        <w:spacing w:line="360" w:lineRule="auto"/>
        <w:ind w:firstLine="560" w:firstLineChars="200"/>
        <w:rPr>
          <w:rFonts w:ascii="宋体" w:hAnsi="宋体" w:cs="宋体"/>
          <w:sz w:val="28"/>
          <w:szCs w:val="28"/>
        </w:rPr>
      </w:pPr>
      <w:r>
        <w:rPr>
          <w:rFonts w:hint="eastAsia" w:ascii="宋体" w:hAnsi="宋体" w:cs="宋体"/>
          <w:sz w:val="28"/>
          <w:szCs w:val="28"/>
        </w:rPr>
        <w:t>（十四）处于被行政部门禁止参与政府采购活动的期限内；</w:t>
      </w:r>
    </w:p>
    <w:p>
      <w:pPr>
        <w:tabs>
          <w:tab w:val="left" w:pos="1134"/>
        </w:tabs>
        <w:spacing w:line="360" w:lineRule="auto"/>
        <w:ind w:left="567"/>
        <w:rPr>
          <w:rFonts w:ascii="宋体" w:hAnsi="宋体" w:cs="宋体"/>
          <w:sz w:val="28"/>
          <w:szCs w:val="28"/>
        </w:rPr>
      </w:pPr>
      <w:r>
        <w:rPr>
          <w:rFonts w:hint="eastAsia" w:ascii="宋体" w:hAnsi="宋体" w:cs="宋体"/>
          <w:sz w:val="28"/>
          <w:szCs w:val="28"/>
        </w:rPr>
        <w:t>（十五）拒绝有关部门的监督检查或者向监督检查部门提供虚假情况；</w:t>
      </w:r>
    </w:p>
    <w:p>
      <w:pPr>
        <w:spacing w:after="180" w:line="360" w:lineRule="auto"/>
        <w:ind w:firstLine="565" w:firstLineChars="202"/>
        <w:rPr>
          <w:rFonts w:ascii="宋体" w:hAnsi="宋体" w:cs="宋体"/>
          <w:sz w:val="28"/>
          <w:szCs w:val="28"/>
        </w:rPr>
      </w:pPr>
      <w:r>
        <w:rPr>
          <w:rFonts w:hint="eastAsia" w:ascii="宋体" w:hAnsi="宋体" w:cs="宋体"/>
          <w:sz w:val="28"/>
          <w:szCs w:val="28"/>
        </w:rPr>
        <w:t>（十六）法律法规规定的其他情形。</w:t>
      </w:r>
    </w:p>
    <w:p>
      <w:pPr>
        <w:spacing w:after="180" w:line="360" w:lineRule="auto"/>
        <w:ind w:firstLine="568" w:firstLineChars="202"/>
        <w:rPr>
          <w:rFonts w:ascii="宋体" w:hAnsi="宋体" w:cs="宋体"/>
          <w:b/>
          <w:sz w:val="28"/>
          <w:szCs w:val="28"/>
        </w:rPr>
      </w:pPr>
      <w:r>
        <w:rPr>
          <w:rFonts w:hint="eastAsia" w:ascii="宋体" w:hAnsi="宋体" w:cs="宋体"/>
          <w:b/>
          <w:sz w:val="28"/>
          <w:szCs w:val="28"/>
        </w:rPr>
        <w:t>投标人有上述情形的，按照规定追究法律责任，具备一至十四条情形之一的，同时将认定投标人投标无效或不确定其为中标人，或者取消中标资格或认定中标无效。</w:t>
      </w:r>
    </w:p>
    <w:p>
      <w:pPr>
        <w:keepNext/>
        <w:keepLines/>
        <w:numPr>
          <w:ilvl w:val="2"/>
          <w:numId w:val="2"/>
        </w:numPr>
        <w:spacing w:line="360" w:lineRule="auto"/>
        <w:ind w:left="0" w:firstLine="0"/>
        <w:outlineLvl w:val="2"/>
        <w:rPr>
          <w:rFonts w:ascii="宋体" w:hAnsi="宋体" w:cs="宋体"/>
          <w:b/>
          <w:bCs/>
          <w:sz w:val="28"/>
          <w:szCs w:val="28"/>
        </w:rPr>
      </w:pPr>
      <w:bookmarkStart w:id="110" w:name="_Toc314574786"/>
      <w:r>
        <w:rPr>
          <w:rFonts w:hint="eastAsia" w:ascii="宋体" w:hAnsi="宋体" w:cs="宋体"/>
          <w:b/>
          <w:bCs/>
          <w:sz w:val="28"/>
          <w:szCs w:val="28"/>
        </w:rPr>
        <w:t>保密</w:t>
      </w:r>
      <w:bookmarkEnd w:id="110"/>
    </w:p>
    <w:p>
      <w:pPr>
        <w:numPr>
          <w:ilvl w:val="0"/>
          <w:numId w:val="32"/>
        </w:numPr>
        <w:tabs>
          <w:tab w:val="left" w:pos="0"/>
          <w:tab w:val="left" w:pos="1134"/>
        </w:tabs>
        <w:spacing w:line="360" w:lineRule="auto"/>
        <w:ind w:left="0" w:firstLine="567"/>
        <w:rPr>
          <w:rFonts w:ascii="宋体" w:hAnsi="宋体" w:cs="宋体"/>
          <w:sz w:val="28"/>
          <w:szCs w:val="28"/>
        </w:rPr>
      </w:pPr>
      <w:r>
        <w:rPr>
          <w:rFonts w:hint="eastAsia" w:ascii="宋体" w:hAnsi="宋体" w:cs="宋体"/>
          <w:sz w:val="28"/>
          <w:szCs w:val="28"/>
        </w:rPr>
        <w:t>不得透露有关在系统中成功提交《采购文件获取登记表》的潜在投标人的任何情况。</w:t>
      </w:r>
    </w:p>
    <w:p>
      <w:pPr>
        <w:numPr>
          <w:ilvl w:val="0"/>
          <w:numId w:val="32"/>
        </w:numPr>
        <w:tabs>
          <w:tab w:val="left" w:pos="0"/>
          <w:tab w:val="left" w:pos="1134"/>
        </w:tabs>
        <w:spacing w:line="360" w:lineRule="auto"/>
        <w:ind w:left="0" w:firstLine="567"/>
        <w:rPr>
          <w:rFonts w:ascii="宋体" w:hAnsi="宋体" w:cs="宋体"/>
          <w:sz w:val="28"/>
          <w:szCs w:val="28"/>
        </w:rPr>
      </w:pPr>
      <w:r>
        <w:rPr>
          <w:rFonts w:hint="eastAsia" w:ascii="宋体" w:hAnsi="宋体" w:cs="宋体"/>
          <w:sz w:val="28"/>
          <w:szCs w:val="28"/>
        </w:rPr>
        <w:t>有关投标文件的审查、澄清、评估和比较以及合同授予意向等情况都不得对外透露。</w:t>
      </w:r>
    </w:p>
    <w:p>
      <w:pPr>
        <w:keepNext/>
        <w:keepLines/>
        <w:numPr>
          <w:ilvl w:val="2"/>
          <w:numId w:val="2"/>
        </w:numPr>
        <w:spacing w:line="360" w:lineRule="auto"/>
        <w:ind w:left="0" w:firstLine="0"/>
        <w:outlineLvl w:val="2"/>
        <w:rPr>
          <w:rFonts w:ascii="宋体" w:hAnsi="宋体" w:cs="宋体"/>
          <w:b/>
          <w:bCs/>
          <w:sz w:val="28"/>
          <w:szCs w:val="28"/>
        </w:rPr>
      </w:pPr>
      <w:r>
        <w:rPr>
          <w:rFonts w:hint="eastAsia" w:ascii="宋体" w:hAnsi="宋体" w:cs="宋体"/>
          <w:b/>
          <w:bCs/>
          <w:sz w:val="28"/>
          <w:szCs w:val="28"/>
        </w:rPr>
        <w:t>回避</w:t>
      </w:r>
    </w:p>
    <w:p>
      <w:pPr>
        <w:spacing w:line="360" w:lineRule="auto"/>
        <w:ind w:firstLine="560" w:firstLineChars="200"/>
        <w:rPr>
          <w:rFonts w:ascii="宋体" w:hAnsi="宋体" w:cs="宋体"/>
          <w:sz w:val="28"/>
          <w:szCs w:val="28"/>
        </w:rPr>
      </w:pPr>
      <w:r>
        <w:rPr>
          <w:rFonts w:hint="eastAsia" w:ascii="宋体" w:hAnsi="宋体" w:cs="宋体"/>
          <w:sz w:val="28"/>
          <w:szCs w:val="28"/>
        </w:rPr>
        <w:t>一、在政府采购活动中，采购人员（如采购人内部负责采购项目的具体经办工作人员或直接分管采购项目的负责人、区公资交易中心负责采购项目的具体经办工作人员或直接分管采购活动的负责人等）及相关人员与投标人有下列利害关系之一的，应当回避：</w:t>
      </w:r>
    </w:p>
    <w:p>
      <w:pPr>
        <w:spacing w:line="360" w:lineRule="auto"/>
        <w:ind w:left="708" w:hanging="708" w:hangingChars="253"/>
        <w:rPr>
          <w:rFonts w:ascii="宋体" w:hAnsi="宋体" w:cs="宋体"/>
          <w:sz w:val="28"/>
          <w:szCs w:val="28"/>
        </w:rPr>
      </w:pPr>
      <w:r>
        <w:rPr>
          <w:rFonts w:hint="eastAsia" w:ascii="宋体" w:hAnsi="宋体" w:cs="宋体"/>
          <w:sz w:val="28"/>
          <w:szCs w:val="28"/>
        </w:rPr>
        <w:t>　　（一）参加采购活动前3年内与投标人存在劳动关系；</w:t>
      </w:r>
    </w:p>
    <w:p>
      <w:pPr>
        <w:spacing w:line="360" w:lineRule="auto"/>
        <w:rPr>
          <w:rFonts w:ascii="宋体" w:hAnsi="宋体" w:cs="宋体"/>
          <w:sz w:val="28"/>
          <w:szCs w:val="28"/>
        </w:rPr>
      </w:pPr>
      <w:r>
        <w:rPr>
          <w:rFonts w:hint="eastAsia" w:ascii="宋体" w:hAnsi="宋体" w:cs="宋体"/>
          <w:sz w:val="28"/>
          <w:szCs w:val="28"/>
        </w:rPr>
        <w:t>　　（二）参加采购活动前3年内担任投标人的董事、监事；</w:t>
      </w:r>
    </w:p>
    <w:p>
      <w:pPr>
        <w:spacing w:line="360" w:lineRule="auto"/>
        <w:ind w:firstLine="560" w:firstLineChars="200"/>
        <w:rPr>
          <w:rFonts w:ascii="宋体" w:hAnsi="宋体" w:cs="宋体"/>
          <w:sz w:val="28"/>
          <w:szCs w:val="28"/>
        </w:rPr>
      </w:pPr>
      <w:r>
        <w:rPr>
          <w:rFonts w:hint="eastAsia" w:ascii="宋体" w:hAnsi="宋体" w:cs="宋体"/>
          <w:sz w:val="28"/>
          <w:szCs w:val="28"/>
        </w:rPr>
        <w:t>（三）参加采购活动前3年内是投标人的控股股东或者实际控制人；</w:t>
      </w:r>
    </w:p>
    <w:p>
      <w:pPr>
        <w:spacing w:line="360" w:lineRule="auto"/>
        <w:ind w:firstLine="570"/>
        <w:rPr>
          <w:rFonts w:ascii="宋体" w:hAnsi="宋体" w:cs="宋体"/>
          <w:sz w:val="28"/>
          <w:szCs w:val="28"/>
        </w:rPr>
      </w:pPr>
      <w:r>
        <w:rPr>
          <w:rFonts w:hint="eastAsia" w:ascii="宋体" w:hAnsi="宋体" w:cs="宋体"/>
          <w:sz w:val="28"/>
          <w:szCs w:val="28"/>
        </w:rPr>
        <w:t>（四）与投标人的法定代表人或者负责人有夫妻、直系血亲、三代以内旁系血亲或者近姻亲关系；</w:t>
      </w:r>
    </w:p>
    <w:p>
      <w:pPr>
        <w:spacing w:line="360" w:lineRule="auto"/>
        <w:ind w:firstLine="570"/>
        <w:rPr>
          <w:rFonts w:ascii="宋体" w:hAnsi="宋体" w:cs="宋体"/>
          <w:sz w:val="28"/>
          <w:szCs w:val="28"/>
        </w:rPr>
      </w:pPr>
      <w:r>
        <w:rPr>
          <w:rFonts w:hint="eastAsia" w:ascii="宋体" w:hAnsi="宋体" w:cs="宋体"/>
          <w:sz w:val="28"/>
          <w:szCs w:val="28"/>
        </w:rPr>
        <w:t>（五）与投标人有其他可能影响政府采购活动公平、公正进行的关系。</w:t>
      </w:r>
    </w:p>
    <w:p>
      <w:pPr>
        <w:spacing w:line="360" w:lineRule="auto"/>
        <w:ind w:firstLine="570"/>
        <w:rPr>
          <w:rFonts w:ascii="宋体" w:hAnsi="宋体" w:cs="宋体"/>
          <w:sz w:val="28"/>
          <w:szCs w:val="28"/>
        </w:rPr>
      </w:pPr>
      <w:r>
        <w:rPr>
          <w:rFonts w:hint="eastAsia" w:ascii="宋体" w:hAnsi="宋体" w:cs="宋体"/>
          <w:sz w:val="28"/>
          <w:szCs w:val="28"/>
        </w:rPr>
        <w:t>二、投标人认为采购人员及相关人员与其他投标人有利害关系的，可以向采购人或者采购代理机构书面提出回避申请，并说明理由。采购人或者采购代理机构应当及时询问被申请回避人员，有利害关系的被申请回避人员应当回避。</w:t>
      </w:r>
    </w:p>
    <w:p>
      <w:pPr>
        <w:keepNext/>
        <w:keepLines/>
        <w:numPr>
          <w:ilvl w:val="1"/>
          <w:numId w:val="2"/>
        </w:numPr>
        <w:spacing w:line="360" w:lineRule="auto"/>
        <w:jc w:val="left"/>
        <w:outlineLvl w:val="1"/>
        <w:rPr>
          <w:rFonts w:ascii="宋体" w:hAnsi="宋体" w:cs="宋体"/>
          <w:b/>
          <w:bCs/>
          <w:sz w:val="28"/>
          <w:szCs w:val="28"/>
        </w:rPr>
      </w:pPr>
      <w:bookmarkStart w:id="111" w:name="_Toc217446078"/>
      <w:bookmarkStart w:id="112" w:name="_Toc13137"/>
      <w:r>
        <w:rPr>
          <w:rFonts w:hint="eastAsia" w:ascii="宋体" w:hAnsi="宋体" w:cs="宋体"/>
          <w:b/>
          <w:bCs/>
          <w:sz w:val="28"/>
          <w:szCs w:val="28"/>
        </w:rPr>
        <w:t>询问、质疑和投诉</w:t>
      </w:r>
      <w:bookmarkEnd w:id="111"/>
      <w:bookmarkEnd w:id="112"/>
      <w:bookmarkStart w:id="113" w:name="_Toc217446079"/>
    </w:p>
    <w:bookmarkEnd w:id="106"/>
    <w:bookmarkEnd w:id="107"/>
    <w:bookmarkEnd w:id="113"/>
    <w:p>
      <w:pPr>
        <w:pStyle w:val="8"/>
        <w:numPr>
          <w:ilvl w:val="0"/>
          <w:numId w:val="33"/>
        </w:numPr>
        <w:tabs>
          <w:tab w:val="left" w:pos="1134"/>
        </w:tabs>
        <w:spacing w:after="0" w:line="360" w:lineRule="auto"/>
        <w:ind w:left="0" w:leftChars="0" w:firstLine="567"/>
        <w:rPr>
          <w:rFonts w:ascii="宋体" w:hAnsi="宋体" w:cs="宋体"/>
          <w:sz w:val="28"/>
          <w:szCs w:val="28"/>
        </w:rPr>
      </w:pPr>
      <w:r>
        <w:rPr>
          <w:rFonts w:hint="eastAsia" w:ascii="宋体" w:hAnsi="宋体" w:cs="宋体"/>
          <w:sz w:val="28"/>
          <w:szCs w:val="28"/>
        </w:rPr>
        <w:t>询问、质疑、投诉的接收和处理严格按照《中华人民共和国政府采购法》、《政府采购货物和服务招标投标管理办法》（财政部令第87号）和《政府采购质疑和投诉办法》（财政部令第94号）的规定办理。</w:t>
      </w:r>
    </w:p>
    <w:p>
      <w:pPr>
        <w:pStyle w:val="8"/>
        <w:numPr>
          <w:ilvl w:val="0"/>
          <w:numId w:val="33"/>
        </w:numPr>
        <w:tabs>
          <w:tab w:val="left" w:pos="1134"/>
        </w:tabs>
        <w:spacing w:after="0" w:line="360" w:lineRule="auto"/>
        <w:ind w:left="0" w:leftChars="0" w:firstLine="567"/>
        <w:rPr>
          <w:rFonts w:ascii="宋体" w:hAnsi="宋体" w:cs="宋体"/>
          <w:sz w:val="28"/>
          <w:szCs w:val="28"/>
        </w:rPr>
      </w:pPr>
      <w:r>
        <w:rPr>
          <w:rFonts w:hint="eastAsia" w:ascii="宋体" w:hAnsi="宋体" w:cs="宋体"/>
          <w:sz w:val="28"/>
          <w:szCs w:val="28"/>
        </w:rPr>
        <w:t>投标人询问、质疑的对象</w:t>
      </w:r>
    </w:p>
    <w:p>
      <w:pPr>
        <w:pStyle w:val="14"/>
        <w:spacing w:before="0" w:beforeAutospacing="0" w:after="0" w:afterAutospacing="0"/>
        <w:ind w:firstLine="560" w:firstLineChars="200"/>
        <w:jc w:val="both"/>
        <w:rPr>
          <w:rFonts w:cs="宋体"/>
          <w:color w:val="auto"/>
          <w:sz w:val="28"/>
          <w:szCs w:val="28"/>
        </w:rPr>
      </w:pPr>
      <w:r>
        <w:rPr>
          <w:rFonts w:hint="eastAsia" w:cs="宋体"/>
          <w:color w:val="auto"/>
          <w:sz w:val="28"/>
          <w:szCs w:val="28"/>
        </w:rPr>
        <w:t>（一）投标人对招标文件中投标人参加本次政府采购活动应当具备的条件，招标项目技术、服务、商务及其他要求，评标细则及标准和中标结果提出询问或质疑的，应通过“政府采购云平台”向采购人提出；</w:t>
      </w:r>
    </w:p>
    <w:p>
      <w:pPr>
        <w:pStyle w:val="14"/>
        <w:spacing w:before="0" w:beforeAutospacing="0" w:after="0" w:afterAutospacing="0"/>
        <w:ind w:firstLine="560" w:firstLineChars="200"/>
        <w:jc w:val="both"/>
        <w:rPr>
          <w:rFonts w:cs="宋体"/>
          <w:color w:val="auto"/>
          <w:sz w:val="28"/>
          <w:szCs w:val="28"/>
        </w:rPr>
      </w:pPr>
      <w:r>
        <w:rPr>
          <w:rFonts w:hint="eastAsia" w:cs="宋体"/>
          <w:color w:val="auto"/>
          <w:sz w:val="28"/>
          <w:szCs w:val="28"/>
        </w:rPr>
        <w:t>(二)投标人对除上述招标文件中的其他内容，招标文件中采购程序、采购文件中投标人须知、采购合同格式、投标文件格式、以及开标过程程序提出询问或质疑的，应通过“政府采购云平台”向区公资交易中心提出。</w:t>
      </w:r>
    </w:p>
    <w:p>
      <w:pPr>
        <w:pStyle w:val="8"/>
        <w:numPr>
          <w:ilvl w:val="0"/>
          <w:numId w:val="33"/>
        </w:numPr>
        <w:tabs>
          <w:tab w:val="left" w:pos="1134"/>
        </w:tabs>
        <w:spacing w:after="0" w:line="360" w:lineRule="auto"/>
        <w:ind w:left="0" w:leftChars="0" w:firstLine="567"/>
        <w:rPr>
          <w:rFonts w:ascii="宋体" w:hAnsi="宋体" w:cs="宋体"/>
          <w:sz w:val="28"/>
          <w:szCs w:val="28"/>
        </w:rPr>
      </w:pPr>
      <w:r>
        <w:rPr>
          <w:rFonts w:hint="eastAsia" w:ascii="宋体" w:hAnsi="宋体" w:cs="宋体"/>
          <w:sz w:val="28"/>
          <w:szCs w:val="28"/>
        </w:rPr>
        <w:t>投标人提出的询问，应当明确询问事项，如以书面形式提出的，应由投标人签字并加盖公章。</w:t>
      </w:r>
    </w:p>
    <w:p>
      <w:pPr>
        <w:pStyle w:val="8"/>
        <w:numPr>
          <w:ilvl w:val="0"/>
          <w:numId w:val="33"/>
        </w:numPr>
        <w:tabs>
          <w:tab w:val="left" w:pos="1134"/>
        </w:tabs>
        <w:spacing w:after="0" w:line="360" w:lineRule="auto"/>
        <w:ind w:left="0" w:leftChars="0" w:firstLine="567"/>
        <w:rPr>
          <w:rFonts w:ascii="宋体" w:hAnsi="宋体" w:cs="宋体"/>
          <w:sz w:val="28"/>
          <w:szCs w:val="28"/>
        </w:rPr>
      </w:pPr>
      <w:r>
        <w:rPr>
          <w:rFonts w:hint="eastAsia" w:ascii="宋体" w:hAnsi="宋体" w:cs="宋体"/>
          <w:sz w:val="28"/>
          <w:szCs w:val="28"/>
        </w:rPr>
        <w:t>投标人应在法定质疑期内一次性提出针对同一采购程序环节的质疑。</w:t>
      </w:r>
    </w:p>
    <w:p>
      <w:pPr>
        <w:pStyle w:val="8"/>
        <w:numPr>
          <w:ilvl w:val="0"/>
          <w:numId w:val="33"/>
        </w:numPr>
        <w:tabs>
          <w:tab w:val="left" w:pos="1134"/>
        </w:tabs>
        <w:spacing w:after="0" w:line="360" w:lineRule="auto"/>
        <w:ind w:left="0" w:leftChars="0" w:firstLine="567"/>
        <w:rPr>
          <w:rFonts w:ascii="宋体" w:hAnsi="宋体" w:cs="宋体"/>
          <w:sz w:val="28"/>
          <w:szCs w:val="28"/>
        </w:rPr>
      </w:pPr>
      <w:r>
        <w:rPr>
          <w:rFonts w:hint="eastAsia" w:ascii="宋体" w:hAnsi="宋体" w:cs="宋体"/>
          <w:sz w:val="28"/>
          <w:szCs w:val="28"/>
        </w:rPr>
        <w:t>投标人提出质疑时应当准备的资料</w:t>
      </w:r>
    </w:p>
    <w:p>
      <w:pPr>
        <w:pStyle w:val="14"/>
        <w:spacing w:before="0" w:beforeAutospacing="0" w:after="0" w:afterAutospacing="0"/>
        <w:ind w:firstLine="560" w:firstLineChars="200"/>
        <w:jc w:val="both"/>
        <w:rPr>
          <w:rFonts w:cs="宋体"/>
          <w:color w:val="auto"/>
          <w:sz w:val="28"/>
          <w:szCs w:val="28"/>
        </w:rPr>
      </w:pPr>
      <w:r>
        <w:rPr>
          <w:rFonts w:hint="eastAsia" w:cs="宋体"/>
          <w:color w:val="auto"/>
          <w:sz w:val="28"/>
          <w:szCs w:val="28"/>
        </w:rPr>
        <w:t>（一）质疑书正本1份；</w:t>
      </w:r>
    </w:p>
    <w:p>
      <w:pPr>
        <w:pStyle w:val="14"/>
        <w:spacing w:before="0" w:beforeAutospacing="0" w:after="0" w:afterAutospacing="0"/>
        <w:ind w:firstLine="560" w:firstLineChars="200"/>
        <w:jc w:val="both"/>
        <w:rPr>
          <w:rFonts w:cs="宋体"/>
          <w:color w:val="auto"/>
          <w:sz w:val="28"/>
          <w:szCs w:val="28"/>
        </w:rPr>
      </w:pPr>
      <w:r>
        <w:rPr>
          <w:rFonts w:hint="eastAsia" w:cs="宋体"/>
          <w:color w:val="auto"/>
          <w:sz w:val="28"/>
          <w:szCs w:val="28"/>
        </w:rPr>
        <w:t>（二）法定代表人授权委托书1份（委托代理人办理质疑事宜的需提供）；</w:t>
      </w:r>
    </w:p>
    <w:p>
      <w:pPr>
        <w:pStyle w:val="14"/>
        <w:spacing w:before="0" w:beforeAutospacing="0" w:after="0" w:afterAutospacing="0"/>
        <w:ind w:firstLine="560" w:firstLineChars="200"/>
        <w:jc w:val="both"/>
        <w:rPr>
          <w:rFonts w:cs="宋体"/>
          <w:color w:val="auto"/>
          <w:sz w:val="28"/>
          <w:szCs w:val="28"/>
        </w:rPr>
      </w:pPr>
      <w:r>
        <w:rPr>
          <w:rFonts w:hint="eastAsia" w:cs="宋体"/>
          <w:color w:val="auto"/>
          <w:sz w:val="28"/>
          <w:szCs w:val="28"/>
        </w:rPr>
        <w:t>（三）营业执照或法人证书复印件1份（加盖公章）；</w:t>
      </w:r>
    </w:p>
    <w:p>
      <w:pPr>
        <w:pStyle w:val="14"/>
        <w:spacing w:before="0" w:beforeAutospacing="0" w:after="0" w:afterAutospacing="0"/>
        <w:ind w:firstLine="560" w:firstLineChars="200"/>
        <w:jc w:val="both"/>
        <w:rPr>
          <w:rFonts w:cs="宋体"/>
          <w:color w:val="auto"/>
          <w:sz w:val="28"/>
          <w:szCs w:val="28"/>
        </w:rPr>
      </w:pPr>
      <w:r>
        <w:rPr>
          <w:rFonts w:hint="eastAsia" w:cs="宋体"/>
          <w:color w:val="auto"/>
          <w:sz w:val="28"/>
          <w:szCs w:val="28"/>
        </w:rPr>
        <w:t>（四）法定代表人身份证复印件1份；</w:t>
      </w:r>
    </w:p>
    <w:p>
      <w:pPr>
        <w:pStyle w:val="14"/>
        <w:spacing w:before="0" w:beforeAutospacing="0" w:after="0" w:afterAutospacing="0"/>
        <w:ind w:firstLine="560" w:firstLineChars="200"/>
        <w:jc w:val="both"/>
        <w:rPr>
          <w:rFonts w:cs="宋体"/>
          <w:color w:val="auto"/>
          <w:sz w:val="28"/>
          <w:szCs w:val="28"/>
        </w:rPr>
      </w:pPr>
      <w:r>
        <w:rPr>
          <w:rFonts w:hint="eastAsia" w:cs="宋体"/>
          <w:color w:val="auto"/>
          <w:sz w:val="28"/>
          <w:szCs w:val="28"/>
        </w:rPr>
        <w:t>（五）委托代理人身份证复印件1份（委托代理人办理质疑事宜的需提供）；</w:t>
      </w:r>
    </w:p>
    <w:p>
      <w:pPr>
        <w:pStyle w:val="14"/>
        <w:spacing w:before="0" w:beforeAutospacing="0" w:after="0" w:afterAutospacing="0"/>
        <w:ind w:firstLine="560" w:firstLineChars="200"/>
        <w:jc w:val="both"/>
        <w:rPr>
          <w:rFonts w:cs="宋体"/>
          <w:color w:val="auto"/>
          <w:sz w:val="28"/>
          <w:szCs w:val="28"/>
        </w:rPr>
      </w:pPr>
      <w:r>
        <w:rPr>
          <w:rFonts w:hint="eastAsia" w:cs="宋体"/>
          <w:color w:val="auto"/>
          <w:sz w:val="28"/>
          <w:szCs w:val="28"/>
        </w:rPr>
        <w:t>（六）针对质疑事项必要的证明材料。</w:t>
      </w:r>
    </w:p>
    <w:p>
      <w:pPr>
        <w:pStyle w:val="8"/>
        <w:numPr>
          <w:ilvl w:val="0"/>
          <w:numId w:val="33"/>
        </w:numPr>
        <w:tabs>
          <w:tab w:val="left" w:pos="1134"/>
        </w:tabs>
        <w:spacing w:after="0" w:line="360" w:lineRule="auto"/>
        <w:ind w:left="0" w:leftChars="0" w:firstLine="567"/>
        <w:rPr>
          <w:rFonts w:ascii="宋体" w:hAnsi="宋体" w:cs="宋体"/>
          <w:sz w:val="28"/>
          <w:szCs w:val="28"/>
        </w:rPr>
      </w:pPr>
      <w:r>
        <w:rPr>
          <w:rFonts w:hint="eastAsia" w:ascii="宋体" w:hAnsi="宋体" w:cs="宋体"/>
          <w:sz w:val="28"/>
          <w:szCs w:val="28"/>
        </w:rPr>
        <w:t>投标人对采购人、区公资交易中心的质疑答复不满意，或者采购人、区公资交易中心未在规定期限内作出答复的，投标人可以在答复期满后15个工作日内向同级财政部门提起投诉。</w:t>
      </w:r>
    </w:p>
    <w:p>
      <w:pPr>
        <w:keepNext/>
        <w:keepLines/>
        <w:numPr>
          <w:ilvl w:val="1"/>
          <w:numId w:val="2"/>
        </w:numPr>
        <w:spacing w:before="260" w:line="360" w:lineRule="auto"/>
        <w:outlineLvl w:val="1"/>
        <w:rPr>
          <w:rFonts w:ascii="宋体" w:hAnsi="宋体" w:cs="宋体"/>
          <w:b/>
          <w:bCs/>
          <w:sz w:val="28"/>
          <w:szCs w:val="28"/>
        </w:rPr>
      </w:pPr>
      <w:bookmarkStart w:id="114" w:name="_Toc9960"/>
      <w:r>
        <w:rPr>
          <w:rFonts w:hint="eastAsia" w:ascii="宋体" w:hAnsi="宋体" w:cs="宋体"/>
          <w:b/>
          <w:bCs/>
          <w:sz w:val="28"/>
          <w:szCs w:val="28"/>
        </w:rPr>
        <w:t>信用融资</w:t>
      </w:r>
      <w:bookmarkEnd w:id="114"/>
    </w:p>
    <w:p>
      <w:pPr>
        <w:rPr>
          <w:rFonts w:ascii="宋体" w:hAnsi="宋体" w:cs="宋体"/>
          <w:sz w:val="28"/>
          <w:szCs w:val="28"/>
        </w:rPr>
      </w:pPr>
      <w:bookmarkStart w:id="115" w:name="_Toc30583"/>
      <w:bookmarkStart w:id="116" w:name="_Toc26253"/>
      <w:bookmarkStart w:id="117" w:name="_Toc463"/>
      <w:bookmarkStart w:id="118" w:name="_Toc9212"/>
      <w:bookmarkStart w:id="119" w:name="_Toc4210"/>
      <w:bookmarkStart w:id="120" w:name="_Toc13269"/>
      <w:bookmarkStart w:id="121" w:name="_Toc21629"/>
      <w:bookmarkStart w:id="122" w:name="_Toc22507"/>
      <w:r>
        <w:rPr>
          <w:rFonts w:hint="eastAsia" w:ascii="宋体" w:hAnsi="宋体" w:cs="宋体"/>
          <w:sz w:val="28"/>
          <w:szCs w:val="28"/>
        </w:rPr>
        <w:t>本项目属于政府采购信用融资业务项目，融资利率上浮比例不超过人民银行同期贷款基准利率30%，银行机构名单、联系方式见附件1。</w:t>
      </w:r>
      <w:bookmarkEnd w:id="115"/>
      <w:bookmarkEnd w:id="116"/>
      <w:bookmarkEnd w:id="117"/>
      <w:bookmarkEnd w:id="118"/>
      <w:bookmarkEnd w:id="119"/>
      <w:bookmarkEnd w:id="120"/>
      <w:bookmarkEnd w:id="121"/>
      <w:bookmarkEnd w:id="122"/>
    </w:p>
    <w:p>
      <w:pPr>
        <w:tabs>
          <w:tab w:val="left" w:pos="1276"/>
        </w:tabs>
        <w:spacing w:line="360" w:lineRule="auto"/>
        <w:rPr>
          <w:rFonts w:ascii="宋体" w:hAnsi="宋体" w:cs="宋体"/>
          <w:sz w:val="28"/>
          <w:szCs w:val="28"/>
        </w:rPr>
      </w:pPr>
    </w:p>
    <w:p>
      <w:pPr>
        <w:pStyle w:val="15"/>
        <w:ind w:firstLine="0" w:firstLineChars="0"/>
        <w:rPr>
          <w:rFonts w:ascii="宋体" w:hAnsi="宋体" w:cs="宋体"/>
        </w:rPr>
      </w:pPr>
    </w:p>
    <w:p>
      <w:pPr>
        <w:pStyle w:val="15"/>
        <w:ind w:firstLine="180"/>
        <w:rPr>
          <w:rFonts w:ascii="宋体" w:hAnsi="宋体" w:cs="宋体"/>
        </w:rPr>
      </w:pPr>
    </w:p>
    <w:p>
      <w:pPr>
        <w:pStyle w:val="15"/>
        <w:ind w:firstLine="180"/>
        <w:rPr>
          <w:rFonts w:ascii="宋体" w:hAnsi="宋体" w:cs="宋体"/>
        </w:rPr>
      </w:pPr>
    </w:p>
    <w:p>
      <w:pPr>
        <w:pStyle w:val="15"/>
        <w:ind w:firstLine="180"/>
        <w:rPr>
          <w:rFonts w:ascii="宋体" w:hAnsi="宋体" w:cs="宋体"/>
        </w:rPr>
      </w:pPr>
    </w:p>
    <w:p>
      <w:pPr>
        <w:pStyle w:val="15"/>
        <w:ind w:firstLine="180"/>
        <w:rPr>
          <w:rFonts w:ascii="宋体" w:hAnsi="宋体" w:cs="宋体"/>
        </w:rPr>
      </w:pPr>
    </w:p>
    <w:p>
      <w:pPr>
        <w:pStyle w:val="15"/>
        <w:ind w:firstLine="0" w:firstLineChars="0"/>
        <w:rPr>
          <w:rFonts w:ascii="宋体" w:hAnsi="宋体" w:cs="宋体"/>
        </w:rPr>
      </w:pPr>
    </w:p>
    <w:p>
      <w:pPr>
        <w:keepNext/>
        <w:keepLines/>
        <w:numPr>
          <w:ilvl w:val="0"/>
          <w:numId w:val="2"/>
        </w:numPr>
        <w:spacing w:before="340" w:after="330" w:line="400" w:lineRule="exact"/>
        <w:jc w:val="center"/>
        <w:outlineLvl w:val="0"/>
        <w:rPr>
          <w:rFonts w:ascii="宋体" w:hAnsi="宋体" w:cs="宋体"/>
          <w:b/>
          <w:bCs/>
          <w:spacing w:val="-20"/>
          <w:kern w:val="44"/>
          <w:sz w:val="32"/>
          <w:szCs w:val="32"/>
        </w:rPr>
      </w:pPr>
      <w:bookmarkStart w:id="123" w:name="_Toc315871048"/>
      <w:bookmarkEnd w:id="123"/>
      <w:bookmarkStart w:id="124" w:name="_Toc316292052"/>
      <w:bookmarkEnd w:id="124"/>
      <w:bookmarkStart w:id="125" w:name="_Toc315871049"/>
      <w:bookmarkEnd w:id="125"/>
      <w:bookmarkStart w:id="126" w:name="_Toc316292048"/>
      <w:bookmarkEnd w:id="126"/>
      <w:bookmarkStart w:id="127" w:name="_Toc315871045"/>
      <w:bookmarkEnd w:id="127"/>
      <w:bookmarkStart w:id="128" w:name="_Toc316292049"/>
      <w:bookmarkEnd w:id="128"/>
      <w:bookmarkStart w:id="129" w:name="_Toc316292050"/>
      <w:bookmarkEnd w:id="129"/>
      <w:bookmarkStart w:id="130" w:name="_Toc315871047"/>
      <w:bookmarkEnd w:id="130"/>
      <w:bookmarkStart w:id="131" w:name="_Toc315871050"/>
      <w:bookmarkEnd w:id="131"/>
      <w:bookmarkStart w:id="132" w:name="_Toc315871046"/>
      <w:bookmarkEnd w:id="132"/>
      <w:bookmarkStart w:id="133" w:name="_Toc316292051"/>
      <w:bookmarkEnd w:id="133"/>
      <w:bookmarkStart w:id="134" w:name="_Toc30368"/>
      <w:r>
        <w:rPr>
          <w:rFonts w:hint="eastAsia" w:ascii="宋体" w:hAnsi="宋体" w:cs="宋体"/>
          <w:b/>
          <w:bCs/>
          <w:spacing w:val="-20"/>
          <w:kern w:val="44"/>
          <w:sz w:val="32"/>
          <w:szCs w:val="32"/>
        </w:rPr>
        <w:t>投标文件格式</w:t>
      </w:r>
      <w:bookmarkEnd w:id="134"/>
    </w:p>
    <w:p>
      <w:pPr>
        <w:keepNext/>
        <w:keepLines/>
        <w:numPr>
          <w:ilvl w:val="1"/>
          <w:numId w:val="2"/>
        </w:numPr>
        <w:spacing w:before="260" w:after="260" w:line="360" w:lineRule="auto"/>
        <w:jc w:val="left"/>
        <w:outlineLvl w:val="1"/>
        <w:rPr>
          <w:rFonts w:ascii="宋体" w:hAnsi="宋体" w:cs="宋体"/>
          <w:b/>
          <w:bCs/>
          <w:sz w:val="28"/>
          <w:szCs w:val="28"/>
        </w:rPr>
      </w:pPr>
      <w:bookmarkStart w:id="135" w:name="_Toc14004"/>
      <w:r>
        <w:rPr>
          <w:rFonts w:hint="eastAsia" w:ascii="宋体" w:hAnsi="宋体" w:cs="宋体"/>
          <w:b/>
          <w:bCs/>
          <w:sz w:val="28"/>
          <w:szCs w:val="28"/>
        </w:rPr>
        <w:t>投标文件封面格式</w:t>
      </w:r>
      <w:bookmarkEnd w:id="135"/>
    </w:p>
    <w:p>
      <w:pPr>
        <w:spacing w:line="360" w:lineRule="auto"/>
        <w:rPr>
          <w:rFonts w:ascii="宋体" w:hAnsi="宋体" w:cs="宋体"/>
          <w:bCs/>
          <w:szCs w:val="21"/>
        </w:rPr>
      </w:pPr>
    </w:p>
    <w:p>
      <w:pPr>
        <w:spacing w:line="360" w:lineRule="auto"/>
        <w:rPr>
          <w:rFonts w:ascii="宋体" w:hAnsi="宋体" w:cs="宋体"/>
          <w:bCs/>
          <w:szCs w:val="21"/>
        </w:rPr>
      </w:pPr>
    </w:p>
    <w:p>
      <w:pPr>
        <w:spacing w:line="360" w:lineRule="auto"/>
        <w:jc w:val="right"/>
        <w:rPr>
          <w:rFonts w:ascii="宋体" w:hAnsi="宋体" w:cs="宋体"/>
        </w:rPr>
      </w:pPr>
    </w:p>
    <w:p>
      <w:pPr>
        <w:spacing w:line="360" w:lineRule="auto"/>
        <w:jc w:val="center"/>
        <w:rPr>
          <w:rFonts w:ascii="宋体" w:hAnsi="宋体" w:cs="宋体"/>
          <w:spacing w:val="78"/>
          <w:sz w:val="96"/>
          <w:szCs w:val="120"/>
        </w:rPr>
      </w:pPr>
      <w:r>
        <w:rPr>
          <w:rFonts w:hint="eastAsia" w:ascii="宋体" w:hAnsi="宋体" w:cs="宋体"/>
          <w:spacing w:val="78"/>
          <w:sz w:val="96"/>
          <w:szCs w:val="120"/>
        </w:rPr>
        <w:t>投标文件</w:t>
      </w:r>
    </w:p>
    <w:p>
      <w:pPr>
        <w:spacing w:line="360" w:lineRule="auto"/>
        <w:jc w:val="center"/>
        <w:rPr>
          <w:rFonts w:ascii="宋体" w:hAnsi="宋体" w:cs="宋体"/>
          <w:bCs/>
          <w:sz w:val="36"/>
        </w:rPr>
      </w:pPr>
    </w:p>
    <w:p>
      <w:pPr>
        <w:spacing w:line="360" w:lineRule="auto"/>
        <w:jc w:val="center"/>
        <w:rPr>
          <w:rFonts w:ascii="宋体" w:hAnsi="宋体" w:cs="宋体"/>
          <w:bCs/>
          <w:sz w:val="36"/>
        </w:rPr>
      </w:pPr>
    </w:p>
    <w:p>
      <w:pPr>
        <w:spacing w:line="360" w:lineRule="auto"/>
        <w:ind w:left="1751" w:hanging="1751" w:hangingChars="545"/>
        <w:rPr>
          <w:rFonts w:ascii="宋体" w:hAnsi="宋体" w:cs="宋体"/>
          <w:b/>
          <w:bCs/>
          <w:color w:val="000000" w:themeColor="text1"/>
          <w:sz w:val="32"/>
          <w:szCs w:val="32"/>
          <w14:textFill>
            <w14:solidFill>
              <w14:schemeClr w14:val="tx1"/>
            </w14:solidFill>
          </w14:textFill>
        </w:rPr>
      </w:pPr>
      <w:r>
        <w:rPr>
          <w:rFonts w:hint="eastAsia" w:ascii="宋体" w:hAnsi="宋体" w:cs="宋体"/>
          <w:b/>
          <w:bCs/>
          <w:sz w:val="32"/>
          <w:szCs w:val="32"/>
        </w:rPr>
        <w:t>项目名称：成都市双流区人民政府怡心街道办事处生活垃圾清运服务采购项目</w:t>
      </w:r>
    </w:p>
    <w:p>
      <w:pPr>
        <w:spacing w:line="360" w:lineRule="auto"/>
        <w:ind w:left="1751" w:hanging="1751" w:hangingChars="545"/>
        <w:rPr>
          <w:rFonts w:ascii="宋体" w:hAnsi="宋体" w:cs="宋体"/>
          <w:b/>
          <w:bCs/>
          <w:sz w:val="32"/>
          <w:szCs w:val="32"/>
        </w:rPr>
      </w:pPr>
      <w:r>
        <w:rPr>
          <w:rFonts w:hint="eastAsia" w:ascii="宋体" w:hAnsi="宋体" w:cs="宋体"/>
          <w:b/>
          <w:bCs/>
          <w:sz w:val="32"/>
          <w:szCs w:val="32"/>
        </w:rPr>
        <w:t>项目编号：双流政采（2021）A0118号</w:t>
      </w:r>
    </w:p>
    <w:p>
      <w:pPr>
        <w:spacing w:line="360" w:lineRule="auto"/>
        <w:rPr>
          <w:rFonts w:ascii="宋体" w:hAnsi="宋体" w:cs="宋体"/>
          <w:b/>
          <w:bCs/>
          <w:sz w:val="32"/>
          <w:szCs w:val="32"/>
        </w:rPr>
      </w:pPr>
    </w:p>
    <w:p>
      <w:pPr>
        <w:spacing w:line="360" w:lineRule="auto"/>
        <w:rPr>
          <w:rFonts w:ascii="宋体" w:hAnsi="宋体" w:cs="宋体"/>
          <w:b/>
          <w:bCs/>
          <w:sz w:val="32"/>
          <w:szCs w:val="32"/>
        </w:rPr>
      </w:pPr>
    </w:p>
    <w:p>
      <w:pPr>
        <w:spacing w:line="360" w:lineRule="auto"/>
        <w:ind w:firstLine="630" w:firstLineChars="196"/>
        <w:rPr>
          <w:rFonts w:ascii="宋体" w:hAnsi="宋体" w:cs="宋体"/>
          <w:b/>
          <w:bCs/>
          <w:sz w:val="32"/>
          <w:szCs w:val="32"/>
        </w:rPr>
      </w:pPr>
      <w:r>
        <w:rPr>
          <w:rFonts w:hint="eastAsia" w:ascii="宋体" w:hAnsi="宋体" w:cs="宋体"/>
          <w:b/>
          <w:bCs/>
          <w:sz w:val="32"/>
          <w:szCs w:val="32"/>
        </w:rPr>
        <w:t>投标人名称：XXXX</w:t>
      </w:r>
    </w:p>
    <w:p>
      <w:pPr>
        <w:spacing w:line="360" w:lineRule="auto"/>
        <w:ind w:firstLine="569" w:firstLineChars="177"/>
        <w:rPr>
          <w:rFonts w:ascii="宋体" w:hAnsi="宋体" w:cs="宋体"/>
          <w:b/>
          <w:bCs/>
          <w:sz w:val="32"/>
          <w:szCs w:val="32"/>
        </w:rPr>
      </w:pPr>
      <w:r>
        <w:rPr>
          <w:rFonts w:hint="eastAsia" w:ascii="宋体" w:hAnsi="宋体" w:cs="宋体"/>
          <w:b/>
          <w:bCs/>
          <w:sz w:val="32"/>
          <w:szCs w:val="32"/>
        </w:rPr>
        <w:t>日      期：202X年XX月XX日</w:t>
      </w:r>
    </w:p>
    <w:p>
      <w:pPr>
        <w:keepNext/>
        <w:keepLines/>
        <w:numPr>
          <w:ilvl w:val="1"/>
          <w:numId w:val="2"/>
        </w:numPr>
        <w:spacing w:before="260" w:after="260" w:line="360" w:lineRule="auto"/>
        <w:jc w:val="left"/>
        <w:outlineLvl w:val="1"/>
        <w:rPr>
          <w:rFonts w:ascii="宋体" w:hAnsi="宋体" w:cs="宋体"/>
          <w:b/>
          <w:bCs/>
          <w:sz w:val="28"/>
          <w:szCs w:val="28"/>
        </w:rPr>
      </w:pPr>
      <w:bookmarkStart w:id="136" w:name="_Toc7345"/>
      <w:r>
        <w:rPr>
          <w:rFonts w:hint="eastAsia" w:ascii="宋体" w:hAnsi="宋体" w:cs="宋体"/>
          <w:b/>
          <w:bCs/>
          <w:sz w:val="28"/>
          <w:szCs w:val="28"/>
        </w:rPr>
        <w:t>资格性响应文件</w:t>
      </w:r>
      <w:bookmarkEnd w:id="136"/>
    </w:p>
    <w:p>
      <w:pPr>
        <w:keepNext/>
        <w:keepLines/>
        <w:numPr>
          <w:ilvl w:val="2"/>
          <w:numId w:val="2"/>
        </w:numPr>
        <w:spacing w:line="360" w:lineRule="auto"/>
        <w:ind w:left="3119" w:hanging="3119"/>
        <w:outlineLvl w:val="2"/>
        <w:rPr>
          <w:rFonts w:ascii="宋体" w:hAnsi="宋体" w:cs="宋体"/>
          <w:b/>
          <w:bCs/>
          <w:sz w:val="28"/>
          <w:szCs w:val="28"/>
        </w:rPr>
      </w:pPr>
      <w:r>
        <w:rPr>
          <w:rFonts w:hint="eastAsia" w:ascii="宋体" w:hAnsi="宋体" w:cs="宋体"/>
          <w:b/>
          <w:bCs/>
          <w:sz w:val="28"/>
          <w:szCs w:val="28"/>
        </w:rPr>
        <w:t>关于投标人资格声明的函</w:t>
      </w:r>
    </w:p>
    <w:p>
      <w:pPr>
        <w:spacing w:line="360" w:lineRule="auto"/>
        <w:rPr>
          <w:rFonts w:ascii="宋体" w:hAnsi="宋体" w:cs="宋体"/>
          <w:sz w:val="28"/>
          <w:szCs w:val="28"/>
        </w:rPr>
      </w:pPr>
      <w:r>
        <w:rPr>
          <w:rFonts w:hint="eastAsia" w:ascii="宋体" w:hAnsi="宋体" w:cs="宋体"/>
          <w:sz w:val="28"/>
          <w:szCs w:val="28"/>
        </w:rPr>
        <w:t>致：成都市双流区公共资源交易服务中心</w:t>
      </w:r>
    </w:p>
    <w:p>
      <w:pPr>
        <w:spacing w:line="360" w:lineRule="auto"/>
        <w:ind w:firstLine="565" w:firstLineChars="202"/>
        <w:rPr>
          <w:rFonts w:ascii="宋体" w:hAnsi="宋体" w:cs="宋体"/>
          <w:sz w:val="28"/>
          <w:szCs w:val="28"/>
        </w:rPr>
      </w:pPr>
      <w:r>
        <w:rPr>
          <w:rFonts w:hint="eastAsia" w:ascii="宋体" w:hAnsi="宋体" w:cs="宋体"/>
          <w:sz w:val="28"/>
          <w:szCs w:val="28"/>
        </w:rPr>
        <w:t>关于我方对</w:t>
      </w:r>
      <w:r>
        <w:rPr>
          <w:rFonts w:hint="eastAsia" w:ascii="宋体" w:hAnsi="宋体" w:cs="宋体"/>
          <w:b/>
          <w:bCs/>
          <w:sz w:val="28"/>
          <w:szCs w:val="28"/>
          <w:u w:val="single"/>
        </w:rPr>
        <w:t>成都市双流区人民政府怡心街道办事处生活垃圾清运服务采购项目（项目编号：双流政采（2021）A0118号）</w:t>
      </w:r>
      <w:r>
        <w:rPr>
          <w:rFonts w:hint="eastAsia" w:ascii="宋体" w:hAnsi="宋体" w:cs="宋体"/>
          <w:sz w:val="28"/>
          <w:szCs w:val="28"/>
        </w:rPr>
        <w:t>的公开招标，提交的下列文件和说明是准确的和真实的。</w:t>
      </w:r>
    </w:p>
    <w:p>
      <w:pPr>
        <w:widowControl/>
        <w:numPr>
          <w:ilvl w:val="2"/>
          <w:numId w:val="34"/>
        </w:numPr>
        <w:spacing w:line="360" w:lineRule="auto"/>
        <w:ind w:left="0" w:firstLine="560" w:firstLineChars="200"/>
        <w:rPr>
          <w:rFonts w:ascii="宋体" w:hAnsi="宋体" w:cs="宋体"/>
          <w:sz w:val="28"/>
          <w:szCs w:val="28"/>
        </w:rPr>
      </w:pPr>
      <w:r>
        <w:rPr>
          <w:rFonts w:hint="eastAsia" w:ascii="宋体" w:hAnsi="宋体" w:cs="宋体"/>
          <w:sz w:val="28"/>
          <w:szCs w:val="28"/>
        </w:rPr>
        <w:t>投标人名称及概况：</w:t>
      </w:r>
    </w:p>
    <w:p>
      <w:pPr>
        <w:widowControl/>
        <w:numPr>
          <w:ilvl w:val="0"/>
          <w:numId w:val="35"/>
        </w:numPr>
        <w:spacing w:line="360" w:lineRule="auto"/>
        <w:ind w:left="0" w:firstLine="560" w:firstLineChars="200"/>
        <w:jc w:val="left"/>
        <w:rPr>
          <w:rFonts w:ascii="宋体" w:hAnsi="宋体" w:cs="宋体"/>
          <w:sz w:val="28"/>
          <w:szCs w:val="28"/>
        </w:rPr>
      </w:pPr>
      <w:r>
        <w:rPr>
          <w:rFonts w:hint="eastAsia" w:ascii="宋体" w:hAnsi="宋体" w:cs="宋体"/>
          <w:sz w:val="28"/>
          <w:szCs w:val="28"/>
        </w:rPr>
        <w:t>投标人名称：XXXX</w:t>
      </w:r>
    </w:p>
    <w:p>
      <w:pPr>
        <w:widowControl/>
        <w:numPr>
          <w:ilvl w:val="0"/>
          <w:numId w:val="35"/>
        </w:numPr>
        <w:spacing w:line="360" w:lineRule="auto"/>
        <w:ind w:left="0" w:firstLine="560" w:firstLineChars="200"/>
        <w:jc w:val="left"/>
        <w:rPr>
          <w:rFonts w:ascii="宋体" w:hAnsi="宋体" w:cs="宋体"/>
          <w:sz w:val="28"/>
          <w:szCs w:val="28"/>
        </w:rPr>
      </w:pPr>
      <w:r>
        <w:rPr>
          <w:rFonts w:hint="eastAsia" w:ascii="宋体" w:hAnsi="宋体" w:cs="宋体"/>
          <w:sz w:val="28"/>
          <w:szCs w:val="28"/>
        </w:rPr>
        <w:t>地址：XXXX           邮编：XXXX</w:t>
      </w:r>
    </w:p>
    <w:p>
      <w:pPr>
        <w:spacing w:line="360" w:lineRule="auto"/>
        <w:ind w:firstLine="700" w:firstLineChars="250"/>
        <w:rPr>
          <w:rFonts w:ascii="宋体" w:hAnsi="宋体" w:cs="宋体"/>
          <w:sz w:val="28"/>
          <w:szCs w:val="28"/>
          <w:u w:val="single"/>
        </w:rPr>
      </w:pPr>
      <w:r>
        <w:rPr>
          <w:rFonts w:hint="eastAsia" w:ascii="宋体" w:hAnsi="宋体" w:cs="宋体"/>
          <w:sz w:val="28"/>
          <w:szCs w:val="28"/>
        </w:rPr>
        <w:t>传真/电话：XXXX</w:t>
      </w:r>
    </w:p>
    <w:p>
      <w:pPr>
        <w:widowControl/>
        <w:numPr>
          <w:ilvl w:val="0"/>
          <w:numId w:val="35"/>
        </w:numPr>
        <w:spacing w:line="360" w:lineRule="auto"/>
        <w:ind w:left="0" w:firstLine="560" w:firstLineChars="200"/>
        <w:jc w:val="left"/>
        <w:rPr>
          <w:rFonts w:ascii="宋体" w:hAnsi="宋体" w:cs="宋体"/>
          <w:sz w:val="28"/>
          <w:szCs w:val="28"/>
        </w:rPr>
      </w:pPr>
      <w:r>
        <w:rPr>
          <w:rFonts w:hint="eastAsia" w:ascii="宋体" w:hAnsi="宋体" w:cs="宋体"/>
          <w:sz w:val="28"/>
          <w:szCs w:val="28"/>
        </w:rPr>
        <w:t>成立日期或注册日期：XXXX</w:t>
      </w:r>
    </w:p>
    <w:p>
      <w:pPr>
        <w:widowControl/>
        <w:numPr>
          <w:ilvl w:val="0"/>
          <w:numId w:val="35"/>
        </w:numPr>
        <w:spacing w:line="360" w:lineRule="auto"/>
        <w:ind w:left="0" w:firstLine="560" w:firstLineChars="200"/>
        <w:jc w:val="left"/>
        <w:rPr>
          <w:rFonts w:ascii="宋体" w:hAnsi="宋体" w:cs="宋体"/>
          <w:sz w:val="28"/>
          <w:szCs w:val="28"/>
          <w:u w:val="single"/>
        </w:rPr>
      </w:pPr>
      <w:r>
        <w:rPr>
          <w:rFonts w:hint="eastAsia" w:ascii="宋体" w:hAnsi="宋体" w:cs="宋体"/>
          <w:sz w:val="28"/>
          <w:szCs w:val="28"/>
        </w:rPr>
        <w:t>法定代表人姓名：XXXX</w:t>
      </w:r>
    </w:p>
    <w:p>
      <w:pPr>
        <w:widowControl/>
        <w:numPr>
          <w:ilvl w:val="2"/>
          <w:numId w:val="34"/>
        </w:numPr>
        <w:tabs>
          <w:tab w:val="left" w:pos="1276"/>
        </w:tabs>
        <w:spacing w:line="360" w:lineRule="auto"/>
        <w:ind w:left="0" w:firstLine="567"/>
        <w:rPr>
          <w:rFonts w:ascii="宋体" w:hAnsi="宋体" w:cs="宋体"/>
          <w:sz w:val="28"/>
          <w:szCs w:val="28"/>
        </w:rPr>
      </w:pPr>
      <w:r>
        <w:rPr>
          <w:rFonts w:hint="eastAsia" w:ascii="宋体" w:hAnsi="宋体" w:cs="宋体"/>
          <w:sz w:val="28"/>
          <w:szCs w:val="28"/>
        </w:rPr>
        <w:t>开户银行名称：XXXX</w:t>
      </w:r>
    </w:p>
    <w:p>
      <w:pPr>
        <w:spacing w:line="360" w:lineRule="auto"/>
        <w:ind w:firstLine="1260" w:firstLineChars="450"/>
        <w:rPr>
          <w:rFonts w:ascii="宋体" w:hAnsi="宋体" w:cs="宋体"/>
          <w:sz w:val="28"/>
          <w:szCs w:val="28"/>
          <w:u w:val="single"/>
        </w:rPr>
      </w:pPr>
      <w:r>
        <w:rPr>
          <w:rFonts w:hint="eastAsia" w:ascii="宋体" w:hAnsi="宋体" w:cs="宋体"/>
          <w:sz w:val="28"/>
          <w:szCs w:val="28"/>
        </w:rPr>
        <w:t>地址：XXXX</w:t>
      </w:r>
    </w:p>
    <w:p>
      <w:pPr>
        <w:spacing w:line="360" w:lineRule="auto"/>
        <w:ind w:firstLine="1260" w:firstLineChars="450"/>
        <w:rPr>
          <w:rFonts w:ascii="宋体" w:hAnsi="宋体" w:cs="宋体"/>
          <w:sz w:val="28"/>
          <w:szCs w:val="28"/>
        </w:rPr>
      </w:pPr>
      <w:r>
        <w:rPr>
          <w:rFonts w:hint="eastAsia" w:ascii="宋体" w:hAnsi="宋体" w:cs="宋体"/>
          <w:sz w:val="28"/>
          <w:szCs w:val="28"/>
        </w:rPr>
        <w:t>账号：XXXX</w:t>
      </w:r>
    </w:p>
    <w:p>
      <w:pPr>
        <w:spacing w:line="360" w:lineRule="auto"/>
        <w:ind w:firstLine="560" w:firstLineChars="200"/>
        <w:rPr>
          <w:rFonts w:ascii="宋体" w:hAnsi="宋体" w:cs="宋体"/>
          <w:sz w:val="28"/>
          <w:szCs w:val="28"/>
        </w:rPr>
      </w:pPr>
      <w:r>
        <w:rPr>
          <w:rFonts w:hint="eastAsia" w:ascii="宋体" w:hAnsi="宋体" w:cs="宋体"/>
          <w:sz w:val="28"/>
          <w:szCs w:val="28"/>
        </w:rPr>
        <w:t>投标人名称：</w:t>
      </w:r>
      <w:r>
        <w:rPr>
          <w:rFonts w:hint="eastAsia" w:ascii="宋体" w:hAnsi="宋体" w:cs="宋体"/>
          <w:sz w:val="28"/>
          <w:szCs w:val="28"/>
          <w:u w:val="single"/>
        </w:rPr>
        <w:t>XXXX</w:t>
      </w:r>
    </w:p>
    <w:p>
      <w:pPr>
        <w:spacing w:line="360" w:lineRule="auto"/>
        <w:ind w:left="283" w:leftChars="135" w:firstLine="280" w:firstLineChars="100"/>
      </w:pPr>
      <w:r>
        <w:rPr>
          <w:rFonts w:hint="eastAsia" w:ascii="宋体" w:hAnsi="宋体" w:cs="宋体"/>
          <w:bCs/>
          <w:sz w:val="28"/>
          <w:szCs w:val="28"/>
        </w:rPr>
        <w:t>日    期：</w:t>
      </w:r>
      <w:r>
        <w:rPr>
          <w:rFonts w:hint="eastAsia" w:ascii="宋体" w:hAnsi="宋体" w:cs="宋体"/>
          <w:bCs/>
          <w:sz w:val="28"/>
        </w:rPr>
        <w:t>202</w:t>
      </w:r>
      <w:r>
        <w:rPr>
          <w:rFonts w:hint="eastAsia" w:ascii="宋体" w:hAnsi="宋体" w:cs="宋体"/>
          <w:bCs/>
          <w:sz w:val="28"/>
          <w:u w:val="single"/>
        </w:rPr>
        <w:t>X</w:t>
      </w:r>
      <w:r>
        <w:rPr>
          <w:rFonts w:hint="eastAsia" w:ascii="宋体" w:hAnsi="宋体" w:cs="宋体"/>
          <w:bCs/>
          <w:sz w:val="28"/>
        </w:rPr>
        <w:t>年</w:t>
      </w:r>
      <w:r>
        <w:rPr>
          <w:rFonts w:hint="eastAsia" w:ascii="宋体" w:hAnsi="宋体" w:cs="宋体"/>
          <w:bCs/>
          <w:sz w:val="28"/>
          <w:u w:val="single"/>
        </w:rPr>
        <w:t>XX</w:t>
      </w:r>
      <w:r>
        <w:rPr>
          <w:rFonts w:hint="eastAsia" w:ascii="宋体" w:hAnsi="宋体" w:cs="宋体"/>
          <w:bCs/>
          <w:sz w:val="28"/>
        </w:rPr>
        <w:t>月</w:t>
      </w:r>
      <w:r>
        <w:rPr>
          <w:rFonts w:hint="eastAsia" w:ascii="宋体" w:hAnsi="宋体" w:cs="宋体"/>
          <w:bCs/>
          <w:sz w:val="28"/>
          <w:u w:val="single"/>
        </w:rPr>
        <w:t>XX</w:t>
      </w:r>
      <w:r>
        <w:rPr>
          <w:rFonts w:hint="eastAsia" w:ascii="宋体" w:hAnsi="宋体" w:cs="宋体"/>
          <w:bCs/>
          <w:sz w:val="28"/>
        </w:rPr>
        <w:t>日</w:t>
      </w:r>
    </w:p>
    <w:p>
      <w:pPr>
        <w:keepNext/>
        <w:keepLines/>
        <w:numPr>
          <w:ilvl w:val="2"/>
          <w:numId w:val="2"/>
        </w:numPr>
        <w:spacing w:line="360" w:lineRule="auto"/>
        <w:ind w:left="3119" w:hanging="3119"/>
        <w:outlineLvl w:val="2"/>
        <w:rPr>
          <w:rFonts w:ascii="宋体" w:hAnsi="宋体" w:cs="宋体"/>
          <w:b/>
          <w:bCs/>
          <w:sz w:val="28"/>
          <w:szCs w:val="28"/>
        </w:rPr>
      </w:pPr>
      <w:r>
        <w:rPr>
          <w:rFonts w:hint="eastAsia" w:ascii="宋体" w:hAnsi="宋体" w:cs="宋体"/>
          <w:b/>
          <w:bCs/>
          <w:sz w:val="28"/>
          <w:szCs w:val="28"/>
        </w:rPr>
        <w:t>声明</w:t>
      </w:r>
    </w:p>
    <w:p>
      <w:pPr>
        <w:tabs>
          <w:tab w:val="left" w:pos="1260"/>
        </w:tabs>
        <w:spacing w:line="560" w:lineRule="exact"/>
        <w:rPr>
          <w:rFonts w:ascii="宋体" w:hAnsi="宋体" w:cs="宋体"/>
          <w:sz w:val="28"/>
          <w:szCs w:val="28"/>
        </w:rPr>
      </w:pPr>
      <w:r>
        <w:rPr>
          <w:rFonts w:hint="eastAsia" w:ascii="宋体" w:hAnsi="宋体" w:cs="宋体"/>
          <w:sz w:val="28"/>
          <w:szCs w:val="28"/>
        </w:rPr>
        <w:t>致：成都市双流区公共资源交易服务中心</w:t>
      </w:r>
    </w:p>
    <w:p>
      <w:pPr>
        <w:tabs>
          <w:tab w:val="left" w:pos="1260"/>
        </w:tabs>
        <w:spacing w:line="560" w:lineRule="exact"/>
        <w:ind w:firstLine="560" w:firstLineChars="200"/>
        <w:rPr>
          <w:rFonts w:ascii="宋体" w:hAnsi="宋体" w:cs="宋体"/>
          <w:sz w:val="28"/>
          <w:szCs w:val="28"/>
        </w:rPr>
      </w:pPr>
      <w:r>
        <w:rPr>
          <w:rFonts w:hint="eastAsia" w:ascii="宋体" w:hAnsi="宋体" w:cs="宋体"/>
          <w:sz w:val="28"/>
          <w:szCs w:val="28"/>
        </w:rPr>
        <w:t>我单位作为</w:t>
      </w:r>
      <w:r>
        <w:rPr>
          <w:rFonts w:hint="eastAsia" w:ascii="宋体" w:hAnsi="宋体" w:cs="宋体"/>
          <w:b/>
          <w:bCs/>
          <w:sz w:val="28"/>
          <w:szCs w:val="28"/>
          <w:u w:val="single"/>
        </w:rPr>
        <w:t>成都市双流区人民政府怡心街道办事处生活垃圾清运服务采购项目（项目编号：双流政采（2021）A0118号）</w:t>
      </w:r>
      <w:r>
        <w:rPr>
          <w:rFonts w:hint="eastAsia" w:ascii="宋体" w:hAnsi="宋体" w:cs="宋体"/>
          <w:sz w:val="28"/>
          <w:szCs w:val="28"/>
        </w:rPr>
        <w:t>的投标人，在此郑重声明：</w:t>
      </w:r>
    </w:p>
    <w:p>
      <w:pPr>
        <w:ind w:firstLine="560" w:firstLineChars="200"/>
        <w:rPr>
          <w:rFonts w:ascii="宋体" w:hAnsi="宋体" w:cs="宋体"/>
          <w:sz w:val="28"/>
          <w:szCs w:val="28"/>
        </w:rPr>
      </w:pPr>
      <w:r>
        <w:rPr>
          <w:rFonts w:hint="eastAsia" w:ascii="宋体" w:hAnsi="宋体" w:cs="宋体"/>
          <w:sz w:val="28"/>
          <w:szCs w:val="28"/>
        </w:rPr>
        <w:t>一、我单位参加政府采购活动前三年内，在经营活动中</w:t>
      </w:r>
      <w:r>
        <w:rPr>
          <w:rFonts w:hint="eastAsia" w:ascii="宋体" w:hAnsi="宋体" w:cs="宋体"/>
          <w:b/>
          <w:sz w:val="28"/>
          <w:szCs w:val="28"/>
          <w:u w:val="single"/>
        </w:rPr>
        <w:t>（说明：填写“没有”或“有”）</w:t>
      </w:r>
      <w:r>
        <w:rPr>
          <w:rFonts w:hint="eastAsia" w:ascii="宋体" w:hAnsi="宋体" w:cs="宋体"/>
          <w:sz w:val="28"/>
          <w:szCs w:val="28"/>
        </w:rPr>
        <w:t>重大违法记录。</w:t>
      </w:r>
    </w:p>
    <w:p>
      <w:pPr>
        <w:ind w:firstLine="560" w:firstLineChars="200"/>
        <w:rPr>
          <w:rFonts w:ascii="宋体" w:hAnsi="宋体" w:cs="宋体"/>
          <w:sz w:val="28"/>
          <w:szCs w:val="28"/>
        </w:rPr>
      </w:pPr>
      <w:r>
        <w:rPr>
          <w:rFonts w:hint="eastAsia" w:ascii="宋体" w:hAnsi="宋体" w:cs="宋体"/>
          <w:sz w:val="28"/>
          <w:szCs w:val="28"/>
        </w:rPr>
        <w:t>二、我单位</w:t>
      </w:r>
      <w:r>
        <w:rPr>
          <w:rFonts w:hint="eastAsia" w:ascii="宋体" w:hAnsi="宋体" w:cs="宋体"/>
          <w:b/>
          <w:sz w:val="28"/>
          <w:szCs w:val="28"/>
          <w:u w:val="single"/>
        </w:rPr>
        <w:t>（说明：填写“具有”或“不具有”）</w:t>
      </w:r>
      <w:r>
        <w:rPr>
          <w:rFonts w:hint="eastAsia" w:ascii="宋体" w:hAnsi="宋体" w:cs="宋体"/>
          <w:sz w:val="28"/>
          <w:szCs w:val="28"/>
        </w:rPr>
        <w:t>良好的商业信誉。</w:t>
      </w:r>
    </w:p>
    <w:p>
      <w:pPr>
        <w:ind w:firstLine="560" w:firstLineChars="200"/>
        <w:rPr>
          <w:rFonts w:ascii="宋体" w:hAnsi="宋体" w:cs="宋体"/>
          <w:sz w:val="28"/>
          <w:szCs w:val="28"/>
        </w:rPr>
      </w:pPr>
      <w:r>
        <w:rPr>
          <w:rFonts w:hint="eastAsia" w:ascii="宋体" w:hAnsi="宋体" w:cs="宋体"/>
          <w:sz w:val="28"/>
          <w:szCs w:val="28"/>
        </w:rPr>
        <w:t>三、与我单位负责人为同一人或者存在直接控股、管理关系的相关投标人：</w:t>
      </w:r>
      <w:r>
        <w:rPr>
          <w:rFonts w:hint="eastAsia" w:ascii="宋体" w:hAnsi="宋体" w:cs="宋体"/>
          <w:b/>
          <w:sz w:val="28"/>
          <w:szCs w:val="28"/>
          <w:u w:val="single"/>
        </w:rPr>
        <w:t>（说明：填写“无”或“（一）投标人名称１；（二）投标人名称２；（三）……”）</w:t>
      </w:r>
      <w:r>
        <w:rPr>
          <w:rFonts w:hint="eastAsia" w:ascii="宋体" w:hAnsi="宋体" w:cs="宋体"/>
          <w:sz w:val="28"/>
          <w:szCs w:val="28"/>
        </w:rPr>
        <w:t xml:space="preserve"> 。</w:t>
      </w:r>
    </w:p>
    <w:p>
      <w:pPr>
        <w:ind w:firstLine="560" w:firstLineChars="200"/>
        <w:rPr>
          <w:rFonts w:ascii="宋体" w:hAnsi="宋体" w:cs="宋体"/>
          <w:sz w:val="28"/>
          <w:szCs w:val="28"/>
        </w:rPr>
      </w:pPr>
      <w:r>
        <w:rPr>
          <w:rFonts w:hint="eastAsia" w:ascii="宋体" w:hAnsi="宋体" w:cs="宋体"/>
          <w:sz w:val="28"/>
          <w:szCs w:val="28"/>
        </w:rPr>
        <w:t>四、在行贿犯罪信息查询期限内，我单位及我单位现任法定代表人、主要负责人</w:t>
      </w:r>
      <w:r>
        <w:rPr>
          <w:rFonts w:hint="eastAsia" w:ascii="宋体" w:hAnsi="宋体" w:cs="宋体"/>
          <w:b/>
          <w:sz w:val="28"/>
          <w:szCs w:val="28"/>
          <w:u w:val="single"/>
        </w:rPr>
        <w:t>（说明：填写“没有”或“有”）</w:t>
      </w:r>
      <w:r>
        <w:rPr>
          <w:rFonts w:hint="eastAsia" w:ascii="宋体" w:hAnsi="宋体" w:cs="宋体"/>
          <w:sz w:val="28"/>
          <w:szCs w:val="28"/>
        </w:rPr>
        <w:t>行贿犯罪记录。</w:t>
      </w:r>
    </w:p>
    <w:p>
      <w:pPr>
        <w:ind w:firstLine="560" w:firstLineChars="200"/>
        <w:rPr>
          <w:rFonts w:ascii="宋体" w:hAnsi="宋体" w:cs="宋体"/>
          <w:sz w:val="28"/>
          <w:szCs w:val="28"/>
        </w:rPr>
      </w:pPr>
      <w:r>
        <w:rPr>
          <w:rFonts w:hint="eastAsia" w:ascii="宋体" w:hAnsi="宋体" w:cs="宋体"/>
          <w:sz w:val="28"/>
          <w:szCs w:val="28"/>
        </w:rPr>
        <w:t>五、我单位</w:t>
      </w:r>
      <w:r>
        <w:rPr>
          <w:rFonts w:hint="eastAsia" w:ascii="宋体" w:hAnsi="宋体" w:cs="宋体"/>
          <w:b/>
          <w:sz w:val="28"/>
          <w:szCs w:val="28"/>
          <w:u w:val="single"/>
        </w:rPr>
        <w:t>（说明：填写“未列入”或“被列入”）</w:t>
      </w:r>
      <w:r>
        <w:rPr>
          <w:rFonts w:hint="eastAsia" w:ascii="宋体" w:hAnsi="宋体" w:cs="宋体"/>
          <w:sz w:val="28"/>
          <w:szCs w:val="28"/>
        </w:rPr>
        <w:t>失信被执行人、重大税收违法案件当事人名单。</w:t>
      </w:r>
    </w:p>
    <w:p>
      <w:pPr>
        <w:ind w:firstLine="560" w:firstLineChars="200"/>
        <w:rPr>
          <w:rFonts w:ascii="宋体" w:hAnsi="宋体" w:cs="宋体"/>
          <w:sz w:val="28"/>
          <w:szCs w:val="28"/>
        </w:rPr>
      </w:pPr>
      <w:r>
        <w:rPr>
          <w:rFonts w:hint="eastAsia" w:ascii="宋体" w:hAnsi="宋体" w:cs="宋体"/>
          <w:sz w:val="28"/>
          <w:szCs w:val="28"/>
        </w:rPr>
        <w:t>我单位</w:t>
      </w:r>
      <w:r>
        <w:rPr>
          <w:rFonts w:hint="eastAsia" w:ascii="宋体" w:hAnsi="宋体" w:cs="宋体"/>
          <w:b/>
          <w:sz w:val="28"/>
          <w:szCs w:val="28"/>
          <w:u w:val="single"/>
        </w:rPr>
        <w:t>（说明：填写“未列入”或“被列入”）</w:t>
      </w:r>
      <w:r>
        <w:rPr>
          <w:rFonts w:hint="eastAsia" w:ascii="宋体" w:hAnsi="宋体" w:cs="宋体"/>
          <w:sz w:val="28"/>
          <w:szCs w:val="28"/>
        </w:rPr>
        <w:t>政府采购严重违法失信行为记录名单。</w:t>
      </w:r>
    </w:p>
    <w:p>
      <w:pPr>
        <w:ind w:firstLine="560" w:firstLineChars="200"/>
        <w:rPr>
          <w:rFonts w:ascii="宋体" w:hAnsi="宋体" w:cs="宋体"/>
          <w:bCs/>
        </w:rPr>
      </w:pPr>
      <w:r>
        <w:rPr>
          <w:rFonts w:hint="eastAsia" w:ascii="宋体" w:hAnsi="宋体" w:cs="宋体"/>
          <w:sz w:val="28"/>
          <w:szCs w:val="28"/>
        </w:rPr>
        <w:t>六、我单位</w:t>
      </w:r>
      <w:r>
        <w:rPr>
          <w:rFonts w:hint="eastAsia" w:ascii="宋体" w:hAnsi="宋体" w:cs="宋体"/>
          <w:b/>
          <w:sz w:val="28"/>
          <w:szCs w:val="28"/>
          <w:u w:val="single"/>
        </w:rPr>
        <w:t>（说明：填写“未处于”或“处于”）</w:t>
      </w:r>
      <w:r>
        <w:rPr>
          <w:rFonts w:hint="eastAsia" w:ascii="宋体" w:hAnsi="宋体" w:cs="宋体"/>
          <w:bCs/>
          <w:sz w:val="28"/>
          <w:szCs w:val="28"/>
        </w:rPr>
        <w:t>被行政部门禁止参与政府采购活动的期限内。</w:t>
      </w:r>
    </w:p>
    <w:p>
      <w:pPr>
        <w:ind w:firstLine="560" w:firstLineChars="200"/>
        <w:rPr>
          <w:rFonts w:ascii="宋体" w:hAnsi="宋体" w:cs="宋体"/>
          <w:sz w:val="28"/>
          <w:szCs w:val="28"/>
        </w:rPr>
      </w:pPr>
      <w:r>
        <w:rPr>
          <w:rFonts w:hint="eastAsia" w:ascii="宋体" w:hAnsi="宋体" w:cs="宋体"/>
          <w:sz w:val="28"/>
          <w:szCs w:val="28"/>
        </w:rPr>
        <w:t>特此声明。</w:t>
      </w:r>
    </w:p>
    <w:p>
      <w:pPr>
        <w:ind w:firstLine="560" w:firstLineChars="200"/>
        <w:rPr>
          <w:rFonts w:ascii="宋体" w:hAnsi="宋体" w:cs="宋体"/>
          <w:sz w:val="28"/>
          <w:szCs w:val="28"/>
        </w:rPr>
      </w:pPr>
      <w:r>
        <w:rPr>
          <w:rFonts w:hint="eastAsia" w:ascii="宋体" w:hAnsi="宋体" w:cs="宋体"/>
          <w:sz w:val="28"/>
          <w:szCs w:val="28"/>
        </w:rPr>
        <w:t>投标人名称：XXXX</w:t>
      </w:r>
    </w:p>
    <w:p>
      <w:pPr>
        <w:ind w:firstLine="560" w:firstLineChars="200"/>
        <w:rPr>
          <w:rFonts w:ascii="宋体" w:hAnsi="宋体" w:cs="宋体"/>
          <w:sz w:val="28"/>
          <w:szCs w:val="28"/>
        </w:rPr>
      </w:pPr>
      <w:r>
        <w:rPr>
          <w:rFonts w:hint="eastAsia" w:ascii="宋体" w:hAnsi="宋体" w:cs="宋体"/>
          <w:sz w:val="28"/>
          <w:szCs w:val="28"/>
        </w:rPr>
        <w:t>日    期：20XX年XX月XX日</w:t>
      </w:r>
    </w:p>
    <w:p>
      <w:pPr>
        <w:ind w:firstLine="560" w:firstLineChars="200"/>
        <w:rPr>
          <w:rFonts w:ascii="宋体" w:hAnsi="宋体" w:cs="宋体"/>
          <w:sz w:val="28"/>
          <w:szCs w:val="28"/>
        </w:rPr>
      </w:pPr>
      <w:r>
        <w:rPr>
          <w:rFonts w:hint="eastAsia" w:ascii="宋体" w:hAnsi="宋体" w:cs="宋体"/>
          <w:color w:val="auto"/>
          <w:sz w:val="28"/>
          <w:szCs w:val="28"/>
        </w:rPr>
        <w:t>说明： 1.对声明中第一条的说明：如投标人在参加政府采购活动前三年内，在经营活动</w:t>
      </w:r>
      <w:r>
        <w:rPr>
          <w:rFonts w:hint="eastAsia" w:ascii="宋体" w:hAnsi="宋体" w:cs="宋体"/>
          <w:sz w:val="28"/>
          <w:szCs w:val="28"/>
        </w:rPr>
        <w:t>中有重大违法记录的，应填写“有”，投标人将被认定投标无效或被取消中标资格；</w:t>
      </w:r>
    </w:p>
    <w:p>
      <w:pPr>
        <w:ind w:firstLine="560" w:firstLineChars="200"/>
        <w:rPr>
          <w:rFonts w:ascii="宋体" w:hAnsi="宋体" w:cs="宋体"/>
          <w:sz w:val="28"/>
          <w:szCs w:val="28"/>
        </w:rPr>
      </w:pPr>
      <w:r>
        <w:rPr>
          <w:rFonts w:hint="eastAsia" w:ascii="宋体" w:hAnsi="宋体" w:cs="宋体"/>
          <w:sz w:val="28"/>
          <w:szCs w:val="28"/>
        </w:rPr>
        <w:t>2.对声明中第三条的说明：单位负责人为同一人或者存在直接控股、管理关系的不同投标人，不得参加同一合同项下的政府采购活动；</w:t>
      </w:r>
    </w:p>
    <w:p>
      <w:pPr>
        <w:ind w:firstLine="560" w:firstLineChars="200"/>
        <w:rPr>
          <w:rFonts w:ascii="宋体" w:hAnsi="宋体" w:cs="宋体"/>
          <w:sz w:val="28"/>
          <w:szCs w:val="28"/>
        </w:rPr>
      </w:pPr>
      <w:r>
        <w:rPr>
          <w:rFonts w:hint="eastAsia" w:ascii="宋体" w:hAnsi="宋体" w:cs="宋体"/>
          <w:sz w:val="28"/>
          <w:szCs w:val="28"/>
        </w:rPr>
        <w:t>3.对声明中第四条的说明：在行贿犯罪信息查询期限内，投标人根据中国裁判文书网（https://wenshu.court.gov.cn）查询结果，如果投标人及其现任法定代表人、主要负责人有行贿犯罪记录的，投标人应填写“有”，投标人将被认定投标无效或被取消中标资格；</w:t>
      </w:r>
    </w:p>
    <w:p>
      <w:pPr>
        <w:ind w:firstLine="560" w:firstLineChars="200"/>
        <w:rPr>
          <w:rFonts w:ascii="宋体" w:hAnsi="宋体" w:cs="宋体"/>
          <w:sz w:val="28"/>
          <w:szCs w:val="28"/>
        </w:rPr>
      </w:pPr>
      <w:r>
        <w:rPr>
          <w:rFonts w:hint="eastAsia" w:ascii="宋体" w:hAnsi="宋体" w:cs="宋体"/>
          <w:sz w:val="28"/>
          <w:szCs w:val="28"/>
        </w:rPr>
        <w:t>4.对声明中第五条的说明：投标人如被列入失信被执行人、重大税收违法案件当事人名单，应填写“被列入”，投标人将被认定投标无效或被取消中标资格；投标人如被列入政府采购严重违法失信行为记录名单，应填写“被列入”，投标人将被认定投标无效或被取消中标资格；</w:t>
      </w:r>
    </w:p>
    <w:p>
      <w:pPr>
        <w:ind w:firstLine="560" w:firstLineChars="200"/>
        <w:rPr>
          <w:rFonts w:ascii="宋体" w:hAnsi="宋体" w:cs="宋体"/>
          <w:sz w:val="28"/>
          <w:szCs w:val="28"/>
        </w:rPr>
      </w:pPr>
      <w:r>
        <w:rPr>
          <w:rFonts w:hint="eastAsia" w:ascii="宋体" w:hAnsi="宋体" w:cs="宋体"/>
          <w:sz w:val="28"/>
          <w:szCs w:val="28"/>
        </w:rPr>
        <w:t>5.对声明中第六条的说明：如投标人处于被行政部门禁止参加政府采购活动期限内的，该声明填“处于”，投标人将被认定投标无效或被取消中标资格。</w:t>
      </w:r>
    </w:p>
    <w:p>
      <w:pPr>
        <w:pStyle w:val="4"/>
        <w:spacing w:after="0"/>
        <w:rPr>
          <w:color w:val="auto"/>
        </w:rPr>
      </w:pPr>
      <w:r>
        <w:rPr>
          <w:rFonts w:hint="eastAsia"/>
          <w:color w:val="auto"/>
        </w:rPr>
        <w:t>中小企业声明函</w:t>
      </w:r>
    </w:p>
    <w:p>
      <w:pPr>
        <w:spacing w:line="588" w:lineRule="exact"/>
        <w:jc w:val="center"/>
        <w:rPr>
          <w:rFonts w:ascii="宋体" w:hAnsi="宋体" w:cs="宋体"/>
          <w:b/>
          <w:spacing w:val="6"/>
          <w:sz w:val="28"/>
          <w:szCs w:val="28"/>
        </w:rPr>
      </w:pPr>
      <w:r>
        <w:rPr>
          <w:rFonts w:hint="eastAsia" w:ascii="宋体" w:hAnsi="宋体" w:cs="宋体"/>
          <w:b/>
          <w:spacing w:val="6"/>
          <w:sz w:val="28"/>
          <w:szCs w:val="28"/>
        </w:rPr>
        <w:t>中小企业声明函</w:t>
      </w:r>
    </w:p>
    <w:p>
      <w:pPr>
        <w:pStyle w:val="2"/>
        <w:spacing w:line="302" w:lineRule="auto"/>
        <w:ind w:right="415" w:firstLine="640"/>
        <w:rPr>
          <w:rFonts w:ascii="宋体" w:hAnsi="宋体" w:cs="宋体"/>
          <w:kern w:val="0"/>
          <w:sz w:val="28"/>
          <w:szCs w:val="28"/>
        </w:rPr>
      </w:pPr>
      <w:r>
        <w:rPr>
          <w:rFonts w:hint="eastAsia" w:ascii="宋体" w:hAnsi="宋体" w:cs="宋体"/>
          <w:kern w:val="0"/>
          <w:sz w:val="28"/>
          <w:szCs w:val="28"/>
        </w:rPr>
        <w:t>本公司（联合体）郑重声明，根据《政府采购促进中小企业发展管理办法》（财库﹝2020﹞46 号）的规定，本公司（联合体）参加</w:t>
      </w:r>
      <w:r>
        <w:rPr>
          <w:rFonts w:hint="eastAsia" w:ascii="宋体" w:hAnsi="宋体" w:cs="宋体"/>
          <w:b/>
          <w:bCs/>
          <w:kern w:val="0"/>
          <w:sz w:val="28"/>
          <w:szCs w:val="28"/>
          <w:u w:val="single"/>
        </w:rPr>
        <w:t>成都市双流区人民政府怡心街道办事处</w:t>
      </w:r>
      <w:r>
        <w:rPr>
          <w:rFonts w:hint="eastAsia" w:ascii="宋体" w:hAnsi="宋体"/>
          <w:sz w:val="28"/>
          <w:szCs w:val="28"/>
        </w:rPr>
        <w:t>（单位名称）</w:t>
      </w:r>
      <w:r>
        <w:rPr>
          <w:rFonts w:hint="eastAsia" w:ascii="宋体" w:hAnsi="宋体" w:cs="宋体"/>
          <w:kern w:val="0"/>
          <w:sz w:val="28"/>
          <w:szCs w:val="28"/>
        </w:rPr>
        <w:t>的</w:t>
      </w:r>
      <w:r>
        <w:rPr>
          <w:rFonts w:hint="eastAsia" w:ascii="宋体" w:hAnsi="宋体" w:cs="宋体"/>
          <w:b/>
          <w:bCs/>
          <w:kern w:val="0"/>
          <w:sz w:val="28"/>
          <w:szCs w:val="28"/>
          <w:u w:val="single"/>
        </w:rPr>
        <w:t>成都市双流区人民政府怡心街道办事处生活垃圾清运服务采购项目</w:t>
      </w:r>
      <w:r>
        <w:rPr>
          <w:rFonts w:hint="eastAsia" w:ascii="宋体" w:hAnsi="宋体" w:cs="宋体"/>
          <w:b/>
          <w:bCs/>
          <w:sz w:val="28"/>
          <w:szCs w:val="28"/>
          <w:u w:val="single"/>
        </w:rPr>
        <w:t>（项目编号：双流政采（2021）A0118号）</w:t>
      </w:r>
      <w:r>
        <w:rPr>
          <w:rFonts w:hint="eastAsia" w:ascii="宋体" w:hAnsi="宋体" w:cs="宋体"/>
          <w:kern w:val="0"/>
          <w:sz w:val="28"/>
          <w:szCs w:val="28"/>
        </w:rPr>
        <w:t>采购活动，服务全部由符合政策要求的中小企业承接。相关企业（含联合体中的中小企业、签订分包意向协议的中小企业）的具体情况如下：</w:t>
      </w:r>
    </w:p>
    <w:p>
      <w:pPr>
        <w:pStyle w:val="2"/>
        <w:spacing w:line="302" w:lineRule="auto"/>
        <w:ind w:right="415" w:firstLine="640"/>
        <w:rPr>
          <w:rFonts w:ascii="宋体" w:hAnsi="宋体" w:cs="宋体"/>
          <w:kern w:val="0"/>
          <w:sz w:val="28"/>
          <w:szCs w:val="28"/>
        </w:rPr>
      </w:pPr>
      <w:r>
        <w:rPr>
          <w:rFonts w:hint="eastAsia" w:ascii="宋体" w:hAnsi="宋体" w:cs="宋体"/>
          <w:b/>
          <w:sz w:val="28"/>
          <w:szCs w:val="28"/>
          <w:u w:val="single"/>
        </w:rPr>
        <w:t>成都市双流区人民政府怡心街道办事处生活垃圾清运服务采购项目</w:t>
      </w:r>
      <w:r>
        <w:rPr>
          <w:rFonts w:hint="eastAsia" w:ascii="宋体" w:hAnsi="宋体" w:cs="宋体"/>
          <w:kern w:val="0"/>
          <w:sz w:val="28"/>
          <w:szCs w:val="28"/>
        </w:rPr>
        <w:t>，属于</w:t>
      </w:r>
      <w:r>
        <w:rPr>
          <w:rFonts w:hint="eastAsia" w:ascii="宋体" w:hAnsi="宋体" w:cs="宋体"/>
          <w:color w:val="000000" w:themeColor="text1"/>
          <w:sz w:val="28"/>
          <w:szCs w:val="28"/>
          <w:u w:val="single"/>
          <w14:textFill>
            <w14:solidFill>
              <w14:schemeClr w14:val="tx1"/>
            </w14:solidFill>
          </w14:textFill>
        </w:rPr>
        <w:t>其他未列明行业</w:t>
      </w:r>
      <w:r>
        <w:rPr>
          <w:rFonts w:hint="eastAsia" w:ascii="宋体" w:hAnsi="宋体" w:cs="宋体"/>
          <w:color w:val="000000" w:themeColor="text1"/>
          <w:kern w:val="0"/>
          <w:sz w:val="28"/>
          <w:szCs w:val="28"/>
          <w14:textFill>
            <w14:solidFill>
              <w14:schemeClr w14:val="tx1"/>
            </w14:solidFill>
          </w14:textFill>
        </w:rPr>
        <w:t>；承接企业为</w:t>
      </w:r>
      <w:r>
        <w:rPr>
          <w:rFonts w:hint="eastAsia" w:ascii="宋体" w:hAnsi="宋体" w:cs="宋体"/>
          <w:color w:val="000000" w:themeColor="text1"/>
          <w:kern w:val="0"/>
          <w:sz w:val="28"/>
          <w:szCs w:val="28"/>
          <w:u w:val="single"/>
          <w14:textFill>
            <w14:solidFill>
              <w14:schemeClr w14:val="tx1"/>
            </w14:solidFill>
          </w14:textFill>
        </w:rPr>
        <w:t>XXXX（企业名称）</w:t>
      </w:r>
      <w:r>
        <w:rPr>
          <w:rFonts w:hint="eastAsia" w:ascii="宋体" w:hAnsi="宋体" w:cs="宋体"/>
          <w:color w:val="000000" w:themeColor="text1"/>
          <w:kern w:val="0"/>
          <w:sz w:val="28"/>
          <w:szCs w:val="28"/>
          <w14:textFill>
            <w14:solidFill>
              <w14:schemeClr w14:val="tx1"/>
            </w14:solidFill>
          </w14:textFill>
        </w:rPr>
        <w:t>，从业人员</w:t>
      </w:r>
      <w:r>
        <w:rPr>
          <w:rFonts w:hint="eastAsia" w:ascii="宋体" w:hAnsi="宋体" w:cs="宋体"/>
          <w:color w:val="000000" w:themeColor="text1"/>
          <w:kern w:val="0"/>
          <w:sz w:val="28"/>
          <w:szCs w:val="28"/>
          <w:u w:val="single"/>
          <w14:textFill>
            <w14:solidFill>
              <w14:schemeClr w14:val="tx1"/>
            </w14:solidFill>
          </w14:textFill>
        </w:rPr>
        <w:t>XX</w:t>
      </w:r>
      <w:r>
        <w:rPr>
          <w:rFonts w:hint="eastAsia" w:ascii="宋体" w:hAnsi="宋体" w:cs="宋体"/>
          <w:color w:val="000000" w:themeColor="text1"/>
          <w:kern w:val="0"/>
          <w:sz w:val="28"/>
          <w:szCs w:val="28"/>
          <w14:textFill>
            <w14:solidFill>
              <w14:schemeClr w14:val="tx1"/>
            </w14:solidFill>
          </w14:textFill>
        </w:rPr>
        <w:t>人，</w:t>
      </w:r>
      <w:r>
        <w:rPr>
          <w:rFonts w:hint="eastAsia" w:ascii="宋体" w:hAnsi="宋体" w:cs="宋体"/>
          <w:kern w:val="0"/>
          <w:sz w:val="28"/>
          <w:szCs w:val="28"/>
        </w:rPr>
        <w:t>营业收入为</w:t>
      </w:r>
      <w:r>
        <w:rPr>
          <w:rFonts w:hint="eastAsia" w:ascii="宋体" w:hAnsi="宋体" w:cs="宋体"/>
          <w:kern w:val="0"/>
          <w:sz w:val="28"/>
          <w:szCs w:val="28"/>
          <w:u w:val="single"/>
        </w:rPr>
        <w:t>XX</w:t>
      </w:r>
      <w:r>
        <w:rPr>
          <w:rFonts w:hint="eastAsia" w:ascii="宋体" w:hAnsi="宋体" w:cs="宋体"/>
          <w:kern w:val="0"/>
          <w:sz w:val="28"/>
          <w:szCs w:val="28"/>
        </w:rPr>
        <w:t>万元，资产总额为</w:t>
      </w:r>
      <w:r>
        <w:rPr>
          <w:rFonts w:hint="eastAsia" w:ascii="宋体" w:hAnsi="宋体" w:cs="宋体"/>
          <w:kern w:val="0"/>
          <w:sz w:val="28"/>
          <w:szCs w:val="28"/>
          <w:u w:val="single"/>
        </w:rPr>
        <w:t>XX</w:t>
      </w:r>
      <w:r>
        <w:rPr>
          <w:rFonts w:hint="eastAsia" w:ascii="宋体" w:hAnsi="宋体" w:cs="宋体"/>
          <w:kern w:val="0"/>
          <w:sz w:val="28"/>
          <w:szCs w:val="28"/>
        </w:rPr>
        <w:t>万元，属于</w:t>
      </w:r>
      <w:r>
        <w:rPr>
          <w:rFonts w:hint="eastAsia" w:ascii="宋体" w:hAnsi="宋体" w:cs="宋体"/>
          <w:kern w:val="0"/>
          <w:sz w:val="28"/>
          <w:szCs w:val="28"/>
          <w:u w:val="single"/>
        </w:rPr>
        <w:t>XXXX（中型企业、小型企业、微型企业）</w:t>
      </w:r>
      <w:r>
        <w:rPr>
          <w:rFonts w:hint="eastAsia" w:ascii="宋体" w:hAnsi="宋体" w:cs="宋体"/>
          <w:kern w:val="0"/>
          <w:sz w:val="28"/>
          <w:szCs w:val="28"/>
        </w:rPr>
        <w:t>。</w:t>
      </w:r>
    </w:p>
    <w:p>
      <w:pPr>
        <w:pStyle w:val="2"/>
        <w:spacing w:line="302" w:lineRule="auto"/>
        <w:ind w:right="415" w:firstLine="640"/>
        <w:rPr>
          <w:rFonts w:ascii="宋体" w:hAnsi="宋体" w:cs="宋体"/>
          <w:kern w:val="0"/>
          <w:sz w:val="28"/>
          <w:szCs w:val="28"/>
        </w:rPr>
      </w:pPr>
      <w:r>
        <w:rPr>
          <w:rFonts w:hint="eastAsia" w:ascii="宋体" w:hAnsi="宋体" w:cs="宋体"/>
          <w:kern w:val="0"/>
          <w:sz w:val="28"/>
          <w:szCs w:val="28"/>
        </w:rPr>
        <w:t>以上企业，不属于大企业的分支机构，不存在控股股东为大企业的情形，也不存在与大企业的负责人为同一人的情形。</w:t>
      </w:r>
    </w:p>
    <w:p>
      <w:pPr>
        <w:pStyle w:val="2"/>
        <w:spacing w:line="302" w:lineRule="auto"/>
        <w:ind w:right="415" w:firstLine="640"/>
        <w:rPr>
          <w:rFonts w:ascii="宋体" w:hAnsi="宋体" w:cs="宋体"/>
          <w:kern w:val="0"/>
          <w:sz w:val="28"/>
          <w:szCs w:val="28"/>
        </w:rPr>
      </w:pPr>
      <w:r>
        <w:rPr>
          <w:rFonts w:hint="eastAsia" w:ascii="宋体" w:hAnsi="宋体" w:cs="宋体"/>
          <w:kern w:val="0"/>
          <w:sz w:val="28"/>
          <w:szCs w:val="28"/>
        </w:rPr>
        <w:t>本企业对上述声明内容的真实性负责。如有虚假，将依法承担相应责任。</w:t>
      </w:r>
    </w:p>
    <w:p>
      <w:pPr>
        <w:tabs>
          <w:tab w:val="left" w:pos="3969"/>
        </w:tabs>
        <w:spacing w:line="588" w:lineRule="exact"/>
        <w:ind w:right="-58"/>
        <w:jc w:val="left"/>
        <w:rPr>
          <w:rFonts w:ascii="宋体" w:hAnsi="宋体" w:cs="宋体"/>
          <w:spacing w:val="6"/>
          <w:sz w:val="28"/>
          <w:szCs w:val="28"/>
        </w:rPr>
      </w:pPr>
      <w:r>
        <w:rPr>
          <w:rFonts w:hint="eastAsia" w:ascii="宋体" w:hAnsi="宋体" w:cs="宋体"/>
          <w:spacing w:val="6"/>
          <w:sz w:val="28"/>
          <w:szCs w:val="28"/>
        </w:rPr>
        <w:t>企业名称（盖章）：</w:t>
      </w:r>
      <w:r>
        <w:rPr>
          <w:rFonts w:hint="eastAsia" w:ascii="宋体" w:hAnsi="宋体" w:cs="宋体"/>
          <w:bCs/>
          <w:sz w:val="28"/>
          <w:szCs w:val="28"/>
          <w:u w:val="single"/>
        </w:rPr>
        <w:t>XXXX</w:t>
      </w:r>
    </w:p>
    <w:p>
      <w:pPr>
        <w:tabs>
          <w:tab w:val="left" w:pos="3969"/>
        </w:tabs>
        <w:spacing w:line="588" w:lineRule="exact"/>
        <w:ind w:right="-58"/>
        <w:jc w:val="left"/>
        <w:rPr>
          <w:rFonts w:ascii="宋体" w:hAnsi="宋体" w:cs="宋体"/>
          <w:spacing w:val="6"/>
          <w:sz w:val="28"/>
          <w:szCs w:val="28"/>
        </w:rPr>
      </w:pPr>
      <w:r>
        <w:rPr>
          <w:rFonts w:hint="eastAsia" w:ascii="宋体" w:hAnsi="宋体" w:cs="宋体"/>
          <w:spacing w:val="6"/>
          <w:sz w:val="28"/>
          <w:szCs w:val="28"/>
        </w:rPr>
        <w:t>日  期：</w:t>
      </w:r>
      <w:r>
        <w:rPr>
          <w:rFonts w:hint="eastAsia" w:ascii="宋体" w:hAnsi="宋体" w:cs="宋体"/>
          <w:bCs/>
          <w:sz w:val="28"/>
        </w:rPr>
        <w:t>20</w:t>
      </w:r>
      <w:r>
        <w:rPr>
          <w:rFonts w:hint="eastAsia" w:ascii="宋体" w:hAnsi="宋体" w:cs="宋体"/>
          <w:sz w:val="28"/>
          <w:szCs w:val="28"/>
          <w:u w:val="single"/>
        </w:rPr>
        <w:t>X</w:t>
      </w:r>
      <w:r>
        <w:rPr>
          <w:rFonts w:hint="eastAsia" w:ascii="宋体" w:hAnsi="宋体" w:cs="宋体"/>
          <w:bCs/>
          <w:sz w:val="28"/>
          <w:u w:val="single"/>
        </w:rPr>
        <w:t>X</w:t>
      </w:r>
      <w:r>
        <w:rPr>
          <w:rFonts w:hint="eastAsia" w:ascii="宋体" w:hAnsi="宋体" w:cs="宋体"/>
          <w:bCs/>
          <w:sz w:val="28"/>
        </w:rPr>
        <w:t>年</w:t>
      </w:r>
      <w:r>
        <w:rPr>
          <w:rFonts w:hint="eastAsia" w:ascii="宋体" w:hAnsi="宋体" w:cs="宋体"/>
          <w:bCs/>
          <w:sz w:val="28"/>
          <w:u w:val="single"/>
        </w:rPr>
        <w:t>XX</w:t>
      </w:r>
      <w:r>
        <w:rPr>
          <w:rFonts w:hint="eastAsia" w:ascii="宋体" w:hAnsi="宋体" w:cs="宋体"/>
          <w:bCs/>
          <w:sz w:val="28"/>
        </w:rPr>
        <w:t>月</w:t>
      </w:r>
      <w:r>
        <w:rPr>
          <w:rFonts w:hint="eastAsia" w:ascii="宋体" w:hAnsi="宋体" w:cs="宋体"/>
          <w:bCs/>
          <w:sz w:val="28"/>
          <w:u w:val="single"/>
        </w:rPr>
        <w:t>XX</w:t>
      </w:r>
      <w:r>
        <w:rPr>
          <w:rFonts w:hint="eastAsia" w:ascii="宋体" w:hAnsi="宋体" w:cs="宋体"/>
          <w:bCs/>
          <w:sz w:val="28"/>
        </w:rPr>
        <w:t>日</w:t>
      </w:r>
    </w:p>
    <w:p/>
    <w:p>
      <w:pPr>
        <w:pStyle w:val="2"/>
      </w:pPr>
    </w:p>
    <w:p>
      <w:pPr>
        <w:tabs>
          <w:tab w:val="left" w:pos="1134"/>
        </w:tabs>
        <w:spacing w:after="0" w:line="500" w:lineRule="exact"/>
        <w:rPr>
          <w:rFonts w:ascii="宋体" w:hAnsi="宋体"/>
          <w:b/>
          <w:bCs/>
          <w:spacing w:val="6"/>
          <w:sz w:val="28"/>
          <w:szCs w:val="28"/>
        </w:rPr>
      </w:pPr>
      <w:r>
        <w:rPr>
          <w:rFonts w:hint="eastAsia" w:ascii="宋体" w:hAnsi="宋体"/>
          <w:b/>
          <w:bCs/>
          <w:spacing w:val="6"/>
          <w:sz w:val="28"/>
          <w:szCs w:val="28"/>
        </w:rPr>
        <w:t>说明:</w:t>
      </w:r>
    </w:p>
    <w:p>
      <w:pPr>
        <w:tabs>
          <w:tab w:val="left" w:pos="1134"/>
        </w:tabs>
        <w:spacing w:after="0" w:line="500" w:lineRule="exact"/>
        <w:ind w:firstLine="584" w:firstLineChars="200"/>
        <w:rPr>
          <w:rFonts w:ascii="宋体" w:hAnsi="宋体"/>
          <w:spacing w:val="6"/>
          <w:sz w:val="28"/>
          <w:szCs w:val="28"/>
        </w:rPr>
      </w:pPr>
      <w:r>
        <w:rPr>
          <w:rFonts w:hint="eastAsia" w:ascii="宋体" w:hAnsi="宋体"/>
          <w:spacing w:val="6"/>
          <w:sz w:val="28"/>
          <w:szCs w:val="28"/>
        </w:rPr>
        <w:t>1.本项目为专门面向中小企业，提供了《残疾人福利性单位声明函》或监狱企业证明文件的，可不提供；如未提供《中小企业声明函》或《残疾人福利性单位声明函》或监狱企业证明文件的，则其响应文件无效。</w:t>
      </w:r>
    </w:p>
    <w:p>
      <w:pPr>
        <w:tabs>
          <w:tab w:val="left" w:pos="1134"/>
        </w:tabs>
        <w:spacing w:after="0" w:line="500" w:lineRule="exact"/>
        <w:ind w:firstLine="584" w:firstLineChars="200"/>
        <w:rPr>
          <w:rFonts w:ascii="宋体" w:hAnsi="宋体"/>
          <w:spacing w:val="6"/>
          <w:sz w:val="28"/>
          <w:szCs w:val="28"/>
        </w:rPr>
      </w:pPr>
      <w:r>
        <w:rPr>
          <w:rFonts w:hint="eastAsia" w:ascii="宋体" w:hAnsi="宋体"/>
          <w:spacing w:val="6"/>
          <w:sz w:val="28"/>
          <w:szCs w:val="28"/>
        </w:rPr>
        <w:t>2.投标人参加政府采购活动时，提供虚假中小企业声明函的，以提供虚假材料谋取中标处理。</w:t>
      </w:r>
    </w:p>
    <w:p>
      <w:pPr>
        <w:tabs>
          <w:tab w:val="left" w:pos="1134"/>
        </w:tabs>
        <w:spacing w:after="0" w:line="500" w:lineRule="exact"/>
        <w:ind w:firstLine="584" w:firstLineChars="200"/>
        <w:rPr>
          <w:rFonts w:ascii="宋体" w:hAnsi="宋体"/>
          <w:spacing w:val="6"/>
          <w:sz w:val="28"/>
          <w:szCs w:val="28"/>
        </w:rPr>
      </w:pPr>
      <w:r>
        <w:rPr>
          <w:rFonts w:hint="eastAsia" w:ascii="宋体" w:hAnsi="宋体"/>
          <w:spacing w:val="6"/>
          <w:sz w:val="28"/>
          <w:szCs w:val="28"/>
        </w:rPr>
        <w:t>3.投标人为非企业单位的，如民办非企业、基金会、协会、服务中心、农村承包经营户、学会等非工商(市场监管)登记注册的组织均不适用此声明函，不得提供中小企业声明函，提供此声明的，声明无效。</w:t>
      </w:r>
    </w:p>
    <w:p>
      <w:pPr>
        <w:tabs>
          <w:tab w:val="left" w:pos="1134"/>
        </w:tabs>
        <w:spacing w:after="0" w:line="500" w:lineRule="exact"/>
        <w:ind w:firstLine="584" w:firstLineChars="200"/>
        <w:rPr>
          <w:rFonts w:ascii="宋体" w:hAnsi="宋体"/>
          <w:spacing w:val="6"/>
          <w:sz w:val="28"/>
          <w:szCs w:val="28"/>
        </w:rPr>
      </w:pPr>
      <w:r>
        <w:rPr>
          <w:rFonts w:hint="eastAsia" w:ascii="宋体" w:hAnsi="宋体"/>
          <w:spacing w:val="6"/>
          <w:sz w:val="28"/>
          <w:szCs w:val="28"/>
        </w:rPr>
        <w:t>4.投标人如为分支机构的，则需提供由总公司出具的中小企业声明函。</w:t>
      </w:r>
    </w:p>
    <w:p>
      <w:pPr>
        <w:tabs>
          <w:tab w:val="left" w:pos="1134"/>
        </w:tabs>
        <w:spacing w:after="0" w:line="500" w:lineRule="exact"/>
        <w:ind w:firstLine="584" w:firstLineChars="200"/>
        <w:rPr>
          <w:rFonts w:ascii="宋体" w:hAnsi="宋体"/>
          <w:spacing w:val="6"/>
          <w:sz w:val="28"/>
          <w:szCs w:val="28"/>
        </w:rPr>
      </w:pPr>
      <w:r>
        <w:rPr>
          <w:rFonts w:hint="eastAsia" w:ascii="宋体" w:hAnsi="宋体"/>
          <w:spacing w:val="6"/>
          <w:sz w:val="28"/>
          <w:szCs w:val="28"/>
        </w:rPr>
        <w:t>5.从业人员、营业收入、资产总额填报上一年度数据，无上一年度数据的新成立的企业可不填报。</w:t>
      </w:r>
    </w:p>
    <w:p>
      <w:pPr>
        <w:tabs>
          <w:tab w:val="left" w:pos="1134"/>
        </w:tabs>
        <w:spacing w:after="0" w:line="500" w:lineRule="exact"/>
        <w:ind w:firstLine="584" w:firstLineChars="200"/>
        <w:rPr>
          <w:rFonts w:ascii="宋体" w:hAnsi="宋体"/>
          <w:spacing w:val="6"/>
          <w:sz w:val="28"/>
          <w:szCs w:val="28"/>
        </w:rPr>
      </w:pPr>
      <w:r>
        <w:rPr>
          <w:rFonts w:hint="eastAsia" w:ascii="宋体" w:hAnsi="宋体"/>
          <w:spacing w:val="6"/>
          <w:sz w:val="28"/>
          <w:szCs w:val="28"/>
        </w:rPr>
        <w:t>6.投标人根据《工业和信息化部、国家统计局、国家发展和改革委员会、财政部关于印发中小企业划型标准规定的通知》（工信部联企业[2011]300号）规定的划分标准填写中小企业声明函。</w:t>
      </w:r>
    </w:p>
    <w:p/>
    <w:p>
      <w:pPr>
        <w:widowControl/>
        <w:spacing w:after="0" w:line="240" w:lineRule="auto"/>
        <w:jc w:val="left"/>
      </w:pPr>
      <w:r>
        <w:br w:type="page"/>
      </w:r>
    </w:p>
    <w:p>
      <w:pPr>
        <w:pStyle w:val="4"/>
        <w:spacing w:after="0"/>
        <w:rPr>
          <w:color w:val="auto"/>
        </w:rPr>
      </w:pPr>
      <w:r>
        <w:rPr>
          <w:rFonts w:hint="eastAsia"/>
          <w:color w:val="auto"/>
        </w:rPr>
        <w:t>残疾人福利性单位声明函</w:t>
      </w:r>
    </w:p>
    <w:p>
      <w:pPr>
        <w:spacing w:line="588" w:lineRule="exact"/>
        <w:jc w:val="center"/>
        <w:rPr>
          <w:rFonts w:ascii="宋体" w:hAnsi="宋体" w:cs="宋体"/>
          <w:b/>
          <w:sz w:val="28"/>
          <w:szCs w:val="28"/>
        </w:rPr>
      </w:pPr>
      <w:r>
        <w:rPr>
          <w:rFonts w:hint="eastAsia" w:ascii="宋体" w:hAnsi="宋体" w:cs="宋体"/>
          <w:b/>
          <w:sz w:val="28"/>
          <w:szCs w:val="28"/>
        </w:rPr>
        <w:t>残疾人福利性单位声明函</w:t>
      </w:r>
    </w:p>
    <w:p>
      <w:pPr>
        <w:spacing w:line="588" w:lineRule="exact"/>
        <w:ind w:firstLine="584" w:firstLineChars="200"/>
        <w:rPr>
          <w:rFonts w:ascii="宋体" w:hAnsi="宋体" w:cs="宋体"/>
          <w:spacing w:val="6"/>
          <w:sz w:val="28"/>
          <w:szCs w:val="28"/>
        </w:rPr>
      </w:pPr>
      <w:r>
        <w:rPr>
          <w:rFonts w:hint="eastAsia" w:ascii="宋体" w:hAnsi="宋体" w:cs="宋体"/>
          <w:spacing w:val="6"/>
          <w:sz w:val="28"/>
          <w:szCs w:val="28"/>
        </w:rPr>
        <w:t>本单位郑重声明，本单位参加</w:t>
      </w:r>
      <w:r>
        <w:rPr>
          <w:rFonts w:hint="eastAsia" w:ascii="宋体" w:hAnsi="宋体" w:cs="宋体"/>
          <w:b/>
          <w:bCs/>
          <w:spacing w:val="6"/>
          <w:sz w:val="28"/>
          <w:szCs w:val="28"/>
          <w:u w:val="single"/>
        </w:rPr>
        <w:t>成都市双流区人民政府怡心街道办事处</w:t>
      </w:r>
      <w:r>
        <w:rPr>
          <w:rFonts w:hint="eastAsia" w:ascii="宋体" w:hAnsi="宋体" w:cs="宋体"/>
          <w:spacing w:val="6"/>
          <w:sz w:val="28"/>
          <w:szCs w:val="28"/>
        </w:rPr>
        <w:t>单位的</w:t>
      </w:r>
      <w:r>
        <w:rPr>
          <w:rFonts w:hint="eastAsia" w:ascii="宋体" w:hAnsi="宋体" w:cs="宋体"/>
          <w:b/>
          <w:bCs/>
          <w:spacing w:val="6"/>
          <w:sz w:val="28"/>
          <w:szCs w:val="28"/>
          <w:u w:val="single"/>
        </w:rPr>
        <w:t>成都市双流区人民政府怡心街道办事处生活垃圾清运服务采购项目</w:t>
      </w:r>
      <w:r>
        <w:rPr>
          <w:rFonts w:hint="eastAsia" w:ascii="宋体" w:hAnsi="宋体" w:cs="宋体"/>
          <w:b/>
          <w:bCs/>
          <w:sz w:val="28"/>
          <w:szCs w:val="28"/>
          <w:u w:val="single"/>
        </w:rPr>
        <w:t>（项目编号：双流政采（2021）A0118号）</w:t>
      </w:r>
      <w:r>
        <w:rPr>
          <w:rFonts w:hint="eastAsia" w:ascii="宋体" w:hAnsi="宋体" w:cs="宋体"/>
          <w:spacing w:val="6"/>
          <w:sz w:val="28"/>
          <w:szCs w:val="28"/>
        </w:rPr>
        <w:t>采购活动。根据《财政部 民政部 中国残疾人联合会关于促进残疾人就业政府采购政策的通知》（财库〔2017〕141号）的规定，本公司为本项目提供的服务，为该服务所属行业的符合条件的残疾人福利性单位。</w:t>
      </w:r>
    </w:p>
    <w:p>
      <w:pPr>
        <w:spacing w:line="588" w:lineRule="exact"/>
        <w:ind w:firstLine="584" w:firstLineChars="200"/>
        <w:rPr>
          <w:rFonts w:ascii="宋体" w:hAnsi="宋体" w:cs="宋体"/>
          <w:spacing w:val="6"/>
          <w:sz w:val="28"/>
          <w:szCs w:val="28"/>
        </w:rPr>
      </w:pPr>
      <w:r>
        <w:rPr>
          <w:rFonts w:hint="eastAsia" w:ascii="宋体" w:hAnsi="宋体" w:cs="宋体"/>
          <w:spacing w:val="6"/>
          <w:sz w:val="28"/>
          <w:szCs w:val="28"/>
        </w:rPr>
        <w:t>本单位对上述声明的真实性负责。如有虚假，将依法承担相应责任。</w:t>
      </w:r>
    </w:p>
    <w:p>
      <w:pPr>
        <w:spacing w:line="588" w:lineRule="exact"/>
        <w:ind w:firstLine="584" w:firstLineChars="200"/>
        <w:rPr>
          <w:rFonts w:ascii="宋体" w:hAnsi="宋体" w:cs="宋体"/>
          <w:spacing w:val="6"/>
          <w:sz w:val="28"/>
          <w:szCs w:val="28"/>
        </w:rPr>
      </w:pPr>
    </w:p>
    <w:p>
      <w:pPr>
        <w:spacing w:line="588" w:lineRule="exact"/>
        <w:rPr>
          <w:rFonts w:ascii="宋体" w:hAnsi="宋体" w:cs="宋体"/>
          <w:spacing w:val="6"/>
          <w:sz w:val="20"/>
          <w:szCs w:val="28"/>
        </w:rPr>
      </w:pPr>
    </w:p>
    <w:p>
      <w:pPr>
        <w:tabs>
          <w:tab w:val="left" w:pos="3969"/>
        </w:tabs>
        <w:spacing w:line="588" w:lineRule="exact"/>
        <w:ind w:right="-58"/>
        <w:jc w:val="left"/>
        <w:rPr>
          <w:rFonts w:ascii="宋体" w:hAnsi="宋体" w:cs="宋体"/>
          <w:spacing w:val="6"/>
          <w:sz w:val="28"/>
          <w:szCs w:val="28"/>
        </w:rPr>
      </w:pPr>
      <w:r>
        <w:rPr>
          <w:rFonts w:hint="eastAsia" w:ascii="宋体" w:hAnsi="宋体" w:cs="宋体"/>
          <w:spacing w:val="6"/>
          <w:sz w:val="28"/>
          <w:szCs w:val="28"/>
        </w:rPr>
        <w:t>投标人名称：</w:t>
      </w:r>
      <w:r>
        <w:rPr>
          <w:rFonts w:hint="eastAsia" w:ascii="宋体" w:hAnsi="宋体" w:cs="宋体"/>
          <w:bCs/>
          <w:sz w:val="28"/>
          <w:szCs w:val="28"/>
          <w:u w:val="single"/>
        </w:rPr>
        <w:t>XXXX</w:t>
      </w:r>
    </w:p>
    <w:p>
      <w:pPr>
        <w:tabs>
          <w:tab w:val="left" w:pos="3969"/>
        </w:tabs>
        <w:spacing w:line="588" w:lineRule="exact"/>
        <w:ind w:right="-58"/>
        <w:jc w:val="left"/>
        <w:rPr>
          <w:rFonts w:ascii="宋体" w:hAnsi="宋体" w:cs="宋体"/>
          <w:spacing w:val="6"/>
          <w:sz w:val="28"/>
          <w:szCs w:val="28"/>
        </w:rPr>
      </w:pPr>
      <w:r>
        <w:rPr>
          <w:rFonts w:hint="eastAsia" w:ascii="宋体" w:hAnsi="宋体" w:cs="宋体"/>
          <w:spacing w:val="6"/>
          <w:sz w:val="28"/>
          <w:szCs w:val="28"/>
        </w:rPr>
        <w:t>日  期：</w:t>
      </w:r>
      <w:r>
        <w:rPr>
          <w:rFonts w:hint="eastAsia" w:ascii="宋体" w:hAnsi="宋体" w:cs="宋体"/>
          <w:bCs/>
          <w:sz w:val="28"/>
        </w:rPr>
        <w:t>20</w:t>
      </w:r>
      <w:r>
        <w:rPr>
          <w:rFonts w:hint="eastAsia" w:ascii="宋体" w:hAnsi="宋体" w:cs="宋体"/>
          <w:sz w:val="28"/>
          <w:szCs w:val="28"/>
          <w:u w:val="single"/>
        </w:rPr>
        <w:t>X</w:t>
      </w:r>
      <w:r>
        <w:rPr>
          <w:rFonts w:hint="eastAsia" w:ascii="宋体" w:hAnsi="宋体" w:cs="宋体"/>
          <w:bCs/>
          <w:sz w:val="28"/>
          <w:u w:val="single"/>
        </w:rPr>
        <w:t>X</w:t>
      </w:r>
      <w:r>
        <w:rPr>
          <w:rFonts w:hint="eastAsia" w:ascii="宋体" w:hAnsi="宋体" w:cs="宋体"/>
          <w:bCs/>
          <w:sz w:val="28"/>
        </w:rPr>
        <w:t>年</w:t>
      </w:r>
      <w:r>
        <w:rPr>
          <w:rFonts w:hint="eastAsia" w:ascii="宋体" w:hAnsi="宋体" w:cs="宋体"/>
          <w:bCs/>
          <w:sz w:val="28"/>
          <w:u w:val="single"/>
        </w:rPr>
        <w:t>XX</w:t>
      </w:r>
      <w:r>
        <w:rPr>
          <w:rFonts w:hint="eastAsia" w:ascii="宋体" w:hAnsi="宋体" w:cs="宋体"/>
          <w:bCs/>
          <w:sz w:val="28"/>
        </w:rPr>
        <w:t>月</w:t>
      </w:r>
      <w:r>
        <w:rPr>
          <w:rFonts w:hint="eastAsia" w:ascii="宋体" w:hAnsi="宋体" w:cs="宋体"/>
          <w:bCs/>
          <w:sz w:val="28"/>
          <w:u w:val="single"/>
        </w:rPr>
        <w:t>XX</w:t>
      </w:r>
      <w:r>
        <w:rPr>
          <w:rFonts w:hint="eastAsia" w:ascii="宋体" w:hAnsi="宋体" w:cs="宋体"/>
          <w:bCs/>
          <w:sz w:val="28"/>
        </w:rPr>
        <w:t>日</w:t>
      </w:r>
    </w:p>
    <w:p>
      <w:pPr>
        <w:tabs>
          <w:tab w:val="left" w:pos="3969"/>
        </w:tabs>
        <w:spacing w:line="588" w:lineRule="exact"/>
        <w:ind w:right="-58"/>
        <w:jc w:val="left"/>
        <w:rPr>
          <w:rFonts w:ascii="宋体" w:hAnsi="宋体" w:cs="宋体"/>
          <w:spacing w:val="6"/>
          <w:sz w:val="28"/>
          <w:szCs w:val="28"/>
        </w:rPr>
      </w:pPr>
    </w:p>
    <w:p>
      <w:pPr>
        <w:pStyle w:val="25"/>
        <w:spacing w:after="0" w:line="360" w:lineRule="auto"/>
        <w:ind w:firstLineChars="0"/>
        <w:rPr>
          <w:rFonts w:ascii="宋体" w:hAnsi="宋体"/>
          <w:bCs/>
          <w:color w:val="FF0000"/>
          <w:kern w:val="0"/>
          <w:sz w:val="28"/>
          <w:szCs w:val="28"/>
        </w:rPr>
      </w:pPr>
      <w:r>
        <w:rPr>
          <w:rFonts w:hint="eastAsia" w:ascii="宋体" w:hAnsi="宋体" w:cs="宋体"/>
          <w:b/>
          <w:spacing w:val="6"/>
          <w:sz w:val="28"/>
          <w:szCs w:val="28"/>
        </w:rPr>
        <w:t>说明：</w:t>
      </w:r>
      <w:r>
        <w:rPr>
          <w:rFonts w:hint="eastAsia" w:ascii="宋体" w:hAnsi="宋体" w:cs="宋体"/>
          <w:bCs/>
          <w:kern w:val="0"/>
          <w:sz w:val="28"/>
          <w:szCs w:val="28"/>
        </w:rPr>
        <w:t>提供了《中小企业声明函》或监狱企业证明文件的，可不提供；如未提供《中小企业声明函》或《残疾人福利性单位声明函》或监狱企业证明文件，则其响应文件无效。</w:t>
      </w:r>
    </w:p>
    <w:p>
      <w:pPr>
        <w:widowControl/>
        <w:spacing w:after="0" w:line="240" w:lineRule="auto"/>
        <w:jc w:val="left"/>
      </w:pPr>
    </w:p>
    <w:p>
      <w:pPr>
        <w:pStyle w:val="4"/>
        <w:spacing w:after="0"/>
        <w:rPr>
          <w:color w:val="auto"/>
        </w:rPr>
      </w:pPr>
      <w:r>
        <w:rPr>
          <w:rFonts w:hint="eastAsia"/>
          <w:color w:val="auto"/>
        </w:rPr>
        <w:t>投标人属于监狱企业的证明文件</w:t>
      </w:r>
    </w:p>
    <w:p>
      <w:pPr>
        <w:pStyle w:val="25"/>
        <w:spacing w:after="0" w:line="360" w:lineRule="auto"/>
        <w:ind w:firstLineChars="0"/>
        <w:rPr>
          <w:rFonts w:ascii="宋体" w:hAnsi="宋体"/>
          <w:b/>
          <w:sz w:val="28"/>
          <w:szCs w:val="28"/>
        </w:rPr>
      </w:pPr>
    </w:p>
    <w:p>
      <w:pPr>
        <w:pStyle w:val="25"/>
        <w:spacing w:after="0" w:line="360" w:lineRule="auto"/>
        <w:ind w:firstLineChars="0"/>
        <w:rPr>
          <w:rFonts w:ascii="宋体" w:hAnsi="宋体"/>
          <w:b/>
          <w:sz w:val="28"/>
          <w:szCs w:val="28"/>
        </w:rPr>
      </w:pPr>
      <w:r>
        <w:rPr>
          <w:rFonts w:hint="eastAsia" w:ascii="宋体" w:hAnsi="宋体"/>
          <w:b/>
          <w:sz w:val="28"/>
          <w:szCs w:val="28"/>
        </w:rPr>
        <w:t>投标人属于监狱企业的，须由省级以上监狱管理局、戒毒管理局（含新疆生产建设兵团）出具投标人属于监狱企业的证明文件复印件。</w:t>
      </w:r>
    </w:p>
    <w:p>
      <w:pPr>
        <w:pStyle w:val="25"/>
        <w:spacing w:after="0" w:line="360" w:lineRule="auto"/>
        <w:ind w:firstLineChars="0"/>
        <w:rPr>
          <w:rFonts w:ascii="宋体" w:hAnsi="宋体"/>
          <w:b/>
          <w:sz w:val="28"/>
          <w:szCs w:val="28"/>
        </w:rPr>
      </w:pPr>
    </w:p>
    <w:p>
      <w:pPr>
        <w:pStyle w:val="25"/>
        <w:spacing w:after="0" w:line="360" w:lineRule="auto"/>
        <w:ind w:firstLineChars="0"/>
        <w:rPr>
          <w:rFonts w:ascii="宋体" w:hAnsi="宋体"/>
          <w:b/>
          <w:sz w:val="28"/>
          <w:szCs w:val="28"/>
        </w:rPr>
      </w:pPr>
    </w:p>
    <w:p>
      <w:pPr>
        <w:pStyle w:val="25"/>
        <w:spacing w:after="0" w:line="360" w:lineRule="auto"/>
        <w:ind w:firstLineChars="0"/>
        <w:rPr>
          <w:rFonts w:ascii="宋体" w:hAnsi="宋体"/>
          <w:b/>
          <w:sz w:val="28"/>
          <w:szCs w:val="28"/>
        </w:rPr>
      </w:pPr>
    </w:p>
    <w:p>
      <w:pPr>
        <w:pStyle w:val="25"/>
        <w:tabs>
          <w:tab w:val="left" w:pos="993"/>
        </w:tabs>
        <w:spacing w:line="360" w:lineRule="auto"/>
        <w:ind w:firstLine="562"/>
        <w:rPr>
          <w:rFonts w:ascii="宋体" w:hAnsi="宋体" w:cs="宋体"/>
          <w:b/>
          <w:kern w:val="0"/>
          <w:sz w:val="28"/>
          <w:szCs w:val="28"/>
        </w:rPr>
      </w:pPr>
      <w:r>
        <w:rPr>
          <w:rFonts w:hint="eastAsia" w:ascii="宋体" w:hAnsi="宋体"/>
          <w:b/>
          <w:sz w:val="28"/>
          <w:szCs w:val="28"/>
        </w:rPr>
        <w:t>说明：</w:t>
      </w:r>
      <w:r>
        <w:rPr>
          <w:rFonts w:hint="eastAsia" w:ascii="宋体" w:hAnsi="宋体" w:cs="宋体"/>
          <w:bCs/>
          <w:kern w:val="0"/>
          <w:sz w:val="28"/>
          <w:szCs w:val="28"/>
        </w:rPr>
        <w:t>提供了《中小企业声明函》或《残疾人福利性单位声明函》的，可不提供；如未提供《中小企业声明函》或《残疾人福利性单位声明函》或监狱企业证明文件，则其响应文件无效。</w:t>
      </w:r>
    </w:p>
    <w:p>
      <w:pPr>
        <w:pStyle w:val="25"/>
        <w:spacing w:after="0" w:line="360" w:lineRule="auto"/>
        <w:ind w:firstLineChars="0"/>
        <w:rPr>
          <w:rFonts w:ascii="宋体" w:hAnsi="宋体"/>
          <w:b/>
          <w:bCs/>
          <w:kern w:val="0"/>
          <w:sz w:val="28"/>
          <w:szCs w:val="28"/>
        </w:rPr>
      </w:pPr>
    </w:p>
    <w:p>
      <w:pPr>
        <w:pStyle w:val="2"/>
      </w:pPr>
    </w:p>
    <w:p>
      <w:pPr>
        <w:widowControl/>
        <w:spacing w:after="0" w:line="240" w:lineRule="auto"/>
        <w:jc w:val="left"/>
      </w:pPr>
      <w:r>
        <w:br w:type="page"/>
      </w:r>
    </w:p>
    <w:p>
      <w:pPr>
        <w:pStyle w:val="4"/>
        <w:spacing w:after="0"/>
        <w:ind w:left="0" w:firstLine="0"/>
        <w:rPr>
          <w:color w:val="auto"/>
        </w:rPr>
      </w:pPr>
      <w:r>
        <w:rPr>
          <w:rFonts w:hint="eastAsia"/>
          <w:color w:val="auto"/>
        </w:rPr>
        <w:t>投标人应提交的相关资格证明材料</w:t>
      </w:r>
    </w:p>
    <w:p>
      <w:pPr>
        <w:ind w:firstLine="560" w:firstLineChars="200"/>
        <w:rPr>
          <w:rFonts w:ascii="宋体" w:hAnsi="宋体" w:cs="宋体"/>
          <w:sz w:val="28"/>
          <w:szCs w:val="28"/>
        </w:rPr>
      </w:pPr>
      <w:r>
        <w:rPr>
          <w:rFonts w:hint="eastAsia" w:ascii="宋体" w:hAnsi="宋体" w:cs="宋体"/>
          <w:sz w:val="28"/>
          <w:szCs w:val="28"/>
        </w:rPr>
        <w:t>投标人按招标文件要求，应提供以下相关资格证明材料：</w:t>
      </w:r>
    </w:p>
    <w:p>
      <w:pPr>
        <w:numPr>
          <w:ilvl w:val="0"/>
          <w:numId w:val="36"/>
        </w:numPr>
        <w:tabs>
          <w:tab w:val="left" w:pos="709"/>
        </w:tabs>
        <w:spacing w:after="0" w:line="360" w:lineRule="auto"/>
        <w:ind w:left="0" w:firstLine="546"/>
        <w:rPr>
          <w:rFonts w:ascii="宋体" w:hAnsi="宋体" w:cs="宋体"/>
          <w:kern w:val="0"/>
          <w:sz w:val="28"/>
          <w:szCs w:val="28"/>
        </w:rPr>
      </w:pPr>
      <w:r>
        <w:rPr>
          <w:rFonts w:hint="eastAsia" w:ascii="宋体" w:hAnsi="宋体" w:cs="宋体"/>
          <w:kern w:val="0"/>
          <w:sz w:val="28"/>
          <w:szCs w:val="28"/>
        </w:rPr>
        <w:t>营业执照复印件（正本或副本）或法人证书复印件（正本或副本）；</w:t>
      </w:r>
    </w:p>
    <w:p>
      <w:pPr>
        <w:numPr>
          <w:ilvl w:val="0"/>
          <w:numId w:val="36"/>
        </w:numPr>
        <w:tabs>
          <w:tab w:val="left" w:pos="1134"/>
        </w:tabs>
        <w:spacing w:after="0" w:line="360" w:lineRule="auto"/>
        <w:ind w:left="0" w:firstLine="546"/>
        <w:rPr>
          <w:rFonts w:ascii="宋体" w:hAnsi="宋体" w:cs="宋体"/>
          <w:kern w:val="0"/>
          <w:sz w:val="28"/>
          <w:szCs w:val="28"/>
        </w:rPr>
      </w:pPr>
      <w:r>
        <w:rPr>
          <w:rFonts w:hint="eastAsia" w:ascii="宋体" w:hAnsi="宋体" w:cs="宋体"/>
          <w:kern w:val="0"/>
          <w:sz w:val="28"/>
          <w:szCs w:val="28"/>
        </w:rPr>
        <w:t>2020年会计年度资产负债表复印件（说明：①可提供2020年度经审计的财务报告复印件；②也可提供2020年度投标人内部的财务报表复印件（包括资产负债表、现金流量表、利润表）；③也可提供距文件递交截止日一年内银行出具的资信证明（复印件）；④投标人注册时间至文件递交截止日不足一年的，也可提供在工商备案的公司章程（复印件）；⑤投标人为事业法人或其他组织的提供其具有健全的财务会计制度的承诺函复印件）；</w:t>
      </w:r>
    </w:p>
    <w:p>
      <w:pPr>
        <w:numPr>
          <w:ilvl w:val="0"/>
          <w:numId w:val="36"/>
        </w:numPr>
        <w:tabs>
          <w:tab w:val="left" w:pos="1134"/>
        </w:tabs>
        <w:spacing w:after="0" w:line="360" w:lineRule="auto"/>
        <w:ind w:left="0" w:firstLine="546"/>
        <w:rPr>
          <w:rFonts w:ascii="宋体" w:hAnsi="宋体" w:cs="宋体"/>
          <w:kern w:val="0"/>
          <w:sz w:val="28"/>
          <w:szCs w:val="28"/>
        </w:rPr>
      </w:pPr>
      <w:r>
        <w:rPr>
          <w:rFonts w:hint="eastAsia" w:ascii="宋体" w:hAnsi="宋体" w:cs="宋体"/>
          <w:kern w:val="0"/>
          <w:sz w:val="28"/>
          <w:szCs w:val="28"/>
        </w:rPr>
        <w:t>投标人缴纳2021年至今任意时段的税收的银行电子回单或者行政部门出具的纳税证明或完税证明复印件或承诺函（格式自拟）复印件（依法免税的投标人，应提供相应文件证明其依法免税）；</w:t>
      </w:r>
    </w:p>
    <w:p>
      <w:pPr>
        <w:numPr>
          <w:ilvl w:val="0"/>
          <w:numId w:val="36"/>
        </w:numPr>
        <w:tabs>
          <w:tab w:val="left" w:pos="1134"/>
        </w:tabs>
        <w:spacing w:after="0" w:line="360" w:lineRule="auto"/>
        <w:ind w:left="0" w:firstLine="546"/>
        <w:rPr>
          <w:rFonts w:ascii="宋体" w:hAnsi="宋体" w:cs="宋体"/>
          <w:kern w:val="0"/>
          <w:sz w:val="28"/>
          <w:szCs w:val="28"/>
        </w:rPr>
      </w:pPr>
      <w:r>
        <w:rPr>
          <w:rFonts w:hint="eastAsia" w:ascii="宋体" w:hAnsi="宋体" w:cs="宋体"/>
          <w:kern w:val="0"/>
          <w:sz w:val="28"/>
          <w:szCs w:val="28"/>
        </w:rPr>
        <w:t>采购人对投标人履行合同所必须的设备和专业技术能力无其他特殊要求，投标人具有有效的营业执照或法人证书即可，可不提供其他证明材料；</w:t>
      </w:r>
    </w:p>
    <w:p>
      <w:pPr>
        <w:numPr>
          <w:ilvl w:val="0"/>
          <w:numId w:val="36"/>
        </w:numPr>
        <w:tabs>
          <w:tab w:val="left" w:pos="1134"/>
        </w:tabs>
        <w:spacing w:after="0" w:line="360" w:lineRule="auto"/>
        <w:ind w:left="0" w:firstLine="546"/>
        <w:rPr>
          <w:rFonts w:ascii="宋体" w:hAnsi="宋体" w:cs="宋体"/>
          <w:kern w:val="0"/>
          <w:sz w:val="28"/>
          <w:szCs w:val="28"/>
        </w:rPr>
      </w:pPr>
      <w:r>
        <w:rPr>
          <w:rFonts w:hint="eastAsia" w:ascii="宋体" w:hAnsi="宋体" w:cs="宋体"/>
          <w:kern w:val="0"/>
          <w:sz w:val="28"/>
          <w:szCs w:val="28"/>
        </w:rPr>
        <w:t>投标人缴纳2021年至今任意时段的社保的银行电子回单或行政部门出具的社保缴纳证明材料复印件或承诺函（格式自拟）复印件</w:t>
      </w:r>
      <w:r>
        <w:rPr>
          <w:rFonts w:hint="eastAsia" w:ascii="宋体" w:hAnsi="宋体" w:cs="宋体"/>
          <w:sz w:val="28"/>
          <w:szCs w:val="28"/>
        </w:rPr>
        <w:t>（依法不需要缴纳社保的投标人，应提供相应文件证明其依法不需要缴纳社保）</w:t>
      </w:r>
      <w:r>
        <w:rPr>
          <w:rFonts w:hint="eastAsia" w:ascii="宋体" w:hAnsi="宋体" w:cs="宋体"/>
          <w:kern w:val="0"/>
          <w:sz w:val="28"/>
          <w:szCs w:val="28"/>
        </w:rPr>
        <w:t>；</w:t>
      </w:r>
    </w:p>
    <w:p>
      <w:pPr>
        <w:numPr>
          <w:ilvl w:val="0"/>
          <w:numId w:val="36"/>
        </w:numPr>
        <w:tabs>
          <w:tab w:val="left" w:pos="1134"/>
        </w:tabs>
        <w:spacing w:after="0" w:line="360" w:lineRule="auto"/>
        <w:ind w:left="0" w:firstLine="546"/>
        <w:rPr>
          <w:rFonts w:ascii="宋体" w:hAnsi="宋体" w:cs="宋体"/>
          <w:kern w:val="0"/>
          <w:sz w:val="28"/>
          <w:szCs w:val="28"/>
        </w:rPr>
      </w:pPr>
      <w:r>
        <w:rPr>
          <w:rFonts w:hint="eastAsia" w:ascii="宋体" w:hAnsi="宋体" w:cs="宋体"/>
          <w:kern w:val="0"/>
          <w:sz w:val="28"/>
          <w:szCs w:val="28"/>
        </w:rPr>
        <w:t>采购人对法律、行政法规规定的其他条件无其他特殊要求，投标人具有有效的营业执照或法人证书即可，可不提供其他证明材料；</w:t>
      </w:r>
    </w:p>
    <w:p>
      <w:pPr>
        <w:numPr>
          <w:ilvl w:val="0"/>
          <w:numId w:val="36"/>
        </w:numPr>
        <w:tabs>
          <w:tab w:val="left" w:pos="1134"/>
        </w:tabs>
        <w:spacing w:after="0" w:line="360" w:lineRule="auto"/>
        <w:ind w:left="0" w:firstLine="546"/>
        <w:rPr>
          <w:rFonts w:ascii="宋体" w:hAnsi="宋体" w:cs="宋体"/>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14:textFill>
            <w14:solidFill>
              <w14:schemeClr w14:val="tx1"/>
            </w14:solidFill>
          </w14:textFill>
        </w:rPr>
        <w:t>中小企业声明函或残疾人福利性单位声明函或投标人属于监狱企业的证明文件复印件。</w:t>
      </w:r>
    </w:p>
    <w:p>
      <w:pPr>
        <w:pStyle w:val="2"/>
        <w:rPr>
          <w:rFonts w:ascii="宋体" w:hAnsi="宋体" w:cs="宋体"/>
          <w:kern w:val="0"/>
          <w:sz w:val="28"/>
          <w:szCs w:val="28"/>
        </w:rPr>
      </w:pPr>
    </w:p>
    <w:p>
      <w:pPr>
        <w:rPr>
          <w:rFonts w:ascii="宋体" w:hAnsi="宋体" w:cs="宋体"/>
          <w:kern w:val="0"/>
          <w:sz w:val="28"/>
          <w:szCs w:val="28"/>
        </w:rPr>
      </w:pPr>
    </w:p>
    <w:p>
      <w:pPr>
        <w:pStyle w:val="2"/>
        <w:rPr>
          <w:rFonts w:ascii="宋体" w:hAnsi="宋体" w:cs="宋体"/>
          <w:kern w:val="0"/>
          <w:sz w:val="28"/>
          <w:szCs w:val="28"/>
        </w:rPr>
      </w:pPr>
    </w:p>
    <w:p>
      <w:pPr>
        <w:rPr>
          <w:rFonts w:ascii="宋体" w:hAnsi="宋体" w:cs="宋体"/>
          <w:kern w:val="0"/>
          <w:sz w:val="28"/>
          <w:szCs w:val="28"/>
        </w:rPr>
      </w:pPr>
    </w:p>
    <w:p>
      <w:pPr>
        <w:pStyle w:val="2"/>
        <w:rPr>
          <w:rFonts w:ascii="宋体" w:hAnsi="宋体" w:cs="宋体"/>
          <w:kern w:val="0"/>
          <w:sz w:val="28"/>
          <w:szCs w:val="28"/>
        </w:rPr>
      </w:pPr>
    </w:p>
    <w:p>
      <w:pPr>
        <w:rPr>
          <w:rFonts w:ascii="宋体" w:hAnsi="宋体" w:cs="宋体"/>
          <w:kern w:val="0"/>
          <w:sz w:val="28"/>
          <w:szCs w:val="28"/>
        </w:rPr>
      </w:pPr>
    </w:p>
    <w:p>
      <w:pPr>
        <w:pStyle w:val="2"/>
        <w:rPr>
          <w:rFonts w:ascii="宋体" w:hAnsi="宋体" w:cs="宋体"/>
          <w:kern w:val="0"/>
          <w:sz w:val="28"/>
          <w:szCs w:val="28"/>
        </w:rPr>
      </w:pPr>
    </w:p>
    <w:p>
      <w:pPr>
        <w:rPr>
          <w:rFonts w:ascii="宋体" w:hAnsi="宋体" w:cs="宋体"/>
          <w:kern w:val="0"/>
          <w:sz w:val="28"/>
          <w:szCs w:val="28"/>
        </w:rPr>
      </w:pPr>
    </w:p>
    <w:p>
      <w:pPr>
        <w:pStyle w:val="2"/>
        <w:rPr>
          <w:rFonts w:ascii="宋体" w:hAnsi="宋体" w:cs="宋体"/>
          <w:kern w:val="0"/>
          <w:sz w:val="28"/>
          <w:szCs w:val="28"/>
        </w:rPr>
      </w:pPr>
    </w:p>
    <w:p>
      <w:pPr>
        <w:rPr>
          <w:rFonts w:ascii="宋体" w:hAnsi="宋体" w:cs="宋体"/>
          <w:kern w:val="0"/>
          <w:sz w:val="28"/>
          <w:szCs w:val="28"/>
        </w:rPr>
      </w:pPr>
    </w:p>
    <w:p>
      <w:pPr>
        <w:pStyle w:val="2"/>
        <w:rPr>
          <w:rFonts w:ascii="宋体" w:hAnsi="宋体" w:cs="宋体"/>
          <w:kern w:val="0"/>
          <w:sz w:val="28"/>
          <w:szCs w:val="28"/>
        </w:rPr>
      </w:pPr>
    </w:p>
    <w:p>
      <w:pPr>
        <w:rPr>
          <w:rFonts w:ascii="宋体" w:hAnsi="宋体" w:cs="宋体"/>
          <w:kern w:val="0"/>
          <w:sz w:val="28"/>
          <w:szCs w:val="28"/>
        </w:rPr>
      </w:pPr>
    </w:p>
    <w:p>
      <w:pPr>
        <w:widowControl/>
        <w:spacing w:after="0" w:line="240" w:lineRule="auto"/>
        <w:jc w:val="left"/>
        <w:rPr>
          <w:rFonts w:ascii="宋体" w:hAnsi="宋体" w:cs="宋体"/>
        </w:rPr>
      </w:pPr>
      <w:r>
        <w:rPr>
          <w:rFonts w:ascii="宋体" w:hAnsi="宋体" w:cs="宋体"/>
        </w:rPr>
        <w:br w:type="page"/>
      </w:r>
    </w:p>
    <w:p>
      <w:pPr>
        <w:keepNext/>
        <w:keepLines/>
        <w:numPr>
          <w:ilvl w:val="1"/>
          <w:numId w:val="2"/>
        </w:numPr>
        <w:spacing w:line="360" w:lineRule="auto"/>
        <w:jc w:val="left"/>
        <w:outlineLvl w:val="1"/>
        <w:rPr>
          <w:rFonts w:ascii="宋体" w:hAnsi="宋体" w:cs="宋体"/>
          <w:b/>
          <w:bCs/>
          <w:sz w:val="28"/>
          <w:szCs w:val="28"/>
        </w:rPr>
      </w:pPr>
      <w:bookmarkStart w:id="137" w:name="_Toc7225"/>
      <w:r>
        <w:rPr>
          <w:rFonts w:hint="eastAsia" w:ascii="宋体" w:hAnsi="宋体" w:cs="宋体"/>
          <w:b/>
          <w:bCs/>
          <w:sz w:val="28"/>
          <w:szCs w:val="28"/>
        </w:rPr>
        <w:t>商务技术响应文件</w:t>
      </w:r>
      <w:bookmarkEnd w:id="137"/>
    </w:p>
    <w:p>
      <w:pPr>
        <w:keepNext/>
        <w:keepLines/>
        <w:numPr>
          <w:ilvl w:val="2"/>
          <w:numId w:val="2"/>
        </w:numPr>
        <w:spacing w:line="560" w:lineRule="atLeast"/>
        <w:ind w:left="569" w:hanging="569"/>
        <w:outlineLvl w:val="2"/>
        <w:rPr>
          <w:rFonts w:ascii="宋体" w:hAnsi="宋体" w:cs="宋体"/>
          <w:b/>
          <w:bCs/>
          <w:sz w:val="28"/>
          <w:szCs w:val="28"/>
        </w:rPr>
      </w:pPr>
      <w:r>
        <w:rPr>
          <w:rFonts w:hint="eastAsia" w:ascii="宋体" w:hAnsi="宋体" w:cs="宋体"/>
          <w:b/>
          <w:bCs/>
          <w:sz w:val="28"/>
          <w:szCs w:val="28"/>
        </w:rPr>
        <w:t>投标函</w:t>
      </w:r>
    </w:p>
    <w:p>
      <w:pPr>
        <w:spacing w:line="560" w:lineRule="atLeast"/>
        <w:rPr>
          <w:rFonts w:ascii="宋体" w:hAnsi="宋体" w:cs="宋体"/>
          <w:bCs/>
          <w:sz w:val="28"/>
          <w:szCs w:val="28"/>
        </w:rPr>
      </w:pPr>
      <w:r>
        <w:rPr>
          <w:rFonts w:hint="eastAsia" w:ascii="宋体" w:hAnsi="宋体" w:cs="宋体"/>
          <w:bCs/>
          <w:sz w:val="28"/>
          <w:szCs w:val="28"/>
        </w:rPr>
        <w:t>成都市双流区公共资源交易服务中心：</w:t>
      </w:r>
    </w:p>
    <w:p>
      <w:pPr>
        <w:spacing w:line="560" w:lineRule="atLeast"/>
        <w:ind w:firstLine="565" w:firstLineChars="202"/>
        <w:rPr>
          <w:rFonts w:ascii="宋体" w:hAnsi="宋体" w:cs="宋体"/>
          <w:bCs/>
          <w:sz w:val="28"/>
          <w:szCs w:val="28"/>
        </w:rPr>
      </w:pPr>
      <w:r>
        <w:rPr>
          <w:rFonts w:hint="eastAsia" w:ascii="宋体" w:hAnsi="宋体" w:cs="宋体"/>
          <w:bCs/>
          <w:sz w:val="28"/>
          <w:szCs w:val="28"/>
        </w:rPr>
        <w:t>我方全面研究了“</w:t>
      </w:r>
      <w:r>
        <w:rPr>
          <w:rFonts w:hint="eastAsia" w:ascii="宋体" w:hAnsi="宋体" w:cs="宋体"/>
          <w:b/>
          <w:sz w:val="28"/>
          <w:szCs w:val="28"/>
          <w:u w:val="single"/>
        </w:rPr>
        <w:t>成都市双流区人民政府怡心街道办事处生活垃圾清运服务采购项目”（项目编号：双流政采（2021）A0118号）</w:t>
      </w:r>
      <w:r>
        <w:rPr>
          <w:rFonts w:hint="eastAsia" w:ascii="宋体" w:hAnsi="宋体" w:cs="宋体"/>
          <w:bCs/>
          <w:sz w:val="28"/>
          <w:szCs w:val="28"/>
        </w:rPr>
        <w:t>招标文件，决定参加贵单位组织的本项目投标。</w:t>
      </w:r>
    </w:p>
    <w:p>
      <w:pPr>
        <w:spacing w:line="560" w:lineRule="atLeast"/>
        <w:ind w:firstLine="565" w:firstLineChars="202"/>
        <w:rPr>
          <w:rFonts w:ascii="宋体" w:hAnsi="宋体" w:cs="宋体"/>
          <w:sz w:val="28"/>
          <w:szCs w:val="28"/>
        </w:rPr>
      </w:pPr>
      <w:r>
        <w:rPr>
          <w:rFonts w:hint="eastAsia" w:ascii="宋体" w:hAnsi="宋体" w:cs="宋体"/>
          <w:sz w:val="28"/>
          <w:szCs w:val="28"/>
        </w:rPr>
        <w:t>一、我方自愿按照招标文件规定的各项要求向采购人提供所需货物及服务，</w:t>
      </w:r>
      <w:r>
        <w:rPr>
          <w:rFonts w:hint="eastAsia" w:ascii="宋体" w:hAnsi="宋体" w:cs="宋体"/>
          <w:b/>
          <w:sz w:val="28"/>
          <w:szCs w:val="28"/>
        </w:rPr>
        <w:t>投标报价以《开标一览表》为准</w:t>
      </w:r>
      <w:r>
        <w:rPr>
          <w:rFonts w:hint="eastAsia" w:ascii="宋体" w:hAnsi="宋体" w:cs="宋体"/>
          <w:sz w:val="28"/>
          <w:szCs w:val="28"/>
        </w:rPr>
        <w:t>。</w:t>
      </w:r>
    </w:p>
    <w:p>
      <w:pPr>
        <w:tabs>
          <w:tab w:val="left" w:pos="1134"/>
        </w:tabs>
        <w:spacing w:line="560" w:lineRule="atLeast"/>
        <w:ind w:firstLine="560" w:firstLineChars="200"/>
        <w:rPr>
          <w:rFonts w:ascii="宋体" w:hAnsi="宋体" w:cs="宋体"/>
          <w:sz w:val="28"/>
          <w:szCs w:val="28"/>
        </w:rPr>
      </w:pPr>
      <w:r>
        <w:rPr>
          <w:rFonts w:hint="eastAsia" w:ascii="宋体" w:hAnsi="宋体" w:cs="宋体"/>
          <w:sz w:val="28"/>
          <w:szCs w:val="28"/>
        </w:rPr>
        <w:t>二、如果我方中标，我方将严格履行合同规定的责任和义务，否则将承担由此产生的一切责任。</w:t>
      </w:r>
    </w:p>
    <w:p>
      <w:pPr>
        <w:tabs>
          <w:tab w:val="left" w:pos="1134"/>
        </w:tabs>
        <w:spacing w:line="560" w:lineRule="atLeast"/>
        <w:ind w:firstLine="560" w:firstLineChars="200"/>
        <w:rPr>
          <w:rFonts w:ascii="宋体" w:hAnsi="宋体" w:cs="宋体"/>
          <w:sz w:val="28"/>
          <w:szCs w:val="28"/>
        </w:rPr>
      </w:pPr>
      <w:r>
        <w:rPr>
          <w:rFonts w:hint="eastAsia" w:ascii="宋体" w:hAnsi="宋体" w:cs="宋体"/>
          <w:sz w:val="28"/>
          <w:szCs w:val="28"/>
        </w:rPr>
        <w:t>三、我方已知晓全部招标文件的内容，包括修改文件（如有）以及全部相关资料和有关附件，并对上述文件均无异议。</w:t>
      </w:r>
    </w:p>
    <w:p>
      <w:pPr>
        <w:tabs>
          <w:tab w:val="left" w:pos="1134"/>
        </w:tabs>
        <w:spacing w:line="560" w:lineRule="atLeast"/>
        <w:ind w:left="567"/>
        <w:rPr>
          <w:rFonts w:ascii="宋体" w:hAnsi="宋体" w:cs="宋体"/>
          <w:sz w:val="28"/>
          <w:szCs w:val="28"/>
        </w:rPr>
      </w:pPr>
      <w:r>
        <w:rPr>
          <w:rFonts w:hint="eastAsia" w:ascii="宋体" w:hAnsi="宋体" w:cs="宋体"/>
          <w:sz w:val="28"/>
          <w:szCs w:val="28"/>
        </w:rPr>
        <w:t>四、投标有效期为从投标截止之日起120天。</w:t>
      </w:r>
    </w:p>
    <w:p>
      <w:pPr>
        <w:tabs>
          <w:tab w:val="left" w:pos="1134"/>
        </w:tabs>
        <w:spacing w:line="560" w:lineRule="atLeast"/>
        <w:ind w:firstLine="560" w:firstLineChars="200"/>
        <w:rPr>
          <w:rFonts w:ascii="宋体" w:hAnsi="宋体" w:cs="宋体"/>
          <w:sz w:val="28"/>
          <w:szCs w:val="28"/>
        </w:rPr>
      </w:pPr>
      <w:r>
        <w:rPr>
          <w:rFonts w:hint="eastAsia" w:ascii="宋体" w:hAnsi="宋体" w:cs="宋体"/>
          <w:sz w:val="28"/>
          <w:szCs w:val="28"/>
        </w:rPr>
        <w:t>五、我方愿意提供贵中心可能另外要求的，与投标有关的文件资料，并保证我方已提供和将要提供的文件资料是真实、准确的，并对此承担一切法律后果。</w:t>
      </w:r>
    </w:p>
    <w:p>
      <w:pPr>
        <w:tabs>
          <w:tab w:val="left" w:pos="1134"/>
        </w:tabs>
        <w:spacing w:line="560" w:lineRule="atLeast"/>
        <w:ind w:left="567"/>
        <w:rPr>
          <w:rFonts w:ascii="宋体" w:hAnsi="宋体" w:cs="宋体"/>
          <w:sz w:val="28"/>
          <w:szCs w:val="28"/>
        </w:rPr>
      </w:pPr>
      <w:r>
        <w:rPr>
          <w:rFonts w:hint="eastAsia" w:ascii="宋体" w:hAnsi="宋体" w:cs="宋体"/>
          <w:sz w:val="28"/>
          <w:szCs w:val="28"/>
        </w:rPr>
        <w:t>六、我单位联系方式：</w:t>
      </w:r>
      <w:r>
        <w:rPr>
          <w:rFonts w:hint="eastAsia" w:ascii="宋体" w:hAnsi="宋体" w:cs="宋体"/>
          <w:sz w:val="28"/>
          <w:szCs w:val="28"/>
          <w:u w:val="single"/>
        </w:rPr>
        <w:t>XXXX</w:t>
      </w:r>
    </w:p>
    <w:p>
      <w:pPr>
        <w:spacing w:line="560" w:lineRule="atLeast"/>
        <w:ind w:left="420" w:firstLine="565" w:firstLineChars="202"/>
        <w:rPr>
          <w:rFonts w:ascii="宋体" w:hAnsi="宋体" w:cs="宋体"/>
          <w:sz w:val="28"/>
          <w:szCs w:val="28"/>
          <w:u w:val="single"/>
        </w:rPr>
      </w:pPr>
      <w:r>
        <w:rPr>
          <w:rFonts w:hint="eastAsia" w:ascii="宋体" w:hAnsi="宋体" w:cs="宋体"/>
          <w:sz w:val="28"/>
          <w:szCs w:val="28"/>
        </w:rPr>
        <w:t>地    址：</w:t>
      </w:r>
      <w:r>
        <w:rPr>
          <w:rFonts w:hint="eastAsia" w:ascii="宋体" w:hAnsi="宋体" w:cs="宋体"/>
          <w:sz w:val="28"/>
          <w:szCs w:val="28"/>
          <w:u w:val="single"/>
        </w:rPr>
        <w:t>XXXX</w:t>
      </w:r>
    </w:p>
    <w:p>
      <w:pPr>
        <w:spacing w:line="560" w:lineRule="atLeast"/>
        <w:ind w:left="420" w:firstLine="565" w:firstLineChars="202"/>
        <w:rPr>
          <w:rFonts w:ascii="宋体" w:hAnsi="宋体" w:cs="宋体"/>
          <w:sz w:val="28"/>
          <w:szCs w:val="28"/>
          <w:u w:val="single"/>
        </w:rPr>
      </w:pPr>
      <w:r>
        <w:rPr>
          <w:rFonts w:hint="eastAsia" w:ascii="宋体" w:hAnsi="宋体" w:cs="宋体"/>
          <w:sz w:val="28"/>
          <w:szCs w:val="28"/>
        </w:rPr>
        <w:t>传    真：</w:t>
      </w:r>
      <w:r>
        <w:rPr>
          <w:rFonts w:hint="eastAsia" w:ascii="宋体" w:hAnsi="宋体" w:cs="宋体"/>
          <w:sz w:val="28"/>
          <w:szCs w:val="28"/>
          <w:u w:val="single"/>
        </w:rPr>
        <w:t>XXXX</w:t>
      </w:r>
    </w:p>
    <w:p>
      <w:pPr>
        <w:spacing w:line="560" w:lineRule="atLeast"/>
        <w:ind w:left="420" w:firstLine="565" w:firstLineChars="202"/>
        <w:rPr>
          <w:rFonts w:ascii="宋体" w:hAnsi="宋体" w:cs="宋体"/>
          <w:sz w:val="28"/>
          <w:szCs w:val="28"/>
          <w:u w:val="single"/>
        </w:rPr>
      </w:pPr>
      <w:r>
        <w:rPr>
          <w:rFonts w:hint="eastAsia" w:ascii="宋体" w:hAnsi="宋体" w:cs="宋体"/>
          <w:sz w:val="28"/>
          <w:szCs w:val="28"/>
        </w:rPr>
        <w:t>邮政编码：</w:t>
      </w:r>
      <w:r>
        <w:rPr>
          <w:rFonts w:hint="eastAsia" w:ascii="宋体" w:hAnsi="宋体" w:cs="宋体"/>
          <w:sz w:val="28"/>
          <w:szCs w:val="28"/>
          <w:u w:val="single"/>
        </w:rPr>
        <w:t>XXXX</w:t>
      </w:r>
    </w:p>
    <w:p>
      <w:pPr>
        <w:spacing w:after="120" w:line="560" w:lineRule="atLeast"/>
        <w:ind w:left="420" w:leftChars="200" w:firstLine="560" w:firstLineChars="200"/>
        <w:rPr>
          <w:rFonts w:ascii="宋体" w:hAnsi="宋体" w:cs="宋体"/>
          <w:bCs/>
          <w:sz w:val="28"/>
          <w:szCs w:val="28"/>
        </w:rPr>
      </w:pPr>
      <w:r>
        <w:rPr>
          <w:rFonts w:hint="eastAsia" w:ascii="宋体" w:hAnsi="宋体" w:cs="宋体"/>
          <w:bCs/>
          <w:sz w:val="28"/>
          <w:szCs w:val="28"/>
        </w:rPr>
        <w:t>投标人名称：</w:t>
      </w:r>
      <w:r>
        <w:rPr>
          <w:rFonts w:hint="eastAsia" w:ascii="宋体" w:hAnsi="宋体" w:cs="宋体"/>
          <w:bCs/>
          <w:sz w:val="28"/>
          <w:szCs w:val="28"/>
          <w:u w:val="single"/>
        </w:rPr>
        <w:t>XXXX</w:t>
      </w:r>
    </w:p>
    <w:p>
      <w:pPr>
        <w:spacing w:line="560" w:lineRule="atLeast"/>
        <w:ind w:left="283" w:leftChars="135" w:firstLine="700" w:firstLineChars="250"/>
        <w:rPr>
          <w:rFonts w:ascii="宋体" w:hAnsi="宋体" w:cs="宋体"/>
          <w:bCs/>
          <w:sz w:val="28"/>
        </w:rPr>
      </w:pPr>
      <w:r>
        <w:rPr>
          <w:rFonts w:hint="eastAsia" w:ascii="宋体" w:hAnsi="宋体" w:cs="宋体"/>
          <w:bCs/>
          <w:sz w:val="28"/>
          <w:szCs w:val="28"/>
        </w:rPr>
        <w:t>日    期：</w:t>
      </w:r>
      <w:r>
        <w:rPr>
          <w:rFonts w:hint="eastAsia" w:ascii="宋体" w:hAnsi="宋体" w:cs="宋体"/>
          <w:bCs/>
          <w:sz w:val="28"/>
        </w:rPr>
        <w:t>202</w:t>
      </w:r>
      <w:r>
        <w:rPr>
          <w:rFonts w:hint="eastAsia" w:ascii="宋体" w:hAnsi="宋体" w:cs="宋体"/>
          <w:bCs/>
          <w:sz w:val="28"/>
          <w:u w:val="single"/>
        </w:rPr>
        <w:t>X</w:t>
      </w:r>
      <w:r>
        <w:rPr>
          <w:rFonts w:hint="eastAsia" w:ascii="宋体" w:hAnsi="宋体" w:cs="宋体"/>
          <w:bCs/>
          <w:sz w:val="28"/>
        </w:rPr>
        <w:t>年</w:t>
      </w:r>
      <w:r>
        <w:rPr>
          <w:rFonts w:hint="eastAsia" w:ascii="宋体" w:hAnsi="宋体" w:cs="宋体"/>
          <w:bCs/>
          <w:sz w:val="28"/>
          <w:u w:val="single"/>
        </w:rPr>
        <w:t>XX</w:t>
      </w:r>
      <w:r>
        <w:rPr>
          <w:rFonts w:hint="eastAsia" w:ascii="宋体" w:hAnsi="宋体" w:cs="宋体"/>
          <w:bCs/>
          <w:sz w:val="28"/>
        </w:rPr>
        <w:t>月</w:t>
      </w:r>
      <w:r>
        <w:rPr>
          <w:rFonts w:hint="eastAsia" w:ascii="宋体" w:hAnsi="宋体" w:cs="宋体"/>
          <w:bCs/>
          <w:sz w:val="28"/>
          <w:u w:val="single"/>
        </w:rPr>
        <w:t>XX</w:t>
      </w:r>
      <w:r>
        <w:rPr>
          <w:rFonts w:hint="eastAsia" w:ascii="宋体" w:hAnsi="宋体" w:cs="宋体"/>
          <w:bCs/>
          <w:sz w:val="28"/>
        </w:rPr>
        <w:t>日</w:t>
      </w:r>
    </w:p>
    <w:p>
      <w:pPr>
        <w:pStyle w:val="2"/>
        <w:rPr>
          <w:rFonts w:ascii="宋体" w:hAnsi="宋体" w:cs="宋体"/>
          <w:bCs/>
          <w:sz w:val="28"/>
        </w:rPr>
      </w:pPr>
    </w:p>
    <w:p>
      <w:pPr>
        <w:rPr>
          <w:rFonts w:ascii="宋体" w:hAnsi="宋体" w:cs="宋体"/>
          <w:bCs/>
          <w:sz w:val="28"/>
        </w:rPr>
      </w:pPr>
    </w:p>
    <w:p>
      <w:pPr>
        <w:pStyle w:val="15"/>
        <w:ind w:firstLine="0" w:firstLineChars="0"/>
        <w:rPr>
          <w:rFonts w:ascii="宋体" w:hAnsi="宋体" w:cs="宋体"/>
        </w:rPr>
      </w:pPr>
    </w:p>
    <w:p>
      <w:pPr>
        <w:pStyle w:val="15"/>
        <w:ind w:firstLine="0" w:firstLineChars="0"/>
        <w:rPr>
          <w:rFonts w:ascii="宋体" w:hAnsi="宋体" w:cs="宋体"/>
        </w:rPr>
      </w:pPr>
    </w:p>
    <w:p>
      <w:pPr>
        <w:pStyle w:val="15"/>
        <w:ind w:firstLine="0" w:firstLineChars="0"/>
        <w:rPr>
          <w:rFonts w:ascii="宋体" w:hAnsi="宋体" w:cs="宋体"/>
        </w:rPr>
      </w:pPr>
    </w:p>
    <w:p>
      <w:pPr>
        <w:pStyle w:val="15"/>
        <w:ind w:firstLine="0" w:firstLineChars="0"/>
        <w:rPr>
          <w:rFonts w:ascii="宋体" w:hAnsi="宋体" w:cs="宋体"/>
        </w:rPr>
      </w:pPr>
    </w:p>
    <w:p>
      <w:pPr>
        <w:pStyle w:val="15"/>
        <w:ind w:firstLine="0" w:firstLineChars="0"/>
        <w:rPr>
          <w:rFonts w:ascii="宋体" w:hAnsi="宋体" w:cs="宋体"/>
        </w:rPr>
      </w:pPr>
    </w:p>
    <w:p>
      <w:pPr>
        <w:pStyle w:val="15"/>
        <w:ind w:firstLine="0" w:firstLineChars="0"/>
        <w:rPr>
          <w:rFonts w:ascii="宋体" w:hAnsi="宋体" w:cs="宋体"/>
        </w:rPr>
      </w:pPr>
    </w:p>
    <w:p>
      <w:pPr>
        <w:pStyle w:val="15"/>
        <w:ind w:firstLine="0" w:firstLineChars="0"/>
        <w:rPr>
          <w:rFonts w:ascii="宋体" w:hAnsi="宋体" w:cs="宋体"/>
        </w:rPr>
      </w:pPr>
    </w:p>
    <w:p>
      <w:pPr>
        <w:pStyle w:val="15"/>
        <w:ind w:firstLine="0" w:firstLineChars="0"/>
        <w:rPr>
          <w:rFonts w:ascii="宋体" w:hAnsi="宋体" w:cs="宋体"/>
        </w:rPr>
      </w:pPr>
    </w:p>
    <w:p>
      <w:pPr>
        <w:pStyle w:val="15"/>
        <w:ind w:firstLine="0" w:firstLineChars="0"/>
        <w:rPr>
          <w:rFonts w:ascii="宋体" w:hAnsi="宋体" w:cs="宋体"/>
        </w:rPr>
      </w:pPr>
    </w:p>
    <w:p>
      <w:pPr>
        <w:pStyle w:val="15"/>
        <w:ind w:firstLine="0" w:firstLineChars="0"/>
        <w:rPr>
          <w:rFonts w:ascii="宋体" w:hAnsi="宋体" w:cs="宋体"/>
        </w:rPr>
      </w:pPr>
    </w:p>
    <w:p>
      <w:pPr>
        <w:pStyle w:val="15"/>
        <w:ind w:firstLine="0" w:firstLineChars="0"/>
        <w:rPr>
          <w:rFonts w:ascii="宋体" w:hAnsi="宋体" w:cs="宋体"/>
        </w:rPr>
      </w:pPr>
    </w:p>
    <w:p>
      <w:pPr>
        <w:pStyle w:val="15"/>
        <w:ind w:firstLine="0" w:firstLineChars="0"/>
        <w:rPr>
          <w:rFonts w:ascii="宋体" w:hAnsi="宋体" w:cs="宋体"/>
        </w:rPr>
      </w:pPr>
    </w:p>
    <w:p>
      <w:pPr>
        <w:pStyle w:val="15"/>
        <w:ind w:firstLine="0" w:firstLineChars="0"/>
        <w:rPr>
          <w:rFonts w:ascii="宋体" w:hAnsi="宋体" w:cs="宋体"/>
        </w:rPr>
      </w:pPr>
    </w:p>
    <w:p>
      <w:pPr>
        <w:pStyle w:val="15"/>
        <w:ind w:firstLine="0" w:firstLineChars="0"/>
        <w:rPr>
          <w:rFonts w:ascii="宋体" w:hAnsi="宋体" w:cs="宋体"/>
        </w:rPr>
      </w:pPr>
    </w:p>
    <w:p>
      <w:pPr>
        <w:pStyle w:val="15"/>
        <w:ind w:firstLine="0" w:firstLineChars="0"/>
        <w:rPr>
          <w:rFonts w:ascii="宋体" w:hAnsi="宋体" w:cs="宋体"/>
        </w:rPr>
      </w:pPr>
    </w:p>
    <w:p>
      <w:pPr>
        <w:widowControl/>
        <w:spacing w:after="0" w:line="240" w:lineRule="auto"/>
        <w:jc w:val="left"/>
        <w:rPr>
          <w:rFonts w:ascii="宋体" w:hAnsi="宋体" w:cs="宋体"/>
          <w:kern w:val="0"/>
          <w:sz w:val="18"/>
          <w:szCs w:val="18"/>
        </w:rPr>
      </w:pPr>
      <w:r>
        <w:rPr>
          <w:rFonts w:ascii="宋体" w:hAnsi="宋体" w:cs="宋体"/>
        </w:rPr>
        <w:br w:type="page"/>
      </w:r>
    </w:p>
    <w:p>
      <w:pPr>
        <w:keepNext/>
        <w:keepLines/>
        <w:numPr>
          <w:ilvl w:val="2"/>
          <w:numId w:val="2"/>
        </w:numPr>
        <w:spacing w:line="360" w:lineRule="auto"/>
        <w:ind w:left="3119" w:hanging="3119"/>
        <w:outlineLvl w:val="2"/>
        <w:rPr>
          <w:rFonts w:ascii="宋体" w:hAnsi="宋体" w:cs="宋体"/>
          <w:sz w:val="28"/>
          <w:u w:val="single"/>
          <w:lang w:val="zh-CN"/>
        </w:rPr>
      </w:pPr>
      <w:r>
        <w:rPr>
          <w:rFonts w:hint="eastAsia" w:ascii="宋体" w:hAnsi="宋体" w:cs="宋体"/>
          <w:b/>
          <w:bCs/>
          <w:sz w:val="28"/>
          <w:szCs w:val="28"/>
        </w:rPr>
        <w:t>法定代表人身份证明书</w:t>
      </w:r>
    </w:p>
    <w:p>
      <w:pPr>
        <w:tabs>
          <w:tab w:val="left" w:pos="6300"/>
        </w:tabs>
        <w:spacing w:line="360" w:lineRule="auto"/>
        <w:ind w:firstLine="573"/>
        <w:rPr>
          <w:rFonts w:ascii="宋体" w:hAnsi="宋体" w:cs="宋体"/>
          <w:sz w:val="28"/>
          <w:lang w:val="zh-CN"/>
        </w:rPr>
      </w:pPr>
      <w:r>
        <w:rPr>
          <w:rFonts w:hint="eastAsia" w:ascii="宋体" w:hAnsi="宋体" w:cs="宋体"/>
          <w:sz w:val="28"/>
          <w:u w:val="single"/>
          <w:lang w:val="zh-CN"/>
        </w:rPr>
        <w:t>XXXX（法定代表人姓名）</w:t>
      </w:r>
      <w:r>
        <w:rPr>
          <w:rFonts w:hint="eastAsia" w:ascii="宋体" w:hAnsi="宋体" w:cs="宋体"/>
          <w:sz w:val="28"/>
          <w:lang w:val="zh-CN"/>
        </w:rPr>
        <w:t>在</w:t>
      </w:r>
      <w:r>
        <w:rPr>
          <w:rFonts w:hint="eastAsia" w:ascii="宋体" w:hAnsi="宋体" w:cs="宋体"/>
          <w:sz w:val="28"/>
          <w:u w:val="single"/>
          <w:lang w:val="zh-CN"/>
        </w:rPr>
        <w:t>XXXX（投标人名称）</w:t>
      </w:r>
      <w:r>
        <w:rPr>
          <w:rFonts w:hint="eastAsia" w:ascii="宋体" w:hAnsi="宋体" w:cs="宋体"/>
          <w:sz w:val="28"/>
          <w:lang w:val="zh-CN"/>
        </w:rPr>
        <w:t>处 任</w:t>
      </w:r>
      <w:r>
        <w:rPr>
          <w:rFonts w:hint="eastAsia" w:ascii="宋体" w:hAnsi="宋体" w:cs="宋体"/>
          <w:sz w:val="28"/>
          <w:u w:val="single"/>
          <w:lang w:val="zh-CN"/>
        </w:rPr>
        <w:t>XXXX（职务名称）</w:t>
      </w:r>
      <w:r>
        <w:rPr>
          <w:rFonts w:hint="eastAsia" w:ascii="宋体" w:hAnsi="宋体" w:cs="宋体"/>
          <w:sz w:val="28"/>
          <w:lang w:val="zh-CN"/>
        </w:rPr>
        <w:t>职务，是</w:t>
      </w:r>
      <w:r>
        <w:rPr>
          <w:rFonts w:hint="eastAsia" w:ascii="宋体" w:hAnsi="宋体" w:cs="宋体"/>
          <w:sz w:val="28"/>
          <w:u w:val="single"/>
          <w:lang w:val="zh-CN"/>
        </w:rPr>
        <w:t>XXXX（投标人名称）</w:t>
      </w:r>
      <w:r>
        <w:rPr>
          <w:rFonts w:hint="eastAsia" w:ascii="宋体" w:hAnsi="宋体" w:cs="宋体"/>
          <w:sz w:val="28"/>
          <w:lang w:val="zh-CN"/>
        </w:rPr>
        <w:t>的法定代表人。</w:t>
      </w:r>
    </w:p>
    <w:p>
      <w:pPr>
        <w:tabs>
          <w:tab w:val="left" w:pos="6300"/>
        </w:tabs>
        <w:spacing w:line="360" w:lineRule="auto"/>
        <w:rPr>
          <w:rFonts w:ascii="宋体" w:hAnsi="宋体" w:cs="宋体"/>
          <w:sz w:val="28"/>
          <w:lang w:val="zh-CN"/>
        </w:rPr>
      </w:pPr>
    </w:p>
    <w:p>
      <w:pPr>
        <w:pStyle w:val="6"/>
        <w:ind w:firstLine="480"/>
        <w:rPr>
          <w:rFonts w:ascii="宋体" w:hAnsi="宋体" w:eastAsia="宋体" w:cs="宋体"/>
        </w:rPr>
      </w:pPr>
      <w:r>
        <w:rPr>
          <w:rFonts w:hint="eastAsia" w:ascii="宋体" w:hAnsi="宋体" w:eastAsia="宋体" w:cs="宋体"/>
        </w:rPr>
        <w:t>法定代表人/单位负责人身份证复印件（正反两面均需提供）：</w:t>
      </w:r>
    </w:p>
    <w:p>
      <w:pPr>
        <w:pStyle w:val="6"/>
        <w:ind w:firstLine="0"/>
        <w:rPr>
          <w:rFonts w:ascii="宋体" w:hAnsi="宋体" w:eastAsia="宋体" w:cs="宋体"/>
        </w:rPr>
      </w:pPr>
    </w:p>
    <w:tbl>
      <w:tblPr>
        <w:tblStyle w:val="16"/>
        <w:tblW w:w="87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31"/>
        <w:gridCol w:w="469"/>
        <w:gridCol w:w="4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3" w:hRule="atLeast"/>
          <w:jc w:val="center"/>
        </w:trPr>
        <w:tc>
          <w:tcPr>
            <w:tcW w:w="4031" w:type="dxa"/>
          </w:tcPr>
          <w:p>
            <w:pPr>
              <w:pStyle w:val="6"/>
              <w:ind w:firstLine="480"/>
              <w:rPr>
                <w:rFonts w:ascii="宋体" w:hAnsi="宋体" w:eastAsia="宋体" w:cs="宋体"/>
              </w:rPr>
            </w:pPr>
          </w:p>
          <w:p>
            <w:pPr>
              <w:pStyle w:val="6"/>
              <w:ind w:firstLine="480"/>
              <w:rPr>
                <w:rFonts w:ascii="宋体" w:hAnsi="宋体" w:eastAsia="宋体" w:cs="宋体"/>
              </w:rPr>
            </w:pPr>
          </w:p>
          <w:p>
            <w:pPr>
              <w:pStyle w:val="6"/>
              <w:ind w:firstLine="480"/>
              <w:rPr>
                <w:rFonts w:ascii="宋体" w:hAnsi="宋体" w:eastAsia="宋体" w:cs="宋体"/>
              </w:rPr>
            </w:pPr>
          </w:p>
          <w:p>
            <w:pPr>
              <w:pStyle w:val="6"/>
              <w:ind w:firstLine="480"/>
              <w:rPr>
                <w:rFonts w:ascii="宋体" w:hAnsi="宋体" w:eastAsia="宋体" w:cs="宋体"/>
              </w:rPr>
            </w:pPr>
            <w:r>
              <w:rPr>
                <w:rFonts w:hint="eastAsia" w:ascii="宋体" w:hAnsi="宋体" w:eastAsia="宋体" w:cs="宋体"/>
              </w:rPr>
              <w:t>法定代表人/单位负责人身份证正面复印件</w:t>
            </w:r>
          </w:p>
          <w:p>
            <w:pPr>
              <w:pStyle w:val="6"/>
              <w:ind w:firstLine="480"/>
              <w:rPr>
                <w:rFonts w:ascii="宋体" w:hAnsi="宋体" w:eastAsia="宋体" w:cs="宋体"/>
              </w:rPr>
            </w:pPr>
          </w:p>
        </w:tc>
        <w:tc>
          <w:tcPr>
            <w:tcW w:w="469" w:type="dxa"/>
            <w:tcBorders>
              <w:top w:val="nil"/>
              <w:bottom w:val="nil"/>
            </w:tcBorders>
          </w:tcPr>
          <w:p>
            <w:pPr>
              <w:pStyle w:val="6"/>
              <w:ind w:left="621" w:firstLine="480"/>
              <w:rPr>
                <w:rFonts w:ascii="宋体" w:hAnsi="宋体" w:eastAsia="宋体" w:cs="宋体"/>
              </w:rPr>
            </w:pPr>
          </w:p>
          <w:p>
            <w:pPr>
              <w:widowControl/>
              <w:jc w:val="left"/>
              <w:rPr>
                <w:rFonts w:ascii="宋体" w:hAnsi="宋体" w:cs="宋体"/>
                <w:sz w:val="24"/>
              </w:rPr>
            </w:pPr>
          </w:p>
          <w:p>
            <w:pPr>
              <w:widowControl/>
              <w:jc w:val="left"/>
              <w:rPr>
                <w:rFonts w:ascii="宋体" w:hAnsi="宋体" w:cs="宋体"/>
                <w:sz w:val="24"/>
              </w:rPr>
            </w:pPr>
          </w:p>
          <w:p>
            <w:pPr>
              <w:widowControl/>
              <w:jc w:val="left"/>
              <w:rPr>
                <w:rFonts w:ascii="宋体" w:hAnsi="宋体" w:cs="宋体"/>
                <w:sz w:val="24"/>
              </w:rPr>
            </w:pPr>
          </w:p>
          <w:p>
            <w:pPr>
              <w:widowControl/>
              <w:jc w:val="left"/>
              <w:rPr>
                <w:rFonts w:ascii="宋体" w:hAnsi="宋体" w:cs="宋体"/>
                <w:sz w:val="24"/>
              </w:rPr>
            </w:pPr>
          </w:p>
          <w:p>
            <w:pPr>
              <w:pStyle w:val="6"/>
              <w:ind w:firstLine="480"/>
              <w:rPr>
                <w:rFonts w:ascii="宋体" w:hAnsi="宋体" w:eastAsia="宋体" w:cs="宋体"/>
              </w:rPr>
            </w:pPr>
          </w:p>
        </w:tc>
        <w:tc>
          <w:tcPr>
            <w:tcW w:w="4207" w:type="dxa"/>
          </w:tcPr>
          <w:p>
            <w:pPr>
              <w:pStyle w:val="6"/>
              <w:ind w:firstLine="480"/>
              <w:rPr>
                <w:rFonts w:ascii="宋体" w:hAnsi="宋体" w:eastAsia="宋体" w:cs="宋体"/>
              </w:rPr>
            </w:pPr>
          </w:p>
          <w:p>
            <w:pPr>
              <w:pStyle w:val="6"/>
              <w:ind w:firstLine="480"/>
              <w:rPr>
                <w:rFonts w:ascii="宋体" w:hAnsi="宋体" w:eastAsia="宋体" w:cs="宋体"/>
              </w:rPr>
            </w:pPr>
          </w:p>
          <w:p>
            <w:pPr>
              <w:pStyle w:val="6"/>
              <w:ind w:firstLine="480"/>
              <w:rPr>
                <w:rFonts w:ascii="宋体" w:hAnsi="宋体" w:eastAsia="宋体" w:cs="宋体"/>
              </w:rPr>
            </w:pPr>
          </w:p>
          <w:p>
            <w:pPr>
              <w:pStyle w:val="6"/>
              <w:ind w:firstLine="480"/>
              <w:rPr>
                <w:rFonts w:ascii="宋体" w:hAnsi="宋体" w:eastAsia="宋体" w:cs="宋体"/>
              </w:rPr>
            </w:pPr>
            <w:r>
              <w:rPr>
                <w:rFonts w:hint="eastAsia" w:ascii="宋体" w:hAnsi="宋体" w:eastAsia="宋体" w:cs="宋体"/>
              </w:rPr>
              <w:t>法定代表人/单位负责人身份证反面复印件</w:t>
            </w:r>
          </w:p>
          <w:p>
            <w:pPr>
              <w:pStyle w:val="6"/>
              <w:ind w:firstLine="1417" w:firstLineChars="675"/>
              <w:rPr>
                <w:rFonts w:ascii="宋体" w:hAnsi="宋体" w:eastAsia="宋体" w:cs="宋体"/>
              </w:rPr>
            </w:pPr>
          </w:p>
        </w:tc>
      </w:tr>
    </w:tbl>
    <w:p>
      <w:pPr>
        <w:tabs>
          <w:tab w:val="left" w:pos="6300"/>
        </w:tabs>
        <w:spacing w:line="360" w:lineRule="auto"/>
        <w:rPr>
          <w:rFonts w:ascii="宋体" w:hAnsi="宋体" w:cs="宋体"/>
          <w:sz w:val="28"/>
          <w:lang w:val="zh-CN"/>
        </w:rPr>
      </w:pPr>
    </w:p>
    <w:p>
      <w:pPr>
        <w:tabs>
          <w:tab w:val="left" w:pos="6300"/>
        </w:tabs>
        <w:spacing w:line="360" w:lineRule="auto"/>
        <w:ind w:firstLine="573"/>
        <w:rPr>
          <w:rFonts w:ascii="宋体" w:hAnsi="宋体" w:cs="宋体"/>
          <w:sz w:val="28"/>
          <w:lang w:val="zh-CN"/>
        </w:rPr>
      </w:pPr>
      <w:bookmarkStart w:id="138" w:name="_Toc263768866"/>
      <w:r>
        <w:rPr>
          <w:rFonts w:hint="eastAsia" w:ascii="宋体" w:hAnsi="宋体" w:cs="宋体"/>
          <w:sz w:val="28"/>
          <w:lang w:val="zh-CN"/>
        </w:rPr>
        <w:t>特此证明。</w:t>
      </w:r>
      <w:bookmarkEnd w:id="138"/>
    </w:p>
    <w:p>
      <w:pPr>
        <w:rPr>
          <w:rFonts w:ascii="宋体" w:hAnsi="宋体" w:cs="宋体"/>
          <w:lang w:val="zh-CN"/>
        </w:rPr>
      </w:pPr>
    </w:p>
    <w:p>
      <w:pPr>
        <w:spacing w:line="360" w:lineRule="auto"/>
        <w:rPr>
          <w:rFonts w:ascii="宋体" w:hAnsi="宋体" w:cs="宋体"/>
          <w:sz w:val="28"/>
          <w:lang w:val="zh-CN"/>
        </w:rPr>
      </w:pPr>
      <w:r>
        <w:rPr>
          <w:rFonts w:hint="eastAsia" w:ascii="宋体" w:hAnsi="宋体" w:cs="宋体"/>
          <w:sz w:val="28"/>
          <w:lang w:val="zh-CN"/>
        </w:rPr>
        <w:t>投标人名称：</w:t>
      </w:r>
      <w:r>
        <w:rPr>
          <w:rFonts w:hint="eastAsia" w:ascii="宋体" w:hAnsi="宋体" w:cs="宋体"/>
          <w:sz w:val="28"/>
          <w:u w:val="single"/>
          <w:lang w:val="zh-CN"/>
        </w:rPr>
        <w:t>XXXX</w:t>
      </w:r>
    </w:p>
    <w:p>
      <w:pPr>
        <w:spacing w:line="360" w:lineRule="auto"/>
        <w:rPr>
          <w:rFonts w:ascii="宋体" w:hAnsi="宋体" w:cs="宋体"/>
          <w:b/>
          <w:sz w:val="28"/>
          <w:szCs w:val="28"/>
        </w:rPr>
      </w:pPr>
      <w:r>
        <w:rPr>
          <w:rFonts w:hint="eastAsia" w:ascii="宋体" w:hAnsi="宋体" w:cs="宋体"/>
          <w:sz w:val="28"/>
        </w:rPr>
        <w:t>日期：</w:t>
      </w:r>
      <w:r>
        <w:rPr>
          <w:rFonts w:hint="eastAsia" w:ascii="宋体" w:hAnsi="宋体" w:cs="宋体"/>
          <w:bCs/>
          <w:sz w:val="28"/>
        </w:rPr>
        <w:t>20</w:t>
      </w:r>
      <w:r>
        <w:rPr>
          <w:rFonts w:hint="eastAsia" w:ascii="宋体" w:hAnsi="宋体" w:cs="宋体"/>
          <w:sz w:val="28"/>
          <w:lang w:val="zh-CN"/>
        </w:rPr>
        <w:t>2</w:t>
      </w:r>
      <w:r>
        <w:rPr>
          <w:rFonts w:hint="eastAsia" w:ascii="宋体" w:hAnsi="宋体" w:cs="宋体"/>
          <w:sz w:val="28"/>
          <w:u w:val="single"/>
          <w:lang w:val="zh-CN"/>
        </w:rPr>
        <w:t>X</w:t>
      </w:r>
      <w:r>
        <w:rPr>
          <w:rFonts w:hint="eastAsia" w:ascii="宋体" w:hAnsi="宋体" w:cs="宋体"/>
          <w:bCs/>
          <w:sz w:val="28"/>
        </w:rPr>
        <w:t>年</w:t>
      </w:r>
      <w:r>
        <w:rPr>
          <w:rFonts w:hint="eastAsia" w:ascii="宋体" w:hAnsi="宋体" w:cs="宋体"/>
          <w:sz w:val="28"/>
          <w:u w:val="single"/>
          <w:lang w:val="zh-CN"/>
        </w:rPr>
        <w:t>XX</w:t>
      </w:r>
      <w:r>
        <w:rPr>
          <w:rFonts w:hint="eastAsia" w:ascii="宋体" w:hAnsi="宋体" w:cs="宋体"/>
          <w:bCs/>
          <w:sz w:val="28"/>
        </w:rPr>
        <w:t>月</w:t>
      </w:r>
      <w:r>
        <w:rPr>
          <w:rFonts w:hint="eastAsia" w:ascii="宋体" w:hAnsi="宋体" w:cs="宋体"/>
          <w:sz w:val="28"/>
          <w:u w:val="single"/>
          <w:lang w:val="zh-CN"/>
        </w:rPr>
        <w:t>XX</w:t>
      </w:r>
      <w:r>
        <w:rPr>
          <w:rFonts w:hint="eastAsia" w:ascii="宋体" w:hAnsi="宋体" w:cs="宋体"/>
          <w:bCs/>
          <w:sz w:val="28"/>
        </w:rPr>
        <w:t>日</w:t>
      </w:r>
    </w:p>
    <w:p>
      <w:pPr>
        <w:spacing w:after="180" w:line="360" w:lineRule="auto"/>
        <w:ind w:firstLine="568" w:firstLineChars="202"/>
        <w:rPr>
          <w:rFonts w:ascii="宋体" w:hAnsi="宋体" w:cs="宋体"/>
          <w:b/>
          <w:sz w:val="28"/>
          <w:szCs w:val="28"/>
        </w:rPr>
      </w:pPr>
      <w:r>
        <w:rPr>
          <w:rFonts w:hint="eastAsia" w:ascii="宋体" w:hAnsi="宋体" w:cs="宋体"/>
          <w:b/>
          <w:sz w:val="28"/>
          <w:szCs w:val="28"/>
        </w:rPr>
        <w:t>说明：上述证明文件在投标文件中附有法定代表人身份证复印件（身份证两面均应复印）或护照复印件（投标人的法定代表人为外籍人士的，则提供护照复印件）时才能生效。</w:t>
      </w:r>
    </w:p>
    <w:p>
      <w:pPr>
        <w:keepNext/>
        <w:keepLines/>
        <w:numPr>
          <w:ilvl w:val="2"/>
          <w:numId w:val="2"/>
        </w:numPr>
        <w:spacing w:line="360" w:lineRule="auto"/>
        <w:ind w:left="3119" w:hanging="3119"/>
        <w:outlineLvl w:val="2"/>
        <w:rPr>
          <w:rFonts w:ascii="宋体" w:hAnsi="宋体" w:cs="宋体"/>
          <w:b/>
          <w:bCs/>
          <w:sz w:val="28"/>
          <w:szCs w:val="28"/>
        </w:rPr>
      </w:pPr>
      <w:bookmarkStart w:id="139" w:name="_Toc302997926"/>
      <w:r>
        <w:rPr>
          <w:rFonts w:hint="eastAsia" w:ascii="宋体" w:hAnsi="宋体" w:cs="宋体"/>
          <w:b/>
          <w:bCs/>
          <w:sz w:val="28"/>
          <w:szCs w:val="28"/>
        </w:rPr>
        <w:t>投标人基本情况表</w:t>
      </w:r>
      <w:bookmarkEnd w:id="139"/>
    </w:p>
    <w:tbl>
      <w:tblPr>
        <w:tblStyle w:val="16"/>
        <w:tblW w:w="8522"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16"/>
        <w:gridCol w:w="978"/>
        <w:gridCol w:w="1215"/>
        <w:gridCol w:w="1248"/>
        <w:gridCol w:w="8"/>
        <w:gridCol w:w="1318"/>
        <w:gridCol w:w="160"/>
        <w:gridCol w:w="1012"/>
        <w:gridCol w:w="106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516" w:type="dxa"/>
            <w:tcBorders>
              <w:top w:val="double" w:color="auto" w:sz="4"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投标人名称</w:t>
            </w:r>
          </w:p>
        </w:tc>
        <w:tc>
          <w:tcPr>
            <w:tcW w:w="7006" w:type="dxa"/>
            <w:gridSpan w:val="8"/>
            <w:tcBorders>
              <w:top w:val="double" w:color="auto" w:sz="4"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注册地址</w:t>
            </w:r>
          </w:p>
        </w:tc>
        <w:tc>
          <w:tcPr>
            <w:tcW w:w="3449"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s="宋体"/>
                <w:szCs w:val="21"/>
              </w:rPr>
            </w:pPr>
          </w:p>
        </w:tc>
        <w:tc>
          <w:tcPr>
            <w:tcW w:w="13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邮政编码</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16" w:type="dxa"/>
            <w:vMerge w:val="restart"/>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联系方式</w:t>
            </w:r>
          </w:p>
        </w:tc>
        <w:tc>
          <w:tcPr>
            <w:tcW w:w="9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联系人</w:t>
            </w:r>
          </w:p>
        </w:tc>
        <w:tc>
          <w:tcPr>
            <w:tcW w:w="246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s="宋体"/>
                <w:szCs w:val="21"/>
              </w:rPr>
            </w:pPr>
          </w:p>
        </w:tc>
        <w:tc>
          <w:tcPr>
            <w:tcW w:w="13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电话</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48" w:hRule="atLeast"/>
          <w:jc w:val="center"/>
        </w:trPr>
        <w:tc>
          <w:tcPr>
            <w:tcW w:w="1516" w:type="dxa"/>
            <w:vMerge w:val="continue"/>
            <w:tcBorders>
              <w:top w:val="single" w:color="auto" w:sz="6" w:space="0"/>
              <w:left w:val="double" w:color="auto" w:sz="4" w:space="0"/>
              <w:bottom w:val="single" w:color="auto" w:sz="6" w:space="0"/>
              <w:right w:val="single" w:color="auto" w:sz="6" w:space="0"/>
            </w:tcBorders>
            <w:vAlign w:val="center"/>
          </w:tcPr>
          <w:p>
            <w:pPr>
              <w:widowControl/>
              <w:jc w:val="left"/>
              <w:rPr>
                <w:rFonts w:ascii="宋体" w:hAnsi="宋体" w:cs="宋体"/>
                <w:szCs w:val="21"/>
              </w:rPr>
            </w:pPr>
          </w:p>
        </w:tc>
        <w:tc>
          <w:tcPr>
            <w:tcW w:w="9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传真</w:t>
            </w:r>
          </w:p>
        </w:tc>
        <w:tc>
          <w:tcPr>
            <w:tcW w:w="246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s="宋体"/>
                <w:szCs w:val="21"/>
              </w:rPr>
            </w:pPr>
          </w:p>
        </w:tc>
        <w:tc>
          <w:tcPr>
            <w:tcW w:w="13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网址</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单位性质</w:t>
            </w:r>
          </w:p>
        </w:tc>
        <w:tc>
          <w:tcPr>
            <w:tcW w:w="7006" w:type="dxa"/>
            <w:gridSpan w:val="8"/>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法定代表人</w:t>
            </w:r>
          </w:p>
        </w:tc>
        <w:tc>
          <w:tcPr>
            <w:tcW w:w="9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姓名</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s="宋体"/>
                <w:szCs w:val="21"/>
              </w:rPr>
            </w:pPr>
          </w:p>
        </w:tc>
        <w:tc>
          <w:tcPr>
            <w:tcW w:w="12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技术职称</w:t>
            </w:r>
          </w:p>
        </w:tc>
        <w:tc>
          <w:tcPr>
            <w:tcW w:w="13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s="宋体"/>
                <w:szCs w:val="21"/>
              </w:rPr>
            </w:pPr>
          </w:p>
        </w:tc>
        <w:tc>
          <w:tcPr>
            <w:tcW w:w="117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电话</w:t>
            </w:r>
          </w:p>
        </w:tc>
        <w:tc>
          <w:tcPr>
            <w:tcW w:w="1067" w:type="dxa"/>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cs="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2" w:hRule="atLeast"/>
          <w:jc w:val="center"/>
        </w:trPr>
        <w:tc>
          <w:tcPr>
            <w:tcW w:w="1516" w:type="dxa"/>
            <w:tcBorders>
              <w:top w:val="single" w:color="auto" w:sz="6" w:space="0"/>
              <w:left w:val="double" w:color="auto" w:sz="4"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技术负责人</w:t>
            </w:r>
          </w:p>
        </w:tc>
        <w:tc>
          <w:tcPr>
            <w:tcW w:w="978"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姓名</w:t>
            </w:r>
          </w:p>
        </w:tc>
        <w:tc>
          <w:tcPr>
            <w:tcW w:w="1215"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cs="宋体"/>
                <w:szCs w:val="21"/>
              </w:rPr>
            </w:pPr>
          </w:p>
        </w:tc>
        <w:tc>
          <w:tcPr>
            <w:tcW w:w="1248"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技术职称</w:t>
            </w:r>
          </w:p>
        </w:tc>
        <w:tc>
          <w:tcPr>
            <w:tcW w:w="1326" w:type="dxa"/>
            <w:gridSpan w:val="2"/>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cs="宋体"/>
                <w:szCs w:val="21"/>
              </w:rPr>
            </w:pPr>
          </w:p>
        </w:tc>
        <w:tc>
          <w:tcPr>
            <w:tcW w:w="1172" w:type="dxa"/>
            <w:gridSpan w:val="2"/>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电话</w:t>
            </w:r>
          </w:p>
        </w:tc>
        <w:tc>
          <w:tcPr>
            <w:tcW w:w="1067" w:type="dxa"/>
            <w:tcBorders>
              <w:top w:val="single" w:color="auto" w:sz="6" w:space="0"/>
              <w:left w:val="single" w:color="auto" w:sz="6" w:space="0"/>
              <w:bottom w:val="single" w:color="auto" w:sz="4" w:space="0"/>
              <w:right w:val="double" w:color="auto" w:sz="4" w:space="0"/>
            </w:tcBorders>
            <w:vAlign w:val="center"/>
          </w:tcPr>
          <w:p>
            <w:pPr>
              <w:autoSpaceDE w:val="0"/>
              <w:autoSpaceDN w:val="0"/>
              <w:adjustRightInd w:val="0"/>
              <w:spacing w:line="400" w:lineRule="exact"/>
              <w:jc w:val="center"/>
              <w:rPr>
                <w:rFonts w:ascii="宋体" w:hAnsi="宋体" w:cs="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8" w:hRule="atLeast"/>
          <w:jc w:val="center"/>
        </w:trPr>
        <w:tc>
          <w:tcPr>
            <w:tcW w:w="1516" w:type="dxa"/>
            <w:tcBorders>
              <w:top w:val="single" w:color="auto" w:sz="4"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财务负责人</w:t>
            </w:r>
          </w:p>
        </w:tc>
        <w:tc>
          <w:tcPr>
            <w:tcW w:w="978"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姓名</w:t>
            </w:r>
          </w:p>
        </w:tc>
        <w:tc>
          <w:tcPr>
            <w:tcW w:w="1215"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s="宋体"/>
                <w:szCs w:val="21"/>
              </w:rPr>
            </w:pPr>
          </w:p>
        </w:tc>
        <w:tc>
          <w:tcPr>
            <w:tcW w:w="1248"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技术职称</w:t>
            </w:r>
          </w:p>
        </w:tc>
        <w:tc>
          <w:tcPr>
            <w:tcW w:w="1326" w:type="dxa"/>
            <w:gridSpan w:val="2"/>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s="宋体"/>
                <w:szCs w:val="21"/>
              </w:rPr>
            </w:pPr>
          </w:p>
        </w:tc>
        <w:tc>
          <w:tcPr>
            <w:tcW w:w="1172" w:type="dxa"/>
            <w:gridSpan w:val="2"/>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电话</w:t>
            </w:r>
          </w:p>
        </w:tc>
        <w:tc>
          <w:tcPr>
            <w:tcW w:w="1067" w:type="dxa"/>
            <w:tcBorders>
              <w:top w:val="single" w:color="auto" w:sz="4"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cs="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成立时间</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s="宋体"/>
                <w:szCs w:val="21"/>
              </w:rPr>
            </w:pPr>
          </w:p>
        </w:tc>
        <w:tc>
          <w:tcPr>
            <w:tcW w:w="4813" w:type="dxa"/>
            <w:gridSpan w:val="6"/>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ind w:firstLine="1470" w:firstLineChars="700"/>
              <w:rPr>
                <w:rFonts w:ascii="宋体" w:hAnsi="宋体" w:cs="宋体"/>
                <w:szCs w:val="21"/>
              </w:rPr>
            </w:pPr>
            <w:r>
              <w:rPr>
                <w:rFonts w:hint="eastAsia" w:ascii="宋体" w:hAnsi="宋体" w:cs="宋体"/>
                <w:szCs w:val="21"/>
              </w:rPr>
              <w:t>员工总人数：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企业资质等级</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s="宋体"/>
                <w:szCs w:val="21"/>
              </w:rPr>
            </w:pPr>
          </w:p>
        </w:tc>
        <w:tc>
          <w:tcPr>
            <w:tcW w:w="1248"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其中</w:t>
            </w: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项目经理</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cs="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营业执照号</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s="宋体"/>
                <w:szCs w:val="21"/>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szCs w:val="21"/>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高级职称人员</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cs="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注册资金</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s="宋体"/>
                <w:szCs w:val="21"/>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szCs w:val="21"/>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中级职称人员</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cs="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开户银行</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s="宋体"/>
                <w:szCs w:val="21"/>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szCs w:val="21"/>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初级职称人员</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cs="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账号</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s="宋体"/>
                <w:szCs w:val="21"/>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szCs w:val="21"/>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技工</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cs="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110"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经营范围</w:t>
            </w:r>
          </w:p>
        </w:tc>
        <w:tc>
          <w:tcPr>
            <w:tcW w:w="7006" w:type="dxa"/>
            <w:gridSpan w:val="8"/>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rPr>
                <w:rFonts w:ascii="宋体" w:hAnsi="宋体" w:cs="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857" w:hRule="atLeast"/>
          <w:jc w:val="center"/>
        </w:trPr>
        <w:tc>
          <w:tcPr>
            <w:tcW w:w="1516" w:type="dxa"/>
            <w:tcBorders>
              <w:top w:val="single" w:color="auto" w:sz="6" w:space="0"/>
              <w:left w:val="double" w:color="auto" w:sz="4" w:space="0"/>
              <w:bottom w:val="double" w:color="auto" w:sz="4" w:space="0"/>
              <w:right w:val="single" w:color="auto" w:sz="6" w:space="0"/>
            </w:tcBorders>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备注</w:t>
            </w:r>
          </w:p>
        </w:tc>
        <w:tc>
          <w:tcPr>
            <w:tcW w:w="7006" w:type="dxa"/>
            <w:gridSpan w:val="8"/>
            <w:tcBorders>
              <w:top w:val="single" w:color="auto" w:sz="6" w:space="0"/>
              <w:left w:val="single" w:color="auto" w:sz="6" w:space="0"/>
              <w:bottom w:val="double" w:color="auto" w:sz="4" w:space="0"/>
              <w:right w:val="double" w:color="auto" w:sz="4" w:space="0"/>
            </w:tcBorders>
          </w:tcPr>
          <w:p>
            <w:pPr>
              <w:autoSpaceDE w:val="0"/>
              <w:autoSpaceDN w:val="0"/>
              <w:adjustRightInd w:val="0"/>
              <w:spacing w:line="400" w:lineRule="exact"/>
              <w:rPr>
                <w:rFonts w:ascii="宋体" w:hAnsi="宋体" w:cs="宋体"/>
                <w:szCs w:val="21"/>
              </w:rPr>
            </w:pPr>
          </w:p>
        </w:tc>
      </w:tr>
    </w:tbl>
    <w:p>
      <w:pPr>
        <w:spacing w:after="120" w:line="360" w:lineRule="auto"/>
        <w:ind w:firstLine="560" w:firstLineChars="200"/>
        <w:rPr>
          <w:rFonts w:ascii="宋体" w:hAnsi="宋体" w:cs="宋体"/>
          <w:bCs/>
          <w:sz w:val="28"/>
          <w:szCs w:val="28"/>
        </w:rPr>
      </w:pPr>
      <w:r>
        <w:rPr>
          <w:rFonts w:hint="eastAsia" w:ascii="宋体" w:hAnsi="宋体" w:cs="宋体"/>
          <w:bCs/>
          <w:sz w:val="28"/>
          <w:szCs w:val="28"/>
        </w:rPr>
        <w:t>投标人名称：</w:t>
      </w:r>
      <w:r>
        <w:rPr>
          <w:rFonts w:hint="eastAsia" w:ascii="宋体" w:hAnsi="宋体" w:cs="宋体"/>
          <w:bCs/>
          <w:sz w:val="28"/>
          <w:szCs w:val="28"/>
          <w:u w:val="single"/>
        </w:rPr>
        <w:tab/>
      </w:r>
      <w:r>
        <w:rPr>
          <w:rFonts w:hint="eastAsia" w:ascii="宋体" w:hAnsi="宋体" w:cs="宋体"/>
          <w:bCs/>
          <w:sz w:val="28"/>
          <w:szCs w:val="28"/>
          <w:u w:val="single"/>
        </w:rPr>
        <w:t>XXXX</w:t>
      </w:r>
    </w:p>
    <w:p>
      <w:pPr>
        <w:adjustRightInd w:val="0"/>
        <w:spacing w:line="400" w:lineRule="exact"/>
        <w:ind w:firstLine="560" w:firstLineChars="200"/>
        <w:rPr>
          <w:rFonts w:ascii="宋体" w:hAnsi="宋体" w:cs="宋体"/>
          <w:bCs/>
          <w:sz w:val="28"/>
        </w:rPr>
      </w:pPr>
      <w:r>
        <w:rPr>
          <w:rFonts w:hint="eastAsia" w:ascii="宋体" w:hAnsi="宋体" w:cs="宋体"/>
          <w:sz w:val="28"/>
        </w:rPr>
        <w:t>日期：</w:t>
      </w:r>
      <w:r>
        <w:rPr>
          <w:rFonts w:hint="eastAsia" w:ascii="宋体" w:hAnsi="宋体" w:cs="宋体"/>
          <w:bCs/>
          <w:sz w:val="28"/>
        </w:rPr>
        <w:t>202</w:t>
      </w:r>
      <w:r>
        <w:rPr>
          <w:rFonts w:hint="eastAsia" w:ascii="宋体" w:hAnsi="宋体" w:cs="宋体"/>
          <w:bCs/>
          <w:sz w:val="28"/>
          <w:u w:val="single"/>
        </w:rPr>
        <w:t>X</w:t>
      </w:r>
      <w:r>
        <w:rPr>
          <w:rFonts w:hint="eastAsia" w:ascii="宋体" w:hAnsi="宋体" w:cs="宋体"/>
          <w:bCs/>
          <w:sz w:val="28"/>
        </w:rPr>
        <w:t>年</w:t>
      </w:r>
      <w:r>
        <w:rPr>
          <w:rFonts w:hint="eastAsia" w:ascii="宋体" w:hAnsi="宋体" w:cs="宋体"/>
          <w:bCs/>
          <w:sz w:val="28"/>
          <w:u w:val="single"/>
        </w:rPr>
        <w:t>XX</w:t>
      </w:r>
      <w:r>
        <w:rPr>
          <w:rFonts w:hint="eastAsia" w:ascii="宋体" w:hAnsi="宋体" w:cs="宋体"/>
          <w:bCs/>
          <w:sz w:val="28"/>
        </w:rPr>
        <w:t>月</w:t>
      </w:r>
      <w:r>
        <w:rPr>
          <w:rFonts w:hint="eastAsia" w:ascii="宋体" w:hAnsi="宋体" w:cs="宋体"/>
          <w:bCs/>
          <w:sz w:val="28"/>
          <w:u w:val="single"/>
        </w:rPr>
        <w:t>XX</w:t>
      </w:r>
      <w:r>
        <w:rPr>
          <w:rFonts w:hint="eastAsia" w:ascii="宋体" w:hAnsi="宋体" w:cs="宋体"/>
          <w:bCs/>
          <w:sz w:val="28"/>
        </w:rPr>
        <w:t>日</w:t>
      </w:r>
    </w:p>
    <w:p>
      <w:pPr>
        <w:keepNext/>
        <w:keepLines/>
        <w:numPr>
          <w:ilvl w:val="2"/>
          <w:numId w:val="2"/>
        </w:numPr>
        <w:spacing w:line="360" w:lineRule="auto"/>
        <w:ind w:left="142" w:hanging="142"/>
        <w:outlineLvl w:val="2"/>
        <w:rPr>
          <w:rFonts w:ascii="宋体" w:hAnsi="宋体" w:cs="宋体"/>
          <w:b/>
          <w:bCs/>
          <w:sz w:val="28"/>
          <w:szCs w:val="28"/>
        </w:rPr>
      </w:pPr>
      <w:bookmarkStart w:id="140" w:name="_Toc315871054"/>
      <w:bookmarkEnd w:id="140"/>
      <w:bookmarkStart w:id="141" w:name="_Toc217446083"/>
      <w:bookmarkStart w:id="142" w:name="_Toc263753605"/>
      <w:bookmarkStart w:id="143" w:name="_Toc263768870"/>
      <w:bookmarkStart w:id="144" w:name="_Toc220299393"/>
      <w:r>
        <w:rPr>
          <w:rFonts w:hint="eastAsia" w:ascii="宋体" w:hAnsi="宋体" w:cs="宋体"/>
          <w:b/>
          <w:bCs/>
          <w:sz w:val="28"/>
          <w:szCs w:val="28"/>
        </w:rPr>
        <w:t>商务应答表</w:t>
      </w:r>
    </w:p>
    <w:p>
      <w:pPr>
        <w:tabs>
          <w:tab w:val="left" w:pos="3969"/>
        </w:tabs>
        <w:spacing w:line="588" w:lineRule="exact"/>
        <w:ind w:right="-58" w:firstLine="3224" w:firstLineChars="1100"/>
        <w:jc w:val="left"/>
        <w:rPr>
          <w:rFonts w:ascii="宋体" w:hAnsi="宋体" w:cs="宋体"/>
          <w:b/>
          <w:bCs/>
          <w:spacing w:val="6"/>
          <w:sz w:val="28"/>
          <w:szCs w:val="28"/>
        </w:rPr>
      </w:pPr>
      <w:r>
        <w:rPr>
          <w:rFonts w:hint="eastAsia" w:ascii="宋体" w:hAnsi="宋体" w:cs="宋体"/>
          <w:b/>
          <w:bCs/>
          <w:spacing w:val="6"/>
          <w:sz w:val="28"/>
          <w:szCs w:val="28"/>
        </w:rPr>
        <w:t>商务应答表</w:t>
      </w:r>
    </w:p>
    <w:p>
      <w:pPr>
        <w:pStyle w:val="2"/>
        <w:rPr>
          <w:rFonts w:ascii="宋体" w:hAnsi="宋体" w:cs="宋体"/>
        </w:rPr>
      </w:pPr>
    </w:p>
    <w:p>
      <w:pPr>
        <w:snapToGrid w:val="0"/>
        <w:spacing w:line="360" w:lineRule="auto"/>
        <w:ind w:left="1465" w:hanging="1465" w:hangingChars="500"/>
        <w:rPr>
          <w:rFonts w:ascii="宋体" w:hAnsi="宋体" w:cs="宋体"/>
          <w:b/>
          <w:bCs/>
          <w:spacing w:val="6"/>
          <w:sz w:val="28"/>
          <w:szCs w:val="28"/>
          <w:u w:val="single"/>
        </w:rPr>
      </w:pPr>
      <w:r>
        <w:rPr>
          <w:rFonts w:hint="eastAsia" w:ascii="宋体" w:hAnsi="宋体" w:cs="宋体"/>
          <w:b/>
          <w:bCs/>
          <w:spacing w:val="6"/>
          <w:sz w:val="28"/>
          <w:szCs w:val="28"/>
        </w:rPr>
        <w:t>项目名称：</w:t>
      </w:r>
      <w:r>
        <w:rPr>
          <w:rFonts w:hint="eastAsia" w:ascii="宋体" w:hAnsi="宋体" w:cs="宋体"/>
          <w:b/>
          <w:bCs/>
          <w:spacing w:val="6"/>
          <w:sz w:val="28"/>
          <w:szCs w:val="28"/>
          <w:u w:val="single"/>
        </w:rPr>
        <w:t>成都市双流区人民政府怡心街道办事处生活垃圾清运服务采购项目</w:t>
      </w:r>
    </w:p>
    <w:p>
      <w:pPr>
        <w:snapToGrid w:val="0"/>
        <w:spacing w:line="360" w:lineRule="auto"/>
        <w:rPr>
          <w:rFonts w:ascii="宋体" w:hAnsi="宋体" w:cs="宋体"/>
          <w:spacing w:val="6"/>
          <w:sz w:val="28"/>
          <w:szCs w:val="28"/>
        </w:rPr>
      </w:pPr>
      <w:r>
        <w:rPr>
          <w:rFonts w:hint="eastAsia" w:ascii="宋体" w:hAnsi="宋体" w:cs="宋体"/>
          <w:b/>
          <w:bCs/>
          <w:spacing w:val="6"/>
          <w:sz w:val="28"/>
          <w:szCs w:val="28"/>
        </w:rPr>
        <w:t>项目编号：</w:t>
      </w:r>
      <w:r>
        <w:rPr>
          <w:rFonts w:hint="eastAsia" w:ascii="宋体" w:hAnsi="宋体" w:cs="宋体"/>
          <w:b/>
          <w:bCs/>
          <w:spacing w:val="6"/>
          <w:sz w:val="28"/>
          <w:szCs w:val="28"/>
          <w:u w:val="single"/>
        </w:rPr>
        <w:t xml:space="preserve"> 双流政采（2021）A0118号  </w:t>
      </w:r>
      <w:r>
        <w:rPr>
          <w:rFonts w:hint="eastAsia" w:ascii="宋体" w:hAnsi="宋体" w:cs="宋体"/>
          <w:spacing w:val="6"/>
          <w:sz w:val="28"/>
          <w:szCs w:val="28"/>
        </w:rPr>
        <w:t xml:space="preserve">                           </w:t>
      </w:r>
    </w:p>
    <w:tbl>
      <w:tblPr>
        <w:tblStyle w:val="16"/>
        <w:tblW w:w="79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3538"/>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93" w:type="dxa"/>
            <w:vAlign w:val="center"/>
          </w:tcPr>
          <w:p>
            <w:pPr>
              <w:tabs>
                <w:tab w:val="left" w:pos="3969"/>
              </w:tabs>
              <w:spacing w:line="588" w:lineRule="exact"/>
              <w:ind w:right="-58"/>
              <w:jc w:val="left"/>
              <w:rPr>
                <w:rFonts w:ascii="宋体" w:hAnsi="宋体" w:cs="宋体"/>
                <w:spacing w:val="6"/>
                <w:sz w:val="28"/>
                <w:szCs w:val="28"/>
              </w:rPr>
            </w:pPr>
            <w:r>
              <w:rPr>
                <w:rFonts w:hint="eastAsia" w:ascii="宋体" w:hAnsi="宋体" w:cs="宋体"/>
                <w:spacing w:val="6"/>
                <w:sz w:val="28"/>
                <w:szCs w:val="28"/>
              </w:rPr>
              <w:t>序号</w:t>
            </w:r>
          </w:p>
        </w:tc>
        <w:tc>
          <w:tcPr>
            <w:tcW w:w="3538" w:type="dxa"/>
            <w:vAlign w:val="center"/>
          </w:tcPr>
          <w:p>
            <w:pPr>
              <w:tabs>
                <w:tab w:val="left" w:pos="3969"/>
              </w:tabs>
              <w:spacing w:line="588" w:lineRule="exact"/>
              <w:ind w:right="-58"/>
              <w:jc w:val="left"/>
              <w:rPr>
                <w:rFonts w:ascii="宋体" w:hAnsi="宋体" w:cs="宋体"/>
                <w:spacing w:val="6"/>
                <w:sz w:val="28"/>
                <w:szCs w:val="28"/>
              </w:rPr>
            </w:pPr>
            <w:r>
              <w:rPr>
                <w:rFonts w:hint="eastAsia" w:ascii="宋体" w:hAnsi="宋体" w:cs="宋体"/>
                <w:spacing w:val="6"/>
                <w:sz w:val="28"/>
                <w:szCs w:val="28"/>
              </w:rPr>
              <w:t>招标要求</w:t>
            </w:r>
          </w:p>
        </w:tc>
        <w:tc>
          <w:tcPr>
            <w:tcW w:w="3402" w:type="dxa"/>
            <w:vAlign w:val="center"/>
          </w:tcPr>
          <w:p>
            <w:pPr>
              <w:tabs>
                <w:tab w:val="left" w:pos="3969"/>
              </w:tabs>
              <w:spacing w:line="588" w:lineRule="exact"/>
              <w:ind w:right="-58"/>
              <w:jc w:val="left"/>
              <w:rPr>
                <w:rFonts w:ascii="宋体" w:hAnsi="宋体" w:cs="宋体"/>
                <w:spacing w:val="6"/>
                <w:sz w:val="28"/>
                <w:szCs w:val="28"/>
              </w:rPr>
            </w:pPr>
            <w:r>
              <w:rPr>
                <w:rFonts w:hint="eastAsia" w:ascii="宋体" w:hAnsi="宋体" w:cs="宋体"/>
                <w:spacing w:val="6"/>
                <w:sz w:val="28"/>
                <w:szCs w:val="28"/>
              </w:rPr>
              <w:t>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93" w:type="dxa"/>
          </w:tcPr>
          <w:p>
            <w:pPr>
              <w:tabs>
                <w:tab w:val="left" w:pos="3969"/>
              </w:tabs>
              <w:spacing w:line="588" w:lineRule="exact"/>
              <w:ind w:right="-58"/>
              <w:jc w:val="left"/>
              <w:rPr>
                <w:rFonts w:ascii="宋体" w:hAnsi="宋体" w:cs="宋体"/>
                <w:spacing w:val="6"/>
                <w:sz w:val="28"/>
                <w:szCs w:val="28"/>
              </w:rPr>
            </w:pPr>
          </w:p>
        </w:tc>
        <w:tc>
          <w:tcPr>
            <w:tcW w:w="3538" w:type="dxa"/>
          </w:tcPr>
          <w:p>
            <w:pPr>
              <w:tabs>
                <w:tab w:val="left" w:pos="3969"/>
              </w:tabs>
              <w:spacing w:line="588" w:lineRule="exact"/>
              <w:ind w:right="-58"/>
              <w:jc w:val="left"/>
              <w:rPr>
                <w:rFonts w:ascii="宋体" w:hAnsi="宋体" w:cs="宋体"/>
                <w:spacing w:val="6"/>
                <w:sz w:val="28"/>
                <w:szCs w:val="28"/>
              </w:rPr>
            </w:pPr>
          </w:p>
        </w:tc>
        <w:tc>
          <w:tcPr>
            <w:tcW w:w="3402" w:type="dxa"/>
          </w:tcPr>
          <w:p>
            <w:pPr>
              <w:tabs>
                <w:tab w:val="left" w:pos="3969"/>
              </w:tabs>
              <w:spacing w:line="588" w:lineRule="exact"/>
              <w:ind w:right="-58"/>
              <w:jc w:val="left"/>
              <w:rPr>
                <w:rFonts w:ascii="宋体" w:hAnsi="宋体" w:cs="宋体"/>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93" w:type="dxa"/>
          </w:tcPr>
          <w:p>
            <w:pPr>
              <w:tabs>
                <w:tab w:val="left" w:pos="3969"/>
              </w:tabs>
              <w:spacing w:line="588" w:lineRule="exact"/>
              <w:ind w:right="-58"/>
              <w:jc w:val="left"/>
              <w:rPr>
                <w:rFonts w:ascii="宋体" w:hAnsi="宋体" w:cs="宋体"/>
                <w:spacing w:val="6"/>
                <w:sz w:val="28"/>
                <w:szCs w:val="28"/>
              </w:rPr>
            </w:pPr>
          </w:p>
        </w:tc>
        <w:tc>
          <w:tcPr>
            <w:tcW w:w="3538" w:type="dxa"/>
          </w:tcPr>
          <w:p>
            <w:pPr>
              <w:tabs>
                <w:tab w:val="left" w:pos="3969"/>
              </w:tabs>
              <w:spacing w:line="588" w:lineRule="exact"/>
              <w:ind w:right="-58"/>
              <w:jc w:val="left"/>
              <w:rPr>
                <w:rFonts w:ascii="宋体" w:hAnsi="宋体" w:cs="宋体"/>
                <w:spacing w:val="6"/>
                <w:sz w:val="28"/>
                <w:szCs w:val="28"/>
              </w:rPr>
            </w:pPr>
          </w:p>
        </w:tc>
        <w:tc>
          <w:tcPr>
            <w:tcW w:w="3402" w:type="dxa"/>
          </w:tcPr>
          <w:p>
            <w:pPr>
              <w:tabs>
                <w:tab w:val="left" w:pos="3969"/>
              </w:tabs>
              <w:spacing w:line="588" w:lineRule="exact"/>
              <w:ind w:right="-58"/>
              <w:jc w:val="left"/>
              <w:rPr>
                <w:rFonts w:ascii="宋体" w:hAnsi="宋体" w:cs="宋体"/>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93" w:type="dxa"/>
          </w:tcPr>
          <w:p>
            <w:pPr>
              <w:tabs>
                <w:tab w:val="left" w:pos="3969"/>
              </w:tabs>
              <w:spacing w:line="588" w:lineRule="exact"/>
              <w:ind w:right="-58"/>
              <w:jc w:val="left"/>
              <w:rPr>
                <w:rFonts w:ascii="宋体" w:hAnsi="宋体" w:cs="宋体"/>
                <w:spacing w:val="6"/>
                <w:sz w:val="28"/>
                <w:szCs w:val="28"/>
              </w:rPr>
            </w:pPr>
          </w:p>
        </w:tc>
        <w:tc>
          <w:tcPr>
            <w:tcW w:w="3538" w:type="dxa"/>
          </w:tcPr>
          <w:p>
            <w:pPr>
              <w:tabs>
                <w:tab w:val="left" w:pos="3969"/>
              </w:tabs>
              <w:spacing w:line="588" w:lineRule="exact"/>
              <w:ind w:right="-58"/>
              <w:jc w:val="left"/>
              <w:rPr>
                <w:rFonts w:ascii="宋体" w:hAnsi="宋体" w:cs="宋体"/>
                <w:spacing w:val="6"/>
                <w:sz w:val="28"/>
                <w:szCs w:val="28"/>
              </w:rPr>
            </w:pPr>
          </w:p>
        </w:tc>
        <w:tc>
          <w:tcPr>
            <w:tcW w:w="3402" w:type="dxa"/>
          </w:tcPr>
          <w:p>
            <w:pPr>
              <w:tabs>
                <w:tab w:val="left" w:pos="3969"/>
              </w:tabs>
              <w:spacing w:line="588" w:lineRule="exact"/>
              <w:ind w:right="-58"/>
              <w:jc w:val="left"/>
              <w:rPr>
                <w:rFonts w:ascii="宋体" w:hAnsi="宋体" w:cs="宋体"/>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93" w:type="dxa"/>
          </w:tcPr>
          <w:p>
            <w:pPr>
              <w:tabs>
                <w:tab w:val="left" w:pos="3969"/>
              </w:tabs>
              <w:spacing w:line="588" w:lineRule="exact"/>
              <w:ind w:right="-58"/>
              <w:jc w:val="left"/>
              <w:rPr>
                <w:rFonts w:ascii="宋体" w:hAnsi="宋体" w:cs="宋体"/>
                <w:spacing w:val="6"/>
                <w:sz w:val="28"/>
                <w:szCs w:val="28"/>
              </w:rPr>
            </w:pPr>
          </w:p>
        </w:tc>
        <w:tc>
          <w:tcPr>
            <w:tcW w:w="3538" w:type="dxa"/>
          </w:tcPr>
          <w:p>
            <w:pPr>
              <w:tabs>
                <w:tab w:val="left" w:pos="3969"/>
              </w:tabs>
              <w:spacing w:line="588" w:lineRule="exact"/>
              <w:ind w:right="-58"/>
              <w:jc w:val="left"/>
              <w:rPr>
                <w:rFonts w:ascii="宋体" w:hAnsi="宋体" w:cs="宋体"/>
                <w:spacing w:val="6"/>
                <w:sz w:val="28"/>
                <w:szCs w:val="28"/>
              </w:rPr>
            </w:pPr>
          </w:p>
        </w:tc>
        <w:tc>
          <w:tcPr>
            <w:tcW w:w="3402" w:type="dxa"/>
          </w:tcPr>
          <w:p>
            <w:pPr>
              <w:tabs>
                <w:tab w:val="left" w:pos="3969"/>
              </w:tabs>
              <w:spacing w:line="588" w:lineRule="exact"/>
              <w:ind w:right="-58"/>
              <w:jc w:val="left"/>
              <w:rPr>
                <w:rFonts w:ascii="宋体" w:hAnsi="宋体" w:cs="宋体"/>
                <w:spacing w:val="6"/>
                <w:sz w:val="28"/>
                <w:szCs w:val="28"/>
              </w:rPr>
            </w:pPr>
          </w:p>
        </w:tc>
      </w:tr>
    </w:tbl>
    <w:p>
      <w:pPr>
        <w:tabs>
          <w:tab w:val="left" w:pos="3969"/>
        </w:tabs>
        <w:spacing w:line="588" w:lineRule="exact"/>
        <w:ind w:right="-58"/>
        <w:rPr>
          <w:rFonts w:ascii="宋体" w:hAnsi="宋体" w:cs="宋体"/>
          <w:color w:val="auto"/>
          <w:spacing w:val="6"/>
          <w:sz w:val="28"/>
          <w:szCs w:val="28"/>
        </w:rPr>
      </w:pPr>
      <w:r>
        <w:rPr>
          <w:rFonts w:hint="eastAsia" w:ascii="宋体" w:hAnsi="宋体" w:cs="宋体"/>
          <w:color w:val="auto"/>
          <w:spacing w:val="6"/>
          <w:sz w:val="28"/>
          <w:szCs w:val="28"/>
        </w:rPr>
        <w:t>说明：投标人必须据实填写，不得虚假应答，否则将取消其投标或中标资格。</w:t>
      </w:r>
    </w:p>
    <w:p>
      <w:pPr>
        <w:adjustRightInd w:val="0"/>
        <w:spacing w:line="400" w:lineRule="exact"/>
        <w:ind w:firstLine="490" w:firstLineChars="175"/>
        <w:jc w:val="left"/>
        <w:rPr>
          <w:rFonts w:ascii="宋体" w:hAnsi="宋体" w:cs="宋体"/>
          <w:bCs/>
          <w:sz w:val="28"/>
          <w:szCs w:val="28"/>
        </w:rPr>
      </w:pPr>
    </w:p>
    <w:p>
      <w:pPr>
        <w:tabs>
          <w:tab w:val="left" w:pos="3969"/>
        </w:tabs>
        <w:spacing w:line="588" w:lineRule="exact"/>
        <w:ind w:right="-58"/>
        <w:jc w:val="left"/>
        <w:rPr>
          <w:rFonts w:ascii="宋体" w:hAnsi="宋体" w:cs="宋体"/>
          <w:spacing w:val="6"/>
          <w:sz w:val="28"/>
          <w:szCs w:val="28"/>
        </w:rPr>
      </w:pPr>
      <w:r>
        <w:rPr>
          <w:rFonts w:hint="eastAsia" w:ascii="宋体" w:hAnsi="宋体" w:cs="宋体"/>
          <w:spacing w:val="6"/>
          <w:sz w:val="28"/>
          <w:szCs w:val="28"/>
        </w:rPr>
        <w:t>投标人名称：</w:t>
      </w:r>
      <w:r>
        <w:rPr>
          <w:rFonts w:hint="eastAsia" w:ascii="宋体" w:hAnsi="宋体" w:cs="宋体"/>
          <w:bCs/>
          <w:sz w:val="28"/>
          <w:szCs w:val="28"/>
          <w:u w:val="single"/>
        </w:rPr>
        <w:t>XXXX</w:t>
      </w:r>
    </w:p>
    <w:p>
      <w:pPr>
        <w:tabs>
          <w:tab w:val="left" w:pos="3969"/>
        </w:tabs>
        <w:spacing w:line="588" w:lineRule="exact"/>
        <w:ind w:right="-58"/>
        <w:jc w:val="left"/>
        <w:rPr>
          <w:rFonts w:ascii="宋体" w:hAnsi="宋体" w:cs="宋体"/>
          <w:spacing w:val="6"/>
          <w:sz w:val="28"/>
          <w:szCs w:val="28"/>
        </w:rPr>
      </w:pPr>
      <w:r>
        <w:rPr>
          <w:rFonts w:hint="eastAsia" w:ascii="宋体" w:hAnsi="宋体" w:cs="宋体"/>
          <w:spacing w:val="6"/>
          <w:sz w:val="28"/>
          <w:szCs w:val="28"/>
        </w:rPr>
        <w:t>日  期：</w:t>
      </w:r>
      <w:r>
        <w:rPr>
          <w:rFonts w:hint="eastAsia" w:ascii="宋体" w:hAnsi="宋体" w:cs="宋体"/>
          <w:bCs/>
          <w:sz w:val="28"/>
        </w:rPr>
        <w:t>20</w:t>
      </w:r>
      <w:r>
        <w:rPr>
          <w:rFonts w:hint="eastAsia" w:ascii="宋体" w:hAnsi="宋体" w:cs="宋体"/>
          <w:sz w:val="28"/>
          <w:szCs w:val="28"/>
          <w:u w:val="single"/>
        </w:rPr>
        <w:t>X</w:t>
      </w:r>
      <w:r>
        <w:rPr>
          <w:rFonts w:hint="eastAsia" w:ascii="宋体" w:hAnsi="宋体" w:cs="宋体"/>
          <w:bCs/>
          <w:sz w:val="28"/>
          <w:u w:val="single"/>
        </w:rPr>
        <w:t>X</w:t>
      </w:r>
      <w:r>
        <w:rPr>
          <w:rFonts w:hint="eastAsia" w:ascii="宋体" w:hAnsi="宋体" w:cs="宋体"/>
          <w:bCs/>
          <w:sz w:val="28"/>
        </w:rPr>
        <w:t>年</w:t>
      </w:r>
      <w:r>
        <w:rPr>
          <w:rFonts w:hint="eastAsia" w:ascii="宋体" w:hAnsi="宋体" w:cs="宋体"/>
          <w:bCs/>
          <w:sz w:val="28"/>
          <w:u w:val="single"/>
        </w:rPr>
        <w:t>XX</w:t>
      </w:r>
      <w:r>
        <w:rPr>
          <w:rFonts w:hint="eastAsia" w:ascii="宋体" w:hAnsi="宋体" w:cs="宋体"/>
          <w:bCs/>
          <w:sz w:val="28"/>
        </w:rPr>
        <w:t>月</w:t>
      </w:r>
      <w:r>
        <w:rPr>
          <w:rFonts w:hint="eastAsia" w:ascii="宋体" w:hAnsi="宋体" w:cs="宋体"/>
          <w:bCs/>
          <w:sz w:val="28"/>
          <w:u w:val="single"/>
        </w:rPr>
        <w:t>XX</w:t>
      </w:r>
      <w:r>
        <w:rPr>
          <w:rFonts w:hint="eastAsia" w:ascii="宋体" w:hAnsi="宋体" w:cs="宋体"/>
          <w:bCs/>
          <w:sz w:val="28"/>
        </w:rPr>
        <w:t>日</w:t>
      </w:r>
    </w:p>
    <w:p>
      <w:pPr>
        <w:keepNext/>
        <w:keepLines/>
        <w:numPr>
          <w:ilvl w:val="2"/>
          <w:numId w:val="2"/>
        </w:numPr>
        <w:spacing w:line="360" w:lineRule="auto"/>
        <w:ind w:left="3119" w:hanging="3119"/>
        <w:outlineLvl w:val="2"/>
        <w:rPr>
          <w:rFonts w:ascii="宋体" w:hAnsi="宋体" w:cs="宋体"/>
          <w:b/>
          <w:bCs/>
          <w:sz w:val="28"/>
          <w:szCs w:val="28"/>
        </w:rPr>
      </w:pPr>
      <w:r>
        <w:rPr>
          <w:rFonts w:hint="eastAsia" w:ascii="宋体" w:hAnsi="宋体" w:cs="宋体"/>
          <w:b/>
          <w:bCs/>
          <w:sz w:val="28"/>
          <w:szCs w:val="28"/>
        </w:rPr>
        <w:t>服务应答表</w:t>
      </w:r>
    </w:p>
    <w:p>
      <w:pPr>
        <w:spacing w:line="400" w:lineRule="exact"/>
        <w:jc w:val="center"/>
        <w:rPr>
          <w:rFonts w:ascii="宋体" w:hAnsi="宋体" w:cs="宋体"/>
          <w:b/>
          <w:bCs/>
          <w:sz w:val="28"/>
          <w:szCs w:val="28"/>
        </w:rPr>
      </w:pPr>
      <w:r>
        <w:rPr>
          <w:rFonts w:hint="eastAsia" w:ascii="宋体" w:hAnsi="宋体" w:cs="宋体"/>
          <w:b/>
          <w:bCs/>
          <w:sz w:val="28"/>
          <w:szCs w:val="28"/>
        </w:rPr>
        <w:t>服务应答表</w:t>
      </w:r>
    </w:p>
    <w:p>
      <w:pPr>
        <w:spacing w:line="400" w:lineRule="exact"/>
        <w:ind w:left="1405" w:hanging="1405" w:hangingChars="500"/>
        <w:rPr>
          <w:rFonts w:ascii="宋体" w:hAnsi="宋体" w:cs="宋体"/>
          <w:b/>
          <w:bCs/>
          <w:color w:val="000000" w:themeColor="text1"/>
          <w:sz w:val="28"/>
          <w:szCs w:val="28"/>
          <w:u w:val="single"/>
          <w14:textFill>
            <w14:solidFill>
              <w14:schemeClr w14:val="tx1"/>
            </w14:solidFill>
          </w14:textFill>
        </w:rPr>
      </w:pPr>
      <w:r>
        <w:rPr>
          <w:rFonts w:hint="eastAsia" w:ascii="宋体" w:hAnsi="宋体" w:cs="宋体"/>
          <w:b/>
          <w:bCs/>
          <w:sz w:val="28"/>
          <w:szCs w:val="28"/>
        </w:rPr>
        <w:t>项目名称：成都市双流区人民政府怡心街道办事处生活垃圾清运服务采购项目</w:t>
      </w:r>
    </w:p>
    <w:p>
      <w:pPr>
        <w:spacing w:line="400" w:lineRule="exact"/>
        <w:rPr>
          <w:rFonts w:ascii="宋体" w:hAnsi="宋体" w:cs="宋体"/>
          <w:sz w:val="28"/>
          <w:szCs w:val="28"/>
        </w:rPr>
      </w:pPr>
      <w:r>
        <w:rPr>
          <w:rFonts w:hint="eastAsia" w:ascii="宋体" w:hAnsi="宋体" w:cs="宋体"/>
          <w:b/>
          <w:bCs/>
          <w:sz w:val="28"/>
          <w:szCs w:val="28"/>
        </w:rPr>
        <w:t>项目编号：双流政采（2021）A0118号</w:t>
      </w:r>
      <w:r>
        <w:rPr>
          <w:rFonts w:hint="eastAsia" w:ascii="宋体" w:hAnsi="宋体" w:cs="宋体"/>
          <w:sz w:val="28"/>
          <w:szCs w:val="28"/>
        </w:rPr>
        <w:t xml:space="preserve">    </w:t>
      </w:r>
    </w:p>
    <w:tbl>
      <w:tblPr>
        <w:tblStyle w:val="16"/>
        <w:tblW w:w="8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714"/>
        <w:gridCol w:w="3119"/>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7"/>
              <w:jc w:val="center"/>
              <w:rPr>
                <w:rFonts w:ascii="宋体" w:hAnsi="宋体" w:cs="宋体"/>
                <w:sz w:val="28"/>
                <w:szCs w:val="28"/>
              </w:rPr>
            </w:pPr>
            <w:r>
              <w:rPr>
                <w:rFonts w:hint="eastAsia" w:ascii="宋体" w:hAnsi="宋体" w:cs="宋体"/>
                <w:sz w:val="28"/>
                <w:szCs w:val="28"/>
              </w:rPr>
              <w:t>序号</w:t>
            </w:r>
          </w:p>
        </w:tc>
        <w:tc>
          <w:tcPr>
            <w:tcW w:w="1714" w:type="dxa"/>
            <w:vAlign w:val="center"/>
          </w:tcPr>
          <w:p>
            <w:pPr>
              <w:pStyle w:val="27"/>
              <w:jc w:val="center"/>
              <w:rPr>
                <w:rFonts w:ascii="宋体" w:hAnsi="宋体" w:cs="宋体"/>
                <w:sz w:val="28"/>
                <w:szCs w:val="28"/>
              </w:rPr>
            </w:pPr>
            <w:r>
              <w:rPr>
                <w:rFonts w:hint="eastAsia" w:ascii="宋体" w:hAnsi="宋体" w:cs="宋体"/>
                <w:sz w:val="28"/>
                <w:szCs w:val="28"/>
              </w:rPr>
              <w:t>招标文件条目号</w:t>
            </w:r>
          </w:p>
        </w:tc>
        <w:tc>
          <w:tcPr>
            <w:tcW w:w="3119" w:type="dxa"/>
            <w:vAlign w:val="center"/>
          </w:tcPr>
          <w:p>
            <w:pPr>
              <w:pStyle w:val="27"/>
              <w:jc w:val="center"/>
              <w:rPr>
                <w:rFonts w:ascii="宋体" w:hAnsi="宋体" w:cs="宋体"/>
                <w:sz w:val="28"/>
                <w:szCs w:val="28"/>
              </w:rPr>
            </w:pPr>
            <w:r>
              <w:rPr>
                <w:rFonts w:hint="eastAsia" w:ascii="宋体" w:hAnsi="宋体" w:cs="宋体"/>
                <w:sz w:val="28"/>
                <w:szCs w:val="28"/>
              </w:rPr>
              <w:t>招标文件要求</w:t>
            </w:r>
          </w:p>
        </w:tc>
        <w:tc>
          <w:tcPr>
            <w:tcW w:w="2835" w:type="dxa"/>
            <w:vAlign w:val="center"/>
          </w:tcPr>
          <w:p>
            <w:pPr>
              <w:pStyle w:val="27"/>
              <w:jc w:val="center"/>
              <w:rPr>
                <w:rFonts w:ascii="宋体" w:hAnsi="宋体" w:cs="宋体"/>
                <w:sz w:val="28"/>
                <w:szCs w:val="28"/>
              </w:rPr>
            </w:pPr>
            <w:r>
              <w:rPr>
                <w:rFonts w:hint="eastAsia" w:ascii="宋体" w:hAnsi="宋体" w:cs="宋体"/>
                <w:sz w:val="28"/>
                <w:szCs w:val="28"/>
              </w:rPr>
              <w:t>投标文件的应答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pStyle w:val="27"/>
              <w:rPr>
                <w:rFonts w:ascii="宋体" w:hAnsi="宋体" w:cs="宋体"/>
                <w:sz w:val="28"/>
                <w:szCs w:val="28"/>
              </w:rPr>
            </w:pPr>
          </w:p>
        </w:tc>
        <w:tc>
          <w:tcPr>
            <w:tcW w:w="1714" w:type="dxa"/>
          </w:tcPr>
          <w:p>
            <w:pPr>
              <w:pStyle w:val="27"/>
              <w:rPr>
                <w:rFonts w:ascii="宋体" w:hAnsi="宋体" w:cs="宋体"/>
                <w:sz w:val="28"/>
                <w:szCs w:val="28"/>
              </w:rPr>
            </w:pPr>
          </w:p>
        </w:tc>
        <w:tc>
          <w:tcPr>
            <w:tcW w:w="3119" w:type="dxa"/>
          </w:tcPr>
          <w:p>
            <w:pPr>
              <w:pStyle w:val="27"/>
              <w:rPr>
                <w:rFonts w:ascii="宋体" w:hAnsi="宋体" w:cs="宋体"/>
                <w:sz w:val="28"/>
                <w:szCs w:val="28"/>
              </w:rPr>
            </w:pPr>
          </w:p>
        </w:tc>
        <w:tc>
          <w:tcPr>
            <w:tcW w:w="2835" w:type="dxa"/>
          </w:tcPr>
          <w:p>
            <w:pPr>
              <w:pStyle w:val="27"/>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pStyle w:val="27"/>
              <w:rPr>
                <w:rFonts w:ascii="宋体" w:hAnsi="宋体" w:cs="宋体"/>
                <w:sz w:val="28"/>
                <w:szCs w:val="28"/>
              </w:rPr>
            </w:pPr>
          </w:p>
        </w:tc>
        <w:tc>
          <w:tcPr>
            <w:tcW w:w="1714" w:type="dxa"/>
          </w:tcPr>
          <w:p>
            <w:pPr>
              <w:pStyle w:val="27"/>
              <w:rPr>
                <w:rFonts w:ascii="宋体" w:hAnsi="宋体" w:cs="宋体"/>
                <w:sz w:val="28"/>
                <w:szCs w:val="28"/>
              </w:rPr>
            </w:pPr>
          </w:p>
        </w:tc>
        <w:tc>
          <w:tcPr>
            <w:tcW w:w="3119" w:type="dxa"/>
          </w:tcPr>
          <w:p>
            <w:pPr>
              <w:pStyle w:val="27"/>
              <w:rPr>
                <w:rFonts w:ascii="宋体" w:hAnsi="宋体" w:cs="宋体"/>
                <w:sz w:val="28"/>
                <w:szCs w:val="28"/>
              </w:rPr>
            </w:pPr>
          </w:p>
        </w:tc>
        <w:tc>
          <w:tcPr>
            <w:tcW w:w="2835" w:type="dxa"/>
          </w:tcPr>
          <w:p>
            <w:pPr>
              <w:pStyle w:val="27"/>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nil"/>
            </w:tcBorders>
          </w:tcPr>
          <w:p>
            <w:pPr>
              <w:pStyle w:val="27"/>
              <w:rPr>
                <w:rFonts w:ascii="宋体" w:hAnsi="宋体" w:cs="宋体"/>
                <w:sz w:val="28"/>
                <w:szCs w:val="28"/>
              </w:rPr>
            </w:pPr>
          </w:p>
        </w:tc>
        <w:tc>
          <w:tcPr>
            <w:tcW w:w="1714" w:type="dxa"/>
          </w:tcPr>
          <w:p>
            <w:pPr>
              <w:pStyle w:val="27"/>
              <w:rPr>
                <w:rFonts w:ascii="宋体" w:hAnsi="宋体" w:cs="宋体"/>
                <w:sz w:val="28"/>
                <w:szCs w:val="28"/>
              </w:rPr>
            </w:pPr>
          </w:p>
        </w:tc>
        <w:tc>
          <w:tcPr>
            <w:tcW w:w="3119" w:type="dxa"/>
          </w:tcPr>
          <w:p>
            <w:pPr>
              <w:pStyle w:val="27"/>
              <w:rPr>
                <w:rFonts w:ascii="宋体" w:hAnsi="宋体" w:cs="宋体"/>
                <w:sz w:val="28"/>
                <w:szCs w:val="28"/>
              </w:rPr>
            </w:pPr>
          </w:p>
        </w:tc>
        <w:tc>
          <w:tcPr>
            <w:tcW w:w="2835" w:type="dxa"/>
          </w:tcPr>
          <w:p>
            <w:pPr>
              <w:pStyle w:val="27"/>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pStyle w:val="27"/>
              <w:rPr>
                <w:rFonts w:ascii="宋体" w:hAnsi="宋体" w:cs="宋体"/>
                <w:sz w:val="28"/>
                <w:szCs w:val="28"/>
              </w:rPr>
            </w:pPr>
          </w:p>
        </w:tc>
        <w:tc>
          <w:tcPr>
            <w:tcW w:w="1714" w:type="dxa"/>
          </w:tcPr>
          <w:p>
            <w:pPr>
              <w:pStyle w:val="27"/>
              <w:rPr>
                <w:rFonts w:ascii="宋体" w:hAnsi="宋体" w:cs="宋体"/>
                <w:sz w:val="28"/>
                <w:szCs w:val="28"/>
              </w:rPr>
            </w:pPr>
          </w:p>
        </w:tc>
        <w:tc>
          <w:tcPr>
            <w:tcW w:w="3119" w:type="dxa"/>
          </w:tcPr>
          <w:p>
            <w:pPr>
              <w:pStyle w:val="27"/>
              <w:rPr>
                <w:rFonts w:ascii="宋体" w:hAnsi="宋体" w:cs="宋体"/>
                <w:sz w:val="28"/>
                <w:szCs w:val="28"/>
              </w:rPr>
            </w:pPr>
          </w:p>
        </w:tc>
        <w:tc>
          <w:tcPr>
            <w:tcW w:w="2835" w:type="dxa"/>
          </w:tcPr>
          <w:p>
            <w:pPr>
              <w:pStyle w:val="27"/>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pStyle w:val="27"/>
              <w:rPr>
                <w:rFonts w:ascii="宋体" w:hAnsi="宋体" w:cs="宋体"/>
                <w:sz w:val="28"/>
                <w:szCs w:val="28"/>
              </w:rPr>
            </w:pPr>
          </w:p>
        </w:tc>
        <w:tc>
          <w:tcPr>
            <w:tcW w:w="1714" w:type="dxa"/>
          </w:tcPr>
          <w:p>
            <w:pPr>
              <w:pStyle w:val="27"/>
              <w:rPr>
                <w:rFonts w:ascii="宋体" w:hAnsi="宋体" w:cs="宋体"/>
                <w:sz w:val="28"/>
                <w:szCs w:val="28"/>
              </w:rPr>
            </w:pPr>
          </w:p>
        </w:tc>
        <w:tc>
          <w:tcPr>
            <w:tcW w:w="3119" w:type="dxa"/>
          </w:tcPr>
          <w:p>
            <w:pPr>
              <w:pStyle w:val="27"/>
              <w:rPr>
                <w:rFonts w:ascii="宋体" w:hAnsi="宋体" w:cs="宋体"/>
                <w:sz w:val="28"/>
                <w:szCs w:val="28"/>
              </w:rPr>
            </w:pPr>
          </w:p>
        </w:tc>
        <w:tc>
          <w:tcPr>
            <w:tcW w:w="2835" w:type="dxa"/>
          </w:tcPr>
          <w:p>
            <w:pPr>
              <w:pStyle w:val="27"/>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pStyle w:val="27"/>
              <w:rPr>
                <w:rFonts w:ascii="宋体" w:hAnsi="宋体" w:cs="宋体"/>
                <w:sz w:val="28"/>
                <w:szCs w:val="28"/>
              </w:rPr>
            </w:pPr>
          </w:p>
        </w:tc>
        <w:tc>
          <w:tcPr>
            <w:tcW w:w="1714" w:type="dxa"/>
          </w:tcPr>
          <w:p>
            <w:pPr>
              <w:pStyle w:val="27"/>
              <w:rPr>
                <w:rFonts w:ascii="宋体" w:hAnsi="宋体" w:cs="宋体"/>
                <w:sz w:val="28"/>
                <w:szCs w:val="28"/>
              </w:rPr>
            </w:pPr>
          </w:p>
        </w:tc>
        <w:tc>
          <w:tcPr>
            <w:tcW w:w="3119" w:type="dxa"/>
          </w:tcPr>
          <w:p>
            <w:pPr>
              <w:pStyle w:val="27"/>
              <w:rPr>
                <w:rFonts w:ascii="宋体" w:hAnsi="宋体" w:cs="宋体"/>
                <w:sz w:val="28"/>
                <w:szCs w:val="28"/>
              </w:rPr>
            </w:pPr>
          </w:p>
        </w:tc>
        <w:tc>
          <w:tcPr>
            <w:tcW w:w="2835" w:type="dxa"/>
          </w:tcPr>
          <w:p>
            <w:pPr>
              <w:pStyle w:val="27"/>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pStyle w:val="27"/>
              <w:rPr>
                <w:rFonts w:ascii="宋体" w:hAnsi="宋体" w:cs="宋体"/>
                <w:sz w:val="28"/>
                <w:szCs w:val="28"/>
              </w:rPr>
            </w:pPr>
          </w:p>
        </w:tc>
        <w:tc>
          <w:tcPr>
            <w:tcW w:w="1714" w:type="dxa"/>
          </w:tcPr>
          <w:p>
            <w:pPr>
              <w:pStyle w:val="27"/>
              <w:rPr>
                <w:rFonts w:ascii="宋体" w:hAnsi="宋体" w:cs="宋体"/>
                <w:sz w:val="28"/>
                <w:szCs w:val="28"/>
              </w:rPr>
            </w:pPr>
          </w:p>
        </w:tc>
        <w:tc>
          <w:tcPr>
            <w:tcW w:w="3119" w:type="dxa"/>
          </w:tcPr>
          <w:p>
            <w:pPr>
              <w:pStyle w:val="27"/>
              <w:rPr>
                <w:rFonts w:ascii="宋体" w:hAnsi="宋体" w:cs="宋体"/>
                <w:sz w:val="28"/>
                <w:szCs w:val="28"/>
              </w:rPr>
            </w:pPr>
          </w:p>
        </w:tc>
        <w:tc>
          <w:tcPr>
            <w:tcW w:w="2835" w:type="dxa"/>
          </w:tcPr>
          <w:p>
            <w:pPr>
              <w:pStyle w:val="27"/>
              <w:rPr>
                <w:rFonts w:ascii="宋体" w:hAnsi="宋体" w:cs="宋体"/>
                <w:sz w:val="28"/>
                <w:szCs w:val="28"/>
              </w:rPr>
            </w:pPr>
          </w:p>
        </w:tc>
      </w:tr>
    </w:tbl>
    <w:p>
      <w:pPr>
        <w:spacing w:line="400" w:lineRule="exact"/>
        <w:ind w:left="680" w:leftChars="57" w:hanging="560" w:hangingChars="200"/>
        <w:rPr>
          <w:rFonts w:ascii="宋体" w:hAnsi="宋体" w:cs="宋体"/>
          <w:sz w:val="28"/>
          <w:szCs w:val="28"/>
        </w:rPr>
      </w:pPr>
    </w:p>
    <w:p>
      <w:pPr>
        <w:spacing w:line="360" w:lineRule="auto"/>
        <w:rPr>
          <w:rFonts w:ascii="宋体" w:hAnsi="宋体" w:cs="宋体"/>
          <w:sz w:val="28"/>
          <w:szCs w:val="28"/>
        </w:rPr>
      </w:pPr>
      <w:r>
        <w:rPr>
          <w:rFonts w:hint="eastAsia" w:ascii="宋体" w:hAnsi="宋体" w:cs="宋体"/>
          <w:color w:val="auto"/>
          <w:sz w:val="28"/>
          <w:szCs w:val="28"/>
        </w:rPr>
        <w:t>说明：1.投标人必须把</w:t>
      </w:r>
      <w:r>
        <w:rPr>
          <w:rFonts w:hint="eastAsia" w:ascii="宋体" w:hAnsi="宋体" w:cs="宋体"/>
          <w:sz w:val="28"/>
          <w:szCs w:val="28"/>
        </w:rPr>
        <w:t>招标项目对应的全部服务内容事项列入此表。</w:t>
      </w:r>
    </w:p>
    <w:p>
      <w:pPr>
        <w:spacing w:line="360" w:lineRule="auto"/>
        <w:ind w:firstLine="840" w:firstLineChars="300"/>
        <w:rPr>
          <w:rFonts w:ascii="宋体" w:hAnsi="宋体" w:cs="宋体"/>
          <w:sz w:val="28"/>
          <w:szCs w:val="28"/>
        </w:rPr>
      </w:pPr>
      <w:r>
        <w:rPr>
          <w:rFonts w:hint="eastAsia" w:ascii="宋体" w:hAnsi="宋体" w:cs="宋体"/>
          <w:sz w:val="28"/>
          <w:szCs w:val="28"/>
        </w:rPr>
        <w:t>2．按照招标项目对应服务要求的顺序对应填写。</w:t>
      </w:r>
    </w:p>
    <w:p>
      <w:pPr>
        <w:spacing w:line="360" w:lineRule="auto"/>
        <w:ind w:firstLine="840" w:firstLineChars="300"/>
        <w:rPr>
          <w:rFonts w:ascii="宋体" w:hAnsi="宋体" w:cs="宋体"/>
          <w:sz w:val="24"/>
        </w:rPr>
      </w:pPr>
      <w:r>
        <w:rPr>
          <w:rFonts w:hint="eastAsia" w:ascii="宋体" w:hAnsi="宋体" w:cs="宋体"/>
          <w:sz w:val="28"/>
          <w:szCs w:val="28"/>
        </w:rPr>
        <w:t>3．投标人必须据实填写，不得虚假填写，否则将取消其投标或中标资格。</w:t>
      </w:r>
    </w:p>
    <w:p>
      <w:pPr>
        <w:tabs>
          <w:tab w:val="left" w:pos="3969"/>
        </w:tabs>
        <w:spacing w:line="588" w:lineRule="exact"/>
        <w:ind w:right="-58"/>
        <w:jc w:val="left"/>
        <w:rPr>
          <w:rFonts w:ascii="宋体" w:hAnsi="宋体" w:cs="宋体"/>
          <w:spacing w:val="6"/>
          <w:sz w:val="28"/>
          <w:szCs w:val="28"/>
        </w:rPr>
      </w:pPr>
      <w:r>
        <w:rPr>
          <w:rFonts w:hint="eastAsia" w:ascii="宋体" w:hAnsi="宋体" w:cs="宋体"/>
          <w:spacing w:val="6"/>
          <w:sz w:val="28"/>
          <w:szCs w:val="28"/>
        </w:rPr>
        <w:t>投标人名称：</w:t>
      </w:r>
      <w:r>
        <w:rPr>
          <w:rFonts w:hint="eastAsia" w:ascii="宋体" w:hAnsi="宋体" w:cs="宋体"/>
          <w:bCs/>
          <w:sz w:val="28"/>
          <w:szCs w:val="28"/>
          <w:u w:val="single"/>
        </w:rPr>
        <w:t>XXXX</w:t>
      </w:r>
    </w:p>
    <w:p>
      <w:pPr>
        <w:keepNext/>
        <w:keepLines/>
        <w:numPr>
          <w:ilvl w:val="2"/>
          <w:numId w:val="2"/>
        </w:numPr>
        <w:spacing w:line="360" w:lineRule="auto"/>
        <w:ind w:left="3119" w:hanging="3119"/>
        <w:outlineLvl w:val="2"/>
        <w:rPr>
          <w:rFonts w:ascii="宋体" w:hAnsi="宋体" w:cs="宋体"/>
          <w:b/>
          <w:bCs/>
          <w:sz w:val="28"/>
          <w:szCs w:val="28"/>
        </w:rPr>
      </w:pPr>
      <w:r>
        <w:rPr>
          <w:rFonts w:hint="eastAsia" w:ascii="宋体" w:hAnsi="宋体" w:cs="宋体"/>
          <w:b/>
          <w:bCs/>
          <w:sz w:val="28"/>
          <w:szCs w:val="28"/>
        </w:rPr>
        <w:t>服务方案及服务承诺</w:t>
      </w:r>
    </w:p>
    <w:p>
      <w:pPr>
        <w:snapToGrid w:val="0"/>
        <w:ind w:left="1405" w:hanging="1405" w:hangingChars="500"/>
        <w:rPr>
          <w:rFonts w:ascii="宋体" w:hAnsi="宋体"/>
          <w:b/>
          <w:sz w:val="28"/>
          <w:szCs w:val="28"/>
          <w:u w:val="single"/>
        </w:rPr>
      </w:pPr>
      <w:r>
        <w:rPr>
          <w:rFonts w:hint="eastAsia" w:ascii="宋体" w:hAnsi="宋体"/>
          <w:b/>
          <w:sz w:val="28"/>
          <w:szCs w:val="28"/>
        </w:rPr>
        <w:t>项目名称：</w:t>
      </w:r>
      <w:r>
        <w:rPr>
          <w:rFonts w:hint="eastAsia" w:ascii="宋体" w:hAnsi="宋体"/>
          <w:b/>
          <w:sz w:val="28"/>
          <w:szCs w:val="28"/>
          <w:u w:val="single"/>
        </w:rPr>
        <w:t>成都市双流区人民政府怡心街道办事处生活垃圾清运服务采购项目</w:t>
      </w:r>
    </w:p>
    <w:p>
      <w:pPr>
        <w:snapToGrid w:val="0"/>
        <w:rPr>
          <w:rFonts w:ascii="宋体" w:hAnsi="宋体"/>
          <w:b/>
          <w:sz w:val="28"/>
          <w:szCs w:val="28"/>
          <w:u w:val="single"/>
        </w:rPr>
      </w:pPr>
      <w:r>
        <w:rPr>
          <w:rFonts w:hint="eastAsia" w:ascii="宋体" w:hAnsi="宋体"/>
          <w:b/>
          <w:sz w:val="28"/>
          <w:szCs w:val="28"/>
          <w:u w:val="single"/>
        </w:rPr>
        <w:t>项目编号：双流政采（2021）A0118号</w:t>
      </w:r>
    </w:p>
    <w:p>
      <w:pPr>
        <w:pStyle w:val="8"/>
        <w:spacing w:line="240" w:lineRule="auto"/>
        <w:ind w:left="0" w:leftChars="0"/>
        <w:rPr>
          <w:rFonts w:ascii="宋体" w:hAnsi="宋体"/>
          <w:b/>
          <w:sz w:val="28"/>
          <w:szCs w:val="28"/>
        </w:rPr>
      </w:pPr>
    </w:p>
    <w:p>
      <w:pPr>
        <w:pStyle w:val="8"/>
        <w:spacing w:line="240" w:lineRule="auto"/>
        <w:rPr>
          <w:rFonts w:ascii="宋体" w:hAnsi="宋体"/>
          <w:bCs/>
          <w:sz w:val="28"/>
          <w:szCs w:val="28"/>
        </w:rPr>
      </w:pPr>
    </w:p>
    <w:p>
      <w:pPr>
        <w:pStyle w:val="8"/>
        <w:spacing w:line="240" w:lineRule="auto"/>
        <w:rPr>
          <w:rFonts w:ascii="宋体" w:hAnsi="宋体"/>
          <w:bCs/>
          <w:sz w:val="28"/>
          <w:szCs w:val="28"/>
        </w:rPr>
      </w:pPr>
    </w:p>
    <w:p>
      <w:pPr>
        <w:pStyle w:val="8"/>
        <w:spacing w:line="240" w:lineRule="auto"/>
        <w:rPr>
          <w:rFonts w:ascii="宋体" w:hAnsi="宋体"/>
          <w:bCs/>
          <w:sz w:val="28"/>
          <w:szCs w:val="28"/>
        </w:rPr>
      </w:pPr>
    </w:p>
    <w:p>
      <w:pPr>
        <w:pStyle w:val="8"/>
        <w:spacing w:line="240" w:lineRule="auto"/>
        <w:rPr>
          <w:rFonts w:ascii="宋体" w:hAnsi="宋体"/>
          <w:bCs/>
          <w:sz w:val="28"/>
          <w:szCs w:val="28"/>
        </w:rPr>
      </w:pPr>
    </w:p>
    <w:p>
      <w:pPr>
        <w:pStyle w:val="8"/>
        <w:spacing w:line="240" w:lineRule="auto"/>
        <w:rPr>
          <w:rFonts w:ascii="宋体" w:hAnsi="宋体"/>
          <w:bCs/>
          <w:sz w:val="28"/>
          <w:szCs w:val="28"/>
        </w:rPr>
      </w:pPr>
    </w:p>
    <w:p>
      <w:pPr>
        <w:pStyle w:val="8"/>
        <w:spacing w:line="240" w:lineRule="auto"/>
        <w:rPr>
          <w:rFonts w:ascii="宋体" w:hAnsi="宋体"/>
          <w:bCs/>
          <w:sz w:val="28"/>
          <w:szCs w:val="28"/>
        </w:rPr>
      </w:pPr>
    </w:p>
    <w:p>
      <w:pPr>
        <w:pStyle w:val="8"/>
        <w:spacing w:line="240" w:lineRule="auto"/>
        <w:rPr>
          <w:rFonts w:ascii="宋体" w:hAnsi="宋体"/>
          <w:bCs/>
          <w:sz w:val="28"/>
          <w:szCs w:val="28"/>
        </w:rPr>
      </w:pPr>
    </w:p>
    <w:p>
      <w:pPr>
        <w:pStyle w:val="8"/>
        <w:spacing w:line="240" w:lineRule="auto"/>
        <w:rPr>
          <w:rFonts w:ascii="宋体" w:hAnsi="宋体"/>
          <w:bCs/>
          <w:sz w:val="28"/>
          <w:szCs w:val="28"/>
        </w:rPr>
      </w:pPr>
    </w:p>
    <w:p>
      <w:pPr>
        <w:pStyle w:val="8"/>
        <w:spacing w:line="240" w:lineRule="auto"/>
        <w:rPr>
          <w:rFonts w:ascii="宋体" w:hAnsi="宋体"/>
          <w:bCs/>
          <w:sz w:val="28"/>
          <w:szCs w:val="28"/>
        </w:rPr>
      </w:pPr>
    </w:p>
    <w:p>
      <w:pPr>
        <w:pStyle w:val="8"/>
        <w:spacing w:line="240" w:lineRule="auto"/>
        <w:rPr>
          <w:rFonts w:ascii="宋体" w:hAnsi="宋体"/>
          <w:bCs/>
          <w:sz w:val="28"/>
          <w:szCs w:val="28"/>
        </w:rPr>
      </w:pPr>
      <w:r>
        <w:rPr>
          <w:rFonts w:hint="eastAsia" w:ascii="宋体" w:hAnsi="宋体"/>
          <w:bCs/>
          <w:sz w:val="28"/>
          <w:szCs w:val="28"/>
        </w:rPr>
        <w:t>投标人名称：XXXX</w:t>
      </w:r>
    </w:p>
    <w:p>
      <w:pPr>
        <w:adjustRightInd w:val="0"/>
        <w:ind w:firstLine="420" w:firstLineChars="150"/>
        <w:jc w:val="left"/>
        <w:rPr>
          <w:rFonts w:ascii="宋体" w:hAnsi="宋体"/>
          <w:sz w:val="28"/>
        </w:rPr>
      </w:pPr>
      <w:r>
        <w:rPr>
          <w:rFonts w:hint="eastAsia" w:ascii="宋体" w:hAnsi="宋体"/>
          <w:sz w:val="28"/>
        </w:rPr>
        <w:t>日期：20XX年XX月XX日</w:t>
      </w:r>
    </w:p>
    <w:p>
      <w:pPr>
        <w:pStyle w:val="2"/>
      </w:pPr>
    </w:p>
    <w:p>
      <w:pPr>
        <w:pStyle w:val="2"/>
      </w:pPr>
    </w:p>
    <w:p>
      <w:pPr>
        <w:pStyle w:val="2"/>
      </w:pPr>
    </w:p>
    <w:p>
      <w:pPr>
        <w:pStyle w:val="2"/>
      </w:pPr>
    </w:p>
    <w:p>
      <w:pPr>
        <w:pStyle w:val="2"/>
      </w:pPr>
    </w:p>
    <w:p>
      <w:pPr>
        <w:keepNext/>
        <w:keepLines/>
        <w:numPr>
          <w:ilvl w:val="2"/>
          <w:numId w:val="2"/>
        </w:numPr>
        <w:spacing w:line="360" w:lineRule="auto"/>
        <w:ind w:left="3119" w:hanging="3119"/>
        <w:outlineLvl w:val="2"/>
        <w:rPr>
          <w:rFonts w:ascii="宋体" w:hAnsi="宋体" w:cs="宋体"/>
          <w:b/>
          <w:bCs/>
          <w:sz w:val="28"/>
          <w:szCs w:val="28"/>
        </w:rPr>
      </w:pPr>
      <w:r>
        <w:rPr>
          <w:rFonts w:hint="eastAsia" w:ascii="宋体" w:hAnsi="宋体" w:cs="宋体"/>
          <w:b/>
          <w:bCs/>
          <w:sz w:val="28"/>
          <w:szCs w:val="28"/>
        </w:rPr>
        <w:t>承诺函</w:t>
      </w:r>
    </w:p>
    <w:p>
      <w:pPr>
        <w:snapToGrid w:val="0"/>
        <w:ind w:left="1405" w:hanging="1405" w:hangingChars="500"/>
        <w:rPr>
          <w:rFonts w:ascii="宋体" w:hAnsi="宋体"/>
          <w:b/>
          <w:sz w:val="28"/>
          <w:szCs w:val="28"/>
          <w:u w:val="single"/>
        </w:rPr>
      </w:pPr>
      <w:r>
        <w:rPr>
          <w:rFonts w:hint="eastAsia" w:ascii="宋体" w:hAnsi="宋体"/>
          <w:b/>
          <w:sz w:val="28"/>
          <w:szCs w:val="28"/>
        </w:rPr>
        <w:t>项目名称：</w:t>
      </w:r>
      <w:r>
        <w:rPr>
          <w:rFonts w:hint="eastAsia" w:ascii="宋体" w:hAnsi="宋体"/>
          <w:b/>
          <w:sz w:val="28"/>
          <w:szCs w:val="28"/>
          <w:u w:val="single"/>
        </w:rPr>
        <w:t>成都市双流区人民政府怡心街道办事处生活垃圾清运服务采购项目</w:t>
      </w:r>
    </w:p>
    <w:p>
      <w:pPr>
        <w:snapToGrid w:val="0"/>
        <w:rPr>
          <w:rFonts w:ascii="宋体" w:hAnsi="宋体"/>
          <w:b/>
          <w:sz w:val="28"/>
          <w:szCs w:val="28"/>
          <w:u w:val="single"/>
        </w:rPr>
      </w:pPr>
      <w:r>
        <w:rPr>
          <w:rFonts w:hint="eastAsia" w:ascii="宋体" w:hAnsi="宋体"/>
          <w:b/>
          <w:sz w:val="28"/>
          <w:szCs w:val="28"/>
          <w:u w:val="single"/>
        </w:rPr>
        <w:t>项目编号：双流政采（2021）A0118号</w:t>
      </w:r>
    </w:p>
    <w:p>
      <w:pPr>
        <w:adjustRightInd w:val="0"/>
        <w:snapToGrid w:val="0"/>
        <w:spacing w:line="360" w:lineRule="auto"/>
        <w:ind w:firstLine="562" w:firstLineChars="201"/>
        <w:rPr>
          <w:rFonts w:ascii="宋体" w:hAnsi="宋体"/>
          <w:sz w:val="28"/>
          <w:szCs w:val="28"/>
        </w:rPr>
      </w:pPr>
      <w:r>
        <w:rPr>
          <w:rFonts w:hint="eastAsia" w:ascii="宋体" w:hAnsi="宋体"/>
          <w:sz w:val="28"/>
          <w:szCs w:val="28"/>
        </w:rPr>
        <w:t>我公司作为参加本项目的投标人，在此郑重承诺：</w:t>
      </w:r>
    </w:p>
    <w:p>
      <w:pPr>
        <w:spacing w:line="560" w:lineRule="exact"/>
        <w:ind w:firstLine="560" w:firstLineChars="200"/>
        <w:rPr>
          <w:rFonts w:asciiTheme="minorEastAsia" w:hAnsiTheme="minorEastAsia"/>
          <w:sz w:val="28"/>
          <w:szCs w:val="28"/>
        </w:rPr>
      </w:pPr>
      <w:r>
        <w:rPr>
          <w:rFonts w:hint="eastAsia" w:ascii="宋体" w:hAnsi="宋体"/>
          <w:sz w:val="28"/>
          <w:szCs w:val="28"/>
        </w:rPr>
        <w:t>一、为本项目提供的所有服务符合现行的强制性国家相关标准、行业标准。</w:t>
      </w:r>
    </w:p>
    <w:p>
      <w:pPr>
        <w:spacing w:line="560" w:lineRule="exact"/>
        <w:ind w:firstLine="560" w:firstLineChars="200"/>
        <w:rPr>
          <w:rFonts w:ascii="宋体" w:hAnsi="宋体"/>
          <w:sz w:val="28"/>
          <w:szCs w:val="28"/>
        </w:rPr>
      </w:pPr>
      <w:r>
        <w:rPr>
          <w:rFonts w:hint="eastAsia" w:ascii="宋体" w:hAnsi="宋体"/>
          <w:sz w:val="28"/>
          <w:szCs w:val="28"/>
        </w:rPr>
        <w:t>二、我方承诺为本项目配备的工作人员薪资不得低于成都市最低薪酬标准，在职期间为其购买劳动法规定的各项保险，其人员工资标准、劳保、福利等应执行国家和地方政府的相关法律、法规和部门规章。</w:t>
      </w:r>
    </w:p>
    <w:p>
      <w:pPr>
        <w:spacing w:line="560" w:lineRule="exact"/>
        <w:ind w:firstLine="560" w:firstLineChars="200"/>
        <w:rPr>
          <w:rFonts w:ascii="宋体" w:hAnsi="宋体"/>
          <w:sz w:val="28"/>
          <w:szCs w:val="28"/>
        </w:rPr>
      </w:pPr>
      <w:r>
        <w:rPr>
          <w:rFonts w:hint="eastAsia" w:ascii="宋体" w:hAnsi="宋体"/>
          <w:sz w:val="28"/>
          <w:szCs w:val="28"/>
        </w:rPr>
        <w:t>三</w:t>
      </w:r>
      <w:r>
        <w:rPr>
          <w:rFonts w:ascii="宋体" w:hAnsi="宋体"/>
          <w:sz w:val="28"/>
          <w:szCs w:val="28"/>
        </w:rPr>
        <w:t>、</w:t>
      </w:r>
      <w:r>
        <w:rPr>
          <w:rFonts w:hint="eastAsia" w:ascii="宋体" w:hAnsi="宋体"/>
          <w:sz w:val="28"/>
          <w:szCs w:val="28"/>
        </w:rPr>
        <w:t>我方负责员工工作期间的人身安全。</w:t>
      </w:r>
    </w:p>
    <w:p>
      <w:pPr>
        <w:pStyle w:val="15"/>
        <w:ind w:firstLine="560" w:firstLineChars="20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四、我方承诺在服务过程中所使用车辆与投标文件中响应配备的车辆一致。</w:t>
      </w:r>
    </w:p>
    <w:p>
      <w:pPr>
        <w:pStyle w:val="15"/>
        <w:ind w:firstLine="560" w:firstLineChars="200"/>
        <w:rPr>
          <w:rFonts w:hint="eastAsia" w:ascii="宋体" w:hAnsi="宋体" w:eastAsia="宋体"/>
          <w:color w:val="000000" w:themeColor="text1"/>
          <w:sz w:val="28"/>
          <w:szCs w:val="28"/>
          <w:lang w:eastAsia="zh-CN"/>
          <w14:textFill>
            <w14:solidFill>
              <w14:schemeClr w14:val="tx1"/>
            </w14:solidFill>
          </w14:textFill>
        </w:rPr>
      </w:pPr>
      <w:r>
        <w:rPr>
          <w:rFonts w:hint="eastAsia" w:ascii="宋体" w:hAnsi="宋体"/>
          <w:color w:val="000000" w:themeColor="text1"/>
          <w:sz w:val="28"/>
          <w:szCs w:val="28"/>
          <w:lang w:eastAsia="zh-CN"/>
          <w14:textFill>
            <w14:solidFill>
              <w14:schemeClr w14:val="tx1"/>
            </w14:solidFill>
          </w14:textFill>
        </w:rPr>
        <w:t>五、</w:t>
      </w:r>
      <w:r>
        <w:rPr>
          <w:rFonts w:hint="eastAsia" w:ascii="宋体" w:hAnsi="宋体"/>
          <w:color w:val="000000" w:themeColor="text1"/>
          <w:sz w:val="28"/>
          <w:szCs w:val="28"/>
          <w14:textFill>
            <w14:solidFill>
              <w14:schemeClr w14:val="tx1"/>
            </w14:solidFill>
          </w14:textFill>
        </w:rPr>
        <w:t>我方承诺在服务过程中</w:t>
      </w:r>
      <w:r>
        <w:rPr>
          <w:rFonts w:hint="eastAsia" w:ascii="宋体" w:hAnsi="宋体"/>
          <w:color w:val="000000" w:themeColor="text1"/>
          <w:sz w:val="28"/>
          <w:szCs w:val="28"/>
          <w:lang w:eastAsia="zh-CN"/>
          <w14:textFill>
            <w14:solidFill>
              <w14:schemeClr w14:val="tx1"/>
            </w14:solidFill>
          </w14:textFill>
        </w:rPr>
        <w:t>所配备</w:t>
      </w:r>
      <w:r>
        <w:rPr>
          <w:rFonts w:hint="eastAsia" w:ascii="宋体" w:hAnsi="宋体"/>
          <w:color w:val="auto"/>
          <w:sz w:val="28"/>
          <w:szCs w:val="28"/>
          <w:lang w:val="zh-CN"/>
        </w:rPr>
        <w:t>驾驶员取得的驾驶证准驾车型与项目要求驾驶的车辆车型一致。</w:t>
      </w:r>
    </w:p>
    <w:p>
      <w:pPr>
        <w:pStyle w:val="15"/>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w:t>
      </w:r>
    </w:p>
    <w:p>
      <w:pPr>
        <w:pStyle w:val="15"/>
        <w:ind w:firstLine="0" w:firstLineChars="0"/>
        <w:rPr>
          <w:rFonts w:ascii="宋体" w:hAnsi="宋体"/>
          <w:sz w:val="28"/>
          <w:szCs w:val="28"/>
        </w:rPr>
      </w:pPr>
    </w:p>
    <w:p>
      <w:pPr>
        <w:pStyle w:val="15"/>
        <w:ind w:firstLine="0" w:firstLineChars="0"/>
        <w:rPr>
          <w:rFonts w:ascii="宋体" w:hAnsi="宋体"/>
          <w:sz w:val="28"/>
          <w:szCs w:val="28"/>
        </w:rPr>
      </w:pPr>
    </w:p>
    <w:p>
      <w:pPr>
        <w:pStyle w:val="8"/>
        <w:spacing w:line="240" w:lineRule="auto"/>
        <w:rPr>
          <w:rFonts w:ascii="宋体" w:hAnsi="宋体"/>
          <w:bCs/>
          <w:sz w:val="28"/>
          <w:szCs w:val="28"/>
        </w:rPr>
      </w:pPr>
      <w:r>
        <w:rPr>
          <w:rFonts w:hint="eastAsia" w:ascii="宋体" w:hAnsi="宋体"/>
          <w:bCs/>
          <w:sz w:val="28"/>
          <w:szCs w:val="28"/>
        </w:rPr>
        <w:t>投标人名称：XXXX</w:t>
      </w:r>
    </w:p>
    <w:p>
      <w:pPr>
        <w:adjustRightInd w:val="0"/>
        <w:ind w:firstLine="420" w:firstLineChars="150"/>
        <w:jc w:val="left"/>
        <w:rPr>
          <w:rFonts w:ascii="宋体" w:hAnsi="宋体"/>
          <w:sz w:val="28"/>
          <w:szCs w:val="28"/>
        </w:rPr>
      </w:pPr>
      <w:r>
        <w:rPr>
          <w:rFonts w:hint="eastAsia" w:ascii="宋体" w:hAnsi="宋体"/>
          <w:sz w:val="28"/>
          <w:szCs w:val="28"/>
        </w:rPr>
        <w:t>日期：20XX年XX月XX日</w:t>
      </w:r>
    </w:p>
    <w:bookmarkEnd w:id="141"/>
    <w:bookmarkEnd w:id="142"/>
    <w:bookmarkEnd w:id="143"/>
    <w:bookmarkEnd w:id="144"/>
    <w:p>
      <w:pPr>
        <w:keepNext/>
        <w:keepLines/>
        <w:numPr>
          <w:ilvl w:val="2"/>
          <w:numId w:val="2"/>
        </w:numPr>
        <w:spacing w:line="360" w:lineRule="auto"/>
        <w:outlineLvl w:val="2"/>
        <w:rPr>
          <w:rFonts w:ascii="宋体" w:hAnsi="宋体" w:cs="宋体"/>
          <w:b/>
          <w:bCs/>
          <w:sz w:val="28"/>
          <w:szCs w:val="28"/>
        </w:rPr>
      </w:pPr>
      <w:bookmarkStart w:id="145" w:name="_Toc316475719"/>
      <w:r>
        <w:rPr>
          <w:rFonts w:hint="eastAsia" w:ascii="宋体" w:hAnsi="宋体" w:cs="宋体"/>
          <w:b/>
          <w:bCs/>
          <w:sz w:val="28"/>
          <w:szCs w:val="28"/>
        </w:rPr>
        <w:t>投标人本项目管理、技术、服务人员情况表</w:t>
      </w:r>
    </w:p>
    <w:p>
      <w:pPr>
        <w:pStyle w:val="8"/>
        <w:spacing w:line="360" w:lineRule="auto"/>
        <w:jc w:val="center"/>
        <w:rPr>
          <w:rFonts w:ascii="宋体" w:hAnsi="宋体" w:cs="宋体"/>
          <w:b/>
          <w:sz w:val="28"/>
          <w:szCs w:val="28"/>
        </w:rPr>
      </w:pPr>
      <w:r>
        <w:rPr>
          <w:rFonts w:hint="eastAsia" w:ascii="宋体" w:hAnsi="宋体" w:cs="宋体"/>
          <w:b/>
          <w:sz w:val="28"/>
          <w:szCs w:val="28"/>
        </w:rPr>
        <w:t>投标人本项目管理、技术、服务人员情况表</w:t>
      </w:r>
    </w:p>
    <w:p>
      <w:pPr>
        <w:spacing w:line="400" w:lineRule="exact"/>
        <w:ind w:left="1405" w:hanging="1405" w:hangingChars="500"/>
        <w:rPr>
          <w:rFonts w:ascii="宋体" w:hAnsi="宋体" w:cs="宋体"/>
          <w:b/>
          <w:sz w:val="28"/>
        </w:rPr>
      </w:pPr>
      <w:r>
        <w:rPr>
          <w:rFonts w:hint="eastAsia" w:ascii="宋体" w:hAnsi="宋体" w:cs="宋体"/>
          <w:b/>
          <w:sz w:val="28"/>
          <w:szCs w:val="28"/>
        </w:rPr>
        <w:t>项目名称：</w:t>
      </w:r>
      <w:r>
        <w:rPr>
          <w:rFonts w:hint="eastAsia" w:ascii="宋体" w:hAnsi="宋体" w:cs="宋体"/>
          <w:b/>
          <w:sz w:val="28"/>
          <w:szCs w:val="28"/>
          <w:u w:val="single"/>
        </w:rPr>
        <w:t xml:space="preserve">成都市双流区人民政府怡心街道办事处生活垃圾清运服务采购项目 </w:t>
      </w:r>
      <w:r>
        <w:rPr>
          <w:rFonts w:hint="eastAsia" w:ascii="宋体" w:hAnsi="宋体" w:cs="宋体"/>
          <w:b/>
          <w:sz w:val="28"/>
          <w:u w:val="single"/>
        </w:rPr>
        <w:t xml:space="preserve"> </w:t>
      </w:r>
    </w:p>
    <w:p>
      <w:pPr>
        <w:spacing w:line="400" w:lineRule="exact"/>
        <w:rPr>
          <w:rFonts w:ascii="宋体" w:hAnsi="宋体" w:cs="宋体"/>
          <w:bCs/>
          <w:sz w:val="28"/>
          <w:szCs w:val="28"/>
        </w:rPr>
      </w:pPr>
      <w:r>
        <w:rPr>
          <w:rFonts w:hint="eastAsia" w:ascii="宋体" w:hAnsi="宋体" w:cs="宋体"/>
          <w:b/>
          <w:sz w:val="28"/>
          <w:szCs w:val="28"/>
        </w:rPr>
        <w:t>项目编号：</w:t>
      </w:r>
      <w:r>
        <w:rPr>
          <w:rFonts w:hint="eastAsia" w:ascii="宋体" w:hAnsi="宋体" w:cs="宋体"/>
          <w:b/>
          <w:sz w:val="28"/>
          <w:szCs w:val="28"/>
          <w:u w:val="single"/>
        </w:rPr>
        <w:t>双流政采（2021）A0118号</w:t>
      </w:r>
      <w:r>
        <w:rPr>
          <w:rFonts w:hint="eastAsia" w:ascii="宋体" w:hAnsi="宋体" w:cs="宋体"/>
          <w:bCs/>
          <w:sz w:val="28"/>
          <w:szCs w:val="28"/>
        </w:rPr>
        <w:t xml:space="preserve">              </w:t>
      </w:r>
    </w:p>
    <w:tbl>
      <w:tblPr>
        <w:tblStyle w:val="16"/>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675"/>
        <w:gridCol w:w="645"/>
        <w:gridCol w:w="705"/>
        <w:gridCol w:w="1435"/>
        <w:gridCol w:w="645"/>
        <w:gridCol w:w="2475"/>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787" w:type="dxa"/>
            <w:vAlign w:val="center"/>
          </w:tcPr>
          <w:p>
            <w:pPr>
              <w:spacing w:line="4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类别</w:t>
            </w:r>
          </w:p>
        </w:tc>
        <w:tc>
          <w:tcPr>
            <w:tcW w:w="675" w:type="dxa"/>
            <w:vAlign w:val="center"/>
          </w:tcPr>
          <w:p>
            <w:pPr>
              <w:spacing w:line="4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姓名</w:t>
            </w:r>
          </w:p>
        </w:tc>
        <w:tc>
          <w:tcPr>
            <w:tcW w:w="645" w:type="dxa"/>
            <w:vAlign w:val="center"/>
          </w:tcPr>
          <w:p>
            <w:pPr>
              <w:spacing w:line="4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性别</w:t>
            </w:r>
          </w:p>
        </w:tc>
        <w:tc>
          <w:tcPr>
            <w:tcW w:w="705" w:type="dxa"/>
            <w:vAlign w:val="center"/>
          </w:tcPr>
          <w:p>
            <w:pPr>
              <w:spacing w:line="4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年龄</w:t>
            </w:r>
          </w:p>
        </w:tc>
        <w:tc>
          <w:tcPr>
            <w:tcW w:w="1435" w:type="dxa"/>
            <w:vAlign w:val="center"/>
          </w:tcPr>
          <w:p>
            <w:pPr>
              <w:spacing w:line="4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身份证号码</w:t>
            </w:r>
          </w:p>
        </w:tc>
        <w:tc>
          <w:tcPr>
            <w:tcW w:w="645" w:type="dxa"/>
            <w:vAlign w:val="center"/>
          </w:tcPr>
          <w:p>
            <w:pPr>
              <w:spacing w:line="4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人数</w:t>
            </w:r>
          </w:p>
        </w:tc>
        <w:tc>
          <w:tcPr>
            <w:tcW w:w="2475" w:type="dxa"/>
            <w:vAlign w:val="center"/>
          </w:tcPr>
          <w:p>
            <w:pPr>
              <w:spacing w:line="4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lang w:val="zh-CN"/>
                <w14:textFill>
                  <w14:solidFill>
                    <w14:schemeClr w14:val="tx1"/>
                  </w14:solidFill>
                </w14:textFill>
              </w:rPr>
              <w:t>要求</w:t>
            </w:r>
          </w:p>
        </w:tc>
        <w:tc>
          <w:tcPr>
            <w:tcW w:w="1470" w:type="dxa"/>
            <w:vAlign w:val="center"/>
          </w:tcPr>
          <w:p>
            <w:pPr>
              <w:spacing w:line="4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5" w:hRule="atLeast"/>
          <w:jc w:val="center"/>
        </w:trPr>
        <w:tc>
          <w:tcPr>
            <w:tcW w:w="787" w:type="dxa"/>
          </w:tcPr>
          <w:p>
            <w:pPr>
              <w:spacing w:line="400" w:lineRule="exact"/>
              <w:jc w:val="center"/>
              <w:rPr>
                <w:rFonts w:ascii="宋体" w:hAnsi="宋体" w:cs="Arial"/>
                <w:color w:val="000000" w:themeColor="text1"/>
                <w:lang w:val="zh-CN"/>
                <w14:textFill>
                  <w14:solidFill>
                    <w14:schemeClr w14:val="tx1"/>
                  </w14:solidFill>
                </w14:textFill>
              </w:rPr>
            </w:pPr>
          </w:p>
          <w:p>
            <w:pPr>
              <w:spacing w:line="400" w:lineRule="exact"/>
              <w:jc w:val="center"/>
              <w:rPr>
                <w:rFonts w:ascii="宋体" w:hAnsi="宋体" w:cs="Arial"/>
                <w:color w:val="000000" w:themeColor="text1"/>
                <w14:textFill>
                  <w14:solidFill>
                    <w14:schemeClr w14:val="tx1"/>
                  </w14:solidFill>
                </w14:textFill>
              </w:rPr>
            </w:pPr>
            <w:r>
              <w:rPr>
                <w:rFonts w:hint="eastAsia" w:ascii="宋体" w:hAnsi="宋体" w:cs="宋体"/>
                <w:bCs/>
                <w:color w:val="000000"/>
                <w:sz w:val="24"/>
                <w:szCs w:val="24"/>
                <w:lang w:val="zh-CN"/>
              </w:rPr>
              <w:t>项目经理</w:t>
            </w:r>
          </w:p>
        </w:tc>
        <w:tc>
          <w:tcPr>
            <w:tcW w:w="675" w:type="dxa"/>
          </w:tcPr>
          <w:p>
            <w:pPr>
              <w:spacing w:line="400" w:lineRule="exact"/>
              <w:jc w:val="center"/>
              <w:rPr>
                <w:rFonts w:ascii="宋体" w:hAnsi="宋体" w:cs="Arial"/>
                <w:color w:val="000000" w:themeColor="text1"/>
                <w14:textFill>
                  <w14:solidFill>
                    <w14:schemeClr w14:val="tx1"/>
                  </w14:solidFill>
                </w14:textFill>
              </w:rPr>
            </w:pPr>
          </w:p>
        </w:tc>
        <w:tc>
          <w:tcPr>
            <w:tcW w:w="645" w:type="dxa"/>
          </w:tcPr>
          <w:p>
            <w:pPr>
              <w:spacing w:line="400" w:lineRule="exact"/>
              <w:jc w:val="center"/>
              <w:rPr>
                <w:rFonts w:ascii="宋体" w:hAnsi="宋体" w:cs="宋体"/>
                <w:color w:val="000000" w:themeColor="text1"/>
                <w:kern w:val="0"/>
                <w:sz w:val="24"/>
                <w:szCs w:val="24"/>
                <w14:textFill>
                  <w14:solidFill>
                    <w14:schemeClr w14:val="tx1"/>
                  </w14:solidFill>
                </w14:textFill>
              </w:rPr>
            </w:pPr>
          </w:p>
        </w:tc>
        <w:tc>
          <w:tcPr>
            <w:tcW w:w="705" w:type="dxa"/>
          </w:tcPr>
          <w:p>
            <w:pPr>
              <w:spacing w:line="400" w:lineRule="exact"/>
              <w:jc w:val="center"/>
              <w:rPr>
                <w:rFonts w:ascii="宋体" w:hAnsi="宋体" w:cs="宋体"/>
                <w:color w:val="000000" w:themeColor="text1"/>
                <w:kern w:val="0"/>
                <w:sz w:val="24"/>
                <w:szCs w:val="24"/>
                <w14:textFill>
                  <w14:solidFill>
                    <w14:schemeClr w14:val="tx1"/>
                  </w14:solidFill>
                </w14:textFill>
              </w:rPr>
            </w:pPr>
          </w:p>
        </w:tc>
        <w:tc>
          <w:tcPr>
            <w:tcW w:w="1435" w:type="dxa"/>
          </w:tcPr>
          <w:p>
            <w:pPr>
              <w:spacing w:line="400" w:lineRule="exact"/>
              <w:jc w:val="center"/>
              <w:rPr>
                <w:rFonts w:ascii="宋体" w:hAnsi="宋体" w:cs="宋体"/>
                <w:color w:val="000000" w:themeColor="text1"/>
                <w:kern w:val="0"/>
                <w:sz w:val="24"/>
                <w:szCs w:val="24"/>
                <w14:textFill>
                  <w14:solidFill>
                    <w14:schemeClr w14:val="tx1"/>
                  </w14:solidFill>
                </w14:textFill>
              </w:rPr>
            </w:pPr>
          </w:p>
        </w:tc>
        <w:tc>
          <w:tcPr>
            <w:tcW w:w="645" w:type="dxa"/>
          </w:tcPr>
          <w:p>
            <w:pPr>
              <w:spacing w:line="400" w:lineRule="exact"/>
              <w:rPr>
                <w:rFonts w:ascii="宋体" w:hAnsi="宋体" w:cs="宋体"/>
                <w:color w:val="000000" w:themeColor="text1"/>
                <w:kern w:val="0"/>
                <w:sz w:val="24"/>
                <w:szCs w:val="24"/>
                <w14:textFill>
                  <w14:solidFill>
                    <w14:schemeClr w14:val="tx1"/>
                  </w14:solidFill>
                </w14:textFill>
              </w:rPr>
            </w:pPr>
          </w:p>
          <w:p>
            <w:pPr>
              <w:spacing w:line="400" w:lineRule="exact"/>
              <w:ind w:firstLine="210" w:firstLineChars="100"/>
              <w:rPr>
                <w:rFonts w:ascii="宋体" w:hAnsi="宋体" w:cs="Arial"/>
                <w:color w:val="000000" w:themeColor="text1"/>
                <w14:textFill>
                  <w14:solidFill>
                    <w14:schemeClr w14:val="tx1"/>
                  </w14:solidFill>
                </w14:textFill>
              </w:rPr>
            </w:pPr>
          </w:p>
        </w:tc>
        <w:tc>
          <w:tcPr>
            <w:tcW w:w="2475" w:type="dxa"/>
            <w:vAlign w:val="center"/>
          </w:tcPr>
          <w:p>
            <w:pPr>
              <w:pStyle w:val="28"/>
              <w:snapToGrid w:val="0"/>
              <w:spacing w:line="360" w:lineRule="auto"/>
              <w:jc w:val="center"/>
              <w:rPr>
                <w:rFonts w:hAnsi="宋体" w:cs="宋体"/>
                <w:color w:val="000000" w:themeColor="text1"/>
                <w:sz w:val="24"/>
                <w:szCs w:val="24"/>
                <w:lang w:val="zh-CN"/>
                <w14:textFill>
                  <w14:solidFill>
                    <w14:schemeClr w14:val="tx1"/>
                  </w14:solidFill>
                </w14:textFill>
              </w:rPr>
            </w:pPr>
          </w:p>
        </w:tc>
        <w:tc>
          <w:tcPr>
            <w:tcW w:w="1470" w:type="dxa"/>
          </w:tcPr>
          <w:p>
            <w:pPr>
              <w:spacing w:line="400" w:lineRule="exact"/>
              <w:jc w:val="center"/>
              <w:rPr>
                <w:rFonts w:ascii="宋体" w:hAnsi="宋体" w:cs="Arial"/>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9" w:hRule="atLeast"/>
          <w:jc w:val="center"/>
        </w:trPr>
        <w:tc>
          <w:tcPr>
            <w:tcW w:w="787" w:type="dxa"/>
            <w:vAlign w:val="center"/>
          </w:tcPr>
          <w:p>
            <w:pPr>
              <w:widowControl/>
              <w:jc w:val="center"/>
              <w:rPr>
                <w:rFonts w:ascii="宋体" w:hAnsi="宋体" w:cs="宋体"/>
                <w:bCs/>
                <w:color w:val="000000"/>
                <w:sz w:val="24"/>
                <w:szCs w:val="24"/>
                <w:lang w:val="zh-CN"/>
              </w:rPr>
            </w:pPr>
            <w:r>
              <w:rPr>
                <w:rFonts w:hint="eastAsia" w:ascii="宋体" w:hAnsi="宋体" w:cs="宋体"/>
                <w:bCs/>
                <w:color w:val="000000"/>
                <w:sz w:val="24"/>
                <w:szCs w:val="24"/>
              </w:rPr>
              <w:t>驾驶员</w:t>
            </w:r>
          </w:p>
        </w:tc>
        <w:tc>
          <w:tcPr>
            <w:tcW w:w="675" w:type="dxa"/>
          </w:tcPr>
          <w:p>
            <w:pPr>
              <w:spacing w:line="400" w:lineRule="exact"/>
              <w:jc w:val="center"/>
              <w:rPr>
                <w:rFonts w:ascii="宋体" w:hAnsi="宋体" w:cs="Arial"/>
                <w:color w:val="000000" w:themeColor="text1"/>
                <w14:textFill>
                  <w14:solidFill>
                    <w14:schemeClr w14:val="tx1"/>
                  </w14:solidFill>
                </w14:textFill>
              </w:rPr>
            </w:pPr>
          </w:p>
        </w:tc>
        <w:tc>
          <w:tcPr>
            <w:tcW w:w="645" w:type="dxa"/>
          </w:tcPr>
          <w:p>
            <w:pPr>
              <w:spacing w:line="400" w:lineRule="exact"/>
              <w:jc w:val="center"/>
              <w:rPr>
                <w:rFonts w:ascii="宋体" w:hAnsi="宋体" w:cs="宋体"/>
                <w:color w:val="000000" w:themeColor="text1"/>
                <w:kern w:val="0"/>
                <w:sz w:val="24"/>
                <w:szCs w:val="24"/>
                <w14:textFill>
                  <w14:solidFill>
                    <w14:schemeClr w14:val="tx1"/>
                  </w14:solidFill>
                </w14:textFill>
              </w:rPr>
            </w:pPr>
          </w:p>
        </w:tc>
        <w:tc>
          <w:tcPr>
            <w:tcW w:w="705" w:type="dxa"/>
          </w:tcPr>
          <w:p>
            <w:pPr>
              <w:spacing w:line="400" w:lineRule="exact"/>
              <w:jc w:val="center"/>
              <w:rPr>
                <w:rFonts w:ascii="宋体" w:hAnsi="宋体" w:cs="宋体"/>
                <w:color w:val="000000" w:themeColor="text1"/>
                <w:kern w:val="0"/>
                <w:sz w:val="24"/>
                <w:szCs w:val="24"/>
                <w14:textFill>
                  <w14:solidFill>
                    <w14:schemeClr w14:val="tx1"/>
                  </w14:solidFill>
                </w14:textFill>
              </w:rPr>
            </w:pPr>
          </w:p>
        </w:tc>
        <w:tc>
          <w:tcPr>
            <w:tcW w:w="1435" w:type="dxa"/>
          </w:tcPr>
          <w:p>
            <w:pPr>
              <w:spacing w:line="400" w:lineRule="exact"/>
              <w:jc w:val="center"/>
              <w:rPr>
                <w:rFonts w:ascii="宋体" w:hAnsi="宋体" w:cs="宋体"/>
                <w:color w:val="000000" w:themeColor="text1"/>
                <w:kern w:val="0"/>
                <w:sz w:val="24"/>
                <w:szCs w:val="24"/>
                <w14:textFill>
                  <w14:solidFill>
                    <w14:schemeClr w14:val="tx1"/>
                  </w14:solidFill>
                </w14:textFill>
              </w:rPr>
            </w:pPr>
          </w:p>
        </w:tc>
        <w:tc>
          <w:tcPr>
            <w:tcW w:w="645" w:type="dxa"/>
          </w:tcPr>
          <w:p>
            <w:pPr>
              <w:spacing w:line="400" w:lineRule="exact"/>
              <w:rPr>
                <w:rFonts w:ascii="宋体" w:hAnsi="宋体" w:cs="宋体"/>
                <w:color w:val="000000" w:themeColor="text1"/>
                <w:kern w:val="0"/>
                <w:sz w:val="24"/>
                <w:szCs w:val="24"/>
                <w14:textFill>
                  <w14:solidFill>
                    <w14:schemeClr w14:val="tx1"/>
                  </w14:solidFill>
                </w14:textFill>
              </w:rPr>
            </w:pPr>
          </w:p>
          <w:p>
            <w:pPr>
              <w:spacing w:line="400" w:lineRule="exact"/>
              <w:jc w:val="center"/>
              <w:rPr>
                <w:rFonts w:ascii="宋体" w:hAnsi="宋体" w:cs="宋体"/>
                <w:color w:val="000000" w:themeColor="text1"/>
                <w:kern w:val="0"/>
                <w:sz w:val="24"/>
                <w:szCs w:val="24"/>
                <w14:textFill>
                  <w14:solidFill>
                    <w14:schemeClr w14:val="tx1"/>
                  </w14:solidFill>
                </w14:textFill>
              </w:rPr>
            </w:pPr>
          </w:p>
        </w:tc>
        <w:tc>
          <w:tcPr>
            <w:tcW w:w="2475" w:type="dxa"/>
            <w:vAlign w:val="center"/>
          </w:tcPr>
          <w:p>
            <w:pPr>
              <w:pStyle w:val="28"/>
              <w:snapToGrid w:val="0"/>
              <w:spacing w:line="360" w:lineRule="auto"/>
              <w:jc w:val="center"/>
              <w:rPr>
                <w:rFonts w:hAnsi="宋体" w:cs="宋体"/>
                <w:color w:val="000000" w:themeColor="text1"/>
                <w:sz w:val="24"/>
                <w:szCs w:val="24"/>
                <w:lang w:val="zh-CN"/>
                <w14:textFill>
                  <w14:solidFill>
                    <w14:schemeClr w14:val="tx1"/>
                  </w14:solidFill>
                </w14:textFill>
              </w:rPr>
            </w:pPr>
          </w:p>
        </w:tc>
        <w:tc>
          <w:tcPr>
            <w:tcW w:w="1470" w:type="dxa"/>
          </w:tcPr>
          <w:p>
            <w:pPr>
              <w:spacing w:line="400" w:lineRule="exact"/>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9" w:hRule="atLeast"/>
          <w:jc w:val="center"/>
        </w:trPr>
        <w:tc>
          <w:tcPr>
            <w:tcW w:w="787" w:type="dxa"/>
            <w:vAlign w:val="center"/>
          </w:tcPr>
          <w:p>
            <w:pPr>
              <w:widowControl/>
              <w:jc w:val="center"/>
              <w:rPr>
                <w:rFonts w:ascii="宋体" w:hAnsi="宋体" w:cs="宋体"/>
                <w:bCs/>
                <w:color w:val="000000"/>
                <w:sz w:val="24"/>
                <w:szCs w:val="24"/>
                <w:lang w:val="zh-CN"/>
              </w:rPr>
            </w:pPr>
            <w:r>
              <w:rPr>
                <w:rFonts w:hint="eastAsia" w:ascii="宋体" w:hAnsi="宋体" w:cs="宋体"/>
                <w:color w:val="000000"/>
                <w:kern w:val="0"/>
                <w:sz w:val="24"/>
                <w:shd w:val="clear" w:color="auto" w:fill="FFFFFF"/>
              </w:rPr>
              <w:t>环卫工人</w:t>
            </w:r>
          </w:p>
        </w:tc>
        <w:tc>
          <w:tcPr>
            <w:tcW w:w="675" w:type="dxa"/>
          </w:tcPr>
          <w:p>
            <w:pPr>
              <w:spacing w:line="400" w:lineRule="exact"/>
              <w:jc w:val="center"/>
              <w:rPr>
                <w:rFonts w:ascii="宋体" w:hAnsi="宋体" w:cs="Arial"/>
                <w:color w:val="000000" w:themeColor="text1"/>
                <w14:textFill>
                  <w14:solidFill>
                    <w14:schemeClr w14:val="tx1"/>
                  </w14:solidFill>
                </w14:textFill>
              </w:rPr>
            </w:pPr>
          </w:p>
        </w:tc>
        <w:tc>
          <w:tcPr>
            <w:tcW w:w="645" w:type="dxa"/>
          </w:tcPr>
          <w:p>
            <w:pPr>
              <w:spacing w:line="400" w:lineRule="exact"/>
              <w:jc w:val="center"/>
              <w:rPr>
                <w:rFonts w:ascii="宋体" w:hAnsi="宋体" w:cs="宋体"/>
                <w:color w:val="000000" w:themeColor="text1"/>
                <w:kern w:val="0"/>
                <w:sz w:val="24"/>
                <w:szCs w:val="24"/>
                <w14:textFill>
                  <w14:solidFill>
                    <w14:schemeClr w14:val="tx1"/>
                  </w14:solidFill>
                </w14:textFill>
              </w:rPr>
            </w:pPr>
          </w:p>
        </w:tc>
        <w:tc>
          <w:tcPr>
            <w:tcW w:w="705" w:type="dxa"/>
          </w:tcPr>
          <w:p>
            <w:pPr>
              <w:spacing w:line="400" w:lineRule="exact"/>
              <w:jc w:val="center"/>
              <w:rPr>
                <w:rFonts w:ascii="宋体" w:hAnsi="宋体" w:cs="宋体"/>
                <w:color w:val="000000" w:themeColor="text1"/>
                <w:kern w:val="0"/>
                <w:sz w:val="24"/>
                <w:szCs w:val="24"/>
                <w14:textFill>
                  <w14:solidFill>
                    <w14:schemeClr w14:val="tx1"/>
                  </w14:solidFill>
                </w14:textFill>
              </w:rPr>
            </w:pPr>
          </w:p>
        </w:tc>
        <w:tc>
          <w:tcPr>
            <w:tcW w:w="1435" w:type="dxa"/>
          </w:tcPr>
          <w:p>
            <w:pPr>
              <w:spacing w:line="400" w:lineRule="exact"/>
              <w:jc w:val="center"/>
              <w:rPr>
                <w:rFonts w:ascii="宋体" w:hAnsi="宋体" w:cs="宋体"/>
                <w:color w:val="000000" w:themeColor="text1"/>
                <w:kern w:val="0"/>
                <w:sz w:val="24"/>
                <w:szCs w:val="24"/>
                <w14:textFill>
                  <w14:solidFill>
                    <w14:schemeClr w14:val="tx1"/>
                  </w14:solidFill>
                </w14:textFill>
              </w:rPr>
            </w:pPr>
          </w:p>
        </w:tc>
        <w:tc>
          <w:tcPr>
            <w:tcW w:w="645" w:type="dxa"/>
          </w:tcPr>
          <w:p>
            <w:pPr>
              <w:spacing w:line="400" w:lineRule="exact"/>
              <w:jc w:val="center"/>
              <w:rPr>
                <w:rFonts w:ascii="宋体" w:hAnsi="宋体" w:cs="宋体"/>
                <w:color w:val="000000" w:themeColor="text1"/>
                <w:kern w:val="0"/>
                <w:sz w:val="24"/>
                <w:szCs w:val="24"/>
                <w14:textFill>
                  <w14:solidFill>
                    <w14:schemeClr w14:val="tx1"/>
                  </w14:solidFill>
                </w14:textFill>
              </w:rPr>
            </w:pPr>
          </w:p>
          <w:p>
            <w:pPr>
              <w:spacing w:line="400" w:lineRule="exact"/>
              <w:jc w:val="center"/>
              <w:rPr>
                <w:rFonts w:ascii="宋体" w:hAnsi="宋体" w:cs="宋体"/>
                <w:color w:val="000000" w:themeColor="text1"/>
                <w:kern w:val="0"/>
                <w:sz w:val="24"/>
                <w:szCs w:val="24"/>
                <w14:textFill>
                  <w14:solidFill>
                    <w14:schemeClr w14:val="tx1"/>
                  </w14:solidFill>
                </w14:textFill>
              </w:rPr>
            </w:pPr>
          </w:p>
        </w:tc>
        <w:tc>
          <w:tcPr>
            <w:tcW w:w="2475" w:type="dxa"/>
            <w:vAlign w:val="center"/>
          </w:tcPr>
          <w:p>
            <w:pPr>
              <w:widowControl/>
              <w:jc w:val="center"/>
              <w:rPr>
                <w:rFonts w:ascii="宋体" w:hAnsi="宋体" w:cs="宋体"/>
                <w:color w:val="000000" w:themeColor="text1"/>
                <w:kern w:val="0"/>
                <w:sz w:val="24"/>
                <w:szCs w:val="24"/>
                <w:lang w:val="zh-CN"/>
                <w14:textFill>
                  <w14:solidFill>
                    <w14:schemeClr w14:val="tx1"/>
                  </w14:solidFill>
                </w14:textFill>
              </w:rPr>
            </w:pPr>
          </w:p>
        </w:tc>
        <w:tc>
          <w:tcPr>
            <w:tcW w:w="1470" w:type="dxa"/>
          </w:tcPr>
          <w:p>
            <w:pPr>
              <w:spacing w:line="400" w:lineRule="exact"/>
              <w:jc w:val="center"/>
              <w:rPr>
                <w:color w:val="000000" w:themeColor="text1"/>
                <w14:textFill>
                  <w14:solidFill>
                    <w14:schemeClr w14:val="tx1"/>
                  </w14:solidFill>
                </w14:textFill>
              </w:rPr>
            </w:pPr>
          </w:p>
        </w:tc>
      </w:tr>
    </w:tbl>
    <w:p>
      <w:pPr>
        <w:pStyle w:val="8"/>
        <w:spacing w:line="360" w:lineRule="auto"/>
        <w:ind w:left="0" w:leftChars="0"/>
        <w:rPr>
          <w:rFonts w:ascii="宋体" w:hAnsi="宋体" w:cs="宋体"/>
          <w:bCs/>
          <w:sz w:val="28"/>
          <w:szCs w:val="28"/>
        </w:rPr>
      </w:pPr>
      <w:r>
        <w:rPr>
          <w:rFonts w:hint="eastAsia" w:ascii="宋体" w:hAnsi="宋体" w:cs="宋体"/>
          <w:b/>
          <w:bCs/>
          <w:color w:val="auto"/>
          <w:sz w:val="28"/>
          <w:szCs w:val="28"/>
        </w:rPr>
        <w:t>说明：1.此</w:t>
      </w:r>
      <w:r>
        <w:rPr>
          <w:rFonts w:hint="eastAsia" w:ascii="宋体" w:hAnsi="宋体" w:cs="宋体"/>
          <w:b/>
          <w:bCs/>
          <w:color w:val="auto"/>
          <w:sz w:val="28"/>
          <w:szCs w:val="28"/>
          <w:lang w:val="zh-CN"/>
        </w:rPr>
        <w:t>表</w:t>
      </w:r>
      <w:r>
        <w:rPr>
          <w:rFonts w:hint="eastAsia" w:ascii="宋体" w:hAnsi="宋体" w:cs="宋体"/>
          <w:b/>
          <w:bCs/>
          <w:color w:val="auto"/>
          <w:sz w:val="28"/>
          <w:szCs w:val="28"/>
        </w:rPr>
        <w:t>根</w:t>
      </w:r>
      <w:r>
        <w:rPr>
          <w:rFonts w:hint="eastAsia" w:ascii="宋体" w:hAnsi="宋体" w:cs="宋体"/>
          <w:b/>
          <w:bCs/>
          <w:sz w:val="28"/>
          <w:szCs w:val="28"/>
        </w:rPr>
        <w:t>据招标文件第四章4.2.2作业人员配置表及其备注中的要求予以响应并提供相应证明材料，如未提供相应证明材料，则视为未实质性响应。2.投标人可根据响应实际情况，对表格进行增减。</w:t>
      </w:r>
    </w:p>
    <w:p>
      <w:pPr>
        <w:pStyle w:val="8"/>
        <w:spacing w:line="360" w:lineRule="auto"/>
        <w:ind w:firstLine="288" w:firstLineChars="103"/>
        <w:rPr>
          <w:rFonts w:ascii="宋体" w:hAnsi="宋体" w:cs="宋体"/>
          <w:bCs/>
          <w:sz w:val="28"/>
          <w:szCs w:val="28"/>
        </w:rPr>
      </w:pPr>
      <w:r>
        <w:rPr>
          <w:rFonts w:hint="eastAsia" w:ascii="宋体" w:hAnsi="宋体" w:cs="宋体"/>
          <w:bCs/>
          <w:sz w:val="28"/>
          <w:szCs w:val="28"/>
        </w:rPr>
        <w:t>投标人名称：</w:t>
      </w:r>
      <w:r>
        <w:rPr>
          <w:rFonts w:hint="eastAsia" w:ascii="宋体" w:hAnsi="宋体" w:cs="宋体"/>
          <w:bCs/>
          <w:sz w:val="28"/>
          <w:szCs w:val="28"/>
          <w:u w:val="single"/>
        </w:rPr>
        <w:t>XXXX</w:t>
      </w:r>
    </w:p>
    <w:p>
      <w:pPr>
        <w:adjustRightInd w:val="0"/>
        <w:spacing w:line="400" w:lineRule="exact"/>
        <w:ind w:firstLine="700" w:firstLineChars="250"/>
        <w:jc w:val="left"/>
        <w:rPr>
          <w:rFonts w:ascii="宋体" w:hAnsi="宋体" w:cs="宋体"/>
          <w:bCs/>
          <w:sz w:val="28"/>
          <w:szCs w:val="28"/>
        </w:rPr>
      </w:pPr>
      <w:r>
        <w:rPr>
          <w:rFonts w:hint="eastAsia" w:ascii="宋体" w:hAnsi="宋体" w:cs="宋体"/>
          <w:sz w:val="28"/>
        </w:rPr>
        <w:t>日期：</w:t>
      </w:r>
      <w:r>
        <w:rPr>
          <w:rFonts w:hint="eastAsia" w:ascii="宋体" w:hAnsi="宋体" w:cs="宋体"/>
          <w:bCs/>
          <w:sz w:val="28"/>
        </w:rPr>
        <w:t>20</w:t>
      </w:r>
      <w:r>
        <w:rPr>
          <w:rFonts w:hint="eastAsia" w:ascii="宋体" w:hAnsi="宋体" w:cs="宋体"/>
          <w:sz w:val="28"/>
          <w:szCs w:val="28"/>
          <w:u w:val="single"/>
        </w:rPr>
        <w:t>X</w:t>
      </w:r>
      <w:r>
        <w:rPr>
          <w:rFonts w:hint="eastAsia" w:ascii="宋体" w:hAnsi="宋体" w:cs="宋体"/>
          <w:bCs/>
          <w:sz w:val="28"/>
          <w:u w:val="single"/>
        </w:rPr>
        <w:t>X</w:t>
      </w:r>
      <w:r>
        <w:rPr>
          <w:rFonts w:hint="eastAsia" w:ascii="宋体" w:hAnsi="宋体" w:cs="宋体"/>
          <w:bCs/>
          <w:sz w:val="28"/>
        </w:rPr>
        <w:t>年</w:t>
      </w:r>
      <w:r>
        <w:rPr>
          <w:rFonts w:hint="eastAsia" w:ascii="宋体" w:hAnsi="宋体" w:cs="宋体"/>
          <w:bCs/>
          <w:sz w:val="28"/>
          <w:u w:val="single"/>
        </w:rPr>
        <w:t>XX</w:t>
      </w:r>
      <w:r>
        <w:rPr>
          <w:rFonts w:hint="eastAsia" w:ascii="宋体" w:hAnsi="宋体" w:cs="宋体"/>
          <w:bCs/>
          <w:sz w:val="28"/>
          <w:szCs w:val="28"/>
        </w:rPr>
        <w:t>月</w:t>
      </w:r>
      <w:r>
        <w:rPr>
          <w:rFonts w:hint="eastAsia" w:ascii="宋体" w:hAnsi="宋体" w:cs="宋体"/>
          <w:bCs/>
          <w:sz w:val="28"/>
          <w:u w:val="single"/>
        </w:rPr>
        <w:t>XX</w:t>
      </w:r>
      <w:r>
        <w:rPr>
          <w:rFonts w:hint="eastAsia" w:ascii="宋体" w:hAnsi="宋体" w:cs="宋体"/>
          <w:bCs/>
          <w:sz w:val="28"/>
          <w:szCs w:val="28"/>
        </w:rPr>
        <w:t>日</w:t>
      </w:r>
    </w:p>
    <w:p>
      <w:pPr>
        <w:pStyle w:val="2"/>
        <w:rPr>
          <w:rFonts w:ascii="宋体" w:hAnsi="宋体" w:cs="宋体"/>
          <w:bCs/>
          <w:sz w:val="28"/>
          <w:szCs w:val="28"/>
        </w:rPr>
      </w:pPr>
    </w:p>
    <w:p>
      <w:pPr>
        <w:rPr>
          <w:rFonts w:ascii="宋体" w:hAnsi="宋体" w:cs="宋体"/>
          <w:bCs/>
          <w:sz w:val="28"/>
          <w:szCs w:val="28"/>
        </w:rPr>
      </w:pPr>
    </w:p>
    <w:p>
      <w:pPr>
        <w:pStyle w:val="2"/>
      </w:pPr>
    </w:p>
    <w:p>
      <w:pPr>
        <w:keepNext/>
        <w:keepLines/>
        <w:numPr>
          <w:ilvl w:val="2"/>
          <w:numId w:val="2"/>
        </w:numPr>
        <w:spacing w:line="360" w:lineRule="auto"/>
        <w:outlineLvl w:val="2"/>
        <w:rPr>
          <w:rFonts w:ascii="宋体" w:hAnsi="宋体" w:cs="宋体"/>
          <w:b/>
          <w:sz w:val="28"/>
          <w:szCs w:val="28"/>
        </w:rPr>
      </w:pPr>
      <w:r>
        <w:rPr>
          <w:rFonts w:hint="eastAsia" w:ascii="宋体" w:hAnsi="宋体" w:cs="宋体"/>
          <w:b/>
          <w:sz w:val="28"/>
          <w:szCs w:val="28"/>
        </w:rPr>
        <w:t>投标人类似项目业绩一览表</w:t>
      </w:r>
    </w:p>
    <w:p>
      <w:pPr>
        <w:pStyle w:val="2"/>
        <w:rPr>
          <w:rFonts w:ascii="宋体" w:hAnsi="宋体" w:cs="宋体"/>
          <w:b/>
          <w:sz w:val="28"/>
          <w:szCs w:val="28"/>
        </w:rPr>
      </w:pPr>
    </w:p>
    <w:p>
      <w:pPr>
        <w:pStyle w:val="15"/>
        <w:ind w:firstLine="180"/>
        <w:rPr>
          <w:rFonts w:ascii="宋体" w:hAnsi="宋体" w:cs="宋体"/>
        </w:rPr>
      </w:pPr>
    </w:p>
    <w:p>
      <w:pPr>
        <w:pStyle w:val="2"/>
        <w:rPr>
          <w:rFonts w:ascii="宋体" w:hAnsi="宋体" w:cs="宋体"/>
          <w:b/>
          <w:sz w:val="28"/>
          <w:szCs w:val="28"/>
        </w:rPr>
      </w:pPr>
    </w:p>
    <w:p>
      <w:pPr>
        <w:pStyle w:val="15"/>
        <w:ind w:firstLine="281"/>
        <w:rPr>
          <w:rFonts w:ascii="宋体" w:hAnsi="宋体" w:cs="宋体"/>
          <w:b/>
          <w:sz w:val="28"/>
          <w:szCs w:val="28"/>
        </w:rPr>
      </w:pPr>
    </w:p>
    <w:p>
      <w:pPr>
        <w:pStyle w:val="15"/>
        <w:ind w:firstLine="281"/>
        <w:rPr>
          <w:rFonts w:ascii="宋体" w:hAnsi="宋体" w:cs="宋体"/>
          <w:b/>
          <w:sz w:val="28"/>
          <w:szCs w:val="28"/>
        </w:rPr>
      </w:pPr>
    </w:p>
    <w:p>
      <w:pPr>
        <w:pStyle w:val="15"/>
        <w:ind w:firstLine="281"/>
        <w:rPr>
          <w:rFonts w:ascii="宋体" w:hAnsi="宋体" w:cs="宋体"/>
          <w:b/>
          <w:sz w:val="28"/>
          <w:szCs w:val="28"/>
        </w:rPr>
      </w:pPr>
    </w:p>
    <w:p>
      <w:pPr>
        <w:jc w:val="center"/>
        <w:rPr>
          <w:rFonts w:ascii="宋体" w:hAnsi="宋体" w:cs="宋体"/>
          <w:b/>
          <w:kern w:val="0"/>
          <w:sz w:val="32"/>
          <w:szCs w:val="28"/>
        </w:rPr>
      </w:pPr>
      <w:r>
        <w:rPr>
          <w:rFonts w:hint="eastAsia" w:ascii="宋体" w:hAnsi="宋体" w:cs="宋体"/>
          <w:b/>
          <w:kern w:val="0"/>
          <w:sz w:val="32"/>
          <w:szCs w:val="28"/>
        </w:rPr>
        <w:t>（具体内容由各投标人自拟）</w:t>
      </w:r>
    </w:p>
    <w:p>
      <w:pPr>
        <w:pStyle w:val="15"/>
        <w:ind w:firstLine="281"/>
        <w:rPr>
          <w:rFonts w:ascii="宋体" w:hAnsi="宋体" w:cs="宋体"/>
          <w:b/>
          <w:sz w:val="28"/>
          <w:szCs w:val="28"/>
        </w:rPr>
      </w:pPr>
    </w:p>
    <w:p>
      <w:pPr>
        <w:pStyle w:val="15"/>
        <w:ind w:firstLine="281"/>
        <w:rPr>
          <w:rFonts w:ascii="宋体" w:hAnsi="宋体" w:cs="宋体"/>
          <w:b/>
          <w:sz w:val="28"/>
          <w:szCs w:val="28"/>
        </w:rPr>
      </w:pPr>
    </w:p>
    <w:p>
      <w:pPr>
        <w:pStyle w:val="15"/>
        <w:ind w:firstLine="281"/>
        <w:rPr>
          <w:rFonts w:ascii="宋体" w:hAnsi="宋体" w:cs="宋体"/>
          <w:b/>
          <w:sz w:val="28"/>
          <w:szCs w:val="28"/>
        </w:rPr>
      </w:pPr>
    </w:p>
    <w:p>
      <w:pPr>
        <w:pStyle w:val="15"/>
        <w:ind w:firstLine="281"/>
        <w:rPr>
          <w:rFonts w:ascii="宋体" w:hAnsi="宋体" w:cs="宋体"/>
          <w:b/>
          <w:sz w:val="28"/>
          <w:szCs w:val="28"/>
        </w:rPr>
      </w:pPr>
    </w:p>
    <w:p>
      <w:pPr>
        <w:pStyle w:val="15"/>
        <w:ind w:firstLine="281"/>
        <w:rPr>
          <w:rFonts w:ascii="宋体" w:hAnsi="宋体" w:cs="宋体"/>
          <w:b/>
          <w:sz w:val="28"/>
          <w:szCs w:val="28"/>
        </w:rPr>
      </w:pPr>
    </w:p>
    <w:p>
      <w:pPr>
        <w:pStyle w:val="15"/>
        <w:ind w:firstLine="281"/>
        <w:rPr>
          <w:rFonts w:ascii="宋体" w:hAnsi="宋体" w:cs="宋体"/>
          <w:b/>
          <w:sz w:val="28"/>
          <w:szCs w:val="28"/>
        </w:rPr>
      </w:pPr>
    </w:p>
    <w:p>
      <w:pPr>
        <w:pStyle w:val="15"/>
        <w:ind w:firstLine="281"/>
        <w:rPr>
          <w:rFonts w:ascii="宋体" w:hAnsi="宋体" w:cs="宋体"/>
          <w:b/>
          <w:sz w:val="28"/>
          <w:szCs w:val="28"/>
        </w:rPr>
      </w:pPr>
    </w:p>
    <w:p>
      <w:pPr>
        <w:pStyle w:val="15"/>
        <w:ind w:firstLine="281"/>
        <w:rPr>
          <w:rFonts w:ascii="宋体" w:hAnsi="宋体" w:cs="宋体"/>
          <w:b/>
          <w:sz w:val="28"/>
          <w:szCs w:val="28"/>
        </w:rPr>
      </w:pPr>
    </w:p>
    <w:p>
      <w:pPr>
        <w:pStyle w:val="15"/>
        <w:ind w:firstLine="281"/>
        <w:rPr>
          <w:rFonts w:ascii="宋体" w:hAnsi="宋体" w:cs="宋体"/>
          <w:b/>
          <w:sz w:val="28"/>
          <w:szCs w:val="28"/>
        </w:rPr>
      </w:pPr>
    </w:p>
    <w:p>
      <w:pPr>
        <w:pStyle w:val="15"/>
        <w:ind w:firstLine="0" w:firstLineChars="0"/>
        <w:rPr>
          <w:rFonts w:ascii="宋体" w:hAnsi="宋体" w:cs="宋体"/>
          <w:b/>
          <w:sz w:val="28"/>
          <w:szCs w:val="28"/>
        </w:rPr>
      </w:pPr>
    </w:p>
    <w:p>
      <w:pPr>
        <w:pStyle w:val="4"/>
        <w:spacing w:after="0"/>
        <w:rPr>
          <w:color w:val="auto"/>
        </w:rPr>
      </w:pPr>
      <w:r>
        <w:rPr>
          <w:rFonts w:hint="eastAsia"/>
          <w:color w:val="auto"/>
        </w:rPr>
        <w:t>本项目要求提供的其他资格性检查、符合性检查相关证明材料</w:t>
      </w:r>
    </w:p>
    <w:p>
      <w:pPr>
        <w:jc w:val="center"/>
        <w:rPr>
          <w:rFonts w:ascii="宋体" w:hAnsi="宋体" w:cs="宋体"/>
          <w:b/>
          <w:kern w:val="0"/>
          <w:sz w:val="32"/>
          <w:szCs w:val="28"/>
        </w:rPr>
      </w:pPr>
    </w:p>
    <w:p>
      <w:pPr>
        <w:jc w:val="center"/>
        <w:rPr>
          <w:rFonts w:ascii="宋体" w:hAnsi="宋体" w:cs="宋体"/>
          <w:b/>
          <w:kern w:val="0"/>
          <w:sz w:val="32"/>
          <w:szCs w:val="28"/>
        </w:rPr>
      </w:pPr>
    </w:p>
    <w:p>
      <w:pPr>
        <w:jc w:val="center"/>
        <w:rPr>
          <w:rFonts w:ascii="宋体" w:hAnsi="宋体" w:cs="宋体"/>
          <w:b/>
          <w:kern w:val="0"/>
          <w:sz w:val="32"/>
          <w:szCs w:val="28"/>
        </w:rPr>
      </w:pPr>
    </w:p>
    <w:p>
      <w:pPr>
        <w:jc w:val="center"/>
        <w:rPr>
          <w:rFonts w:ascii="宋体" w:hAnsi="宋体" w:cs="宋体"/>
          <w:b/>
          <w:kern w:val="0"/>
          <w:sz w:val="32"/>
          <w:szCs w:val="28"/>
        </w:rPr>
      </w:pPr>
    </w:p>
    <w:p>
      <w:pPr>
        <w:jc w:val="center"/>
        <w:rPr>
          <w:rFonts w:ascii="宋体" w:hAnsi="宋体" w:cs="宋体"/>
          <w:b/>
          <w:kern w:val="0"/>
          <w:sz w:val="32"/>
          <w:szCs w:val="28"/>
        </w:rPr>
      </w:pPr>
    </w:p>
    <w:p>
      <w:pPr>
        <w:pStyle w:val="2"/>
        <w:ind w:firstLine="2249" w:firstLineChars="700"/>
        <w:rPr>
          <w:rFonts w:ascii="宋体" w:hAnsi="宋体" w:cs="宋体"/>
          <w:b/>
          <w:kern w:val="0"/>
          <w:sz w:val="32"/>
          <w:szCs w:val="28"/>
        </w:rPr>
      </w:pPr>
      <w:r>
        <w:rPr>
          <w:rFonts w:hint="eastAsia" w:ascii="宋体" w:hAnsi="宋体" w:cs="宋体"/>
          <w:b/>
          <w:kern w:val="0"/>
          <w:sz w:val="32"/>
          <w:szCs w:val="28"/>
        </w:rPr>
        <w:t>关于本项目需要提供的相关承诺函</w:t>
      </w:r>
    </w:p>
    <w:p>
      <w:pPr>
        <w:ind w:firstLine="1928" w:firstLineChars="600"/>
        <w:rPr>
          <w:rFonts w:ascii="宋体" w:hAnsi="宋体" w:cs="宋体"/>
          <w:b/>
          <w:kern w:val="0"/>
          <w:sz w:val="32"/>
          <w:szCs w:val="28"/>
        </w:rPr>
      </w:pPr>
      <w:r>
        <w:rPr>
          <w:rFonts w:hint="eastAsia" w:ascii="宋体" w:hAnsi="宋体" w:cs="宋体"/>
          <w:b/>
          <w:kern w:val="0"/>
          <w:sz w:val="32"/>
          <w:szCs w:val="28"/>
        </w:rPr>
        <w:t>（具体内容、格式由各投标人自拟）</w:t>
      </w:r>
    </w:p>
    <w:p>
      <w:pPr>
        <w:spacing w:line="360" w:lineRule="auto"/>
        <w:rPr>
          <w:rFonts w:ascii="宋体" w:hAnsi="宋体" w:cs="宋体"/>
          <w:sz w:val="28"/>
        </w:rPr>
      </w:pPr>
    </w:p>
    <w:p>
      <w:pPr>
        <w:spacing w:line="360" w:lineRule="auto"/>
        <w:rPr>
          <w:rFonts w:ascii="宋体" w:hAnsi="宋体" w:cs="宋体"/>
          <w:sz w:val="28"/>
        </w:rPr>
      </w:pPr>
    </w:p>
    <w:p>
      <w:pPr>
        <w:spacing w:line="360" w:lineRule="auto"/>
        <w:rPr>
          <w:rFonts w:ascii="宋体" w:hAnsi="宋体" w:cs="宋体"/>
          <w:sz w:val="28"/>
        </w:rPr>
      </w:pPr>
    </w:p>
    <w:p>
      <w:pPr>
        <w:pStyle w:val="2"/>
        <w:rPr>
          <w:rFonts w:ascii="宋体" w:hAnsi="宋体" w:cs="宋体"/>
          <w:sz w:val="28"/>
        </w:rPr>
      </w:pPr>
    </w:p>
    <w:p>
      <w:pPr>
        <w:pStyle w:val="15"/>
        <w:ind w:firstLine="280"/>
        <w:rPr>
          <w:rFonts w:ascii="宋体" w:hAnsi="宋体" w:cs="宋体"/>
          <w:sz w:val="28"/>
        </w:rPr>
      </w:pPr>
    </w:p>
    <w:p>
      <w:pPr>
        <w:pStyle w:val="15"/>
        <w:ind w:firstLine="280"/>
        <w:rPr>
          <w:rFonts w:ascii="宋体" w:hAnsi="宋体" w:cs="宋体"/>
          <w:sz w:val="28"/>
        </w:rPr>
      </w:pPr>
    </w:p>
    <w:p>
      <w:pPr>
        <w:pStyle w:val="15"/>
        <w:ind w:firstLine="280"/>
        <w:rPr>
          <w:rFonts w:ascii="宋体" w:hAnsi="宋体" w:cs="宋体"/>
          <w:sz w:val="28"/>
        </w:rPr>
      </w:pPr>
    </w:p>
    <w:p>
      <w:pPr>
        <w:pStyle w:val="15"/>
        <w:ind w:firstLine="280"/>
        <w:rPr>
          <w:rFonts w:ascii="宋体" w:hAnsi="宋体" w:cs="宋体"/>
          <w:sz w:val="28"/>
        </w:rPr>
      </w:pPr>
    </w:p>
    <w:p>
      <w:pPr>
        <w:pStyle w:val="15"/>
        <w:ind w:firstLine="0" w:firstLineChars="0"/>
        <w:rPr>
          <w:rFonts w:ascii="宋体" w:hAnsi="宋体" w:cs="宋体"/>
          <w:sz w:val="28"/>
        </w:rPr>
      </w:pPr>
    </w:p>
    <w:p>
      <w:pPr>
        <w:pStyle w:val="4"/>
        <w:spacing w:after="0"/>
        <w:rPr>
          <w:color w:val="auto"/>
        </w:rPr>
      </w:pPr>
      <w:bookmarkStart w:id="146" w:name="_Toc514319662"/>
      <w:bookmarkStart w:id="147" w:name="_Toc22568"/>
      <w:r>
        <w:rPr>
          <w:rFonts w:hint="eastAsia"/>
          <w:color w:val="auto"/>
        </w:rPr>
        <w:t>其他投标人认为需要提供的文件和资料</w:t>
      </w:r>
      <w:bookmarkEnd w:id="146"/>
      <w:bookmarkEnd w:id="147"/>
    </w:p>
    <w:p>
      <w:pPr>
        <w:rPr>
          <w:rFonts w:ascii="宋体" w:hAnsi="宋体" w:cs="宋体"/>
        </w:rPr>
      </w:pPr>
    </w:p>
    <w:p>
      <w:pPr>
        <w:pStyle w:val="2"/>
        <w:ind w:firstLine="1606" w:firstLineChars="500"/>
        <w:rPr>
          <w:rFonts w:ascii="宋体" w:hAnsi="宋体" w:cs="宋体"/>
          <w:b/>
          <w:kern w:val="0"/>
          <w:sz w:val="32"/>
          <w:szCs w:val="28"/>
        </w:rPr>
      </w:pPr>
    </w:p>
    <w:p>
      <w:pPr>
        <w:pStyle w:val="2"/>
        <w:ind w:firstLine="1606" w:firstLineChars="500"/>
        <w:rPr>
          <w:rFonts w:ascii="宋体" w:hAnsi="宋体" w:cs="宋体"/>
          <w:b/>
          <w:kern w:val="0"/>
          <w:sz w:val="32"/>
          <w:szCs w:val="28"/>
        </w:rPr>
      </w:pPr>
    </w:p>
    <w:p>
      <w:pPr>
        <w:rPr>
          <w:rFonts w:ascii="宋体" w:hAnsi="宋体" w:cs="宋体"/>
        </w:rPr>
      </w:pPr>
      <w:r>
        <w:rPr>
          <w:rFonts w:hint="eastAsia" w:ascii="宋体" w:hAnsi="宋体" w:cs="宋体"/>
          <w:b/>
          <w:kern w:val="0"/>
          <w:sz w:val="32"/>
          <w:szCs w:val="28"/>
        </w:rPr>
        <w:t xml:space="preserve"> </w:t>
      </w:r>
    </w:p>
    <w:p>
      <w:pPr>
        <w:ind w:firstLine="1928" w:firstLineChars="600"/>
        <w:rPr>
          <w:rFonts w:ascii="宋体" w:hAnsi="宋体" w:cs="宋体"/>
          <w:b/>
          <w:kern w:val="0"/>
          <w:sz w:val="32"/>
          <w:szCs w:val="28"/>
        </w:rPr>
      </w:pPr>
      <w:r>
        <w:rPr>
          <w:rFonts w:hint="eastAsia" w:ascii="宋体" w:hAnsi="宋体" w:cs="宋体"/>
          <w:b/>
          <w:kern w:val="0"/>
          <w:sz w:val="32"/>
          <w:szCs w:val="28"/>
        </w:rPr>
        <w:t>（具体内容、格式由各投标人自拟）</w:t>
      </w:r>
    </w:p>
    <w:p>
      <w:pPr>
        <w:pStyle w:val="15"/>
        <w:ind w:firstLine="280"/>
        <w:rPr>
          <w:rFonts w:ascii="宋体" w:hAnsi="宋体" w:cs="宋体"/>
          <w:sz w:val="28"/>
        </w:rPr>
      </w:pPr>
    </w:p>
    <w:p>
      <w:pPr>
        <w:pStyle w:val="15"/>
        <w:ind w:firstLine="280"/>
        <w:rPr>
          <w:rFonts w:ascii="宋体" w:hAnsi="宋体" w:cs="宋体"/>
          <w:sz w:val="28"/>
        </w:rPr>
      </w:pPr>
    </w:p>
    <w:p>
      <w:pPr>
        <w:pStyle w:val="15"/>
        <w:ind w:firstLine="280"/>
        <w:rPr>
          <w:rFonts w:ascii="宋体" w:hAnsi="宋体" w:cs="宋体"/>
          <w:sz w:val="28"/>
        </w:rPr>
      </w:pPr>
    </w:p>
    <w:p>
      <w:pPr>
        <w:pStyle w:val="15"/>
        <w:ind w:firstLine="280"/>
        <w:rPr>
          <w:rFonts w:ascii="宋体" w:hAnsi="宋体" w:cs="宋体"/>
          <w:sz w:val="28"/>
        </w:rPr>
      </w:pPr>
    </w:p>
    <w:p>
      <w:pPr>
        <w:pStyle w:val="15"/>
        <w:ind w:firstLine="280"/>
        <w:rPr>
          <w:rFonts w:ascii="宋体" w:hAnsi="宋体" w:cs="宋体"/>
          <w:sz w:val="28"/>
        </w:rPr>
      </w:pPr>
    </w:p>
    <w:p>
      <w:pPr>
        <w:pStyle w:val="15"/>
        <w:ind w:firstLine="280"/>
        <w:rPr>
          <w:rFonts w:ascii="宋体" w:hAnsi="宋体" w:cs="宋体"/>
          <w:sz w:val="28"/>
        </w:rPr>
      </w:pPr>
    </w:p>
    <w:p>
      <w:pPr>
        <w:pStyle w:val="15"/>
        <w:ind w:firstLine="280"/>
        <w:rPr>
          <w:rFonts w:ascii="宋体" w:hAnsi="宋体" w:cs="宋体"/>
          <w:sz w:val="28"/>
        </w:rPr>
      </w:pPr>
    </w:p>
    <w:p>
      <w:pPr>
        <w:pStyle w:val="15"/>
        <w:ind w:firstLine="280"/>
        <w:rPr>
          <w:rFonts w:ascii="宋体" w:hAnsi="宋体" w:cs="宋体"/>
          <w:sz w:val="28"/>
        </w:rPr>
      </w:pPr>
    </w:p>
    <w:p>
      <w:pPr>
        <w:pStyle w:val="15"/>
        <w:ind w:firstLine="280"/>
        <w:rPr>
          <w:rFonts w:ascii="宋体" w:hAnsi="宋体" w:cs="宋体"/>
          <w:sz w:val="28"/>
        </w:rPr>
      </w:pPr>
    </w:p>
    <w:p>
      <w:pPr>
        <w:pStyle w:val="15"/>
        <w:ind w:firstLine="280"/>
        <w:rPr>
          <w:rFonts w:ascii="宋体" w:hAnsi="宋体" w:cs="宋体"/>
          <w:sz w:val="28"/>
        </w:rPr>
      </w:pPr>
    </w:p>
    <w:p>
      <w:pPr>
        <w:pStyle w:val="15"/>
        <w:ind w:firstLine="280"/>
        <w:rPr>
          <w:rFonts w:ascii="宋体" w:hAnsi="宋体" w:cs="宋体"/>
          <w:sz w:val="28"/>
        </w:rPr>
      </w:pPr>
    </w:p>
    <w:p>
      <w:pPr>
        <w:pStyle w:val="15"/>
        <w:ind w:firstLine="280"/>
        <w:rPr>
          <w:rFonts w:ascii="宋体" w:hAnsi="宋体" w:cs="宋体"/>
          <w:sz w:val="28"/>
        </w:rPr>
      </w:pPr>
    </w:p>
    <w:p>
      <w:pPr>
        <w:pStyle w:val="15"/>
        <w:ind w:firstLine="280"/>
        <w:rPr>
          <w:rFonts w:ascii="宋体" w:hAnsi="宋体" w:cs="宋体"/>
          <w:sz w:val="28"/>
        </w:rPr>
      </w:pPr>
    </w:p>
    <w:p>
      <w:pPr>
        <w:keepNext/>
        <w:keepLines/>
        <w:numPr>
          <w:ilvl w:val="1"/>
          <w:numId w:val="2"/>
        </w:numPr>
        <w:spacing w:line="360" w:lineRule="auto"/>
        <w:jc w:val="left"/>
        <w:outlineLvl w:val="1"/>
        <w:rPr>
          <w:rFonts w:ascii="宋体" w:hAnsi="宋体" w:cs="宋体"/>
          <w:sz w:val="28"/>
        </w:rPr>
      </w:pPr>
      <w:bookmarkStart w:id="148" w:name="_Toc23703"/>
      <w:r>
        <w:rPr>
          <w:rFonts w:hint="eastAsia" w:ascii="宋体" w:hAnsi="宋体" w:cs="宋体"/>
          <w:b/>
          <w:bCs/>
          <w:sz w:val="28"/>
        </w:rPr>
        <w:t>报价响应文件</w:t>
      </w:r>
      <w:bookmarkEnd w:id="148"/>
    </w:p>
    <w:bookmarkEnd w:id="145"/>
    <w:p>
      <w:pPr>
        <w:keepNext/>
        <w:keepLines/>
        <w:numPr>
          <w:ilvl w:val="2"/>
          <w:numId w:val="2"/>
        </w:numPr>
        <w:spacing w:line="360" w:lineRule="auto"/>
        <w:ind w:left="3119" w:hanging="3119"/>
        <w:outlineLvl w:val="2"/>
        <w:rPr>
          <w:rFonts w:ascii="宋体" w:hAnsi="宋体" w:cs="宋体"/>
        </w:rPr>
      </w:pPr>
      <w:bookmarkStart w:id="149" w:name="_Toc217446093"/>
      <w:bookmarkStart w:id="150" w:name="_Toc321382057"/>
      <w:bookmarkStart w:id="151" w:name="_Toc316292231"/>
      <w:r>
        <w:rPr>
          <w:rFonts w:hint="eastAsia" w:ascii="宋体" w:hAnsi="宋体" w:cs="宋体"/>
          <w:b/>
          <w:bCs/>
          <w:sz w:val="28"/>
          <w:szCs w:val="28"/>
        </w:rPr>
        <w:t>开标一览表</w:t>
      </w:r>
    </w:p>
    <w:p>
      <w:pPr>
        <w:snapToGrid w:val="0"/>
        <w:spacing w:line="500" w:lineRule="exact"/>
        <w:ind w:left="1445" w:right="-57" w:rightChars="-27" w:hanging="1445" w:hangingChars="514"/>
        <w:rPr>
          <w:rFonts w:ascii="宋体" w:hAnsi="宋体" w:cs="宋体"/>
          <w:b/>
          <w:sz w:val="28"/>
          <w:u w:val="single"/>
        </w:rPr>
      </w:pPr>
      <w:r>
        <w:rPr>
          <w:rFonts w:hint="eastAsia" w:ascii="宋体" w:hAnsi="宋体" w:cs="宋体"/>
          <w:b/>
          <w:sz w:val="28"/>
        </w:rPr>
        <w:t>项目名称：</w:t>
      </w:r>
      <w:r>
        <w:rPr>
          <w:rFonts w:hint="eastAsia" w:ascii="宋体" w:hAnsi="宋体" w:cs="宋体"/>
          <w:b/>
          <w:sz w:val="28"/>
          <w:u w:val="single"/>
        </w:rPr>
        <w:t>成都市双流区人民政府怡心街道办事处生活垃圾清运服务采购项目</w:t>
      </w:r>
    </w:p>
    <w:p>
      <w:pPr>
        <w:snapToGrid w:val="0"/>
        <w:spacing w:line="500" w:lineRule="exact"/>
        <w:ind w:left="1445" w:right="-57" w:rightChars="-27" w:hanging="1445" w:hangingChars="514"/>
        <w:rPr>
          <w:rFonts w:ascii="宋体" w:hAnsi="宋体" w:cs="宋体"/>
          <w:b/>
          <w:bCs/>
          <w:sz w:val="28"/>
          <w:u w:val="single"/>
        </w:rPr>
      </w:pPr>
      <w:r>
        <w:rPr>
          <w:rFonts w:hint="eastAsia" w:ascii="宋体" w:hAnsi="宋体" w:cs="宋体"/>
          <w:b/>
          <w:bCs/>
          <w:sz w:val="28"/>
        </w:rPr>
        <w:t>项目编号：</w:t>
      </w:r>
      <w:r>
        <w:rPr>
          <w:rFonts w:hint="eastAsia" w:ascii="宋体" w:hAnsi="宋体" w:cs="宋体"/>
          <w:b/>
          <w:bCs/>
          <w:sz w:val="28"/>
          <w:u w:val="single"/>
        </w:rPr>
        <w:t>双流政采（2021）A0118号</w:t>
      </w:r>
    </w:p>
    <w:tbl>
      <w:tblPr>
        <w:tblStyle w:val="16"/>
        <w:tblW w:w="80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5104"/>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sz w:val="28"/>
                <w:szCs w:val="28"/>
              </w:rPr>
            </w:pPr>
            <w:r>
              <w:rPr>
                <w:rFonts w:hint="eastAsia" w:ascii="宋体" w:hAnsi="宋体" w:cs="宋体"/>
                <w:b/>
                <w:sz w:val="28"/>
                <w:szCs w:val="28"/>
              </w:rPr>
              <w:t>序号</w:t>
            </w:r>
          </w:p>
        </w:tc>
        <w:tc>
          <w:tcPr>
            <w:tcW w:w="51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sz w:val="28"/>
                <w:szCs w:val="28"/>
              </w:rPr>
            </w:pPr>
            <w:r>
              <w:rPr>
                <w:rFonts w:hint="eastAsia" w:ascii="宋体" w:hAnsi="宋体" w:cs="宋体"/>
                <w:b/>
                <w:sz w:val="28"/>
                <w:szCs w:val="28"/>
              </w:rPr>
              <w:t>服务内容</w:t>
            </w:r>
          </w:p>
        </w:tc>
        <w:tc>
          <w:tcPr>
            <w:tcW w:w="21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sz w:val="28"/>
                <w:szCs w:val="28"/>
              </w:rPr>
            </w:pPr>
            <w:r>
              <w:rPr>
                <w:rFonts w:hint="eastAsia" w:ascii="宋体" w:hAnsi="宋体" w:cs="宋体"/>
                <w:b/>
                <w:sz w:val="28"/>
                <w:szCs w:val="28"/>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8"/>
                <w:szCs w:val="28"/>
              </w:rPr>
            </w:pPr>
            <w:r>
              <w:rPr>
                <w:rFonts w:hint="eastAsia" w:ascii="宋体" w:hAnsi="宋体" w:cs="宋体"/>
                <w:b/>
                <w:sz w:val="28"/>
                <w:szCs w:val="28"/>
              </w:rPr>
              <w:t>1</w:t>
            </w:r>
          </w:p>
        </w:tc>
        <w:tc>
          <w:tcPr>
            <w:tcW w:w="510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 w:val="28"/>
                <w:szCs w:val="24"/>
              </w:rPr>
            </w:pPr>
            <w:r>
              <w:rPr>
                <w:rFonts w:hint="eastAsia" w:ascii="宋体" w:hAnsi="宋体" w:cs="宋体"/>
                <w:bCs/>
                <w:sz w:val="28"/>
                <w:szCs w:val="28"/>
              </w:rPr>
              <w:t>成都市双流区人民政府怡心街道办事处生活垃圾清运项目</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8"/>
                <w:u w:val="single"/>
              </w:rPr>
            </w:pPr>
            <w:r>
              <w:rPr>
                <w:rFonts w:hint="eastAsia" w:ascii="宋体" w:hAnsi="宋体" w:cs="宋体"/>
                <w:sz w:val="28"/>
                <w:u w:val="single"/>
              </w:rPr>
              <w:t>XXXX</w:t>
            </w:r>
            <w:r>
              <w:rPr>
                <w:rFonts w:hint="eastAsia" w:ascii="宋体" w:hAnsi="宋体" w:cs="宋体"/>
                <w:sz w:val="28"/>
              </w:rPr>
              <w:t>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595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8"/>
                <w:u w:val="single"/>
              </w:rPr>
            </w:pPr>
            <w:r>
              <w:rPr>
                <w:rFonts w:hint="eastAsia" w:ascii="宋体" w:hAnsi="宋体" w:cs="宋体"/>
                <w:b/>
                <w:sz w:val="28"/>
                <w:szCs w:val="28"/>
              </w:rPr>
              <w:t>投标报价</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8"/>
                <w:u w:val="single"/>
              </w:rPr>
            </w:pPr>
            <w:r>
              <w:rPr>
                <w:rFonts w:hint="eastAsia" w:ascii="宋体" w:hAnsi="宋体" w:cs="宋体"/>
                <w:sz w:val="28"/>
                <w:u w:val="single"/>
              </w:rPr>
              <w:t>XXXX</w:t>
            </w:r>
            <w:r>
              <w:rPr>
                <w:rFonts w:hint="eastAsia" w:ascii="宋体" w:hAnsi="宋体" w:cs="宋体"/>
                <w:sz w:val="28"/>
              </w:rPr>
              <w:t>元/年</w:t>
            </w:r>
          </w:p>
        </w:tc>
      </w:tr>
    </w:tbl>
    <w:p>
      <w:pPr>
        <w:spacing w:line="360" w:lineRule="auto"/>
        <w:ind w:firstLine="689" w:firstLineChars="245"/>
        <w:rPr>
          <w:rFonts w:ascii="宋体" w:hAnsi="宋体" w:cs="宋体"/>
          <w:b/>
          <w:sz w:val="28"/>
          <w:szCs w:val="28"/>
          <w:u w:val="single"/>
        </w:rPr>
      </w:pPr>
      <w:r>
        <w:rPr>
          <w:rFonts w:hint="eastAsia" w:ascii="宋体" w:hAnsi="宋体" w:cs="宋体"/>
          <w:b/>
          <w:sz w:val="28"/>
          <w:szCs w:val="28"/>
        </w:rPr>
        <w:t>投标报价（大写:人民币</w:t>
      </w:r>
      <w:r>
        <w:rPr>
          <w:rFonts w:hint="eastAsia" w:ascii="宋体" w:hAnsi="宋体" w:cs="宋体"/>
          <w:b/>
          <w:sz w:val="28"/>
          <w:szCs w:val="28"/>
          <w:u w:val="single"/>
        </w:rPr>
        <w:t>XXXX元/年</w:t>
      </w:r>
      <w:r>
        <w:rPr>
          <w:rFonts w:hint="eastAsia" w:ascii="宋体" w:hAnsi="宋体" w:cs="宋体"/>
          <w:b/>
          <w:sz w:val="28"/>
          <w:szCs w:val="28"/>
        </w:rPr>
        <w:t>）</w:t>
      </w:r>
    </w:p>
    <w:p>
      <w:pPr>
        <w:pStyle w:val="8"/>
        <w:ind w:right="210" w:firstLine="285" w:firstLineChars="102"/>
        <w:rPr>
          <w:rFonts w:ascii="宋体" w:hAnsi="宋体" w:cs="宋体"/>
          <w:bCs/>
          <w:sz w:val="28"/>
          <w:szCs w:val="28"/>
        </w:rPr>
      </w:pPr>
      <w:r>
        <w:rPr>
          <w:rFonts w:hint="eastAsia" w:ascii="宋体" w:hAnsi="宋体" w:cs="宋体"/>
          <w:bCs/>
          <w:sz w:val="28"/>
          <w:szCs w:val="28"/>
        </w:rPr>
        <w:t>投标人名称：</w:t>
      </w:r>
      <w:r>
        <w:rPr>
          <w:rFonts w:hint="eastAsia" w:ascii="宋体" w:hAnsi="宋体" w:cs="宋体"/>
          <w:bCs/>
          <w:sz w:val="28"/>
          <w:szCs w:val="28"/>
          <w:u w:val="single"/>
        </w:rPr>
        <w:t>XXXX</w:t>
      </w:r>
    </w:p>
    <w:p>
      <w:pPr>
        <w:pStyle w:val="8"/>
        <w:ind w:right="210" w:firstLine="285" w:firstLineChars="102"/>
        <w:rPr>
          <w:rFonts w:ascii="宋体" w:hAnsi="宋体" w:cs="宋体"/>
          <w:bCs/>
          <w:sz w:val="28"/>
          <w:szCs w:val="28"/>
        </w:rPr>
      </w:pPr>
      <w:r>
        <w:rPr>
          <w:rFonts w:hint="eastAsia" w:ascii="宋体" w:hAnsi="宋体" w:cs="宋体"/>
          <w:bCs/>
          <w:sz w:val="28"/>
          <w:szCs w:val="28"/>
        </w:rPr>
        <w:t>日期：20</w:t>
      </w:r>
      <w:r>
        <w:rPr>
          <w:rFonts w:hint="eastAsia" w:ascii="宋体" w:hAnsi="宋体" w:cs="宋体"/>
          <w:sz w:val="28"/>
          <w:szCs w:val="28"/>
          <w:u w:val="single"/>
        </w:rPr>
        <w:t>X</w:t>
      </w:r>
      <w:r>
        <w:rPr>
          <w:rFonts w:hint="eastAsia" w:ascii="宋体" w:hAnsi="宋体" w:cs="宋体"/>
          <w:bCs/>
          <w:sz w:val="28"/>
          <w:szCs w:val="28"/>
          <w:u w:val="single"/>
        </w:rPr>
        <w:t>X</w:t>
      </w:r>
      <w:r>
        <w:rPr>
          <w:rFonts w:hint="eastAsia" w:ascii="宋体" w:hAnsi="宋体" w:cs="宋体"/>
          <w:bCs/>
          <w:sz w:val="28"/>
          <w:szCs w:val="28"/>
        </w:rPr>
        <w:t>年</w:t>
      </w:r>
      <w:r>
        <w:rPr>
          <w:rFonts w:hint="eastAsia" w:ascii="宋体" w:hAnsi="宋体" w:cs="宋体"/>
          <w:bCs/>
          <w:sz w:val="28"/>
          <w:szCs w:val="28"/>
          <w:u w:val="single"/>
        </w:rPr>
        <w:t>XX</w:t>
      </w:r>
      <w:r>
        <w:rPr>
          <w:rFonts w:hint="eastAsia" w:ascii="宋体" w:hAnsi="宋体" w:cs="宋体"/>
          <w:bCs/>
          <w:sz w:val="28"/>
          <w:szCs w:val="28"/>
        </w:rPr>
        <w:t>月</w:t>
      </w:r>
      <w:r>
        <w:rPr>
          <w:rFonts w:hint="eastAsia" w:ascii="宋体" w:hAnsi="宋体" w:cs="宋体"/>
          <w:bCs/>
          <w:sz w:val="28"/>
          <w:szCs w:val="28"/>
          <w:u w:val="single"/>
        </w:rPr>
        <w:t>XX</w:t>
      </w:r>
      <w:r>
        <w:rPr>
          <w:rFonts w:hint="eastAsia" w:ascii="宋体" w:hAnsi="宋体" w:cs="宋体"/>
          <w:bCs/>
          <w:sz w:val="28"/>
          <w:szCs w:val="28"/>
        </w:rPr>
        <w:t>日</w:t>
      </w:r>
    </w:p>
    <w:p>
      <w:pPr>
        <w:pStyle w:val="15"/>
        <w:ind w:firstLine="0" w:firstLineChars="0"/>
        <w:rPr>
          <w:rFonts w:ascii="宋体" w:hAnsi="宋体" w:cs="宋体"/>
        </w:rPr>
      </w:pPr>
    </w:p>
    <w:p>
      <w:pPr>
        <w:spacing w:line="240" w:lineRule="auto"/>
        <w:ind w:firstLine="686" w:firstLineChars="245"/>
        <w:rPr>
          <w:rFonts w:ascii="宋体" w:hAnsi="宋体" w:cs="宋体"/>
          <w:bCs/>
          <w:sz w:val="28"/>
          <w:szCs w:val="28"/>
        </w:rPr>
      </w:pPr>
      <w:r>
        <w:rPr>
          <w:rFonts w:hint="eastAsia" w:ascii="宋体" w:hAnsi="宋体" w:cs="宋体"/>
          <w:bCs/>
          <w:sz w:val="28"/>
          <w:szCs w:val="28"/>
        </w:rPr>
        <w:t>说明：</w:t>
      </w:r>
    </w:p>
    <w:p>
      <w:pPr>
        <w:numPr>
          <w:ilvl w:val="0"/>
          <w:numId w:val="37"/>
        </w:numPr>
        <w:spacing w:line="560" w:lineRule="exact"/>
        <w:ind w:firstLine="686" w:firstLineChars="245"/>
        <w:rPr>
          <w:rFonts w:ascii="宋体" w:hAnsi="宋体" w:cs="宋体"/>
          <w:bCs/>
          <w:sz w:val="28"/>
          <w:szCs w:val="28"/>
        </w:rPr>
      </w:pPr>
      <w:r>
        <w:rPr>
          <w:rFonts w:hint="eastAsia" w:ascii="宋体" w:hAnsi="宋体" w:cs="宋体"/>
          <w:bCs/>
          <w:sz w:val="28"/>
          <w:szCs w:val="28"/>
        </w:rPr>
        <w:t>投标报价应为包括招标文件对应包件规定的全部投标内容的报价。</w:t>
      </w:r>
    </w:p>
    <w:p>
      <w:pPr>
        <w:numPr>
          <w:ilvl w:val="0"/>
          <w:numId w:val="37"/>
        </w:numPr>
        <w:spacing w:line="560" w:lineRule="exact"/>
        <w:ind w:firstLine="686" w:firstLineChars="245"/>
        <w:rPr>
          <w:rFonts w:ascii="宋体" w:hAnsi="宋体" w:cs="宋体"/>
          <w:bCs/>
          <w:sz w:val="28"/>
          <w:szCs w:val="28"/>
        </w:rPr>
      </w:pPr>
      <w:r>
        <w:rPr>
          <w:rFonts w:hint="eastAsia" w:ascii="宋体" w:hAnsi="宋体" w:cs="宋体"/>
          <w:bCs/>
          <w:sz w:val="28"/>
          <w:szCs w:val="28"/>
        </w:rPr>
        <w:t>投标报价以投标人在政府采购云平台开标一览表中填写的报价为准。</w:t>
      </w:r>
    </w:p>
    <w:p>
      <w:pPr>
        <w:numPr>
          <w:ilvl w:val="0"/>
          <w:numId w:val="37"/>
        </w:numPr>
        <w:spacing w:line="560" w:lineRule="exact"/>
        <w:ind w:firstLine="686" w:firstLineChars="245"/>
        <w:rPr>
          <w:rFonts w:ascii="宋体" w:hAnsi="宋体" w:cs="宋体"/>
          <w:bCs/>
          <w:sz w:val="28"/>
          <w:szCs w:val="28"/>
        </w:rPr>
      </w:pPr>
      <w:r>
        <w:rPr>
          <w:rFonts w:hint="eastAsia" w:ascii="宋体" w:hAnsi="宋体" w:cs="宋体"/>
          <w:bCs/>
          <w:sz w:val="28"/>
          <w:szCs w:val="28"/>
        </w:rPr>
        <w:t>所有报价金额单位应统一。</w:t>
      </w:r>
    </w:p>
    <w:p>
      <w:pPr>
        <w:keepNext/>
        <w:keepLines/>
        <w:numPr>
          <w:ilvl w:val="2"/>
          <w:numId w:val="2"/>
        </w:numPr>
        <w:spacing w:line="360" w:lineRule="auto"/>
        <w:ind w:left="3119" w:hanging="3119"/>
        <w:outlineLvl w:val="2"/>
        <w:rPr>
          <w:rFonts w:ascii="宋体" w:hAnsi="宋体" w:cs="宋体"/>
          <w:b/>
          <w:bCs/>
          <w:sz w:val="28"/>
        </w:rPr>
      </w:pPr>
      <w:bookmarkStart w:id="152" w:name="_Toc265494342"/>
      <w:bookmarkStart w:id="153" w:name="_Toc231030275"/>
      <w:bookmarkStart w:id="154" w:name="_Toc240865266"/>
      <w:bookmarkStart w:id="155" w:name="_Toc239846734"/>
      <w:bookmarkStart w:id="156" w:name="_Toc229802674"/>
      <w:bookmarkStart w:id="157" w:name="_Toc237145395"/>
      <w:bookmarkStart w:id="158" w:name="_Toc239849853"/>
      <w:bookmarkStart w:id="159" w:name="_Toc240367172"/>
      <w:bookmarkStart w:id="160" w:name="_Toc314574804"/>
      <w:r>
        <w:rPr>
          <w:rFonts w:hint="eastAsia" w:ascii="宋体" w:hAnsi="宋体" w:cs="宋体"/>
          <w:b/>
          <w:bCs/>
          <w:sz w:val="28"/>
          <w:szCs w:val="28"/>
        </w:rPr>
        <w:t>分项报价明细表（如涉及）</w:t>
      </w:r>
    </w:p>
    <w:p>
      <w:pPr>
        <w:snapToGrid w:val="0"/>
        <w:spacing w:line="440" w:lineRule="exact"/>
        <w:ind w:left="1405" w:right="-624" w:rightChars="-297" w:hanging="1405" w:hangingChars="500"/>
        <w:rPr>
          <w:rFonts w:ascii="宋体" w:hAnsi="宋体" w:cs="宋体"/>
          <w:b/>
          <w:color w:val="000000" w:themeColor="text1"/>
          <w:sz w:val="28"/>
          <w:szCs w:val="20"/>
          <w:u w:val="single"/>
          <w14:textFill>
            <w14:solidFill>
              <w14:schemeClr w14:val="tx1"/>
            </w14:solidFill>
          </w14:textFill>
        </w:rPr>
      </w:pPr>
      <w:r>
        <w:rPr>
          <w:rFonts w:hint="eastAsia" w:ascii="宋体" w:hAnsi="宋体" w:cs="宋体"/>
          <w:b/>
          <w:sz w:val="28"/>
        </w:rPr>
        <w:t>项目名称：</w:t>
      </w:r>
      <w:r>
        <w:rPr>
          <w:rFonts w:hint="eastAsia" w:ascii="宋体" w:hAnsi="宋体" w:cs="宋体"/>
          <w:b/>
          <w:sz w:val="28"/>
          <w:u w:val="single"/>
        </w:rPr>
        <w:t>成都市双流区人民政府怡心街道办事处生活垃圾清运服务采购项目</w:t>
      </w:r>
    </w:p>
    <w:p>
      <w:pPr>
        <w:tabs>
          <w:tab w:val="left" w:pos="7560"/>
        </w:tabs>
        <w:spacing w:after="180" w:line="440" w:lineRule="exact"/>
        <w:rPr>
          <w:rFonts w:ascii="宋体" w:hAnsi="宋体" w:cs="宋体"/>
          <w:b/>
          <w:sz w:val="28"/>
          <w:szCs w:val="20"/>
          <w:u w:val="single"/>
        </w:rPr>
      </w:pPr>
      <w:r>
        <w:rPr>
          <w:rFonts w:hint="eastAsia" w:ascii="宋体" w:hAnsi="宋体" w:cs="宋体"/>
          <w:b/>
          <w:sz w:val="28"/>
          <w:szCs w:val="20"/>
        </w:rPr>
        <w:t>项目编号：</w:t>
      </w:r>
      <w:r>
        <w:rPr>
          <w:rFonts w:hint="eastAsia" w:ascii="宋体" w:hAnsi="宋体" w:cs="宋体"/>
          <w:b/>
          <w:sz w:val="28"/>
          <w:szCs w:val="20"/>
          <w:u w:val="single"/>
        </w:rPr>
        <w:t>双流政采（2021）A0118号</w:t>
      </w:r>
    </w:p>
    <w:p>
      <w:pPr>
        <w:pStyle w:val="2"/>
      </w:pPr>
    </w:p>
    <w:p>
      <w:pPr>
        <w:tabs>
          <w:tab w:val="left" w:pos="630"/>
          <w:tab w:val="left" w:pos="7560"/>
        </w:tabs>
        <w:spacing w:line="360" w:lineRule="auto"/>
        <w:rPr>
          <w:rFonts w:ascii="宋体" w:hAnsi="宋体" w:cs="宋体"/>
          <w:sz w:val="28"/>
          <w:szCs w:val="28"/>
        </w:rPr>
      </w:pPr>
    </w:p>
    <w:p>
      <w:pPr>
        <w:tabs>
          <w:tab w:val="left" w:pos="630"/>
          <w:tab w:val="left" w:pos="7560"/>
        </w:tabs>
        <w:spacing w:line="360" w:lineRule="auto"/>
        <w:rPr>
          <w:rFonts w:ascii="宋体" w:hAnsi="宋体" w:cs="宋体"/>
          <w:sz w:val="28"/>
          <w:szCs w:val="28"/>
        </w:rPr>
      </w:pPr>
    </w:p>
    <w:p>
      <w:pPr>
        <w:tabs>
          <w:tab w:val="left" w:pos="630"/>
          <w:tab w:val="left" w:pos="7560"/>
        </w:tabs>
        <w:spacing w:line="360" w:lineRule="auto"/>
        <w:rPr>
          <w:rFonts w:ascii="宋体" w:hAnsi="宋体" w:cs="宋体"/>
          <w:sz w:val="28"/>
          <w:szCs w:val="28"/>
        </w:rPr>
      </w:pPr>
    </w:p>
    <w:p>
      <w:pPr>
        <w:tabs>
          <w:tab w:val="left" w:pos="630"/>
          <w:tab w:val="left" w:pos="7560"/>
        </w:tabs>
        <w:spacing w:line="360" w:lineRule="auto"/>
        <w:rPr>
          <w:rFonts w:ascii="宋体" w:hAnsi="宋体" w:cs="宋体"/>
          <w:sz w:val="28"/>
          <w:szCs w:val="28"/>
        </w:rPr>
      </w:pPr>
    </w:p>
    <w:p>
      <w:pPr>
        <w:tabs>
          <w:tab w:val="left" w:pos="630"/>
          <w:tab w:val="left" w:pos="7560"/>
        </w:tabs>
        <w:spacing w:line="360" w:lineRule="auto"/>
        <w:rPr>
          <w:rFonts w:ascii="宋体" w:hAnsi="宋体" w:cs="宋体"/>
          <w:sz w:val="28"/>
          <w:szCs w:val="28"/>
        </w:rPr>
      </w:pPr>
    </w:p>
    <w:p>
      <w:pPr>
        <w:tabs>
          <w:tab w:val="left" w:pos="630"/>
          <w:tab w:val="left" w:pos="7560"/>
        </w:tabs>
        <w:spacing w:line="360" w:lineRule="auto"/>
        <w:rPr>
          <w:rFonts w:ascii="宋体" w:hAnsi="宋体" w:cs="宋体"/>
          <w:sz w:val="28"/>
          <w:szCs w:val="28"/>
        </w:rPr>
      </w:pPr>
    </w:p>
    <w:p>
      <w:pPr>
        <w:pStyle w:val="2"/>
        <w:rPr>
          <w:rFonts w:ascii="宋体" w:hAnsi="宋体" w:cs="宋体"/>
        </w:rPr>
      </w:pPr>
    </w:p>
    <w:p>
      <w:pPr>
        <w:spacing w:line="360" w:lineRule="auto"/>
        <w:rPr>
          <w:rFonts w:ascii="宋体" w:hAnsi="宋体" w:cs="宋体"/>
          <w:sz w:val="28"/>
          <w:lang w:val="zh-CN"/>
        </w:rPr>
      </w:pPr>
      <w:r>
        <w:rPr>
          <w:rFonts w:hint="eastAsia" w:ascii="宋体" w:hAnsi="宋体" w:cs="宋体"/>
          <w:sz w:val="28"/>
          <w:lang w:val="zh-CN"/>
        </w:rPr>
        <w:t>投标人名称：</w:t>
      </w:r>
      <w:r>
        <w:rPr>
          <w:rFonts w:hint="eastAsia" w:ascii="宋体" w:hAnsi="宋体" w:cs="宋体"/>
          <w:sz w:val="28"/>
          <w:u w:val="single"/>
          <w:lang w:val="zh-CN"/>
        </w:rPr>
        <w:t>XXXX</w:t>
      </w:r>
    </w:p>
    <w:p>
      <w:pPr>
        <w:spacing w:line="360" w:lineRule="auto"/>
        <w:rPr>
          <w:rFonts w:ascii="宋体" w:hAnsi="宋体" w:cs="宋体"/>
        </w:rPr>
      </w:pPr>
      <w:r>
        <w:rPr>
          <w:rFonts w:hint="eastAsia" w:ascii="宋体" w:hAnsi="宋体" w:cs="宋体"/>
          <w:sz w:val="28"/>
        </w:rPr>
        <w:t>日期：</w:t>
      </w:r>
      <w:r>
        <w:rPr>
          <w:rFonts w:hint="eastAsia" w:ascii="宋体" w:hAnsi="宋体" w:cs="宋体"/>
          <w:bCs/>
          <w:sz w:val="28"/>
        </w:rPr>
        <w:t>202</w:t>
      </w:r>
      <w:r>
        <w:rPr>
          <w:rFonts w:hint="eastAsia" w:ascii="宋体" w:hAnsi="宋体" w:cs="宋体"/>
          <w:bCs/>
          <w:sz w:val="28"/>
          <w:u w:val="single"/>
        </w:rPr>
        <w:t>X</w:t>
      </w:r>
      <w:r>
        <w:rPr>
          <w:rFonts w:hint="eastAsia" w:ascii="宋体" w:hAnsi="宋体" w:cs="宋体"/>
          <w:bCs/>
          <w:sz w:val="28"/>
        </w:rPr>
        <w:t>年</w:t>
      </w:r>
      <w:r>
        <w:rPr>
          <w:rFonts w:hint="eastAsia" w:ascii="宋体" w:hAnsi="宋体" w:cs="宋体"/>
          <w:bCs/>
          <w:sz w:val="28"/>
          <w:u w:val="single"/>
        </w:rPr>
        <w:t>XX</w:t>
      </w:r>
      <w:r>
        <w:rPr>
          <w:rFonts w:hint="eastAsia" w:ascii="宋体" w:hAnsi="宋体" w:cs="宋体"/>
          <w:bCs/>
          <w:sz w:val="28"/>
        </w:rPr>
        <w:t>月</w:t>
      </w:r>
      <w:r>
        <w:rPr>
          <w:rFonts w:hint="eastAsia" w:ascii="宋体" w:hAnsi="宋体" w:cs="宋体"/>
          <w:bCs/>
          <w:sz w:val="28"/>
          <w:u w:val="single"/>
        </w:rPr>
        <w:t>XX</w:t>
      </w:r>
      <w:r>
        <w:rPr>
          <w:rFonts w:hint="eastAsia" w:ascii="宋体" w:hAnsi="宋体" w:cs="宋体"/>
          <w:bCs/>
          <w:sz w:val="28"/>
        </w:rPr>
        <w:t>日</w:t>
      </w:r>
    </w:p>
    <w:p>
      <w:pPr>
        <w:pStyle w:val="15"/>
        <w:ind w:firstLine="280"/>
        <w:rPr>
          <w:rFonts w:ascii="宋体" w:hAnsi="宋体" w:cs="宋体"/>
          <w:sz w:val="28"/>
          <w:lang w:val="zh-CN"/>
        </w:rPr>
      </w:pPr>
      <w:r>
        <w:rPr>
          <w:rFonts w:hint="eastAsia" w:ascii="宋体" w:hAnsi="宋体" w:cs="宋体"/>
          <w:sz w:val="28"/>
          <w:lang w:val="zh-CN"/>
        </w:rPr>
        <w:t>说明：</w:t>
      </w:r>
    </w:p>
    <w:p>
      <w:pPr>
        <w:pStyle w:val="15"/>
        <w:ind w:firstLine="560" w:firstLineChars="200"/>
        <w:rPr>
          <w:rFonts w:ascii="宋体" w:hAnsi="宋体" w:cs="宋体"/>
          <w:sz w:val="28"/>
          <w:lang w:val="zh-CN"/>
        </w:rPr>
      </w:pPr>
      <w:r>
        <w:rPr>
          <w:rFonts w:hint="eastAsia" w:ascii="宋体" w:hAnsi="宋体" w:cs="宋体"/>
          <w:sz w:val="28"/>
          <w:lang w:val="zh-CN"/>
        </w:rPr>
        <w:t>1.投标人的每一项报价内容中应包含人工作业成本、机械化作业成本、管理成本、合理利润、税费等所有费用；</w:t>
      </w:r>
    </w:p>
    <w:p>
      <w:pPr>
        <w:pStyle w:val="15"/>
        <w:ind w:firstLine="560" w:firstLineChars="200"/>
        <w:rPr>
          <w:rFonts w:ascii="宋体" w:hAnsi="宋体" w:cs="宋体"/>
          <w:b/>
          <w:bCs/>
          <w:sz w:val="28"/>
          <w:szCs w:val="28"/>
        </w:rPr>
      </w:pPr>
      <w:r>
        <w:rPr>
          <w:rFonts w:hint="eastAsia" w:ascii="宋体" w:hAnsi="宋体" w:cs="宋体"/>
          <w:sz w:val="28"/>
        </w:rPr>
        <w:t>2.</w:t>
      </w:r>
      <w:r>
        <w:rPr>
          <w:rFonts w:hint="eastAsia" w:ascii="宋体" w:hAnsi="宋体" w:cs="宋体"/>
          <w:sz w:val="28"/>
          <w:lang w:val="zh-CN"/>
        </w:rPr>
        <w:t>此表最终报价金额须与</w:t>
      </w:r>
      <w:r>
        <w:rPr>
          <w:rFonts w:hint="eastAsia" w:ascii="宋体" w:hAnsi="宋体" w:cs="宋体"/>
          <w:sz w:val="28"/>
        </w:rPr>
        <w:t>3.4.1《开标一览表》一致。</w:t>
      </w:r>
    </w:p>
    <w:bookmarkEnd w:id="152"/>
    <w:bookmarkEnd w:id="153"/>
    <w:bookmarkEnd w:id="154"/>
    <w:bookmarkEnd w:id="155"/>
    <w:bookmarkEnd w:id="156"/>
    <w:bookmarkEnd w:id="157"/>
    <w:bookmarkEnd w:id="158"/>
    <w:bookmarkEnd w:id="159"/>
    <w:bookmarkEnd w:id="160"/>
    <w:p>
      <w:pPr>
        <w:keepNext/>
        <w:keepLines/>
        <w:numPr>
          <w:ilvl w:val="0"/>
          <w:numId w:val="2"/>
        </w:numPr>
        <w:spacing w:line="360" w:lineRule="auto"/>
        <w:ind w:left="0" w:firstLine="0"/>
        <w:jc w:val="center"/>
        <w:outlineLvl w:val="0"/>
        <w:rPr>
          <w:rFonts w:ascii="宋体" w:hAnsi="宋体" w:cs="宋体"/>
          <w:b/>
          <w:bCs/>
          <w:spacing w:val="-20"/>
          <w:kern w:val="44"/>
          <w:sz w:val="32"/>
          <w:szCs w:val="32"/>
        </w:rPr>
      </w:pPr>
      <w:bookmarkStart w:id="161" w:name="_Toc9293"/>
      <w:r>
        <w:rPr>
          <w:rFonts w:hint="eastAsia" w:ascii="宋体" w:hAnsi="宋体" w:cs="宋体"/>
          <w:b/>
          <w:bCs/>
          <w:spacing w:val="-20"/>
          <w:kern w:val="44"/>
          <w:sz w:val="32"/>
          <w:szCs w:val="32"/>
        </w:rPr>
        <w:t>招标项目服务、商务及其他要求</w:t>
      </w:r>
      <w:bookmarkEnd w:id="149"/>
      <w:bookmarkEnd w:id="161"/>
    </w:p>
    <w:p>
      <w:pPr>
        <w:keepNext/>
        <w:keepLines/>
        <w:numPr>
          <w:ilvl w:val="1"/>
          <w:numId w:val="2"/>
        </w:numPr>
        <w:spacing w:line="360" w:lineRule="auto"/>
        <w:jc w:val="left"/>
        <w:outlineLvl w:val="1"/>
      </w:pPr>
      <w:bookmarkStart w:id="162" w:name="_Toc8621"/>
      <w:bookmarkStart w:id="163" w:name="_Toc7187"/>
      <w:bookmarkStart w:id="164" w:name="_Toc533672602"/>
      <w:bookmarkStart w:id="165" w:name="_Toc529173741"/>
      <w:r>
        <w:rPr>
          <w:rFonts w:hint="eastAsia" w:ascii="宋体" w:hAnsi="宋体" w:cs="宋体"/>
          <w:b/>
          <w:bCs/>
          <w:sz w:val="28"/>
          <w:szCs w:val="28"/>
        </w:rPr>
        <w:t>项目概况</w:t>
      </w:r>
      <w:bookmarkEnd w:id="162"/>
    </w:p>
    <w:p>
      <w:pPr>
        <w:spacing w:line="480" w:lineRule="exact"/>
        <w:ind w:firstLine="560" w:firstLineChars="200"/>
      </w:pPr>
      <w:r>
        <w:rPr>
          <w:rFonts w:hint="eastAsia" w:ascii="宋体" w:hAnsi="宋体"/>
          <w:sz w:val="28"/>
          <w:szCs w:val="28"/>
        </w:rPr>
        <w:t>本项目拟确定一名中标投标人为成都市双流区人民政府怡心街道办事处提供协和片区</w:t>
      </w:r>
      <w:r>
        <w:rPr>
          <w:rFonts w:hint="eastAsia" w:ascii="宋体" w:hAnsi="宋体" w:cs="宋体"/>
          <w:sz w:val="28"/>
          <w:szCs w:val="28"/>
        </w:rPr>
        <w:t>范围内的垃圾清运服务。</w:t>
      </w:r>
    </w:p>
    <w:p>
      <w:pPr>
        <w:keepNext/>
        <w:keepLines/>
        <w:numPr>
          <w:ilvl w:val="1"/>
          <w:numId w:val="2"/>
        </w:numPr>
        <w:spacing w:line="360" w:lineRule="auto"/>
        <w:jc w:val="left"/>
        <w:outlineLvl w:val="1"/>
        <w:rPr>
          <w:rFonts w:ascii="宋体" w:hAnsi="宋体" w:cs="宋体"/>
          <w:b/>
          <w:bCs/>
          <w:sz w:val="28"/>
          <w:szCs w:val="28"/>
        </w:rPr>
      </w:pPr>
      <w:bookmarkStart w:id="166" w:name="_Toc7988"/>
      <w:r>
        <w:rPr>
          <w:rFonts w:hint="eastAsia" w:ascii="宋体" w:hAnsi="宋体" w:cs="宋体"/>
          <w:b/>
          <w:bCs/>
          <w:sz w:val="28"/>
          <w:szCs w:val="28"/>
        </w:rPr>
        <w:t>项目基本情况表</w:t>
      </w:r>
      <w:bookmarkEnd w:id="166"/>
    </w:p>
    <w:p>
      <w:pPr>
        <w:pStyle w:val="4"/>
        <w:spacing w:after="0"/>
      </w:pPr>
      <w:r>
        <w:rPr>
          <w:rFonts w:hint="eastAsia"/>
        </w:rPr>
        <w:t>服务范围</w:t>
      </w:r>
    </w:p>
    <w:p>
      <w:pPr>
        <w:spacing w:line="480" w:lineRule="exact"/>
        <w:ind w:firstLine="560" w:firstLineChars="200"/>
        <w:rPr>
          <w:rFonts w:ascii="宋体" w:hAnsi="宋体"/>
          <w:sz w:val="28"/>
          <w:szCs w:val="28"/>
        </w:rPr>
      </w:pPr>
      <w:r>
        <w:rPr>
          <w:rFonts w:hint="eastAsia" w:ascii="宋体" w:hAnsi="宋体"/>
          <w:sz w:val="28"/>
          <w:szCs w:val="28"/>
        </w:rPr>
        <w:t>双流区怡心街街道办事处协和片区每天产生生活垃圾40吨，运送至西航港垃圾压缩站里程为28公里（含街办内收运里程）。</w:t>
      </w:r>
    </w:p>
    <w:p>
      <w:pPr>
        <w:pStyle w:val="4"/>
        <w:spacing w:after="0"/>
        <w:rPr>
          <w:color w:val="auto"/>
        </w:rPr>
      </w:pPr>
      <w:r>
        <w:rPr>
          <w:rFonts w:hint="eastAsia"/>
          <w:color w:val="auto"/>
        </w:rPr>
        <w:t>*人员机具配置要求</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3"/>
        <w:gridCol w:w="1035"/>
        <w:gridCol w:w="992"/>
        <w:gridCol w:w="2268"/>
        <w:gridCol w:w="1755"/>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480" w:lineRule="exact"/>
              <w:jc w:val="center"/>
              <w:rPr>
                <w:rFonts w:ascii="宋体" w:hAnsi="宋体"/>
                <w:color w:val="auto"/>
                <w:sz w:val="28"/>
                <w:szCs w:val="28"/>
              </w:rPr>
            </w:pPr>
            <w:r>
              <w:rPr>
                <w:rFonts w:hint="eastAsia" w:ascii="宋体" w:hAnsi="宋体"/>
                <w:color w:val="auto"/>
                <w:sz w:val="28"/>
                <w:szCs w:val="28"/>
              </w:rPr>
              <w:t>序号</w:t>
            </w:r>
          </w:p>
        </w:tc>
        <w:tc>
          <w:tcPr>
            <w:tcW w:w="1035" w:type="dxa"/>
            <w:vAlign w:val="center"/>
          </w:tcPr>
          <w:p>
            <w:pPr>
              <w:spacing w:line="480" w:lineRule="exact"/>
              <w:jc w:val="center"/>
              <w:rPr>
                <w:rFonts w:ascii="宋体" w:hAnsi="宋体"/>
                <w:color w:val="auto"/>
                <w:sz w:val="28"/>
                <w:szCs w:val="28"/>
              </w:rPr>
            </w:pPr>
            <w:r>
              <w:rPr>
                <w:rFonts w:hint="eastAsia" w:ascii="宋体" w:hAnsi="宋体"/>
                <w:color w:val="auto"/>
                <w:sz w:val="28"/>
                <w:szCs w:val="28"/>
              </w:rPr>
              <w:t>作业项目</w:t>
            </w:r>
          </w:p>
        </w:tc>
        <w:tc>
          <w:tcPr>
            <w:tcW w:w="992" w:type="dxa"/>
            <w:vAlign w:val="center"/>
          </w:tcPr>
          <w:p>
            <w:pPr>
              <w:spacing w:line="480" w:lineRule="exact"/>
              <w:jc w:val="center"/>
              <w:rPr>
                <w:rFonts w:ascii="宋体" w:hAnsi="宋体"/>
                <w:color w:val="auto"/>
                <w:sz w:val="28"/>
                <w:szCs w:val="28"/>
              </w:rPr>
            </w:pPr>
            <w:r>
              <w:rPr>
                <w:rFonts w:hint="eastAsia" w:ascii="宋体" w:hAnsi="宋体"/>
                <w:color w:val="auto"/>
                <w:sz w:val="28"/>
                <w:szCs w:val="28"/>
              </w:rPr>
              <w:t>作业内容</w:t>
            </w:r>
          </w:p>
        </w:tc>
        <w:tc>
          <w:tcPr>
            <w:tcW w:w="2268" w:type="dxa"/>
            <w:vAlign w:val="center"/>
          </w:tcPr>
          <w:p>
            <w:pPr>
              <w:spacing w:line="480" w:lineRule="exact"/>
              <w:jc w:val="center"/>
              <w:rPr>
                <w:rFonts w:ascii="宋体" w:hAnsi="宋体"/>
                <w:color w:val="auto"/>
                <w:sz w:val="28"/>
                <w:szCs w:val="28"/>
              </w:rPr>
            </w:pPr>
            <w:r>
              <w:rPr>
                <w:rFonts w:hint="eastAsia" w:ascii="宋体" w:hAnsi="宋体"/>
                <w:color w:val="auto"/>
                <w:sz w:val="28"/>
                <w:szCs w:val="28"/>
              </w:rPr>
              <w:t>车辆配备</w:t>
            </w:r>
          </w:p>
        </w:tc>
        <w:tc>
          <w:tcPr>
            <w:tcW w:w="1755" w:type="dxa"/>
            <w:vAlign w:val="center"/>
          </w:tcPr>
          <w:p>
            <w:pPr>
              <w:spacing w:line="480" w:lineRule="exact"/>
              <w:jc w:val="center"/>
              <w:rPr>
                <w:rFonts w:ascii="宋体" w:hAnsi="宋体"/>
                <w:color w:val="auto"/>
                <w:sz w:val="28"/>
                <w:szCs w:val="28"/>
              </w:rPr>
            </w:pPr>
            <w:r>
              <w:rPr>
                <w:rFonts w:hint="eastAsia" w:ascii="宋体" w:hAnsi="宋体"/>
                <w:color w:val="auto"/>
                <w:sz w:val="28"/>
                <w:szCs w:val="28"/>
              </w:rPr>
              <w:t>人员配备</w:t>
            </w:r>
          </w:p>
        </w:tc>
        <w:tc>
          <w:tcPr>
            <w:tcW w:w="1443" w:type="dxa"/>
            <w:vAlign w:val="center"/>
          </w:tcPr>
          <w:p>
            <w:pPr>
              <w:spacing w:line="480" w:lineRule="exact"/>
              <w:jc w:val="center"/>
              <w:rPr>
                <w:rFonts w:ascii="宋体" w:hAnsi="宋体"/>
                <w:color w:val="auto"/>
                <w:sz w:val="28"/>
                <w:szCs w:val="28"/>
              </w:rPr>
            </w:pPr>
            <w:r>
              <w:rPr>
                <w:rFonts w:hint="eastAsia" w:ascii="宋体" w:hAnsi="宋体"/>
                <w:color w:val="auto"/>
                <w:sz w:val="28"/>
                <w:szCs w:val="28"/>
              </w:rPr>
              <w:t>班次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480" w:lineRule="exact"/>
              <w:jc w:val="center"/>
              <w:rPr>
                <w:rFonts w:ascii="宋体" w:hAnsi="宋体"/>
                <w:color w:val="auto"/>
                <w:sz w:val="28"/>
                <w:szCs w:val="28"/>
              </w:rPr>
            </w:pPr>
            <w:r>
              <w:rPr>
                <w:rFonts w:hint="eastAsia" w:ascii="宋体" w:hAnsi="宋体"/>
                <w:color w:val="auto"/>
                <w:sz w:val="28"/>
                <w:szCs w:val="28"/>
              </w:rPr>
              <w:t>1</w:t>
            </w:r>
          </w:p>
        </w:tc>
        <w:tc>
          <w:tcPr>
            <w:tcW w:w="1035" w:type="dxa"/>
            <w:vAlign w:val="center"/>
          </w:tcPr>
          <w:p>
            <w:pPr>
              <w:spacing w:line="480" w:lineRule="exact"/>
              <w:jc w:val="center"/>
              <w:rPr>
                <w:rFonts w:ascii="宋体" w:hAnsi="宋体"/>
                <w:color w:val="auto"/>
                <w:sz w:val="28"/>
                <w:szCs w:val="28"/>
              </w:rPr>
            </w:pPr>
            <w:r>
              <w:rPr>
                <w:rFonts w:hint="eastAsia" w:ascii="宋体" w:hAnsi="宋体"/>
                <w:color w:val="auto"/>
                <w:sz w:val="28"/>
                <w:szCs w:val="28"/>
              </w:rPr>
              <w:t>垃圾运送</w:t>
            </w:r>
          </w:p>
        </w:tc>
        <w:tc>
          <w:tcPr>
            <w:tcW w:w="992" w:type="dxa"/>
            <w:vAlign w:val="center"/>
          </w:tcPr>
          <w:p>
            <w:pPr>
              <w:spacing w:line="480" w:lineRule="exact"/>
              <w:jc w:val="center"/>
              <w:rPr>
                <w:rFonts w:ascii="宋体" w:hAnsi="宋体"/>
                <w:color w:val="auto"/>
                <w:sz w:val="28"/>
                <w:szCs w:val="28"/>
              </w:rPr>
            </w:pPr>
            <w:r>
              <w:rPr>
                <w:rFonts w:hint="eastAsia" w:ascii="宋体" w:hAnsi="宋体"/>
                <w:color w:val="auto"/>
                <w:sz w:val="28"/>
                <w:szCs w:val="28"/>
              </w:rPr>
              <w:t>垃圾运送</w:t>
            </w:r>
          </w:p>
        </w:tc>
        <w:tc>
          <w:tcPr>
            <w:tcW w:w="2268" w:type="dxa"/>
            <w:vAlign w:val="center"/>
          </w:tcPr>
          <w:p>
            <w:pPr>
              <w:spacing w:line="480" w:lineRule="exact"/>
              <w:jc w:val="center"/>
              <w:rPr>
                <w:rFonts w:ascii="宋体" w:hAnsi="宋体"/>
                <w:color w:val="auto"/>
                <w:sz w:val="28"/>
                <w:szCs w:val="28"/>
              </w:rPr>
            </w:pPr>
            <w:r>
              <w:rPr>
                <w:rFonts w:hint="eastAsia" w:ascii="宋体" w:hAnsi="宋体"/>
                <w:color w:val="auto"/>
                <w:sz w:val="28"/>
                <w:szCs w:val="28"/>
              </w:rPr>
              <w:t>2台核载≥8吨垃圾压缩车</w:t>
            </w:r>
          </w:p>
        </w:tc>
        <w:tc>
          <w:tcPr>
            <w:tcW w:w="1755" w:type="dxa"/>
            <w:vAlign w:val="center"/>
          </w:tcPr>
          <w:p>
            <w:pPr>
              <w:spacing w:line="480" w:lineRule="exact"/>
              <w:jc w:val="center"/>
              <w:rPr>
                <w:rFonts w:ascii="宋体" w:hAnsi="宋体"/>
                <w:color w:val="auto"/>
                <w:sz w:val="28"/>
                <w:szCs w:val="28"/>
              </w:rPr>
            </w:pPr>
            <w:r>
              <w:rPr>
                <w:rFonts w:hint="eastAsia" w:ascii="宋体" w:hAnsi="宋体"/>
                <w:color w:val="auto"/>
                <w:sz w:val="28"/>
                <w:szCs w:val="28"/>
              </w:rPr>
              <w:t>配备驾驶人员2人,辅助人员5人</w:t>
            </w:r>
          </w:p>
        </w:tc>
        <w:tc>
          <w:tcPr>
            <w:tcW w:w="1443" w:type="dxa"/>
            <w:vAlign w:val="center"/>
          </w:tcPr>
          <w:p>
            <w:pPr>
              <w:spacing w:line="480" w:lineRule="exact"/>
              <w:jc w:val="center"/>
              <w:rPr>
                <w:rFonts w:ascii="宋体" w:hAnsi="宋体"/>
                <w:color w:val="auto"/>
                <w:sz w:val="28"/>
                <w:szCs w:val="28"/>
              </w:rPr>
            </w:pPr>
            <w:r>
              <w:rPr>
                <w:rFonts w:hint="eastAsia" w:ascii="宋体" w:hAnsi="宋体"/>
                <w:color w:val="auto"/>
                <w:sz w:val="28"/>
                <w:szCs w:val="28"/>
              </w:rPr>
              <w:t>每日3班次，每次往返一趟</w:t>
            </w:r>
          </w:p>
        </w:tc>
      </w:tr>
    </w:tbl>
    <w:p>
      <w:pPr>
        <w:widowControl/>
        <w:spacing w:after="0" w:line="240" w:lineRule="auto"/>
        <w:ind w:firstLine="562" w:firstLineChars="200"/>
        <w:rPr>
          <w:rFonts w:ascii="宋体" w:hAnsi="宋体" w:cs="宋体"/>
          <w:b/>
          <w:color w:val="auto"/>
          <w:kern w:val="0"/>
          <w:sz w:val="24"/>
          <w:szCs w:val="24"/>
          <w:lang w:bidi="ar"/>
        </w:rPr>
      </w:pPr>
      <w:r>
        <w:rPr>
          <w:rFonts w:hint="eastAsia" w:ascii="宋体" w:hAnsi="宋体" w:cs="宋体"/>
          <w:b/>
          <w:bCs/>
          <w:sz w:val="28"/>
          <w:szCs w:val="28"/>
        </w:rPr>
        <w:t>说明</w:t>
      </w:r>
      <w:r>
        <w:rPr>
          <w:rFonts w:hint="eastAsia" w:ascii="宋体" w:hAnsi="宋体" w:cs="宋体"/>
          <w:b/>
          <w:color w:val="000000"/>
          <w:kern w:val="0"/>
          <w:sz w:val="24"/>
          <w:szCs w:val="24"/>
          <w:lang w:bidi="ar"/>
        </w:rPr>
        <w:t>：</w:t>
      </w:r>
      <w:r>
        <w:rPr>
          <w:rFonts w:hint="eastAsia" w:ascii="宋体" w:hAnsi="宋体" w:eastAsia="宋体" w:cs="Times New Roman"/>
          <w:color w:val="auto"/>
          <w:sz w:val="28"/>
          <w:szCs w:val="28"/>
          <w:lang w:val="zh-CN"/>
        </w:rPr>
        <w:t>1.自有机动车辆须提供车辆购置发票和有效的行驶证复印件；非自有车辆（包含机动车辆及非机动车辆）需提供投标人合法取得使用权的证明材料（其中，非自有机动车的须提供有效期内的行驶证复印件，租赁期限须在本项目服务期内）。</w:t>
      </w:r>
    </w:p>
    <w:p>
      <w:pPr>
        <w:spacing w:line="480" w:lineRule="exact"/>
        <w:ind w:firstLine="560" w:firstLineChars="200"/>
        <w:rPr>
          <w:rFonts w:ascii="宋体" w:hAnsi="宋体"/>
          <w:color w:val="auto"/>
          <w:sz w:val="28"/>
          <w:szCs w:val="28"/>
          <w:lang w:val="zh-CN"/>
        </w:rPr>
      </w:pPr>
      <w:r>
        <w:rPr>
          <w:rFonts w:hint="eastAsia" w:ascii="宋体" w:hAnsi="宋体"/>
          <w:color w:val="auto"/>
          <w:sz w:val="28"/>
          <w:szCs w:val="28"/>
        </w:rPr>
        <w:t>2.</w:t>
      </w:r>
      <w:r>
        <w:rPr>
          <w:rFonts w:hint="eastAsia" w:ascii="宋体" w:hAnsi="宋体"/>
          <w:color w:val="auto"/>
          <w:sz w:val="28"/>
          <w:szCs w:val="28"/>
          <w:lang w:val="zh-CN"/>
        </w:rPr>
        <w:t>提供人员清单，清单需要注明人员为管理人员或其他人员或XX车驾驶员以及人员姓名、性别、年龄、身份证号，投标人按照招标文件3.3.8格式填写。</w:t>
      </w:r>
    </w:p>
    <w:p>
      <w:pPr>
        <w:spacing w:line="480" w:lineRule="exact"/>
        <w:ind w:firstLine="560" w:firstLineChars="200"/>
        <w:rPr>
          <w:rFonts w:hint="eastAsia" w:ascii="宋体" w:hAnsi="宋体"/>
          <w:color w:val="auto"/>
          <w:sz w:val="28"/>
          <w:szCs w:val="28"/>
          <w:lang w:val="zh-CN"/>
        </w:rPr>
      </w:pPr>
      <w:r>
        <w:rPr>
          <w:rFonts w:hint="eastAsia" w:ascii="宋体" w:hAnsi="宋体"/>
          <w:color w:val="auto"/>
          <w:sz w:val="28"/>
          <w:szCs w:val="28"/>
        </w:rPr>
        <w:t>3．</w:t>
      </w:r>
      <w:r>
        <w:rPr>
          <w:rFonts w:hint="eastAsia" w:ascii="宋体" w:hAnsi="宋体"/>
          <w:color w:val="auto"/>
          <w:sz w:val="28"/>
          <w:szCs w:val="28"/>
          <w:lang w:val="zh-CN"/>
        </w:rPr>
        <w:t>配备的驾驶人员应取得驾驶资格证（驾驶证须在有效期内），驾驶员还需提供本人的驾驶证复印件。</w:t>
      </w:r>
    </w:p>
    <w:p>
      <w:pPr>
        <w:spacing w:line="480" w:lineRule="exact"/>
        <w:ind w:firstLine="560" w:firstLineChars="200"/>
        <w:rPr>
          <w:rFonts w:ascii="宋体" w:hAnsi="宋体"/>
          <w:color w:val="auto"/>
          <w:sz w:val="28"/>
          <w:szCs w:val="28"/>
          <w:lang w:val="zh-CN"/>
        </w:rPr>
      </w:pPr>
      <w:r>
        <w:rPr>
          <w:rFonts w:hint="eastAsia" w:ascii="宋体" w:hAnsi="宋体"/>
          <w:color w:val="auto"/>
          <w:sz w:val="28"/>
          <w:szCs w:val="28"/>
          <w:lang w:val="en-US" w:eastAsia="zh-CN"/>
        </w:rPr>
        <w:t>4.</w:t>
      </w:r>
      <w:r>
        <w:rPr>
          <w:rFonts w:hint="eastAsia" w:ascii="宋体" w:hAnsi="宋体"/>
          <w:color w:val="auto"/>
          <w:sz w:val="28"/>
          <w:szCs w:val="28"/>
          <w:lang w:val="zh-CN"/>
        </w:rPr>
        <w:t>驾驶员取得的驾驶证的准驾车型与项目要求驾驶的车辆车型需保持一致（投标人按照招标文件3.3.</w:t>
      </w:r>
      <w:r>
        <w:rPr>
          <w:rFonts w:hint="eastAsia" w:ascii="宋体" w:hAnsi="宋体"/>
          <w:color w:val="auto"/>
          <w:sz w:val="28"/>
          <w:szCs w:val="28"/>
        </w:rPr>
        <w:t>7</w:t>
      </w:r>
      <w:r>
        <w:rPr>
          <w:rFonts w:hint="eastAsia" w:ascii="宋体" w:hAnsi="宋体"/>
          <w:color w:val="auto"/>
          <w:sz w:val="28"/>
          <w:szCs w:val="28"/>
          <w:lang w:val="zh-CN"/>
        </w:rPr>
        <w:t>的格式提供承诺</w:t>
      </w:r>
      <w:r>
        <w:rPr>
          <w:rFonts w:hint="eastAsia" w:ascii="宋体" w:hAnsi="宋体"/>
          <w:color w:val="auto"/>
          <w:sz w:val="28"/>
          <w:szCs w:val="28"/>
        </w:rPr>
        <w:t>函</w:t>
      </w:r>
      <w:r>
        <w:rPr>
          <w:rFonts w:hint="eastAsia" w:ascii="宋体" w:hAnsi="宋体"/>
          <w:color w:val="auto"/>
          <w:sz w:val="28"/>
          <w:szCs w:val="28"/>
          <w:lang w:val="zh-CN"/>
        </w:rPr>
        <w:t>）。</w:t>
      </w:r>
    </w:p>
    <w:p>
      <w:pPr>
        <w:snapToGrid w:val="0"/>
        <w:spacing w:line="360" w:lineRule="auto"/>
        <w:ind w:firstLine="560" w:firstLineChars="200"/>
        <w:rPr>
          <w:rFonts w:ascii="宋体" w:hAnsi="宋体"/>
          <w:sz w:val="28"/>
          <w:szCs w:val="28"/>
          <w:lang w:val="zh-CN"/>
        </w:rPr>
      </w:pPr>
      <w:r>
        <w:rPr>
          <w:rFonts w:hint="eastAsia" w:ascii="宋体" w:hAnsi="宋体"/>
          <w:sz w:val="28"/>
          <w:szCs w:val="28"/>
          <w:lang w:val="en-US" w:eastAsia="zh-CN"/>
        </w:rPr>
        <w:t>5</w:t>
      </w:r>
      <w:r>
        <w:rPr>
          <w:rFonts w:hint="eastAsia" w:ascii="宋体" w:hAnsi="宋体"/>
          <w:sz w:val="28"/>
          <w:szCs w:val="28"/>
        </w:rPr>
        <w:t>.</w:t>
      </w:r>
      <w:r>
        <w:rPr>
          <w:rFonts w:hint="eastAsia" w:ascii="宋体" w:hAnsi="宋体"/>
          <w:sz w:val="28"/>
          <w:szCs w:val="28"/>
          <w:lang w:val="zh-CN"/>
        </w:rPr>
        <w:t>中标人</w:t>
      </w:r>
      <w:r>
        <w:rPr>
          <w:rFonts w:hint="eastAsia" w:ascii="宋体" w:hAnsi="宋体"/>
          <w:color w:val="auto"/>
          <w:sz w:val="28"/>
          <w:szCs w:val="28"/>
          <w:lang w:val="zh-CN"/>
        </w:rPr>
        <w:t>应承诺在服务过程中所使用车辆与投标文件中响应配备的车辆一致（投标人按照招标文件3.3.</w:t>
      </w:r>
      <w:r>
        <w:rPr>
          <w:rFonts w:hint="eastAsia" w:ascii="宋体" w:hAnsi="宋体"/>
          <w:color w:val="auto"/>
          <w:sz w:val="28"/>
          <w:szCs w:val="28"/>
        </w:rPr>
        <w:t>7</w:t>
      </w:r>
      <w:r>
        <w:rPr>
          <w:rFonts w:hint="eastAsia" w:ascii="宋体" w:hAnsi="宋体"/>
          <w:color w:val="auto"/>
          <w:sz w:val="28"/>
          <w:szCs w:val="28"/>
          <w:lang w:val="zh-CN"/>
        </w:rPr>
        <w:t>的格式提供承诺函）。</w:t>
      </w:r>
    </w:p>
    <w:p>
      <w:pPr>
        <w:keepNext/>
        <w:keepLines/>
        <w:numPr>
          <w:ilvl w:val="1"/>
          <w:numId w:val="2"/>
        </w:numPr>
        <w:spacing w:line="360" w:lineRule="auto"/>
        <w:jc w:val="left"/>
        <w:outlineLvl w:val="1"/>
        <w:rPr>
          <w:rFonts w:ascii="宋体" w:hAnsi="宋体" w:cs="宋体"/>
          <w:b/>
          <w:bCs/>
          <w:sz w:val="28"/>
          <w:szCs w:val="28"/>
        </w:rPr>
      </w:pPr>
      <w:bookmarkStart w:id="167" w:name="_Toc11292"/>
      <w:r>
        <w:rPr>
          <w:rFonts w:hint="eastAsia" w:ascii="宋体" w:hAnsi="宋体" w:cs="宋体"/>
          <w:b/>
          <w:bCs/>
          <w:sz w:val="28"/>
          <w:szCs w:val="28"/>
        </w:rPr>
        <w:t>服务内容</w:t>
      </w:r>
      <w:bookmarkEnd w:id="163"/>
      <w:bookmarkEnd w:id="167"/>
      <w:bookmarkStart w:id="168" w:name="_Toc68097752"/>
      <w:bookmarkStart w:id="169" w:name="_Toc15962"/>
    </w:p>
    <w:p>
      <w:pPr>
        <w:pStyle w:val="4"/>
        <w:spacing w:after="0"/>
        <w:rPr>
          <w:color w:val="auto"/>
        </w:rPr>
      </w:pPr>
      <w:r>
        <w:rPr>
          <w:rFonts w:hint="eastAsia"/>
          <w:color w:val="auto"/>
        </w:rPr>
        <w:t>*</w:t>
      </w:r>
      <w:r>
        <w:rPr>
          <w:rFonts w:hint="eastAsia"/>
        </w:rPr>
        <w:t>工作内容及作业要求</w:t>
      </w:r>
    </w:p>
    <w:p>
      <w:pPr>
        <w:pStyle w:val="13"/>
        <w:widowControl/>
        <w:spacing w:line="360" w:lineRule="auto"/>
        <w:ind w:firstLine="560" w:firstLineChars="200"/>
        <w:jc w:val="both"/>
        <w:rPr>
          <w:rFonts w:hint="default"/>
        </w:rPr>
      </w:pPr>
      <w:r>
        <w:rPr>
          <w:rFonts w:ascii="宋体" w:cs="宋体"/>
          <w:sz w:val="28"/>
          <w:szCs w:val="28"/>
        </w:rPr>
        <w:t>每日对服务区域内生活垃圾收集点存放垃圾清运至指定垃圾回收点，每日3班次，每次往返一趟。</w:t>
      </w:r>
    </w:p>
    <w:p>
      <w:pPr>
        <w:pStyle w:val="4"/>
        <w:spacing w:after="0"/>
      </w:pPr>
      <w:r>
        <w:rPr>
          <w:rFonts w:hint="eastAsia"/>
        </w:rPr>
        <w:t>服务要求</w:t>
      </w:r>
    </w:p>
    <w:p>
      <w:pPr>
        <w:pStyle w:val="13"/>
        <w:widowControl/>
        <w:spacing w:after="0" w:line="360" w:lineRule="auto"/>
        <w:ind w:firstLine="560" w:firstLineChars="200"/>
        <w:jc w:val="both"/>
        <w:rPr>
          <w:rFonts w:hint="default" w:ascii="宋体" w:cs="宋体"/>
          <w:sz w:val="28"/>
          <w:szCs w:val="28"/>
        </w:rPr>
      </w:pPr>
      <w:r>
        <w:rPr>
          <w:rFonts w:ascii="宋体" w:cs="宋体"/>
          <w:sz w:val="28"/>
          <w:szCs w:val="28"/>
        </w:rPr>
        <w:t>一、按要求配置齐全垃圾清运设备和人员，各类清运设备保养良好，工作正常；</w:t>
      </w:r>
    </w:p>
    <w:p>
      <w:pPr>
        <w:pStyle w:val="13"/>
        <w:widowControl/>
        <w:spacing w:after="0" w:line="360" w:lineRule="auto"/>
        <w:ind w:firstLine="560" w:firstLineChars="200"/>
        <w:jc w:val="both"/>
        <w:rPr>
          <w:rFonts w:hint="default" w:ascii="宋体" w:cs="宋体"/>
          <w:sz w:val="28"/>
          <w:szCs w:val="28"/>
        </w:rPr>
      </w:pPr>
      <w:r>
        <w:rPr>
          <w:rFonts w:ascii="宋体" w:cs="宋体"/>
          <w:sz w:val="28"/>
          <w:szCs w:val="28"/>
        </w:rPr>
        <w:t>二、垃圾清运人员统一着装，佩戴安全标识；</w:t>
      </w:r>
    </w:p>
    <w:p>
      <w:pPr>
        <w:pStyle w:val="13"/>
        <w:widowControl/>
        <w:spacing w:after="0" w:line="360" w:lineRule="auto"/>
        <w:ind w:firstLine="560" w:firstLineChars="200"/>
        <w:jc w:val="both"/>
        <w:rPr>
          <w:rFonts w:hint="default" w:ascii="宋体" w:cs="宋体"/>
          <w:sz w:val="28"/>
          <w:szCs w:val="28"/>
        </w:rPr>
      </w:pPr>
      <w:r>
        <w:rPr>
          <w:rFonts w:ascii="宋体" w:cs="宋体"/>
          <w:sz w:val="28"/>
          <w:szCs w:val="28"/>
        </w:rPr>
        <w:t>三、每周召开工作人员培训会，做好会议记录；</w:t>
      </w:r>
    </w:p>
    <w:p>
      <w:pPr>
        <w:pStyle w:val="13"/>
        <w:widowControl/>
        <w:spacing w:after="0" w:line="360" w:lineRule="auto"/>
        <w:ind w:firstLine="560" w:firstLineChars="200"/>
        <w:jc w:val="both"/>
        <w:rPr>
          <w:rFonts w:hint="default" w:ascii="宋体" w:cs="宋体"/>
          <w:sz w:val="28"/>
          <w:szCs w:val="28"/>
        </w:rPr>
      </w:pPr>
      <w:r>
        <w:rPr>
          <w:rFonts w:ascii="宋体" w:cs="宋体"/>
          <w:sz w:val="28"/>
          <w:szCs w:val="28"/>
        </w:rPr>
        <w:t>四、在清运车辆上标明作业公司名称、作业范围、管理单位、监督电话等内容；</w:t>
      </w:r>
    </w:p>
    <w:p>
      <w:pPr>
        <w:pStyle w:val="13"/>
        <w:widowControl/>
        <w:spacing w:after="0" w:line="360" w:lineRule="auto"/>
        <w:ind w:firstLine="560" w:firstLineChars="200"/>
        <w:jc w:val="both"/>
        <w:rPr>
          <w:rFonts w:hint="default" w:ascii="宋体" w:cs="宋体"/>
          <w:sz w:val="28"/>
          <w:szCs w:val="28"/>
        </w:rPr>
      </w:pPr>
      <w:r>
        <w:rPr>
          <w:rFonts w:ascii="宋体" w:cs="宋体"/>
          <w:sz w:val="28"/>
          <w:szCs w:val="28"/>
        </w:rPr>
        <w:t>五、垃圾每日清运，积存垃圾不能超过半吨；</w:t>
      </w:r>
    </w:p>
    <w:p>
      <w:pPr>
        <w:pStyle w:val="13"/>
        <w:widowControl/>
        <w:spacing w:after="0" w:line="360" w:lineRule="auto"/>
        <w:ind w:firstLine="560" w:firstLineChars="200"/>
        <w:jc w:val="both"/>
        <w:rPr>
          <w:rFonts w:hint="default" w:ascii="宋体" w:cs="宋体"/>
          <w:sz w:val="28"/>
          <w:szCs w:val="28"/>
        </w:rPr>
      </w:pPr>
      <w:r>
        <w:rPr>
          <w:rFonts w:ascii="宋体" w:cs="宋体"/>
          <w:sz w:val="28"/>
          <w:szCs w:val="28"/>
        </w:rPr>
        <w:t>六、垃圾车在清运过程中，应覆盖蓬布、车辆沿途无抛撒、滴漏；</w:t>
      </w:r>
    </w:p>
    <w:p>
      <w:pPr>
        <w:pStyle w:val="13"/>
        <w:widowControl/>
        <w:spacing w:after="0" w:line="360" w:lineRule="auto"/>
        <w:ind w:firstLine="560" w:firstLineChars="200"/>
        <w:jc w:val="both"/>
        <w:rPr>
          <w:rFonts w:hint="default" w:ascii="宋体" w:cs="宋体"/>
          <w:sz w:val="28"/>
          <w:szCs w:val="28"/>
        </w:rPr>
      </w:pPr>
      <w:r>
        <w:rPr>
          <w:rFonts w:ascii="宋体" w:cs="宋体"/>
          <w:sz w:val="28"/>
          <w:szCs w:val="28"/>
        </w:rPr>
        <w:t>七、垃圾桶不得满溢或漏桶；</w:t>
      </w:r>
    </w:p>
    <w:p>
      <w:pPr>
        <w:pStyle w:val="13"/>
        <w:widowControl/>
        <w:spacing w:after="0" w:line="360" w:lineRule="auto"/>
        <w:ind w:firstLine="560" w:firstLineChars="200"/>
        <w:jc w:val="both"/>
        <w:rPr>
          <w:rFonts w:hint="default" w:ascii="宋体" w:cs="宋体"/>
          <w:sz w:val="28"/>
          <w:szCs w:val="28"/>
        </w:rPr>
      </w:pPr>
      <w:r>
        <w:rPr>
          <w:rFonts w:ascii="宋体" w:cs="宋体"/>
          <w:sz w:val="28"/>
          <w:szCs w:val="28"/>
        </w:rPr>
        <w:t>八、垃圾桶和设施如有遗失、损坏的应及时逐级上报并查追；</w:t>
      </w:r>
    </w:p>
    <w:p>
      <w:pPr>
        <w:pStyle w:val="13"/>
        <w:widowControl/>
        <w:spacing w:after="0" w:line="360" w:lineRule="auto"/>
        <w:ind w:firstLine="560" w:firstLineChars="200"/>
        <w:jc w:val="both"/>
        <w:rPr>
          <w:rFonts w:hint="default" w:ascii="宋体" w:cs="宋体"/>
          <w:sz w:val="28"/>
          <w:szCs w:val="28"/>
        </w:rPr>
      </w:pPr>
      <w:r>
        <w:rPr>
          <w:rFonts w:ascii="宋体" w:cs="宋体"/>
          <w:sz w:val="28"/>
          <w:szCs w:val="28"/>
        </w:rPr>
        <w:t>九、每日按照规定时间完成清运；</w:t>
      </w:r>
    </w:p>
    <w:p>
      <w:pPr>
        <w:pStyle w:val="13"/>
        <w:widowControl/>
        <w:spacing w:after="0" w:line="360" w:lineRule="auto"/>
        <w:ind w:firstLine="560" w:firstLineChars="200"/>
        <w:jc w:val="both"/>
        <w:rPr>
          <w:rFonts w:hint="default" w:ascii="宋体" w:cs="宋体"/>
          <w:sz w:val="28"/>
          <w:szCs w:val="28"/>
        </w:rPr>
      </w:pPr>
      <w:r>
        <w:rPr>
          <w:rFonts w:ascii="宋体" w:cs="宋体"/>
          <w:sz w:val="28"/>
          <w:szCs w:val="28"/>
        </w:rPr>
        <w:t>十、垃圾清运车车容应整洁；</w:t>
      </w:r>
    </w:p>
    <w:p>
      <w:pPr>
        <w:pStyle w:val="13"/>
        <w:widowControl/>
        <w:spacing w:after="0" w:line="360" w:lineRule="auto"/>
        <w:ind w:firstLine="560" w:firstLineChars="200"/>
        <w:jc w:val="both"/>
        <w:rPr>
          <w:rFonts w:hint="default" w:ascii="宋体" w:cs="宋体"/>
          <w:sz w:val="28"/>
          <w:szCs w:val="28"/>
        </w:rPr>
      </w:pPr>
      <w:r>
        <w:rPr>
          <w:rFonts w:ascii="宋体" w:cs="宋体"/>
          <w:sz w:val="28"/>
          <w:szCs w:val="28"/>
        </w:rPr>
        <w:t>十一、清运公司应服从突发性指挥调派；</w:t>
      </w:r>
    </w:p>
    <w:p>
      <w:pPr>
        <w:pStyle w:val="13"/>
        <w:widowControl/>
        <w:spacing w:after="0" w:line="360" w:lineRule="auto"/>
        <w:ind w:firstLine="560" w:firstLineChars="200"/>
        <w:jc w:val="both"/>
        <w:rPr>
          <w:rFonts w:hint="default"/>
        </w:rPr>
      </w:pPr>
      <w:r>
        <w:rPr>
          <w:rFonts w:ascii="宋体" w:cs="宋体"/>
          <w:sz w:val="28"/>
          <w:szCs w:val="28"/>
        </w:rPr>
        <w:t>十二、突发性产生的垃圾，30分钟内应作应急处理。</w:t>
      </w:r>
    </w:p>
    <w:p>
      <w:pPr>
        <w:keepNext/>
        <w:keepLines/>
        <w:numPr>
          <w:ilvl w:val="1"/>
          <w:numId w:val="2"/>
        </w:numPr>
        <w:spacing w:line="360" w:lineRule="auto"/>
        <w:jc w:val="left"/>
        <w:outlineLvl w:val="1"/>
        <w:rPr>
          <w:rFonts w:ascii="宋体" w:hAnsi="宋体" w:cs="宋体"/>
          <w:b/>
          <w:bCs/>
          <w:sz w:val="28"/>
          <w:szCs w:val="28"/>
        </w:rPr>
      </w:pPr>
      <w:bookmarkStart w:id="170" w:name="_Toc417"/>
      <w:r>
        <w:rPr>
          <w:rFonts w:hint="eastAsia" w:ascii="宋体" w:hAnsi="宋体" w:cs="宋体"/>
          <w:b/>
          <w:bCs/>
          <w:sz w:val="28"/>
          <w:szCs w:val="28"/>
        </w:rPr>
        <w:t>商务要求</w:t>
      </w:r>
      <w:bookmarkEnd w:id="168"/>
      <w:bookmarkEnd w:id="169"/>
      <w:bookmarkEnd w:id="170"/>
    </w:p>
    <w:p>
      <w:pPr>
        <w:pStyle w:val="4"/>
        <w:spacing w:after="0"/>
        <w:rPr>
          <w:color w:val="auto"/>
        </w:rPr>
      </w:pPr>
      <w:r>
        <w:rPr>
          <w:rFonts w:ascii="Times New Roman" w:hAnsi="Times New Roman" w:cs="Times New Roman"/>
        </w:rPr>
        <w:t>*</w:t>
      </w:r>
      <w:r>
        <w:rPr>
          <w:rFonts w:hint="eastAsia"/>
          <w:color w:val="auto"/>
        </w:rPr>
        <w:t>服</w:t>
      </w:r>
      <w:r>
        <w:rPr>
          <w:rFonts w:hint="eastAsia"/>
          <w:color w:val="auto"/>
          <w:lang w:val="zh-CN"/>
        </w:rPr>
        <w:t>务时间</w:t>
      </w:r>
    </w:p>
    <w:p>
      <w:pPr>
        <w:snapToGrid w:val="0"/>
        <w:spacing w:line="360" w:lineRule="auto"/>
        <w:ind w:firstLine="560" w:firstLineChars="200"/>
        <w:rPr>
          <w:rFonts w:ascii="宋体" w:hAnsi="宋体" w:cs="宋体"/>
          <w:color w:val="FF0000"/>
          <w:sz w:val="28"/>
          <w:szCs w:val="28"/>
        </w:rPr>
      </w:pPr>
      <w:r>
        <w:rPr>
          <w:rFonts w:hint="eastAsia" w:ascii="宋体" w:hAnsi="宋体" w:cs="宋体"/>
          <w:sz w:val="28"/>
          <w:szCs w:val="28"/>
        </w:rPr>
        <w:t>本项目服务期限自签订合同次日起至2024年5月13日止，合同一年一签。经采购人考核（以《怡心街道办事处生活垃圾清运考核评分表》为准）合格后可续签合同（续签合同前提条件①未出现连续两次月考核得分在80分及以下的；②全年12个月考核结果平均分在85分及以上；③履约过程中未出现转包和分包的情形）。</w:t>
      </w:r>
    </w:p>
    <w:p>
      <w:pPr>
        <w:pStyle w:val="4"/>
        <w:spacing w:after="0"/>
        <w:rPr>
          <w:color w:val="auto"/>
        </w:rPr>
      </w:pPr>
      <w:r>
        <w:rPr>
          <w:rFonts w:hint="eastAsia"/>
          <w:color w:val="auto"/>
        </w:rPr>
        <w:t>合同履行地点</w:t>
      </w:r>
    </w:p>
    <w:p>
      <w:pPr>
        <w:widowControl/>
        <w:ind w:firstLine="560" w:firstLineChars="200"/>
        <w:rPr>
          <w:rFonts w:ascii="宋体" w:hAnsi="宋体" w:cs="宋体"/>
          <w:sz w:val="28"/>
          <w:szCs w:val="28"/>
        </w:rPr>
      </w:pPr>
      <w:r>
        <w:rPr>
          <w:rFonts w:hint="eastAsia" w:ascii="宋体" w:hAnsi="宋体" w:cs="宋体"/>
          <w:sz w:val="28"/>
          <w:szCs w:val="28"/>
        </w:rPr>
        <w:t>本合同履行地点为双流区怡心街道办事处协和片区每天产生生活垃圾40吨，运送至西航港垃圾压缩站里程为28公里（含街办内收运里程）。</w:t>
      </w:r>
    </w:p>
    <w:p>
      <w:pPr>
        <w:pStyle w:val="4"/>
        <w:spacing w:after="0"/>
        <w:rPr>
          <w:color w:val="auto"/>
        </w:rPr>
      </w:pPr>
      <w:r>
        <w:rPr>
          <w:rFonts w:hint="eastAsia"/>
          <w:color w:val="auto"/>
        </w:rPr>
        <w:t>*合同价款支付方式和条件</w:t>
      </w:r>
    </w:p>
    <w:p>
      <w:pPr>
        <w:widowControl/>
        <w:spacing w:after="0" w:line="360" w:lineRule="auto"/>
        <w:ind w:firstLine="560" w:firstLineChars="200"/>
        <w:rPr>
          <w:rFonts w:ascii="宋体" w:hAnsi="宋体" w:cs="宋体"/>
          <w:color w:val="auto"/>
          <w:sz w:val="28"/>
          <w:szCs w:val="28"/>
        </w:rPr>
      </w:pPr>
      <w:r>
        <w:rPr>
          <w:rFonts w:hint="eastAsia" w:ascii="宋体" w:hAnsi="宋体" w:cs="宋体"/>
          <w:color w:val="auto"/>
          <w:sz w:val="28"/>
          <w:szCs w:val="28"/>
        </w:rPr>
        <w:t>一、预付款：本合同签订后5个工作日内，采购人向乙方支付本年度总价的30%作为预付款，预付款的抵扣方式为：分12次按同等比例从进度款中抵扣。</w:t>
      </w:r>
    </w:p>
    <w:p>
      <w:pPr>
        <w:widowControl/>
        <w:spacing w:after="0" w:line="360" w:lineRule="auto"/>
        <w:ind w:firstLine="560" w:firstLineChars="200"/>
        <w:rPr>
          <w:rFonts w:ascii="宋体" w:hAnsi="宋体" w:cs="宋体"/>
          <w:color w:val="auto"/>
          <w:sz w:val="28"/>
          <w:szCs w:val="28"/>
        </w:rPr>
      </w:pPr>
      <w:r>
        <w:rPr>
          <w:rFonts w:hint="eastAsia" w:ascii="宋体" w:hAnsi="宋体" w:cs="宋体"/>
          <w:color w:val="auto"/>
          <w:sz w:val="28"/>
          <w:szCs w:val="28"/>
        </w:rPr>
        <w:t>二、进度款：采购人按月对乙方进行考核，并根据考核结果扣除相应费用、扣除约定比例的预付款，考核结算后的费用为最终支付金额，由采购人于次月支付（即收到乙方发票后15日内，拨付上月最终结算的作业服务费）。</w:t>
      </w:r>
    </w:p>
    <w:p>
      <w:pPr>
        <w:widowControl/>
        <w:spacing w:after="0" w:line="360" w:lineRule="auto"/>
        <w:ind w:firstLine="560" w:firstLineChars="200"/>
        <w:rPr>
          <w:rFonts w:ascii="宋体" w:hAnsi="宋体" w:cs="宋体"/>
          <w:sz w:val="28"/>
          <w:szCs w:val="28"/>
        </w:rPr>
      </w:pPr>
      <w:r>
        <w:rPr>
          <w:rFonts w:hint="eastAsia" w:ascii="宋体" w:hAnsi="宋体" w:cs="宋体"/>
          <w:sz w:val="28"/>
          <w:szCs w:val="28"/>
        </w:rPr>
        <w:t>三、发票要求：采购人每次付款前，乙方均应按照采购人要求提供合法有效的等额发票，采购人收到发票后方得付款。</w:t>
      </w:r>
    </w:p>
    <w:p>
      <w:pPr>
        <w:widowControl/>
        <w:ind w:firstLine="560" w:firstLineChars="200"/>
      </w:pPr>
      <w:r>
        <w:rPr>
          <w:rFonts w:hint="eastAsia" w:ascii="宋体" w:hAnsi="宋体" w:cs="宋体"/>
          <w:sz w:val="28"/>
          <w:szCs w:val="28"/>
        </w:rPr>
        <w:t>四、支付方：本合同项下任何款项支付均采用银行转账，供应商保证下述账户信息确实无误，该账户收到相应款项的，即视为采购人付款义务已经履行完毕。</w:t>
      </w:r>
    </w:p>
    <w:p>
      <w:pPr>
        <w:pStyle w:val="4"/>
        <w:spacing w:after="0"/>
      </w:pPr>
      <w:r>
        <w:rPr>
          <w:rFonts w:hint="eastAsia"/>
        </w:rPr>
        <w:t>权利义务</w:t>
      </w:r>
    </w:p>
    <w:p>
      <w:pPr>
        <w:widowControl/>
        <w:spacing w:after="0"/>
        <w:ind w:firstLine="560" w:firstLineChars="200"/>
        <w:rPr>
          <w:rFonts w:ascii="宋体" w:hAnsi="宋体" w:cs="宋体"/>
          <w:sz w:val="28"/>
          <w:szCs w:val="28"/>
        </w:rPr>
      </w:pPr>
      <w:r>
        <w:rPr>
          <w:rFonts w:hint="eastAsia" w:ascii="宋体" w:hAnsi="宋体" w:cs="宋体"/>
          <w:sz w:val="28"/>
          <w:szCs w:val="28"/>
        </w:rPr>
        <w:t>一、采购人的权利义务</w:t>
      </w:r>
    </w:p>
    <w:p>
      <w:pPr>
        <w:widowControl/>
        <w:spacing w:after="0"/>
        <w:ind w:firstLine="560" w:firstLineChars="200"/>
        <w:rPr>
          <w:rFonts w:ascii="宋体" w:hAnsi="宋体" w:cs="宋体"/>
          <w:sz w:val="28"/>
          <w:szCs w:val="28"/>
        </w:rPr>
      </w:pPr>
      <w:r>
        <w:rPr>
          <w:rFonts w:hint="eastAsia" w:ascii="宋体" w:hAnsi="宋体" w:cs="宋体"/>
          <w:sz w:val="28"/>
          <w:szCs w:val="28"/>
        </w:rPr>
        <w:t>（一）负责按照供应商中标对供应商服务区域和服务范围进行现场明确和现场指导。</w:t>
      </w:r>
    </w:p>
    <w:p>
      <w:pPr>
        <w:widowControl/>
        <w:spacing w:after="0"/>
        <w:ind w:firstLine="560" w:firstLineChars="200"/>
        <w:rPr>
          <w:rFonts w:ascii="宋体" w:hAnsi="宋体" w:cs="宋体"/>
          <w:sz w:val="28"/>
          <w:szCs w:val="28"/>
        </w:rPr>
      </w:pPr>
      <w:r>
        <w:rPr>
          <w:rFonts w:hint="eastAsia" w:ascii="宋体" w:hAnsi="宋体" w:cs="宋体"/>
          <w:sz w:val="28"/>
          <w:szCs w:val="28"/>
        </w:rPr>
        <w:t>（二）负责向供应商提供环卫作业服务质量标准、环卫作业服务质量检查考核办法等相关文件。</w:t>
      </w:r>
    </w:p>
    <w:p>
      <w:pPr>
        <w:widowControl/>
        <w:spacing w:after="0"/>
        <w:ind w:firstLine="560" w:firstLineChars="200"/>
        <w:rPr>
          <w:rFonts w:ascii="宋体" w:hAnsi="宋体" w:cs="宋体"/>
          <w:sz w:val="28"/>
          <w:szCs w:val="28"/>
        </w:rPr>
      </w:pPr>
      <w:r>
        <w:rPr>
          <w:rFonts w:hint="eastAsia" w:ascii="宋体" w:hAnsi="宋体" w:cs="宋体"/>
          <w:sz w:val="28"/>
          <w:szCs w:val="28"/>
        </w:rPr>
        <w:t>（三）采购人有权对合同规定范围内供应商的服务行为进行监督和检查，拥有监管权。有权定期核对供应商提供服务所配备的人员数量和设备质量。对采购人认为不合理或不可用部分有权下达整改通知书，并要求供应商限期整改。</w:t>
      </w:r>
    </w:p>
    <w:p>
      <w:pPr>
        <w:widowControl/>
        <w:spacing w:after="0"/>
        <w:ind w:firstLine="560" w:firstLineChars="200"/>
        <w:rPr>
          <w:rFonts w:ascii="宋体" w:hAnsi="宋体" w:cs="宋体"/>
          <w:sz w:val="28"/>
          <w:szCs w:val="28"/>
        </w:rPr>
      </w:pPr>
      <w:r>
        <w:rPr>
          <w:rFonts w:hint="eastAsia" w:ascii="宋体" w:hAnsi="宋体" w:cs="宋体"/>
          <w:sz w:val="28"/>
          <w:szCs w:val="28"/>
        </w:rPr>
        <w:t>（四）采购人有权依据双方签订的考评办法对供应商提供的服务进行定期考评。当考评结果未达到标准时，有权依据考评办法约定的数额扣除作业经费。</w:t>
      </w:r>
    </w:p>
    <w:p>
      <w:pPr>
        <w:widowControl/>
        <w:spacing w:after="0"/>
        <w:ind w:firstLine="560" w:firstLineChars="200"/>
        <w:rPr>
          <w:rFonts w:ascii="宋体" w:hAnsi="宋体" w:cs="宋体"/>
          <w:sz w:val="28"/>
          <w:szCs w:val="28"/>
        </w:rPr>
      </w:pPr>
      <w:r>
        <w:rPr>
          <w:rFonts w:hint="eastAsia" w:ascii="宋体" w:hAnsi="宋体" w:cs="宋体"/>
          <w:sz w:val="28"/>
          <w:szCs w:val="28"/>
        </w:rPr>
        <w:t>（五）负责检查监督供应商管理工作的实施及制度的执行情况。</w:t>
      </w:r>
    </w:p>
    <w:p>
      <w:pPr>
        <w:widowControl/>
        <w:spacing w:after="0"/>
        <w:ind w:firstLine="560" w:firstLineChars="200"/>
        <w:rPr>
          <w:rFonts w:ascii="宋体" w:hAnsi="宋体" w:cs="宋体"/>
          <w:sz w:val="28"/>
          <w:szCs w:val="28"/>
        </w:rPr>
      </w:pPr>
      <w:r>
        <w:rPr>
          <w:rFonts w:hint="eastAsia" w:ascii="宋体" w:hAnsi="宋体" w:cs="宋体"/>
          <w:sz w:val="28"/>
          <w:szCs w:val="28"/>
        </w:rPr>
        <w:t>（六）根据本合同约定，按时向供应商支付应付服务费用。</w:t>
      </w:r>
    </w:p>
    <w:p>
      <w:pPr>
        <w:widowControl/>
        <w:spacing w:after="0"/>
        <w:ind w:firstLine="560" w:firstLineChars="200"/>
        <w:rPr>
          <w:rFonts w:ascii="宋体" w:hAnsi="宋体" w:cs="宋体"/>
          <w:sz w:val="28"/>
          <w:szCs w:val="28"/>
        </w:rPr>
      </w:pPr>
      <w:r>
        <w:rPr>
          <w:rFonts w:hint="eastAsia" w:ascii="宋体" w:hAnsi="宋体" w:cs="宋体"/>
          <w:sz w:val="28"/>
          <w:szCs w:val="28"/>
        </w:rPr>
        <w:t>（七）采购人有权协同劳动监察部门对供应商用工情况进行检查，有权要求供应商按招标要求保障作业人员的福利待遇。采购人不承担任何由于供应商未办理员工劳动关系由此而产生的纠纷等责任。一旦有相关纠纷，采购人有权立即终止合同。</w:t>
      </w:r>
    </w:p>
    <w:p>
      <w:pPr>
        <w:widowControl/>
        <w:spacing w:after="0"/>
        <w:ind w:firstLine="560" w:firstLineChars="200"/>
        <w:rPr>
          <w:rFonts w:ascii="宋体" w:hAnsi="宋体" w:cs="宋体"/>
          <w:sz w:val="28"/>
          <w:szCs w:val="28"/>
        </w:rPr>
      </w:pPr>
      <w:r>
        <w:rPr>
          <w:rFonts w:hint="eastAsia" w:ascii="宋体" w:hAnsi="宋体" w:cs="宋体"/>
          <w:sz w:val="28"/>
          <w:szCs w:val="28"/>
        </w:rPr>
        <w:t>（八）国家法律、法规所规定由采购人承担的其它责任。</w:t>
      </w:r>
    </w:p>
    <w:p>
      <w:pPr>
        <w:widowControl/>
        <w:spacing w:after="0"/>
        <w:ind w:firstLine="560" w:firstLineChars="200"/>
        <w:rPr>
          <w:rFonts w:ascii="宋体" w:hAnsi="宋体" w:cs="宋体"/>
          <w:sz w:val="28"/>
          <w:szCs w:val="28"/>
        </w:rPr>
      </w:pPr>
      <w:r>
        <w:rPr>
          <w:rFonts w:hint="eastAsia" w:ascii="宋体" w:hAnsi="宋体" w:cs="宋体"/>
          <w:sz w:val="28"/>
          <w:szCs w:val="28"/>
        </w:rPr>
        <w:t>二、供应商的权利义务</w:t>
      </w:r>
    </w:p>
    <w:p>
      <w:pPr>
        <w:widowControl/>
        <w:spacing w:after="0"/>
        <w:ind w:firstLine="560" w:firstLineChars="200"/>
        <w:rPr>
          <w:rFonts w:ascii="宋体" w:hAnsi="宋体" w:cs="宋体"/>
          <w:sz w:val="28"/>
          <w:szCs w:val="28"/>
        </w:rPr>
      </w:pPr>
      <w:r>
        <w:rPr>
          <w:rFonts w:hint="eastAsia" w:ascii="宋体" w:hAnsi="宋体" w:cs="宋体"/>
          <w:sz w:val="28"/>
          <w:szCs w:val="28"/>
        </w:rPr>
        <w:t>（一）根据采购人要求和有关法律、法规及本合同相关约定，制定相关工作方案，完善相关管理制度，并按照合同约定的作业质量标准完成各项作业任务。根据需要增加节假日和重大活动期间清扫保洁、冲洗除尘和垃圾清运频次，保证节假日和重大活动期间环境卫生干净清爽，高质量呈现。</w:t>
      </w:r>
    </w:p>
    <w:p>
      <w:pPr>
        <w:widowControl/>
        <w:spacing w:after="0"/>
        <w:ind w:firstLine="560" w:firstLineChars="200"/>
        <w:rPr>
          <w:rFonts w:ascii="宋体" w:hAnsi="宋体" w:cs="宋体"/>
          <w:sz w:val="28"/>
          <w:szCs w:val="28"/>
        </w:rPr>
      </w:pPr>
      <w:r>
        <w:rPr>
          <w:rFonts w:hint="eastAsia" w:ascii="宋体" w:hAnsi="宋体" w:cs="宋体"/>
          <w:sz w:val="28"/>
          <w:szCs w:val="28"/>
        </w:rPr>
        <w:t>（二）在本合同签订前向采购人递交派驻中标辖区项目负责人的书面材料。项目负责人代表供应商随时向采购人书面报告作业服务实施情况（内容、数量、频次、质量效果、佐证材料等）。</w:t>
      </w:r>
    </w:p>
    <w:p>
      <w:pPr>
        <w:widowControl/>
        <w:spacing w:after="0"/>
        <w:ind w:firstLine="560" w:firstLineChars="200"/>
        <w:rPr>
          <w:rFonts w:ascii="宋体" w:hAnsi="宋体" w:cs="宋体"/>
          <w:sz w:val="28"/>
          <w:szCs w:val="28"/>
        </w:rPr>
      </w:pPr>
      <w:r>
        <w:rPr>
          <w:rFonts w:hint="eastAsia" w:ascii="宋体" w:hAnsi="宋体" w:cs="宋体"/>
          <w:sz w:val="28"/>
          <w:szCs w:val="28"/>
        </w:rPr>
        <w:t>（三）供应商自觉接受采购人的监督、检查和指导，按要求保质保量高标准完成临时交办的各项任务，对采购人发现的问题采取积极措施快速整改到位。对于作业服务区域内发生的违反城市环境卫生管理法律法规的行为，主动劝阻和制止，并及时向采购人报告。</w:t>
      </w:r>
    </w:p>
    <w:p>
      <w:pPr>
        <w:widowControl/>
        <w:spacing w:after="0"/>
        <w:ind w:firstLine="560" w:firstLineChars="200"/>
        <w:rPr>
          <w:rFonts w:ascii="宋体" w:hAnsi="宋体" w:cs="宋体"/>
          <w:sz w:val="28"/>
          <w:szCs w:val="28"/>
        </w:rPr>
      </w:pPr>
      <w:r>
        <w:rPr>
          <w:rFonts w:hint="eastAsia" w:ascii="宋体" w:hAnsi="宋体" w:cs="宋体"/>
          <w:sz w:val="28"/>
          <w:szCs w:val="28"/>
        </w:rPr>
        <w:t>（四）为保证环境卫生作业服务的连续性和作业质量的稳定性，供应商有义务自愿同意聘用原各辖区段面上自愿留下的从业人员，且3月之内不得无故开除。</w:t>
      </w:r>
    </w:p>
    <w:p>
      <w:pPr>
        <w:widowControl/>
        <w:spacing w:after="0"/>
        <w:ind w:firstLine="560" w:firstLineChars="200"/>
        <w:rPr>
          <w:rFonts w:ascii="宋体" w:hAnsi="宋体" w:cs="宋体"/>
          <w:sz w:val="28"/>
          <w:szCs w:val="28"/>
        </w:rPr>
      </w:pPr>
      <w:r>
        <w:rPr>
          <w:rFonts w:hint="eastAsia" w:ascii="宋体" w:hAnsi="宋体" w:cs="宋体"/>
          <w:sz w:val="28"/>
          <w:szCs w:val="28"/>
        </w:rPr>
        <w:t>（五）按要求足额配备环卫从业人员，并定期开展相关培训。为从业人员足额缴纳社会保险费，按法律法规要求足额发放从业人员工资。同时供应商必须与环卫从业人员签订劳动、劳务合同，并向采购人提交备案。供应商与供应商从业人员间产生的任何劳动、劳务争议，均由供应商自行解决并承担损失，概与采购人无关。</w:t>
      </w:r>
    </w:p>
    <w:p>
      <w:pPr>
        <w:widowControl/>
        <w:spacing w:after="0"/>
        <w:ind w:firstLine="560" w:firstLineChars="200"/>
        <w:rPr>
          <w:rFonts w:ascii="宋体" w:hAnsi="宋体" w:cs="宋体"/>
          <w:sz w:val="28"/>
          <w:szCs w:val="28"/>
        </w:rPr>
      </w:pPr>
      <w:r>
        <w:rPr>
          <w:rFonts w:hint="eastAsia" w:ascii="宋体" w:hAnsi="宋体" w:cs="宋体"/>
          <w:sz w:val="28"/>
          <w:szCs w:val="28"/>
        </w:rPr>
        <w:t>（六）根据公司实际，每年定期组织和安排对环卫工人进行常规体检。根据实际需要，合理安排和设置环卫工作休息点。</w:t>
      </w:r>
    </w:p>
    <w:p>
      <w:pPr>
        <w:widowControl/>
        <w:spacing w:after="0"/>
        <w:ind w:firstLine="560" w:firstLineChars="200"/>
        <w:rPr>
          <w:rFonts w:ascii="宋体" w:hAnsi="宋体" w:cs="宋体"/>
          <w:sz w:val="28"/>
          <w:szCs w:val="28"/>
        </w:rPr>
      </w:pPr>
      <w:r>
        <w:rPr>
          <w:rFonts w:hint="eastAsia" w:ascii="宋体" w:hAnsi="宋体" w:cs="宋体"/>
          <w:sz w:val="28"/>
          <w:szCs w:val="28"/>
        </w:rPr>
        <w:t>（七）环卫作业服务所需的作业机具（包括洒水车、洗扫车、高压清洗车、垃圾清运车、垃圾转运车、快速保洁车、大扫帚、小扫帚、撮箕、抹布、垃圾袋等）和环卫作业人员服装由供应商自行负责购置并承担费用，所有作业车辆需按区上要求，且做到外观标识统一规范。对洒水车、洗扫车、垃圾清运车等大型作业机具按要求安装GPS,且保持运行良好，痕迹可查。</w:t>
      </w:r>
    </w:p>
    <w:p>
      <w:pPr>
        <w:widowControl/>
        <w:spacing w:after="0"/>
        <w:ind w:firstLine="560" w:firstLineChars="200"/>
        <w:rPr>
          <w:rFonts w:ascii="宋体" w:hAnsi="宋体" w:cs="宋体"/>
          <w:sz w:val="28"/>
          <w:szCs w:val="28"/>
        </w:rPr>
      </w:pPr>
      <w:r>
        <w:rPr>
          <w:rFonts w:hint="eastAsia" w:ascii="宋体" w:hAnsi="宋体" w:cs="宋体"/>
          <w:sz w:val="28"/>
          <w:szCs w:val="28"/>
        </w:rPr>
        <w:t>（八）按照《公司法》和《会计法》规定，健全本公司财务管理制度，严格财务管理。</w:t>
      </w:r>
    </w:p>
    <w:p>
      <w:pPr>
        <w:widowControl/>
        <w:spacing w:after="0"/>
        <w:ind w:firstLine="560" w:firstLineChars="200"/>
        <w:rPr>
          <w:rFonts w:ascii="宋体" w:hAnsi="宋体" w:cs="宋体"/>
          <w:sz w:val="28"/>
          <w:szCs w:val="28"/>
        </w:rPr>
      </w:pPr>
      <w:r>
        <w:rPr>
          <w:rFonts w:hint="eastAsia" w:ascii="宋体" w:hAnsi="宋体" w:cs="宋体"/>
          <w:sz w:val="28"/>
          <w:szCs w:val="28"/>
        </w:rPr>
        <w:t>（九）遵守安全生产相关规定，安全操作、文明作业。合同期内，供应商在环卫作业中产生的一切安全责任事故和其它责任事故概由供应商负责。</w:t>
      </w:r>
    </w:p>
    <w:p>
      <w:pPr>
        <w:widowControl/>
        <w:spacing w:after="0"/>
        <w:ind w:firstLine="560" w:firstLineChars="200"/>
        <w:rPr>
          <w:rFonts w:ascii="宋体" w:hAnsi="宋体" w:cs="宋体"/>
          <w:sz w:val="28"/>
          <w:szCs w:val="28"/>
        </w:rPr>
      </w:pPr>
      <w:r>
        <w:rPr>
          <w:rFonts w:hint="eastAsia" w:ascii="宋体" w:hAnsi="宋体" w:cs="宋体"/>
          <w:sz w:val="28"/>
          <w:szCs w:val="28"/>
        </w:rPr>
        <w:t>（十）建立信息联动机制。如发现中标标段内道路路面、窨井盖、路灯、路牌、交安设施等市政设施损坏损毁现象及时向采购人报告。</w:t>
      </w:r>
    </w:p>
    <w:p>
      <w:pPr>
        <w:widowControl/>
        <w:spacing w:after="0"/>
        <w:ind w:firstLine="560" w:firstLineChars="200"/>
      </w:pPr>
      <w:r>
        <w:rPr>
          <w:rFonts w:hint="eastAsia" w:ascii="宋体" w:hAnsi="宋体" w:cs="宋体"/>
          <w:sz w:val="28"/>
          <w:szCs w:val="28"/>
        </w:rPr>
        <w:t>（十一）供应商自觉遵守国家相关法律法规，如违反国家法律法规相关规定，供应商承担全部法律责任。</w:t>
      </w:r>
    </w:p>
    <w:p>
      <w:pPr>
        <w:pStyle w:val="4"/>
        <w:spacing w:after="0"/>
      </w:pPr>
      <w:r>
        <w:rPr>
          <w:rFonts w:hint="eastAsia"/>
          <w:color w:val="auto"/>
        </w:rPr>
        <w:t>违约责任</w:t>
      </w:r>
    </w:p>
    <w:p>
      <w:pPr>
        <w:widowControl/>
        <w:numPr>
          <w:ilvl w:val="0"/>
          <w:numId w:val="38"/>
        </w:numPr>
        <w:spacing w:after="0"/>
        <w:ind w:firstLine="560" w:firstLineChars="200"/>
        <w:rPr>
          <w:rFonts w:ascii="宋体" w:hAnsi="宋体" w:cs="宋体"/>
          <w:sz w:val="28"/>
          <w:szCs w:val="28"/>
        </w:rPr>
      </w:pPr>
      <w:r>
        <w:rPr>
          <w:rFonts w:hint="eastAsia" w:ascii="宋体" w:hAnsi="宋体" w:cs="宋体"/>
          <w:sz w:val="28"/>
          <w:szCs w:val="28"/>
        </w:rPr>
        <w:t>采购人违约责任</w:t>
      </w:r>
    </w:p>
    <w:p>
      <w:pPr>
        <w:widowControl/>
        <w:spacing w:after="0"/>
        <w:ind w:firstLine="560" w:firstLineChars="200"/>
        <w:rPr>
          <w:rFonts w:ascii="宋体" w:hAnsi="宋体" w:cs="宋体"/>
          <w:sz w:val="28"/>
          <w:szCs w:val="28"/>
        </w:rPr>
      </w:pPr>
      <w:r>
        <w:rPr>
          <w:rFonts w:hint="eastAsia" w:ascii="宋体" w:hAnsi="宋体" w:cs="宋体"/>
          <w:sz w:val="28"/>
          <w:szCs w:val="28"/>
        </w:rPr>
        <w:t>（一）供应商在服务期内无质量问题和违约行为的，采购人应在收到供应商齐全的请款资料后10日内支付供应商服务费（如因客观原因造成支付延期的除外，例如发生自然灾害、疫情等）。其余情况逾期，则按应付金额每日1‰标准向供应商赔付违约金。</w:t>
      </w:r>
    </w:p>
    <w:p>
      <w:pPr>
        <w:widowControl/>
        <w:spacing w:after="0"/>
        <w:ind w:firstLine="560" w:firstLineChars="200"/>
        <w:rPr>
          <w:rFonts w:ascii="宋体" w:hAnsi="宋体" w:cs="宋体"/>
          <w:sz w:val="28"/>
          <w:szCs w:val="28"/>
        </w:rPr>
      </w:pPr>
      <w:r>
        <w:rPr>
          <w:rFonts w:hint="eastAsia" w:ascii="宋体" w:hAnsi="宋体" w:cs="宋体"/>
          <w:sz w:val="28"/>
          <w:szCs w:val="28"/>
        </w:rPr>
        <w:t>（二）因采购人原因导致变更、中止或者终止政府采购合同的，采购人依照合同约定对供应商受到的损失予以赔偿或者补偿。</w:t>
      </w:r>
    </w:p>
    <w:p>
      <w:pPr>
        <w:pStyle w:val="2"/>
        <w:spacing w:after="0"/>
        <w:ind w:firstLine="560" w:firstLineChars="200"/>
        <w:rPr>
          <w:rFonts w:ascii="宋体" w:hAnsi="宋体" w:cs="宋体"/>
          <w:sz w:val="28"/>
          <w:szCs w:val="28"/>
        </w:rPr>
      </w:pPr>
      <w:r>
        <w:rPr>
          <w:rFonts w:hint="eastAsia" w:ascii="宋体" w:hAnsi="宋体" w:cs="宋体"/>
          <w:sz w:val="28"/>
          <w:szCs w:val="28"/>
        </w:rPr>
        <w:t>二、供应商违约责任</w:t>
      </w:r>
    </w:p>
    <w:p>
      <w:pPr>
        <w:widowControl/>
        <w:spacing w:after="0"/>
        <w:ind w:firstLine="560" w:firstLineChars="200"/>
        <w:rPr>
          <w:rFonts w:ascii="宋体" w:hAnsi="宋体" w:cs="宋体"/>
          <w:sz w:val="28"/>
          <w:szCs w:val="28"/>
        </w:rPr>
      </w:pPr>
      <w:r>
        <w:rPr>
          <w:rFonts w:hint="eastAsia" w:ascii="宋体" w:hAnsi="宋体" w:cs="宋体"/>
          <w:sz w:val="28"/>
          <w:szCs w:val="28"/>
        </w:rPr>
        <w:t>（一）因供应商疏于管理，未按照法律、法规规定和合同的约定履行公共秩序防范义务，导致他人人身、财产受到损失的，应承担相应的经济赔偿等法律责任。</w:t>
      </w:r>
    </w:p>
    <w:p>
      <w:pPr>
        <w:widowControl/>
        <w:spacing w:after="0"/>
        <w:ind w:firstLine="560" w:firstLineChars="200"/>
        <w:rPr>
          <w:rFonts w:ascii="宋体" w:hAnsi="宋体" w:cs="宋体"/>
          <w:color w:val="auto"/>
          <w:sz w:val="28"/>
          <w:szCs w:val="28"/>
        </w:rPr>
      </w:pPr>
      <w:r>
        <w:rPr>
          <w:rFonts w:hint="eastAsia" w:ascii="宋体" w:hAnsi="宋体" w:cs="宋体"/>
          <w:sz w:val="28"/>
          <w:szCs w:val="28"/>
        </w:rPr>
        <w:t>（二）供应商违反合同约定，未能达到约定的管理目标，采购人有权要求供应商限期整改，达到合同约定；逾期未整改的，或整改不符合合同约定的，采购人有权终止合同；造成采购人经济损失的，供应商应给予采购人一定的经</w:t>
      </w:r>
      <w:r>
        <w:rPr>
          <w:rFonts w:hint="eastAsia" w:ascii="宋体" w:hAnsi="宋体" w:cs="宋体"/>
          <w:color w:val="auto"/>
          <w:sz w:val="28"/>
          <w:szCs w:val="28"/>
        </w:rPr>
        <w:t>济赔偿（按照实际损失赔偿）。</w:t>
      </w:r>
    </w:p>
    <w:p>
      <w:pPr>
        <w:widowControl/>
        <w:spacing w:after="0"/>
        <w:ind w:firstLine="560" w:firstLineChars="200"/>
        <w:rPr>
          <w:rFonts w:ascii="宋体" w:hAnsi="宋体" w:cs="宋体"/>
          <w:color w:val="auto"/>
          <w:sz w:val="28"/>
          <w:szCs w:val="28"/>
        </w:rPr>
      </w:pPr>
      <w:r>
        <w:rPr>
          <w:rFonts w:hint="eastAsia" w:ascii="宋体" w:hAnsi="宋体" w:cs="宋体"/>
          <w:color w:val="auto"/>
          <w:sz w:val="28"/>
          <w:szCs w:val="28"/>
        </w:rPr>
        <w:t>（三）如供应商人发生违约事项产生违约金的，采购人可以从采购人应付或将付给供应商的任何一笔款项中扣除。</w:t>
      </w:r>
    </w:p>
    <w:p>
      <w:pPr>
        <w:pStyle w:val="4"/>
        <w:spacing w:after="0"/>
        <w:rPr>
          <w:color w:val="auto"/>
          <w:lang w:val="zh-CN"/>
        </w:rPr>
      </w:pPr>
      <w:r>
        <w:rPr>
          <w:rFonts w:hint="eastAsia"/>
          <w:color w:val="auto"/>
          <w:lang w:val="zh-CN"/>
        </w:rPr>
        <w:t>*验收标准和方法</w:t>
      </w:r>
    </w:p>
    <w:p>
      <w:pPr>
        <w:pStyle w:val="2"/>
        <w:spacing w:before="20" w:after="20" w:line="360" w:lineRule="auto"/>
        <w:ind w:firstLine="536" w:firstLineChars="200"/>
        <w:rPr>
          <w:rFonts w:asciiTheme="minorEastAsia" w:hAnsiTheme="minorEastAsia" w:eastAsiaTheme="minorEastAsia" w:cstheme="minorEastAsia"/>
          <w:spacing w:val="-6"/>
          <w:kern w:val="4"/>
          <w:sz w:val="28"/>
          <w:szCs w:val="28"/>
        </w:rPr>
      </w:pPr>
      <w:r>
        <w:rPr>
          <w:rFonts w:hint="eastAsia" w:asciiTheme="minorEastAsia" w:hAnsiTheme="minorEastAsia" w:eastAsiaTheme="minorEastAsia" w:cstheme="minorEastAsia"/>
          <w:spacing w:val="-6"/>
          <w:kern w:val="4"/>
          <w:sz w:val="28"/>
          <w:szCs w:val="28"/>
        </w:rPr>
        <w:t>一、考核标准</w:t>
      </w:r>
    </w:p>
    <w:p>
      <w:pPr>
        <w:pStyle w:val="2"/>
        <w:spacing w:before="20" w:after="20" w:line="360" w:lineRule="auto"/>
        <w:ind w:firstLine="536" w:firstLineChars="200"/>
        <w:rPr>
          <w:rFonts w:asciiTheme="minorEastAsia" w:hAnsiTheme="minorEastAsia" w:eastAsiaTheme="minorEastAsia" w:cstheme="minorEastAsia"/>
          <w:spacing w:val="-6"/>
          <w:kern w:val="4"/>
          <w:sz w:val="28"/>
          <w:szCs w:val="28"/>
        </w:rPr>
      </w:pPr>
      <w:r>
        <w:rPr>
          <w:rFonts w:hint="eastAsia" w:asciiTheme="minorEastAsia" w:hAnsiTheme="minorEastAsia" w:eastAsiaTheme="minorEastAsia" w:cstheme="minorEastAsia"/>
          <w:spacing w:val="-6"/>
          <w:kern w:val="4"/>
          <w:sz w:val="28"/>
          <w:szCs w:val="28"/>
        </w:rPr>
        <w:t>常规考核标准：按照《成都市双流区人民政府怡心街道办事处环境卫生作业考核办法》和《怡心街道办事处环境卫生考核评分表》中的要求考核。（详见附件2）</w:t>
      </w:r>
    </w:p>
    <w:p>
      <w:pPr>
        <w:pStyle w:val="2"/>
        <w:spacing w:before="20" w:after="20" w:line="360" w:lineRule="auto"/>
        <w:ind w:firstLine="536" w:firstLineChars="200"/>
        <w:rPr>
          <w:rFonts w:asciiTheme="minorEastAsia" w:hAnsiTheme="minorEastAsia" w:eastAsiaTheme="minorEastAsia" w:cstheme="minorEastAsia"/>
          <w:spacing w:val="-6"/>
          <w:kern w:val="4"/>
          <w:sz w:val="28"/>
          <w:szCs w:val="28"/>
        </w:rPr>
      </w:pPr>
      <w:r>
        <w:rPr>
          <w:rFonts w:hint="eastAsia" w:asciiTheme="minorEastAsia" w:hAnsiTheme="minorEastAsia" w:eastAsiaTheme="minorEastAsia" w:cstheme="minorEastAsia"/>
          <w:spacing w:val="-6"/>
          <w:kern w:val="4"/>
          <w:sz w:val="28"/>
          <w:szCs w:val="28"/>
        </w:rPr>
        <w:t>二、履约验收</w:t>
      </w:r>
    </w:p>
    <w:p>
      <w:pPr>
        <w:pStyle w:val="2"/>
        <w:spacing w:before="20" w:after="20" w:line="360" w:lineRule="auto"/>
        <w:ind w:firstLine="536" w:firstLineChars="200"/>
        <w:rPr>
          <w:rFonts w:asciiTheme="minorEastAsia" w:hAnsiTheme="minorEastAsia" w:eastAsiaTheme="minorEastAsia" w:cstheme="minorEastAsia"/>
          <w:spacing w:val="-6"/>
          <w:kern w:val="4"/>
          <w:sz w:val="28"/>
          <w:szCs w:val="28"/>
        </w:rPr>
      </w:pPr>
      <w:r>
        <w:rPr>
          <w:rFonts w:hint="eastAsia" w:asciiTheme="minorEastAsia" w:hAnsiTheme="minorEastAsia" w:eastAsiaTheme="minorEastAsia" w:cstheme="minorEastAsia"/>
          <w:spacing w:val="-6"/>
          <w:kern w:val="4"/>
          <w:sz w:val="28"/>
          <w:szCs w:val="28"/>
        </w:rPr>
        <w:t>按照《财政部关于进一步加强政府采购需求和履约验收管理的指导意见》（财库〔2016〕205号）和根据国家相关规定、招标文件的质量要求和服务指标、中标的投标文件及承诺以及合同约定标准进行验收。</w:t>
      </w:r>
    </w:p>
    <w:p>
      <w:pPr>
        <w:pStyle w:val="4"/>
        <w:spacing w:after="0"/>
      </w:pPr>
      <w:r>
        <w:rPr>
          <w:rFonts w:hint="eastAsia"/>
        </w:rPr>
        <w:t>争议解决</w:t>
      </w:r>
    </w:p>
    <w:p>
      <w:pPr>
        <w:tabs>
          <w:tab w:val="left" w:pos="1134"/>
        </w:tabs>
        <w:snapToGrid w:val="0"/>
        <w:spacing w:line="360" w:lineRule="auto"/>
        <w:ind w:firstLine="562" w:firstLineChars="201"/>
        <w:rPr>
          <w:rFonts w:ascii="宋体" w:hAnsi="宋体" w:cs="宋体"/>
          <w:sz w:val="28"/>
          <w:szCs w:val="28"/>
          <w:lang w:val="zh-CN"/>
        </w:rPr>
      </w:pPr>
      <w:r>
        <w:rPr>
          <w:rFonts w:hint="eastAsia" w:ascii="宋体" w:hAnsi="宋体" w:cs="宋体"/>
          <w:sz w:val="28"/>
          <w:szCs w:val="28"/>
          <w:lang w:val="zh-CN"/>
        </w:rPr>
        <w:t>在本项目履行过程中，发生争议时，双方应友好协商，经协商不能达成一致的，双方均可向</w:t>
      </w:r>
      <w:r>
        <w:rPr>
          <w:rFonts w:hint="eastAsia" w:ascii="宋体" w:hAnsi="宋体" w:cs="宋体"/>
          <w:sz w:val="28"/>
          <w:szCs w:val="28"/>
        </w:rPr>
        <w:t>采购人</w:t>
      </w:r>
      <w:r>
        <w:rPr>
          <w:rFonts w:hint="eastAsia" w:ascii="宋体" w:hAnsi="宋体" w:cs="宋体"/>
          <w:sz w:val="28"/>
          <w:szCs w:val="28"/>
          <w:lang w:val="zh-CN"/>
        </w:rPr>
        <w:t>所在地有管辖权的法院提起诉讼。</w:t>
      </w:r>
    </w:p>
    <w:p>
      <w:pPr>
        <w:pStyle w:val="4"/>
        <w:spacing w:after="0"/>
        <w:rPr>
          <w:color w:val="auto"/>
        </w:rPr>
      </w:pPr>
      <w:r>
        <w:rPr>
          <w:rFonts w:hint="eastAsia"/>
          <w:color w:val="auto"/>
          <w:lang w:val="zh-CN"/>
        </w:rPr>
        <w:t>其它</w:t>
      </w:r>
      <w:bookmarkEnd w:id="164"/>
      <w:bookmarkEnd w:id="165"/>
    </w:p>
    <w:p>
      <w:pPr>
        <w:tabs>
          <w:tab w:val="left" w:pos="1134"/>
        </w:tabs>
        <w:snapToGrid w:val="0"/>
        <w:spacing w:line="360" w:lineRule="auto"/>
        <w:ind w:firstLine="565" w:firstLineChars="201"/>
        <w:rPr>
          <w:rFonts w:ascii="宋体" w:hAnsi="宋体" w:cs="宋体"/>
          <w:b/>
          <w:sz w:val="28"/>
          <w:szCs w:val="28"/>
        </w:rPr>
      </w:pPr>
      <w:r>
        <w:rPr>
          <w:rFonts w:hint="eastAsia" w:ascii="宋体" w:hAnsi="宋体" w:cs="宋体"/>
          <w:b/>
          <w:sz w:val="28"/>
          <w:szCs w:val="28"/>
        </w:rPr>
        <w:t>一、供应商对于政府有重大保障需求时无条件服从安排，应急措施完善、配备机具及作业人员30分钟内到达现场。</w:t>
      </w:r>
    </w:p>
    <w:p>
      <w:pPr>
        <w:tabs>
          <w:tab w:val="left" w:pos="1134"/>
        </w:tabs>
        <w:snapToGrid w:val="0"/>
        <w:spacing w:line="360" w:lineRule="auto"/>
        <w:ind w:firstLine="565" w:firstLineChars="201"/>
        <w:rPr>
          <w:rFonts w:ascii="宋体" w:hAnsi="宋体" w:cs="宋体"/>
          <w:b/>
          <w:sz w:val="28"/>
          <w:szCs w:val="28"/>
        </w:rPr>
      </w:pPr>
      <w:r>
        <w:rPr>
          <w:rFonts w:hint="eastAsia" w:ascii="宋体" w:hAnsi="宋体" w:cs="宋体"/>
          <w:b/>
          <w:sz w:val="28"/>
          <w:szCs w:val="28"/>
        </w:rPr>
        <w:t>二、将成都市双流区人民政府怡心街道办事处的《成都市双流区人民政府怡心街道办事处环境卫生作业考核办法》和《怡心街道办事处生活垃圾清运考核评分表》中的要求作为合同附件。（详见附件）</w:t>
      </w:r>
    </w:p>
    <w:p>
      <w:pPr>
        <w:pStyle w:val="4"/>
        <w:spacing w:after="0"/>
        <w:rPr>
          <w:color w:val="auto"/>
          <w:lang w:val="zh-CN"/>
        </w:rPr>
      </w:pPr>
      <w:r>
        <w:rPr>
          <w:rFonts w:hint="eastAsia"/>
          <w:color w:val="auto"/>
        </w:rPr>
        <w:t>*</w:t>
      </w:r>
      <w:r>
        <w:rPr>
          <w:rFonts w:hint="eastAsia"/>
          <w:color w:val="auto"/>
          <w:lang w:val="zh-CN"/>
        </w:rPr>
        <w:t>最高限价</w:t>
      </w:r>
    </w:p>
    <w:p>
      <w:pPr>
        <w:tabs>
          <w:tab w:val="left" w:pos="1134"/>
        </w:tabs>
        <w:snapToGrid w:val="0"/>
        <w:spacing w:line="360" w:lineRule="auto"/>
        <w:ind w:firstLine="565" w:firstLineChars="201"/>
        <w:rPr>
          <w:rFonts w:ascii="宋体" w:hAnsi="宋体" w:cs="宋体"/>
          <w:b/>
          <w:sz w:val="28"/>
          <w:szCs w:val="28"/>
          <w:lang w:val="zh-CN"/>
        </w:rPr>
      </w:pPr>
      <w:r>
        <w:rPr>
          <w:rFonts w:hint="eastAsia" w:ascii="宋体" w:hAnsi="宋体" w:cs="宋体"/>
          <w:b/>
          <w:sz w:val="28"/>
          <w:szCs w:val="28"/>
          <w:lang w:val="zh-CN"/>
        </w:rPr>
        <w:t>本项目最高限价为人民币</w:t>
      </w:r>
      <w:r>
        <w:rPr>
          <w:rFonts w:hint="eastAsia" w:ascii="宋体" w:hAnsi="宋体" w:cs="宋体"/>
          <w:b/>
          <w:sz w:val="28"/>
          <w:szCs w:val="28"/>
        </w:rPr>
        <w:t>1046000</w:t>
      </w:r>
      <w:r>
        <w:rPr>
          <w:rFonts w:hint="eastAsia" w:ascii="宋体" w:hAnsi="宋体" w:cs="宋体"/>
          <w:b/>
          <w:sz w:val="28"/>
          <w:szCs w:val="28"/>
          <w:lang w:val="zh-CN"/>
        </w:rPr>
        <w:t>元</w:t>
      </w:r>
      <w:r>
        <w:rPr>
          <w:rFonts w:hint="eastAsia" w:ascii="宋体" w:hAnsi="宋体" w:cs="宋体"/>
          <w:b/>
          <w:sz w:val="28"/>
          <w:szCs w:val="28"/>
        </w:rPr>
        <w:t>/年</w:t>
      </w:r>
      <w:r>
        <w:rPr>
          <w:rFonts w:hint="eastAsia" w:ascii="宋体" w:hAnsi="宋体" w:cs="宋体"/>
          <w:b/>
          <w:sz w:val="28"/>
          <w:szCs w:val="28"/>
          <w:lang w:val="zh-CN"/>
        </w:rPr>
        <w:t>，</w:t>
      </w:r>
      <w:r>
        <w:rPr>
          <w:rFonts w:hint="eastAsia" w:ascii="宋体" w:hAnsi="宋体" w:cs="宋体"/>
          <w:b/>
          <w:sz w:val="28"/>
          <w:szCs w:val="28"/>
        </w:rPr>
        <w:t>投标人</w:t>
      </w:r>
      <w:r>
        <w:rPr>
          <w:rFonts w:hint="eastAsia" w:ascii="宋体" w:hAnsi="宋体" w:cs="宋体"/>
          <w:b/>
          <w:sz w:val="28"/>
          <w:szCs w:val="28"/>
          <w:lang w:val="zh-CN"/>
        </w:rPr>
        <w:t>投标报价高于所投最高限价的，则其所投投标文件将按无效投标文件处理。</w:t>
      </w:r>
    </w:p>
    <w:p>
      <w:pPr>
        <w:pStyle w:val="4"/>
        <w:spacing w:after="0"/>
        <w:rPr>
          <w:color w:val="auto"/>
        </w:rPr>
      </w:pPr>
      <w:r>
        <w:rPr>
          <w:rFonts w:hint="eastAsia"/>
          <w:color w:val="auto"/>
        </w:rPr>
        <w:t>*报价要求</w:t>
      </w:r>
    </w:p>
    <w:p>
      <w:pPr>
        <w:ind w:firstLine="560" w:firstLineChars="200"/>
        <w:rPr>
          <w:rFonts w:ascii="宋体" w:hAnsi="宋体" w:cs="宋体"/>
          <w:sz w:val="28"/>
          <w:szCs w:val="28"/>
        </w:rPr>
      </w:pPr>
      <w:r>
        <w:rPr>
          <w:rFonts w:hint="eastAsia" w:ascii="宋体" w:hAnsi="宋体" w:cs="宋体"/>
          <w:sz w:val="28"/>
          <w:szCs w:val="28"/>
        </w:rPr>
        <w:t>一、投标人报价是响应采购项目要求的全部工作内容的价格体现，包括完成本项目所涉及的人员工资、办公费用、设备投入等完成本项目所涉及的一切费用。</w:t>
      </w:r>
    </w:p>
    <w:p>
      <w:pPr>
        <w:ind w:firstLine="560" w:firstLineChars="200"/>
        <w:rPr>
          <w:rFonts w:ascii="宋体" w:hAnsi="宋体" w:cs="宋体"/>
          <w:sz w:val="28"/>
          <w:szCs w:val="28"/>
        </w:rPr>
      </w:pPr>
      <w:r>
        <w:rPr>
          <w:rFonts w:hint="eastAsia" w:ascii="宋体" w:hAnsi="宋体" w:cs="宋体"/>
          <w:sz w:val="28"/>
          <w:szCs w:val="28"/>
        </w:rPr>
        <w:t>二、投标人只允许有一个报价，并且在合同履行过程中是固定不变的，任何有选择或可调整的报价将不予接受，并按无效投标处理。</w:t>
      </w:r>
    </w:p>
    <w:p>
      <w:pPr>
        <w:pStyle w:val="4"/>
        <w:spacing w:after="0"/>
        <w:rPr>
          <w:color w:val="auto"/>
        </w:rPr>
      </w:pPr>
      <w:r>
        <w:rPr>
          <w:rFonts w:hint="eastAsia"/>
          <w:color w:val="auto"/>
        </w:rPr>
        <w:t>*说明内容</w:t>
      </w:r>
    </w:p>
    <w:p>
      <w:pPr>
        <w:pStyle w:val="26"/>
        <w:tabs>
          <w:tab w:val="left" w:pos="993"/>
          <w:tab w:val="left" w:pos="1134"/>
        </w:tabs>
        <w:spacing w:line="560" w:lineRule="exact"/>
        <w:ind w:firstLine="562"/>
      </w:pPr>
      <w:r>
        <w:rPr>
          <w:rFonts w:hint="eastAsia" w:ascii="宋体" w:hAnsi="宋体" w:cs="宋体"/>
          <w:b/>
          <w:bCs/>
          <w:sz w:val="28"/>
          <w:szCs w:val="28"/>
          <w:lang w:val="zh-CN"/>
        </w:rPr>
        <w:t>说明：*1.在评标过程中，评标委员会认为投标人投标报价明显低于其他通过符合性审查投标人的投标报价，有可能影响产品质量或者不能诚信履约的，评标委员会应当要求其在评标现场合理的时间内提供书面说明，必要时提交相关证明材料。投标人提交的书面说明、相关证明材料（如涉及），应当加盖投标人（法定名称）电子签章，在评标委员会要求的时间内通过云平台进行递交，否则无效。如因断电、断网、系统故障或其他不可抗力等因素，导致系统无法使用的，由投标人按评标委员会的要求进行澄清或者说明。投标人不能证明其投标报价合理性的，评标委员会应当将其投标文件作为无效处理。</w:t>
      </w:r>
    </w:p>
    <w:p>
      <w:pPr>
        <w:widowControl/>
        <w:ind w:firstLine="562" w:firstLineChars="200"/>
      </w:pPr>
      <w:r>
        <w:rPr>
          <w:rFonts w:hint="eastAsia" w:ascii="宋体" w:hAnsi="宋体" w:cs="宋体"/>
          <w:b/>
          <w:color w:val="000000"/>
          <w:kern w:val="0"/>
          <w:sz w:val="28"/>
          <w:szCs w:val="28"/>
          <w:lang w:bidi="ar"/>
        </w:rPr>
        <w:t>2．</w:t>
      </w:r>
      <w:r>
        <w:rPr>
          <w:rFonts w:ascii="宋体" w:hAnsi="宋体" w:cs="宋体"/>
          <w:b/>
          <w:color w:val="000000"/>
          <w:kern w:val="0"/>
          <w:sz w:val="28"/>
          <w:szCs w:val="28"/>
          <w:lang w:bidi="ar"/>
        </w:rPr>
        <w:t xml:space="preserve">以上打*号的为本次项目的实质性要求，不允许有负偏离。 </w:t>
      </w:r>
    </w:p>
    <w:p>
      <w:pPr>
        <w:pStyle w:val="2"/>
        <w:rPr>
          <w:lang w:val="zh-CN"/>
        </w:rPr>
      </w:pPr>
    </w:p>
    <w:p>
      <w:pPr>
        <w:widowControl/>
        <w:spacing w:after="0" w:line="240" w:lineRule="auto"/>
        <w:jc w:val="left"/>
        <w:rPr>
          <w:rFonts w:ascii="Times New Roman" w:hAnsi="Times New Roman"/>
          <w:kern w:val="0"/>
          <w:sz w:val="18"/>
          <w:szCs w:val="18"/>
          <w:lang w:val="zh-CN"/>
        </w:rPr>
      </w:pPr>
      <w:r>
        <w:rPr>
          <w:lang w:val="zh-CN"/>
        </w:rPr>
        <w:br w:type="page"/>
      </w:r>
    </w:p>
    <w:p>
      <w:pPr>
        <w:keepNext/>
        <w:keepLines/>
        <w:numPr>
          <w:ilvl w:val="0"/>
          <w:numId w:val="2"/>
        </w:numPr>
        <w:spacing w:before="340" w:after="330" w:line="400" w:lineRule="exact"/>
        <w:jc w:val="center"/>
        <w:outlineLvl w:val="0"/>
        <w:rPr>
          <w:rFonts w:ascii="宋体" w:hAnsi="宋体" w:cs="宋体"/>
          <w:b/>
          <w:bCs/>
          <w:spacing w:val="-20"/>
          <w:kern w:val="44"/>
          <w:sz w:val="32"/>
          <w:szCs w:val="32"/>
        </w:rPr>
      </w:pPr>
      <w:bookmarkStart w:id="171" w:name="_Toc9800"/>
      <w:r>
        <w:rPr>
          <w:rFonts w:hint="eastAsia" w:ascii="宋体" w:hAnsi="宋体" w:cs="宋体"/>
          <w:b/>
          <w:bCs/>
          <w:spacing w:val="-20"/>
          <w:kern w:val="44"/>
          <w:sz w:val="32"/>
          <w:szCs w:val="32"/>
        </w:rPr>
        <w:t>资格性审查</w:t>
      </w:r>
      <w:bookmarkEnd w:id="171"/>
    </w:p>
    <w:p>
      <w:pPr>
        <w:tabs>
          <w:tab w:val="left" w:pos="851"/>
        </w:tabs>
        <w:spacing w:line="360" w:lineRule="auto"/>
        <w:ind w:firstLine="565" w:firstLineChars="202"/>
        <w:rPr>
          <w:rFonts w:ascii="宋体" w:hAnsi="宋体"/>
          <w:sz w:val="28"/>
          <w:szCs w:val="28"/>
        </w:rPr>
      </w:pPr>
      <w:r>
        <w:rPr>
          <w:rFonts w:hint="eastAsia" w:ascii="宋体" w:hAnsi="宋体"/>
          <w:sz w:val="28"/>
          <w:szCs w:val="28"/>
        </w:rPr>
        <w:t>资格性审查由采购人组建的资格审查小组依据法律法规和招标文件的规定，对投标保证金(区公资交易中心出具的</w:t>
      </w:r>
      <w:r>
        <w:rPr>
          <w:rFonts w:hint="eastAsia" w:ascii="宋体" w:hAnsi="宋体"/>
          <w:b/>
          <w:sz w:val="28"/>
          <w:szCs w:val="28"/>
        </w:rPr>
        <w:t>《成都市政府采购项目投标人参与及保证金交纳情况表》或投标人递交的投标保函</w:t>
      </w:r>
      <w:r>
        <w:rPr>
          <w:rFonts w:hint="eastAsia" w:ascii="宋体" w:hAnsi="宋体"/>
          <w:sz w:val="28"/>
          <w:szCs w:val="28"/>
        </w:rPr>
        <w:t>)、投标文件中的资格证明等进行审查，以确定投标人是否具备投标资格，并出具资格性审查报告。</w:t>
      </w:r>
    </w:p>
    <w:p>
      <w:pPr>
        <w:tabs>
          <w:tab w:val="left" w:pos="851"/>
        </w:tabs>
        <w:spacing w:line="360" w:lineRule="auto"/>
        <w:ind w:firstLine="565" w:firstLineChars="202"/>
        <w:rPr>
          <w:rFonts w:ascii="宋体" w:hAnsi="宋体" w:cs="宋体"/>
          <w:sz w:val="28"/>
          <w:szCs w:val="28"/>
        </w:rPr>
      </w:pPr>
      <w:r>
        <w:rPr>
          <w:rFonts w:hint="eastAsia" w:ascii="宋体" w:hAnsi="宋体"/>
          <w:sz w:val="28"/>
          <w:szCs w:val="28"/>
        </w:rPr>
        <w:t>资格性审查时因断电、断网、系统故障或其他不可抗力等因素，导致资格审查小组无法通过系统阅读投标文件进行审查的，待系统恢复后继续审查。出现上述情况时，区公资交易中心将以电子邮件形式通知各投标人</w:t>
      </w:r>
      <w:r>
        <w:rPr>
          <w:rFonts w:hint="eastAsia" w:ascii="宋体" w:hAnsi="宋体" w:cs="宋体"/>
          <w:sz w:val="28"/>
          <w:szCs w:val="28"/>
        </w:rPr>
        <w:t>。资格性审查标准见下表：</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647"/>
        <w:gridCol w:w="1108"/>
        <w:gridCol w:w="6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391" w:type="dxa"/>
            <w:gridSpan w:val="3"/>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cs="宋体"/>
                <w:b/>
                <w:color w:val="auto"/>
                <w:sz w:val="18"/>
                <w:szCs w:val="18"/>
              </w:rPr>
            </w:pPr>
            <w:r>
              <w:rPr>
                <w:b/>
                <w:color w:val="auto"/>
                <w:sz w:val="18"/>
                <w:szCs w:val="18"/>
              </w:rPr>
              <w:t>资格性审查项</w:t>
            </w:r>
          </w:p>
        </w:tc>
        <w:tc>
          <w:tcPr>
            <w:tcW w:w="613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cs="宋体"/>
                <w:color w:val="auto"/>
                <w:sz w:val="18"/>
                <w:szCs w:val="18"/>
              </w:rPr>
            </w:pPr>
            <w:r>
              <w:rPr>
                <w:b/>
                <w:color w:val="auto"/>
                <w:sz w:val="18"/>
                <w:szCs w:val="18"/>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7" w:hRule="atLeast"/>
        </w:trPr>
        <w:tc>
          <w:tcPr>
            <w:tcW w:w="63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s="宋体"/>
                <w:color w:val="auto"/>
                <w:sz w:val="15"/>
                <w:szCs w:val="15"/>
              </w:rPr>
            </w:pPr>
            <w:r>
              <w:rPr>
                <w:color w:val="auto"/>
                <w:sz w:val="15"/>
                <w:szCs w:val="15"/>
              </w:rPr>
              <w:t>1</w:t>
            </w:r>
          </w:p>
        </w:tc>
        <w:tc>
          <w:tcPr>
            <w:tcW w:w="1755"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s="宋体"/>
                <w:color w:val="auto"/>
                <w:sz w:val="15"/>
                <w:szCs w:val="15"/>
              </w:rPr>
            </w:pPr>
            <w:r>
              <w:rPr>
                <w:color w:val="auto"/>
                <w:sz w:val="15"/>
                <w:szCs w:val="15"/>
              </w:rPr>
              <w:t>在中华人民共和国境内依法登记注册，并有效存续具有独立法人资格的</w:t>
            </w:r>
            <w:r>
              <w:rPr>
                <w:rFonts w:hint="eastAsia"/>
                <w:color w:val="auto"/>
                <w:sz w:val="15"/>
                <w:szCs w:val="15"/>
              </w:rPr>
              <w:t>投标人</w:t>
            </w:r>
          </w:p>
        </w:tc>
        <w:tc>
          <w:tcPr>
            <w:tcW w:w="613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s="宋体"/>
                <w:color w:val="auto"/>
                <w:sz w:val="15"/>
                <w:szCs w:val="15"/>
              </w:rPr>
            </w:pPr>
            <w:r>
              <w:rPr>
                <w:color w:val="auto"/>
                <w:sz w:val="15"/>
                <w:szCs w:val="15"/>
              </w:rPr>
              <w:t>营业执照复印件（正本或副本）或法人证书复印件（正本或副本）</w:t>
            </w:r>
            <w:r>
              <w:rPr>
                <w:rFonts w:hint="eastAsia"/>
                <w:color w:val="auto"/>
                <w:sz w:val="15"/>
                <w:szCs w:val="15"/>
              </w:rPr>
              <w:t>。</w:t>
            </w:r>
            <w:r>
              <w:rPr>
                <w:color w:val="auto"/>
                <w:sz w:val="15"/>
                <w:szCs w:val="15"/>
              </w:rPr>
              <w:t>【说明：</w:t>
            </w:r>
            <w:r>
              <w:rPr>
                <w:rFonts w:hint="eastAsia" w:ascii="宋体" w:hAnsi="宋体"/>
                <w:color w:val="auto"/>
                <w:sz w:val="15"/>
                <w:szCs w:val="15"/>
              </w:rPr>
              <w:t>①</w:t>
            </w:r>
            <w:r>
              <w:rPr>
                <w:color w:val="auto"/>
                <w:sz w:val="15"/>
                <w:szCs w:val="15"/>
              </w:rPr>
              <w:t>营业执照或法人证书载明有期限的，应在有效期限内；</w:t>
            </w:r>
            <w:r>
              <w:rPr>
                <w:rFonts w:hint="eastAsia" w:ascii="宋体" w:hAnsi="宋体"/>
                <w:color w:val="auto"/>
                <w:sz w:val="15"/>
                <w:szCs w:val="15"/>
              </w:rPr>
              <w:t>②</w:t>
            </w:r>
            <w:r>
              <w:rPr>
                <w:color w:val="auto"/>
                <w:sz w:val="15"/>
                <w:szCs w:val="15"/>
              </w:rPr>
              <w:t>在中华人民共和国境内注册，具有独立法人资格。】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636" w:type="dxa"/>
            <w:vMerge w:val="restart"/>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s="宋体"/>
                <w:color w:val="auto"/>
                <w:sz w:val="15"/>
                <w:szCs w:val="15"/>
              </w:rPr>
            </w:pPr>
            <w:r>
              <w:rPr>
                <w:rFonts w:hint="eastAsia"/>
                <w:color w:val="auto"/>
                <w:sz w:val="15"/>
                <w:szCs w:val="15"/>
              </w:rPr>
              <w:t>2</w:t>
            </w:r>
          </w:p>
        </w:tc>
        <w:tc>
          <w:tcPr>
            <w:tcW w:w="647" w:type="dxa"/>
            <w:vMerge w:val="restart"/>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s="宋体"/>
                <w:color w:val="auto"/>
                <w:sz w:val="15"/>
                <w:szCs w:val="15"/>
              </w:rPr>
            </w:pPr>
            <w:r>
              <w:rPr>
                <w:rFonts w:hint="eastAsia"/>
                <w:color w:val="auto"/>
                <w:sz w:val="15"/>
                <w:szCs w:val="15"/>
              </w:rPr>
              <w:t>书面声明材料</w:t>
            </w:r>
          </w:p>
        </w:tc>
        <w:tc>
          <w:tcPr>
            <w:tcW w:w="1108"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auto"/>
                <w:sz w:val="15"/>
                <w:szCs w:val="15"/>
              </w:rPr>
            </w:pPr>
            <w:r>
              <w:rPr>
                <w:rFonts w:hint="eastAsia"/>
                <w:color w:val="auto"/>
                <w:sz w:val="15"/>
                <w:szCs w:val="15"/>
              </w:rPr>
              <w:t>具有良好的商业信誉的证明材料</w:t>
            </w:r>
          </w:p>
        </w:tc>
        <w:tc>
          <w:tcPr>
            <w:tcW w:w="613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s="宋体"/>
                <w:color w:val="auto"/>
                <w:sz w:val="15"/>
                <w:szCs w:val="15"/>
              </w:rPr>
            </w:pPr>
            <w:r>
              <w:rPr>
                <w:rFonts w:hint="eastAsia"/>
                <w:color w:val="auto"/>
                <w:sz w:val="15"/>
                <w:szCs w:val="15"/>
              </w:rPr>
              <w:t>投标人具有良好的商业信誉的书面声明材料。【说明：</w:t>
            </w:r>
            <w:r>
              <w:rPr>
                <w:rFonts w:hint="eastAsia" w:ascii="宋体" w:hAnsi="宋体"/>
                <w:color w:val="auto"/>
                <w:sz w:val="15"/>
                <w:szCs w:val="15"/>
              </w:rPr>
              <w:t>①</w:t>
            </w:r>
            <w:r>
              <w:rPr>
                <w:rFonts w:hint="eastAsia"/>
                <w:color w:val="auto"/>
                <w:sz w:val="15"/>
                <w:szCs w:val="15"/>
              </w:rPr>
              <w:t>按招标文件第</w:t>
            </w:r>
            <w:r>
              <w:rPr>
                <w:color w:val="auto"/>
                <w:sz w:val="15"/>
                <w:szCs w:val="15"/>
              </w:rPr>
              <w:t>3</w:t>
            </w:r>
            <w:r>
              <w:rPr>
                <w:rFonts w:hint="eastAsia"/>
                <w:color w:val="auto"/>
                <w:sz w:val="15"/>
                <w:szCs w:val="15"/>
              </w:rPr>
              <w:t>章3.2.2的内容及要求提供书面声明材料</w:t>
            </w:r>
            <w:r>
              <w:rPr>
                <w:rFonts w:hint="eastAsia" w:ascii="宋体" w:hAnsi="宋体"/>
                <w:color w:val="auto"/>
                <w:sz w:val="15"/>
                <w:szCs w:val="15"/>
              </w:rPr>
              <w:t>；②投标人具有良好的商业信誉</w:t>
            </w:r>
            <w:r>
              <w:rPr>
                <w:rFonts w:hint="eastAsia"/>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636" w:type="dxa"/>
            <w:vMerge w:val="continue"/>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s="宋体"/>
                <w:color w:val="auto"/>
                <w:sz w:val="15"/>
                <w:szCs w:val="15"/>
              </w:rPr>
            </w:pPr>
          </w:p>
        </w:tc>
        <w:tc>
          <w:tcPr>
            <w:tcW w:w="647" w:type="dxa"/>
            <w:vMerge w:val="continue"/>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s="宋体"/>
                <w:color w:val="auto"/>
                <w:sz w:val="15"/>
                <w:szCs w:val="15"/>
              </w:rPr>
            </w:pPr>
          </w:p>
        </w:tc>
        <w:tc>
          <w:tcPr>
            <w:tcW w:w="1108"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auto"/>
                <w:sz w:val="15"/>
                <w:szCs w:val="15"/>
              </w:rPr>
            </w:pPr>
            <w:r>
              <w:rPr>
                <w:rFonts w:hint="eastAsia"/>
                <w:color w:val="auto"/>
                <w:sz w:val="15"/>
                <w:szCs w:val="15"/>
              </w:rPr>
              <w:t>参加政府采购活动前三年内，在经营活动中没有重大违法记录</w:t>
            </w:r>
          </w:p>
        </w:tc>
        <w:tc>
          <w:tcPr>
            <w:tcW w:w="613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auto"/>
                <w:sz w:val="15"/>
                <w:szCs w:val="15"/>
              </w:rPr>
            </w:pPr>
            <w:r>
              <w:rPr>
                <w:color w:val="auto"/>
                <w:sz w:val="15"/>
                <w:szCs w:val="15"/>
              </w:rPr>
              <w:t>1.</w:t>
            </w:r>
            <w:r>
              <w:rPr>
                <w:rFonts w:hint="eastAsia"/>
                <w:color w:val="auto"/>
                <w:sz w:val="15"/>
                <w:szCs w:val="15"/>
              </w:rPr>
              <w:t>投标人参加政府采购活动前三年内，在经营活动中没有重大违法记录的书面声明材料。【说明：</w:t>
            </w:r>
            <w:r>
              <w:rPr>
                <w:rFonts w:hint="eastAsia" w:ascii="宋体" w:hAnsi="宋体"/>
                <w:color w:val="auto"/>
                <w:sz w:val="15"/>
                <w:szCs w:val="15"/>
              </w:rPr>
              <w:t>①</w:t>
            </w:r>
            <w:r>
              <w:rPr>
                <w:rFonts w:hint="eastAsia"/>
                <w:color w:val="auto"/>
                <w:sz w:val="15"/>
                <w:szCs w:val="15"/>
              </w:rPr>
              <w:t>按第</w:t>
            </w:r>
            <w:r>
              <w:rPr>
                <w:color w:val="auto"/>
                <w:sz w:val="15"/>
                <w:szCs w:val="15"/>
              </w:rPr>
              <w:t>3</w:t>
            </w:r>
            <w:r>
              <w:rPr>
                <w:rFonts w:hint="eastAsia"/>
                <w:color w:val="auto"/>
                <w:sz w:val="15"/>
                <w:szCs w:val="15"/>
              </w:rPr>
              <w:t>章3.2.2内容及要求提供书面声明材料；</w:t>
            </w:r>
            <w:r>
              <w:rPr>
                <w:rFonts w:hint="eastAsia" w:ascii="宋体" w:hAnsi="宋体"/>
                <w:color w:val="auto"/>
                <w:sz w:val="15"/>
                <w:szCs w:val="15"/>
              </w:rPr>
              <w:t>②投标人参加政府采购活动前三年内，在经营活动中没有重大违法记录</w:t>
            </w:r>
            <w:r>
              <w:rPr>
                <w:rFonts w:hint="eastAsia"/>
                <w:color w:val="auto"/>
                <w:sz w:val="15"/>
                <w:szCs w:val="15"/>
              </w:rPr>
              <w:t>。】</w:t>
            </w:r>
          </w:p>
          <w:p>
            <w:pPr>
              <w:tabs>
                <w:tab w:val="left" w:pos="851"/>
              </w:tabs>
              <w:spacing w:line="360" w:lineRule="auto"/>
              <w:rPr>
                <w:rFonts w:ascii="宋体" w:hAnsi="宋体" w:cs="宋体"/>
                <w:color w:val="auto"/>
                <w:sz w:val="15"/>
                <w:szCs w:val="15"/>
              </w:rPr>
            </w:pPr>
            <w:r>
              <w:rPr>
                <w:color w:val="auto"/>
                <w:sz w:val="15"/>
                <w:szCs w:val="15"/>
              </w:rPr>
              <w:t xml:space="preserve">2. </w:t>
            </w:r>
            <w:r>
              <w:rPr>
                <w:rFonts w:hint="eastAsia"/>
                <w:color w:val="auto"/>
                <w:sz w:val="15"/>
                <w:szCs w:val="15"/>
              </w:rPr>
              <w:t>资格审查小组根据</w:t>
            </w:r>
            <w:r>
              <w:rPr>
                <w:color w:val="auto"/>
                <w:sz w:val="15"/>
                <w:szCs w:val="15"/>
              </w:rPr>
              <w:t>“</w:t>
            </w:r>
            <w:r>
              <w:rPr>
                <w:rFonts w:hint="eastAsia"/>
                <w:color w:val="auto"/>
                <w:sz w:val="15"/>
                <w:szCs w:val="15"/>
              </w:rPr>
              <w:t>信用中国</w:t>
            </w:r>
            <w:r>
              <w:rPr>
                <w:color w:val="auto"/>
                <w:sz w:val="15"/>
                <w:szCs w:val="15"/>
              </w:rPr>
              <w:t>”</w:t>
            </w:r>
            <w:r>
              <w:rPr>
                <w:rFonts w:hint="eastAsia"/>
                <w:color w:val="auto"/>
                <w:sz w:val="15"/>
                <w:szCs w:val="15"/>
              </w:rPr>
              <w:t>和</w:t>
            </w:r>
            <w:r>
              <w:rPr>
                <w:color w:val="auto"/>
                <w:sz w:val="15"/>
                <w:szCs w:val="15"/>
              </w:rPr>
              <w:t>“</w:t>
            </w:r>
            <w:r>
              <w:rPr>
                <w:rFonts w:hint="eastAsia"/>
                <w:color w:val="auto"/>
                <w:sz w:val="15"/>
                <w:szCs w:val="15"/>
              </w:rPr>
              <w:t>中国政府采购网</w:t>
            </w:r>
            <w:r>
              <w:rPr>
                <w:color w:val="auto"/>
                <w:sz w:val="15"/>
                <w:szCs w:val="15"/>
              </w:rPr>
              <w:t>”</w:t>
            </w:r>
            <w:r>
              <w:rPr>
                <w:rFonts w:hint="eastAsia"/>
                <w:color w:val="auto"/>
                <w:sz w:val="15"/>
                <w:szCs w:val="15"/>
              </w:rPr>
              <w:t>网站的查询结果，在资格审查期间对投标人在参加政府采购活动前三年内，在经营活动中是否有重大违法记录进行审查。【说明：投标人参加政府采购活动前三年内，在经营活动中没有重大违法记录。】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5" w:hRule="atLeast"/>
        </w:trPr>
        <w:tc>
          <w:tcPr>
            <w:tcW w:w="636" w:type="dxa"/>
            <w:vMerge w:val="continue"/>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s="宋体"/>
                <w:color w:val="auto"/>
                <w:sz w:val="15"/>
                <w:szCs w:val="15"/>
              </w:rPr>
            </w:pPr>
          </w:p>
        </w:tc>
        <w:tc>
          <w:tcPr>
            <w:tcW w:w="647" w:type="dxa"/>
            <w:vMerge w:val="continue"/>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s="宋体"/>
                <w:color w:val="auto"/>
                <w:sz w:val="15"/>
                <w:szCs w:val="15"/>
              </w:rPr>
            </w:pPr>
          </w:p>
        </w:tc>
        <w:tc>
          <w:tcPr>
            <w:tcW w:w="1108"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auto"/>
                <w:sz w:val="15"/>
                <w:szCs w:val="15"/>
              </w:rPr>
            </w:pPr>
            <w:r>
              <w:rPr>
                <w:rFonts w:hint="eastAsia"/>
                <w:color w:val="auto"/>
                <w:sz w:val="15"/>
                <w:szCs w:val="15"/>
              </w:rPr>
              <w:t>未被列入失信被执行人、重大税收违法案件当事人名单、政府采购严重违法失信行为记录名单</w:t>
            </w:r>
          </w:p>
        </w:tc>
        <w:tc>
          <w:tcPr>
            <w:tcW w:w="613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auto"/>
                <w:sz w:val="15"/>
                <w:szCs w:val="15"/>
              </w:rPr>
            </w:pPr>
            <w:r>
              <w:rPr>
                <w:color w:val="auto"/>
                <w:sz w:val="15"/>
                <w:szCs w:val="15"/>
              </w:rPr>
              <w:t>1.</w:t>
            </w:r>
            <w:r>
              <w:rPr>
                <w:rFonts w:hint="eastAsia"/>
                <w:color w:val="auto"/>
                <w:sz w:val="15"/>
                <w:szCs w:val="15"/>
              </w:rPr>
              <w:t>投标人未列入失信被执行人、重大税收违法案件当事人名单、政府采购严重违法失信行为记录名单的书面声明材料。【说明：</w:t>
            </w:r>
            <w:r>
              <w:rPr>
                <w:rFonts w:hint="eastAsia" w:ascii="宋体" w:hAnsi="宋体"/>
                <w:color w:val="auto"/>
                <w:sz w:val="15"/>
                <w:szCs w:val="15"/>
              </w:rPr>
              <w:t>①</w:t>
            </w:r>
            <w:r>
              <w:rPr>
                <w:rFonts w:hint="eastAsia"/>
                <w:color w:val="auto"/>
                <w:sz w:val="15"/>
                <w:szCs w:val="15"/>
              </w:rPr>
              <w:t>投标人未列入失信被执行人、重大税收违法案件当事人名单、政府采购严重违法失信行为记录名单；</w:t>
            </w:r>
            <w:r>
              <w:rPr>
                <w:rFonts w:hint="eastAsia" w:ascii="宋体" w:hAnsi="宋体"/>
                <w:color w:val="auto"/>
                <w:sz w:val="15"/>
                <w:szCs w:val="15"/>
              </w:rPr>
              <w:t>②</w:t>
            </w:r>
            <w:r>
              <w:rPr>
                <w:rFonts w:hint="eastAsia"/>
                <w:color w:val="auto"/>
                <w:sz w:val="15"/>
                <w:szCs w:val="15"/>
              </w:rPr>
              <w:t>按第</w:t>
            </w:r>
            <w:r>
              <w:rPr>
                <w:color w:val="auto"/>
                <w:sz w:val="15"/>
                <w:szCs w:val="15"/>
              </w:rPr>
              <w:t>3</w:t>
            </w:r>
            <w:r>
              <w:rPr>
                <w:rFonts w:hint="eastAsia"/>
                <w:color w:val="auto"/>
                <w:sz w:val="15"/>
                <w:szCs w:val="15"/>
              </w:rPr>
              <w:t>章3.2.2内容及要求提供书面声明材料。】</w:t>
            </w:r>
          </w:p>
          <w:p>
            <w:pPr>
              <w:tabs>
                <w:tab w:val="left" w:pos="851"/>
              </w:tabs>
              <w:spacing w:line="360" w:lineRule="auto"/>
              <w:rPr>
                <w:rFonts w:ascii="宋体" w:hAnsi="宋体" w:cs="宋体"/>
                <w:color w:val="auto"/>
                <w:sz w:val="15"/>
                <w:szCs w:val="15"/>
              </w:rPr>
            </w:pPr>
            <w:r>
              <w:rPr>
                <w:color w:val="auto"/>
                <w:sz w:val="15"/>
                <w:szCs w:val="15"/>
              </w:rPr>
              <w:t xml:space="preserve">2. </w:t>
            </w:r>
            <w:r>
              <w:rPr>
                <w:rFonts w:hint="eastAsia"/>
                <w:color w:val="auto"/>
                <w:sz w:val="15"/>
                <w:szCs w:val="15"/>
              </w:rPr>
              <w:t>资格审查小组根据</w:t>
            </w:r>
            <w:r>
              <w:rPr>
                <w:color w:val="auto"/>
                <w:sz w:val="15"/>
                <w:szCs w:val="15"/>
              </w:rPr>
              <w:t>“</w:t>
            </w:r>
            <w:r>
              <w:rPr>
                <w:rFonts w:hint="eastAsia"/>
                <w:color w:val="auto"/>
                <w:sz w:val="15"/>
                <w:szCs w:val="15"/>
              </w:rPr>
              <w:t>信用中国</w:t>
            </w:r>
            <w:r>
              <w:rPr>
                <w:color w:val="auto"/>
                <w:sz w:val="15"/>
                <w:szCs w:val="15"/>
              </w:rPr>
              <w:t>”</w:t>
            </w:r>
            <w:r>
              <w:rPr>
                <w:rFonts w:hint="eastAsia"/>
                <w:color w:val="auto"/>
                <w:sz w:val="15"/>
                <w:szCs w:val="15"/>
              </w:rPr>
              <w:t>和</w:t>
            </w:r>
            <w:r>
              <w:rPr>
                <w:color w:val="auto"/>
                <w:sz w:val="15"/>
                <w:szCs w:val="15"/>
              </w:rPr>
              <w:t>“</w:t>
            </w:r>
            <w:r>
              <w:rPr>
                <w:rFonts w:hint="eastAsia"/>
                <w:color w:val="auto"/>
                <w:sz w:val="15"/>
                <w:szCs w:val="15"/>
              </w:rPr>
              <w:t>中国政府采购网</w:t>
            </w:r>
            <w:r>
              <w:rPr>
                <w:color w:val="auto"/>
                <w:sz w:val="15"/>
                <w:szCs w:val="15"/>
              </w:rPr>
              <w:t>”</w:t>
            </w:r>
            <w:r>
              <w:rPr>
                <w:rFonts w:hint="eastAsia"/>
                <w:color w:val="auto"/>
                <w:sz w:val="15"/>
                <w:szCs w:val="15"/>
              </w:rPr>
              <w:t>网站的查询结果，在资格审查期间对投标人在参加政府采购活动前三年内，在经营活动中是否被列入失信被执行人、重大税收违法案件当事人名单、政府采购严重违法失信行为记录名单进行审查。【说明：投标人未列入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3" w:hRule="atLeast"/>
        </w:trPr>
        <w:tc>
          <w:tcPr>
            <w:tcW w:w="636" w:type="dxa"/>
            <w:vMerge w:val="continue"/>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s="宋体"/>
                <w:color w:val="auto"/>
                <w:sz w:val="15"/>
                <w:szCs w:val="15"/>
              </w:rPr>
            </w:pPr>
          </w:p>
        </w:tc>
        <w:tc>
          <w:tcPr>
            <w:tcW w:w="647" w:type="dxa"/>
            <w:vMerge w:val="continue"/>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s="宋体"/>
                <w:color w:val="auto"/>
                <w:sz w:val="15"/>
                <w:szCs w:val="15"/>
              </w:rPr>
            </w:pPr>
          </w:p>
        </w:tc>
        <w:tc>
          <w:tcPr>
            <w:tcW w:w="1108"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auto"/>
                <w:sz w:val="15"/>
                <w:szCs w:val="15"/>
              </w:rPr>
            </w:pPr>
            <w:r>
              <w:rPr>
                <w:rFonts w:hint="eastAsia"/>
                <w:color w:val="auto"/>
                <w:sz w:val="15"/>
                <w:szCs w:val="15"/>
              </w:rPr>
              <w:t>未处于被行政部门禁止参与政府采购活动的期限内</w:t>
            </w:r>
          </w:p>
        </w:tc>
        <w:tc>
          <w:tcPr>
            <w:tcW w:w="613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s="宋体"/>
                <w:color w:val="auto"/>
                <w:sz w:val="15"/>
                <w:szCs w:val="15"/>
              </w:rPr>
            </w:pPr>
            <w:r>
              <w:rPr>
                <w:rFonts w:hint="eastAsia"/>
                <w:color w:val="auto"/>
                <w:sz w:val="15"/>
                <w:szCs w:val="15"/>
              </w:rPr>
              <w:t>投标人未处于被行政部门禁止参与政府采购活动的期限内。【说明：</w:t>
            </w:r>
            <w:r>
              <w:rPr>
                <w:rFonts w:hint="eastAsia" w:ascii="宋体" w:hAnsi="宋体"/>
                <w:color w:val="auto"/>
                <w:sz w:val="15"/>
                <w:szCs w:val="15"/>
              </w:rPr>
              <w:t>①</w:t>
            </w:r>
            <w:r>
              <w:rPr>
                <w:rFonts w:hint="eastAsia"/>
                <w:color w:val="auto"/>
                <w:sz w:val="15"/>
                <w:szCs w:val="15"/>
              </w:rPr>
              <w:t>按招标文件第</w:t>
            </w:r>
            <w:r>
              <w:rPr>
                <w:color w:val="auto"/>
                <w:sz w:val="15"/>
                <w:szCs w:val="15"/>
              </w:rPr>
              <w:t>3</w:t>
            </w:r>
            <w:r>
              <w:rPr>
                <w:rFonts w:hint="eastAsia"/>
                <w:color w:val="auto"/>
                <w:sz w:val="15"/>
                <w:szCs w:val="15"/>
              </w:rPr>
              <w:t>章3.2.2内容及要求提供书面声明材料</w:t>
            </w:r>
            <w:r>
              <w:rPr>
                <w:rFonts w:hint="eastAsia" w:ascii="宋体" w:hAnsi="宋体"/>
                <w:color w:val="auto"/>
                <w:sz w:val="15"/>
                <w:szCs w:val="15"/>
              </w:rPr>
              <w:t>；②投标人未处于被行政部门禁止参与政府采购活动的期限内。</w:t>
            </w:r>
            <w:r>
              <w:rPr>
                <w:rFonts w:hint="eastAsia"/>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7" w:hRule="atLeast"/>
        </w:trPr>
        <w:tc>
          <w:tcPr>
            <w:tcW w:w="636" w:type="dxa"/>
            <w:vMerge w:val="continue"/>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s="宋体"/>
                <w:color w:val="auto"/>
                <w:sz w:val="15"/>
                <w:szCs w:val="15"/>
              </w:rPr>
            </w:pPr>
          </w:p>
        </w:tc>
        <w:tc>
          <w:tcPr>
            <w:tcW w:w="647" w:type="dxa"/>
            <w:vMerge w:val="continue"/>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s="宋体"/>
                <w:color w:val="auto"/>
                <w:sz w:val="15"/>
                <w:szCs w:val="15"/>
              </w:rPr>
            </w:pPr>
          </w:p>
        </w:tc>
        <w:tc>
          <w:tcPr>
            <w:tcW w:w="1108"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auto"/>
                <w:sz w:val="15"/>
                <w:szCs w:val="15"/>
              </w:rPr>
            </w:pPr>
            <w:r>
              <w:rPr>
                <w:rFonts w:hint="eastAsia"/>
                <w:color w:val="auto"/>
                <w:sz w:val="15"/>
                <w:szCs w:val="15"/>
              </w:rPr>
              <w:t>行贿犯罪记录</w:t>
            </w:r>
          </w:p>
        </w:tc>
        <w:tc>
          <w:tcPr>
            <w:tcW w:w="613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s="宋体"/>
                <w:color w:val="auto"/>
                <w:sz w:val="15"/>
                <w:szCs w:val="15"/>
              </w:rPr>
            </w:pPr>
            <w:r>
              <w:rPr>
                <w:rFonts w:hint="eastAsia"/>
                <w:color w:val="auto"/>
                <w:sz w:val="15"/>
                <w:szCs w:val="15"/>
              </w:rPr>
              <w:t>在行贿犯罪信息查询期限内，投标人及其现任法定代表人、主要负责人没有行贿犯罪记录的书面声明材料。【说明：</w:t>
            </w:r>
            <w:r>
              <w:rPr>
                <w:rFonts w:hint="eastAsia" w:ascii="宋体" w:hAnsi="宋体"/>
                <w:color w:val="auto"/>
                <w:sz w:val="15"/>
                <w:szCs w:val="15"/>
              </w:rPr>
              <w:t>①</w:t>
            </w:r>
            <w:r>
              <w:rPr>
                <w:rFonts w:hint="eastAsia"/>
                <w:color w:val="auto"/>
                <w:sz w:val="15"/>
                <w:szCs w:val="15"/>
              </w:rPr>
              <w:t>按招标文件第</w:t>
            </w:r>
            <w:r>
              <w:rPr>
                <w:color w:val="auto"/>
                <w:sz w:val="15"/>
                <w:szCs w:val="15"/>
              </w:rPr>
              <w:t>3</w:t>
            </w:r>
            <w:r>
              <w:rPr>
                <w:rFonts w:hint="eastAsia"/>
                <w:color w:val="auto"/>
                <w:sz w:val="15"/>
                <w:szCs w:val="15"/>
              </w:rPr>
              <w:t>章3.2.2内容及要求提供书面声明材料，投标文件中不需提供中国裁判文书网（</w:t>
            </w:r>
            <w:r>
              <w:rPr>
                <w:color w:val="auto"/>
                <w:sz w:val="15"/>
                <w:szCs w:val="15"/>
              </w:rPr>
              <w:t>https://wenshu.court.gov.cn</w:t>
            </w:r>
            <w:r>
              <w:rPr>
                <w:rFonts w:hint="eastAsia"/>
                <w:color w:val="auto"/>
                <w:sz w:val="15"/>
                <w:szCs w:val="15"/>
              </w:rPr>
              <w:t>）查询结果的证明材料；</w:t>
            </w:r>
            <w:r>
              <w:rPr>
                <w:rFonts w:hint="eastAsia" w:ascii="宋体" w:hAnsi="宋体"/>
                <w:color w:val="auto"/>
                <w:sz w:val="15"/>
                <w:szCs w:val="15"/>
              </w:rPr>
              <w:t>②在行贿犯罪信息查询期限内，投标人及其现任法定代表人、主要负责人没有行贿犯罪记录</w:t>
            </w:r>
            <w:r>
              <w:rPr>
                <w:rFonts w:hint="eastAsia"/>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6" w:type="dxa"/>
            <w:vMerge w:val="continue"/>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s="宋体"/>
                <w:color w:val="auto"/>
                <w:sz w:val="15"/>
                <w:szCs w:val="15"/>
              </w:rPr>
            </w:pPr>
          </w:p>
        </w:tc>
        <w:tc>
          <w:tcPr>
            <w:tcW w:w="647" w:type="dxa"/>
            <w:vMerge w:val="continue"/>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s="宋体"/>
                <w:color w:val="auto"/>
                <w:sz w:val="15"/>
                <w:szCs w:val="15"/>
              </w:rPr>
            </w:pPr>
          </w:p>
        </w:tc>
        <w:tc>
          <w:tcPr>
            <w:tcW w:w="1108"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auto"/>
                <w:sz w:val="15"/>
                <w:szCs w:val="15"/>
              </w:rPr>
            </w:pPr>
            <w:r>
              <w:rPr>
                <w:rFonts w:hint="eastAsia"/>
                <w:color w:val="auto"/>
                <w:sz w:val="15"/>
                <w:szCs w:val="15"/>
              </w:rPr>
              <w:t>单位负责人为同一人或者存在直接控股、管理关系的不同投标人，不得参加同一项目的投标</w:t>
            </w:r>
          </w:p>
        </w:tc>
        <w:tc>
          <w:tcPr>
            <w:tcW w:w="613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s="宋体"/>
                <w:color w:val="auto"/>
                <w:sz w:val="15"/>
                <w:szCs w:val="15"/>
              </w:rPr>
            </w:pPr>
            <w:r>
              <w:rPr>
                <w:rFonts w:hint="eastAsia"/>
                <w:color w:val="auto"/>
                <w:sz w:val="15"/>
                <w:szCs w:val="15"/>
              </w:rPr>
              <w:t>与投标人负责人为同一人或者存在直接控股、管理关系的相关投标人的书面声明材料。【说明：①按招标文件第</w:t>
            </w:r>
            <w:r>
              <w:rPr>
                <w:color w:val="auto"/>
                <w:sz w:val="15"/>
                <w:szCs w:val="15"/>
              </w:rPr>
              <w:t>3</w:t>
            </w:r>
            <w:r>
              <w:rPr>
                <w:rFonts w:hint="eastAsia"/>
                <w:color w:val="auto"/>
                <w:sz w:val="15"/>
                <w:szCs w:val="15"/>
              </w:rPr>
              <w:t>章3.2.2内容及要求提供书面声明材料；②参加投标的投标人中无与投标人的负责人为同一人或者存在直接控股、管理关系的投标人。】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0" w:hRule="atLeast"/>
        </w:trPr>
        <w:tc>
          <w:tcPr>
            <w:tcW w:w="636" w:type="dxa"/>
            <w:vMerge w:val="restart"/>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s="宋体"/>
                <w:color w:val="auto"/>
                <w:sz w:val="15"/>
                <w:szCs w:val="15"/>
              </w:rPr>
            </w:pPr>
            <w:r>
              <w:rPr>
                <w:rFonts w:hint="eastAsia"/>
                <w:color w:val="auto"/>
                <w:sz w:val="15"/>
                <w:szCs w:val="15"/>
              </w:rPr>
              <w:t>3</w:t>
            </w:r>
          </w:p>
        </w:tc>
        <w:tc>
          <w:tcPr>
            <w:tcW w:w="647" w:type="dxa"/>
            <w:vMerge w:val="restart"/>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s="宋体"/>
                <w:color w:val="auto"/>
                <w:sz w:val="15"/>
                <w:szCs w:val="15"/>
              </w:rPr>
            </w:pPr>
            <w:r>
              <w:rPr>
                <w:rFonts w:hint="eastAsia"/>
                <w:color w:val="auto"/>
                <w:sz w:val="15"/>
                <w:szCs w:val="15"/>
              </w:rPr>
              <w:t>其他</w:t>
            </w:r>
          </w:p>
        </w:tc>
        <w:tc>
          <w:tcPr>
            <w:tcW w:w="1108"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auto"/>
                <w:sz w:val="15"/>
                <w:szCs w:val="15"/>
              </w:rPr>
            </w:pPr>
            <w:r>
              <w:rPr>
                <w:rFonts w:hint="eastAsia"/>
                <w:color w:val="auto"/>
                <w:sz w:val="15"/>
                <w:szCs w:val="15"/>
              </w:rPr>
              <w:t>具有履行合同所必须的设备和专业技术能力</w:t>
            </w:r>
          </w:p>
        </w:tc>
        <w:tc>
          <w:tcPr>
            <w:tcW w:w="613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s="宋体"/>
                <w:color w:val="auto"/>
                <w:sz w:val="15"/>
                <w:szCs w:val="15"/>
              </w:rPr>
            </w:pPr>
            <w:r>
              <w:rPr>
                <w:rFonts w:hint="eastAsia"/>
                <w:color w:val="auto"/>
                <w:sz w:val="15"/>
                <w:szCs w:val="15"/>
              </w:rPr>
              <w:t>采购人对投标人履行合同所必须的设备和专业技术能力无其他特殊要求，投标人具有有效的营业执照或法人证书</w:t>
            </w:r>
            <w:r>
              <w:rPr>
                <w:rFonts w:hint="eastAsia" w:ascii="宋体" w:hAnsi="宋体"/>
                <w:color w:val="auto"/>
                <w:sz w:val="15"/>
                <w:szCs w:val="15"/>
              </w:rPr>
              <w:t>即可，可不提供其他证明材料</w:t>
            </w:r>
            <w:r>
              <w:rPr>
                <w:rFonts w:hint="eastAsia"/>
                <w:color w:val="auto"/>
                <w:sz w:val="15"/>
                <w:szCs w:val="15"/>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trPr>
        <w:tc>
          <w:tcPr>
            <w:tcW w:w="636" w:type="dxa"/>
            <w:vMerge w:val="continue"/>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s="宋体"/>
                <w:color w:val="auto"/>
                <w:sz w:val="15"/>
                <w:szCs w:val="15"/>
              </w:rPr>
            </w:pPr>
          </w:p>
        </w:tc>
        <w:tc>
          <w:tcPr>
            <w:tcW w:w="647" w:type="dxa"/>
            <w:vMerge w:val="continue"/>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s="宋体"/>
                <w:color w:val="auto"/>
                <w:sz w:val="15"/>
                <w:szCs w:val="15"/>
              </w:rPr>
            </w:pPr>
          </w:p>
        </w:tc>
        <w:tc>
          <w:tcPr>
            <w:tcW w:w="1108"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auto"/>
                <w:sz w:val="15"/>
                <w:szCs w:val="15"/>
              </w:rPr>
            </w:pPr>
            <w:r>
              <w:rPr>
                <w:rFonts w:hint="eastAsia"/>
                <w:color w:val="auto"/>
                <w:sz w:val="15"/>
                <w:szCs w:val="15"/>
              </w:rPr>
              <w:t>法律、行政法规规定的其他条件</w:t>
            </w:r>
          </w:p>
        </w:tc>
        <w:tc>
          <w:tcPr>
            <w:tcW w:w="613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s="宋体"/>
                <w:color w:val="auto"/>
                <w:sz w:val="15"/>
                <w:szCs w:val="15"/>
              </w:rPr>
            </w:pPr>
            <w:r>
              <w:rPr>
                <w:rFonts w:hint="eastAsia"/>
                <w:color w:val="auto"/>
                <w:sz w:val="15"/>
                <w:szCs w:val="15"/>
              </w:rPr>
              <w:t>采购人对法律、行政法规规定的其他条件无其他特殊要求，投标人具有有效的营业执照或法人证书</w:t>
            </w:r>
            <w:r>
              <w:rPr>
                <w:rFonts w:hint="eastAsia" w:ascii="宋体" w:hAnsi="宋体"/>
                <w:color w:val="auto"/>
                <w:sz w:val="15"/>
                <w:szCs w:val="15"/>
              </w:rPr>
              <w:t>即可，可不提供其他证明材料</w:t>
            </w:r>
            <w:r>
              <w:rPr>
                <w:rFonts w:hint="eastAsia"/>
                <w:color w:val="auto"/>
                <w:sz w:val="15"/>
                <w:szCs w:val="15"/>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1" w:hRule="atLeast"/>
        </w:trPr>
        <w:tc>
          <w:tcPr>
            <w:tcW w:w="636" w:type="dxa"/>
            <w:vMerge w:val="continue"/>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s="宋体"/>
                <w:color w:val="auto"/>
                <w:sz w:val="15"/>
                <w:szCs w:val="15"/>
              </w:rPr>
            </w:pPr>
          </w:p>
        </w:tc>
        <w:tc>
          <w:tcPr>
            <w:tcW w:w="647" w:type="dxa"/>
            <w:vMerge w:val="continue"/>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s="宋体"/>
                <w:color w:val="auto"/>
                <w:sz w:val="15"/>
                <w:szCs w:val="15"/>
              </w:rPr>
            </w:pPr>
          </w:p>
        </w:tc>
        <w:tc>
          <w:tcPr>
            <w:tcW w:w="1108"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auto"/>
                <w:sz w:val="15"/>
                <w:szCs w:val="15"/>
              </w:rPr>
            </w:pPr>
            <w:r>
              <w:rPr>
                <w:rFonts w:hint="eastAsia"/>
                <w:color w:val="auto"/>
                <w:sz w:val="15"/>
                <w:szCs w:val="15"/>
              </w:rPr>
              <w:t>不属于其他国家相关法律法规规定的禁止参加投标的投标人</w:t>
            </w:r>
          </w:p>
        </w:tc>
        <w:tc>
          <w:tcPr>
            <w:tcW w:w="613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auto"/>
                <w:sz w:val="15"/>
                <w:szCs w:val="15"/>
              </w:rPr>
            </w:pPr>
            <w:r>
              <w:rPr>
                <w:color w:val="auto"/>
                <w:sz w:val="15"/>
                <w:szCs w:val="15"/>
              </w:rPr>
              <w:t>1</w:t>
            </w:r>
            <w:r>
              <w:rPr>
                <w:rFonts w:hint="eastAsia"/>
                <w:color w:val="auto"/>
                <w:sz w:val="15"/>
                <w:szCs w:val="15"/>
              </w:rPr>
              <w:t>、根据招标文件的要求不属于禁止参加投标或投标无效的投标人；</w:t>
            </w:r>
          </w:p>
          <w:p>
            <w:pPr>
              <w:tabs>
                <w:tab w:val="left" w:pos="851"/>
              </w:tabs>
              <w:spacing w:line="360" w:lineRule="auto"/>
              <w:rPr>
                <w:color w:val="auto"/>
                <w:sz w:val="15"/>
                <w:szCs w:val="15"/>
              </w:rPr>
            </w:pPr>
            <w:r>
              <w:rPr>
                <w:color w:val="auto"/>
                <w:sz w:val="15"/>
                <w:szCs w:val="15"/>
              </w:rPr>
              <w:t>2</w:t>
            </w:r>
            <w:r>
              <w:rPr>
                <w:rFonts w:hint="eastAsia"/>
                <w:color w:val="auto"/>
                <w:sz w:val="15"/>
                <w:szCs w:val="15"/>
              </w:rPr>
              <w:t>、资格审查小组未发现或者未知晓投标人存在属于国家相关法律法规规定的禁止参加投标或投标无效的投标人。</w:t>
            </w:r>
          </w:p>
          <w:p>
            <w:pPr>
              <w:tabs>
                <w:tab w:val="left" w:pos="851"/>
              </w:tabs>
              <w:spacing w:line="360" w:lineRule="auto"/>
              <w:rPr>
                <w:rFonts w:ascii="宋体" w:hAnsi="宋体" w:cs="宋体"/>
                <w:color w:val="auto"/>
                <w:sz w:val="15"/>
                <w:szCs w:val="15"/>
              </w:rPr>
            </w:pPr>
            <w:r>
              <w:rPr>
                <w:rFonts w:hint="eastAsia"/>
                <w:color w:val="auto"/>
                <w:sz w:val="15"/>
                <w:szCs w:val="15"/>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36" w:type="dxa"/>
            <w:vMerge w:val="continue"/>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s="宋体"/>
                <w:color w:val="auto"/>
                <w:sz w:val="15"/>
                <w:szCs w:val="15"/>
              </w:rPr>
            </w:pPr>
          </w:p>
        </w:tc>
        <w:tc>
          <w:tcPr>
            <w:tcW w:w="647" w:type="dxa"/>
            <w:vMerge w:val="continue"/>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s="宋体"/>
                <w:color w:val="auto"/>
                <w:sz w:val="15"/>
                <w:szCs w:val="15"/>
              </w:rPr>
            </w:pPr>
          </w:p>
        </w:tc>
        <w:tc>
          <w:tcPr>
            <w:tcW w:w="1108"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auto"/>
                <w:sz w:val="15"/>
                <w:szCs w:val="15"/>
              </w:rPr>
            </w:pPr>
            <w:r>
              <w:rPr>
                <w:rFonts w:hint="eastAsia"/>
                <w:color w:val="auto"/>
                <w:sz w:val="15"/>
                <w:szCs w:val="15"/>
              </w:rPr>
              <w:t>联合体投标</w:t>
            </w:r>
          </w:p>
        </w:tc>
        <w:tc>
          <w:tcPr>
            <w:tcW w:w="613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s="宋体"/>
                <w:color w:val="auto"/>
                <w:sz w:val="15"/>
                <w:szCs w:val="15"/>
              </w:rPr>
            </w:pPr>
            <w:r>
              <w:rPr>
                <w:rFonts w:hint="eastAsia"/>
                <w:color w:val="auto"/>
                <w:sz w:val="15"/>
                <w:szCs w:val="15"/>
              </w:rPr>
              <w:t>非联合体投标。【说明：无须提供证明材料，上传空白页即可，不对本项上传的材料作资格审查】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s="宋体"/>
                <w:color w:val="auto"/>
                <w:sz w:val="15"/>
                <w:szCs w:val="15"/>
              </w:rPr>
            </w:pPr>
          </w:p>
        </w:tc>
        <w:tc>
          <w:tcPr>
            <w:tcW w:w="647" w:type="dxa"/>
            <w:vMerge w:val="continue"/>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s="宋体"/>
                <w:color w:val="auto"/>
                <w:sz w:val="15"/>
                <w:szCs w:val="15"/>
              </w:rPr>
            </w:pPr>
          </w:p>
        </w:tc>
        <w:tc>
          <w:tcPr>
            <w:tcW w:w="1108"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auto"/>
                <w:sz w:val="15"/>
                <w:szCs w:val="15"/>
              </w:rPr>
            </w:pPr>
            <w:r>
              <w:rPr>
                <w:rFonts w:hint="eastAsia"/>
                <w:color w:val="auto"/>
                <w:sz w:val="15"/>
                <w:szCs w:val="15"/>
              </w:rPr>
              <w:t>投标保证金</w:t>
            </w:r>
          </w:p>
        </w:tc>
        <w:tc>
          <w:tcPr>
            <w:tcW w:w="613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s="宋体"/>
                <w:color w:val="auto"/>
                <w:sz w:val="15"/>
                <w:szCs w:val="15"/>
              </w:rPr>
            </w:pPr>
            <w:r>
              <w:rPr>
                <w:rFonts w:hint="eastAsia"/>
                <w:color w:val="auto"/>
                <w:sz w:val="15"/>
                <w:szCs w:val="15"/>
              </w:rPr>
              <w:t>无【说明：无须提供证明材料，上传空白页即可，不对本项上传的材料作资格审查】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s="宋体"/>
                <w:color w:val="auto"/>
                <w:sz w:val="15"/>
                <w:szCs w:val="15"/>
              </w:rPr>
            </w:pPr>
          </w:p>
        </w:tc>
        <w:tc>
          <w:tcPr>
            <w:tcW w:w="647" w:type="dxa"/>
            <w:vMerge w:val="continue"/>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s="宋体"/>
                <w:color w:val="auto"/>
                <w:sz w:val="15"/>
                <w:szCs w:val="15"/>
              </w:rPr>
            </w:pPr>
          </w:p>
        </w:tc>
        <w:tc>
          <w:tcPr>
            <w:tcW w:w="1108"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auto"/>
                <w:sz w:val="15"/>
                <w:szCs w:val="15"/>
              </w:rPr>
            </w:pPr>
            <w:r>
              <w:rPr>
                <w:rFonts w:hint="eastAsia"/>
                <w:color w:val="auto"/>
                <w:sz w:val="15"/>
                <w:szCs w:val="15"/>
              </w:rPr>
              <w:t>投标文件解密情况</w:t>
            </w:r>
          </w:p>
        </w:tc>
        <w:tc>
          <w:tcPr>
            <w:tcW w:w="613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s="宋体"/>
                <w:color w:val="auto"/>
                <w:sz w:val="15"/>
                <w:szCs w:val="15"/>
              </w:rPr>
            </w:pPr>
            <w:r>
              <w:rPr>
                <w:rFonts w:hint="eastAsia" w:ascii="宋体" w:hAnsi="宋体"/>
                <w:color w:val="auto"/>
                <w:sz w:val="15"/>
                <w:szCs w:val="15"/>
              </w:rPr>
              <w:t>除因断电、断网、系统故障或其他不可抗力等因素，导致系统无法使用外，投标文件已成功解密。</w:t>
            </w:r>
            <w:r>
              <w:rPr>
                <w:rFonts w:hint="eastAsia"/>
                <w:color w:val="auto"/>
                <w:sz w:val="15"/>
                <w:szCs w:val="15"/>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s="宋体"/>
                <w:color w:val="auto"/>
                <w:sz w:val="15"/>
                <w:szCs w:val="15"/>
              </w:rPr>
            </w:pPr>
          </w:p>
        </w:tc>
        <w:tc>
          <w:tcPr>
            <w:tcW w:w="647" w:type="dxa"/>
            <w:vMerge w:val="continue"/>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s="宋体"/>
                <w:color w:val="auto"/>
                <w:sz w:val="15"/>
                <w:szCs w:val="15"/>
              </w:rPr>
            </w:pPr>
          </w:p>
        </w:tc>
        <w:tc>
          <w:tcPr>
            <w:tcW w:w="1108"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auto"/>
                <w:sz w:val="15"/>
                <w:szCs w:val="15"/>
              </w:rPr>
            </w:pPr>
            <w:r>
              <w:rPr>
                <w:rFonts w:hint="eastAsia"/>
                <w:color w:val="auto"/>
                <w:sz w:val="15"/>
                <w:szCs w:val="15"/>
              </w:rPr>
              <w:t>投标文件签章</w:t>
            </w:r>
          </w:p>
        </w:tc>
        <w:tc>
          <w:tcPr>
            <w:tcW w:w="613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s="宋体"/>
                <w:color w:val="auto"/>
                <w:sz w:val="15"/>
                <w:szCs w:val="15"/>
              </w:rPr>
            </w:pPr>
            <w:r>
              <w:rPr>
                <w:rFonts w:hint="eastAsia"/>
                <w:color w:val="auto"/>
                <w:sz w:val="15"/>
                <w:szCs w:val="15"/>
              </w:rPr>
              <w:t>投标文件加盖有投标人（法定名称）电子签章。【说明：无须提供证明材料，上传空白页即可，不对本项上传的材料作资格审查】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s="宋体"/>
                <w:color w:val="auto"/>
                <w:sz w:val="15"/>
                <w:szCs w:val="15"/>
              </w:rPr>
            </w:pPr>
          </w:p>
        </w:tc>
        <w:tc>
          <w:tcPr>
            <w:tcW w:w="647" w:type="dxa"/>
            <w:vMerge w:val="continue"/>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s="宋体"/>
                <w:color w:val="auto"/>
                <w:sz w:val="15"/>
                <w:szCs w:val="15"/>
              </w:rPr>
            </w:pPr>
          </w:p>
        </w:tc>
        <w:tc>
          <w:tcPr>
            <w:tcW w:w="1108"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auto"/>
                <w:sz w:val="15"/>
                <w:szCs w:val="15"/>
              </w:rPr>
            </w:pPr>
            <w:r>
              <w:rPr>
                <w:rFonts w:hint="eastAsia"/>
                <w:color w:val="auto"/>
                <w:sz w:val="15"/>
                <w:szCs w:val="15"/>
              </w:rPr>
              <w:t>投标文件资格响应文件的语言</w:t>
            </w:r>
          </w:p>
        </w:tc>
        <w:tc>
          <w:tcPr>
            <w:tcW w:w="613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s="宋体"/>
                <w:color w:val="auto"/>
                <w:sz w:val="15"/>
                <w:szCs w:val="15"/>
              </w:rPr>
            </w:pPr>
            <w:r>
              <w:rPr>
                <w:rFonts w:hint="eastAsia"/>
                <w:color w:val="auto"/>
                <w:sz w:val="15"/>
                <w:szCs w:val="15"/>
              </w:rPr>
              <w:t>语言符合招标文件的要求。【说明：无须提供证明材料，上传空白页即可，不对本项上传的材料作资格审查】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63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s="宋体"/>
                <w:color w:val="auto"/>
                <w:sz w:val="15"/>
                <w:szCs w:val="15"/>
              </w:rPr>
            </w:pPr>
            <w:r>
              <w:rPr>
                <w:color w:val="auto"/>
                <w:sz w:val="15"/>
                <w:szCs w:val="15"/>
              </w:rPr>
              <w:t>4</w:t>
            </w:r>
          </w:p>
        </w:tc>
        <w:tc>
          <w:tcPr>
            <w:tcW w:w="1755"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s="宋体"/>
                <w:color w:val="auto"/>
                <w:sz w:val="15"/>
                <w:szCs w:val="15"/>
              </w:rPr>
            </w:pPr>
            <w:r>
              <w:rPr>
                <w:rFonts w:hint="eastAsia"/>
                <w:color w:val="auto"/>
                <w:sz w:val="15"/>
                <w:szCs w:val="15"/>
              </w:rPr>
              <w:t>投标文件资格性审查部分组成</w:t>
            </w:r>
          </w:p>
        </w:tc>
        <w:tc>
          <w:tcPr>
            <w:tcW w:w="613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s="宋体"/>
                <w:color w:val="auto"/>
                <w:sz w:val="15"/>
                <w:szCs w:val="15"/>
              </w:rPr>
            </w:pPr>
            <w:r>
              <w:rPr>
                <w:rFonts w:hint="eastAsia" w:ascii="宋体" w:hAnsi="宋体"/>
                <w:color w:val="auto"/>
                <w:sz w:val="15"/>
                <w:szCs w:val="15"/>
              </w:rPr>
              <w:t>符合招标文件“</w:t>
            </w:r>
            <w:r>
              <w:rPr>
                <w:rFonts w:ascii="宋体" w:hAnsi="宋体"/>
                <w:color w:val="auto"/>
                <w:sz w:val="15"/>
                <w:szCs w:val="15"/>
              </w:rPr>
              <w:t>2.4.</w:t>
            </w:r>
            <w:r>
              <w:rPr>
                <w:rFonts w:hint="eastAsia" w:ascii="宋体" w:hAnsi="宋体"/>
                <w:color w:val="auto"/>
                <w:sz w:val="15"/>
                <w:szCs w:val="15"/>
              </w:rPr>
              <w:t>6投标</w:t>
            </w:r>
            <w:r>
              <w:rPr>
                <w:rFonts w:ascii="宋体" w:hAnsi="宋体"/>
                <w:color w:val="auto"/>
                <w:sz w:val="15"/>
                <w:szCs w:val="15"/>
              </w:rPr>
              <w:t>文件的组成”规定要求。</w:t>
            </w:r>
            <w:r>
              <w:rPr>
                <w:rFonts w:hint="eastAsia" w:ascii="宋体" w:hAnsi="宋体"/>
                <w:color w:val="auto"/>
                <w:sz w:val="15"/>
                <w:szCs w:val="15"/>
              </w:rPr>
              <w:t>【说明：投标人按招标文件3.2.1提供关于投标人资格声明的函。】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3" w:hRule="atLeast"/>
        </w:trPr>
        <w:tc>
          <w:tcPr>
            <w:tcW w:w="63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s="宋体"/>
                <w:color w:val="auto"/>
                <w:sz w:val="15"/>
                <w:szCs w:val="15"/>
              </w:rPr>
            </w:pPr>
            <w:r>
              <w:rPr>
                <w:color w:val="auto"/>
                <w:sz w:val="15"/>
                <w:szCs w:val="15"/>
              </w:rPr>
              <w:t>5</w:t>
            </w:r>
          </w:p>
        </w:tc>
        <w:tc>
          <w:tcPr>
            <w:tcW w:w="1755"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s="宋体"/>
                <w:color w:val="auto"/>
                <w:sz w:val="15"/>
                <w:szCs w:val="15"/>
              </w:rPr>
            </w:pPr>
            <w:r>
              <w:rPr>
                <w:rFonts w:hint="eastAsia"/>
                <w:color w:val="auto"/>
                <w:sz w:val="15"/>
                <w:szCs w:val="15"/>
              </w:rPr>
              <w:t>具有健全的财务会计制度的证明材料</w:t>
            </w:r>
          </w:p>
        </w:tc>
        <w:tc>
          <w:tcPr>
            <w:tcW w:w="613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s="宋体"/>
                <w:color w:val="auto"/>
                <w:sz w:val="15"/>
                <w:szCs w:val="15"/>
              </w:rPr>
            </w:pPr>
            <w:r>
              <w:rPr>
                <w:color w:val="auto"/>
                <w:sz w:val="15"/>
                <w:szCs w:val="15"/>
              </w:rPr>
              <w:t>2020</w:t>
            </w:r>
            <w:r>
              <w:rPr>
                <w:rFonts w:hint="eastAsia"/>
                <w:color w:val="auto"/>
                <w:sz w:val="15"/>
                <w:szCs w:val="15"/>
              </w:rPr>
              <w:t>会计年度资产负债表复印件。【说明：①可提供2020年度经审计的财务报告复印件；②也可提供2020年度投标人内部的财务报表复印件（包括资产负债表、现金流量表、利润表）；③也可提供距文件递交截止日一年内银行出具的资信证明（复印件）；④投标人注册时间至文件递交截止日不足一年的，也可提供在工商备案的公司章程（复印件）；⑤投标人为事业法人或其他组织的提供其具有健全的财务会计制度的承诺函（格式自拟）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trPr>
        <w:tc>
          <w:tcPr>
            <w:tcW w:w="63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s="宋体"/>
                <w:color w:val="auto"/>
                <w:sz w:val="15"/>
                <w:szCs w:val="15"/>
              </w:rPr>
            </w:pPr>
            <w:r>
              <w:rPr>
                <w:color w:val="auto"/>
                <w:sz w:val="15"/>
                <w:szCs w:val="15"/>
              </w:rPr>
              <w:t>6</w:t>
            </w:r>
          </w:p>
        </w:tc>
        <w:tc>
          <w:tcPr>
            <w:tcW w:w="1755"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s="宋体"/>
                <w:color w:val="auto"/>
                <w:sz w:val="15"/>
                <w:szCs w:val="15"/>
              </w:rPr>
            </w:pPr>
            <w:r>
              <w:rPr>
                <w:rFonts w:hint="eastAsia"/>
                <w:color w:val="auto"/>
                <w:sz w:val="15"/>
                <w:szCs w:val="15"/>
              </w:rPr>
              <w:t>缴纳社保的证明材料</w:t>
            </w:r>
          </w:p>
        </w:tc>
        <w:tc>
          <w:tcPr>
            <w:tcW w:w="613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s="宋体"/>
                <w:color w:val="auto"/>
                <w:sz w:val="15"/>
                <w:szCs w:val="15"/>
              </w:rPr>
            </w:pPr>
            <w:r>
              <w:rPr>
                <w:rFonts w:hint="eastAsia"/>
                <w:color w:val="auto"/>
                <w:sz w:val="15"/>
                <w:szCs w:val="15"/>
              </w:rPr>
              <w:t>投标人缴纳2021年至今任意时段的社保的银行电子回单或行政部门出具的社保缴纳证明材料复印件或承诺函（格式自拟）复印件（依法不需要缴纳社保的投标人，应提供相应文件证明其依法不需要缴纳社保）；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63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s="宋体"/>
                <w:color w:val="auto"/>
                <w:sz w:val="15"/>
                <w:szCs w:val="15"/>
              </w:rPr>
            </w:pPr>
            <w:r>
              <w:rPr>
                <w:rFonts w:hint="eastAsia"/>
                <w:color w:val="auto"/>
                <w:sz w:val="15"/>
                <w:szCs w:val="15"/>
              </w:rPr>
              <w:t>7</w:t>
            </w:r>
          </w:p>
        </w:tc>
        <w:tc>
          <w:tcPr>
            <w:tcW w:w="1755"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s="宋体"/>
                <w:color w:val="auto"/>
                <w:sz w:val="15"/>
                <w:szCs w:val="15"/>
              </w:rPr>
            </w:pPr>
            <w:r>
              <w:rPr>
                <w:rFonts w:hint="eastAsia"/>
                <w:color w:val="auto"/>
                <w:sz w:val="15"/>
                <w:szCs w:val="15"/>
              </w:rPr>
              <w:t>缴纳税收的证明材料</w:t>
            </w:r>
          </w:p>
        </w:tc>
        <w:tc>
          <w:tcPr>
            <w:tcW w:w="613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s="宋体"/>
                <w:color w:val="auto"/>
                <w:sz w:val="15"/>
                <w:szCs w:val="15"/>
              </w:rPr>
            </w:pPr>
            <w:r>
              <w:rPr>
                <w:rFonts w:hint="eastAsia"/>
                <w:color w:val="auto"/>
                <w:sz w:val="15"/>
                <w:szCs w:val="15"/>
              </w:rPr>
              <w:t>投标人缴纳2021年至今任意时段的税收的银行电子回单或者行政部门出具的纳税证明或完税证明复印件或承诺函（格式自拟）复印件（依法免税的投标人，应提供相应文件证明其依法免税）。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6" w:hRule="atLeast"/>
        </w:trPr>
        <w:tc>
          <w:tcPr>
            <w:tcW w:w="63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auto"/>
                <w:sz w:val="15"/>
                <w:szCs w:val="15"/>
              </w:rPr>
            </w:pPr>
            <w:r>
              <w:rPr>
                <w:color w:val="auto"/>
                <w:sz w:val="15"/>
                <w:szCs w:val="15"/>
              </w:rPr>
              <w:t>8</w:t>
            </w:r>
          </w:p>
        </w:tc>
        <w:tc>
          <w:tcPr>
            <w:tcW w:w="1755"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auto"/>
                <w:sz w:val="15"/>
                <w:szCs w:val="15"/>
              </w:rPr>
            </w:pPr>
            <w:r>
              <w:rPr>
                <w:rFonts w:hint="eastAsia"/>
                <w:color w:val="auto"/>
                <w:sz w:val="15"/>
                <w:szCs w:val="15"/>
              </w:rPr>
              <w:t>本项目为专门面向中小企业采购项目，投标人提供的服务全部由符合政策要求的中小企业承接，监狱企业、残疾人福利性单位视同小型、微型企业</w:t>
            </w:r>
          </w:p>
        </w:tc>
        <w:tc>
          <w:tcPr>
            <w:tcW w:w="613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auto"/>
                <w:sz w:val="15"/>
                <w:szCs w:val="15"/>
              </w:rPr>
            </w:pPr>
            <w:r>
              <w:rPr>
                <w:rFonts w:hint="eastAsia"/>
                <w:color w:val="auto"/>
                <w:sz w:val="15"/>
                <w:szCs w:val="15"/>
              </w:rPr>
              <w:t>提供中小企业声明函或</w:t>
            </w:r>
            <w:bookmarkStart w:id="172" w:name="_Hlk76483272"/>
            <w:r>
              <w:rPr>
                <w:rFonts w:hint="eastAsia"/>
                <w:color w:val="auto"/>
                <w:sz w:val="15"/>
                <w:szCs w:val="15"/>
              </w:rPr>
              <w:t>残疾人福利性单位声明函或省级以上监狱管理局、戒毒管理局（含新疆生产建设兵团）出具的投标人属于监狱企业的证明文件。</w:t>
            </w:r>
            <w:bookmarkEnd w:id="172"/>
          </w:p>
        </w:tc>
      </w:tr>
    </w:tbl>
    <w:p>
      <w:pPr>
        <w:tabs>
          <w:tab w:val="left" w:pos="851"/>
        </w:tabs>
        <w:spacing w:line="540" w:lineRule="exact"/>
        <w:ind w:firstLine="560" w:firstLineChars="200"/>
        <w:rPr>
          <w:rFonts w:ascii="宋体" w:hAnsi="宋体" w:cs="宋体"/>
          <w:sz w:val="28"/>
          <w:szCs w:val="28"/>
        </w:rPr>
      </w:pPr>
      <w:r>
        <w:rPr>
          <w:rFonts w:hint="eastAsia" w:ascii="宋体" w:hAnsi="宋体" w:cs="宋体"/>
          <w:sz w:val="28"/>
          <w:szCs w:val="28"/>
        </w:rPr>
        <w:t>说明：</w:t>
      </w:r>
    </w:p>
    <w:p>
      <w:pPr>
        <w:tabs>
          <w:tab w:val="left" w:pos="851"/>
        </w:tabs>
        <w:spacing w:line="540" w:lineRule="exact"/>
        <w:ind w:firstLine="560" w:firstLineChars="200"/>
        <w:rPr>
          <w:rFonts w:ascii="宋体" w:hAnsi="宋体" w:cs="宋体"/>
          <w:sz w:val="28"/>
          <w:szCs w:val="28"/>
        </w:rPr>
      </w:pPr>
      <w:r>
        <w:rPr>
          <w:rFonts w:hint="eastAsia" w:ascii="宋体" w:hAnsi="宋体" w:cs="宋体"/>
          <w:sz w:val="28"/>
          <w:szCs w:val="28"/>
        </w:rPr>
        <w:t>一、以上每一项结论均为“通过”的，则投标人的投标文件通过资格性审查；如有其中任意一项结论为“不通过”的，则投标人的投标文件按无效投标文件处理。如果资格审查小组认为投标人有任意一项不通过的，应在资格性审查报告中载明不通过的具体原因。</w:t>
      </w:r>
    </w:p>
    <w:p>
      <w:pPr>
        <w:tabs>
          <w:tab w:val="left" w:pos="851"/>
        </w:tabs>
        <w:spacing w:line="540" w:lineRule="exact"/>
        <w:ind w:firstLine="565" w:firstLineChars="202"/>
        <w:rPr>
          <w:rFonts w:ascii="宋体" w:hAnsi="宋体" w:cs="宋体"/>
          <w:sz w:val="28"/>
          <w:szCs w:val="28"/>
        </w:rPr>
      </w:pPr>
      <w:r>
        <w:rPr>
          <w:rFonts w:hint="eastAsia" w:ascii="宋体" w:hAnsi="宋体" w:cs="宋体"/>
          <w:sz w:val="28"/>
          <w:szCs w:val="28"/>
        </w:rPr>
        <w:t>二、“信用中国”和“中国政府采购网”网站查询结果，将以纸质截图或将截图保存至电子介质的形式留存。</w:t>
      </w:r>
    </w:p>
    <w:p>
      <w:pPr>
        <w:tabs>
          <w:tab w:val="left" w:pos="851"/>
        </w:tabs>
        <w:spacing w:line="540" w:lineRule="exact"/>
        <w:ind w:firstLine="565" w:firstLineChars="202"/>
        <w:rPr>
          <w:rFonts w:ascii="宋体" w:hAnsi="宋体" w:cs="宋体"/>
          <w:sz w:val="28"/>
          <w:szCs w:val="28"/>
        </w:rPr>
      </w:pPr>
      <w:r>
        <w:rPr>
          <w:rFonts w:hint="eastAsia" w:ascii="宋体" w:hAnsi="宋体" w:cs="宋体"/>
          <w:sz w:val="28"/>
          <w:szCs w:val="28"/>
        </w:rPr>
        <w:t>三、投标人的投标文件资格性审查时被判定为无效的，区公资交易中心将通知投标人（以现场公示、电话、短信、成都市公共资源交易中心网站等任一方式）。投标人如对资格审查结论有异议的，应及时向区公资交易中心反馈意见。区公资交易中心将及时告知资格审查小组。（</w:t>
      </w:r>
      <w:r>
        <w:rPr>
          <w:rFonts w:hint="eastAsia" w:ascii="宋体" w:hAnsi="宋体" w:cs="宋体"/>
          <w:b/>
          <w:bCs/>
          <w:sz w:val="28"/>
          <w:szCs w:val="28"/>
        </w:rPr>
        <w:t>说明：</w:t>
      </w:r>
      <w:r>
        <w:rPr>
          <w:rFonts w:hint="eastAsia" w:ascii="宋体" w:hAnsi="宋体" w:cs="宋体"/>
          <w:sz w:val="28"/>
          <w:szCs w:val="28"/>
        </w:rPr>
        <w:t>无论投标人是否收到通知或提供反馈意见，均不影响资格审查和评标工作，且区公资交易中心对此将不承担任何的责任。投标人对资格审查结论有异议的，其反馈意见仅限于资格审查小组对资格审查结论的正确性进行复核，避免出现审查错误。）</w:t>
      </w:r>
    </w:p>
    <w:p>
      <w:pPr>
        <w:tabs>
          <w:tab w:val="left" w:pos="851"/>
        </w:tabs>
        <w:spacing w:line="360" w:lineRule="auto"/>
        <w:ind w:firstLine="565" w:firstLineChars="202"/>
        <w:rPr>
          <w:rFonts w:ascii="宋体" w:hAnsi="宋体" w:cs="宋体"/>
          <w:sz w:val="28"/>
          <w:szCs w:val="28"/>
        </w:rPr>
      </w:pPr>
      <w:r>
        <w:rPr>
          <w:rFonts w:hint="eastAsia" w:ascii="宋体" w:hAnsi="宋体" w:cs="宋体"/>
          <w:sz w:val="28"/>
          <w:szCs w:val="28"/>
        </w:rPr>
        <w:t>四、通过资格性审查的投标人＜3名，采购失败。</w:t>
      </w:r>
    </w:p>
    <w:p>
      <w:pPr>
        <w:pStyle w:val="15"/>
        <w:ind w:firstLine="0" w:firstLineChars="0"/>
        <w:rPr>
          <w:rFonts w:ascii="宋体" w:hAnsi="宋体" w:cs="宋体"/>
          <w:sz w:val="28"/>
          <w:szCs w:val="28"/>
        </w:rPr>
      </w:pPr>
    </w:p>
    <w:p>
      <w:pPr>
        <w:pStyle w:val="15"/>
        <w:ind w:firstLine="0" w:firstLineChars="0"/>
        <w:rPr>
          <w:rFonts w:ascii="宋体" w:hAnsi="宋体" w:cs="宋体"/>
          <w:sz w:val="28"/>
          <w:szCs w:val="28"/>
        </w:rPr>
      </w:pPr>
    </w:p>
    <w:p>
      <w:pPr>
        <w:pStyle w:val="15"/>
        <w:ind w:firstLine="0" w:firstLineChars="0"/>
        <w:rPr>
          <w:rFonts w:ascii="宋体" w:hAnsi="宋体" w:cs="宋体"/>
          <w:sz w:val="28"/>
          <w:szCs w:val="28"/>
        </w:rPr>
      </w:pPr>
    </w:p>
    <w:p>
      <w:pPr>
        <w:pStyle w:val="15"/>
        <w:ind w:firstLine="0" w:firstLineChars="0"/>
        <w:rPr>
          <w:rFonts w:ascii="宋体" w:hAnsi="宋体" w:cs="宋体"/>
          <w:sz w:val="28"/>
          <w:szCs w:val="28"/>
        </w:rPr>
      </w:pPr>
    </w:p>
    <w:p>
      <w:pPr>
        <w:pStyle w:val="15"/>
        <w:ind w:firstLine="0" w:firstLineChars="0"/>
        <w:rPr>
          <w:rFonts w:ascii="宋体" w:hAnsi="宋体" w:cs="宋体"/>
          <w:sz w:val="28"/>
          <w:szCs w:val="28"/>
        </w:rPr>
      </w:pPr>
    </w:p>
    <w:p>
      <w:pPr>
        <w:pStyle w:val="15"/>
        <w:ind w:firstLine="0" w:firstLineChars="0"/>
        <w:rPr>
          <w:rFonts w:ascii="宋体" w:hAnsi="宋体" w:cs="宋体"/>
          <w:sz w:val="28"/>
          <w:szCs w:val="28"/>
        </w:rPr>
      </w:pPr>
    </w:p>
    <w:p>
      <w:pPr>
        <w:pStyle w:val="15"/>
        <w:ind w:firstLine="0" w:firstLineChars="0"/>
        <w:rPr>
          <w:rFonts w:ascii="宋体" w:hAnsi="宋体" w:cs="宋体"/>
          <w:sz w:val="28"/>
          <w:szCs w:val="28"/>
        </w:rPr>
      </w:pPr>
    </w:p>
    <w:p>
      <w:pPr>
        <w:pStyle w:val="15"/>
        <w:ind w:firstLine="0" w:firstLineChars="0"/>
        <w:rPr>
          <w:rFonts w:ascii="宋体" w:hAnsi="宋体" w:cs="宋体"/>
          <w:sz w:val="28"/>
          <w:szCs w:val="28"/>
        </w:rPr>
      </w:pPr>
    </w:p>
    <w:p>
      <w:pPr>
        <w:pStyle w:val="15"/>
        <w:ind w:firstLine="0" w:firstLineChars="0"/>
        <w:rPr>
          <w:rFonts w:ascii="宋体" w:hAnsi="宋体" w:cs="宋体"/>
          <w:sz w:val="28"/>
          <w:szCs w:val="28"/>
        </w:rPr>
      </w:pPr>
    </w:p>
    <w:p>
      <w:pPr>
        <w:pStyle w:val="15"/>
        <w:ind w:firstLine="0" w:firstLineChars="0"/>
        <w:rPr>
          <w:rFonts w:ascii="宋体" w:hAnsi="宋体" w:cs="宋体"/>
          <w:sz w:val="28"/>
          <w:szCs w:val="28"/>
        </w:rPr>
      </w:pPr>
    </w:p>
    <w:p>
      <w:pPr>
        <w:pStyle w:val="15"/>
        <w:ind w:firstLine="0" w:firstLineChars="0"/>
        <w:rPr>
          <w:rFonts w:ascii="宋体" w:hAnsi="宋体" w:cs="宋体"/>
          <w:sz w:val="28"/>
          <w:szCs w:val="28"/>
        </w:rPr>
      </w:pPr>
    </w:p>
    <w:p>
      <w:pPr>
        <w:keepNext/>
        <w:keepLines/>
        <w:numPr>
          <w:ilvl w:val="0"/>
          <w:numId w:val="2"/>
        </w:numPr>
        <w:spacing w:line="360" w:lineRule="auto"/>
        <w:ind w:left="0" w:firstLine="0"/>
        <w:jc w:val="center"/>
        <w:outlineLvl w:val="0"/>
        <w:rPr>
          <w:rFonts w:ascii="宋体" w:hAnsi="宋体" w:cs="宋体"/>
          <w:b/>
          <w:bCs/>
          <w:spacing w:val="-20"/>
          <w:kern w:val="44"/>
          <w:sz w:val="32"/>
          <w:szCs w:val="32"/>
        </w:rPr>
      </w:pPr>
      <w:bookmarkStart w:id="173" w:name="_Toc15072"/>
      <w:r>
        <w:rPr>
          <w:rFonts w:hint="eastAsia" w:ascii="宋体" w:hAnsi="宋体" w:cs="宋体"/>
          <w:b/>
          <w:bCs/>
          <w:spacing w:val="-20"/>
          <w:kern w:val="44"/>
          <w:sz w:val="32"/>
          <w:szCs w:val="32"/>
        </w:rPr>
        <w:t>评标办法</w:t>
      </w:r>
      <w:bookmarkEnd w:id="173"/>
    </w:p>
    <w:p>
      <w:pPr>
        <w:keepNext/>
        <w:keepLines/>
        <w:numPr>
          <w:ilvl w:val="1"/>
          <w:numId w:val="2"/>
        </w:numPr>
        <w:spacing w:line="360" w:lineRule="auto"/>
        <w:jc w:val="left"/>
        <w:outlineLvl w:val="1"/>
        <w:rPr>
          <w:rFonts w:ascii="宋体" w:hAnsi="宋体" w:cs="宋体"/>
          <w:b/>
          <w:bCs/>
          <w:sz w:val="28"/>
          <w:szCs w:val="28"/>
        </w:rPr>
      </w:pPr>
      <w:bookmarkStart w:id="174" w:name="_Toc24293"/>
      <w:r>
        <w:rPr>
          <w:rFonts w:hint="eastAsia" w:ascii="宋体" w:hAnsi="宋体" w:cs="宋体"/>
          <w:b/>
          <w:bCs/>
          <w:sz w:val="28"/>
          <w:szCs w:val="28"/>
        </w:rPr>
        <w:t>总则</w:t>
      </w:r>
      <w:bookmarkEnd w:id="174"/>
    </w:p>
    <w:p>
      <w:pPr>
        <w:numPr>
          <w:ilvl w:val="0"/>
          <w:numId w:val="39"/>
        </w:numPr>
        <w:tabs>
          <w:tab w:val="left" w:pos="1134"/>
        </w:tabs>
        <w:spacing w:line="360" w:lineRule="auto"/>
        <w:ind w:left="0" w:firstLine="565" w:firstLineChars="202"/>
        <w:rPr>
          <w:rFonts w:ascii="宋体" w:hAnsi="宋体" w:cs="宋体"/>
          <w:sz w:val="28"/>
          <w:szCs w:val="28"/>
        </w:rPr>
      </w:pPr>
      <w:r>
        <w:rPr>
          <w:rFonts w:hint="eastAsia" w:ascii="宋体" w:hAnsi="宋体" w:cs="宋体"/>
          <w:sz w:val="28"/>
          <w:szCs w:val="28"/>
        </w:rPr>
        <w:t>根据《中华人民共和国政府采购法》《政府采购货物和服务招标投标管理办法》等法律规章，结合采购项目特点制定本评标办法。</w:t>
      </w:r>
    </w:p>
    <w:p>
      <w:pPr>
        <w:numPr>
          <w:ilvl w:val="0"/>
          <w:numId w:val="39"/>
        </w:numPr>
        <w:tabs>
          <w:tab w:val="left" w:pos="1134"/>
        </w:tabs>
        <w:spacing w:line="360" w:lineRule="auto"/>
        <w:ind w:left="0" w:firstLine="565" w:firstLineChars="202"/>
        <w:rPr>
          <w:rFonts w:ascii="宋体" w:hAnsi="宋体" w:cs="宋体"/>
          <w:sz w:val="28"/>
          <w:szCs w:val="28"/>
        </w:rPr>
      </w:pPr>
      <w:r>
        <w:rPr>
          <w:rFonts w:hint="eastAsia" w:ascii="宋体" w:hAnsi="宋体" w:cs="宋体"/>
          <w:sz w:val="28"/>
          <w:szCs w:val="28"/>
        </w:rPr>
        <w:t>评标工作由区公资交易中心负责组织，具体评标事务由采购人或区公资交易中心依法组建的评标委员会负责。评标委员会由采购人代表和评审专家组成。</w:t>
      </w:r>
    </w:p>
    <w:p>
      <w:pPr>
        <w:numPr>
          <w:ilvl w:val="0"/>
          <w:numId w:val="39"/>
        </w:numPr>
        <w:tabs>
          <w:tab w:val="left" w:pos="1134"/>
        </w:tabs>
        <w:spacing w:line="360" w:lineRule="auto"/>
        <w:ind w:left="0" w:firstLine="565" w:firstLineChars="202"/>
        <w:rPr>
          <w:rFonts w:ascii="宋体" w:hAnsi="宋体" w:cs="宋体"/>
          <w:sz w:val="28"/>
          <w:szCs w:val="28"/>
        </w:rPr>
      </w:pPr>
      <w:r>
        <w:rPr>
          <w:rFonts w:hint="eastAsia" w:ascii="宋体" w:hAnsi="宋体" w:cs="宋体"/>
          <w:sz w:val="28"/>
          <w:szCs w:val="28"/>
        </w:rPr>
        <w:t>评标工作应遵循公平、公正、科学及择优的原则，并以相同的评标程序和标准对待所有的投标人。</w:t>
      </w:r>
    </w:p>
    <w:p>
      <w:pPr>
        <w:numPr>
          <w:ilvl w:val="0"/>
          <w:numId w:val="39"/>
        </w:numPr>
        <w:tabs>
          <w:tab w:val="left" w:pos="1134"/>
        </w:tabs>
        <w:spacing w:line="360" w:lineRule="auto"/>
        <w:ind w:left="0" w:firstLine="565" w:firstLineChars="202"/>
        <w:rPr>
          <w:rFonts w:ascii="宋体" w:hAnsi="宋体" w:cs="宋体"/>
          <w:sz w:val="28"/>
          <w:szCs w:val="28"/>
        </w:rPr>
      </w:pPr>
      <w:r>
        <w:rPr>
          <w:rFonts w:hint="eastAsia" w:ascii="宋体" w:hAnsi="宋体" w:cs="宋体"/>
          <w:sz w:val="28"/>
          <w:szCs w:val="28"/>
        </w:rPr>
        <w:t>评标委员会按照招标文件规定的评标程序、评标方法和标准进行独立评审，并独立履行下列职责：</w:t>
      </w:r>
    </w:p>
    <w:p>
      <w:pPr>
        <w:numPr>
          <w:ilvl w:val="1"/>
          <w:numId w:val="40"/>
        </w:numPr>
        <w:spacing w:line="360" w:lineRule="auto"/>
        <w:ind w:left="0" w:firstLine="567"/>
        <w:rPr>
          <w:rFonts w:ascii="宋体" w:hAnsi="宋体" w:cs="宋体"/>
          <w:sz w:val="28"/>
          <w:szCs w:val="28"/>
        </w:rPr>
      </w:pPr>
      <w:r>
        <w:rPr>
          <w:rFonts w:hint="eastAsia" w:ascii="宋体" w:hAnsi="宋体" w:cs="宋体"/>
          <w:sz w:val="28"/>
          <w:szCs w:val="28"/>
        </w:rPr>
        <w:t>熟悉和理解招标文件；</w:t>
      </w:r>
    </w:p>
    <w:p>
      <w:pPr>
        <w:numPr>
          <w:ilvl w:val="1"/>
          <w:numId w:val="40"/>
        </w:numPr>
        <w:spacing w:line="360" w:lineRule="auto"/>
        <w:ind w:left="0" w:firstLine="567"/>
        <w:rPr>
          <w:rFonts w:ascii="宋体" w:hAnsi="宋体" w:cs="宋体"/>
          <w:sz w:val="28"/>
          <w:szCs w:val="28"/>
        </w:rPr>
      </w:pPr>
      <w:r>
        <w:rPr>
          <w:rFonts w:hint="eastAsia" w:ascii="宋体" w:hAnsi="宋体" w:cs="宋体"/>
          <w:sz w:val="28"/>
          <w:szCs w:val="28"/>
        </w:rPr>
        <w:t>审查、评价投标文件是否符合招标文件的商务、技术等实质性要求；</w:t>
      </w:r>
    </w:p>
    <w:p>
      <w:pPr>
        <w:numPr>
          <w:ilvl w:val="1"/>
          <w:numId w:val="40"/>
        </w:numPr>
        <w:spacing w:line="360" w:lineRule="auto"/>
        <w:ind w:left="0" w:firstLine="567"/>
        <w:rPr>
          <w:rFonts w:ascii="宋体" w:hAnsi="宋体" w:cs="宋体"/>
          <w:sz w:val="28"/>
          <w:szCs w:val="28"/>
        </w:rPr>
      </w:pPr>
      <w:r>
        <w:rPr>
          <w:rFonts w:hint="eastAsia" w:ascii="宋体" w:hAnsi="宋体" w:cs="宋体"/>
          <w:sz w:val="28"/>
          <w:szCs w:val="28"/>
        </w:rPr>
        <w:t>对投标文件进行比较和评价；</w:t>
      </w:r>
    </w:p>
    <w:p>
      <w:pPr>
        <w:numPr>
          <w:ilvl w:val="1"/>
          <w:numId w:val="40"/>
        </w:numPr>
        <w:spacing w:line="360" w:lineRule="auto"/>
        <w:ind w:left="0" w:firstLine="567"/>
        <w:rPr>
          <w:rFonts w:ascii="宋体" w:hAnsi="宋体" w:cs="宋体"/>
          <w:sz w:val="28"/>
          <w:szCs w:val="28"/>
        </w:rPr>
      </w:pPr>
      <w:r>
        <w:rPr>
          <w:rFonts w:hint="eastAsia" w:ascii="宋体" w:hAnsi="宋体" w:cs="宋体"/>
          <w:sz w:val="28"/>
          <w:szCs w:val="28"/>
        </w:rPr>
        <w:t>根据需要要求采购人对招标文件作出解释；根据需要要求投标人对投标文件有关事项作出解释或者澄清；</w:t>
      </w:r>
    </w:p>
    <w:p>
      <w:pPr>
        <w:numPr>
          <w:ilvl w:val="1"/>
          <w:numId w:val="40"/>
        </w:numPr>
        <w:spacing w:line="360" w:lineRule="auto"/>
        <w:ind w:left="0" w:firstLine="567"/>
        <w:rPr>
          <w:rFonts w:ascii="宋体" w:hAnsi="宋体" w:cs="宋体"/>
          <w:sz w:val="28"/>
          <w:szCs w:val="28"/>
        </w:rPr>
      </w:pPr>
      <w:r>
        <w:rPr>
          <w:rFonts w:hint="eastAsia" w:ascii="宋体" w:hAnsi="宋体" w:cs="宋体"/>
          <w:sz w:val="28"/>
          <w:szCs w:val="28"/>
        </w:rPr>
        <w:t>确定中标候选人名单，以及根据采购人委托直接确定中标人；</w:t>
      </w:r>
    </w:p>
    <w:p>
      <w:pPr>
        <w:numPr>
          <w:ilvl w:val="1"/>
          <w:numId w:val="40"/>
        </w:numPr>
        <w:spacing w:line="360" w:lineRule="auto"/>
        <w:ind w:left="0" w:firstLine="567"/>
        <w:rPr>
          <w:rFonts w:ascii="宋体" w:hAnsi="宋体" w:cs="宋体"/>
          <w:sz w:val="28"/>
          <w:szCs w:val="28"/>
        </w:rPr>
      </w:pPr>
      <w:r>
        <w:rPr>
          <w:rFonts w:hint="eastAsia" w:ascii="宋体" w:hAnsi="宋体" w:cs="宋体"/>
          <w:sz w:val="28"/>
          <w:szCs w:val="28"/>
        </w:rPr>
        <w:t>起草评标报告并进行签署；</w:t>
      </w:r>
    </w:p>
    <w:p>
      <w:pPr>
        <w:numPr>
          <w:ilvl w:val="1"/>
          <w:numId w:val="40"/>
        </w:numPr>
        <w:spacing w:line="360" w:lineRule="auto"/>
        <w:ind w:left="0" w:firstLine="567"/>
        <w:rPr>
          <w:rFonts w:ascii="宋体" w:hAnsi="宋体" w:cs="宋体"/>
          <w:sz w:val="28"/>
          <w:szCs w:val="28"/>
        </w:rPr>
      </w:pPr>
      <w:r>
        <w:rPr>
          <w:rFonts w:hint="eastAsia" w:ascii="宋体" w:hAnsi="宋体" w:cs="宋体"/>
          <w:sz w:val="28"/>
          <w:szCs w:val="28"/>
        </w:rPr>
        <w:t>向采购人、区公资交易中心或者财政、监察等有关部门报告或举报非法干预评标工作的行为；</w:t>
      </w:r>
    </w:p>
    <w:p>
      <w:pPr>
        <w:numPr>
          <w:ilvl w:val="1"/>
          <w:numId w:val="40"/>
        </w:numPr>
        <w:spacing w:line="360" w:lineRule="auto"/>
        <w:ind w:left="0" w:firstLine="567"/>
        <w:rPr>
          <w:rFonts w:ascii="宋体" w:hAnsi="宋体" w:cs="宋体"/>
          <w:sz w:val="28"/>
          <w:szCs w:val="28"/>
        </w:rPr>
      </w:pPr>
      <w:r>
        <w:rPr>
          <w:rFonts w:hint="eastAsia" w:ascii="宋体" w:hAnsi="宋体" w:cs="宋体"/>
          <w:sz w:val="28"/>
          <w:szCs w:val="28"/>
        </w:rPr>
        <w:t>向采购人、区公资交易中心或者有关部门报告评标中发现的违法行为。</w:t>
      </w:r>
    </w:p>
    <w:p>
      <w:pPr>
        <w:numPr>
          <w:ilvl w:val="1"/>
          <w:numId w:val="40"/>
        </w:numPr>
        <w:spacing w:line="360" w:lineRule="auto"/>
        <w:ind w:left="0" w:firstLine="567"/>
        <w:rPr>
          <w:rFonts w:ascii="宋体" w:hAnsi="宋体" w:cs="宋体"/>
          <w:sz w:val="28"/>
          <w:szCs w:val="28"/>
        </w:rPr>
      </w:pPr>
      <w:r>
        <w:rPr>
          <w:rFonts w:hint="eastAsia" w:ascii="宋体" w:hAnsi="宋体" w:cs="宋体"/>
          <w:sz w:val="28"/>
          <w:szCs w:val="28"/>
        </w:rPr>
        <w:t>法律、法规和规章规定的其他职责。</w:t>
      </w:r>
    </w:p>
    <w:p>
      <w:pPr>
        <w:numPr>
          <w:ilvl w:val="0"/>
          <w:numId w:val="39"/>
        </w:numPr>
        <w:tabs>
          <w:tab w:val="left" w:pos="1134"/>
        </w:tabs>
        <w:spacing w:line="360" w:lineRule="auto"/>
        <w:ind w:left="0" w:firstLine="565" w:firstLineChars="202"/>
        <w:rPr>
          <w:rFonts w:ascii="宋体" w:hAnsi="宋体" w:cs="宋体"/>
          <w:sz w:val="28"/>
          <w:szCs w:val="28"/>
        </w:rPr>
      </w:pPr>
      <w:r>
        <w:rPr>
          <w:rFonts w:hint="eastAsia" w:ascii="宋体" w:hAnsi="宋体" w:cs="宋体"/>
          <w:sz w:val="28"/>
          <w:szCs w:val="28"/>
        </w:rPr>
        <w:t>评标过程独立、保密。投标人非法干预评标过程的行为将导致其投标文件作为无效处理。</w:t>
      </w:r>
    </w:p>
    <w:p>
      <w:pPr>
        <w:numPr>
          <w:ilvl w:val="0"/>
          <w:numId w:val="39"/>
        </w:numPr>
        <w:tabs>
          <w:tab w:val="left" w:pos="1134"/>
        </w:tabs>
        <w:spacing w:line="360" w:lineRule="auto"/>
        <w:ind w:left="0" w:firstLine="565" w:firstLineChars="202"/>
        <w:rPr>
          <w:rFonts w:ascii="宋体" w:hAnsi="宋体" w:cs="宋体"/>
          <w:sz w:val="28"/>
          <w:szCs w:val="28"/>
        </w:rPr>
      </w:pPr>
      <w:r>
        <w:rPr>
          <w:rFonts w:hint="eastAsia" w:ascii="宋体" w:hAnsi="宋体" w:cs="宋体"/>
          <w:sz w:val="28"/>
          <w:szCs w:val="28"/>
        </w:rPr>
        <w:t>评标委员会决定投标文件的响应性依据投标文件本身的内容，而不寻求外部的证据，招标文件有明确约定的除外。</w:t>
      </w:r>
    </w:p>
    <w:p>
      <w:pPr>
        <w:numPr>
          <w:ilvl w:val="0"/>
          <w:numId w:val="39"/>
        </w:numPr>
        <w:tabs>
          <w:tab w:val="left" w:pos="1134"/>
        </w:tabs>
        <w:spacing w:line="360" w:lineRule="auto"/>
        <w:ind w:left="0" w:firstLine="565" w:firstLineChars="202"/>
        <w:rPr>
          <w:rFonts w:ascii="宋体" w:hAnsi="宋体" w:cs="宋体"/>
          <w:sz w:val="28"/>
          <w:szCs w:val="28"/>
        </w:rPr>
      </w:pPr>
      <w:r>
        <w:rPr>
          <w:rFonts w:hint="eastAsia" w:ascii="宋体" w:hAnsi="宋体" w:cs="宋体"/>
          <w:sz w:val="28"/>
          <w:szCs w:val="28"/>
        </w:rPr>
        <w:t>评标委员会发现招标文件表述不明确或需要说明的事项，可提请采购人和区公资交易中心书面解释说明。</w:t>
      </w:r>
    </w:p>
    <w:p>
      <w:pPr>
        <w:keepNext/>
        <w:keepLines/>
        <w:numPr>
          <w:ilvl w:val="1"/>
          <w:numId w:val="2"/>
        </w:numPr>
        <w:spacing w:line="360" w:lineRule="auto"/>
        <w:jc w:val="left"/>
        <w:outlineLvl w:val="1"/>
        <w:rPr>
          <w:rFonts w:ascii="宋体" w:hAnsi="宋体" w:cs="宋体"/>
          <w:b/>
          <w:bCs/>
          <w:sz w:val="28"/>
          <w:szCs w:val="28"/>
        </w:rPr>
      </w:pPr>
      <w:bookmarkStart w:id="175" w:name="_Toc20765"/>
      <w:r>
        <w:rPr>
          <w:rFonts w:hint="eastAsia" w:ascii="宋体" w:hAnsi="宋体" w:cs="宋体"/>
          <w:b/>
          <w:bCs/>
          <w:sz w:val="28"/>
          <w:szCs w:val="28"/>
        </w:rPr>
        <w:t>评标方法</w:t>
      </w:r>
      <w:bookmarkEnd w:id="175"/>
    </w:p>
    <w:p>
      <w:pPr>
        <w:spacing w:line="360" w:lineRule="auto"/>
        <w:ind w:firstLine="565" w:firstLineChars="202"/>
        <w:rPr>
          <w:rFonts w:ascii="宋体" w:hAnsi="宋体" w:cs="宋体"/>
          <w:sz w:val="28"/>
          <w:szCs w:val="28"/>
        </w:rPr>
      </w:pPr>
      <w:r>
        <w:rPr>
          <w:rFonts w:hint="eastAsia" w:ascii="宋体" w:hAnsi="宋体" w:cs="宋体"/>
          <w:sz w:val="28"/>
          <w:szCs w:val="28"/>
        </w:rPr>
        <w:t>综合评分法。</w:t>
      </w:r>
    </w:p>
    <w:p>
      <w:pPr>
        <w:keepNext/>
        <w:keepLines/>
        <w:numPr>
          <w:ilvl w:val="1"/>
          <w:numId w:val="2"/>
        </w:numPr>
        <w:spacing w:line="360" w:lineRule="auto"/>
        <w:jc w:val="left"/>
        <w:outlineLvl w:val="1"/>
        <w:rPr>
          <w:rFonts w:ascii="宋体" w:hAnsi="宋体" w:cs="宋体"/>
          <w:b/>
          <w:bCs/>
          <w:sz w:val="28"/>
          <w:szCs w:val="28"/>
        </w:rPr>
      </w:pPr>
      <w:bookmarkStart w:id="176" w:name="_Toc5260"/>
      <w:r>
        <w:rPr>
          <w:rFonts w:hint="eastAsia" w:ascii="宋体" w:hAnsi="宋体" w:cs="宋体"/>
          <w:b/>
          <w:bCs/>
          <w:sz w:val="28"/>
          <w:szCs w:val="28"/>
        </w:rPr>
        <w:t>评标程序</w:t>
      </w:r>
      <w:bookmarkEnd w:id="176"/>
    </w:p>
    <w:p>
      <w:pPr>
        <w:keepNext/>
        <w:keepLines/>
        <w:numPr>
          <w:ilvl w:val="2"/>
          <w:numId w:val="2"/>
        </w:numPr>
        <w:spacing w:line="360" w:lineRule="auto"/>
        <w:ind w:left="3119" w:hanging="3119"/>
        <w:outlineLvl w:val="2"/>
        <w:rPr>
          <w:rFonts w:ascii="宋体" w:hAnsi="宋体" w:cs="宋体"/>
          <w:b/>
          <w:bCs/>
          <w:sz w:val="28"/>
          <w:szCs w:val="28"/>
        </w:rPr>
      </w:pPr>
      <w:r>
        <w:rPr>
          <w:rFonts w:hint="eastAsia" w:ascii="宋体" w:hAnsi="宋体" w:cs="宋体"/>
          <w:b/>
          <w:bCs/>
          <w:sz w:val="28"/>
          <w:szCs w:val="28"/>
        </w:rPr>
        <w:t>符合性审查</w:t>
      </w:r>
    </w:p>
    <w:p>
      <w:pPr>
        <w:tabs>
          <w:tab w:val="left" w:pos="851"/>
        </w:tabs>
        <w:spacing w:line="360" w:lineRule="auto"/>
        <w:ind w:firstLine="565" w:firstLineChars="202"/>
        <w:rPr>
          <w:rFonts w:ascii="宋体" w:hAnsi="宋体" w:cs="宋体"/>
          <w:sz w:val="28"/>
          <w:szCs w:val="28"/>
        </w:rPr>
      </w:pPr>
      <w:r>
        <w:rPr>
          <w:rFonts w:hint="eastAsia" w:ascii="宋体" w:hAnsi="宋体" w:cs="宋体"/>
          <w:sz w:val="28"/>
          <w:szCs w:val="28"/>
        </w:rPr>
        <w:t>符合性审查由评标委员会依据招标文件的规定，从投标文件的有效性、完整性和对招标文件的响应程度进行审查，以确定是否对招标文件的实质性要求作出响应。在投标文件符合性审查过程中，如果出现评标委员会成员意见不一致的情况，按照少数服从多数的原则确定，但不得违背政府采购基本原则和招标文件规定。</w:t>
      </w:r>
    </w:p>
    <w:p>
      <w:pPr>
        <w:tabs>
          <w:tab w:val="left" w:pos="851"/>
        </w:tabs>
        <w:spacing w:line="360" w:lineRule="auto"/>
        <w:ind w:firstLine="565" w:firstLineChars="202"/>
        <w:rPr>
          <w:rFonts w:ascii="宋体" w:hAnsi="宋体" w:cs="宋体"/>
          <w:sz w:val="28"/>
          <w:szCs w:val="28"/>
        </w:rPr>
      </w:pPr>
      <w:r>
        <w:rPr>
          <w:rFonts w:hint="eastAsia" w:ascii="宋体" w:hAnsi="宋体" w:cs="宋体"/>
          <w:sz w:val="28"/>
          <w:szCs w:val="28"/>
        </w:rPr>
        <w:t>符合性审查标准见下表（按以下顺序审查）：</w:t>
      </w:r>
    </w:p>
    <w:tbl>
      <w:tblPr>
        <w:tblStyle w:val="16"/>
        <w:tblW w:w="882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985"/>
        <w:gridCol w:w="6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s="宋体"/>
                <w:sz w:val="20"/>
              </w:rPr>
            </w:pPr>
            <w:r>
              <w:rPr>
                <w:rFonts w:hint="eastAsia" w:ascii="宋体" w:hAnsi="宋体" w:cs="宋体"/>
                <w:sz w:val="20"/>
              </w:rPr>
              <w:t>序号</w:t>
            </w:r>
          </w:p>
        </w:tc>
        <w:tc>
          <w:tcPr>
            <w:tcW w:w="198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s="宋体"/>
                <w:sz w:val="20"/>
              </w:rPr>
            </w:pPr>
            <w:r>
              <w:rPr>
                <w:rFonts w:hint="eastAsia" w:ascii="宋体" w:hAnsi="宋体" w:cs="宋体"/>
                <w:sz w:val="20"/>
              </w:rPr>
              <w:t>符合性审查项</w:t>
            </w:r>
          </w:p>
        </w:tc>
        <w:tc>
          <w:tcPr>
            <w:tcW w:w="6062"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s="宋体"/>
                <w:sz w:val="20"/>
              </w:rPr>
            </w:pPr>
            <w:r>
              <w:rPr>
                <w:rFonts w:hint="eastAsia" w:ascii="宋体" w:hAnsi="宋体" w:cs="宋体"/>
                <w:sz w:val="20"/>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s="宋体"/>
                <w:sz w:val="20"/>
              </w:rPr>
            </w:pPr>
            <w:r>
              <w:rPr>
                <w:rFonts w:hint="eastAsia" w:ascii="宋体" w:hAnsi="宋体" w:cs="宋体"/>
                <w:sz w:val="20"/>
              </w:rPr>
              <w:t>1</w:t>
            </w:r>
          </w:p>
        </w:tc>
        <w:tc>
          <w:tcPr>
            <w:tcW w:w="198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s="宋体"/>
                <w:sz w:val="20"/>
              </w:rPr>
            </w:pPr>
            <w:r>
              <w:rPr>
                <w:rFonts w:hint="eastAsia" w:ascii="宋体" w:hAnsi="宋体" w:cs="宋体"/>
                <w:sz w:val="20"/>
              </w:rPr>
              <w:t>投标文件服务、商务及其他要求响应部分组成</w:t>
            </w:r>
          </w:p>
        </w:tc>
        <w:tc>
          <w:tcPr>
            <w:tcW w:w="6062"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s="宋体"/>
                <w:sz w:val="20"/>
              </w:rPr>
            </w:pPr>
            <w:r>
              <w:rPr>
                <w:rFonts w:hint="eastAsia" w:ascii="宋体" w:hAnsi="宋体" w:cs="宋体"/>
                <w:sz w:val="20"/>
              </w:rPr>
              <w:t>符合招标文件“2.4.6投标文件的组成”规定要求。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s="宋体"/>
                <w:sz w:val="20"/>
              </w:rPr>
            </w:pPr>
            <w:r>
              <w:rPr>
                <w:rFonts w:hint="eastAsia" w:ascii="宋体" w:hAnsi="宋体" w:cs="宋体"/>
                <w:sz w:val="20"/>
              </w:rPr>
              <w:t>2</w:t>
            </w:r>
          </w:p>
        </w:tc>
        <w:tc>
          <w:tcPr>
            <w:tcW w:w="198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s="宋体"/>
                <w:sz w:val="20"/>
              </w:rPr>
            </w:pPr>
            <w:r>
              <w:rPr>
                <w:rFonts w:hint="eastAsia" w:ascii="宋体" w:hAnsi="宋体" w:cs="宋体"/>
                <w:sz w:val="20"/>
              </w:rPr>
              <w:t>投标文件服务、商务及其他要求响应部分签章</w:t>
            </w:r>
          </w:p>
        </w:tc>
        <w:tc>
          <w:tcPr>
            <w:tcW w:w="6062"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s="宋体"/>
                <w:sz w:val="20"/>
              </w:rPr>
            </w:pPr>
            <w:r>
              <w:rPr>
                <w:rFonts w:hint="eastAsia" w:ascii="宋体" w:hAnsi="宋体" w:cs="宋体"/>
                <w:sz w:val="20"/>
              </w:rPr>
              <w:t>均按招标文件要求签章。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s="宋体"/>
                <w:sz w:val="20"/>
              </w:rPr>
            </w:pPr>
            <w:r>
              <w:rPr>
                <w:rFonts w:hint="eastAsia" w:ascii="宋体" w:hAnsi="宋体" w:cs="宋体"/>
                <w:sz w:val="20"/>
              </w:rPr>
              <w:t>3</w:t>
            </w:r>
          </w:p>
        </w:tc>
        <w:tc>
          <w:tcPr>
            <w:tcW w:w="198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s="宋体"/>
                <w:sz w:val="20"/>
              </w:rPr>
            </w:pPr>
            <w:r>
              <w:rPr>
                <w:rFonts w:hint="eastAsia" w:ascii="宋体" w:hAnsi="宋体" w:cs="宋体"/>
                <w:sz w:val="20"/>
              </w:rPr>
              <w:t>投标文件服务、商务及其他要求响应部分的计量单位、语言、报价货币、投标有效期</w:t>
            </w:r>
          </w:p>
        </w:tc>
        <w:tc>
          <w:tcPr>
            <w:tcW w:w="6062"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s="宋体"/>
                <w:sz w:val="20"/>
              </w:rPr>
            </w:pPr>
            <w:r>
              <w:rPr>
                <w:rFonts w:hint="eastAsia" w:ascii="宋体" w:hAnsi="宋体" w:cs="宋体"/>
                <w:sz w:val="20"/>
              </w:rPr>
              <w:t>计量单位、语言、报价货币、投标有效期均符合招标文件的要求。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s="宋体"/>
                <w:sz w:val="20"/>
              </w:rPr>
            </w:pPr>
            <w:r>
              <w:rPr>
                <w:rFonts w:hint="eastAsia" w:ascii="宋体" w:hAnsi="宋体" w:cs="宋体"/>
                <w:sz w:val="20"/>
              </w:rPr>
              <w:t>4</w:t>
            </w:r>
          </w:p>
        </w:tc>
        <w:tc>
          <w:tcPr>
            <w:tcW w:w="198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s="宋体"/>
                <w:sz w:val="20"/>
              </w:rPr>
            </w:pPr>
            <w:r>
              <w:rPr>
                <w:rFonts w:hint="eastAsia" w:ascii="宋体" w:hAnsi="宋体" w:cs="宋体"/>
                <w:sz w:val="20"/>
              </w:rPr>
              <w:t>投标报价</w:t>
            </w:r>
          </w:p>
        </w:tc>
        <w:tc>
          <w:tcPr>
            <w:tcW w:w="6062"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s="宋体"/>
                <w:sz w:val="20"/>
              </w:rPr>
            </w:pPr>
            <w:r>
              <w:rPr>
                <w:rFonts w:hint="eastAsia" w:ascii="宋体" w:hAnsi="宋体" w:cs="宋体"/>
                <w:sz w:val="20"/>
              </w:rPr>
              <w:t>开标记录、投标文件【说明：（1）报价唯一（说明：投标报价出现下列情况的，按以下原则处理，并以修正后的价格作为投标人的投标报价：①开标现场宣读的投标报价与投标文件中的投标报价不一致的，以投标人在“电子投标辅助制作软件”中填写的投标报价为准；②投标文件中的大写金额和小写金额不一致的，以大写金额为准，但大写金额出现文字错误，导致金额无法判断的除外；③单价金额小数点或者百分比有明显错位的，以总价为准，并修改单价；④总价金额与按单价汇总金额不一致的，以单价金额计算结果为准；同时出现两种以上不一致的，按照前款规定的顺序修正。修正后的报价经投标人以书面形式通过云平台进行确认，并加盖投标人（法定名称）电子签章，投标人逾时确认的，其投标无效。（2）未超过招标文件规定的最高限价；（3）投标报价应包含本次招标要求的所有货物及服务的费用；（4）在评标过程中，评标委员会认为投标人投标报价明显低于其他通过符合性审查投标人的投标报价，有可能影响产品质量或者不能诚信履约的，评标委员会应当要求其在评标现场合理的时间内提供书面说明，必要时提交相关证明材料。（说明：①书面说明、相关证明材料（如涉及）加盖投标人（法定名称）章（电子签章），在评标委员会要求的时间内通过云平台进行递交；②投标人提供了书面说明、相关证明材料（如涉及），且能证明其投标报价合理性）。（5）如因断电、断网、系统故障或其他不可抗力等因素，导致系统无法使用的，由投标人按评标委员会的要求进行澄清或者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s="宋体"/>
                <w:sz w:val="20"/>
              </w:rPr>
            </w:pPr>
            <w:r>
              <w:rPr>
                <w:rFonts w:hint="eastAsia" w:ascii="宋体" w:hAnsi="宋体" w:cs="宋体"/>
                <w:sz w:val="20"/>
              </w:rPr>
              <w:t>5</w:t>
            </w:r>
          </w:p>
        </w:tc>
        <w:tc>
          <w:tcPr>
            <w:tcW w:w="198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s="宋体"/>
                <w:sz w:val="20"/>
              </w:rPr>
            </w:pPr>
            <w:r>
              <w:rPr>
                <w:rFonts w:hint="eastAsia" w:ascii="宋体" w:hAnsi="宋体" w:cs="宋体"/>
                <w:sz w:val="20"/>
              </w:rPr>
              <w:t>法定代表人身份证复印件或护照复印件</w:t>
            </w:r>
          </w:p>
        </w:tc>
        <w:tc>
          <w:tcPr>
            <w:tcW w:w="6062"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s="宋体"/>
                <w:sz w:val="20"/>
              </w:rPr>
            </w:pPr>
            <w:r>
              <w:rPr>
                <w:rFonts w:hint="eastAsia" w:ascii="宋体" w:hAnsi="宋体" w:cs="宋体"/>
                <w:sz w:val="20"/>
              </w:rPr>
              <w:t>身份证复印件或护照复印件【说明：法定代表人身份证复印件（身份证两面均应复印，在有效期内）或护照复印件（法定代表人为外籍人士的，按此提供）】。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s="宋体"/>
                <w:sz w:val="20"/>
              </w:rPr>
            </w:pPr>
            <w:r>
              <w:rPr>
                <w:rFonts w:hint="eastAsia" w:ascii="宋体" w:hAnsi="宋体" w:cs="宋体"/>
                <w:sz w:val="20"/>
              </w:rPr>
              <w:t>6</w:t>
            </w:r>
          </w:p>
        </w:tc>
        <w:tc>
          <w:tcPr>
            <w:tcW w:w="198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s="宋体"/>
                <w:sz w:val="20"/>
              </w:rPr>
            </w:pPr>
            <w:r>
              <w:rPr>
                <w:rFonts w:hint="eastAsia" w:ascii="宋体" w:hAnsi="宋体" w:cs="宋体"/>
                <w:sz w:val="20"/>
              </w:rPr>
              <w:t>第4章打*号的服务、商务和其他要求</w:t>
            </w:r>
          </w:p>
        </w:tc>
        <w:tc>
          <w:tcPr>
            <w:tcW w:w="6062"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s="宋体"/>
                <w:sz w:val="20"/>
              </w:rPr>
            </w:pPr>
            <w:r>
              <w:rPr>
                <w:rFonts w:hint="eastAsia" w:ascii="宋体" w:hAnsi="宋体" w:cs="宋体"/>
                <w:sz w:val="20"/>
              </w:rPr>
              <w:t>投标文件均实质性响应招标文件中加*号的服务、商务和其他要求。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s="宋体"/>
                <w:sz w:val="20"/>
              </w:rPr>
            </w:pPr>
            <w:r>
              <w:rPr>
                <w:rFonts w:hint="eastAsia" w:ascii="宋体" w:hAnsi="宋体" w:cs="宋体"/>
                <w:sz w:val="20"/>
              </w:rPr>
              <w:t>7</w:t>
            </w:r>
          </w:p>
        </w:tc>
        <w:tc>
          <w:tcPr>
            <w:tcW w:w="198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s="宋体"/>
                <w:sz w:val="20"/>
              </w:rPr>
            </w:pPr>
            <w:r>
              <w:rPr>
                <w:rFonts w:hint="eastAsia" w:ascii="宋体" w:hAnsi="宋体" w:cs="宋体"/>
                <w:sz w:val="20"/>
              </w:rPr>
              <w:t>进口产品</w:t>
            </w:r>
          </w:p>
        </w:tc>
        <w:tc>
          <w:tcPr>
            <w:tcW w:w="6062"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s="宋体"/>
                <w:sz w:val="20"/>
              </w:rPr>
            </w:pPr>
            <w:r>
              <w:rPr>
                <w:rFonts w:hint="eastAsia" w:ascii="宋体" w:hAnsi="宋体" w:cs="宋体"/>
                <w:sz w:val="20"/>
              </w:rPr>
              <w:t>招标文件中未载明“允许采购进口产品”的产品，投标产品为国产产品。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s="宋体"/>
                <w:sz w:val="20"/>
              </w:rPr>
            </w:pPr>
            <w:r>
              <w:rPr>
                <w:rFonts w:hint="eastAsia" w:ascii="宋体" w:hAnsi="宋体" w:cs="宋体"/>
                <w:sz w:val="20"/>
              </w:rPr>
              <w:t>8</w:t>
            </w:r>
          </w:p>
        </w:tc>
        <w:tc>
          <w:tcPr>
            <w:tcW w:w="198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s="宋体"/>
                <w:sz w:val="20"/>
              </w:rPr>
            </w:pPr>
            <w:r>
              <w:rPr>
                <w:rFonts w:hint="eastAsia" w:ascii="宋体" w:hAnsi="宋体" w:cs="宋体"/>
                <w:sz w:val="20"/>
              </w:rPr>
              <w:t>不属于禁止参加投标或投标无效的投标人</w:t>
            </w:r>
          </w:p>
        </w:tc>
        <w:tc>
          <w:tcPr>
            <w:tcW w:w="6062"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s="宋体"/>
                <w:sz w:val="20"/>
              </w:rPr>
            </w:pPr>
            <w:r>
              <w:rPr>
                <w:rFonts w:hint="eastAsia" w:ascii="宋体" w:hAnsi="宋体" w:cs="宋体"/>
                <w:sz w:val="20"/>
              </w:rPr>
              <w:t>（1）根据招标文件的要求不属于禁止参加投标或投标无效的投标人；</w:t>
            </w:r>
          </w:p>
          <w:p>
            <w:pPr>
              <w:tabs>
                <w:tab w:val="left" w:pos="851"/>
              </w:tabs>
              <w:spacing w:line="360" w:lineRule="auto"/>
              <w:rPr>
                <w:rFonts w:ascii="宋体" w:hAnsi="宋体" w:cs="宋体"/>
                <w:sz w:val="20"/>
              </w:rPr>
            </w:pPr>
            <w:r>
              <w:rPr>
                <w:rFonts w:hint="eastAsia" w:ascii="宋体" w:hAnsi="宋体" w:cs="宋体"/>
                <w:sz w:val="20"/>
              </w:rPr>
              <w:t>（2）评标委员会未发现或者未知晓投标人存在属于国家相关法律法规规定的禁止参加投标或投标无效的投标人。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s="宋体"/>
                <w:sz w:val="20"/>
              </w:rPr>
            </w:pPr>
            <w:r>
              <w:rPr>
                <w:rFonts w:hint="eastAsia" w:ascii="宋体" w:hAnsi="宋体" w:cs="宋体"/>
                <w:sz w:val="20"/>
              </w:rPr>
              <w:t>9</w:t>
            </w:r>
          </w:p>
        </w:tc>
        <w:tc>
          <w:tcPr>
            <w:tcW w:w="198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s="宋体"/>
                <w:sz w:val="20"/>
              </w:rPr>
            </w:pPr>
            <w:r>
              <w:rPr>
                <w:rFonts w:hint="eastAsia" w:ascii="宋体" w:hAnsi="宋体" w:cs="宋体"/>
                <w:sz w:val="20"/>
              </w:rPr>
              <w:t>除资格性审查要求的证明材料外，招标文件要求提供的其他证明材料</w:t>
            </w:r>
          </w:p>
        </w:tc>
        <w:tc>
          <w:tcPr>
            <w:tcW w:w="6062"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s="宋体"/>
                <w:sz w:val="20"/>
              </w:rPr>
            </w:pPr>
            <w:r>
              <w:rPr>
                <w:rFonts w:hint="eastAsia" w:ascii="宋体" w:hAnsi="宋体" w:cs="宋体"/>
                <w:sz w:val="20"/>
              </w:rPr>
              <w:t>满足招标文件的要求</w:t>
            </w:r>
          </w:p>
        </w:tc>
      </w:tr>
    </w:tbl>
    <w:p>
      <w:pPr>
        <w:tabs>
          <w:tab w:val="left" w:pos="851"/>
        </w:tabs>
        <w:spacing w:line="560" w:lineRule="exact"/>
        <w:ind w:firstLine="560" w:firstLineChars="200"/>
        <w:rPr>
          <w:rFonts w:ascii="宋体" w:hAnsi="宋体" w:cs="宋体"/>
          <w:sz w:val="28"/>
          <w:szCs w:val="28"/>
        </w:rPr>
      </w:pPr>
      <w:r>
        <w:rPr>
          <w:rFonts w:hint="eastAsia" w:ascii="宋体" w:hAnsi="宋体" w:cs="宋体"/>
          <w:sz w:val="28"/>
          <w:szCs w:val="28"/>
        </w:rPr>
        <w:t>一、以上每一项结论均为“通过”的，则投标人的投标文件通过符合性审查；如有任意一项结论为“不通过”的，则投标人的投标文件按无效投标文件处理。如果评标委员会认为投标人有任意一项不通过的，应在符合性审查报告中载明不通过的具体原因。</w:t>
      </w:r>
    </w:p>
    <w:p>
      <w:pPr>
        <w:tabs>
          <w:tab w:val="left" w:pos="851"/>
        </w:tabs>
        <w:spacing w:line="560" w:lineRule="exact"/>
        <w:ind w:firstLine="565" w:firstLineChars="202"/>
        <w:rPr>
          <w:rFonts w:ascii="宋体" w:hAnsi="宋体" w:cs="宋体"/>
          <w:sz w:val="28"/>
          <w:szCs w:val="28"/>
        </w:rPr>
      </w:pPr>
      <w:r>
        <w:rPr>
          <w:rFonts w:hint="eastAsia" w:ascii="宋体" w:hAnsi="宋体" w:cs="宋体"/>
          <w:sz w:val="28"/>
          <w:szCs w:val="28"/>
        </w:rPr>
        <w:t>二、投标人的投标文件符合性审查时被判定为无效投标文件的，区公资交易中心将通知投标人（以现场公示、电话、短信、成都市公共资源交易中心网站等任一方式）。投标人如对评审结论有异议的，应及时向区公资交易中心反馈意见。区公资交易中心在评审结束前将收到的反馈意见及时告知评标委员会。（</w:t>
      </w:r>
      <w:r>
        <w:rPr>
          <w:rFonts w:hint="eastAsia" w:ascii="宋体" w:hAnsi="宋体" w:cs="宋体"/>
          <w:b/>
          <w:bCs/>
          <w:sz w:val="28"/>
          <w:szCs w:val="28"/>
        </w:rPr>
        <w:t>说明</w:t>
      </w:r>
      <w:r>
        <w:rPr>
          <w:rFonts w:hint="eastAsia" w:ascii="宋体" w:hAnsi="宋体" w:cs="宋体"/>
          <w:sz w:val="28"/>
          <w:szCs w:val="28"/>
        </w:rPr>
        <w:t>：无论投标人是否收到通知或提供反馈意见，均不影响评标委员会的评标工作，且区公资交易中心对此将不承担任何的责任。投标人对评审结论有异议的，其反馈意见仅限于评标委员会对评审结论的正确性进行复核，避免出现评审错误。）</w:t>
      </w:r>
    </w:p>
    <w:p>
      <w:pPr>
        <w:tabs>
          <w:tab w:val="left" w:pos="851"/>
        </w:tabs>
        <w:spacing w:line="560" w:lineRule="exact"/>
        <w:ind w:firstLine="565" w:firstLineChars="202"/>
        <w:rPr>
          <w:rFonts w:ascii="宋体" w:hAnsi="宋体" w:cs="宋体"/>
          <w:sz w:val="28"/>
          <w:szCs w:val="28"/>
        </w:rPr>
      </w:pPr>
      <w:r>
        <w:rPr>
          <w:rFonts w:hint="eastAsia" w:ascii="宋体" w:hAnsi="宋体" w:cs="宋体"/>
          <w:sz w:val="28"/>
          <w:szCs w:val="28"/>
        </w:rPr>
        <w:t>三、通过符合性审查的投标人＜3名，本项目采购失败。</w:t>
      </w:r>
    </w:p>
    <w:p>
      <w:pPr>
        <w:keepNext/>
        <w:keepLines/>
        <w:numPr>
          <w:ilvl w:val="2"/>
          <w:numId w:val="2"/>
        </w:numPr>
        <w:spacing w:line="360" w:lineRule="auto"/>
        <w:ind w:left="0" w:firstLine="0"/>
        <w:outlineLvl w:val="2"/>
        <w:rPr>
          <w:rFonts w:ascii="宋体" w:hAnsi="宋体" w:cs="宋体"/>
          <w:b/>
          <w:bCs/>
          <w:sz w:val="28"/>
          <w:szCs w:val="28"/>
        </w:rPr>
      </w:pPr>
      <w:r>
        <w:rPr>
          <w:rFonts w:hint="eastAsia" w:ascii="宋体" w:hAnsi="宋体" w:cs="宋体"/>
          <w:b/>
          <w:bCs/>
          <w:sz w:val="28"/>
          <w:szCs w:val="28"/>
        </w:rPr>
        <w:t>解释、澄清有关问题</w:t>
      </w:r>
    </w:p>
    <w:p>
      <w:pPr>
        <w:numPr>
          <w:ilvl w:val="0"/>
          <w:numId w:val="41"/>
        </w:numPr>
        <w:tabs>
          <w:tab w:val="left" w:pos="1134"/>
        </w:tabs>
        <w:spacing w:line="560" w:lineRule="exact"/>
        <w:ind w:left="0" w:firstLine="525"/>
        <w:rPr>
          <w:rFonts w:ascii="宋体" w:hAnsi="宋体" w:cs="宋体"/>
          <w:sz w:val="28"/>
          <w:szCs w:val="28"/>
        </w:rPr>
      </w:pPr>
      <w:r>
        <w:rPr>
          <w:rFonts w:hint="eastAsia" w:ascii="宋体" w:hAnsi="宋体" w:cs="宋体"/>
          <w:sz w:val="28"/>
          <w:szCs w:val="28"/>
        </w:rPr>
        <w:t>评标过程中，评标委员会认为招标文件有关事项表述不明确或需要说明的，可以提请区公资交易中心书面解释。区公资交易中心的解释不得改变招标文件的原义或者影响公平、公正，解释事项如果涉及投标人权益的以有利于投标人的原则进行解释。对招标文件中投标人参加本次政府采购活动应当具备的条件，招标项目技术、服务、商务及其他要求，评标细则及标准由采购人负责解释。除上述招标文件内容，其他内容由区公资交易中心负责解释。</w:t>
      </w:r>
    </w:p>
    <w:p>
      <w:pPr>
        <w:numPr>
          <w:ilvl w:val="0"/>
          <w:numId w:val="41"/>
        </w:numPr>
        <w:tabs>
          <w:tab w:val="left" w:pos="1134"/>
        </w:tabs>
        <w:spacing w:line="560" w:lineRule="exact"/>
        <w:ind w:left="0" w:firstLine="525"/>
        <w:rPr>
          <w:rFonts w:ascii="宋体" w:hAnsi="宋体" w:cs="宋体"/>
          <w:sz w:val="28"/>
          <w:szCs w:val="28"/>
        </w:rPr>
      </w:pPr>
      <w:r>
        <w:rPr>
          <w:rFonts w:hint="eastAsia" w:ascii="宋体" w:hAnsi="宋体" w:cs="宋体"/>
          <w:sz w:val="28"/>
          <w:szCs w:val="28"/>
        </w:rPr>
        <w:t>对投标文件中含义不明确、同类问题表述不一致或者有明显文字和计算错误的内容，评标委员会应当要求投标人作出必要的澄清、说明或补正，并给予投标人必要的反馈时间。投标人应当按评标委员会的要求进行澄清、说明或者补正。投标人的澄清、说明或者补正不得超出投标文件的范围或者改变投标文件的实质性内容。澄清不影响投标文件的效力，有效的澄清材料，是投标文件的组成部分。</w:t>
      </w:r>
    </w:p>
    <w:p>
      <w:pPr>
        <w:numPr>
          <w:ilvl w:val="0"/>
          <w:numId w:val="41"/>
        </w:numPr>
        <w:tabs>
          <w:tab w:val="left" w:pos="1134"/>
        </w:tabs>
        <w:spacing w:line="560" w:lineRule="exact"/>
        <w:ind w:left="0" w:firstLine="525"/>
        <w:rPr>
          <w:rFonts w:ascii="宋体" w:hAnsi="宋体" w:cs="宋体"/>
          <w:sz w:val="28"/>
          <w:szCs w:val="28"/>
        </w:rPr>
      </w:pPr>
      <w:r>
        <w:rPr>
          <w:rFonts w:hint="eastAsia" w:ascii="宋体" w:hAnsi="宋体" w:cs="宋体"/>
          <w:sz w:val="28"/>
          <w:szCs w:val="28"/>
        </w:rPr>
        <w:t>澄清应当不超出投标文件的范围、不实质性改变投标文件的内容、不影响投标人的公平竞争、不导致投标文件从不响应招标文件变为响应招标文件的条件。下列内容不得澄清：</w:t>
      </w:r>
    </w:p>
    <w:p>
      <w:pPr>
        <w:numPr>
          <w:ilvl w:val="0"/>
          <w:numId w:val="42"/>
        </w:numPr>
        <w:tabs>
          <w:tab w:val="left" w:pos="1260"/>
        </w:tabs>
        <w:spacing w:line="560" w:lineRule="exact"/>
        <w:ind w:left="0" w:firstLine="525"/>
        <w:rPr>
          <w:rFonts w:ascii="宋体" w:hAnsi="宋体" w:cs="宋体"/>
          <w:sz w:val="28"/>
          <w:szCs w:val="28"/>
        </w:rPr>
      </w:pPr>
      <w:r>
        <w:rPr>
          <w:rFonts w:hint="eastAsia" w:ascii="宋体" w:hAnsi="宋体" w:cs="宋体"/>
          <w:sz w:val="28"/>
          <w:szCs w:val="28"/>
        </w:rPr>
        <w:t>投标人投标文件中不响应招标文件规定的技术参数指标和商务应答；</w:t>
      </w:r>
    </w:p>
    <w:p>
      <w:pPr>
        <w:numPr>
          <w:ilvl w:val="0"/>
          <w:numId w:val="42"/>
        </w:numPr>
        <w:tabs>
          <w:tab w:val="left" w:pos="1260"/>
        </w:tabs>
        <w:spacing w:line="560" w:lineRule="exact"/>
        <w:ind w:left="0" w:firstLine="525"/>
        <w:rPr>
          <w:rFonts w:ascii="宋体" w:hAnsi="宋体" w:cs="宋体"/>
          <w:sz w:val="28"/>
          <w:szCs w:val="28"/>
        </w:rPr>
      </w:pPr>
      <w:r>
        <w:rPr>
          <w:rFonts w:hint="eastAsia" w:ascii="宋体" w:hAnsi="宋体" w:cs="宋体"/>
          <w:sz w:val="28"/>
          <w:szCs w:val="28"/>
        </w:rPr>
        <w:t>投标人投标文件中未提供的证明其是否符合招标文件资格性、符合性规定要求的相关材料。</w:t>
      </w:r>
    </w:p>
    <w:p>
      <w:pPr>
        <w:numPr>
          <w:ilvl w:val="0"/>
          <w:numId w:val="42"/>
        </w:numPr>
        <w:tabs>
          <w:tab w:val="left" w:pos="993"/>
          <w:tab w:val="left" w:pos="1260"/>
        </w:tabs>
        <w:spacing w:line="560" w:lineRule="exact"/>
        <w:ind w:left="0" w:firstLine="525"/>
        <w:rPr>
          <w:rFonts w:ascii="宋体" w:hAnsi="宋体" w:cs="宋体"/>
          <w:sz w:val="28"/>
          <w:szCs w:val="28"/>
        </w:rPr>
      </w:pPr>
      <w:r>
        <w:rPr>
          <w:rFonts w:hint="eastAsia" w:ascii="宋体" w:hAnsi="宋体" w:cs="宋体"/>
          <w:sz w:val="28"/>
          <w:szCs w:val="28"/>
        </w:rPr>
        <w:t>投标人投标文件中的材料因印刷、影印等不清晰而难以辨认的。</w:t>
      </w:r>
    </w:p>
    <w:p>
      <w:pPr>
        <w:numPr>
          <w:ilvl w:val="0"/>
          <w:numId w:val="41"/>
        </w:numPr>
        <w:tabs>
          <w:tab w:val="left" w:pos="1134"/>
        </w:tabs>
        <w:spacing w:line="560" w:lineRule="exact"/>
        <w:ind w:left="0" w:firstLine="525"/>
        <w:rPr>
          <w:rFonts w:ascii="宋体" w:hAnsi="宋体" w:cs="宋体"/>
          <w:sz w:val="28"/>
          <w:szCs w:val="28"/>
        </w:rPr>
      </w:pPr>
      <w:r>
        <w:rPr>
          <w:rFonts w:hint="eastAsia" w:ascii="宋体" w:hAnsi="宋体" w:cs="宋体"/>
          <w:sz w:val="28"/>
          <w:szCs w:val="28"/>
        </w:rPr>
        <w:t>投标文件报价出现下列情况的，不需要投标人澄清，按以下原则处理：</w:t>
      </w:r>
    </w:p>
    <w:p>
      <w:pPr>
        <w:tabs>
          <w:tab w:val="left" w:pos="1134"/>
        </w:tabs>
        <w:spacing w:line="560" w:lineRule="exact"/>
        <w:ind w:firstLine="560" w:firstLineChars="200"/>
        <w:rPr>
          <w:rFonts w:ascii="宋体" w:hAnsi="宋体" w:cs="宋体"/>
          <w:sz w:val="28"/>
          <w:szCs w:val="28"/>
        </w:rPr>
      </w:pPr>
      <w:r>
        <w:rPr>
          <w:rFonts w:hint="eastAsia" w:ascii="宋体" w:hAnsi="宋体" w:cs="宋体"/>
          <w:sz w:val="28"/>
          <w:szCs w:val="28"/>
        </w:rPr>
        <w:t>（一）开标现场宣读的投标报价与投标文件中的投标报价不一致的，以投标人在“电子投标辅助制作软件”中填写的投标报价为准；</w:t>
      </w:r>
    </w:p>
    <w:p>
      <w:pPr>
        <w:tabs>
          <w:tab w:val="left" w:pos="1134"/>
        </w:tabs>
        <w:spacing w:line="560" w:lineRule="exact"/>
        <w:ind w:firstLine="560" w:firstLineChars="200"/>
        <w:rPr>
          <w:rFonts w:ascii="宋体" w:hAnsi="宋体" w:cs="宋体"/>
          <w:sz w:val="28"/>
          <w:szCs w:val="28"/>
        </w:rPr>
      </w:pPr>
      <w:r>
        <w:rPr>
          <w:rFonts w:hint="eastAsia" w:ascii="宋体" w:hAnsi="宋体" w:cs="宋体"/>
          <w:sz w:val="28"/>
          <w:szCs w:val="28"/>
        </w:rPr>
        <w:t>（二）大写金额和小写金额不一致的，以大写金额为准，但大写金额出现文字错误，导致金额无法判断的除外；</w:t>
      </w:r>
    </w:p>
    <w:p>
      <w:pPr>
        <w:tabs>
          <w:tab w:val="left" w:pos="1134"/>
        </w:tabs>
        <w:spacing w:line="560" w:lineRule="exact"/>
        <w:ind w:firstLine="560" w:firstLineChars="200"/>
        <w:rPr>
          <w:rFonts w:ascii="宋体" w:hAnsi="宋体" w:cs="宋体"/>
          <w:sz w:val="28"/>
          <w:szCs w:val="28"/>
        </w:rPr>
      </w:pPr>
      <w:r>
        <w:rPr>
          <w:rFonts w:hint="eastAsia" w:ascii="宋体" w:hAnsi="宋体" w:cs="宋体"/>
          <w:sz w:val="28"/>
          <w:szCs w:val="28"/>
        </w:rPr>
        <w:t>（三）单价金额小数点或者百分比有明显错位的，以总价为准，并修改单价；</w:t>
      </w:r>
    </w:p>
    <w:p>
      <w:pPr>
        <w:tabs>
          <w:tab w:val="left" w:pos="1134"/>
        </w:tabs>
        <w:spacing w:line="560" w:lineRule="exact"/>
        <w:ind w:firstLine="560" w:firstLineChars="200"/>
        <w:rPr>
          <w:rFonts w:ascii="宋体" w:hAnsi="宋体" w:cs="宋体"/>
          <w:sz w:val="28"/>
          <w:szCs w:val="28"/>
        </w:rPr>
      </w:pPr>
      <w:r>
        <w:rPr>
          <w:rFonts w:hint="eastAsia" w:ascii="宋体" w:hAnsi="宋体" w:cs="宋体"/>
          <w:sz w:val="28"/>
          <w:szCs w:val="28"/>
        </w:rPr>
        <w:t>（四）总价金额与按单价汇总金额不一致的，以单价金额计算结果为准。</w:t>
      </w:r>
    </w:p>
    <w:p>
      <w:pPr>
        <w:spacing w:line="560" w:lineRule="exact"/>
        <w:ind w:firstLine="560"/>
        <w:rPr>
          <w:rFonts w:ascii="宋体" w:hAnsi="宋体" w:cs="宋体"/>
          <w:sz w:val="28"/>
          <w:szCs w:val="28"/>
        </w:rPr>
      </w:pPr>
      <w:r>
        <w:rPr>
          <w:rFonts w:hint="eastAsia" w:ascii="宋体" w:hAnsi="宋体" w:cs="宋体"/>
          <w:sz w:val="28"/>
          <w:szCs w:val="28"/>
        </w:rPr>
        <w:t>（五）同时出现两种以上不一致的，按照前款规定的顺序修正。修正后的报价经投标人确认后产生约束力，投标人不确认的，其投标无效。</w:t>
      </w:r>
    </w:p>
    <w:p>
      <w:pPr>
        <w:tabs>
          <w:tab w:val="left" w:pos="720"/>
        </w:tabs>
        <w:spacing w:line="560" w:lineRule="exact"/>
        <w:ind w:firstLine="560" w:firstLineChars="200"/>
        <w:rPr>
          <w:rFonts w:ascii="宋体" w:hAnsi="宋体" w:cs="宋体"/>
          <w:sz w:val="28"/>
          <w:szCs w:val="28"/>
        </w:rPr>
      </w:pPr>
      <w:r>
        <w:rPr>
          <w:rFonts w:hint="eastAsia" w:ascii="宋体" w:hAnsi="宋体" w:cs="宋体"/>
          <w:sz w:val="28"/>
          <w:szCs w:val="28"/>
        </w:rPr>
        <w:t>五、对不同语言文本投标文件的解释发生异议的，以中文文本为准。</w:t>
      </w:r>
    </w:p>
    <w:p>
      <w:pPr>
        <w:tabs>
          <w:tab w:val="left" w:pos="851"/>
        </w:tabs>
        <w:spacing w:line="560" w:lineRule="exact"/>
        <w:ind w:firstLine="568" w:firstLineChars="202"/>
        <w:rPr>
          <w:rFonts w:ascii="宋体" w:hAnsi="宋体" w:cs="宋体"/>
          <w:b/>
          <w:sz w:val="28"/>
          <w:szCs w:val="28"/>
        </w:rPr>
      </w:pPr>
      <w:r>
        <w:rPr>
          <w:rFonts w:hint="eastAsia" w:ascii="宋体" w:hAnsi="宋体" w:cs="宋体"/>
          <w:b/>
          <w:sz w:val="28"/>
          <w:szCs w:val="28"/>
        </w:rPr>
        <w:t>评标委员会应当积极履行澄清、说明或者更正的职责，不得滥用权力。</w:t>
      </w:r>
    </w:p>
    <w:p>
      <w:pPr>
        <w:keepNext/>
        <w:keepLines/>
        <w:numPr>
          <w:ilvl w:val="2"/>
          <w:numId w:val="2"/>
        </w:numPr>
        <w:spacing w:line="360" w:lineRule="auto"/>
        <w:ind w:left="0" w:firstLine="0"/>
        <w:outlineLvl w:val="2"/>
        <w:rPr>
          <w:rFonts w:ascii="宋体" w:hAnsi="宋体" w:cs="宋体"/>
          <w:b/>
          <w:bCs/>
          <w:sz w:val="28"/>
          <w:szCs w:val="28"/>
        </w:rPr>
      </w:pPr>
      <w:r>
        <w:rPr>
          <w:rFonts w:hint="eastAsia" w:ascii="宋体" w:hAnsi="宋体" w:cs="宋体"/>
          <w:b/>
          <w:bCs/>
          <w:sz w:val="28"/>
          <w:szCs w:val="28"/>
        </w:rPr>
        <w:t>比较与评价</w:t>
      </w:r>
    </w:p>
    <w:p>
      <w:pPr>
        <w:tabs>
          <w:tab w:val="left" w:pos="851"/>
        </w:tabs>
        <w:spacing w:line="360" w:lineRule="auto"/>
        <w:ind w:firstLine="565" w:firstLineChars="202"/>
        <w:rPr>
          <w:rFonts w:ascii="宋体" w:hAnsi="宋体" w:cs="宋体"/>
          <w:sz w:val="28"/>
          <w:szCs w:val="28"/>
        </w:rPr>
      </w:pPr>
      <w:r>
        <w:rPr>
          <w:rFonts w:hint="eastAsia" w:ascii="宋体" w:hAnsi="宋体" w:cs="宋体"/>
          <w:sz w:val="28"/>
          <w:szCs w:val="28"/>
        </w:rPr>
        <w:t>按招标文件中规定的评标细则及标准，对符合性检查合格的投标文件进行商务和技术评估，综合比较和评价。</w:t>
      </w:r>
    </w:p>
    <w:p>
      <w:pPr>
        <w:keepNext/>
        <w:keepLines/>
        <w:numPr>
          <w:ilvl w:val="2"/>
          <w:numId w:val="2"/>
        </w:numPr>
        <w:spacing w:line="360" w:lineRule="auto"/>
        <w:ind w:left="0" w:firstLine="0"/>
        <w:outlineLvl w:val="2"/>
        <w:rPr>
          <w:rFonts w:ascii="宋体" w:hAnsi="宋体" w:cs="宋体"/>
          <w:b/>
          <w:bCs/>
          <w:sz w:val="28"/>
          <w:szCs w:val="28"/>
        </w:rPr>
      </w:pPr>
      <w:r>
        <w:rPr>
          <w:rFonts w:hint="eastAsia" w:ascii="宋体" w:hAnsi="宋体" w:cs="宋体"/>
          <w:b/>
          <w:bCs/>
          <w:sz w:val="28"/>
          <w:szCs w:val="28"/>
        </w:rPr>
        <w:t>复核</w:t>
      </w:r>
    </w:p>
    <w:p>
      <w:pPr>
        <w:tabs>
          <w:tab w:val="left" w:pos="851"/>
        </w:tabs>
        <w:spacing w:line="560" w:lineRule="exact"/>
        <w:ind w:firstLine="565" w:firstLineChars="202"/>
        <w:rPr>
          <w:rFonts w:ascii="宋体" w:hAnsi="宋体" w:cs="宋体"/>
          <w:sz w:val="28"/>
          <w:szCs w:val="28"/>
        </w:rPr>
      </w:pPr>
      <w:r>
        <w:rPr>
          <w:rFonts w:hint="eastAsia" w:ascii="宋体" w:hAnsi="宋体" w:cs="宋体"/>
          <w:sz w:val="28"/>
          <w:szCs w:val="28"/>
        </w:rPr>
        <w:t>评分汇总结束后，评标委员会应当进行复核，特别要对拟推荐为中标候选投标人的、报价最低的、投标文件被认定为无效的进行重点复核。</w:t>
      </w:r>
    </w:p>
    <w:p>
      <w:pPr>
        <w:tabs>
          <w:tab w:val="left" w:pos="851"/>
        </w:tabs>
        <w:spacing w:line="560" w:lineRule="exact"/>
        <w:ind w:firstLine="565" w:firstLineChars="202"/>
        <w:rPr>
          <w:rFonts w:ascii="宋体" w:hAnsi="宋体" w:cs="宋体"/>
          <w:sz w:val="28"/>
          <w:szCs w:val="28"/>
        </w:rPr>
      </w:pPr>
      <w:r>
        <w:rPr>
          <w:rFonts w:hint="eastAsia" w:ascii="宋体" w:hAnsi="宋体" w:cs="宋体"/>
          <w:sz w:val="28"/>
          <w:szCs w:val="28"/>
        </w:rPr>
        <w:t>评标结果汇总完成后，评标委员会拟出具评审报告前，区公资交易中心应当组织2名以上的工作人员，在采购现场监督人员的监督之下，依据有关的法律制度和采购文件对评审结果进行复核，出具复核报告。</w:t>
      </w:r>
    </w:p>
    <w:p>
      <w:pPr>
        <w:tabs>
          <w:tab w:val="left" w:pos="851"/>
        </w:tabs>
        <w:spacing w:line="560" w:lineRule="exact"/>
        <w:ind w:firstLine="560" w:firstLineChars="200"/>
        <w:rPr>
          <w:rFonts w:ascii="宋体" w:hAnsi="宋体" w:cs="宋体"/>
          <w:sz w:val="28"/>
          <w:szCs w:val="28"/>
        </w:rPr>
      </w:pPr>
      <w:r>
        <w:rPr>
          <w:rFonts w:hint="eastAsia" w:ascii="宋体" w:hAnsi="宋体" w:cs="宋体"/>
          <w:sz w:val="28"/>
          <w:szCs w:val="28"/>
        </w:rPr>
        <w:t>评标结果汇总完成后，除下列情形外，任何人不得修改评标结果：</w:t>
      </w:r>
    </w:p>
    <w:p>
      <w:pPr>
        <w:numPr>
          <w:ilvl w:val="0"/>
          <w:numId w:val="43"/>
        </w:numPr>
        <w:tabs>
          <w:tab w:val="left" w:pos="851"/>
          <w:tab w:val="left" w:pos="1276"/>
        </w:tabs>
        <w:spacing w:line="560" w:lineRule="exact"/>
        <w:ind w:left="0" w:firstLine="424"/>
        <w:rPr>
          <w:rFonts w:ascii="宋体" w:hAnsi="宋体" w:cs="宋体"/>
          <w:sz w:val="28"/>
          <w:szCs w:val="28"/>
        </w:rPr>
      </w:pPr>
      <w:r>
        <w:rPr>
          <w:rFonts w:hint="eastAsia" w:ascii="宋体" w:hAnsi="宋体" w:cs="宋体"/>
          <w:sz w:val="28"/>
          <w:szCs w:val="28"/>
        </w:rPr>
        <w:t>分值汇总计算错误的；</w:t>
      </w:r>
    </w:p>
    <w:p>
      <w:pPr>
        <w:numPr>
          <w:ilvl w:val="0"/>
          <w:numId w:val="43"/>
        </w:numPr>
        <w:tabs>
          <w:tab w:val="left" w:pos="851"/>
          <w:tab w:val="left" w:pos="1276"/>
        </w:tabs>
        <w:spacing w:line="560" w:lineRule="exact"/>
        <w:ind w:left="0" w:firstLine="424"/>
        <w:rPr>
          <w:rFonts w:ascii="宋体" w:hAnsi="宋体" w:cs="宋体"/>
          <w:sz w:val="28"/>
          <w:szCs w:val="28"/>
        </w:rPr>
      </w:pPr>
      <w:r>
        <w:rPr>
          <w:rFonts w:hint="eastAsia" w:ascii="宋体" w:hAnsi="宋体" w:cs="宋体"/>
          <w:sz w:val="28"/>
          <w:szCs w:val="28"/>
        </w:rPr>
        <w:t>分项评分超出评分标准范围的；</w:t>
      </w:r>
    </w:p>
    <w:p>
      <w:pPr>
        <w:numPr>
          <w:ilvl w:val="0"/>
          <w:numId w:val="43"/>
        </w:numPr>
        <w:tabs>
          <w:tab w:val="left" w:pos="851"/>
          <w:tab w:val="left" w:pos="1276"/>
          <w:tab w:val="left" w:pos="1560"/>
        </w:tabs>
        <w:spacing w:line="560" w:lineRule="exact"/>
        <w:ind w:left="0" w:firstLine="424"/>
        <w:rPr>
          <w:rFonts w:ascii="宋体" w:hAnsi="宋体" w:cs="宋体"/>
          <w:sz w:val="28"/>
          <w:szCs w:val="28"/>
        </w:rPr>
      </w:pPr>
      <w:r>
        <w:rPr>
          <w:rFonts w:hint="eastAsia" w:ascii="宋体" w:hAnsi="宋体" w:cs="宋体"/>
          <w:sz w:val="28"/>
          <w:szCs w:val="28"/>
        </w:rPr>
        <w:t>评标委员会成员对客观评审因素评分不一致的；</w:t>
      </w:r>
    </w:p>
    <w:p>
      <w:pPr>
        <w:numPr>
          <w:ilvl w:val="0"/>
          <w:numId w:val="43"/>
        </w:numPr>
        <w:tabs>
          <w:tab w:val="left" w:pos="851"/>
          <w:tab w:val="left" w:pos="1276"/>
        </w:tabs>
        <w:spacing w:line="560" w:lineRule="exact"/>
        <w:ind w:left="0" w:firstLine="426"/>
        <w:rPr>
          <w:rFonts w:ascii="宋体" w:hAnsi="宋体" w:cs="宋体"/>
          <w:sz w:val="28"/>
          <w:szCs w:val="28"/>
        </w:rPr>
      </w:pPr>
      <w:r>
        <w:rPr>
          <w:rFonts w:hint="eastAsia" w:ascii="宋体" w:hAnsi="宋体" w:cs="宋体"/>
          <w:sz w:val="28"/>
          <w:szCs w:val="28"/>
        </w:rPr>
        <w:t>经评标委员会认定评分畸高、畸低的。</w:t>
      </w:r>
    </w:p>
    <w:p>
      <w:pPr>
        <w:tabs>
          <w:tab w:val="left" w:pos="851"/>
        </w:tabs>
        <w:spacing w:line="560" w:lineRule="exact"/>
        <w:ind w:firstLine="560" w:firstLineChars="200"/>
        <w:rPr>
          <w:rFonts w:ascii="宋体" w:hAnsi="宋体" w:cs="宋体"/>
          <w:sz w:val="28"/>
          <w:szCs w:val="28"/>
        </w:rPr>
      </w:pPr>
      <w:r>
        <w:rPr>
          <w:rFonts w:hint="eastAsia" w:ascii="宋体" w:hAnsi="宋体" w:cs="宋体"/>
          <w:sz w:val="28"/>
          <w:szCs w:val="28"/>
        </w:rPr>
        <w:t>评标报告签署前，经复核发现存在以上情形之一的，评标委员会应当当场修改评标结果，并在评标报告中记载；评标报告签署后，采购人或者集中机构发现存在以上情形之一的，应当组织原评标委员会进行重新评审，重新评审改变评标结果的，书面报告本级财政部门。</w:t>
      </w:r>
    </w:p>
    <w:p>
      <w:pPr>
        <w:keepNext/>
        <w:keepLines/>
        <w:numPr>
          <w:ilvl w:val="2"/>
          <w:numId w:val="2"/>
        </w:numPr>
        <w:spacing w:line="360" w:lineRule="auto"/>
        <w:ind w:left="0" w:firstLine="0"/>
        <w:outlineLvl w:val="2"/>
        <w:rPr>
          <w:rFonts w:ascii="宋体" w:hAnsi="宋体" w:cs="宋体"/>
          <w:b/>
          <w:bCs/>
          <w:sz w:val="28"/>
          <w:szCs w:val="28"/>
        </w:rPr>
      </w:pPr>
      <w:r>
        <w:rPr>
          <w:rFonts w:hint="eastAsia" w:ascii="宋体" w:hAnsi="宋体" w:cs="宋体"/>
          <w:b/>
          <w:bCs/>
          <w:sz w:val="28"/>
          <w:szCs w:val="28"/>
        </w:rPr>
        <w:t>确定中标候选人名单</w:t>
      </w:r>
    </w:p>
    <w:p>
      <w:pPr>
        <w:spacing w:line="360" w:lineRule="auto"/>
        <w:ind w:firstLine="560" w:firstLineChars="200"/>
        <w:rPr>
          <w:rFonts w:ascii="宋体" w:hAnsi="宋体" w:cs="宋体"/>
          <w:kern w:val="0"/>
          <w:sz w:val="28"/>
          <w:szCs w:val="28"/>
        </w:rPr>
      </w:pPr>
      <w:r>
        <w:rPr>
          <w:rFonts w:hint="eastAsia" w:ascii="宋体" w:hAnsi="宋体" w:cs="宋体"/>
          <w:sz w:val="28"/>
          <w:szCs w:val="28"/>
        </w:rPr>
        <w:t>按投标人综合得分从高到低进行排序，确定1至3名中标候选人。综合得分相同的，按投标报价由低到高顺序排列，得分且投标报价相同的并列。</w:t>
      </w:r>
      <w:r>
        <w:rPr>
          <w:rFonts w:hint="eastAsia" w:ascii="宋体" w:hAnsi="宋体" w:cs="宋体"/>
          <w:kern w:val="0"/>
          <w:sz w:val="28"/>
          <w:szCs w:val="28"/>
        </w:rPr>
        <w:t>投标文件满足招标文件全部实质性要求，且按照评审因素的量化指标评审得分最高的投标人为排名第一的中标候选人；报价相同且满足招标文件全部实质性要求且按照评审因素的量化指标评审得分也相同的排名并列第一的中标候选人，应当由招标人采取抽签的方式选择中标人。</w:t>
      </w:r>
    </w:p>
    <w:p>
      <w:pPr>
        <w:keepNext/>
        <w:keepLines/>
        <w:numPr>
          <w:ilvl w:val="2"/>
          <w:numId w:val="2"/>
        </w:numPr>
        <w:spacing w:before="240" w:line="360" w:lineRule="auto"/>
        <w:ind w:left="0" w:firstLine="0"/>
        <w:outlineLvl w:val="2"/>
        <w:rPr>
          <w:rFonts w:ascii="宋体" w:hAnsi="宋体" w:cs="宋体"/>
          <w:b/>
          <w:bCs/>
          <w:sz w:val="28"/>
          <w:szCs w:val="28"/>
        </w:rPr>
      </w:pPr>
      <w:r>
        <w:rPr>
          <w:rFonts w:hint="eastAsia" w:ascii="宋体" w:hAnsi="宋体" w:cs="宋体"/>
          <w:b/>
          <w:bCs/>
          <w:sz w:val="28"/>
          <w:szCs w:val="28"/>
        </w:rPr>
        <w:t>编写评标报告</w:t>
      </w:r>
    </w:p>
    <w:p>
      <w:pPr>
        <w:spacing w:line="560" w:lineRule="exact"/>
        <w:ind w:firstLine="560" w:firstLineChars="200"/>
        <w:rPr>
          <w:rFonts w:ascii="宋体" w:hAnsi="宋体" w:cs="宋体"/>
          <w:sz w:val="28"/>
          <w:szCs w:val="28"/>
        </w:rPr>
      </w:pPr>
      <w:r>
        <w:rPr>
          <w:rFonts w:hint="eastAsia" w:ascii="宋体" w:hAnsi="宋体" w:cs="宋体"/>
          <w:sz w:val="28"/>
          <w:szCs w:val="28"/>
        </w:rPr>
        <w:t>评标报告是评标委员会根据全体评标成员签字的原始评标记录和评标结果编写的报告，其主要内容包括：</w:t>
      </w:r>
    </w:p>
    <w:p>
      <w:pPr>
        <w:numPr>
          <w:ilvl w:val="0"/>
          <w:numId w:val="44"/>
        </w:numPr>
        <w:tabs>
          <w:tab w:val="left" w:pos="1155"/>
        </w:tabs>
        <w:spacing w:line="560" w:lineRule="exact"/>
        <w:ind w:left="0" w:firstLine="525"/>
        <w:rPr>
          <w:rFonts w:ascii="宋体" w:hAnsi="宋体" w:cs="宋体"/>
          <w:sz w:val="28"/>
          <w:szCs w:val="28"/>
        </w:rPr>
      </w:pPr>
      <w:r>
        <w:rPr>
          <w:rFonts w:hint="eastAsia" w:ascii="宋体" w:hAnsi="宋体" w:cs="宋体"/>
          <w:sz w:val="28"/>
          <w:szCs w:val="28"/>
        </w:rPr>
        <w:t>招标公告刊登的媒体名称、开标日期和地点；</w:t>
      </w:r>
    </w:p>
    <w:p>
      <w:pPr>
        <w:numPr>
          <w:ilvl w:val="0"/>
          <w:numId w:val="44"/>
        </w:numPr>
        <w:tabs>
          <w:tab w:val="left" w:pos="1155"/>
        </w:tabs>
        <w:spacing w:line="560" w:lineRule="exact"/>
        <w:ind w:left="0" w:firstLine="525"/>
        <w:rPr>
          <w:rFonts w:ascii="宋体" w:hAnsi="宋体" w:cs="宋体"/>
          <w:sz w:val="28"/>
          <w:szCs w:val="28"/>
        </w:rPr>
      </w:pPr>
      <w:r>
        <w:rPr>
          <w:rFonts w:hint="eastAsia" w:ascii="宋体" w:hAnsi="宋体" w:cs="宋体"/>
          <w:sz w:val="28"/>
          <w:szCs w:val="28"/>
        </w:rPr>
        <w:t>投标人名单和评标委员会成员名单；</w:t>
      </w:r>
    </w:p>
    <w:p>
      <w:pPr>
        <w:numPr>
          <w:ilvl w:val="0"/>
          <w:numId w:val="44"/>
        </w:numPr>
        <w:tabs>
          <w:tab w:val="left" w:pos="1155"/>
        </w:tabs>
        <w:spacing w:line="560" w:lineRule="exact"/>
        <w:ind w:left="0" w:firstLine="525"/>
        <w:rPr>
          <w:rFonts w:ascii="宋体" w:hAnsi="宋体" w:cs="宋体"/>
          <w:sz w:val="28"/>
          <w:szCs w:val="28"/>
        </w:rPr>
      </w:pPr>
      <w:r>
        <w:rPr>
          <w:rFonts w:hint="eastAsia" w:ascii="宋体" w:hAnsi="宋体" w:cs="宋体"/>
          <w:sz w:val="28"/>
          <w:szCs w:val="28"/>
        </w:rPr>
        <w:t>评标方法和标准；</w:t>
      </w:r>
    </w:p>
    <w:p>
      <w:pPr>
        <w:numPr>
          <w:ilvl w:val="0"/>
          <w:numId w:val="44"/>
        </w:numPr>
        <w:tabs>
          <w:tab w:val="left" w:pos="1155"/>
        </w:tabs>
        <w:spacing w:line="560" w:lineRule="exact"/>
        <w:ind w:left="0" w:firstLine="525"/>
        <w:rPr>
          <w:rFonts w:ascii="宋体" w:hAnsi="宋体" w:cs="宋体"/>
          <w:sz w:val="28"/>
          <w:szCs w:val="28"/>
        </w:rPr>
      </w:pPr>
      <w:r>
        <w:rPr>
          <w:rFonts w:hint="eastAsia" w:ascii="宋体" w:hAnsi="宋体" w:cs="宋体"/>
          <w:sz w:val="28"/>
          <w:szCs w:val="28"/>
        </w:rPr>
        <w:t>开标记录和评标情况及说明，包括投标无效投标人名单及原因；</w:t>
      </w:r>
    </w:p>
    <w:p>
      <w:pPr>
        <w:numPr>
          <w:ilvl w:val="0"/>
          <w:numId w:val="44"/>
        </w:numPr>
        <w:tabs>
          <w:tab w:val="left" w:pos="1155"/>
        </w:tabs>
        <w:spacing w:line="560" w:lineRule="exact"/>
        <w:ind w:left="0" w:firstLine="525"/>
        <w:rPr>
          <w:rFonts w:ascii="宋体" w:hAnsi="宋体" w:cs="宋体"/>
          <w:sz w:val="28"/>
          <w:szCs w:val="28"/>
        </w:rPr>
      </w:pPr>
      <w:r>
        <w:rPr>
          <w:rFonts w:hint="eastAsia" w:ascii="宋体" w:hAnsi="宋体" w:cs="宋体"/>
          <w:sz w:val="28"/>
          <w:szCs w:val="28"/>
        </w:rPr>
        <w:t>评标结果，确定的中标候选人名单或者经采购人委托直接确定的中标人；</w:t>
      </w:r>
    </w:p>
    <w:p>
      <w:pPr>
        <w:numPr>
          <w:ilvl w:val="0"/>
          <w:numId w:val="44"/>
        </w:numPr>
        <w:tabs>
          <w:tab w:val="left" w:pos="1155"/>
        </w:tabs>
        <w:spacing w:line="560" w:lineRule="exact"/>
        <w:ind w:left="0" w:firstLine="525"/>
        <w:rPr>
          <w:rFonts w:ascii="宋体" w:hAnsi="宋体" w:cs="宋体"/>
          <w:sz w:val="28"/>
          <w:szCs w:val="28"/>
        </w:rPr>
      </w:pPr>
      <w:r>
        <w:rPr>
          <w:rFonts w:hint="eastAsia" w:ascii="宋体" w:hAnsi="宋体" w:cs="宋体"/>
          <w:sz w:val="28"/>
          <w:szCs w:val="28"/>
        </w:rPr>
        <w:t>其他需要说明的情况，包括评标过程中投标人根据评标委员会要求进行的澄清、说明或者补正，评标委员会成员的更换等；</w:t>
      </w:r>
    </w:p>
    <w:p>
      <w:pPr>
        <w:numPr>
          <w:ilvl w:val="0"/>
          <w:numId w:val="44"/>
        </w:numPr>
        <w:tabs>
          <w:tab w:val="left" w:pos="1155"/>
        </w:tabs>
        <w:spacing w:line="560" w:lineRule="exact"/>
        <w:ind w:left="0" w:firstLine="525"/>
        <w:rPr>
          <w:rFonts w:ascii="宋体" w:hAnsi="宋体" w:cs="宋体"/>
          <w:sz w:val="28"/>
          <w:szCs w:val="28"/>
        </w:rPr>
      </w:pPr>
      <w:r>
        <w:rPr>
          <w:rFonts w:hint="eastAsia" w:ascii="宋体" w:hAnsi="宋体" w:cs="宋体"/>
          <w:sz w:val="28"/>
          <w:szCs w:val="28"/>
        </w:rPr>
        <w:t>报价最高的投标人为中标候选人的，评标委员会应当对其报价的合理性予以特别说明。</w:t>
      </w:r>
    </w:p>
    <w:p>
      <w:pPr>
        <w:tabs>
          <w:tab w:val="left" w:pos="1155"/>
        </w:tabs>
        <w:spacing w:line="560" w:lineRule="exact"/>
        <w:ind w:firstLine="523" w:firstLineChars="187"/>
        <w:rPr>
          <w:rFonts w:ascii="宋体" w:hAnsi="宋体" w:cs="宋体"/>
          <w:sz w:val="28"/>
          <w:szCs w:val="28"/>
        </w:rPr>
      </w:pPr>
      <w:r>
        <w:rPr>
          <w:rFonts w:hint="eastAsia" w:ascii="宋体" w:hAnsi="宋体" w:cs="宋体"/>
          <w:sz w:val="28"/>
          <w:szCs w:val="28"/>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keepNext/>
        <w:keepLines/>
        <w:numPr>
          <w:ilvl w:val="1"/>
          <w:numId w:val="2"/>
        </w:numPr>
        <w:spacing w:line="360" w:lineRule="auto"/>
        <w:jc w:val="left"/>
        <w:outlineLvl w:val="1"/>
        <w:rPr>
          <w:rFonts w:ascii="宋体" w:hAnsi="宋体" w:cs="宋体"/>
          <w:b/>
          <w:bCs/>
          <w:sz w:val="28"/>
          <w:szCs w:val="28"/>
        </w:rPr>
      </w:pPr>
      <w:bookmarkStart w:id="177" w:name="_Toc7466"/>
      <w:r>
        <w:rPr>
          <w:rFonts w:hint="eastAsia" w:ascii="宋体" w:hAnsi="宋体" w:cs="宋体"/>
          <w:b/>
          <w:bCs/>
          <w:sz w:val="28"/>
          <w:szCs w:val="28"/>
        </w:rPr>
        <w:t>评标争议处理规则</w:t>
      </w:r>
      <w:bookmarkEnd w:id="177"/>
    </w:p>
    <w:p>
      <w:pPr>
        <w:tabs>
          <w:tab w:val="left" w:pos="1155"/>
        </w:tabs>
        <w:spacing w:line="560" w:lineRule="exact"/>
        <w:ind w:firstLine="523" w:firstLineChars="187"/>
        <w:rPr>
          <w:rFonts w:ascii="宋体" w:hAnsi="宋体" w:cs="宋体"/>
          <w:sz w:val="28"/>
          <w:szCs w:val="28"/>
        </w:rPr>
      </w:pPr>
      <w:r>
        <w:rPr>
          <w:rFonts w:hint="eastAsia" w:ascii="宋体" w:hAnsi="宋体" w:cs="宋体"/>
          <w:sz w:val="28"/>
          <w:szCs w:val="28"/>
        </w:rPr>
        <w:t>评标委员会在评审过程中，对于符合性审查、对投标人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和结果不符合法律法规或者招标文件规定的，应当及时向采购人或区公资交易中心书面反映。采购人或区公资交易中心收到书面反映后，应当书面报告采购项目同级财政部门依法处理。</w:t>
      </w:r>
    </w:p>
    <w:p>
      <w:pPr>
        <w:keepNext/>
        <w:keepLines/>
        <w:numPr>
          <w:ilvl w:val="1"/>
          <w:numId w:val="2"/>
        </w:numPr>
        <w:spacing w:line="360" w:lineRule="auto"/>
        <w:jc w:val="left"/>
        <w:outlineLvl w:val="1"/>
        <w:rPr>
          <w:rFonts w:ascii="宋体" w:hAnsi="宋体" w:cs="宋体"/>
          <w:b/>
          <w:bCs/>
          <w:sz w:val="28"/>
          <w:szCs w:val="28"/>
        </w:rPr>
      </w:pPr>
      <w:bookmarkStart w:id="178" w:name="_Toc26365"/>
      <w:r>
        <w:rPr>
          <w:rFonts w:hint="eastAsia" w:ascii="宋体" w:hAnsi="宋体" w:cs="宋体"/>
          <w:b/>
          <w:bCs/>
          <w:sz w:val="28"/>
          <w:szCs w:val="28"/>
        </w:rPr>
        <w:t>评标细则及标准</w:t>
      </w:r>
      <w:bookmarkEnd w:id="178"/>
    </w:p>
    <w:p>
      <w:pPr>
        <w:numPr>
          <w:ilvl w:val="0"/>
          <w:numId w:val="45"/>
        </w:numPr>
        <w:tabs>
          <w:tab w:val="left" w:pos="1155"/>
        </w:tabs>
        <w:spacing w:line="560" w:lineRule="exact"/>
        <w:ind w:left="0" w:firstLine="567"/>
        <w:rPr>
          <w:rFonts w:ascii="宋体" w:hAnsi="宋体" w:cs="宋体"/>
          <w:sz w:val="28"/>
          <w:szCs w:val="28"/>
        </w:rPr>
      </w:pPr>
      <w:r>
        <w:rPr>
          <w:rFonts w:hint="eastAsia" w:ascii="宋体" w:hAnsi="宋体" w:cs="宋体"/>
          <w:sz w:val="28"/>
          <w:szCs w:val="28"/>
        </w:rPr>
        <w:t>评标委员会只对通过初审的投标文件，根据招标文件的要求采用相同的评标程序、评分办法及标准进行评价和比较。</w:t>
      </w:r>
    </w:p>
    <w:p>
      <w:pPr>
        <w:numPr>
          <w:ilvl w:val="0"/>
          <w:numId w:val="45"/>
        </w:numPr>
        <w:tabs>
          <w:tab w:val="left" w:pos="1155"/>
        </w:tabs>
        <w:spacing w:line="560" w:lineRule="exact"/>
        <w:ind w:left="0" w:firstLine="567"/>
        <w:rPr>
          <w:rFonts w:ascii="宋体" w:hAnsi="宋体" w:cs="宋体"/>
          <w:sz w:val="28"/>
          <w:szCs w:val="28"/>
        </w:rPr>
      </w:pPr>
      <w:r>
        <w:rPr>
          <w:rFonts w:hint="eastAsia" w:ascii="宋体" w:hAnsi="宋体" w:cs="宋体"/>
          <w:sz w:val="28"/>
          <w:szCs w:val="28"/>
        </w:rPr>
        <w:t>本次综合评分的因素是：价格、服务、商务等。</w:t>
      </w:r>
    </w:p>
    <w:p>
      <w:pPr>
        <w:numPr>
          <w:ilvl w:val="0"/>
          <w:numId w:val="45"/>
        </w:numPr>
        <w:tabs>
          <w:tab w:val="left" w:pos="1155"/>
        </w:tabs>
        <w:spacing w:line="560" w:lineRule="exact"/>
        <w:ind w:left="0" w:firstLine="525"/>
        <w:rPr>
          <w:rFonts w:ascii="宋体" w:hAnsi="宋体" w:cs="宋体"/>
          <w:sz w:val="28"/>
          <w:szCs w:val="28"/>
        </w:rPr>
      </w:pPr>
      <w:r>
        <w:rPr>
          <w:rFonts w:hint="eastAsia" w:ascii="宋体" w:hAnsi="宋体" w:cs="宋体"/>
          <w:sz w:val="28"/>
          <w:szCs w:val="28"/>
        </w:rPr>
        <w:t>评标委员会成员应依据招标文件规定的评分标准和方法独立打分。</w:t>
      </w:r>
    </w:p>
    <w:p>
      <w:pPr>
        <w:keepNext/>
        <w:keepLines/>
        <w:numPr>
          <w:ilvl w:val="2"/>
          <w:numId w:val="2"/>
        </w:numPr>
        <w:spacing w:line="360" w:lineRule="auto"/>
        <w:ind w:left="0" w:firstLine="0"/>
        <w:outlineLvl w:val="2"/>
        <w:rPr>
          <w:rFonts w:ascii="宋体" w:hAnsi="宋体" w:cs="宋体"/>
          <w:b/>
          <w:bCs/>
          <w:sz w:val="28"/>
          <w:szCs w:val="28"/>
        </w:rPr>
      </w:pPr>
      <w:r>
        <w:rPr>
          <w:rFonts w:hint="eastAsia" w:ascii="宋体" w:hAnsi="宋体" w:cs="宋体"/>
          <w:b/>
          <w:bCs/>
          <w:sz w:val="28"/>
          <w:szCs w:val="28"/>
        </w:rPr>
        <w:t>评分办法</w:t>
      </w:r>
    </w:p>
    <w:p>
      <w:pPr>
        <w:spacing w:line="560" w:lineRule="exact"/>
        <w:ind w:firstLine="630" w:firstLineChars="225"/>
        <w:rPr>
          <w:rFonts w:ascii="宋体" w:hAnsi="宋体" w:cs="宋体"/>
          <w:sz w:val="28"/>
          <w:szCs w:val="28"/>
        </w:rPr>
      </w:pPr>
      <w:r>
        <w:rPr>
          <w:rFonts w:hint="eastAsia" w:ascii="宋体" w:hAnsi="宋体" w:cs="宋体"/>
          <w:sz w:val="28"/>
          <w:szCs w:val="28"/>
        </w:rPr>
        <w:t xml:space="preserve">本次评标采用综合评分法，由评标委员会各成员独立对通过初审（资格检查和符合性检查）的投标人的投标文件进行评审和打分，    </w:t>
      </w:r>
    </w:p>
    <w:p>
      <w:pPr>
        <w:spacing w:line="560" w:lineRule="exact"/>
        <w:ind w:firstLine="630" w:firstLineChars="225"/>
        <w:rPr>
          <w:rFonts w:ascii="宋体" w:hAnsi="宋体" w:cs="宋体"/>
          <w:sz w:val="28"/>
          <w:szCs w:val="28"/>
        </w:rPr>
      </w:pPr>
      <w:r>
        <w:rPr>
          <w:rFonts w:hint="eastAsia" w:ascii="宋体" w:hAnsi="宋体" w:cs="宋体"/>
          <w:sz w:val="28"/>
          <w:szCs w:val="28"/>
        </w:rPr>
        <w:t>评标得分＝（A</w:t>
      </w:r>
      <w:r>
        <w:rPr>
          <w:rFonts w:hint="eastAsia" w:ascii="宋体" w:hAnsi="宋体" w:cs="宋体"/>
          <w:sz w:val="28"/>
          <w:szCs w:val="28"/>
          <w:vertAlign w:val="subscript"/>
        </w:rPr>
        <w:t>1</w:t>
      </w:r>
      <w:r>
        <w:rPr>
          <w:rFonts w:hint="eastAsia" w:ascii="宋体" w:hAnsi="宋体" w:cs="宋体"/>
          <w:sz w:val="28"/>
          <w:szCs w:val="28"/>
        </w:rPr>
        <w:t>＋A</w:t>
      </w:r>
      <w:r>
        <w:rPr>
          <w:rFonts w:hint="eastAsia" w:ascii="宋体" w:hAnsi="宋体" w:cs="宋体"/>
          <w:sz w:val="28"/>
          <w:szCs w:val="28"/>
          <w:vertAlign w:val="subscript"/>
        </w:rPr>
        <w:t>2</w:t>
      </w:r>
      <w:r>
        <w:rPr>
          <w:rFonts w:hint="eastAsia" w:ascii="宋体" w:hAnsi="宋体" w:cs="宋体"/>
          <w:sz w:val="28"/>
          <w:szCs w:val="28"/>
        </w:rPr>
        <w:t>＋……＋A</w:t>
      </w:r>
      <w:r>
        <w:rPr>
          <w:rFonts w:hint="eastAsia" w:ascii="宋体" w:hAnsi="宋体" w:cs="宋体"/>
          <w:sz w:val="28"/>
          <w:szCs w:val="28"/>
          <w:vertAlign w:val="subscript"/>
        </w:rPr>
        <w:t>n</w:t>
      </w:r>
      <w:r>
        <w:rPr>
          <w:rFonts w:hint="eastAsia" w:ascii="宋体" w:hAnsi="宋体" w:cs="宋体"/>
          <w:sz w:val="28"/>
          <w:szCs w:val="28"/>
        </w:rPr>
        <w:t>）/n</w:t>
      </w:r>
      <w:r>
        <w:rPr>
          <w:rFonts w:hint="eastAsia" w:ascii="宋体" w:hAnsi="宋体" w:cs="宋体"/>
          <w:sz w:val="28"/>
          <w:szCs w:val="28"/>
          <w:vertAlign w:val="subscript"/>
        </w:rPr>
        <w:t>1</w:t>
      </w:r>
      <w:r>
        <w:rPr>
          <w:rFonts w:hint="eastAsia" w:ascii="宋体" w:hAnsi="宋体" w:cs="宋体"/>
          <w:sz w:val="28"/>
          <w:szCs w:val="28"/>
        </w:rPr>
        <w:t>+（B</w:t>
      </w:r>
      <w:r>
        <w:rPr>
          <w:rFonts w:hint="eastAsia" w:ascii="宋体" w:hAnsi="宋体" w:cs="宋体"/>
          <w:sz w:val="28"/>
          <w:szCs w:val="28"/>
          <w:vertAlign w:val="subscript"/>
        </w:rPr>
        <w:t>1</w:t>
      </w:r>
      <w:r>
        <w:rPr>
          <w:rFonts w:hint="eastAsia" w:ascii="宋体" w:hAnsi="宋体" w:cs="宋体"/>
          <w:sz w:val="28"/>
          <w:szCs w:val="28"/>
        </w:rPr>
        <w:t>＋B</w:t>
      </w:r>
      <w:r>
        <w:rPr>
          <w:rFonts w:hint="eastAsia" w:ascii="宋体" w:hAnsi="宋体" w:cs="宋体"/>
          <w:sz w:val="28"/>
          <w:szCs w:val="28"/>
          <w:vertAlign w:val="subscript"/>
        </w:rPr>
        <w:t>2</w:t>
      </w:r>
      <w:r>
        <w:rPr>
          <w:rFonts w:hint="eastAsia" w:ascii="宋体" w:hAnsi="宋体" w:cs="宋体"/>
          <w:sz w:val="28"/>
          <w:szCs w:val="28"/>
        </w:rPr>
        <w:t>＋……＋B</w:t>
      </w:r>
      <w:r>
        <w:rPr>
          <w:rFonts w:hint="eastAsia" w:ascii="宋体" w:hAnsi="宋体" w:cs="宋体"/>
          <w:sz w:val="28"/>
          <w:szCs w:val="28"/>
          <w:vertAlign w:val="subscript"/>
        </w:rPr>
        <w:t>n</w:t>
      </w:r>
      <w:r>
        <w:rPr>
          <w:rFonts w:hint="eastAsia" w:ascii="宋体" w:hAnsi="宋体" w:cs="宋体"/>
          <w:sz w:val="28"/>
          <w:szCs w:val="28"/>
        </w:rPr>
        <w:t>）/ n</w:t>
      </w:r>
      <w:r>
        <w:rPr>
          <w:rFonts w:hint="eastAsia" w:ascii="宋体" w:hAnsi="宋体" w:cs="宋体"/>
          <w:sz w:val="28"/>
          <w:szCs w:val="28"/>
          <w:vertAlign w:val="subscript"/>
        </w:rPr>
        <w:t>2</w:t>
      </w:r>
      <w:r>
        <w:rPr>
          <w:rFonts w:hint="eastAsia" w:ascii="宋体" w:hAnsi="宋体" w:cs="宋体"/>
          <w:sz w:val="28"/>
          <w:szCs w:val="28"/>
        </w:rPr>
        <w:t>+（C</w:t>
      </w:r>
      <w:r>
        <w:rPr>
          <w:rFonts w:hint="eastAsia" w:ascii="宋体" w:hAnsi="宋体" w:cs="宋体"/>
          <w:sz w:val="28"/>
          <w:szCs w:val="28"/>
          <w:vertAlign w:val="subscript"/>
        </w:rPr>
        <w:t>1</w:t>
      </w:r>
      <w:r>
        <w:rPr>
          <w:rFonts w:hint="eastAsia" w:ascii="宋体" w:hAnsi="宋体" w:cs="宋体"/>
          <w:sz w:val="28"/>
          <w:szCs w:val="28"/>
        </w:rPr>
        <w:t>＋C</w:t>
      </w:r>
      <w:r>
        <w:rPr>
          <w:rFonts w:hint="eastAsia" w:ascii="宋体" w:hAnsi="宋体" w:cs="宋体"/>
          <w:sz w:val="28"/>
          <w:szCs w:val="28"/>
          <w:vertAlign w:val="subscript"/>
        </w:rPr>
        <w:t>2</w:t>
      </w:r>
      <w:r>
        <w:rPr>
          <w:rFonts w:hint="eastAsia" w:ascii="宋体" w:hAnsi="宋体" w:cs="宋体"/>
          <w:sz w:val="28"/>
          <w:szCs w:val="28"/>
        </w:rPr>
        <w:t>＋……＋C</w:t>
      </w:r>
      <w:r>
        <w:rPr>
          <w:rFonts w:hint="eastAsia" w:ascii="宋体" w:hAnsi="宋体" w:cs="宋体"/>
          <w:sz w:val="28"/>
          <w:szCs w:val="28"/>
          <w:vertAlign w:val="subscript"/>
        </w:rPr>
        <w:t>n</w:t>
      </w:r>
      <w:r>
        <w:rPr>
          <w:rFonts w:hint="eastAsia" w:ascii="宋体" w:hAnsi="宋体" w:cs="宋体"/>
          <w:sz w:val="28"/>
          <w:szCs w:val="28"/>
        </w:rPr>
        <w:t>）/ n</w:t>
      </w:r>
      <w:r>
        <w:rPr>
          <w:rFonts w:hint="eastAsia" w:ascii="宋体" w:hAnsi="宋体" w:cs="宋体"/>
          <w:sz w:val="28"/>
          <w:szCs w:val="28"/>
          <w:vertAlign w:val="subscript"/>
        </w:rPr>
        <w:t>3</w:t>
      </w:r>
    </w:p>
    <w:p>
      <w:pPr>
        <w:widowControl/>
        <w:spacing w:line="560" w:lineRule="exact"/>
        <w:ind w:firstLine="560" w:firstLineChars="200"/>
        <w:rPr>
          <w:rFonts w:ascii="宋体" w:hAnsi="宋体" w:cs="宋体"/>
          <w:sz w:val="28"/>
          <w:szCs w:val="28"/>
        </w:rPr>
      </w:pPr>
      <w:r>
        <w:rPr>
          <w:rFonts w:hint="eastAsia" w:ascii="宋体" w:hAnsi="宋体" w:cs="宋体"/>
          <w:sz w:val="28"/>
          <w:szCs w:val="28"/>
        </w:rPr>
        <w:t>A</w:t>
      </w:r>
      <w:r>
        <w:rPr>
          <w:rFonts w:hint="eastAsia" w:ascii="宋体" w:hAnsi="宋体" w:cs="宋体"/>
          <w:sz w:val="28"/>
          <w:szCs w:val="28"/>
          <w:vertAlign w:val="subscript"/>
        </w:rPr>
        <w:t>1</w:t>
      </w:r>
      <w:r>
        <w:rPr>
          <w:rFonts w:hint="eastAsia" w:ascii="宋体" w:hAnsi="宋体" w:cs="宋体"/>
          <w:sz w:val="28"/>
          <w:szCs w:val="28"/>
        </w:rPr>
        <w:t>、A</w:t>
      </w:r>
      <w:r>
        <w:rPr>
          <w:rFonts w:hint="eastAsia" w:ascii="宋体" w:hAnsi="宋体" w:cs="宋体"/>
          <w:sz w:val="28"/>
          <w:szCs w:val="28"/>
          <w:vertAlign w:val="subscript"/>
        </w:rPr>
        <w:t>2</w:t>
      </w:r>
      <w:r>
        <w:rPr>
          <w:rFonts w:hint="eastAsia" w:ascii="宋体" w:hAnsi="宋体" w:cs="宋体"/>
          <w:sz w:val="28"/>
          <w:szCs w:val="28"/>
        </w:rPr>
        <w:t>……A</w:t>
      </w:r>
      <w:r>
        <w:rPr>
          <w:rFonts w:hint="eastAsia" w:ascii="宋体" w:hAnsi="宋体" w:cs="宋体"/>
          <w:sz w:val="28"/>
          <w:szCs w:val="28"/>
          <w:vertAlign w:val="subscript"/>
        </w:rPr>
        <w:t>n</w:t>
      </w:r>
      <w:r>
        <w:rPr>
          <w:rFonts w:hint="eastAsia" w:ascii="宋体" w:hAnsi="宋体" w:cs="宋体"/>
          <w:sz w:val="28"/>
          <w:szCs w:val="28"/>
        </w:rPr>
        <w:t>分别为每个</w:t>
      </w:r>
      <w:r>
        <w:rPr>
          <w:rFonts w:hint="eastAsia" w:ascii="宋体" w:hAnsi="宋体" w:cs="宋体"/>
          <w:kern w:val="0"/>
          <w:sz w:val="28"/>
          <w:szCs w:val="28"/>
        </w:rPr>
        <w:t>经济类</w:t>
      </w:r>
      <w:r>
        <w:rPr>
          <w:rFonts w:hint="eastAsia" w:ascii="宋体" w:hAnsi="宋体" w:cs="宋体"/>
          <w:sz w:val="28"/>
          <w:szCs w:val="28"/>
        </w:rPr>
        <w:t>评委的打分，n</w:t>
      </w:r>
      <w:r>
        <w:rPr>
          <w:rFonts w:hint="eastAsia" w:ascii="宋体" w:hAnsi="宋体" w:cs="宋体"/>
          <w:sz w:val="28"/>
          <w:szCs w:val="28"/>
          <w:vertAlign w:val="subscript"/>
        </w:rPr>
        <w:t>1</w:t>
      </w:r>
      <w:r>
        <w:rPr>
          <w:rFonts w:hint="eastAsia" w:ascii="宋体" w:hAnsi="宋体" w:cs="宋体"/>
          <w:sz w:val="28"/>
          <w:szCs w:val="28"/>
        </w:rPr>
        <w:t>为</w:t>
      </w:r>
      <w:r>
        <w:rPr>
          <w:rFonts w:hint="eastAsia" w:ascii="宋体" w:hAnsi="宋体" w:cs="宋体"/>
          <w:kern w:val="0"/>
          <w:sz w:val="28"/>
          <w:szCs w:val="28"/>
        </w:rPr>
        <w:t>经济类</w:t>
      </w:r>
      <w:r>
        <w:rPr>
          <w:rFonts w:hint="eastAsia" w:ascii="宋体" w:hAnsi="宋体" w:cs="宋体"/>
          <w:sz w:val="28"/>
          <w:szCs w:val="28"/>
        </w:rPr>
        <w:t>评委人数；B</w:t>
      </w:r>
      <w:r>
        <w:rPr>
          <w:rFonts w:hint="eastAsia" w:ascii="宋体" w:hAnsi="宋体" w:cs="宋体"/>
          <w:sz w:val="28"/>
          <w:szCs w:val="28"/>
          <w:vertAlign w:val="subscript"/>
        </w:rPr>
        <w:t>1</w:t>
      </w:r>
      <w:r>
        <w:rPr>
          <w:rFonts w:hint="eastAsia" w:ascii="宋体" w:hAnsi="宋体" w:cs="宋体"/>
          <w:sz w:val="28"/>
          <w:szCs w:val="28"/>
        </w:rPr>
        <w:t>、B</w:t>
      </w:r>
      <w:r>
        <w:rPr>
          <w:rFonts w:hint="eastAsia" w:ascii="宋体" w:hAnsi="宋体" w:cs="宋体"/>
          <w:sz w:val="28"/>
          <w:szCs w:val="28"/>
          <w:vertAlign w:val="subscript"/>
        </w:rPr>
        <w:t>2</w:t>
      </w:r>
      <w:r>
        <w:rPr>
          <w:rFonts w:hint="eastAsia" w:ascii="宋体" w:hAnsi="宋体" w:cs="宋体"/>
          <w:sz w:val="28"/>
          <w:szCs w:val="28"/>
        </w:rPr>
        <w:t>＋……B</w:t>
      </w:r>
      <w:r>
        <w:rPr>
          <w:rFonts w:hint="eastAsia" w:ascii="宋体" w:hAnsi="宋体" w:cs="宋体"/>
          <w:sz w:val="28"/>
          <w:szCs w:val="28"/>
          <w:vertAlign w:val="subscript"/>
        </w:rPr>
        <w:t>n</w:t>
      </w:r>
      <w:r>
        <w:rPr>
          <w:rFonts w:hint="eastAsia" w:ascii="宋体" w:hAnsi="宋体" w:cs="宋体"/>
          <w:sz w:val="28"/>
          <w:szCs w:val="28"/>
        </w:rPr>
        <w:t xml:space="preserve"> 分别为每个技术类评委（含采购人代表）的打分，n</w:t>
      </w:r>
      <w:r>
        <w:rPr>
          <w:rFonts w:hint="eastAsia" w:ascii="宋体" w:hAnsi="宋体" w:cs="宋体"/>
          <w:sz w:val="28"/>
          <w:szCs w:val="28"/>
          <w:vertAlign w:val="subscript"/>
        </w:rPr>
        <w:t>2</w:t>
      </w:r>
      <w:r>
        <w:rPr>
          <w:rFonts w:hint="eastAsia" w:ascii="宋体" w:hAnsi="宋体" w:cs="宋体"/>
          <w:sz w:val="28"/>
          <w:szCs w:val="28"/>
        </w:rPr>
        <w:t>为</w:t>
      </w:r>
      <w:r>
        <w:rPr>
          <w:rFonts w:hint="eastAsia" w:ascii="宋体" w:hAnsi="宋体" w:cs="宋体"/>
          <w:kern w:val="0"/>
          <w:sz w:val="28"/>
          <w:szCs w:val="28"/>
        </w:rPr>
        <w:t>技术类</w:t>
      </w:r>
      <w:r>
        <w:rPr>
          <w:rFonts w:hint="eastAsia" w:ascii="宋体" w:hAnsi="宋体" w:cs="宋体"/>
          <w:sz w:val="28"/>
          <w:szCs w:val="28"/>
        </w:rPr>
        <w:t>评委（含采购人代表）人数；C</w:t>
      </w:r>
      <w:r>
        <w:rPr>
          <w:rFonts w:hint="eastAsia" w:ascii="宋体" w:hAnsi="宋体" w:cs="宋体"/>
          <w:sz w:val="28"/>
          <w:szCs w:val="28"/>
          <w:vertAlign w:val="subscript"/>
        </w:rPr>
        <w:t>1</w:t>
      </w:r>
      <w:r>
        <w:rPr>
          <w:rFonts w:hint="eastAsia" w:ascii="宋体" w:hAnsi="宋体" w:cs="宋体"/>
          <w:sz w:val="28"/>
          <w:szCs w:val="28"/>
        </w:rPr>
        <w:t>、C</w:t>
      </w:r>
      <w:r>
        <w:rPr>
          <w:rFonts w:hint="eastAsia" w:ascii="宋体" w:hAnsi="宋体" w:cs="宋体"/>
          <w:sz w:val="28"/>
          <w:szCs w:val="28"/>
          <w:vertAlign w:val="subscript"/>
        </w:rPr>
        <w:t>2</w:t>
      </w:r>
      <w:r>
        <w:rPr>
          <w:rFonts w:hint="eastAsia" w:ascii="宋体" w:hAnsi="宋体" w:cs="宋体"/>
          <w:sz w:val="28"/>
          <w:szCs w:val="28"/>
        </w:rPr>
        <w:t>……C</w:t>
      </w:r>
      <w:r>
        <w:rPr>
          <w:rFonts w:hint="eastAsia" w:ascii="宋体" w:hAnsi="宋体" w:cs="宋体"/>
          <w:sz w:val="28"/>
          <w:szCs w:val="28"/>
          <w:vertAlign w:val="subscript"/>
        </w:rPr>
        <w:t>n</w:t>
      </w:r>
      <w:r>
        <w:rPr>
          <w:rFonts w:hint="eastAsia" w:ascii="宋体" w:hAnsi="宋体" w:cs="宋体"/>
          <w:sz w:val="28"/>
          <w:szCs w:val="28"/>
        </w:rPr>
        <w:t xml:space="preserve"> 分别为评审委员会每个成员的打分，n</w:t>
      </w:r>
      <w:r>
        <w:rPr>
          <w:rFonts w:hint="eastAsia" w:ascii="宋体" w:hAnsi="宋体" w:cs="宋体"/>
          <w:sz w:val="28"/>
          <w:szCs w:val="28"/>
          <w:vertAlign w:val="subscript"/>
        </w:rPr>
        <w:t>3</w:t>
      </w:r>
      <w:r>
        <w:rPr>
          <w:rFonts w:hint="eastAsia" w:ascii="宋体" w:hAnsi="宋体" w:cs="宋体"/>
          <w:sz w:val="28"/>
          <w:szCs w:val="28"/>
        </w:rPr>
        <w:t>为评委人数。</w:t>
      </w:r>
    </w:p>
    <w:p>
      <w:pPr>
        <w:keepNext/>
        <w:keepLines/>
        <w:numPr>
          <w:ilvl w:val="2"/>
          <w:numId w:val="2"/>
        </w:numPr>
        <w:spacing w:line="360" w:lineRule="auto"/>
        <w:ind w:left="0" w:firstLine="0"/>
        <w:outlineLvl w:val="2"/>
        <w:rPr>
          <w:rFonts w:ascii="宋体" w:hAnsi="宋体" w:cs="宋体"/>
          <w:b/>
          <w:bCs/>
          <w:sz w:val="28"/>
          <w:szCs w:val="28"/>
        </w:rPr>
      </w:pPr>
      <w:r>
        <w:rPr>
          <w:rFonts w:hint="eastAsia" w:ascii="宋体" w:hAnsi="宋体" w:cs="宋体"/>
          <w:b/>
          <w:bCs/>
          <w:sz w:val="28"/>
          <w:szCs w:val="28"/>
        </w:rPr>
        <w:t>评分标准</w:t>
      </w:r>
    </w:p>
    <w:tbl>
      <w:tblPr>
        <w:tblStyle w:val="16"/>
        <w:tblW w:w="9839" w:type="dxa"/>
        <w:jc w:val="center"/>
        <w:tblLayout w:type="fixed"/>
        <w:tblCellMar>
          <w:top w:w="0" w:type="dxa"/>
          <w:left w:w="108" w:type="dxa"/>
          <w:bottom w:w="0" w:type="dxa"/>
          <w:right w:w="108" w:type="dxa"/>
        </w:tblCellMar>
      </w:tblPr>
      <w:tblGrid>
        <w:gridCol w:w="701"/>
        <w:gridCol w:w="1134"/>
        <w:gridCol w:w="709"/>
        <w:gridCol w:w="6210"/>
        <w:gridCol w:w="1085"/>
      </w:tblGrid>
      <w:tr>
        <w:tblPrEx>
          <w:tblCellMar>
            <w:top w:w="0" w:type="dxa"/>
            <w:left w:w="108" w:type="dxa"/>
            <w:bottom w:w="0" w:type="dxa"/>
            <w:right w:w="108" w:type="dxa"/>
          </w:tblCellMar>
        </w:tblPrEx>
        <w:trPr>
          <w:jc w:val="center"/>
        </w:trPr>
        <w:tc>
          <w:tcPr>
            <w:tcW w:w="70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rFonts w:ascii="宋体" w:hAnsi="宋体"/>
                <w:b/>
                <w:szCs w:val="21"/>
              </w:rPr>
            </w:pPr>
            <w:r>
              <w:rPr>
                <w:rFonts w:hint="eastAsia" w:ascii="宋体" w:hAnsi="宋体"/>
                <w:b/>
                <w:szCs w:val="21"/>
              </w:rPr>
              <w:t>序号</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rFonts w:ascii="宋体" w:hAnsi="宋体"/>
                <w:b/>
                <w:szCs w:val="21"/>
              </w:rPr>
            </w:pPr>
            <w:r>
              <w:rPr>
                <w:rFonts w:hint="eastAsia" w:ascii="宋体" w:hAnsi="宋体"/>
                <w:b/>
                <w:szCs w:val="21"/>
              </w:rPr>
              <w:t>评分因素及权重</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rFonts w:ascii="宋体" w:hAnsi="宋体"/>
                <w:b/>
                <w:szCs w:val="21"/>
              </w:rPr>
            </w:pPr>
            <w:r>
              <w:rPr>
                <w:rFonts w:hint="eastAsia" w:ascii="宋体" w:hAnsi="宋体"/>
                <w:b/>
                <w:szCs w:val="21"/>
              </w:rPr>
              <w:t>分值</w:t>
            </w:r>
          </w:p>
        </w:tc>
        <w:tc>
          <w:tcPr>
            <w:tcW w:w="621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hAnsi="宋体"/>
                <w:b/>
                <w:szCs w:val="21"/>
              </w:rPr>
            </w:pPr>
            <w:r>
              <w:rPr>
                <w:rFonts w:hint="eastAsia" w:ascii="宋体" w:hAnsi="宋体"/>
                <w:b/>
                <w:szCs w:val="21"/>
              </w:rPr>
              <w:t>评分标准</w:t>
            </w:r>
          </w:p>
        </w:tc>
        <w:tc>
          <w:tcPr>
            <w:tcW w:w="1085"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rFonts w:ascii="宋体" w:hAnsi="宋体"/>
                <w:b/>
                <w:szCs w:val="21"/>
              </w:rPr>
            </w:pPr>
            <w:r>
              <w:rPr>
                <w:rFonts w:hint="eastAsia" w:ascii="宋体" w:hAnsi="宋体"/>
                <w:b/>
                <w:szCs w:val="21"/>
              </w:rPr>
              <w:t>说明</w:t>
            </w:r>
          </w:p>
        </w:tc>
      </w:tr>
      <w:tr>
        <w:tblPrEx>
          <w:tblCellMar>
            <w:top w:w="0" w:type="dxa"/>
            <w:left w:w="108" w:type="dxa"/>
            <w:bottom w:w="0" w:type="dxa"/>
            <w:right w:w="108" w:type="dxa"/>
          </w:tblCellMar>
        </w:tblPrEx>
        <w:trPr>
          <w:jc w:val="center"/>
        </w:trPr>
        <w:tc>
          <w:tcPr>
            <w:tcW w:w="70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rFonts w:ascii="宋体" w:hAnsi="宋体"/>
                <w:szCs w:val="21"/>
              </w:rPr>
            </w:pPr>
            <w:r>
              <w:rPr>
                <w:rFonts w:hint="eastAsia" w:ascii="宋体" w:hAnsi="宋体"/>
                <w:szCs w:val="21"/>
              </w:rPr>
              <w:t>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rFonts w:ascii="宋体" w:hAnsi="宋体"/>
                <w:szCs w:val="21"/>
              </w:rPr>
            </w:pPr>
            <w:r>
              <w:rPr>
                <w:rFonts w:hint="eastAsia" w:ascii="宋体" w:hAnsi="宋体"/>
                <w:szCs w:val="21"/>
              </w:rPr>
              <w:t>报价12%</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rFonts w:ascii="宋体" w:hAnsi="宋体"/>
                <w:szCs w:val="21"/>
              </w:rPr>
            </w:pPr>
            <w:r>
              <w:rPr>
                <w:rFonts w:hint="eastAsia" w:ascii="宋体" w:hAnsi="宋体"/>
                <w:szCs w:val="21"/>
              </w:rPr>
              <w:t>12</w:t>
            </w:r>
          </w:p>
        </w:tc>
        <w:tc>
          <w:tcPr>
            <w:tcW w:w="6210" w:type="dxa"/>
            <w:tcBorders>
              <w:top w:val="single" w:color="auto" w:sz="4" w:space="0"/>
              <w:left w:val="single" w:color="auto" w:sz="4" w:space="0"/>
              <w:bottom w:val="single" w:color="auto" w:sz="4" w:space="0"/>
              <w:right w:val="single" w:color="auto" w:sz="4" w:space="0"/>
            </w:tcBorders>
            <w:vAlign w:val="center"/>
          </w:tcPr>
          <w:p>
            <w:pPr>
              <w:pStyle w:val="7"/>
              <w:spacing w:line="240" w:lineRule="atLeast"/>
              <w:ind w:firstLine="180"/>
              <w:rPr>
                <w:rFonts w:ascii="宋体" w:hAnsi="宋体"/>
                <w:szCs w:val="21"/>
              </w:rPr>
            </w:pPr>
            <w:r>
              <w:rPr>
                <w:rFonts w:hint="eastAsia" w:ascii="宋体" w:hAnsi="宋体"/>
                <w:szCs w:val="21"/>
              </w:rPr>
              <w:t>以经评委会一致认定满足招标文件要求且最低的投标评审价为评标基准价，其价格分满分为12分，其他投标人的价格得分统一按如下公式计算：</w:t>
            </w:r>
          </w:p>
          <w:p>
            <w:pPr>
              <w:pStyle w:val="7"/>
              <w:spacing w:line="240" w:lineRule="atLeast"/>
              <w:ind w:firstLine="180"/>
              <w:rPr>
                <w:rFonts w:ascii="宋体" w:hAnsi="宋体"/>
                <w:szCs w:val="21"/>
              </w:rPr>
            </w:pPr>
            <w:r>
              <w:rPr>
                <w:rFonts w:hint="eastAsia" w:ascii="宋体" w:hAnsi="宋体"/>
                <w:szCs w:val="21"/>
              </w:rPr>
              <w:t>投标报价得分=（评标基准价/投标报价）×12</w:t>
            </w:r>
          </w:p>
          <w:p>
            <w:pPr>
              <w:pStyle w:val="7"/>
              <w:spacing w:line="240" w:lineRule="atLeast"/>
              <w:ind w:firstLine="180"/>
              <w:rPr>
                <w:rFonts w:ascii="宋体" w:hAnsi="宋体"/>
                <w:szCs w:val="21"/>
              </w:rPr>
            </w:pPr>
            <w:r>
              <w:rPr>
                <w:rFonts w:hint="eastAsia" w:ascii="宋体" w:hAnsi="宋体"/>
                <w:szCs w:val="21"/>
              </w:rPr>
              <w:t>报价评分的取值按四舍五入法，保留小数点后两位。</w:t>
            </w:r>
          </w:p>
        </w:tc>
        <w:tc>
          <w:tcPr>
            <w:tcW w:w="1085" w:type="dxa"/>
            <w:tcBorders>
              <w:top w:val="single" w:color="auto" w:sz="4" w:space="0"/>
              <w:left w:val="single" w:color="auto" w:sz="4" w:space="0"/>
              <w:bottom w:val="single" w:color="auto" w:sz="4" w:space="0"/>
              <w:right w:val="single" w:color="auto" w:sz="4" w:space="0"/>
            </w:tcBorders>
            <w:vAlign w:val="center"/>
          </w:tcPr>
          <w:p>
            <w:pPr>
              <w:pStyle w:val="2"/>
              <w:spacing w:line="240" w:lineRule="atLeast"/>
              <w:rPr>
                <w:rFonts w:ascii="宋体" w:hAnsi="宋体"/>
                <w:szCs w:val="21"/>
              </w:rPr>
            </w:pPr>
            <w:r>
              <w:rPr>
                <w:rFonts w:hint="eastAsia" w:ascii="宋体" w:hAnsi="宋体"/>
                <w:szCs w:val="21"/>
              </w:rPr>
              <w:t>共同评分因素</w:t>
            </w:r>
          </w:p>
        </w:tc>
      </w:tr>
      <w:tr>
        <w:tblPrEx>
          <w:tblCellMar>
            <w:top w:w="0" w:type="dxa"/>
            <w:left w:w="108" w:type="dxa"/>
            <w:bottom w:w="0" w:type="dxa"/>
            <w:right w:w="108" w:type="dxa"/>
          </w:tblCellMar>
        </w:tblPrEx>
        <w:trPr>
          <w:trHeight w:val="2472"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rFonts w:ascii="宋体" w:hAnsi="宋体"/>
                <w:szCs w:val="21"/>
              </w:rPr>
            </w:pPr>
            <w:r>
              <w:rPr>
                <w:rFonts w:hint="eastAsia" w:ascii="宋体" w:hAnsi="宋体"/>
                <w:szCs w:val="21"/>
              </w:rPr>
              <w:t>2</w:t>
            </w:r>
          </w:p>
        </w:tc>
        <w:tc>
          <w:tcPr>
            <w:tcW w:w="1134" w:type="dxa"/>
            <w:tcBorders>
              <w:top w:val="single" w:color="auto" w:sz="4" w:space="0"/>
              <w:left w:val="nil"/>
              <w:bottom w:val="single" w:color="auto" w:sz="4" w:space="0"/>
              <w:right w:val="single" w:color="auto" w:sz="4" w:space="0"/>
            </w:tcBorders>
            <w:vAlign w:val="center"/>
          </w:tcPr>
          <w:p>
            <w:pPr>
              <w:widowControl/>
              <w:spacing w:line="240" w:lineRule="atLeast"/>
              <w:rPr>
                <w:rFonts w:ascii="宋体" w:hAnsi="宋体"/>
                <w:szCs w:val="21"/>
              </w:rPr>
            </w:pPr>
            <w:r>
              <w:rPr>
                <w:rFonts w:hint="eastAsia" w:ascii="宋体" w:hAnsi="宋体"/>
                <w:szCs w:val="21"/>
              </w:rPr>
              <w:t>内部管理制度10%</w:t>
            </w:r>
          </w:p>
        </w:tc>
        <w:tc>
          <w:tcPr>
            <w:tcW w:w="709" w:type="dxa"/>
            <w:tcBorders>
              <w:top w:val="single" w:color="auto" w:sz="4" w:space="0"/>
              <w:left w:val="nil"/>
              <w:bottom w:val="single" w:color="auto" w:sz="4" w:space="0"/>
              <w:right w:val="single" w:color="auto" w:sz="4" w:space="0"/>
            </w:tcBorders>
            <w:vAlign w:val="center"/>
          </w:tcPr>
          <w:p>
            <w:pPr>
              <w:widowControl/>
              <w:spacing w:line="240" w:lineRule="atLeast"/>
              <w:rPr>
                <w:rFonts w:ascii="宋体" w:hAnsi="宋体"/>
                <w:szCs w:val="21"/>
              </w:rPr>
            </w:pPr>
            <w:r>
              <w:rPr>
                <w:rFonts w:hint="eastAsia" w:ascii="宋体" w:hAnsi="宋体"/>
                <w:szCs w:val="21"/>
              </w:rPr>
              <w:t>10</w:t>
            </w:r>
          </w:p>
        </w:tc>
        <w:tc>
          <w:tcPr>
            <w:tcW w:w="6210" w:type="dxa"/>
            <w:tcBorders>
              <w:top w:val="single" w:color="auto" w:sz="4" w:space="0"/>
              <w:left w:val="nil"/>
              <w:bottom w:val="single" w:color="auto" w:sz="4" w:space="0"/>
              <w:right w:val="single" w:color="auto" w:sz="4" w:space="0"/>
            </w:tcBorders>
            <w:vAlign w:val="center"/>
          </w:tcPr>
          <w:p>
            <w:pPr>
              <w:pStyle w:val="7"/>
              <w:spacing w:line="240" w:lineRule="atLeast"/>
              <w:ind w:firstLine="180"/>
              <w:rPr>
                <w:rFonts w:ascii="宋体" w:hAnsi="宋体"/>
                <w:color w:val="auto"/>
                <w:szCs w:val="21"/>
              </w:rPr>
            </w:pPr>
            <w:r>
              <w:rPr>
                <w:rFonts w:hint="eastAsia" w:ascii="宋体" w:hAnsi="宋体"/>
                <w:color w:val="auto"/>
                <w:szCs w:val="21"/>
              </w:rPr>
              <w:t>对各投标人拟定的项目管理制度进行综合评审，包括以下内容：</w:t>
            </w:r>
            <w:r>
              <w:rPr>
                <w:rFonts w:ascii="宋体" w:hAnsi="宋体"/>
                <w:color w:val="auto"/>
                <w:szCs w:val="21"/>
              </w:rPr>
              <w:t>1.</w:t>
            </w:r>
            <w:r>
              <w:rPr>
                <w:rFonts w:hint="eastAsia" w:ascii="宋体" w:hAnsi="宋体"/>
                <w:color w:val="auto"/>
                <w:szCs w:val="21"/>
              </w:rPr>
              <w:t>文明管理制度；2</w:t>
            </w:r>
            <w:r>
              <w:rPr>
                <w:rFonts w:ascii="宋体" w:hAnsi="宋体"/>
                <w:color w:val="auto"/>
                <w:szCs w:val="21"/>
              </w:rPr>
              <w:t>.</w:t>
            </w:r>
            <w:r>
              <w:rPr>
                <w:rFonts w:hint="eastAsia" w:ascii="宋体" w:hAnsi="宋体"/>
                <w:color w:val="auto"/>
                <w:szCs w:val="21"/>
              </w:rPr>
              <w:t>公司健全的内部管理规章制度；3.员工培训方案；4.稳定可靠的项目管理机构构架；5.健全的职能组织运行图及说明。提供完整方案的得10分，每缺一项的扣2分，每有一项缺陷的扣1分。扣完为止，未提供不得分。</w:t>
            </w:r>
          </w:p>
          <w:p>
            <w:pPr>
              <w:pStyle w:val="7"/>
              <w:spacing w:line="240" w:lineRule="atLeast"/>
              <w:ind w:firstLine="180"/>
              <w:rPr>
                <w:rFonts w:ascii="宋体" w:hAnsi="宋体"/>
                <w:color w:val="auto"/>
                <w:szCs w:val="21"/>
              </w:rPr>
            </w:pPr>
            <w:r>
              <w:rPr>
                <w:rFonts w:hint="eastAsia" w:ascii="宋体" w:hAnsi="宋体"/>
                <w:color w:val="auto"/>
                <w:szCs w:val="21"/>
              </w:rPr>
              <w:t>说明：缺陷是指投标人所提供的内容存在不适用项目实际情况的情形、套用其他方案、凭空编造、逻辑漏洞、不完善、科学原理错误以及不可能实现的夸大情形等情况。</w:t>
            </w:r>
          </w:p>
        </w:tc>
        <w:tc>
          <w:tcPr>
            <w:tcW w:w="1085" w:type="dxa"/>
            <w:tcBorders>
              <w:top w:val="single" w:color="auto" w:sz="4" w:space="0"/>
              <w:left w:val="nil"/>
              <w:bottom w:val="single" w:color="auto" w:sz="4" w:space="0"/>
              <w:right w:val="single" w:color="auto" w:sz="4" w:space="0"/>
            </w:tcBorders>
            <w:vAlign w:val="center"/>
          </w:tcPr>
          <w:p>
            <w:pPr>
              <w:widowControl/>
              <w:spacing w:line="240" w:lineRule="atLeast"/>
              <w:rPr>
                <w:rFonts w:ascii="宋体" w:hAnsi="宋体"/>
                <w:szCs w:val="21"/>
              </w:rPr>
            </w:pPr>
            <w:r>
              <w:rPr>
                <w:rFonts w:hint="eastAsia" w:ascii="宋体" w:hAnsi="宋体"/>
                <w:szCs w:val="21"/>
              </w:rPr>
              <w:t>技术类评分因素</w:t>
            </w:r>
          </w:p>
        </w:tc>
      </w:tr>
      <w:tr>
        <w:tblPrEx>
          <w:tblCellMar>
            <w:top w:w="0" w:type="dxa"/>
            <w:left w:w="108" w:type="dxa"/>
            <w:bottom w:w="0" w:type="dxa"/>
            <w:right w:w="108" w:type="dxa"/>
          </w:tblCellMar>
        </w:tblPrEx>
        <w:trPr>
          <w:trHeight w:val="2823" w:hRule="atLeast"/>
          <w:jc w:val="center"/>
        </w:trPr>
        <w:tc>
          <w:tcPr>
            <w:tcW w:w="701" w:type="dxa"/>
            <w:tcBorders>
              <w:top w:val="nil"/>
              <w:left w:val="single" w:color="auto" w:sz="4" w:space="0"/>
              <w:bottom w:val="single" w:color="auto" w:sz="4" w:space="0"/>
              <w:right w:val="single" w:color="auto" w:sz="4" w:space="0"/>
            </w:tcBorders>
            <w:vAlign w:val="center"/>
          </w:tcPr>
          <w:p>
            <w:pPr>
              <w:widowControl/>
              <w:spacing w:line="240" w:lineRule="atLeast"/>
              <w:rPr>
                <w:rFonts w:ascii="宋体" w:hAnsi="宋体"/>
                <w:szCs w:val="21"/>
              </w:rPr>
            </w:pPr>
            <w:r>
              <w:rPr>
                <w:rFonts w:hint="eastAsia" w:ascii="宋体" w:hAnsi="宋体"/>
                <w:szCs w:val="21"/>
              </w:rPr>
              <w:t>3</w:t>
            </w:r>
          </w:p>
        </w:tc>
        <w:tc>
          <w:tcPr>
            <w:tcW w:w="1134" w:type="dxa"/>
            <w:tcBorders>
              <w:top w:val="nil"/>
              <w:left w:val="nil"/>
              <w:bottom w:val="single" w:color="auto" w:sz="4" w:space="0"/>
              <w:right w:val="single" w:color="auto" w:sz="4" w:space="0"/>
            </w:tcBorders>
            <w:vAlign w:val="center"/>
          </w:tcPr>
          <w:p>
            <w:pPr>
              <w:pStyle w:val="7"/>
              <w:spacing w:line="240" w:lineRule="atLeast"/>
              <w:ind w:firstLine="180"/>
              <w:rPr>
                <w:rFonts w:ascii="宋体" w:hAnsi="宋体"/>
                <w:szCs w:val="21"/>
              </w:rPr>
            </w:pPr>
            <w:r>
              <w:rPr>
                <w:rFonts w:hint="eastAsia" w:ascii="宋体" w:hAnsi="宋体"/>
                <w:szCs w:val="21"/>
              </w:rPr>
              <w:t>项目概况分析15%</w:t>
            </w:r>
          </w:p>
        </w:tc>
        <w:tc>
          <w:tcPr>
            <w:tcW w:w="709" w:type="dxa"/>
            <w:tcBorders>
              <w:top w:val="nil"/>
              <w:left w:val="nil"/>
              <w:bottom w:val="single" w:color="auto" w:sz="4" w:space="0"/>
              <w:right w:val="single" w:color="auto" w:sz="4" w:space="0"/>
            </w:tcBorders>
            <w:vAlign w:val="center"/>
          </w:tcPr>
          <w:p>
            <w:pPr>
              <w:spacing w:line="240" w:lineRule="atLeast"/>
              <w:rPr>
                <w:rFonts w:ascii="宋体" w:hAnsi="宋体"/>
                <w:szCs w:val="21"/>
              </w:rPr>
            </w:pPr>
            <w:r>
              <w:rPr>
                <w:rFonts w:hint="eastAsia" w:ascii="宋体" w:hAnsi="宋体"/>
                <w:szCs w:val="21"/>
              </w:rPr>
              <w:t>15</w:t>
            </w:r>
          </w:p>
        </w:tc>
        <w:tc>
          <w:tcPr>
            <w:tcW w:w="6210" w:type="dxa"/>
            <w:tcBorders>
              <w:top w:val="nil"/>
              <w:left w:val="nil"/>
              <w:bottom w:val="single" w:color="auto" w:sz="4" w:space="0"/>
              <w:right w:val="single" w:color="auto" w:sz="4" w:space="0"/>
            </w:tcBorders>
            <w:vAlign w:val="center"/>
          </w:tcPr>
          <w:p>
            <w:pPr>
              <w:pStyle w:val="7"/>
              <w:spacing w:line="240" w:lineRule="atLeast"/>
              <w:ind w:firstLine="180"/>
              <w:rPr>
                <w:rFonts w:ascii="宋体" w:hAnsi="宋体"/>
                <w:color w:val="auto"/>
                <w:szCs w:val="21"/>
              </w:rPr>
            </w:pPr>
            <w:r>
              <w:rPr>
                <w:rFonts w:hint="eastAsia" w:ascii="宋体" w:hAnsi="宋体"/>
                <w:color w:val="auto"/>
                <w:szCs w:val="21"/>
              </w:rPr>
              <w:t>对各投标人拟定的项目概况分析进行综合评审，包括：1.对本项目现场基本情况的描述；2.对本项目服务的认识及描述（需包含服务内容，服务范围，服务流程）；3.通过对本项目现状的全面梳理，分析提出本项目服务的重点，难点并相应提出解决方案。</w:t>
            </w:r>
          </w:p>
          <w:p>
            <w:pPr>
              <w:pStyle w:val="7"/>
              <w:spacing w:line="240" w:lineRule="atLeast"/>
              <w:ind w:firstLine="180"/>
              <w:rPr>
                <w:rFonts w:ascii="宋体" w:hAnsi="宋体"/>
                <w:color w:val="auto"/>
                <w:szCs w:val="21"/>
              </w:rPr>
            </w:pPr>
            <w:r>
              <w:rPr>
                <w:rFonts w:hint="eastAsia" w:ascii="宋体" w:hAnsi="宋体"/>
                <w:color w:val="auto"/>
                <w:szCs w:val="21"/>
              </w:rPr>
              <w:t>提供完整方案的得15分，每缺一项的扣5分，每有一项缺陷的扣2.5分。扣完为止，未提供不得分。</w:t>
            </w:r>
          </w:p>
          <w:p>
            <w:pPr>
              <w:pStyle w:val="7"/>
              <w:spacing w:line="240" w:lineRule="atLeast"/>
              <w:ind w:firstLine="180"/>
              <w:rPr>
                <w:rFonts w:ascii="宋体" w:hAnsi="宋体"/>
                <w:color w:val="auto"/>
                <w:szCs w:val="21"/>
              </w:rPr>
            </w:pPr>
            <w:r>
              <w:rPr>
                <w:rFonts w:hint="eastAsia" w:ascii="宋体" w:hAnsi="宋体"/>
                <w:color w:val="auto"/>
                <w:szCs w:val="21"/>
              </w:rPr>
              <w:t>说明：缺陷是指投标人所提供的内容存在不适用项目实际情况的情形、套用其他方案、凭空编造、逻辑漏洞、不完善、科学原理错误以及不可能实现的夸大情形等情况。</w:t>
            </w:r>
          </w:p>
        </w:tc>
        <w:tc>
          <w:tcPr>
            <w:tcW w:w="1085" w:type="dxa"/>
            <w:tcBorders>
              <w:top w:val="nil"/>
              <w:left w:val="nil"/>
              <w:bottom w:val="single" w:color="auto" w:sz="4" w:space="0"/>
              <w:right w:val="single" w:color="auto" w:sz="4" w:space="0"/>
            </w:tcBorders>
            <w:vAlign w:val="center"/>
          </w:tcPr>
          <w:p>
            <w:pPr>
              <w:widowControl/>
              <w:spacing w:line="240" w:lineRule="atLeast"/>
              <w:rPr>
                <w:rFonts w:ascii="宋体" w:hAnsi="宋体"/>
                <w:szCs w:val="21"/>
              </w:rPr>
            </w:pPr>
            <w:r>
              <w:rPr>
                <w:rFonts w:hint="eastAsia" w:ascii="宋体" w:hAnsi="宋体"/>
                <w:szCs w:val="21"/>
              </w:rPr>
              <w:t>技术类评分因素</w:t>
            </w:r>
          </w:p>
        </w:tc>
      </w:tr>
      <w:tr>
        <w:tblPrEx>
          <w:tblCellMar>
            <w:top w:w="0" w:type="dxa"/>
            <w:left w:w="108" w:type="dxa"/>
            <w:bottom w:w="0" w:type="dxa"/>
            <w:right w:w="108" w:type="dxa"/>
          </w:tblCellMar>
        </w:tblPrEx>
        <w:trPr>
          <w:trHeight w:val="2449"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rFonts w:ascii="宋体" w:hAnsi="宋体"/>
                <w:szCs w:val="21"/>
              </w:rPr>
            </w:pPr>
            <w:r>
              <w:rPr>
                <w:rFonts w:hint="eastAsia" w:ascii="宋体" w:hAnsi="宋体"/>
                <w:szCs w:val="21"/>
              </w:rPr>
              <w:t>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rFonts w:ascii="宋体" w:hAnsi="宋体"/>
                <w:szCs w:val="21"/>
              </w:rPr>
            </w:pPr>
            <w:r>
              <w:rPr>
                <w:rFonts w:hint="eastAsia" w:ascii="宋体" w:hAnsi="宋体"/>
                <w:szCs w:val="21"/>
              </w:rPr>
              <w:t>实施方案28%</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rFonts w:ascii="宋体" w:hAnsi="宋体"/>
                <w:szCs w:val="21"/>
              </w:rPr>
            </w:pPr>
            <w:r>
              <w:rPr>
                <w:rFonts w:hint="eastAsia" w:ascii="宋体" w:hAnsi="宋体"/>
                <w:szCs w:val="21"/>
              </w:rPr>
              <w:t>28</w:t>
            </w:r>
          </w:p>
        </w:tc>
        <w:tc>
          <w:tcPr>
            <w:tcW w:w="6210" w:type="dxa"/>
            <w:tcBorders>
              <w:top w:val="single" w:color="auto" w:sz="4" w:space="0"/>
              <w:left w:val="single" w:color="auto" w:sz="4" w:space="0"/>
              <w:bottom w:val="single" w:color="auto" w:sz="4" w:space="0"/>
              <w:right w:val="single" w:color="auto" w:sz="4" w:space="0"/>
            </w:tcBorders>
            <w:vAlign w:val="center"/>
          </w:tcPr>
          <w:p>
            <w:pPr>
              <w:pStyle w:val="7"/>
              <w:spacing w:line="240" w:lineRule="atLeast"/>
              <w:ind w:firstLine="180"/>
              <w:rPr>
                <w:rFonts w:ascii="宋体" w:hAnsi="宋体"/>
                <w:szCs w:val="21"/>
              </w:rPr>
            </w:pPr>
            <w:r>
              <w:rPr>
                <w:rFonts w:hint="eastAsia" w:ascii="宋体" w:hAnsi="宋体"/>
                <w:szCs w:val="21"/>
              </w:rPr>
              <w:t>对各投标人拟定的项目实施方案进行综合评审，包括以下内容：1.垃圾收集；2.垃圾运送；3.夜间环卫作业；4.环卫设备管理；5.环卫工具管理；6.垃圾点清洁；7.道路交通安全。</w:t>
            </w:r>
          </w:p>
          <w:p>
            <w:pPr>
              <w:pStyle w:val="7"/>
              <w:spacing w:line="240" w:lineRule="atLeast"/>
              <w:ind w:firstLine="180"/>
              <w:rPr>
                <w:rFonts w:ascii="宋体" w:hAnsi="宋体"/>
                <w:szCs w:val="21"/>
              </w:rPr>
            </w:pPr>
            <w:r>
              <w:rPr>
                <w:rFonts w:hint="eastAsia" w:ascii="宋体" w:hAnsi="宋体"/>
                <w:szCs w:val="21"/>
              </w:rPr>
              <w:t>提供完整方案的得28分，每缺一项的扣4分，每有一项缺陷的扣2分。扣完为止，未提供不得分。</w:t>
            </w:r>
          </w:p>
          <w:p>
            <w:pPr>
              <w:pStyle w:val="7"/>
              <w:spacing w:line="240" w:lineRule="atLeast"/>
              <w:ind w:firstLine="180"/>
              <w:rPr>
                <w:rFonts w:ascii="宋体" w:hAnsi="宋体"/>
                <w:szCs w:val="21"/>
              </w:rPr>
            </w:pPr>
            <w:r>
              <w:rPr>
                <w:rFonts w:hint="eastAsia" w:ascii="宋体" w:hAnsi="宋体"/>
                <w:color w:val="auto"/>
                <w:szCs w:val="21"/>
              </w:rPr>
              <w:t>说明：缺陷是指投标人所提供的内容存在不适用项目实际情况的情形、套用其他方案、凭空编造、逻辑漏洞、不完善、科学原理错误以及不可能实现的夸大情形等情况。</w:t>
            </w:r>
          </w:p>
        </w:tc>
        <w:tc>
          <w:tcPr>
            <w:tcW w:w="1085"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rFonts w:ascii="宋体" w:hAnsi="宋体"/>
                <w:szCs w:val="21"/>
              </w:rPr>
            </w:pPr>
            <w:r>
              <w:rPr>
                <w:rFonts w:hint="eastAsia" w:ascii="宋体" w:hAnsi="宋体"/>
                <w:szCs w:val="21"/>
              </w:rPr>
              <w:t>技术类评分因素</w:t>
            </w:r>
          </w:p>
        </w:tc>
      </w:tr>
      <w:tr>
        <w:tblPrEx>
          <w:tblCellMar>
            <w:top w:w="0" w:type="dxa"/>
            <w:left w:w="108" w:type="dxa"/>
            <w:bottom w:w="0" w:type="dxa"/>
            <w:right w:w="108" w:type="dxa"/>
          </w:tblCellMar>
        </w:tblPrEx>
        <w:trPr>
          <w:jc w:val="center"/>
        </w:trPr>
        <w:tc>
          <w:tcPr>
            <w:tcW w:w="70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rFonts w:ascii="宋体" w:hAnsi="宋体"/>
                <w:szCs w:val="21"/>
              </w:rPr>
            </w:pPr>
            <w:r>
              <w:rPr>
                <w:rFonts w:hint="eastAsia" w:ascii="宋体" w:hAnsi="宋体"/>
                <w:szCs w:val="21"/>
              </w:rPr>
              <w:t>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rFonts w:ascii="宋体" w:hAnsi="宋体"/>
                <w:szCs w:val="21"/>
              </w:rPr>
            </w:pPr>
            <w:r>
              <w:rPr>
                <w:rFonts w:hint="eastAsia" w:ascii="宋体" w:hAnsi="宋体"/>
                <w:szCs w:val="21"/>
              </w:rPr>
              <w:t>应急措施12%</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rFonts w:ascii="宋体" w:hAnsi="宋体"/>
                <w:szCs w:val="21"/>
              </w:rPr>
            </w:pPr>
            <w:r>
              <w:rPr>
                <w:rFonts w:hint="eastAsia" w:ascii="宋体" w:hAnsi="宋体"/>
                <w:szCs w:val="21"/>
              </w:rPr>
              <w:t>12</w:t>
            </w:r>
          </w:p>
        </w:tc>
        <w:tc>
          <w:tcPr>
            <w:tcW w:w="6210" w:type="dxa"/>
            <w:tcBorders>
              <w:top w:val="single" w:color="auto" w:sz="4" w:space="0"/>
              <w:left w:val="nil"/>
              <w:bottom w:val="single" w:color="auto" w:sz="4" w:space="0"/>
              <w:right w:val="single" w:color="auto" w:sz="4" w:space="0"/>
            </w:tcBorders>
            <w:vAlign w:val="center"/>
          </w:tcPr>
          <w:p>
            <w:pPr>
              <w:pStyle w:val="7"/>
              <w:spacing w:line="240" w:lineRule="atLeast"/>
              <w:ind w:firstLine="180"/>
              <w:rPr>
                <w:rFonts w:ascii="宋体" w:hAnsi="宋体"/>
                <w:szCs w:val="21"/>
              </w:rPr>
            </w:pPr>
            <w:r>
              <w:rPr>
                <w:rFonts w:hint="eastAsia" w:ascii="宋体" w:hAnsi="宋体"/>
                <w:szCs w:val="21"/>
              </w:rPr>
              <w:t>对各投标人拟定的应急措施进行综合评审，包括以下内容：1.自然灾害解决措施；2.突发重大事件应急措施；3.环卫作业紧急事件处理措施；4.疫情防控措施。</w:t>
            </w:r>
          </w:p>
          <w:p>
            <w:pPr>
              <w:pStyle w:val="7"/>
              <w:spacing w:line="240" w:lineRule="atLeast"/>
              <w:ind w:firstLine="180"/>
              <w:rPr>
                <w:rFonts w:ascii="宋体" w:hAnsi="宋体"/>
                <w:color w:val="auto"/>
                <w:szCs w:val="21"/>
              </w:rPr>
            </w:pPr>
            <w:r>
              <w:rPr>
                <w:rFonts w:hint="eastAsia" w:ascii="宋体" w:hAnsi="宋体"/>
                <w:color w:val="auto"/>
                <w:szCs w:val="21"/>
              </w:rPr>
              <w:t>提供完整方案的得12分，每缺一项的扣3分，每有一项缺馅的扣1.5分。扣完为止，未提供不得分。</w:t>
            </w:r>
          </w:p>
          <w:p>
            <w:pPr>
              <w:pStyle w:val="7"/>
              <w:spacing w:line="240" w:lineRule="atLeast"/>
              <w:ind w:firstLine="180"/>
              <w:rPr>
                <w:rFonts w:ascii="宋体" w:hAnsi="宋体"/>
                <w:szCs w:val="21"/>
              </w:rPr>
            </w:pPr>
            <w:r>
              <w:rPr>
                <w:rFonts w:hint="eastAsia" w:ascii="宋体" w:hAnsi="宋体"/>
                <w:color w:val="auto"/>
                <w:szCs w:val="21"/>
              </w:rPr>
              <w:t>说明：缺陷是指投标人所提供的内容存在不适用项目实际情况的情形、</w:t>
            </w:r>
            <w:r>
              <w:rPr>
                <w:rFonts w:hint="eastAsia" w:ascii="宋体" w:hAnsi="宋体"/>
                <w:szCs w:val="21"/>
              </w:rPr>
              <w:t>套用其他方案、凭空编造、逻辑漏洞、不完善、科学原理错误以及不可能实现的夸大情形等情况。</w:t>
            </w:r>
          </w:p>
        </w:tc>
        <w:tc>
          <w:tcPr>
            <w:tcW w:w="1085"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rFonts w:ascii="宋体" w:hAnsi="宋体"/>
                <w:szCs w:val="21"/>
              </w:rPr>
            </w:pPr>
            <w:r>
              <w:rPr>
                <w:rFonts w:hint="eastAsia" w:ascii="宋体" w:hAnsi="宋体"/>
                <w:szCs w:val="21"/>
              </w:rPr>
              <w:t>技术类评分因素</w:t>
            </w:r>
          </w:p>
        </w:tc>
      </w:tr>
      <w:tr>
        <w:tblPrEx>
          <w:tblCellMar>
            <w:top w:w="0" w:type="dxa"/>
            <w:left w:w="108" w:type="dxa"/>
            <w:bottom w:w="0" w:type="dxa"/>
            <w:right w:w="108" w:type="dxa"/>
          </w:tblCellMar>
        </w:tblPrEx>
        <w:trPr>
          <w:jc w:val="center"/>
        </w:trPr>
        <w:tc>
          <w:tcPr>
            <w:tcW w:w="70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rFonts w:ascii="宋体" w:hAnsi="宋体"/>
                <w:color w:val="auto"/>
                <w:szCs w:val="21"/>
              </w:rPr>
            </w:pPr>
            <w:r>
              <w:rPr>
                <w:rFonts w:hint="eastAsia" w:ascii="宋体" w:hAnsi="宋体"/>
                <w:color w:val="auto"/>
                <w:szCs w:val="21"/>
              </w:rPr>
              <w:t>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rFonts w:ascii="宋体" w:hAnsi="宋体"/>
                <w:color w:val="auto"/>
                <w:szCs w:val="21"/>
              </w:rPr>
            </w:pPr>
            <w:r>
              <w:rPr>
                <w:rFonts w:hint="eastAsia" w:ascii="宋体" w:hAnsi="宋体"/>
                <w:color w:val="auto"/>
                <w:szCs w:val="21"/>
              </w:rPr>
              <w:t>安全文明措施8%</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rFonts w:ascii="宋体" w:hAnsi="宋体"/>
                <w:color w:val="auto"/>
                <w:szCs w:val="21"/>
              </w:rPr>
            </w:pPr>
            <w:r>
              <w:rPr>
                <w:rFonts w:hint="eastAsia" w:ascii="宋体" w:hAnsi="宋体"/>
                <w:color w:val="auto"/>
                <w:szCs w:val="21"/>
              </w:rPr>
              <w:t>8</w:t>
            </w:r>
          </w:p>
        </w:tc>
        <w:tc>
          <w:tcPr>
            <w:tcW w:w="6210" w:type="dxa"/>
            <w:tcBorders>
              <w:top w:val="single" w:color="auto" w:sz="4" w:space="0"/>
              <w:left w:val="nil"/>
              <w:bottom w:val="single" w:color="auto" w:sz="4" w:space="0"/>
              <w:right w:val="single" w:color="auto" w:sz="4" w:space="0"/>
            </w:tcBorders>
            <w:shd w:val="clear" w:color="auto" w:fill="auto"/>
            <w:vAlign w:val="center"/>
          </w:tcPr>
          <w:p>
            <w:pPr>
              <w:pStyle w:val="7"/>
              <w:spacing w:line="240" w:lineRule="atLeast"/>
              <w:ind w:firstLine="180"/>
              <w:rPr>
                <w:rFonts w:ascii="宋体" w:hAnsi="宋体"/>
                <w:color w:val="auto"/>
                <w:szCs w:val="21"/>
              </w:rPr>
            </w:pPr>
            <w:r>
              <w:rPr>
                <w:rFonts w:hint="eastAsia" w:ascii="宋体" w:hAnsi="宋体"/>
                <w:color w:val="auto"/>
                <w:szCs w:val="21"/>
              </w:rPr>
              <w:t>对各投标人拟定的安全文明措施进行综合评审，包括以下内容：1.安全文明作业实施方案；2.安全文明作业培训制度；3.安全着装；4.职业病预防措施。</w:t>
            </w:r>
          </w:p>
          <w:p>
            <w:pPr>
              <w:pStyle w:val="7"/>
              <w:spacing w:line="240" w:lineRule="atLeast"/>
              <w:ind w:firstLine="180"/>
              <w:rPr>
                <w:rFonts w:ascii="宋体" w:hAnsi="宋体"/>
                <w:color w:val="auto"/>
                <w:szCs w:val="21"/>
              </w:rPr>
            </w:pPr>
            <w:r>
              <w:rPr>
                <w:rFonts w:hint="eastAsia" w:ascii="宋体" w:hAnsi="宋体"/>
                <w:color w:val="auto"/>
                <w:szCs w:val="21"/>
              </w:rPr>
              <w:t>提供完整方案的得8分，每缺一项的扣2分，每有一项缺馅的扣1分。扣完为止，未提供不得分。</w:t>
            </w:r>
          </w:p>
          <w:p>
            <w:pPr>
              <w:pStyle w:val="7"/>
              <w:spacing w:line="240" w:lineRule="atLeast"/>
              <w:ind w:firstLine="180"/>
              <w:rPr>
                <w:rFonts w:ascii="宋体" w:hAnsi="宋体"/>
                <w:color w:val="auto"/>
                <w:szCs w:val="21"/>
              </w:rPr>
            </w:pPr>
            <w:r>
              <w:rPr>
                <w:rFonts w:hint="eastAsia" w:ascii="宋体" w:hAnsi="宋体"/>
                <w:color w:val="auto"/>
                <w:szCs w:val="21"/>
              </w:rPr>
              <w:t>说明：缺陷是指投标人所提供的内容存在不适用项目实际情况的情形、套用其他方案、凭空编造、逻辑漏洞、不完善、科学原理错误以及不可能实现的夸大情形等情况。</w:t>
            </w:r>
          </w:p>
        </w:tc>
        <w:tc>
          <w:tcPr>
            <w:tcW w:w="1085"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rFonts w:ascii="宋体" w:hAnsi="宋体"/>
                <w:color w:val="auto"/>
                <w:szCs w:val="21"/>
              </w:rPr>
            </w:pPr>
            <w:r>
              <w:rPr>
                <w:rFonts w:hint="eastAsia" w:ascii="宋体" w:hAnsi="宋体"/>
                <w:color w:val="auto"/>
                <w:szCs w:val="21"/>
              </w:rPr>
              <w:t>技术类评分因素</w:t>
            </w:r>
          </w:p>
        </w:tc>
      </w:tr>
      <w:tr>
        <w:tblPrEx>
          <w:tblCellMar>
            <w:top w:w="0" w:type="dxa"/>
            <w:left w:w="108" w:type="dxa"/>
            <w:bottom w:w="0" w:type="dxa"/>
            <w:right w:w="108" w:type="dxa"/>
          </w:tblCellMar>
        </w:tblPrEx>
        <w:trPr>
          <w:jc w:val="center"/>
        </w:trPr>
        <w:tc>
          <w:tcPr>
            <w:tcW w:w="70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rFonts w:ascii="宋体" w:hAnsi="宋体"/>
                <w:color w:val="auto"/>
                <w:szCs w:val="21"/>
              </w:rPr>
            </w:pPr>
            <w:r>
              <w:rPr>
                <w:rFonts w:hint="eastAsia" w:ascii="宋体" w:hAnsi="宋体"/>
                <w:color w:val="auto"/>
                <w:szCs w:val="21"/>
              </w:rPr>
              <w:t>7</w:t>
            </w:r>
          </w:p>
        </w:tc>
        <w:tc>
          <w:tcPr>
            <w:tcW w:w="1134" w:type="dxa"/>
            <w:tcBorders>
              <w:top w:val="single" w:color="auto" w:sz="4" w:space="0"/>
              <w:left w:val="nil"/>
              <w:bottom w:val="single" w:color="auto" w:sz="4" w:space="0"/>
              <w:right w:val="single" w:color="auto" w:sz="4" w:space="0"/>
            </w:tcBorders>
            <w:vAlign w:val="center"/>
          </w:tcPr>
          <w:p>
            <w:pPr>
              <w:widowControl/>
              <w:spacing w:line="240" w:lineRule="atLeast"/>
              <w:rPr>
                <w:rFonts w:ascii="宋体" w:hAnsi="宋体"/>
                <w:color w:val="auto"/>
                <w:szCs w:val="21"/>
              </w:rPr>
            </w:pPr>
            <w:r>
              <w:rPr>
                <w:rFonts w:hint="eastAsia" w:ascii="宋体" w:hAnsi="宋体"/>
                <w:color w:val="auto"/>
                <w:szCs w:val="21"/>
              </w:rPr>
              <w:t>投标人信誉与实力6%</w:t>
            </w:r>
          </w:p>
        </w:tc>
        <w:tc>
          <w:tcPr>
            <w:tcW w:w="709" w:type="dxa"/>
            <w:tcBorders>
              <w:top w:val="single" w:color="auto" w:sz="4" w:space="0"/>
              <w:left w:val="nil"/>
              <w:bottom w:val="single" w:color="auto" w:sz="4" w:space="0"/>
              <w:right w:val="single" w:color="auto" w:sz="4" w:space="0"/>
            </w:tcBorders>
            <w:vAlign w:val="center"/>
          </w:tcPr>
          <w:p>
            <w:pPr>
              <w:widowControl/>
              <w:spacing w:line="240" w:lineRule="atLeast"/>
              <w:rPr>
                <w:rFonts w:ascii="宋体" w:hAnsi="宋体"/>
                <w:color w:val="auto"/>
                <w:szCs w:val="21"/>
              </w:rPr>
            </w:pPr>
            <w:r>
              <w:rPr>
                <w:rFonts w:hint="eastAsia" w:ascii="宋体" w:hAnsi="宋体"/>
                <w:color w:val="auto"/>
                <w:szCs w:val="21"/>
              </w:rPr>
              <w:t>6</w:t>
            </w:r>
          </w:p>
        </w:tc>
        <w:tc>
          <w:tcPr>
            <w:tcW w:w="6210" w:type="dxa"/>
            <w:tcBorders>
              <w:top w:val="single" w:color="auto" w:sz="4" w:space="0"/>
              <w:left w:val="nil"/>
              <w:bottom w:val="single" w:color="auto" w:sz="4" w:space="0"/>
              <w:right w:val="single" w:color="auto" w:sz="4" w:space="0"/>
            </w:tcBorders>
            <w:shd w:val="clear" w:color="auto" w:fill="auto"/>
            <w:vAlign w:val="center"/>
          </w:tcPr>
          <w:p>
            <w:pPr>
              <w:pStyle w:val="7"/>
              <w:numPr>
                <w:ilvl w:val="0"/>
                <w:numId w:val="46"/>
              </w:numPr>
              <w:spacing w:line="240" w:lineRule="atLeast"/>
              <w:rPr>
                <w:rFonts w:ascii="宋体" w:hAnsi="宋体"/>
                <w:color w:val="auto"/>
                <w:szCs w:val="21"/>
              </w:rPr>
            </w:pPr>
            <w:r>
              <w:rPr>
                <w:rFonts w:hint="eastAsia" w:ascii="宋体" w:hAnsi="宋体"/>
                <w:color w:val="auto"/>
                <w:szCs w:val="21"/>
              </w:rPr>
              <w:t>投标人提供具有认证资质的认证机构颁发的有效期内质量管理体系认证证书得 3 分，未提供不得分。</w:t>
            </w:r>
          </w:p>
          <w:p>
            <w:pPr>
              <w:pStyle w:val="7"/>
              <w:numPr>
                <w:ilvl w:val="0"/>
                <w:numId w:val="46"/>
              </w:numPr>
              <w:spacing w:line="240" w:lineRule="atLeast"/>
              <w:rPr>
                <w:rFonts w:ascii="宋体" w:hAnsi="宋体"/>
                <w:color w:val="auto"/>
                <w:szCs w:val="21"/>
              </w:rPr>
            </w:pPr>
            <w:r>
              <w:rPr>
                <w:rFonts w:hint="eastAsia" w:ascii="宋体" w:hAnsi="宋体"/>
                <w:color w:val="auto"/>
                <w:szCs w:val="21"/>
              </w:rPr>
              <w:t>投标人提供具有认证资质的认证机构颁发的有效期内职业健康安全管理体系认证证书得 3分，未提供不得分。</w:t>
            </w:r>
          </w:p>
          <w:p>
            <w:pPr>
              <w:pStyle w:val="7"/>
              <w:spacing w:line="240" w:lineRule="atLeast"/>
              <w:rPr>
                <w:rFonts w:ascii="宋体" w:hAnsi="宋体"/>
                <w:color w:val="auto"/>
                <w:szCs w:val="21"/>
              </w:rPr>
            </w:pPr>
            <w:r>
              <w:rPr>
                <w:rFonts w:hint="eastAsia" w:ascii="宋体" w:hAnsi="宋体"/>
                <w:color w:val="auto"/>
                <w:szCs w:val="21"/>
              </w:rPr>
              <w:t>说明：提供证书复印件或提供“全国认证认可信息公共服务平台”的查询截图证明，</w:t>
            </w:r>
            <w:r>
              <w:rPr>
                <w:rFonts w:hint="eastAsia" w:ascii="宋体" w:hAnsi="宋体"/>
                <w:color w:val="auto"/>
              </w:rPr>
              <w:t>未按要求提供证明材料的不得分</w:t>
            </w:r>
            <w:r>
              <w:rPr>
                <w:rFonts w:hint="eastAsia" w:ascii="宋体" w:hAnsi="宋体"/>
                <w:color w:val="auto"/>
                <w:szCs w:val="21"/>
              </w:rPr>
              <w:t>。</w:t>
            </w:r>
          </w:p>
        </w:tc>
        <w:tc>
          <w:tcPr>
            <w:tcW w:w="1085" w:type="dxa"/>
            <w:tcBorders>
              <w:top w:val="single" w:color="auto" w:sz="4" w:space="0"/>
              <w:left w:val="nil"/>
              <w:bottom w:val="single" w:color="auto" w:sz="4" w:space="0"/>
              <w:right w:val="single" w:color="auto" w:sz="4" w:space="0"/>
            </w:tcBorders>
            <w:vAlign w:val="center"/>
          </w:tcPr>
          <w:p>
            <w:pPr>
              <w:widowControl/>
              <w:spacing w:line="240" w:lineRule="atLeast"/>
              <w:rPr>
                <w:rFonts w:ascii="宋体" w:hAnsi="宋体"/>
                <w:color w:val="auto"/>
                <w:szCs w:val="21"/>
              </w:rPr>
            </w:pPr>
            <w:r>
              <w:rPr>
                <w:rFonts w:hint="eastAsia" w:ascii="宋体" w:hAnsi="宋体"/>
                <w:color w:val="auto"/>
              </w:rPr>
              <w:t>共同类评分因素</w:t>
            </w:r>
          </w:p>
        </w:tc>
      </w:tr>
      <w:tr>
        <w:tblPrEx>
          <w:tblCellMar>
            <w:top w:w="0" w:type="dxa"/>
            <w:left w:w="108" w:type="dxa"/>
            <w:bottom w:w="0" w:type="dxa"/>
            <w:right w:w="108" w:type="dxa"/>
          </w:tblCellMar>
        </w:tblPrEx>
        <w:trPr>
          <w:jc w:val="center"/>
        </w:trPr>
        <w:tc>
          <w:tcPr>
            <w:tcW w:w="701" w:type="dxa"/>
            <w:tcBorders>
              <w:top w:val="nil"/>
              <w:left w:val="single" w:color="auto" w:sz="4" w:space="0"/>
              <w:bottom w:val="single" w:color="auto" w:sz="4" w:space="0"/>
              <w:right w:val="single" w:color="auto" w:sz="4" w:space="0"/>
            </w:tcBorders>
            <w:vAlign w:val="center"/>
          </w:tcPr>
          <w:p>
            <w:pPr>
              <w:widowControl/>
              <w:spacing w:line="240" w:lineRule="atLeast"/>
              <w:rPr>
                <w:rFonts w:ascii="宋体" w:hAnsi="宋体"/>
                <w:color w:val="auto"/>
                <w:szCs w:val="21"/>
              </w:rPr>
            </w:pPr>
            <w:r>
              <w:rPr>
                <w:rFonts w:hint="eastAsia" w:ascii="宋体" w:hAnsi="宋体"/>
                <w:color w:val="auto"/>
                <w:szCs w:val="21"/>
              </w:rPr>
              <w:t>8</w:t>
            </w:r>
          </w:p>
        </w:tc>
        <w:tc>
          <w:tcPr>
            <w:tcW w:w="1134" w:type="dxa"/>
            <w:tcBorders>
              <w:top w:val="nil"/>
              <w:left w:val="nil"/>
              <w:bottom w:val="single" w:color="auto" w:sz="4" w:space="0"/>
              <w:right w:val="single" w:color="auto" w:sz="4" w:space="0"/>
            </w:tcBorders>
            <w:vAlign w:val="center"/>
          </w:tcPr>
          <w:p>
            <w:pPr>
              <w:spacing w:line="240" w:lineRule="atLeast"/>
              <w:rPr>
                <w:rFonts w:ascii="宋体" w:hAnsi="宋体"/>
                <w:color w:val="auto"/>
                <w:szCs w:val="21"/>
              </w:rPr>
            </w:pPr>
            <w:r>
              <w:rPr>
                <w:rFonts w:hint="eastAsia" w:ascii="宋体" w:hAnsi="宋体"/>
                <w:color w:val="auto"/>
                <w:szCs w:val="21"/>
              </w:rPr>
              <w:t>业绩9</w:t>
            </w:r>
            <w:r>
              <w:rPr>
                <w:rFonts w:ascii="宋体" w:hAnsi="宋体"/>
                <w:color w:val="auto"/>
                <w:szCs w:val="21"/>
              </w:rPr>
              <w:t>%</w:t>
            </w:r>
          </w:p>
        </w:tc>
        <w:tc>
          <w:tcPr>
            <w:tcW w:w="709" w:type="dxa"/>
            <w:tcBorders>
              <w:top w:val="nil"/>
              <w:left w:val="nil"/>
              <w:bottom w:val="single" w:color="auto" w:sz="4" w:space="0"/>
              <w:right w:val="single" w:color="auto" w:sz="4" w:space="0"/>
            </w:tcBorders>
            <w:vAlign w:val="center"/>
          </w:tcPr>
          <w:p>
            <w:pPr>
              <w:spacing w:line="240" w:lineRule="atLeast"/>
              <w:rPr>
                <w:rFonts w:ascii="宋体" w:hAnsi="宋体"/>
                <w:color w:val="auto"/>
                <w:szCs w:val="21"/>
              </w:rPr>
            </w:pPr>
            <w:r>
              <w:rPr>
                <w:rFonts w:hint="eastAsia" w:ascii="宋体" w:hAnsi="宋体"/>
                <w:color w:val="auto"/>
                <w:szCs w:val="21"/>
              </w:rPr>
              <w:t>9</w:t>
            </w:r>
          </w:p>
        </w:tc>
        <w:tc>
          <w:tcPr>
            <w:tcW w:w="6210" w:type="dxa"/>
            <w:tcBorders>
              <w:top w:val="nil"/>
              <w:left w:val="nil"/>
              <w:bottom w:val="single" w:color="auto" w:sz="4" w:space="0"/>
              <w:right w:val="single" w:color="auto" w:sz="4" w:space="0"/>
            </w:tcBorders>
            <w:shd w:val="clear" w:color="auto" w:fill="auto"/>
            <w:vAlign w:val="center"/>
          </w:tcPr>
          <w:p>
            <w:pPr>
              <w:spacing w:line="240" w:lineRule="atLeast"/>
              <w:jc w:val="left"/>
              <w:rPr>
                <w:rFonts w:ascii="宋体" w:hAnsi="宋体"/>
                <w:color w:val="auto"/>
              </w:rPr>
            </w:pPr>
            <w:r>
              <w:rPr>
                <w:rFonts w:ascii="宋体" w:hAnsi="宋体"/>
                <w:color w:val="auto"/>
              </w:rPr>
              <w:t>20</w:t>
            </w:r>
            <w:r>
              <w:rPr>
                <w:rFonts w:hint="eastAsia" w:ascii="宋体" w:hAnsi="宋体"/>
                <w:color w:val="auto"/>
              </w:rPr>
              <w:t>18年1月1日起（以签订合同时间为准）至投标截止之日止，每提供一个类似业绩得</w:t>
            </w:r>
            <w:r>
              <w:rPr>
                <w:rFonts w:hint="eastAsia" w:ascii="宋体" w:hAnsi="宋体"/>
                <w:color w:val="auto"/>
                <w:lang w:val="en-US" w:eastAsia="zh-CN"/>
              </w:rPr>
              <w:t>1.5</w:t>
            </w:r>
            <w:r>
              <w:rPr>
                <w:rFonts w:hint="eastAsia" w:ascii="宋体" w:hAnsi="宋体"/>
                <w:color w:val="auto"/>
              </w:rPr>
              <w:t>分，最多得9分。</w:t>
            </w:r>
          </w:p>
          <w:p>
            <w:pPr>
              <w:pStyle w:val="2"/>
              <w:spacing w:line="240" w:lineRule="atLeast"/>
              <w:rPr>
                <w:rFonts w:ascii="宋体" w:hAnsi="宋体"/>
                <w:color w:val="auto"/>
              </w:rPr>
            </w:pPr>
            <w:r>
              <w:rPr>
                <w:rFonts w:hint="eastAsia" w:ascii="宋体" w:hAnsi="宋体"/>
                <w:color w:val="auto"/>
              </w:rPr>
              <w:t>说明：1.提供项目合同（协议）复印件或中标(成交)通知书，并提供至少一次合同款项支付凭证复印件。以上证明材料公司名称须与投标人名称完全一致（工商更名的需提供相应证明材料）。</w:t>
            </w:r>
          </w:p>
          <w:p>
            <w:pPr>
              <w:pStyle w:val="2"/>
              <w:spacing w:line="240" w:lineRule="atLeast"/>
              <w:rPr>
                <w:rFonts w:ascii="宋体" w:hAnsi="宋体"/>
                <w:color w:val="auto"/>
              </w:rPr>
            </w:pPr>
            <w:r>
              <w:rPr>
                <w:rFonts w:hint="eastAsia" w:ascii="宋体" w:hAnsi="宋体"/>
                <w:color w:val="auto"/>
              </w:rPr>
              <w:t>2.同一个项目不同年度签订的合同为一个业绩。</w:t>
            </w:r>
          </w:p>
        </w:tc>
        <w:tc>
          <w:tcPr>
            <w:tcW w:w="1085" w:type="dxa"/>
            <w:tcBorders>
              <w:top w:val="nil"/>
              <w:left w:val="nil"/>
              <w:bottom w:val="single" w:color="auto" w:sz="4" w:space="0"/>
              <w:right w:val="single" w:color="auto" w:sz="4" w:space="0"/>
            </w:tcBorders>
            <w:vAlign w:val="center"/>
          </w:tcPr>
          <w:p>
            <w:pPr>
              <w:spacing w:line="240" w:lineRule="atLeast"/>
              <w:rPr>
                <w:rFonts w:ascii="宋体" w:hAnsi="宋体"/>
                <w:color w:val="auto"/>
                <w:szCs w:val="21"/>
              </w:rPr>
            </w:pPr>
            <w:r>
              <w:rPr>
                <w:rFonts w:hint="eastAsia" w:ascii="宋体" w:hAnsi="宋体"/>
                <w:color w:val="auto"/>
              </w:rPr>
              <w:t>共同类评分因素</w:t>
            </w:r>
          </w:p>
        </w:tc>
      </w:tr>
    </w:tbl>
    <w:p>
      <w:pPr>
        <w:rPr>
          <w:rFonts w:ascii="宋体" w:hAnsi="宋体" w:cs="宋体"/>
          <w:color w:val="auto"/>
          <w:sz w:val="28"/>
        </w:rPr>
      </w:pPr>
      <w:r>
        <w:rPr>
          <w:rFonts w:hint="eastAsia" w:ascii="宋体" w:hAnsi="宋体" w:cs="宋体"/>
          <w:color w:val="auto"/>
          <w:sz w:val="28"/>
        </w:rPr>
        <w:t>说明：</w:t>
      </w:r>
      <w:bookmarkStart w:id="227" w:name="_GoBack"/>
      <w:bookmarkEnd w:id="227"/>
    </w:p>
    <w:p>
      <w:pPr>
        <w:pStyle w:val="2"/>
        <w:ind w:firstLine="560" w:firstLineChars="200"/>
        <w:rPr>
          <w:rFonts w:ascii="宋体" w:hAnsi="宋体" w:cs="宋体"/>
          <w:sz w:val="28"/>
        </w:rPr>
      </w:pPr>
      <w:r>
        <w:rPr>
          <w:rFonts w:hint="eastAsia" w:ascii="宋体" w:hAnsi="宋体" w:cs="宋体"/>
          <w:color w:val="auto"/>
          <w:sz w:val="28"/>
        </w:rPr>
        <w:t>1.在总得分相同的情况下优先采购注册地为少数民族或不发达地区的投标人；</w:t>
      </w:r>
    </w:p>
    <w:p>
      <w:pPr>
        <w:spacing w:line="360" w:lineRule="auto"/>
        <w:ind w:firstLine="560" w:firstLineChars="200"/>
        <w:rPr>
          <w:rFonts w:ascii="宋体" w:hAnsi="宋体" w:cs="宋体"/>
          <w:sz w:val="28"/>
        </w:rPr>
      </w:pPr>
      <w:r>
        <w:rPr>
          <w:rFonts w:hint="eastAsia" w:ascii="宋体" w:hAnsi="宋体" w:cs="宋体"/>
          <w:sz w:val="28"/>
        </w:rPr>
        <w:t>2.评分的取值按四舍五入法，保留小数点后两位；</w:t>
      </w:r>
    </w:p>
    <w:p>
      <w:pPr>
        <w:spacing w:line="360" w:lineRule="auto"/>
        <w:ind w:firstLine="560" w:firstLineChars="200"/>
        <w:rPr>
          <w:rFonts w:ascii="宋体" w:hAnsi="宋体" w:cs="宋体"/>
          <w:sz w:val="28"/>
        </w:rPr>
      </w:pPr>
      <w:r>
        <w:rPr>
          <w:rFonts w:hint="eastAsia" w:ascii="宋体" w:hAnsi="宋体" w:cs="宋体"/>
          <w:sz w:val="28"/>
        </w:rPr>
        <w:t>3.评分标准中要求提供复印件的证明材料须清晰可辨。</w:t>
      </w:r>
    </w:p>
    <w:p>
      <w:pPr>
        <w:keepNext/>
        <w:keepLines/>
        <w:numPr>
          <w:ilvl w:val="1"/>
          <w:numId w:val="2"/>
        </w:numPr>
        <w:spacing w:before="260" w:after="260" w:line="360" w:lineRule="auto"/>
        <w:jc w:val="left"/>
        <w:outlineLvl w:val="1"/>
        <w:rPr>
          <w:rFonts w:ascii="宋体" w:hAnsi="宋体" w:cs="宋体"/>
          <w:b/>
          <w:bCs/>
          <w:sz w:val="28"/>
          <w:szCs w:val="28"/>
        </w:rPr>
      </w:pPr>
      <w:bookmarkStart w:id="179" w:name="_Toc2354"/>
      <w:r>
        <w:rPr>
          <w:rFonts w:hint="eastAsia" w:ascii="宋体" w:hAnsi="宋体" w:cs="宋体"/>
          <w:b/>
          <w:bCs/>
          <w:sz w:val="28"/>
          <w:szCs w:val="28"/>
        </w:rPr>
        <w:t>废标</w:t>
      </w:r>
      <w:bookmarkEnd w:id="179"/>
    </w:p>
    <w:p>
      <w:pPr>
        <w:spacing w:line="360" w:lineRule="auto"/>
        <w:ind w:firstLine="560" w:firstLineChars="200"/>
        <w:rPr>
          <w:rFonts w:ascii="宋体" w:hAnsi="宋体" w:cs="宋体"/>
          <w:sz w:val="28"/>
          <w:szCs w:val="28"/>
        </w:rPr>
      </w:pPr>
      <w:r>
        <w:rPr>
          <w:rFonts w:hint="eastAsia" w:ascii="宋体" w:hAnsi="宋体" w:cs="宋体"/>
          <w:sz w:val="28"/>
          <w:szCs w:val="28"/>
        </w:rPr>
        <w:t>本次政府采购活动中，出现下列情形之一的，予以废标：</w:t>
      </w:r>
    </w:p>
    <w:p>
      <w:pPr>
        <w:numPr>
          <w:ilvl w:val="0"/>
          <w:numId w:val="47"/>
        </w:numPr>
        <w:tabs>
          <w:tab w:val="left" w:pos="1155"/>
        </w:tabs>
        <w:spacing w:line="360" w:lineRule="auto"/>
        <w:ind w:left="0" w:firstLine="525"/>
        <w:rPr>
          <w:rFonts w:ascii="宋体" w:hAnsi="宋体" w:cs="宋体"/>
          <w:sz w:val="28"/>
          <w:szCs w:val="28"/>
        </w:rPr>
      </w:pPr>
      <w:r>
        <w:rPr>
          <w:rFonts w:hint="eastAsia" w:ascii="宋体" w:hAnsi="宋体" w:cs="宋体"/>
          <w:sz w:val="28"/>
          <w:szCs w:val="28"/>
        </w:rPr>
        <w:t>符合专业条件的投标人或者对招标文件作实质响应的投标人不足三家的；</w:t>
      </w:r>
    </w:p>
    <w:p>
      <w:pPr>
        <w:numPr>
          <w:ilvl w:val="0"/>
          <w:numId w:val="47"/>
        </w:numPr>
        <w:tabs>
          <w:tab w:val="left" w:pos="1155"/>
        </w:tabs>
        <w:spacing w:line="360" w:lineRule="auto"/>
        <w:ind w:left="0" w:firstLine="525"/>
        <w:rPr>
          <w:rFonts w:ascii="宋体" w:hAnsi="宋体" w:cs="宋体"/>
          <w:sz w:val="28"/>
          <w:szCs w:val="28"/>
        </w:rPr>
      </w:pPr>
      <w:r>
        <w:rPr>
          <w:rFonts w:hint="eastAsia" w:ascii="宋体" w:hAnsi="宋体" w:cs="宋体"/>
          <w:sz w:val="28"/>
          <w:szCs w:val="28"/>
        </w:rPr>
        <w:t>出现影响采购公正的违法、违规行为的；</w:t>
      </w:r>
    </w:p>
    <w:p>
      <w:pPr>
        <w:numPr>
          <w:ilvl w:val="0"/>
          <w:numId w:val="47"/>
        </w:numPr>
        <w:tabs>
          <w:tab w:val="left" w:pos="1155"/>
        </w:tabs>
        <w:spacing w:line="360" w:lineRule="auto"/>
        <w:ind w:left="0" w:firstLine="525"/>
        <w:rPr>
          <w:rFonts w:ascii="宋体" w:hAnsi="宋体" w:cs="宋体"/>
          <w:sz w:val="28"/>
          <w:szCs w:val="28"/>
        </w:rPr>
      </w:pPr>
      <w:r>
        <w:rPr>
          <w:rFonts w:hint="eastAsia" w:ascii="宋体" w:hAnsi="宋体" w:cs="宋体"/>
          <w:sz w:val="28"/>
          <w:szCs w:val="28"/>
        </w:rPr>
        <w:t>投标人的报价均超过了采购预算，采购人不能支付的；</w:t>
      </w:r>
    </w:p>
    <w:p>
      <w:pPr>
        <w:numPr>
          <w:ilvl w:val="0"/>
          <w:numId w:val="47"/>
        </w:numPr>
        <w:tabs>
          <w:tab w:val="left" w:pos="1155"/>
        </w:tabs>
        <w:spacing w:line="360" w:lineRule="auto"/>
        <w:ind w:left="0" w:firstLine="525"/>
        <w:rPr>
          <w:rFonts w:ascii="宋体" w:hAnsi="宋体" w:cs="宋体"/>
          <w:sz w:val="28"/>
          <w:szCs w:val="28"/>
        </w:rPr>
      </w:pPr>
      <w:r>
        <w:rPr>
          <w:rFonts w:hint="eastAsia" w:ascii="宋体" w:hAnsi="宋体" w:cs="宋体"/>
          <w:sz w:val="28"/>
          <w:szCs w:val="28"/>
        </w:rPr>
        <w:t>因重大变故，采购任务取消的；</w:t>
      </w:r>
    </w:p>
    <w:p>
      <w:pPr>
        <w:numPr>
          <w:ilvl w:val="0"/>
          <w:numId w:val="47"/>
        </w:numPr>
        <w:tabs>
          <w:tab w:val="left" w:pos="1155"/>
        </w:tabs>
        <w:spacing w:line="360" w:lineRule="auto"/>
        <w:ind w:left="0" w:firstLine="525"/>
        <w:rPr>
          <w:rFonts w:ascii="宋体" w:hAnsi="宋体" w:cs="宋体"/>
          <w:sz w:val="28"/>
          <w:szCs w:val="28"/>
        </w:rPr>
      </w:pPr>
      <w:r>
        <w:rPr>
          <w:rFonts w:hint="eastAsia" w:ascii="宋体" w:hAnsi="宋体" w:cs="宋体"/>
          <w:sz w:val="28"/>
          <w:szCs w:val="28"/>
        </w:rPr>
        <w:t>废标后，区公资交易中心将在“四川政府采购网”和“成都市公共资源交易服务中心”网站上公告。</w:t>
      </w:r>
    </w:p>
    <w:p>
      <w:pPr>
        <w:keepNext/>
        <w:keepLines/>
        <w:numPr>
          <w:ilvl w:val="1"/>
          <w:numId w:val="2"/>
        </w:numPr>
        <w:spacing w:before="260" w:after="260" w:line="360" w:lineRule="auto"/>
        <w:jc w:val="left"/>
        <w:outlineLvl w:val="1"/>
        <w:rPr>
          <w:rFonts w:ascii="宋体" w:hAnsi="宋体" w:cs="宋体"/>
          <w:b/>
          <w:bCs/>
          <w:sz w:val="28"/>
          <w:szCs w:val="28"/>
        </w:rPr>
      </w:pPr>
      <w:bookmarkStart w:id="180" w:name="_Toc25461"/>
      <w:r>
        <w:rPr>
          <w:rFonts w:hint="eastAsia" w:ascii="宋体" w:hAnsi="宋体" w:cs="宋体"/>
          <w:b/>
          <w:bCs/>
          <w:sz w:val="28"/>
          <w:szCs w:val="28"/>
        </w:rPr>
        <w:t>定标</w:t>
      </w:r>
      <w:bookmarkEnd w:id="180"/>
    </w:p>
    <w:p>
      <w:pPr>
        <w:keepNext/>
        <w:keepLines/>
        <w:numPr>
          <w:ilvl w:val="2"/>
          <w:numId w:val="2"/>
        </w:numPr>
        <w:spacing w:line="360" w:lineRule="auto"/>
        <w:ind w:left="0" w:firstLine="0"/>
        <w:outlineLvl w:val="2"/>
        <w:rPr>
          <w:rFonts w:ascii="宋体" w:hAnsi="宋体" w:cs="宋体"/>
          <w:b/>
          <w:bCs/>
          <w:sz w:val="28"/>
          <w:szCs w:val="28"/>
        </w:rPr>
      </w:pPr>
      <w:r>
        <w:rPr>
          <w:rFonts w:hint="eastAsia" w:ascii="宋体" w:hAnsi="宋体" w:cs="宋体"/>
          <w:b/>
          <w:bCs/>
          <w:sz w:val="28"/>
          <w:szCs w:val="28"/>
        </w:rPr>
        <w:t>定标原则</w:t>
      </w:r>
    </w:p>
    <w:p>
      <w:pPr>
        <w:spacing w:line="560" w:lineRule="exact"/>
        <w:ind w:firstLine="560" w:firstLineChars="200"/>
        <w:rPr>
          <w:rFonts w:ascii="宋体" w:hAnsi="宋体" w:cs="宋体"/>
          <w:sz w:val="28"/>
          <w:szCs w:val="28"/>
        </w:rPr>
      </w:pPr>
      <w:r>
        <w:rPr>
          <w:rFonts w:hint="eastAsia" w:ascii="宋体" w:hAnsi="宋体" w:cs="宋体"/>
          <w:sz w:val="28"/>
          <w:szCs w:val="28"/>
        </w:rPr>
        <w:t>根据评标委员会确定的中标候选人名单，采购人按顺序确定1名中标人。中标候选投标人并列的，由采购人采取随机抽取的方式确定中标人。</w:t>
      </w:r>
    </w:p>
    <w:p>
      <w:pPr>
        <w:spacing w:line="560" w:lineRule="exact"/>
        <w:ind w:firstLine="560" w:firstLineChars="200"/>
        <w:rPr>
          <w:rFonts w:ascii="宋体" w:hAnsi="宋体" w:cs="宋体"/>
          <w:sz w:val="28"/>
          <w:szCs w:val="28"/>
        </w:rPr>
      </w:pPr>
      <w:r>
        <w:rPr>
          <w:rFonts w:hint="eastAsia" w:ascii="宋体" w:hAnsi="宋体" w:cs="宋体"/>
          <w:kern w:val="0"/>
          <w:sz w:val="28"/>
          <w:szCs w:val="28"/>
        </w:rPr>
        <w:t>采购人在收到评标报告5个工作日内未按评标报告推荐的中标候选人顺序确定中标人，又不能说明合法理由的，视同按评标报告推荐的顺序确定排名第一的中标候选人为中标人。</w:t>
      </w:r>
    </w:p>
    <w:p>
      <w:pPr>
        <w:keepNext/>
        <w:keepLines/>
        <w:numPr>
          <w:ilvl w:val="2"/>
          <w:numId w:val="2"/>
        </w:numPr>
        <w:spacing w:line="360" w:lineRule="auto"/>
        <w:ind w:left="0" w:firstLine="0"/>
        <w:outlineLvl w:val="2"/>
        <w:rPr>
          <w:rFonts w:ascii="宋体" w:hAnsi="宋体" w:cs="宋体"/>
          <w:b/>
          <w:bCs/>
          <w:sz w:val="28"/>
          <w:szCs w:val="28"/>
        </w:rPr>
      </w:pPr>
      <w:r>
        <w:rPr>
          <w:rFonts w:hint="eastAsia" w:ascii="宋体" w:hAnsi="宋体" w:cs="宋体"/>
          <w:b/>
          <w:bCs/>
          <w:sz w:val="28"/>
          <w:szCs w:val="28"/>
        </w:rPr>
        <w:t>定标程序</w:t>
      </w:r>
    </w:p>
    <w:p>
      <w:pPr>
        <w:spacing w:line="360" w:lineRule="auto"/>
        <w:ind w:firstLine="560" w:firstLineChars="200"/>
        <w:rPr>
          <w:rFonts w:ascii="宋体" w:hAnsi="宋体" w:cs="宋体"/>
          <w:sz w:val="28"/>
          <w:szCs w:val="28"/>
        </w:rPr>
      </w:pPr>
      <w:r>
        <w:rPr>
          <w:rFonts w:hint="eastAsia" w:ascii="宋体" w:hAnsi="宋体" w:cs="宋体"/>
          <w:sz w:val="28"/>
          <w:szCs w:val="28"/>
        </w:rPr>
        <w:t>一、评审委员会将评审情况写出书面报告。</w:t>
      </w:r>
    </w:p>
    <w:p>
      <w:pPr>
        <w:spacing w:line="360" w:lineRule="auto"/>
        <w:ind w:firstLine="560" w:firstLineChars="200"/>
        <w:rPr>
          <w:rFonts w:ascii="宋体" w:hAnsi="宋体" w:cs="宋体"/>
          <w:sz w:val="28"/>
          <w:szCs w:val="28"/>
        </w:rPr>
      </w:pPr>
      <w:r>
        <w:rPr>
          <w:rFonts w:hint="eastAsia" w:ascii="宋体" w:hAnsi="宋体" w:cs="宋体"/>
          <w:sz w:val="28"/>
          <w:szCs w:val="28"/>
        </w:rPr>
        <w:t>二、区公资交易中心在评审结束之日起2个工作日内将评审报告送采购人。</w:t>
      </w:r>
    </w:p>
    <w:p>
      <w:pPr>
        <w:spacing w:line="360" w:lineRule="auto"/>
        <w:ind w:firstLine="560" w:firstLineChars="200"/>
        <w:rPr>
          <w:rFonts w:ascii="宋体" w:hAnsi="宋体" w:cs="宋体"/>
          <w:sz w:val="28"/>
          <w:szCs w:val="28"/>
        </w:rPr>
      </w:pPr>
      <w:r>
        <w:rPr>
          <w:rFonts w:hint="eastAsia" w:ascii="宋体" w:hAnsi="宋体" w:cs="宋体"/>
          <w:sz w:val="28"/>
          <w:szCs w:val="28"/>
        </w:rPr>
        <w:t>三、采购人在收到评审报告后五个工作日内，按照评审报告中推荐的中标（成交）候选人顺序确定中标（成交）人。如果中标（成交）候选人及其现任法定代表人、主要负责人存在行贿犯罪记录，采购人将不确定其为中标（成交）人。采购人在确认成交投标人前，应到中国裁判文书网（https://wenshu.court.gov.cn）查询成交候选投标人及其现任法定代表人、主要负责人是否存在行贿犯罪记录。</w:t>
      </w:r>
    </w:p>
    <w:p>
      <w:pPr>
        <w:spacing w:line="360" w:lineRule="auto"/>
        <w:ind w:firstLine="560" w:firstLineChars="200"/>
        <w:rPr>
          <w:rFonts w:ascii="宋体" w:hAnsi="宋体" w:cs="宋体"/>
          <w:sz w:val="28"/>
          <w:szCs w:val="28"/>
        </w:rPr>
      </w:pPr>
      <w:r>
        <w:rPr>
          <w:rFonts w:hint="eastAsia" w:ascii="宋体" w:hAnsi="宋体" w:cs="宋体"/>
          <w:sz w:val="28"/>
          <w:szCs w:val="28"/>
        </w:rPr>
        <w:t>四、根据采购人确定的中标（成交）人，区公资交易中心在“四川政府采购网”和“成都市公共资源交易服务中心”网站上发布中标（成交）公告，同时向中标（成交）人发出中标（成交）通知书。</w:t>
      </w:r>
    </w:p>
    <w:p>
      <w:pPr>
        <w:spacing w:line="360" w:lineRule="auto"/>
        <w:ind w:firstLine="560" w:firstLineChars="200"/>
        <w:rPr>
          <w:rFonts w:ascii="宋体" w:hAnsi="宋体" w:cs="宋体"/>
          <w:sz w:val="28"/>
          <w:szCs w:val="28"/>
        </w:rPr>
      </w:pPr>
      <w:r>
        <w:rPr>
          <w:rFonts w:hint="eastAsia" w:ascii="宋体" w:hAnsi="宋体" w:cs="宋体"/>
          <w:sz w:val="28"/>
          <w:szCs w:val="28"/>
        </w:rPr>
        <w:t>五、采购人、区公资交易中心不解释中标（成交）或未中标（成交）原因，不退回投标文件和其他投标资料。</w:t>
      </w:r>
    </w:p>
    <w:p>
      <w:pPr>
        <w:keepNext/>
        <w:keepLines/>
        <w:numPr>
          <w:ilvl w:val="1"/>
          <w:numId w:val="2"/>
        </w:numPr>
        <w:spacing w:line="360" w:lineRule="auto"/>
        <w:jc w:val="left"/>
        <w:outlineLvl w:val="1"/>
        <w:rPr>
          <w:rFonts w:ascii="宋体" w:hAnsi="宋体" w:cs="宋体"/>
          <w:b/>
          <w:bCs/>
          <w:sz w:val="28"/>
          <w:szCs w:val="28"/>
        </w:rPr>
      </w:pPr>
      <w:bookmarkStart w:id="181" w:name="_Toc4663"/>
      <w:r>
        <w:rPr>
          <w:rFonts w:hint="eastAsia" w:ascii="宋体" w:hAnsi="宋体" w:cs="宋体"/>
          <w:b/>
          <w:bCs/>
          <w:sz w:val="28"/>
          <w:szCs w:val="28"/>
        </w:rPr>
        <w:t>评标专家在政府采购活动中承担以下义务</w:t>
      </w:r>
      <w:bookmarkEnd w:id="181"/>
    </w:p>
    <w:p>
      <w:pPr>
        <w:numPr>
          <w:ilvl w:val="0"/>
          <w:numId w:val="48"/>
        </w:numPr>
        <w:tabs>
          <w:tab w:val="left" w:pos="1155"/>
        </w:tabs>
        <w:spacing w:line="360" w:lineRule="auto"/>
        <w:ind w:left="0" w:firstLine="525"/>
        <w:rPr>
          <w:rFonts w:ascii="宋体" w:hAnsi="宋体" w:cs="宋体"/>
          <w:sz w:val="28"/>
          <w:szCs w:val="28"/>
        </w:rPr>
      </w:pPr>
      <w:r>
        <w:rPr>
          <w:rFonts w:hint="eastAsia" w:ascii="宋体" w:hAnsi="宋体" w:cs="宋体"/>
          <w:sz w:val="28"/>
          <w:szCs w:val="28"/>
        </w:rPr>
        <w:t>遵纪守法，客观、公正、廉洁地履行职责。</w:t>
      </w:r>
    </w:p>
    <w:p>
      <w:pPr>
        <w:numPr>
          <w:ilvl w:val="0"/>
          <w:numId w:val="48"/>
        </w:numPr>
        <w:tabs>
          <w:tab w:val="left" w:pos="1155"/>
        </w:tabs>
        <w:spacing w:line="360" w:lineRule="auto"/>
        <w:ind w:left="0" w:firstLine="525"/>
        <w:rPr>
          <w:rFonts w:ascii="宋体" w:hAnsi="宋体" w:cs="宋体"/>
          <w:sz w:val="28"/>
          <w:szCs w:val="28"/>
        </w:rPr>
      </w:pPr>
      <w:r>
        <w:rPr>
          <w:rFonts w:hint="eastAsia" w:ascii="宋体" w:hAnsi="宋体" w:cs="宋体"/>
          <w:sz w:val="28"/>
          <w:szCs w:val="28"/>
        </w:rPr>
        <w:t>按照政府采购法律法规和采购文件的规定要求对投标人的资格条件和投标人提供的产品价格、技术、服务等方面严格进行独立评审，提供科学合理、公平公正的评审意见，参与起草评审报告，并予签字确认。</w:t>
      </w:r>
    </w:p>
    <w:p>
      <w:pPr>
        <w:numPr>
          <w:ilvl w:val="0"/>
          <w:numId w:val="48"/>
        </w:numPr>
        <w:tabs>
          <w:tab w:val="left" w:pos="1155"/>
        </w:tabs>
        <w:spacing w:line="360" w:lineRule="auto"/>
        <w:ind w:left="0" w:firstLine="525"/>
        <w:rPr>
          <w:rFonts w:ascii="宋体" w:hAnsi="宋体" w:cs="宋体"/>
          <w:sz w:val="28"/>
          <w:szCs w:val="28"/>
        </w:rPr>
      </w:pPr>
      <w:r>
        <w:rPr>
          <w:rFonts w:hint="eastAsia" w:ascii="宋体" w:hAnsi="宋体" w:cs="宋体"/>
          <w:sz w:val="28"/>
          <w:szCs w:val="28"/>
        </w:rPr>
        <w:t>保守秘密。不得泄漏投标人的投标文件及知悉的商业秘密，不得向投标人透露评审情况。</w:t>
      </w:r>
    </w:p>
    <w:p>
      <w:pPr>
        <w:numPr>
          <w:ilvl w:val="0"/>
          <w:numId w:val="48"/>
        </w:numPr>
        <w:tabs>
          <w:tab w:val="left" w:pos="1155"/>
        </w:tabs>
        <w:spacing w:line="360" w:lineRule="auto"/>
        <w:ind w:left="0" w:firstLine="525"/>
        <w:rPr>
          <w:rFonts w:ascii="宋体" w:hAnsi="宋体" w:cs="宋体"/>
          <w:sz w:val="28"/>
          <w:szCs w:val="28"/>
        </w:rPr>
      </w:pPr>
      <w:r>
        <w:rPr>
          <w:rFonts w:hint="eastAsia" w:ascii="宋体" w:hAnsi="宋体" w:cs="宋体"/>
          <w:sz w:val="28"/>
          <w:szCs w:val="28"/>
        </w:rPr>
        <w:t>发现投标人在政府采购活动中有不正当竞争或恶意串通等违规行为，及时向政府采购评审工作的组织者或财政部门报告并加以制止。</w:t>
      </w:r>
    </w:p>
    <w:p>
      <w:pPr>
        <w:numPr>
          <w:ilvl w:val="0"/>
          <w:numId w:val="48"/>
        </w:numPr>
        <w:tabs>
          <w:tab w:val="left" w:pos="1155"/>
        </w:tabs>
        <w:spacing w:line="360" w:lineRule="auto"/>
        <w:ind w:left="0" w:firstLine="525"/>
        <w:rPr>
          <w:rFonts w:ascii="宋体" w:hAnsi="宋体" w:cs="宋体"/>
          <w:sz w:val="28"/>
          <w:szCs w:val="28"/>
        </w:rPr>
      </w:pPr>
      <w:r>
        <w:rPr>
          <w:rFonts w:hint="eastAsia" w:ascii="宋体" w:hAnsi="宋体" w:cs="宋体"/>
          <w:sz w:val="28"/>
          <w:szCs w:val="28"/>
        </w:rPr>
        <w:t>发现采购人、区公资交易中心及其工作人员在政府采购活动中有干预评审、发表倾向性和歧视性言论、受贿或者接受投标人的其他好处及其他违法违规行为，及时向财政部门报告。</w:t>
      </w:r>
    </w:p>
    <w:p>
      <w:pPr>
        <w:numPr>
          <w:ilvl w:val="0"/>
          <w:numId w:val="48"/>
        </w:numPr>
        <w:tabs>
          <w:tab w:val="left" w:pos="1155"/>
        </w:tabs>
        <w:spacing w:line="360" w:lineRule="auto"/>
        <w:ind w:left="0" w:firstLine="525"/>
        <w:rPr>
          <w:rFonts w:ascii="宋体" w:hAnsi="宋体" w:cs="宋体"/>
          <w:sz w:val="28"/>
          <w:szCs w:val="28"/>
        </w:rPr>
      </w:pPr>
      <w:r>
        <w:rPr>
          <w:rFonts w:hint="eastAsia" w:ascii="宋体" w:hAnsi="宋体" w:cs="宋体"/>
          <w:sz w:val="28"/>
          <w:szCs w:val="28"/>
        </w:rPr>
        <w:t>解答有关方面对政府采购评审工作中有关问题的询问，配合采购人或者区公资交易中心答复投标人的询问、质疑，配合财政部门的投诉处理工作等事宜。</w:t>
      </w:r>
    </w:p>
    <w:p>
      <w:pPr>
        <w:numPr>
          <w:ilvl w:val="0"/>
          <w:numId w:val="48"/>
        </w:numPr>
        <w:tabs>
          <w:tab w:val="left" w:pos="1155"/>
        </w:tabs>
        <w:spacing w:line="360" w:lineRule="auto"/>
        <w:ind w:left="0" w:firstLine="525"/>
        <w:rPr>
          <w:rFonts w:ascii="宋体" w:hAnsi="宋体" w:cs="宋体"/>
          <w:sz w:val="28"/>
          <w:szCs w:val="28"/>
        </w:rPr>
      </w:pPr>
      <w:r>
        <w:rPr>
          <w:rFonts w:hint="eastAsia" w:ascii="宋体" w:hAnsi="宋体" w:cs="宋体"/>
          <w:sz w:val="28"/>
          <w:szCs w:val="28"/>
        </w:rPr>
        <w:t>法律、法规和规章规定的其他义务。</w:t>
      </w:r>
    </w:p>
    <w:p>
      <w:pPr>
        <w:keepNext/>
        <w:keepLines/>
        <w:numPr>
          <w:ilvl w:val="1"/>
          <w:numId w:val="2"/>
        </w:numPr>
        <w:spacing w:line="360" w:lineRule="auto"/>
        <w:jc w:val="left"/>
        <w:outlineLvl w:val="1"/>
        <w:rPr>
          <w:rFonts w:ascii="宋体" w:hAnsi="宋体" w:cs="宋体"/>
          <w:b/>
          <w:bCs/>
          <w:sz w:val="28"/>
          <w:szCs w:val="28"/>
        </w:rPr>
      </w:pPr>
      <w:bookmarkStart w:id="182" w:name="_Toc3268"/>
      <w:r>
        <w:rPr>
          <w:rFonts w:hint="eastAsia" w:ascii="宋体" w:hAnsi="宋体" w:cs="宋体"/>
          <w:b/>
          <w:bCs/>
          <w:sz w:val="28"/>
          <w:szCs w:val="28"/>
        </w:rPr>
        <w:t>评标委员会及其成员不得有下列行为</w:t>
      </w:r>
      <w:bookmarkEnd w:id="182"/>
    </w:p>
    <w:p>
      <w:pPr>
        <w:numPr>
          <w:ilvl w:val="0"/>
          <w:numId w:val="49"/>
        </w:numPr>
        <w:tabs>
          <w:tab w:val="left" w:pos="1155"/>
        </w:tabs>
        <w:spacing w:line="360" w:lineRule="auto"/>
        <w:rPr>
          <w:rFonts w:ascii="宋体" w:hAnsi="宋体" w:cs="宋体"/>
          <w:sz w:val="28"/>
          <w:szCs w:val="28"/>
        </w:rPr>
      </w:pPr>
      <w:r>
        <w:rPr>
          <w:rFonts w:hint="eastAsia" w:ascii="宋体" w:hAnsi="宋体" w:cs="宋体"/>
          <w:sz w:val="28"/>
          <w:szCs w:val="28"/>
        </w:rPr>
        <w:t>确定参与评标至评标结束前私自接触投标人；</w:t>
      </w:r>
    </w:p>
    <w:p>
      <w:pPr>
        <w:numPr>
          <w:ilvl w:val="0"/>
          <w:numId w:val="49"/>
        </w:numPr>
        <w:tabs>
          <w:tab w:val="left" w:pos="1155"/>
        </w:tabs>
        <w:spacing w:line="360" w:lineRule="auto"/>
        <w:ind w:left="0" w:firstLine="567"/>
        <w:rPr>
          <w:rFonts w:ascii="宋体" w:hAnsi="宋体" w:cs="宋体"/>
          <w:sz w:val="28"/>
          <w:szCs w:val="28"/>
        </w:rPr>
      </w:pPr>
      <w:r>
        <w:rPr>
          <w:rFonts w:hint="eastAsia" w:ascii="宋体" w:hAnsi="宋体" w:cs="宋体"/>
          <w:sz w:val="28"/>
          <w:szCs w:val="28"/>
        </w:rPr>
        <w:t>接受投标人提出的与投标文件不一致的澄清或者说明，除招标文件明确可以澄清的除外；</w:t>
      </w:r>
    </w:p>
    <w:p>
      <w:pPr>
        <w:numPr>
          <w:ilvl w:val="0"/>
          <w:numId w:val="49"/>
        </w:numPr>
        <w:tabs>
          <w:tab w:val="left" w:pos="1155"/>
        </w:tabs>
        <w:spacing w:line="360" w:lineRule="auto"/>
        <w:ind w:left="0" w:firstLine="567"/>
        <w:rPr>
          <w:rFonts w:ascii="宋体" w:hAnsi="宋体" w:cs="宋体"/>
          <w:sz w:val="28"/>
          <w:szCs w:val="28"/>
        </w:rPr>
      </w:pPr>
      <w:r>
        <w:rPr>
          <w:rFonts w:hint="eastAsia" w:ascii="宋体" w:hAnsi="宋体" w:cs="宋体"/>
          <w:sz w:val="28"/>
          <w:szCs w:val="28"/>
        </w:rPr>
        <w:t>违反评标纪律发表倾向性意见或者征询采购人的倾向性意见；</w:t>
      </w:r>
    </w:p>
    <w:p>
      <w:pPr>
        <w:numPr>
          <w:ilvl w:val="0"/>
          <w:numId w:val="49"/>
        </w:numPr>
        <w:tabs>
          <w:tab w:val="left" w:pos="1155"/>
        </w:tabs>
        <w:spacing w:line="360" w:lineRule="auto"/>
        <w:rPr>
          <w:rFonts w:ascii="宋体" w:hAnsi="宋体" w:cs="宋体"/>
          <w:sz w:val="28"/>
          <w:szCs w:val="28"/>
        </w:rPr>
      </w:pPr>
      <w:r>
        <w:rPr>
          <w:rFonts w:hint="eastAsia" w:ascii="宋体" w:hAnsi="宋体" w:cs="宋体"/>
          <w:sz w:val="28"/>
          <w:szCs w:val="28"/>
        </w:rPr>
        <w:t>对需要专业判断的主观评审因素协商评分；</w:t>
      </w:r>
    </w:p>
    <w:p>
      <w:pPr>
        <w:numPr>
          <w:ilvl w:val="0"/>
          <w:numId w:val="49"/>
        </w:numPr>
        <w:tabs>
          <w:tab w:val="left" w:pos="1155"/>
        </w:tabs>
        <w:spacing w:line="360" w:lineRule="auto"/>
        <w:rPr>
          <w:rFonts w:ascii="宋体" w:hAnsi="宋体" w:cs="宋体"/>
          <w:sz w:val="28"/>
          <w:szCs w:val="28"/>
        </w:rPr>
      </w:pPr>
      <w:r>
        <w:rPr>
          <w:rFonts w:hint="eastAsia" w:ascii="宋体" w:hAnsi="宋体" w:cs="宋体"/>
          <w:sz w:val="28"/>
          <w:szCs w:val="28"/>
        </w:rPr>
        <w:t>在评标过程中擅离职守，影响评标程序正常进行的；</w:t>
      </w:r>
    </w:p>
    <w:p>
      <w:pPr>
        <w:numPr>
          <w:ilvl w:val="0"/>
          <w:numId w:val="49"/>
        </w:numPr>
        <w:tabs>
          <w:tab w:val="left" w:pos="1155"/>
        </w:tabs>
        <w:spacing w:line="360" w:lineRule="auto"/>
        <w:rPr>
          <w:rFonts w:ascii="宋体" w:hAnsi="宋体" w:cs="宋体"/>
          <w:sz w:val="28"/>
          <w:szCs w:val="28"/>
        </w:rPr>
      </w:pPr>
      <w:r>
        <w:rPr>
          <w:rFonts w:hint="eastAsia" w:ascii="宋体" w:hAnsi="宋体" w:cs="宋体"/>
          <w:sz w:val="28"/>
          <w:szCs w:val="28"/>
        </w:rPr>
        <w:t>记录、复制或者带走任何评标资料；</w:t>
      </w:r>
    </w:p>
    <w:p>
      <w:pPr>
        <w:numPr>
          <w:ilvl w:val="0"/>
          <w:numId w:val="49"/>
        </w:numPr>
        <w:tabs>
          <w:tab w:val="left" w:pos="1155"/>
        </w:tabs>
        <w:spacing w:line="360" w:lineRule="auto"/>
        <w:rPr>
          <w:rFonts w:ascii="宋体" w:hAnsi="宋体" w:cs="宋体"/>
          <w:sz w:val="28"/>
          <w:szCs w:val="28"/>
        </w:rPr>
      </w:pPr>
      <w:r>
        <w:rPr>
          <w:rFonts w:hint="eastAsia" w:ascii="宋体" w:hAnsi="宋体" w:cs="宋体"/>
          <w:sz w:val="28"/>
          <w:szCs w:val="28"/>
        </w:rPr>
        <w:t>其他不遵守评标纪律的行为。</w:t>
      </w:r>
    </w:p>
    <w:p>
      <w:pPr>
        <w:spacing w:line="360" w:lineRule="auto"/>
        <w:ind w:firstLine="560" w:firstLineChars="200"/>
        <w:rPr>
          <w:rFonts w:ascii="宋体" w:hAnsi="宋体" w:cs="宋体"/>
          <w:sz w:val="28"/>
          <w:szCs w:val="28"/>
        </w:rPr>
      </w:pPr>
      <w:r>
        <w:rPr>
          <w:rFonts w:hint="eastAsia" w:ascii="宋体" w:hAnsi="宋体" w:cs="宋体"/>
          <w:sz w:val="28"/>
          <w:szCs w:val="28"/>
        </w:rPr>
        <w:t>评标委员会成员有前款第一至五项行为之一的，其评审意见无效，并不得获取评审劳务报酬和报销异地评审差旅费。</w:t>
      </w:r>
    </w:p>
    <w:p>
      <w:pPr>
        <w:keepNext/>
        <w:keepLines/>
        <w:numPr>
          <w:ilvl w:val="1"/>
          <w:numId w:val="2"/>
        </w:numPr>
        <w:spacing w:before="240" w:line="360" w:lineRule="auto"/>
        <w:jc w:val="left"/>
        <w:outlineLvl w:val="1"/>
        <w:rPr>
          <w:rFonts w:ascii="宋体" w:hAnsi="宋体" w:cs="宋体"/>
          <w:b/>
          <w:bCs/>
          <w:sz w:val="28"/>
          <w:szCs w:val="28"/>
        </w:rPr>
      </w:pPr>
      <w:bookmarkStart w:id="183" w:name="_Toc2638"/>
      <w:r>
        <w:rPr>
          <w:rFonts w:hint="eastAsia" w:ascii="宋体" w:hAnsi="宋体" w:cs="宋体"/>
          <w:b/>
          <w:bCs/>
          <w:sz w:val="28"/>
          <w:szCs w:val="28"/>
        </w:rPr>
        <w:t>评审专家在政府采购活动中应当遵守以下工作纪律</w:t>
      </w:r>
      <w:bookmarkEnd w:id="183"/>
    </w:p>
    <w:p>
      <w:pPr>
        <w:numPr>
          <w:ilvl w:val="0"/>
          <w:numId w:val="50"/>
        </w:numPr>
        <w:tabs>
          <w:tab w:val="left" w:pos="1155"/>
        </w:tabs>
        <w:spacing w:line="360" w:lineRule="auto"/>
        <w:ind w:left="0" w:firstLine="527"/>
        <w:rPr>
          <w:rFonts w:ascii="宋体" w:hAnsi="宋体" w:cs="宋体"/>
          <w:sz w:val="28"/>
          <w:szCs w:val="28"/>
        </w:rPr>
      </w:pPr>
      <w:r>
        <w:rPr>
          <w:rFonts w:hint="eastAsia" w:ascii="宋体" w:hAnsi="宋体" w:cs="宋体"/>
          <w:sz w:val="28"/>
          <w:szCs w:val="28"/>
        </w:rPr>
        <w:t>遵行《政府采购法》第十二条和《政府采购法实施条例》第九条及政府采购相关法律法规关于回避的规定。</w:t>
      </w:r>
    </w:p>
    <w:p>
      <w:pPr>
        <w:numPr>
          <w:ilvl w:val="0"/>
          <w:numId w:val="50"/>
        </w:numPr>
        <w:tabs>
          <w:tab w:val="left" w:pos="1155"/>
        </w:tabs>
        <w:spacing w:line="580" w:lineRule="exact"/>
        <w:ind w:left="0" w:firstLine="527"/>
        <w:rPr>
          <w:rFonts w:ascii="宋体" w:hAnsi="宋体" w:cs="宋体"/>
          <w:sz w:val="28"/>
          <w:szCs w:val="28"/>
        </w:rPr>
      </w:pPr>
      <w:r>
        <w:rPr>
          <w:rFonts w:hint="eastAsia" w:ascii="宋体" w:hAnsi="宋体" w:cs="宋体"/>
          <w:sz w:val="28"/>
          <w:szCs w:val="28"/>
        </w:rPr>
        <w:t>应邀按时参加评审和咨询活动，遵守评标区管理规定。</w:t>
      </w:r>
    </w:p>
    <w:p>
      <w:pPr>
        <w:numPr>
          <w:ilvl w:val="0"/>
          <w:numId w:val="50"/>
        </w:numPr>
        <w:tabs>
          <w:tab w:val="left" w:pos="1155"/>
        </w:tabs>
        <w:spacing w:line="580" w:lineRule="exact"/>
        <w:ind w:left="0" w:firstLine="527"/>
        <w:rPr>
          <w:rFonts w:ascii="宋体" w:hAnsi="宋体" w:cs="宋体"/>
          <w:sz w:val="28"/>
          <w:szCs w:val="28"/>
        </w:rPr>
      </w:pPr>
      <w:r>
        <w:rPr>
          <w:rFonts w:hint="eastAsia" w:ascii="宋体" w:hAnsi="宋体" w:cs="宋体"/>
          <w:sz w:val="28"/>
          <w:szCs w:val="28"/>
        </w:rPr>
        <w:t>进入评标区之前应将所有的通信设备存入公资交易中心指定的存放处。评标专家不得以任何方式将通信设备带入评标区，否则将被取消其当次项目的评标资格。遇特殊情况不能出席或途中遇阻不能按时参加评审或咨询的，应及时告知财政部门或者采购人或者区公资交易中心，不得私自转托他人。</w:t>
      </w:r>
    </w:p>
    <w:p>
      <w:pPr>
        <w:numPr>
          <w:ilvl w:val="0"/>
          <w:numId w:val="50"/>
        </w:numPr>
        <w:tabs>
          <w:tab w:val="left" w:pos="1155"/>
        </w:tabs>
        <w:spacing w:line="580" w:lineRule="exact"/>
        <w:ind w:left="0" w:firstLine="527"/>
        <w:rPr>
          <w:rFonts w:ascii="宋体" w:hAnsi="宋体" w:cs="宋体"/>
          <w:sz w:val="28"/>
          <w:szCs w:val="28"/>
        </w:rPr>
      </w:pPr>
      <w:r>
        <w:rPr>
          <w:rFonts w:hint="eastAsia" w:ascii="宋体" w:hAnsi="宋体" w:cs="宋体"/>
          <w:sz w:val="28"/>
          <w:szCs w:val="28"/>
        </w:rPr>
        <w:t>不得参加与自己有利害关系的政府采购项目的评审活动。对与自己有利害关系的评审项目，如受到邀请，应主动提出回避。财政部门、采购人或区公资交易中心也可要求该评审专家回避。</w:t>
      </w:r>
    </w:p>
    <w:p>
      <w:pPr>
        <w:numPr>
          <w:ilvl w:val="0"/>
          <w:numId w:val="50"/>
        </w:numPr>
        <w:tabs>
          <w:tab w:val="left" w:pos="1155"/>
        </w:tabs>
        <w:spacing w:line="580" w:lineRule="exact"/>
        <w:ind w:left="0" w:firstLine="527"/>
        <w:rPr>
          <w:rFonts w:ascii="宋体" w:hAnsi="宋体" w:cs="宋体"/>
          <w:sz w:val="28"/>
          <w:szCs w:val="28"/>
        </w:rPr>
      </w:pPr>
      <w:r>
        <w:rPr>
          <w:rFonts w:hint="eastAsia" w:ascii="宋体" w:hAnsi="宋体" w:cs="宋体"/>
          <w:sz w:val="28"/>
          <w:szCs w:val="28"/>
        </w:rPr>
        <w:t>评审过程中关闭通讯设备，不得与外界联系。因发生不可预见情况，确实需要与外界联系的，应告知评标区值守人员，使用评标区内由公资交易中心提供的通信设备，在监督人员监督之下办理。</w:t>
      </w:r>
    </w:p>
    <w:p>
      <w:pPr>
        <w:numPr>
          <w:ilvl w:val="0"/>
          <w:numId w:val="50"/>
        </w:numPr>
        <w:tabs>
          <w:tab w:val="left" w:pos="1155"/>
        </w:tabs>
        <w:spacing w:line="580" w:lineRule="exact"/>
        <w:ind w:left="0" w:firstLine="527"/>
        <w:rPr>
          <w:rFonts w:ascii="宋体" w:hAnsi="宋体" w:cs="宋体"/>
          <w:sz w:val="28"/>
          <w:szCs w:val="28"/>
        </w:rPr>
      </w:pPr>
      <w:r>
        <w:rPr>
          <w:rFonts w:hint="eastAsia" w:ascii="宋体" w:hAnsi="宋体" w:cs="宋体"/>
          <w:sz w:val="28"/>
          <w:szCs w:val="28"/>
        </w:rPr>
        <w:t>评审过程中，不得发表影响评审公正的倾向性、歧视性言论；不得征询或者接受采购人的倾向性意见；不得修改或细化招标文件确定的评标程序、评标方法、评标因素和评标标准；不得接受投标人主动提出的澄清和解释；不得协商评分；不得以任何明示或暗示的方式要求参加该采购项目的投标人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numPr>
          <w:ilvl w:val="0"/>
          <w:numId w:val="50"/>
        </w:numPr>
        <w:tabs>
          <w:tab w:val="left" w:pos="1155"/>
        </w:tabs>
        <w:spacing w:line="580" w:lineRule="exact"/>
        <w:ind w:left="0" w:firstLine="527"/>
        <w:rPr>
          <w:rFonts w:ascii="宋体" w:hAnsi="宋体" w:cs="宋体"/>
          <w:sz w:val="28"/>
          <w:szCs w:val="28"/>
        </w:rPr>
      </w:pPr>
      <w:r>
        <w:rPr>
          <w:rFonts w:hint="eastAsia" w:ascii="宋体" w:hAnsi="宋体" w:cs="宋体"/>
          <w:sz w:val="28"/>
          <w:szCs w:val="28"/>
        </w:rPr>
        <w:t>在评标过程中和评标结束后，不得记录、复制或带走任何评标资料，除因规定的义务外，不得向外界透露评标内容。</w:t>
      </w:r>
    </w:p>
    <w:p>
      <w:pPr>
        <w:numPr>
          <w:ilvl w:val="0"/>
          <w:numId w:val="50"/>
        </w:numPr>
        <w:tabs>
          <w:tab w:val="left" w:pos="1155"/>
        </w:tabs>
        <w:spacing w:line="580" w:lineRule="exact"/>
        <w:ind w:left="0" w:firstLine="527"/>
        <w:rPr>
          <w:rFonts w:ascii="宋体" w:hAnsi="宋体" w:cs="宋体"/>
          <w:sz w:val="28"/>
          <w:szCs w:val="28"/>
        </w:rPr>
      </w:pPr>
      <w:r>
        <w:rPr>
          <w:rFonts w:hint="eastAsia" w:ascii="宋体" w:hAnsi="宋体" w:cs="宋体"/>
          <w:sz w:val="28"/>
          <w:szCs w:val="28"/>
        </w:rPr>
        <w:t>服从评标现场区公资交易中心的现场秩序管理，接受评标现场监督人员的合法监督。</w:t>
      </w:r>
    </w:p>
    <w:p>
      <w:pPr>
        <w:numPr>
          <w:ilvl w:val="0"/>
          <w:numId w:val="50"/>
        </w:numPr>
        <w:tabs>
          <w:tab w:val="left" w:pos="1155"/>
        </w:tabs>
        <w:spacing w:line="580" w:lineRule="exact"/>
        <w:ind w:left="0" w:firstLine="527"/>
        <w:rPr>
          <w:rFonts w:ascii="宋体" w:hAnsi="宋体" w:cs="宋体"/>
          <w:sz w:val="28"/>
          <w:szCs w:val="28"/>
        </w:rPr>
      </w:pPr>
      <w:r>
        <w:rPr>
          <w:rFonts w:hint="eastAsia" w:ascii="宋体" w:hAnsi="宋体" w:cs="宋体"/>
          <w:sz w:val="28"/>
          <w:szCs w:val="28"/>
        </w:rPr>
        <w:t>遵守有关廉洁自律规定，不得私下接触投标人，不得收受投标人及有关业务单位和个人的财物或好处，不得接受采购组织单位的请托。</w:t>
      </w:r>
    </w:p>
    <w:p>
      <w:pPr>
        <w:numPr>
          <w:ilvl w:val="0"/>
          <w:numId w:val="50"/>
        </w:numPr>
        <w:tabs>
          <w:tab w:val="left" w:pos="1155"/>
        </w:tabs>
        <w:spacing w:line="580" w:lineRule="exact"/>
        <w:ind w:left="0" w:firstLine="527"/>
        <w:rPr>
          <w:rFonts w:ascii="宋体" w:hAnsi="宋体" w:cs="宋体"/>
          <w:sz w:val="28"/>
          <w:szCs w:val="28"/>
        </w:rPr>
      </w:pPr>
      <w:r>
        <w:rPr>
          <w:rFonts w:hint="eastAsia" w:ascii="宋体" w:hAnsi="宋体" w:cs="宋体"/>
          <w:sz w:val="28"/>
          <w:szCs w:val="28"/>
        </w:rPr>
        <w:t>在咨询工作中，严格执行国家产业政策和产品标准，认真听取咨询方的合理要求，提出科学合理的、无倾向性和歧视性的咨询方案，并对所提出的意见和建议承担个人责任。</w:t>
      </w:r>
    </w:p>
    <w:p>
      <w:pPr>
        <w:numPr>
          <w:ilvl w:val="0"/>
          <w:numId w:val="50"/>
        </w:numPr>
        <w:tabs>
          <w:tab w:val="left" w:pos="1155"/>
          <w:tab w:val="left" w:pos="1276"/>
          <w:tab w:val="left" w:pos="1418"/>
        </w:tabs>
        <w:spacing w:line="580" w:lineRule="exact"/>
        <w:ind w:left="527" w:firstLine="40"/>
        <w:rPr>
          <w:rFonts w:ascii="宋体" w:hAnsi="宋体" w:cs="宋体"/>
          <w:sz w:val="28"/>
          <w:szCs w:val="28"/>
        </w:rPr>
      </w:pPr>
      <w:r>
        <w:rPr>
          <w:rFonts w:hint="eastAsia" w:ascii="宋体" w:hAnsi="宋体" w:cs="宋体"/>
          <w:sz w:val="28"/>
          <w:szCs w:val="28"/>
        </w:rPr>
        <w:t>有关部门（机构）制定的其他评审工作纪律。</w:t>
      </w:r>
    </w:p>
    <w:p>
      <w:pPr>
        <w:pStyle w:val="15"/>
        <w:ind w:firstLine="0" w:firstLineChars="0"/>
        <w:rPr>
          <w:rFonts w:ascii="宋体" w:hAnsi="宋体" w:cs="宋体"/>
          <w:sz w:val="28"/>
          <w:szCs w:val="28"/>
        </w:rPr>
      </w:pPr>
    </w:p>
    <w:p>
      <w:pPr>
        <w:pStyle w:val="15"/>
        <w:ind w:firstLine="0" w:firstLineChars="0"/>
        <w:rPr>
          <w:rFonts w:ascii="宋体" w:hAnsi="宋体" w:cs="宋体"/>
          <w:sz w:val="28"/>
          <w:szCs w:val="28"/>
        </w:rPr>
      </w:pPr>
    </w:p>
    <w:p>
      <w:pPr>
        <w:pStyle w:val="15"/>
        <w:ind w:firstLine="0" w:firstLineChars="0"/>
        <w:rPr>
          <w:rFonts w:ascii="宋体" w:hAnsi="宋体" w:cs="宋体"/>
          <w:sz w:val="28"/>
          <w:szCs w:val="28"/>
        </w:rPr>
      </w:pPr>
    </w:p>
    <w:p>
      <w:pPr>
        <w:pStyle w:val="15"/>
        <w:ind w:firstLine="0" w:firstLineChars="0"/>
        <w:rPr>
          <w:rFonts w:ascii="宋体" w:hAnsi="宋体" w:cs="宋体"/>
          <w:sz w:val="28"/>
          <w:szCs w:val="28"/>
        </w:rPr>
      </w:pPr>
    </w:p>
    <w:bookmarkEnd w:id="150"/>
    <w:bookmarkEnd w:id="151"/>
    <w:p>
      <w:pPr>
        <w:keepNext/>
        <w:keepLines/>
        <w:numPr>
          <w:ilvl w:val="0"/>
          <w:numId w:val="2"/>
        </w:numPr>
        <w:spacing w:before="340" w:after="330" w:line="400" w:lineRule="exact"/>
        <w:jc w:val="center"/>
        <w:outlineLvl w:val="0"/>
        <w:rPr>
          <w:rFonts w:ascii="宋体" w:hAnsi="宋体" w:cs="宋体"/>
          <w:b/>
          <w:bCs/>
          <w:spacing w:val="-20"/>
          <w:kern w:val="44"/>
          <w:szCs w:val="32"/>
        </w:rPr>
      </w:pPr>
      <w:bookmarkStart w:id="184" w:name="_Toc1290"/>
      <w:r>
        <w:rPr>
          <w:rFonts w:hint="eastAsia" w:ascii="宋体" w:hAnsi="宋体" w:cs="宋体"/>
          <w:b/>
          <w:bCs/>
          <w:spacing w:val="-20"/>
          <w:kern w:val="44"/>
          <w:sz w:val="32"/>
          <w:szCs w:val="32"/>
        </w:rPr>
        <w:t>拟签订合同</w:t>
      </w:r>
      <w:bookmarkEnd w:id="1"/>
      <w:bookmarkEnd w:id="2"/>
      <w:bookmarkEnd w:id="3"/>
      <w:bookmarkEnd w:id="4"/>
      <w:bookmarkStart w:id="185" w:name="_Toc277152523"/>
      <w:bookmarkEnd w:id="185"/>
      <w:bookmarkStart w:id="186" w:name="_Toc316475760"/>
      <w:bookmarkEnd w:id="186"/>
      <w:bookmarkStart w:id="187" w:name="_Toc316475675"/>
      <w:bookmarkEnd w:id="187"/>
      <w:bookmarkStart w:id="188" w:name="_Toc316475673"/>
      <w:bookmarkEnd w:id="188"/>
      <w:bookmarkStart w:id="189" w:name="_Toc316475665"/>
      <w:bookmarkEnd w:id="189"/>
      <w:bookmarkStart w:id="190" w:name="_Toc316475763"/>
      <w:bookmarkEnd w:id="190"/>
      <w:bookmarkStart w:id="191" w:name="_Toc316475752"/>
      <w:bookmarkEnd w:id="191"/>
      <w:bookmarkStart w:id="192" w:name="_Toc316475666"/>
      <w:bookmarkEnd w:id="192"/>
      <w:bookmarkStart w:id="193" w:name="_Toc316475751"/>
      <w:bookmarkEnd w:id="193"/>
      <w:bookmarkStart w:id="194" w:name="_Toc277152521"/>
      <w:bookmarkEnd w:id="194"/>
      <w:bookmarkStart w:id="195" w:name="_Toc316475668"/>
      <w:bookmarkEnd w:id="195"/>
      <w:bookmarkStart w:id="196" w:name="_Toc316475759"/>
      <w:bookmarkEnd w:id="196"/>
      <w:bookmarkStart w:id="197" w:name="_Toc316475757"/>
      <w:bookmarkEnd w:id="197"/>
      <w:bookmarkStart w:id="198" w:name="_Toc214858832"/>
      <w:bookmarkEnd w:id="198"/>
      <w:bookmarkStart w:id="199" w:name="_Toc316475758"/>
      <w:bookmarkEnd w:id="199"/>
      <w:bookmarkStart w:id="200" w:name="_Toc316475755"/>
      <w:bookmarkEnd w:id="200"/>
      <w:bookmarkStart w:id="201" w:name="_Toc316475669"/>
      <w:bookmarkEnd w:id="201"/>
      <w:bookmarkStart w:id="202" w:name="_Toc277152522"/>
      <w:bookmarkEnd w:id="202"/>
      <w:bookmarkStart w:id="203" w:name="_Toc316475667"/>
      <w:bookmarkEnd w:id="203"/>
      <w:bookmarkStart w:id="204" w:name="_Toc316475761"/>
      <w:bookmarkEnd w:id="204"/>
      <w:bookmarkStart w:id="205" w:name="_Toc316475671"/>
      <w:bookmarkEnd w:id="205"/>
      <w:bookmarkStart w:id="206" w:name="_Toc316475762"/>
      <w:bookmarkEnd w:id="206"/>
      <w:bookmarkStart w:id="207" w:name="_Toc299975364"/>
      <w:bookmarkEnd w:id="207"/>
      <w:bookmarkStart w:id="208" w:name="_Toc316475674"/>
      <w:bookmarkEnd w:id="208"/>
      <w:bookmarkStart w:id="209" w:name="_Toc277152520"/>
      <w:bookmarkEnd w:id="209"/>
      <w:bookmarkStart w:id="210" w:name="_Toc316475664"/>
      <w:bookmarkEnd w:id="210"/>
      <w:bookmarkStart w:id="211" w:name="_Toc316475670"/>
      <w:bookmarkEnd w:id="211"/>
      <w:bookmarkStart w:id="212" w:name="_Toc316475672"/>
      <w:bookmarkEnd w:id="212"/>
      <w:bookmarkStart w:id="213" w:name="_Toc316475677"/>
      <w:bookmarkEnd w:id="213"/>
      <w:bookmarkStart w:id="214" w:name="_Toc316475676"/>
      <w:bookmarkEnd w:id="214"/>
      <w:bookmarkStart w:id="215" w:name="_Toc316475753"/>
      <w:bookmarkEnd w:id="215"/>
      <w:bookmarkStart w:id="216" w:name="_Toc316475754"/>
      <w:bookmarkEnd w:id="216"/>
      <w:bookmarkStart w:id="217" w:name="_Toc316475756"/>
      <w:bookmarkEnd w:id="217"/>
      <w:bookmarkStart w:id="218" w:name="_Toc316475764"/>
      <w:bookmarkEnd w:id="218"/>
      <w:bookmarkStart w:id="219" w:name="_Toc299975392"/>
      <w:bookmarkEnd w:id="219"/>
      <w:bookmarkStart w:id="220" w:name="_Toc217446108"/>
      <w:bookmarkStart w:id="221" w:name="_Toc8573798"/>
      <w:bookmarkStart w:id="222" w:name="_Toc34729074"/>
      <w:r>
        <w:rPr>
          <w:rFonts w:hint="eastAsia" w:ascii="宋体" w:hAnsi="宋体" w:cs="宋体"/>
          <w:b/>
          <w:bCs/>
          <w:spacing w:val="-20"/>
          <w:kern w:val="44"/>
          <w:sz w:val="32"/>
          <w:szCs w:val="32"/>
        </w:rPr>
        <w:t>文本</w:t>
      </w:r>
      <w:bookmarkEnd w:id="184"/>
    </w:p>
    <w:bookmarkEnd w:id="220"/>
    <w:bookmarkEnd w:id="221"/>
    <w:bookmarkEnd w:id="222"/>
    <w:p>
      <w:pPr>
        <w:pStyle w:val="30"/>
        <w:spacing w:line="240" w:lineRule="atLeast"/>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合同编号：</w:t>
      </w:r>
      <w:r>
        <w:rPr>
          <w:rFonts w:hint="eastAsia"/>
          <w:color w:val="000000" w:themeColor="text1"/>
          <w:u w:val="single"/>
          <w14:textFill>
            <w14:solidFill>
              <w14:schemeClr w14:val="tx1"/>
            </w14:solidFill>
          </w14:textFill>
        </w:rPr>
        <w:t xml:space="preserve">    （2021）A0118号      </w:t>
      </w:r>
      <w:r>
        <w:rPr>
          <w:rFonts w:hint="eastAsia"/>
          <w:color w:val="000000" w:themeColor="text1"/>
          <w14:textFill>
            <w14:solidFill>
              <w14:schemeClr w14:val="tx1"/>
            </w14:solidFill>
          </w14:textFill>
        </w:rPr>
        <w:t>(与项目编号一致)</w:t>
      </w:r>
    </w:p>
    <w:p>
      <w:pPr>
        <w:pStyle w:val="30"/>
        <w:spacing w:line="240" w:lineRule="atLeast"/>
        <w:ind w:firstLine="480"/>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计划号/备案号：</w:t>
      </w:r>
      <w:r>
        <w:rPr>
          <w:rFonts w:hint="eastAsia"/>
          <w:color w:val="000000" w:themeColor="text1"/>
          <w:u w:val="single"/>
          <w14:textFill>
            <w14:solidFill>
              <w14:schemeClr w14:val="tx1"/>
            </w14:solidFill>
          </w14:textFill>
        </w:rPr>
        <w:t xml:space="preserve">                </w:t>
      </w:r>
    </w:p>
    <w:p>
      <w:pPr>
        <w:pStyle w:val="30"/>
        <w:spacing w:line="240" w:lineRule="atLeast"/>
        <w:ind w:firstLine="480"/>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签订地点：</w:t>
      </w:r>
      <w:r>
        <w:rPr>
          <w:rFonts w:hint="eastAsia"/>
          <w:color w:val="000000" w:themeColor="text1"/>
          <w:u w:val="single"/>
          <w14:textFill>
            <w14:solidFill>
              <w14:schemeClr w14:val="tx1"/>
            </w14:solidFill>
          </w14:textFill>
        </w:rPr>
        <w:t xml:space="preserve">                     </w:t>
      </w:r>
    </w:p>
    <w:p>
      <w:pPr>
        <w:pStyle w:val="30"/>
        <w:spacing w:line="240" w:lineRule="atLeast"/>
        <w:ind w:firstLine="480"/>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签订时间：</w:t>
      </w:r>
      <w:r>
        <w:rPr>
          <w:rFonts w:hint="eastAsia"/>
          <w:color w:val="000000" w:themeColor="text1"/>
          <w:u w:val="single"/>
          <w14:textFill>
            <w14:solidFill>
              <w14:schemeClr w14:val="tx1"/>
            </w14:solidFill>
          </w14:textFill>
        </w:rPr>
        <w:t xml:space="preserve">                     </w:t>
      </w:r>
    </w:p>
    <w:p>
      <w:pPr>
        <w:pStyle w:val="30"/>
        <w:spacing w:line="240" w:lineRule="atLeast"/>
        <w:ind w:firstLine="480"/>
        <w:rPr>
          <w:rFonts w:ascii="仿宋_GB2312" w:hAnsi="_x000B_" w:eastAsia="仿宋_GB2312" w:cs="仿宋_GB2312"/>
          <w:color w:val="000000" w:themeColor="text1"/>
          <w:szCs w:val="24"/>
          <w:u w:val="single"/>
          <w14:textFill>
            <w14:solidFill>
              <w14:schemeClr w14:val="tx1"/>
            </w14:solidFill>
          </w14:textFill>
        </w:rPr>
      </w:pPr>
      <w:r>
        <w:rPr>
          <w:rFonts w:hint="eastAsia"/>
          <w:color w:val="000000" w:themeColor="text1"/>
          <w14:textFill>
            <w14:solidFill>
              <w14:schemeClr w14:val="tx1"/>
            </w14:solidFill>
          </w14:textFill>
        </w:rPr>
        <w:t>采购人名称(甲方)：</w:t>
      </w:r>
      <w:r>
        <w:rPr>
          <w:rFonts w:hint="eastAsia" w:ascii="新宋体" w:hAnsi="新宋体" w:eastAsia="新宋体" w:cs="新宋体"/>
          <w:color w:val="000000" w:themeColor="text1"/>
          <w:szCs w:val="24"/>
          <w:u w:val="single"/>
          <w14:textFill>
            <w14:solidFill>
              <w14:schemeClr w14:val="tx1"/>
            </w14:solidFill>
          </w14:textFill>
        </w:rPr>
        <w:t>成都市双流区</w:t>
      </w:r>
      <w:bookmarkStart w:id="223" w:name="_Hlk86786419"/>
      <w:r>
        <w:rPr>
          <w:rFonts w:hint="eastAsia" w:ascii="新宋体" w:hAnsi="新宋体" w:eastAsia="新宋体" w:cs="新宋体"/>
          <w:color w:val="000000" w:themeColor="text1"/>
          <w:szCs w:val="24"/>
          <w:u w:val="single"/>
          <w14:textFill>
            <w14:solidFill>
              <w14:schemeClr w14:val="tx1"/>
            </w14:solidFill>
          </w14:textFill>
        </w:rPr>
        <w:t>人民政府怡心街道办事处</w:t>
      </w:r>
    </w:p>
    <w:bookmarkEnd w:id="223"/>
    <w:p>
      <w:pPr>
        <w:pStyle w:val="30"/>
        <w:spacing w:line="240" w:lineRule="atLeast"/>
        <w:ind w:firstLine="480"/>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中标人名称(乙方)：</w:t>
      </w:r>
      <w:r>
        <w:rPr>
          <w:rFonts w:hint="eastAsia"/>
          <w:color w:val="000000" w:themeColor="text1"/>
          <w:u w:val="single"/>
          <w14:textFill>
            <w14:solidFill>
              <w14:schemeClr w14:val="tx1"/>
            </w14:solidFill>
          </w14:textFill>
        </w:rPr>
        <w:t xml:space="preserve">                          </w:t>
      </w:r>
    </w:p>
    <w:p>
      <w:pPr>
        <w:pStyle w:val="30"/>
        <w:adjustRightInd w:val="0"/>
        <w:snapToGrid w:val="0"/>
        <w:spacing w:line="240" w:lineRule="atLeast"/>
        <w:ind w:firstLine="480"/>
        <w:rPr>
          <w:color w:val="000000" w:themeColor="text1"/>
          <w14:textFill>
            <w14:solidFill>
              <w14:schemeClr w14:val="tx1"/>
            </w14:solidFill>
          </w14:textFill>
        </w:rPr>
      </w:pPr>
    </w:p>
    <w:p>
      <w:pPr>
        <w:pStyle w:val="30"/>
        <w:adjustRightInd w:val="0"/>
        <w:snapToGrid w:val="0"/>
        <w:spacing w:line="240" w:lineRule="atLeast"/>
        <w:ind w:firstLine="480"/>
        <w:rPr>
          <w:color w:val="000000" w:themeColor="text1"/>
          <w14:textFill>
            <w14:solidFill>
              <w14:schemeClr w14:val="tx1"/>
            </w14:solidFill>
          </w14:textFill>
        </w:rPr>
      </w:pPr>
      <w:bookmarkStart w:id="224" w:name="_Hlk86788295"/>
      <w:r>
        <w:rPr>
          <w:rFonts w:hint="eastAsia"/>
          <w:color w:val="000000" w:themeColor="text1"/>
          <w14:textFill>
            <w14:solidFill>
              <w14:schemeClr w14:val="tx1"/>
            </w14:solidFill>
          </w14:textFill>
        </w:rPr>
        <w:t>根据《中华人民共和国民法典》、《中华人民共和国政府采购法》、《政府采购货物和服务招标投标管理办法》(财政部令第87号)及成都市双流区人民政府怡心街道办事处生活垃圾清运服务采购项目的《招标文件》、乙方的《投标文件》及《中标通知书》，甲、乙双方同意签订本合同。详细技术说明及其他有关合同项目的特定信息由合同附件予以说明，合同附件及本项目的采购文件、投标文件、《中标通知书》等均为本合同不可分割的部分。双方同意共同遵守如下条款：</w:t>
      </w:r>
    </w:p>
    <w:p>
      <w:pPr>
        <w:spacing w:after="0" w:line="240" w:lineRule="atLeast"/>
        <w:ind w:firstLine="487" w:firstLineChars="202"/>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一</w:t>
      </w:r>
      <w:r>
        <w:rPr>
          <w:b/>
          <w:color w:val="000000" w:themeColor="text1"/>
          <w:sz w:val="24"/>
          <w14:textFill>
            <w14:solidFill>
              <w14:schemeClr w14:val="tx1"/>
            </w14:solidFill>
          </w14:textFill>
        </w:rPr>
        <w:t>、</w:t>
      </w:r>
      <w:r>
        <w:rPr>
          <w:rFonts w:hint="eastAsia"/>
          <w:b/>
          <w:color w:val="000000" w:themeColor="text1"/>
          <w:sz w:val="24"/>
          <w14:textFill>
            <w14:solidFill>
              <w14:schemeClr w14:val="tx1"/>
            </w14:solidFill>
          </w14:textFill>
        </w:rPr>
        <w:t>项目基本情况</w:t>
      </w:r>
    </w:p>
    <w:p>
      <w:pPr>
        <w:spacing w:after="0" w:line="240" w:lineRule="atLeast"/>
        <w:ind w:firstLine="484" w:firstLineChars="202"/>
        <w:rPr>
          <w:rFonts w:ascii="宋体" w:hAnsi="宋体"/>
          <w:snapToGrid w:val="0"/>
          <w:color w:val="auto"/>
          <w:sz w:val="24"/>
        </w:rPr>
      </w:pPr>
      <w:r>
        <w:rPr>
          <w:rFonts w:hint="eastAsia" w:ascii="宋体" w:hAnsi="宋体"/>
          <w:snapToGrid w:val="0"/>
          <w:color w:val="000000" w:themeColor="text1"/>
          <w:sz w:val="24"/>
          <w14:textFill>
            <w14:solidFill>
              <w14:schemeClr w14:val="tx1"/>
            </w14:solidFill>
          </w14:textFill>
        </w:rPr>
        <w:t>甲方</w:t>
      </w:r>
      <w:r>
        <w:rPr>
          <w:rFonts w:hint="eastAsia" w:ascii="宋体" w:hAnsi="宋体"/>
          <w:snapToGrid w:val="0"/>
          <w:color w:val="auto"/>
          <w:sz w:val="24"/>
        </w:rPr>
        <w:t>通过公开招标方式确定乙方为成都市双流区人民政府怡心街道办事处提供生活垃圾清运相关服务。</w:t>
      </w:r>
    </w:p>
    <w:p>
      <w:pPr>
        <w:spacing w:after="0" w:line="240" w:lineRule="atLeast"/>
        <w:ind w:firstLine="487" w:firstLineChars="202"/>
        <w:rPr>
          <w:b/>
          <w:color w:val="auto"/>
          <w:sz w:val="24"/>
        </w:rPr>
      </w:pPr>
      <w:r>
        <w:rPr>
          <w:rFonts w:hint="eastAsia"/>
          <w:b/>
          <w:color w:val="auto"/>
          <w:sz w:val="24"/>
        </w:rPr>
        <w:t>二</w:t>
      </w:r>
      <w:r>
        <w:rPr>
          <w:b/>
          <w:color w:val="auto"/>
          <w:sz w:val="24"/>
        </w:rPr>
        <w:t>、</w:t>
      </w:r>
      <w:r>
        <w:rPr>
          <w:rFonts w:hint="eastAsia"/>
          <w:b/>
          <w:color w:val="auto"/>
          <w:sz w:val="24"/>
        </w:rPr>
        <w:t>合同期限</w:t>
      </w:r>
    </w:p>
    <w:p>
      <w:pPr>
        <w:pStyle w:val="30"/>
        <w:adjustRightInd w:val="0"/>
        <w:snapToGrid w:val="0"/>
        <w:spacing w:line="240" w:lineRule="atLeast"/>
        <w:ind w:firstLine="480"/>
        <w:rPr>
          <w:rFonts w:cs="宋体"/>
          <w:color w:val="auto"/>
          <w:szCs w:val="24"/>
        </w:rPr>
      </w:pPr>
      <w:r>
        <w:rPr>
          <w:rFonts w:hint="eastAsia"/>
          <w:color w:val="auto"/>
        </w:rPr>
        <w:t>（一）本采购服务项目期限为自</w:t>
      </w:r>
      <w:r>
        <w:rPr>
          <w:rFonts w:hint="eastAsia" w:cs="宋体"/>
          <w:color w:val="auto"/>
          <w:kern w:val="0"/>
          <w:szCs w:val="24"/>
        </w:rPr>
        <w:t>签订合同次日起至2024年5月13日止</w:t>
      </w:r>
      <w:r>
        <w:rPr>
          <w:rFonts w:hint="eastAsia"/>
          <w:color w:val="auto"/>
        </w:rPr>
        <w:t>，合同一年一签，本次合同期限为XXX年XX月XX日至XXX年XX月XX日。</w:t>
      </w:r>
    </w:p>
    <w:p>
      <w:pPr>
        <w:ind w:firstLine="480" w:firstLineChars="200"/>
        <w:rPr>
          <w:rFonts w:ascii="宋体" w:hAnsi="宋体" w:cs="宋体"/>
          <w:color w:val="auto"/>
          <w:kern w:val="0"/>
          <w:sz w:val="24"/>
          <w:szCs w:val="24"/>
        </w:rPr>
      </w:pPr>
      <w:r>
        <w:rPr>
          <w:rFonts w:hint="eastAsia" w:ascii="宋体" w:hAnsi="宋体"/>
          <w:snapToGrid w:val="0"/>
          <w:color w:val="auto"/>
          <w:sz w:val="24"/>
        </w:rPr>
        <w:t>（二）履行地点：</w:t>
      </w:r>
      <w:r>
        <w:rPr>
          <w:rFonts w:hint="eastAsia" w:hAnsi="宋体" w:cs="宋体"/>
          <w:color w:val="auto"/>
          <w:kern w:val="0"/>
          <w:sz w:val="24"/>
          <w:szCs w:val="24"/>
        </w:rPr>
        <w:t>双流区怡心</w:t>
      </w:r>
      <w:r>
        <w:rPr>
          <w:rFonts w:hint="eastAsia" w:hAnsi="宋体" w:cs="宋体" w:eastAsiaTheme="minorEastAsia"/>
          <w:color w:val="auto"/>
          <w:kern w:val="0"/>
          <w:sz w:val="24"/>
          <w:szCs w:val="24"/>
        </w:rPr>
        <w:t>街街道办事处协和片区每天产生生活垃圾40吨，运送至西航港垃圾压缩站里程为28公里（含街办内收运里程）</w:t>
      </w:r>
      <w:r>
        <w:rPr>
          <w:rFonts w:hint="eastAsia" w:ascii="宋体" w:hAnsi="宋体" w:cs="宋体"/>
          <w:color w:val="auto"/>
          <w:kern w:val="0"/>
          <w:sz w:val="24"/>
          <w:szCs w:val="24"/>
        </w:rPr>
        <w:t>。</w:t>
      </w:r>
    </w:p>
    <w:p>
      <w:pPr>
        <w:spacing w:after="0" w:line="240" w:lineRule="atLeast"/>
        <w:ind w:firstLine="487" w:firstLineChars="202"/>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三</w:t>
      </w:r>
      <w:r>
        <w:rPr>
          <w:b/>
          <w:color w:val="000000" w:themeColor="text1"/>
          <w:sz w:val="24"/>
          <w14:textFill>
            <w14:solidFill>
              <w14:schemeClr w14:val="tx1"/>
            </w14:solidFill>
          </w14:textFill>
        </w:rPr>
        <w:t>、</w:t>
      </w:r>
      <w:r>
        <w:rPr>
          <w:rFonts w:hint="eastAsia"/>
          <w:b/>
          <w:color w:val="000000" w:themeColor="text1"/>
          <w:sz w:val="24"/>
          <w14:textFill>
            <w14:solidFill>
              <w14:schemeClr w14:val="tx1"/>
            </w14:solidFill>
          </w14:textFill>
        </w:rPr>
        <w:t>服务要求及质量标准</w:t>
      </w:r>
    </w:p>
    <w:p>
      <w:pPr>
        <w:spacing w:after="0" w:line="240" w:lineRule="atLeast"/>
        <w:ind w:firstLine="487" w:firstLineChars="202"/>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（一）服务要求</w:t>
      </w:r>
    </w:p>
    <w:p>
      <w:pPr>
        <w:ind w:firstLine="480" w:firstLineChars="200"/>
        <w:rPr>
          <w:rFonts w:ascii="宋体" w:hAnsi="宋体"/>
          <w:snapToGrid w:val="0"/>
          <w:color w:val="000000" w:themeColor="text1"/>
          <w:sz w:val="24"/>
          <w14:textFill>
            <w14:solidFill>
              <w14:schemeClr w14:val="tx1"/>
            </w14:solidFill>
          </w14:textFill>
        </w:rPr>
      </w:pPr>
      <w:r>
        <w:rPr>
          <w:rFonts w:hint="eastAsia" w:ascii="宋体" w:hAnsi="宋体"/>
          <w:snapToGrid w:val="0"/>
          <w:color w:val="000000" w:themeColor="text1"/>
          <w:sz w:val="24"/>
          <w:lang w:val="zh-CN"/>
          <w14:textFill>
            <w14:solidFill>
              <w14:schemeClr w14:val="tx1"/>
            </w14:solidFill>
          </w14:textFill>
        </w:rPr>
        <w:t>服务内容及配置要求：参照《成都市城市管理委员会关于印发成都市环卫作业费用指导标准的通知》、《双流区城乡环境综合治理指挥部办公室关于转发清扫保洁和垃圾清运管理标准的通知》，根据怡心街道的具体情况和测绘统计的工作量，本项目服务内容及配置要求如下：</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7"/>
        <w:gridCol w:w="1617"/>
        <w:gridCol w:w="1998"/>
        <w:gridCol w:w="1346"/>
        <w:gridCol w:w="1410"/>
        <w:gridCol w:w="1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677" w:type="dxa"/>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序号</w:t>
            </w:r>
          </w:p>
        </w:tc>
        <w:tc>
          <w:tcPr>
            <w:tcW w:w="1617" w:type="dxa"/>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作业项目</w:t>
            </w:r>
          </w:p>
        </w:tc>
        <w:tc>
          <w:tcPr>
            <w:tcW w:w="1998" w:type="dxa"/>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作业内容</w:t>
            </w:r>
          </w:p>
        </w:tc>
        <w:tc>
          <w:tcPr>
            <w:tcW w:w="1346" w:type="dxa"/>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车辆配备</w:t>
            </w:r>
          </w:p>
        </w:tc>
        <w:tc>
          <w:tcPr>
            <w:tcW w:w="1410" w:type="dxa"/>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人员配备</w:t>
            </w:r>
          </w:p>
        </w:tc>
        <w:tc>
          <w:tcPr>
            <w:tcW w:w="1474" w:type="dxa"/>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班次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77" w:type="dxa"/>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1617" w:type="dxa"/>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垃圾运送</w:t>
            </w:r>
          </w:p>
        </w:tc>
        <w:tc>
          <w:tcPr>
            <w:tcW w:w="1998" w:type="dxa"/>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垃圾运送</w:t>
            </w:r>
          </w:p>
        </w:tc>
        <w:tc>
          <w:tcPr>
            <w:tcW w:w="1346" w:type="dxa"/>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2台核载≥8吨垃圾压缩车</w:t>
            </w:r>
          </w:p>
        </w:tc>
        <w:tc>
          <w:tcPr>
            <w:tcW w:w="1410" w:type="dxa"/>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配备驾驶人员2人,辅助人员5人</w:t>
            </w:r>
          </w:p>
        </w:tc>
        <w:tc>
          <w:tcPr>
            <w:tcW w:w="1474" w:type="dxa"/>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每日3班次，每次往返一趟</w:t>
            </w:r>
          </w:p>
        </w:tc>
      </w:tr>
    </w:tbl>
    <w:p>
      <w:pPr>
        <w:spacing w:after="0" w:line="240" w:lineRule="atLeast"/>
        <w:ind w:firstLine="487" w:firstLineChars="202"/>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（二）服务标准</w:t>
      </w:r>
    </w:p>
    <w:p>
      <w:pPr>
        <w:ind w:firstLine="480" w:firstLineChars="200"/>
        <w:rPr>
          <w:rFonts w:ascii="宋体" w:hAnsi="宋体"/>
          <w:snapToGrid w:val="0"/>
          <w:color w:val="000000" w:themeColor="text1"/>
          <w:sz w:val="24"/>
          <w14:textFill>
            <w14:solidFill>
              <w14:schemeClr w14:val="tx1"/>
            </w14:solidFill>
          </w14:textFill>
        </w:rPr>
      </w:pPr>
      <w:r>
        <w:rPr>
          <w:rFonts w:hint="eastAsia" w:ascii="宋体" w:hAnsi="宋体"/>
          <w:snapToGrid w:val="0"/>
          <w:color w:val="000000" w:themeColor="text1"/>
          <w:sz w:val="24"/>
          <w14:textFill>
            <w14:solidFill>
              <w14:schemeClr w14:val="tx1"/>
            </w14:solidFill>
          </w14:textFill>
        </w:rPr>
        <w:t>1.按要求配置齐全垃圾清运设备和人员，各类清运设备保养良好，工作正常；</w:t>
      </w:r>
    </w:p>
    <w:p>
      <w:pPr>
        <w:ind w:firstLine="480" w:firstLineChars="200"/>
        <w:rPr>
          <w:rFonts w:ascii="宋体" w:hAnsi="宋体"/>
          <w:snapToGrid w:val="0"/>
          <w:color w:val="000000" w:themeColor="text1"/>
          <w:sz w:val="24"/>
          <w14:textFill>
            <w14:solidFill>
              <w14:schemeClr w14:val="tx1"/>
            </w14:solidFill>
          </w14:textFill>
        </w:rPr>
      </w:pPr>
      <w:r>
        <w:rPr>
          <w:rFonts w:hint="eastAsia" w:ascii="宋体" w:hAnsi="宋体"/>
          <w:snapToGrid w:val="0"/>
          <w:color w:val="000000" w:themeColor="text1"/>
          <w:sz w:val="24"/>
          <w14:textFill>
            <w14:solidFill>
              <w14:schemeClr w14:val="tx1"/>
            </w14:solidFill>
          </w14:textFill>
        </w:rPr>
        <w:t>2.垃圾清运人员统一着装，佩戴安全标识；</w:t>
      </w:r>
    </w:p>
    <w:p>
      <w:pPr>
        <w:ind w:firstLine="480" w:firstLineChars="200"/>
        <w:rPr>
          <w:rFonts w:ascii="宋体" w:hAnsi="宋体"/>
          <w:snapToGrid w:val="0"/>
          <w:color w:val="000000" w:themeColor="text1"/>
          <w:sz w:val="24"/>
          <w14:textFill>
            <w14:solidFill>
              <w14:schemeClr w14:val="tx1"/>
            </w14:solidFill>
          </w14:textFill>
        </w:rPr>
      </w:pPr>
      <w:r>
        <w:rPr>
          <w:rFonts w:hint="eastAsia" w:ascii="宋体" w:hAnsi="宋体"/>
          <w:snapToGrid w:val="0"/>
          <w:color w:val="000000" w:themeColor="text1"/>
          <w:sz w:val="24"/>
          <w14:textFill>
            <w14:solidFill>
              <w14:schemeClr w14:val="tx1"/>
            </w14:solidFill>
          </w14:textFill>
        </w:rPr>
        <w:t>3.每周召开工作人员培训会，做好会议记录；</w:t>
      </w:r>
    </w:p>
    <w:p>
      <w:pPr>
        <w:ind w:firstLine="480" w:firstLineChars="200"/>
        <w:rPr>
          <w:rFonts w:ascii="宋体" w:hAnsi="宋体"/>
          <w:snapToGrid w:val="0"/>
          <w:color w:val="000000" w:themeColor="text1"/>
          <w:sz w:val="24"/>
          <w14:textFill>
            <w14:solidFill>
              <w14:schemeClr w14:val="tx1"/>
            </w14:solidFill>
          </w14:textFill>
        </w:rPr>
      </w:pPr>
      <w:r>
        <w:rPr>
          <w:rFonts w:hint="eastAsia" w:ascii="宋体" w:hAnsi="宋体"/>
          <w:snapToGrid w:val="0"/>
          <w:color w:val="000000" w:themeColor="text1"/>
          <w:sz w:val="24"/>
          <w14:textFill>
            <w14:solidFill>
              <w14:schemeClr w14:val="tx1"/>
            </w14:solidFill>
          </w14:textFill>
        </w:rPr>
        <w:t>4.在清运车辆上标明作业公司名称、作业范围、管理单位、监督电话等内容；</w:t>
      </w:r>
    </w:p>
    <w:p>
      <w:pPr>
        <w:ind w:firstLine="480" w:firstLineChars="200"/>
        <w:rPr>
          <w:rFonts w:ascii="宋体" w:hAnsi="宋体"/>
          <w:snapToGrid w:val="0"/>
          <w:color w:val="000000" w:themeColor="text1"/>
          <w:sz w:val="24"/>
          <w14:textFill>
            <w14:solidFill>
              <w14:schemeClr w14:val="tx1"/>
            </w14:solidFill>
          </w14:textFill>
        </w:rPr>
      </w:pPr>
      <w:r>
        <w:rPr>
          <w:rFonts w:hint="eastAsia" w:ascii="宋体" w:hAnsi="宋体"/>
          <w:snapToGrid w:val="0"/>
          <w:color w:val="000000" w:themeColor="text1"/>
          <w:sz w:val="24"/>
          <w14:textFill>
            <w14:solidFill>
              <w14:schemeClr w14:val="tx1"/>
            </w14:solidFill>
          </w14:textFill>
        </w:rPr>
        <w:t>5.垃圾每日清运，积存垃圾不能超过半吨；</w:t>
      </w:r>
    </w:p>
    <w:p>
      <w:pPr>
        <w:ind w:firstLine="480" w:firstLineChars="200"/>
        <w:rPr>
          <w:rFonts w:ascii="宋体" w:hAnsi="宋体"/>
          <w:snapToGrid w:val="0"/>
          <w:color w:val="000000" w:themeColor="text1"/>
          <w:sz w:val="24"/>
          <w14:textFill>
            <w14:solidFill>
              <w14:schemeClr w14:val="tx1"/>
            </w14:solidFill>
          </w14:textFill>
        </w:rPr>
      </w:pPr>
      <w:r>
        <w:rPr>
          <w:rFonts w:hint="eastAsia" w:ascii="宋体" w:hAnsi="宋体"/>
          <w:snapToGrid w:val="0"/>
          <w:color w:val="000000" w:themeColor="text1"/>
          <w:sz w:val="24"/>
          <w14:textFill>
            <w14:solidFill>
              <w14:schemeClr w14:val="tx1"/>
            </w14:solidFill>
          </w14:textFill>
        </w:rPr>
        <w:t>6.垃圾车在清运过程中，应覆盖蓬布、车辆沿途无抛撒、滴漏；</w:t>
      </w:r>
    </w:p>
    <w:p>
      <w:pPr>
        <w:ind w:firstLine="480" w:firstLineChars="200"/>
        <w:rPr>
          <w:rFonts w:ascii="宋体" w:hAnsi="宋体"/>
          <w:snapToGrid w:val="0"/>
          <w:color w:val="000000" w:themeColor="text1"/>
          <w:sz w:val="24"/>
          <w14:textFill>
            <w14:solidFill>
              <w14:schemeClr w14:val="tx1"/>
            </w14:solidFill>
          </w14:textFill>
        </w:rPr>
      </w:pPr>
      <w:r>
        <w:rPr>
          <w:rFonts w:hint="eastAsia" w:ascii="宋体" w:hAnsi="宋体"/>
          <w:snapToGrid w:val="0"/>
          <w:color w:val="000000" w:themeColor="text1"/>
          <w:sz w:val="24"/>
          <w14:textFill>
            <w14:solidFill>
              <w14:schemeClr w14:val="tx1"/>
            </w14:solidFill>
          </w14:textFill>
        </w:rPr>
        <w:t>7.垃圾桶不得满溢或漏桶；</w:t>
      </w:r>
    </w:p>
    <w:p>
      <w:pPr>
        <w:ind w:firstLine="480" w:firstLineChars="200"/>
        <w:rPr>
          <w:rFonts w:ascii="宋体" w:hAnsi="宋体"/>
          <w:snapToGrid w:val="0"/>
          <w:color w:val="000000" w:themeColor="text1"/>
          <w:sz w:val="24"/>
          <w14:textFill>
            <w14:solidFill>
              <w14:schemeClr w14:val="tx1"/>
            </w14:solidFill>
          </w14:textFill>
        </w:rPr>
      </w:pPr>
      <w:r>
        <w:rPr>
          <w:rFonts w:hint="eastAsia" w:ascii="宋体" w:hAnsi="宋体"/>
          <w:snapToGrid w:val="0"/>
          <w:color w:val="000000" w:themeColor="text1"/>
          <w:sz w:val="24"/>
          <w14:textFill>
            <w14:solidFill>
              <w14:schemeClr w14:val="tx1"/>
            </w14:solidFill>
          </w14:textFill>
        </w:rPr>
        <w:t>8.垃圾桶和设施如有遗失、损坏的应及时逐级上报并查追；</w:t>
      </w:r>
    </w:p>
    <w:p>
      <w:pPr>
        <w:ind w:firstLine="480" w:firstLineChars="200"/>
        <w:rPr>
          <w:rFonts w:ascii="宋体" w:hAnsi="宋体"/>
          <w:snapToGrid w:val="0"/>
          <w:color w:val="000000" w:themeColor="text1"/>
          <w:sz w:val="24"/>
          <w14:textFill>
            <w14:solidFill>
              <w14:schemeClr w14:val="tx1"/>
            </w14:solidFill>
          </w14:textFill>
        </w:rPr>
      </w:pPr>
      <w:r>
        <w:rPr>
          <w:rFonts w:hint="eastAsia" w:ascii="宋体" w:hAnsi="宋体"/>
          <w:snapToGrid w:val="0"/>
          <w:color w:val="000000" w:themeColor="text1"/>
          <w:sz w:val="24"/>
          <w14:textFill>
            <w14:solidFill>
              <w14:schemeClr w14:val="tx1"/>
            </w14:solidFill>
          </w14:textFill>
        </w:rPr>
        <w:t>9.每日按照规定时间完成清运；</w:t>
      </w:r>
    </w:p>
    <w:p>
      <w:pPr>
        <w:ind w:firstLine="480" w:firstLineChars="200"/>
        <w:rPr>
          <w:rFonts w:ascii="宋体" w:hAnsi="宋体"/>
          <w:snapToGrid w:val="0"/>
          <w:color w:val="000000" w:themeColor="text1"/>
          <w:sz w:val="24"/>
          <w14:textFill>
            <w14:solidFill>
              <w14:schemeClr w14:val="tx1"/>
            </w14:solidFill>
          </w14:textFill>
        </w:rPr>
      </w:pPr>
      <w:r>
        <w:rPr>
          <w:rFonts w:hint="eastAsia" w:ascii="宋体" w:hAnsi="宋体"/>
          <w:snapToGrid w:val="0"/>
          <w:color w:val="000000" w:themeColor="text1"/>
          <w:sz w:val="24"/>
          <w14:textFill>
            <w14:solidFill>
              <w14:schemeClr w14:val="tx1"/>
            </w14:solidFill>
          </w14:textFill>
        </w:rPr>
        <w:t>10.垃圾清运车车容应整洁；</w:t>
      </w:r>
    </w:p>
    <w:p>
      <w:pPr>
        <w:ind w:firstLine="480" w:firstLineChars="200"/>
        <w:rPr>
          <w:rFonts w:ascii="宋体" w:hAnsi="宋体"/>
          <w:snapToGrid w:val="0"/>
          <w:color w:val="000000" w:themeColor="text1"/>
          <w:sz w:val="24"/>
          <w14:textFill>
            <w14:solidFill>
              <w14:schemeClr w14:val="tx1"/>
            </w14:solidFill>
          </w14:textFill>
        </w:rPr>
      </w:pPr>
      <w:r>
        <w:rPr>
          <w:rFonts w:hint="eastAsia" w:ascii="宋体" w:hAnsi="宋体"/>
          <w:snapToGrid w:val="0"/>
          <w:color w:val="000000" w:themeColor="text1"/>
          <w:sz w:val="24"/>
          <w14:textFill>
            <w14:solidFill>
              <w14:schemeClr w14:val="tx1"/>
            </w14:solidFill>
          </w14:textFill>
        </w:rPr>
        <w:t>11.清运公司应服从突发性指挥调派；</w:t>
      </w:r>
    </w:p>
    <w:p>
      <w:pPr>
        <w:ind w:firstLine="480" w:firstLineChars="200"/>
        <w:rPr>
          <w:rFonts w:ascii="宋体" w:hAnsi="宋体"/>
          <w:snapToGrid w:val="0"/>
          <w:color w:val="000000" w:themeColor="text1"/>
          <w:sz w:val="24"/>
          <w:lang w:val="zh-CN"/>
          <w14:textFill>
            <w14:solidFill>
              <w14:schemeClr w14:val="tx1"/>
            </w14:solidFill>
          </w14:textFill>
        </w:rPr>
      </w:pPr>
      <w:r>
        <w:rPr>
          <w:rFonts w:hint="eastAsia" w:ascii="宋体" w:hAnsi="宋体"/>
          <w:snapToGrid w:val="0"/>
          <w:color w:val="000000" w:themeColor="text1"/>
          <w:sz w:val="24"/>
          <w14:textFill>
            <w14:solidFill>
              <w14:schemeClr w14:val="tx1"/>
            </w14:solidFill>
          </w14:textFill>
        </w:rPr>
        <w:t>12.突发性产生的垃圾，30分钟内应作应急处理。</w:t>
      </w:r>
    </w:p>
    <w:p>
      <w:pPr>
        <w:spacing w:after="0" w:line="240" w:lineRule="atLeast"/>
        <w:ind w:firstLine="482" w:firstLineChars="20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四</w:t>
      </w:r>
      <w:r>
        <w:rPr>
          <w:b/>
          <w:color w:val="000000" w:themeColor="text1"/>
          <w:sz w:val="24"/>
          <w14:textFill>
            <w14:solidFill>
              <w14:schemeClr w14:val="tx1"/>
            </w14:solidFill>
          </w14:textFill>
        </w:rPr>
        <w:t>、</w:t>
      </w:r>
      <w:r>
        <w:rPr>
          <w:rFonts w:hint="eastAsia"/>
          <w:b/>
          <w:color w:val="000000" w:themeColor="text1"/>
          <w:sz w:val="24"/>
          <w14:textFill>
            <w14:solidFill>
              <w14:schemeClr w14:val="tx1"/>
            </w14:solidFill>
          </w14:textFill>
        </w:rPr>
        <w:t>服务费用及支付方式</w:t>
      </w:r>
    </w:p>
    <w:p>
      <w:pPr>
        <w:spacing w:after="0" w:line="240" w:lineRule="atLeast"/>
        <w:ind w:firstLine="484" w:firstLineChars="20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（一）本项目服务费用：XXX元（成交价）</w:t>
      </w:r>
    </w:p>
    <w:p>
      <w:pPr>
        <w:snapToGrid w:val="0"/>
        <w:spacing w:after="0"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（二）服务费支付方式：</w:t>
      </w:r>
    </w:p>
    <w:p>
      <w:pPr>
        <w:spacing w:after="0" w:line="240" w:lineRule="atLeast"/>
        <w:ind w:firstLine="484" w:firstLineChars="20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预付款：本合同签订后5个工作日内，甲方向乙方支付本年度总价的30%作为预付款，预付款的抵扣方式为：分12次按同等比例从进度款中抵扣。</w:t>
      </w:r>
    </w:p>
    <w:p>
      <w:pPr>
        <w:spacing w:after="0" w:line="240" w:lineRule="atLeast"/>
        <w:ind w:firstLine="484" w:firstLineChars="20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进度款：甲方按月对乙方进行考核，并根据考核结果扣除相应费用、扣除约定比例的预付款，考核结算后的费用为最终支付金额，由甲方于次月支付（即收到乙方发票后15日内，拨付上月最终结算的作业服务费）。</w:t>
      </w:r>
    </w:p>
    <w:p>
      <w:pPr>
        <w:spacing w:after="0" w:line="240" w:lineRule="atLeast"/>
        <w:ind w:firstLine="484" w:firstLineChars="20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发票要求：甲方每次付款前，乙方均应按照甲方要求提供合法有效的等额发票，甲方收到发票后方得付款。</w:t>
      </w:r>
    </w:p>
    <w:p>
      <w:pPr>
        <w:spacing w:after="0" w:line="240" w:lineRule="atLeast"/>
        <w:ind w:firstLine="484" w:firstLineChars="20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支付方式：本合同项下任何款项支付均采用银行转账，乙方保证下述账户信息确实无误，该账户收到相应款项的，即视为甲方付款义务已经履行完毕。</w:t>
      </w:r>
    </w:p>
    <w:p>
      <w:pPr>
        <w:spacing w:after="0" w:line="240" w:lineRule="atLeast"/>
        <w:ind w:firstLine="487" w:firstLineChars="202"/>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五</w:t>
      </w:r>
      <w:r>
        <w:rPr>
          <w:b/>
          <w:color w:val="000000" w:themeColor="text1"/>
          <w:sz w:val="24"/>
          <w14:textFill>
            <w14:solidFill>
              <w14:schemeClr w14:val="tx1"/>
            </w14:solidFill>
          </w14:textFill>
        </w:rPr>
        <w:t>、</w:t>
      </w:r>
      <w:r>
        <w:rPr>
          <w:rFonts w:hint="eastAsia"/>
          <w:b/>
          <w:color w:val="000000" w:themeColor="text1"/>
          <w:sz w:val="24"/>
          <w14:textFill>
            <w14:solidFill>
              <w14:schemeClr w14:val="tx1"/>
            </w14:solidFill>
          </w14:textFill>
        </w:rPr>
        <w:t>知识产权</w:t>
      </w:r>
    </w:p>
    <w:p>
      <w:pPr>
        <w:pStyle w:val="30"/>
        <w:adjustRightInd w:val="0"/>
        <w:snapToGrid w:val="0"/>
        <w:spacing w:line="240" w:lineRule="atLeast"/>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乙方应保证所提供的服务或其任何一部分均不会侵犯任何第三方的专利权、商标权或著作权。</w:t>
      </w:r>
    </w:p>
    <w:p>
      <w:pPr>
        <w:spacing w:after="0" w:line="240" w:lineRule="atLeast"/>
        <w:ind w:firstLine="487" w:firstLineChars="202"/>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六、无产权瑕疵条款</w:t>
      </w:r>
    </w:p>
    <w:p>
      <w:pPr>
        <w:spacing w:after="0" w:line="240" w:lineRule="atLeas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乙方保证所提供的服务的所有权完全属于乙方且无任何抵押、查封等产权瑕疵。如有产权瑕疵的，视为乙方违约。乙方应负担由此而产生的一切损失。</w:t>
      </w:r>
    </w:p>
    <w:p>
      <w:pPr>
        <w:numPr>
          <w:ilvl w:val="0"/>
          <w:numId w:val="33"/>
        </w:numPr>
        <w:spacing w:after="0" w:line="240" w:lineRule="atLeast"/>
        <w:ind w:left="0" w:firstLine="567"/>
        <w:rPr>
          <w:b/>
          <w:color w:val="000000" w:themeColor="text1"/>
          <w:sz w:val="24"/>
          <w14:textFill>
            <w14:solidFill>
              <w14:schemeClr w14:val="tx1"/>
            </w14:solidFill>
          </w14:textFill>
        </w:rPr>
      </w:pPr>
      <w:bookmarkStart w:id="225" w:name="_Hlk86786875"/>
      <w:r>
        <w:rPr>
          <w:rFonts w:hint="eastAsia"/>
          <w:b/>
          <w:color w:val="000000" w:themeColor="text1"/>
          <w:sz w:val="24"/>
          <w14:textFill>
            <w14:solidFill>
              <w14:schemeClr w14:val="tx1"/>
            </w14:solidFill>
          </w14:textFill>
        </w:rPr>
        <w:t>甲方的权利和义务</w:t>
      </w:r>
    </w:p>
    <w:p>
      <w:pPr>
        <w:spacing w:after="0" w:line="240" w:lineRule="atLeas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1、负责按照乙方中标对乙方服务区域和服务范围进行现场明确和现场指导。</w:t>
      </w:r>
    </w:p>
    <w:p>
      <w:pPr>
        <w:spacing w:after="0" w:line="240" w:lineRule="atLeas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2、负责向乙方提供环卫作业服务质量标准、环卫作业服务质量检查考核办法等相关文件。</w:t>
      </w:r>
    </w:p>
    <w:p>
      <w:pPr>
        <w:spacing w:after="0" w:line="240" w:lineRule="atLeas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甲方有权对合同规定范围内乙方的服务行为进行监督和检查，拥有监管权。有权定期核对乙方提供服务所配备的人员数量和设备质量。对甲方认为不合理或不可用部分有权下达整改通知书，并要求乙方限期整改。</w:t>
      </w:r>
    </w:p>
    <w:p>
      <w:pPr>
        <w:spacing w:after="0" w:line="240" w:lineRule="atLeas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4、甲方有权依据双方签订的考评办法对乙方提供的服务进行定期考评。当考评结果未达到标准时，有权依据考评办法约定的数额扣除作业经费。</w:t>
      </w:r>
    </w:p>
    <w:p>
      <w:pPr>
        <w:spacing w:after="0" w:line="240" w:lineRule="atLeas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5、负责检查监督乙方管理工作的实施及制度的执行情况。</w:t>
      </w:r>
    </w:p>
    <w:p>
      <w:pPr>
        <w:spacing w:after="0" w:line="240" w:lineRule="atLeas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6、根据本合同约定，按时向乙方支付应付服务费用。</w:t>
      </w:r>
    </w:p>
    <w:p>
      <w:pPr>
        <w:spacing w:after="0" w:line="240" w:lineRule="atLeas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甲方有权协同劳动监察部门对乙方用工情况进行检查，有权要求乙方按招标要求保障作业人员的福利待遇。甲方不承担任何由于乙方未办理员工劳动关系由此而产生的纠纷等责任。一旦有相关纠纷，甲方有权立即终止合同。</w:t>
      </w:r>
    </w:p>
    <w:p>
      <w:pPr>
        <w:spacing w:after="0" w:line="240" w:lineRule="atLeast"/>
        <w:ind w:firstLine="480" w:firstLineChars="200"/>
      </w:pPr>
      <w:r>
        <w:rPr>
          <w:rFonts w:hint="eastAsia" w:ascii="宋体" w:hAnsi="宋体" w:cs="宋体"/>
          <w:color w:val="000000" w:themeColor="text1"/>
          <w:sz w:val="24"/>
          <w14:textFill>
            <w14:solidFill>
              <w14:schemeClr w14:val="tx1"/>
            </w14:solidFill>
          </w14:textFill>
        </w:rPr>
        <w:t>8、国家法律、法规所规定由甲方承担的其它责任。</w:t>
      </w:r>
    </w:p>
    <w:p>
      <w:pPr>
        <w:spacing w:after="0" w:line="240" w:lineRule="atLeast"/>
        <w:ind w:firstLine="482" w:firstLineChars="20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八</w:t>
      </w:r>
      <w:r>
        <w:rPr>
          <w:b/>
          <w:color w:val="000000" w:themeColor="text1"/>
          <w:sz w:val="24"/>
          <w14:textFill>
            <w14:solidFill>
              <w14:schemeClr w14:val="tx1"/>
            </w14:solidFill>
          </w14:textFill>
        </w:rPr>
        <w:t>、</w:t>
      </w:r>
      <w:r>
        <w:rPr>
          <w:rFonts w:hint="eastAsia"/>
          <w:b/>
          <w:color w:val="000000" w:themeColor="text1"/>
          <w:sz w:val="24"/>
          <w14:textFill>
            <w14:solidFill>
              <w14:schemeClr w14:val="tx1"/>
            </w14:solidFill>
          </w14:textFill>
        </w:rPr>
        <w:t>乙方的权利和义务</w:t>
      </w:r>
    </w:p>
    <w:p>
      <w:pPr>
        <w:spacing w:after="0" w:line="240" w:lineRule="atLeas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根据甲方要求和有关法律、法规及本合同相关约定，制定相关工作方案，完善相关管理制度，并按照合同约定的作业质量标准完成各项作业任务。根据需要增加节假日和重大活动期间清扫保洁、冲洗除尘和垃圾清运频次，保证节假日和重大活动期间环境卫生干净清爽，高质量呈现。</w:t>
      </w:r>
    </w:p>
    <w:p>
      <w:pPr>
        <w:spacing w:after="0" w:line="240" w:lineRule="atLeas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乙方必须在中标辖区设立分公司或固定办公场所，在本合同签订前向甲方递交派驻中标辖区项目负责人的书面材料。项目负责人代表乙方随时向甲方书面报告作业服务实施情况（内容、数量、频次、质量效果、佐证材料等）。</w:t>
      </w:r>
    </w:p>
    <w:p>
      <w:pPr>
        <w:spacing w:after="0" w:line="240" w:lineRule="atLeas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乙方自觉接受甲方的监督、检查和指导，按要求保质保量高标准完成临时交办的各项任务，对甲方发现的问题采取积极措施快速整改到位。对于作业服务区域内发生的违反城市环境卫生管理法律法规的行为，主动劝阻和制止，并及时向甲方报告。</w:t>
      </w:r>
    </w:p>
    <w:p>
      <w:pPr>
        <w:spacing w:after="0" w:line="240" w:lineRule="atLeas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4、为保证环境卫生作业服务的连续性和作业质量的稳定性，乙方有义务自愿同意聘用原各辖区段面上自愿留下的从业人员，且3月之内不得无故开除。</w:t>
      </w:r>
    </w:p>
    <w:p>
      <w:pPr>
        <w:spacing w:after="0" w:line="240" w:lineRule="atLeas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按要求足额配备环卫从业人员，并定期开展相关培训。为从业人员足额缴纳社会保险费，按法律法规要求足额发放从业人员工资。同时乙方必须与环卫从业人员签订劳动、劳务合同，并向甲方提交备案。乙方与乙方从业人员间产生的任何劳动、劳务争议，均由乙方自行解决并承担损失，概与甲方无关。</w:t>
      </w:r>
    </w:p>
    <w:p>
      <w:pPr>
        <w:spacing w:after="0" w:line="240" w:lineRule="atLeas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6、根据公司实际，每年定期组织和安排对环卫工人进行常规体检。根据实际需要，合理安排和设置环卫工作休息点。</w:t>
      </w:r>
    </w:p>
    <w:p>
      <w:pPr>
        <w:spacing w:after="0" w:line="240" w:lineRule="atLeas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环卫作业服务所需的作业机具（包括洒水车、洗扫车、高压清洗车、垃圾清运车、垃圾转运车、快速保洁车、大扫帚、小扫帚、撮箕、抹布、垃圾袋等）和环卫作业人员服装由乙方自行负责购置并承担费用，所有作业车辆需按区上要求，且做到外观标识统一规范。对洒水车、洗扫车、垃圾清运车等大型作业机具按要求安装GPS,且保持运行良好，痕迹可查。</w:t>
      </w:r>
    </w:p>
    <w:p>
      <w:pPr>
        <w:spacing w:after="0" w:line="240" w:lineRule="atLeas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8、按照《公司法》和《会计法》规定，健全本公司财务管理制度，严格财务管理。</w:t>
      </w:r>
    </w:p>
    <w:p>
      <w:pPr>
        <w:spacing w:after="0" w:line="240" w:lineRule="atLeas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9、遵守安全生产相关规定，安全操作、文明作业。合同期内，乙方在环卫作业中产生的一切安全责任事故和其它责任事故概由乙方负责。</w:t>
      </w:r>
    </w:p>
    <w:p>
      <w:pPr>
        <w:spacing w:after="0" w:line="240" w:lineRule="atLeas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10、建立信息联动机制。如发现中标标段内道路路面、窨井盖、路灯、路牌、交安设施等市政设施损坏损毁现象及时向甲方报告。</w:t>
      </w:r>
    </w:p>
    <w:p>
      <w:pPr>
        <w:spacing w:after="0" w:line="240" w:lineRule="atLeast"/>
        <w:ind w:firstLine="480" w:firstLineChars="200"/>
      </w:pPr>
      <w:r>
        <w:rPr>
          <w:rFonts w:hint="eastAsia" w:ascii="宋体" w:hAnsi="宋体" w:cs="宋体"/>
          <w:color w:val="000000" w:themeColor="text1"/>
          <w:sz w:val="24"/>
          <w14:textFill>
            <w14:solidFill>
              <w14:schemeClr w14:val="tx1"/>
            </w14:solidFill>
          </w14:textFill>
        </w:rPr>
        <w:t>11、乙方自觉遵守国家相关法律法规，如违反国家法律法规相关规定，乙方承担全部法律责任。</w:t>
      </w:r>
    </w:p>
    <w:bookmarkEnd w:id="225"/>
    <w:p>
      <w:pPr>
        <w:spacing w:after="0" w:line="240" w:lineRule="atLeast"/>
        <w:ind w:firstLine="482" w:firstLineChars="20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九、违约责任</w:t>
      </w:r>
    </w:p>
    <w:p>
      <w:pPr>
        <w:spacing w:after="0" w:line="240" w:lineRule="atLeas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一、甲方违约责任</w:t>
      </w:r>
    </w:p>
    <w:p>
      <w:pPr>
        <w:spacing w:after="0" w:line="240" w:lineRule="atLeas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乙方在服务期内无质量问题和违约行为的，甲方应在收到乙方齐全的请款资料后10日内支付乙方服务费（如因客观原因造成支付延期的除外，例如发生自然灾害、疫情等）。其余情况逾期，则按应付金额每日1‰标准向乙方赔付违约金。</w:t>
      </w:r>
    </w:p>
    <w:p>
      <w:pPr>
        <w:spacing w:after="0" w:line="240" w:lineRule="atLeast"/>
        <w:ind w:firstLine="480" w:firstLineChars="200"/>
      </w:pPr>
      <w:r>
        <w:rPr>
          <w:rFonts w:hint="eastAsia" w:ascii="宋体" w:hAnsi="宋体" w:cs="宋体"/>
          <w:color w:val="000000" w:themeColor="text1"/>
          <w:sz w:val="24"/>
          <w14:textFill>
            <w14:solidFill>
              <w14:schemeClr w14:val="tx1"/>
            </w14:solidFill>
          </w14:textFill>
        </w:rPr>
        <w:t>（二）因甲方原因导致变更、中止或者终止政府采购合同的，甲方依照合同约定对乙方受到的损失予以赔偿或者补偿。</w:t>
      </w:r>
    </w:p>
    <w:p>
      <w:pPr>
        <w:spacing w:after="0" w:line="240" w:lineRule="atLeas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二、乙方违约责任</w:t>
      </w:r>
    </w:p>
    <w:p>
      <w:pPr>
        <w:spacing w:after="0" w:line="240" w:lineRule="atLeas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（一）因乙方疏于管理，未按照法律、法规规定和合同的约定履行公共秩序防范义务，导致他人人身、财产受到损失的，应承担相应的经济赔偿等法律责任。</w:t>
      </w:r>
    </w:p>
    <w:p>
      <w:pPr>
        <w:spacing w:after="0" w:line="240" w:lineRule="atLeas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乙方违反合同约定，未能达到约定的管理目标，甲方有权要求乙方限期整改，达到合同约定；逾期未整改的，或整改不符合合同约定的，甲方有权终止合同；造成甲方经济损失的，乙方应给予甲方一定的经济赔偿（按照实际损失赔偿）。</w:t>
      </w:r>
    </w:p>
    <w:p>
      <w:pPr>
        <w:spacing w:after="0" w:line="240" w:lineRule="atLeast"/>
        <w:ind w:firstLine="480" w:firstLineChars="200"/>
      </w:pPr>
      <w:r>
        <w:rPr>
          <w:rFonts w:hint="eastAsia" w:ascii="宋体" w:hAnsi="宋体" w:cs="宋体"/>
          <w:color w:val="000000" w:themeColor="text1"/>
          <w:sz w:val="24"/>
          <w14:textFill>
            <w14:solidFill>
              <w14:schemeClr w14:val="tx1"/>
            </w14:solidFill>
          </w14:textFill>
        </w:rPr>
        <w:t>三、如乙方发生违约事项，甲方可以从甲方应付或将付给乙方的任何一笔款项中扣除。</w:t>
      </w:r>
    </w:p>
    <w:p>
      <w:pPr>
        <w:spacing w:after="0" w:line="240" w:lineRule="atLeast"/>
        <w:ind w:firstLine="361" w:firstLineChars="150"/>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十、考核标准</w:t>
      </w:r>
    </w:p>
    <w:p>
      <w:pPr>
        <w:spacing w:after="0" w:line="240" w:lineRule="atLeast"/>
        <w:ind w:firstLine="360" w:firstLineChars="150"/>
        <w:rPr>
          <w:rFonts w:ascii="宋体" w:hAnsi="宋体"/>
          <w:sz w:val="24"/>
          <w:szCs w:val="24"/>
        </w:rPr>
      </w:pPr>
      <w:r>
        <w:rPr>
          <w:rFonts w:hint="eastAsia" w:ascii="宋体" w:hAnsi="宋体"/>
          <w:sz w:val="24"/>
          <w:szCs w:val="24"/>
        </w:rPr>
        <w:t>按照《成都市双流区人民政府怡心街道办事处环境卫生作业考核办法》和《怡心街道办事处环境卫生考核评分表》中的要求考核（详见附件）。</w:t>
      </w:r>
    </w:p>
    <w:p>
      <w:pPr>
        <w:spacing w:after="0" w:line="240" w:lineRule="atLeast"/>
        <w:ind w:firstLine="361" w:firstLineChars="15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十一、送达方式</w:t>
      </w:r>
    </w:p>
    <w:p>
      <w:pPr>
        <w:pStyle w:val="2"/>
        <w:spacing w:after="0" w:line="240" w:lineRule="atLeast"/>
        <w:ind w:firstLine="720" w:firstLineChars="300"/>
        <w:rPr>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因为本次采购项目履行期限较长，乙方需要固定本项目联系人，联系人：</w:t>
      </w:r>
      <w:r>
        <w:rPr>
          <w:rFonts w:ascii="宋体" w:hAnsi="宋体" w:cs="宋体"/>
          <w:color w:val="000000" w:themeColor="text1"/>
          <w:sz w:val="24"/>
          <w:szCs w:val="24"/>
          <w:u w:val="single"/>
          <w14:textFill>
            <w14:solidFill>
              <w14:schemeClr w14:val="tx1"/>
            </w14:solidFill>
          </w14:textFill>
        </w:rPr>
        <w:t xml:space="preserve">       </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，联系电话：</w:t>
      </w:r>
      <w:r>
        <w:rPr>
          <w:rFonts w:ascii="宋体" w:hAnsi="宋体" w:cs="宋体"/>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，送达方式采用书面送达。</w:t>
      </w:r>
    </w:p>
    <w:p>
      <w:pPr>
        <w:spacing w:after="0" w:line="240" w:lineRule="atLeast"/>
        <w:ind w:firstLine="361" w:firstLineChars="15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十二、不可抗力事件处理</w:t>
      </w:r>
    </w:p>
    <w:p>
      <w:pPr>
        <w:spacing w:after="0" w:line="240" w:lineRule="atLeast"/>
        <w:ind w:firstLine="360" w:firstLineChars="15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合同执行期间，因不可抗力致使合同无法履行，本合同自然终止，甲乙双方各自承担自己的损失，任何一方不得向对方提出任何要求。</w:t>
      </w:r>
    </w:p>
    <w:p>
      <w:pPr>
        <w:spacing w:after="0" w:line="240" w:lineRule="atLeast"/>
        <w:ind w:firstLine="361" w:firstLineChars="15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十三</w:t>
      </w:r>
      <w:r>
        <w:rPr>
          <w:b/>
          <w:color w:val="000000" w:themeColor="text1"/>
          <w:sz w:val="24"/>
          <w14:textFill>
            <w14:solidFill>
              <w14:schemeClr w14:val="tx1"/>
            </w14:solidFill>
          </w14:textFill>
        </w:rPr>
        <w:t>、</w:t>
      </w:r>
      <w:r>
        <w:rPr>
          <w:rFonts w:hint="eastAsia"/>
          <w:b/>
          <w:color w:val="000000" w:themeColor="text1"/>
          <w:sz w:val="24"/>
          <w14:textFill>
            <w14:solidFill>
              <w14:schemeClr w14:val="tx1"/>
            </w14:solidFill>
          </w14:textFill>
        </w:rPr>
        <w:t>解决争议的方法</w:t>
      </w:r>
    </w:p>
    <w:p>
      <w:pPr>
        <w:pStyle w:val="31"/>
        <w:widowControl w:val="0"/>
        <w:autoSpaceDE w:val="0"/>
        <w:autoSpaceDN w:val="0"/>
        <w:spacing w:before="0" w:after="0" w:line="240" w:lineRule="atLeast"/>
        <w:ind w:firstLine="480" w:firstLineChars="200"/>
        <w:rPr>
          <w:rFonts w:ascii="宋体" w:hAnsi="宋体" w:eastAsia="宋体" w:cs="宋体"/>
          <w:kern w:val="2"/>
          <w:sz w:val="24"/>
          <w:lang w:val="en-US" w:eastAsia="zh-CN"/>
        </w:rPr>
      </w:pPr>
      <w:r>
        <w:rPr>
          <w:rFonts w:hint="eastAsia" w:ascii="宋体" w:hAnsi="宋体" w:eastAsia="宋体" w:cs="宋体"/>
          <w:color w:val="000000" w:themeColor="text1"/>
          <w:kern w:val="2"/>
          <w:sz w:val="24"/>
          <w:lang w:val="en-US" w:eastAsia="zh-CN"/>
          <w14:textFill>
            <w14:solidFill>
              <w14:schemeClr w14:val="tx1"/>
            </w14:solidFill>
          </w14:textFill>
        </w:rPr>
        <w:t>在执行本合同中发生的或与本</w:t>
      </w:r>
      <w:r>
        <w:rPr>
          <w:rFonts w:hint="eastAsia" w:ascii="宋体" w:hAnsi="宋体" w:eastAsia="宋体" w:cs="宋体"/>
          <w:kern w:val="2"/>
          <w:sz w:val="24"/>
          <w:lang w:val="en-US" w:eastAsia="zh-CN"/>
        </w:rPr>
        <w:t>合同有关的争端，双方应通过友好协商解决，不愿通过协商、调解解决或者协商、调解不成的，可向甲方所在地有管辖权的人民法院起诉。</w:t>
      </w:r>
    </w:p>
    <w:p>
      <w:pPr>
        <w:spacing w:after="0" w:line="240" w:lineRule="atLeast"/>
        <w:ind w:firstLine="487" w:firstLineChars="202"/>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十四</w:t>
      </w:r>
      <w:r>
        <w:rPr>
          <w:b/>
          <w:color w:val="000000" w:themeColor="text1"/>
          <w:sz w:val="24"/>
          <w14:textFill>
            <w14:solidFill>
              <w14:schemeClr w14:val="tx1"/>
            </w14:solidFill>
          </w14:textFill>
        </w:rPr>
        <w:t>、</w:t>
      </w:r>
      <w:r>
        <w:rPr>
          <w:rFonts w:hint="eastAsia"/>
          <w:b/>
          <w:color w:val="000000" w:themeColor="text1"/>
          <w:sz w:val="24"/>
          <w14:textFill>
            <w14:solidFill>
              <w14:schemeClr w14:val="tx1"/>
            </w14:solidFill>
          </w14:textFill>
        </w:rPr>
        <w:t>合同生效及其他</w:t>
      </w:r>
    </w:p>
    <w:p>
      <w:pPr>
        <w:pStyle w:val="31"/>
        <w:widowControl w:val="0"/>
        <w:numPr>
          <w:ilvl w:val="0"/>
          <w:numId w:val="51"/>
        </w:numPr>
        <w:autoSpaceDE w:val="0"/>
        <w:autoSpaceDN w:val="0"/>
        <w:spacing w:before="0" w:after="0" w:line="240" w:lineRule="atLeast"/>
        <w:rPr>
          <w:rFonts w:ascii="宋体" w:hAnsi="宋体" w:eastAsia="宋体" w:cs="宋体"/>
          <w:color w:val="000000" w:themeColor="text1"/>
          <w:kern w:val="2"/>
          <w:sz w:val="24"/>
          <w:lang w:val="en-US" w:eastAsia="zh-CN"/>
          <w14:textFill>
            <w14:solidFill>
              <w14:schemeClr w14:val="tx1"/>
            </w14:solidFill>
          </w14:textFill>
        </w:rPr>
      </w:pPr>
      <w:r>
        <w:rPr>
          <w:rFonts w:hint="eastAsia" w:ascii="宋体" w:hAnsi="宋体" w:eastAsia="宋体" w:cs="宋体"/>
          <w:color w:val="000000" w:themeColor="text1"/>
          <w:kern w:val="2"/>
          <w:sz w:val="24"/>
          <w:lang w:val="en-US" w:eastAsia="zh-CN"/>
          <w14:textFill>
            <w14:solidFill>
              <w14:schemeClr w14:val="tx1"/>
            </w14:solidFill>
          </w14:textFill>
        </w:rPr>
        <w:t>合同经双方法定代表人或授权委托代理人签字并加盖单位公章后生效。</w:t>
      </w:r>
    </w:p>
    <w:p>
      <w:pPr>
        <w:pStyle w:val="31"/>
        <w:widowControl w:val="0"/>
        <w:numPr>
          <w:ilvl w:val="0"/>
          <w:numId w:val="51"/>
        </w:numPr>
        <w:autoSpaceDE w:val="0"/>
        <w:autoSpaceDN w:val="0"/>
        <w:spacing w:before="0" w:after="0" w:line="240" w:lineRule="atLeast"/>
        <w:rPr>
          <w:rFonts w:ascii="宋体" w:hAnsi="宋体" w:eastAsia="宋体" w:cs="宋体"/>
          <w:color w:val="000000" w:themeColor="text1"/>
          <w:kern w:val="2"/>
          <w:sz w:val="24"/>
          <w:lang w:val="en-US" w:eastAsia="zh-CN"/>
          <w14:textFill>
            <w14:solidFill>
              <w14:schemeClr w14:val="tx1"/>
            </w14:solidFill>
          </w14:textFill>
        </w:rPr>
      </w:pPr>
      <w:r>
        <w:rPr>
          <w:rFonts w:hint="eastAsia" w:ascii="宋体" w:hAnsi="宋体" w:eastAsia="宋体" w:cs="宋体"/>
          <w:color w:val="000000" w:themeColor="text1"/>
          <w:kern w:val="2"/>
          <w:sz w:val="24"/>
          <w:lang w:val="en-US" w:eastAsia="zh-CN"/>
          <w14:textFill>
            <w14:solidFill>
              <w14:schemeClr w14:val="tx1"/>
            </w14:solidFill>
          </w14:textFill>
        </w:rPr>
        <w:t>合同执行中涉及采购资金和采购内容修改或补充的，须经政府采购监管部门审批，并签书面补充协议报政府采购监督管理部门备案，方可作为主合同不可分割的一部分。</w:t>
      </w:r>
    </w:p>
    <w:p>
      <w:pPr>
        <w:pStyle w:val="31"/>
        <w:widowControl w:val="0"/>
        <w:numPr>
          <w:ilvl w:val="0"/>
          <w:numId w:val="51"/>
        </w:numPr>
        <w:autoSpaceDE w:val="0"/>
        <w:autoSpaceDN w:val="0"/>
        <w:spacing w:before="0" w:after="0" w:line="240" w:lineRule="atLeast"/>
        <w:rPr>
          <w:rFonts w:ascii="宋体" w:hAnsi="宋体" w:eastAsia="宋体" w:cs="宋体"/>
          <w:color w:val="000000" w:themeColor="text1"/>
          <w:kern w:val="2"/>
          <w:sz w:val="24"/>
          <w:lang w:val="en-US" w:eastAsia="zh-CN"/>
          <w14:textFill>
            <w14:solidFill>
              <w14:schemeClr w14:val="tx1"/>
            </w14:solidFill>
          </w14:textFill>
        </w:rPr>
      </w:pPr>
      <w:r>
        <w:rPr>
          <w:rFonts w:hint="eastAsia" w:ascii="宋体" w:hAnsi="宋体" w:eastAsia="宋体" w:cs="宋体"/>
          <w:color w:val="000000" w:themeColor="text1"/>
          <w:kern w:val="2"/>
          <w:sz w:val="24"/>
          <w:lang w:val="en-US" w:eastAsia="zh-CN"/>
          <w14:textFill>
            <w14:solidFill>
              <w14:schemeClr w14:val="tx1"/>
            </w14:solidFill>
          </w14:textFill>
        </w:rPr>
        <w:t>本合同一式XX份，自双方签章之日起起效。甲方XX份，乙方XX份，政府采购代理机构XX份，同级财政部门备案XX份，具有同等法律效力。</w:t>
      </w:r>
    </w:p>
    <w:p>
      <w:pPr>
        <w:spacing w:after="0" w:line="240" w:lineRule="atLeast"/>
        <w:ind w:firstLine="487" w:firstLineChars="202"/>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十五</w:t>
      </w:r>
      <w:r>
        <w:rPr>
          <w:b/>
          <w:color w:val="000000" w:themeColor="text1"/>
          <w:sz w:val="24"/>
          <w14:textFill>
            <w14:solidFill>
              <w14:schemeClr w14:val="tx1"/>
            </w14:solidFill>
          </w14:textFill>
        </w:rPr>
        <w:t>、</w:t>
      </w:r>
      <w:r>
        <w:rPr>
          <w:rFonts w:hint="eastAsia"/>
          <w:b/>
          <w:color w:val="000000" w:themeColor="text1"/>
          <w:sz w:val="24"/>
          <w14:textFill>
            <w14:solidFill>
              <w14:schemeClr w14:val="tx1"/>
            </w14:solidFill>
          </w14:textFill>
        </w:rPr>
        <w:t>附件</w:t>
      </w:r>
    </w:p>
    <w:p>
      <w:pPr>
        <w:pStyle w:val="31"/>
        <w:widowControl w:val="0"/>
        <w:autoSpaceDE w:val="0"/>
        <w:autoSpaceDN w:val="0"/>
        <w:spacing w:before="0" w:after="0" w:line="240" w:lineRule="atLeast"/>
        <w:ind w:firstLine="550" w:firstLineChars="250"/>
        <w:rPr>
          <w:rFonts w:ascii="宋体" w:hAnsi="宋体" w:eastAsia="宋体" w:cs="宋体"/>
          <w:color w:val="000000" w:themeColor="text1"/>
          <w:kern w:val="2"/>
          <w:sz w:val="24"/>
          <w:lang w:val="en-US" w:eastAsia="zh-CN"/>
          <w14:textFill>
            <w14:solidFill>
              <w14:schemeClr w14:val="tx1"/>
            </w14:solidFill>
          </w14:textFill>
        </w:rPr>
      </w:pPr>
      <w:r>
        <w:rPr>
          <w:rFonts w:hint="eastAsia"/>
          <w:color w:val="000000" w:themeColor="text1"/>
          <w:kern w:val="2"/>
          <w:lang w:eastAsia="zh-CN"/>
          <w14:textFill>
            <w14:solidFill>
              <w14:schemeClr w14:val="tx1"/>
            </w14:solidFill>
          </w14:textFill>
        </w:rPr>
        <w:t xml:space="preserve"> </w:t>
      </w:r>
      <w:r>
        <w:rPr>
          <w:rFonts w:hint="eastAsia" w:ascii="宋体" w:hAnsi="宋体" w:eastAsia="宋体" w:cs="宋体"/>
          <w:color w:val="000000" w:themeColor="text1"/>
          <w:kern w:val="2"/>
          <w:sz w:val="24"/>
          <w:lang w:val="en-US" w:eastAsia="zh-CN"/>
          <w14:textFill>
            <w14:solidFill>
              <w14:schemeClr w14:val="tx1"/>
            </w14:solidFill>
          </w14:textFill>
        </w:rPr>
        <w:t>1．项目招标文件</w:t>
      </w:r>
    </w:p>
    <w:p>
      <w:pPr>
        <w:pStyle w:val="31"/>
        <w:widowControl w:val="0"/>
        <w:autoSpaceDE w:val="0"/>
        <w:autoSpaceDN w:val="0"/>
        <w:spacing w:before="0" w:after="0" w:line="240" w:lineRule="atLeast"/>
        <w:ind w:firstLine="720" w:firstLineChars="300"/>
        <w:rPr>
          <w:rFonts w:ascii="宋体" w:hAnsi="宋体" w:eastAsia="宋体" w:cs="宋体"/>
          <w:color w:val="000000" w:themeColor="text1"/>
          <w:kern w:val="2"/>
          <w:sz w:val="24"/>
          <w:lang w:val="en-US" w:eastAsia="zh-CN"/>
          <w14:textFill>
            <w14:solidFill>
              <w14:schemeClr w14:val="tx1"/>
            </w14:solidFill>
          </w14:textFill>
        </w:rPr>
      </w:pPr>
      <w:r>
        <w:rPr>
          <w:rFonts w:hint="eastAsia" w:ascii="宋体" w:hAnsi="宋体" w:eastAsia="宋体" w:cs="宋体"/>
          <w:color w:val="000000" w:themeColor="text1"/>
          <w:kern w:val="2"/>
          <w:sz w:val="24"/>
          <w:lang w:val="en-US" w:eastAsia="zh-CN"/>
          <w14:textFill>
            <w14:solidFill>
              <w14:schemeClr w14:val="tx1"/>
            </w14:solidFill>
          </w14:textFill>
        </w:rPr>
        <w:t>2．项目投标文件</w:t>
      </w:r>
    </w:p>
    <w:p>
      <w:pPr>
        <w:pStyle w:val="31"/>
        <w:widowControl w:val="0"/>
        <w:autoSpaceDE w:val="0"/>
        <w:autoSpaceDN w:val="0"/>
        <w:spacing w:before="0" w:after="0" w:line="240" w:lineRule="atLeast"/>
        <w:ind w:firstLine="720" w:firstLineChars="300"/>
        <w:rPr>
          <w:rFonts w:ascii="宋体" w:hAnsi="宋体" w:eastAsia="宋体" w:cs="宋体"/>
          <w:color w:val="000000" w:themeColor="text1"/>
          <w:kern w:val="2"/>
          <w:sz w:val="24"/>
          <w:lang w:val="en-US" w:eastAsia="zh-CN"/>
          <w14:textFill>
            <w14:solidFill>
              <w14:schemeClr w14:val="tx1"/>
            </w14:solidFill>
          </w14:textFill>
        </w:rPr>
      </w:pPr>
      <w:r>
        <w:rPr>
          <w:rFonts w:hint="eastAsia" w:ascii="宋体" w:hAnsi="宋体" w:eastAsia="宋体" w:cs="宋体"/>
          <w:color w:val="000000" w:themeColor="text1"/>
          <w:kern w:val="2"/>
          <w:sz w:val="24"/>
          <w:lang w:val="en-US" w:eastAsia="zh-CN"/>
          <w14:textFill>
            <w14:solidFill>
              <w14:schemeClr w14:val="tx1"/>
            </w14:solidFill>
          </w14:textFill>
        </w:rPr>
        <w:t>3．中标通知书</w:t>
      </w:r>
    </w:p>
    <w:p>
      <w:pPr>
        <w:pStyle w:val="31"/>
        <w:widowControl w:val="0"/>
        <w:autoSpaceDE w:val="0"/>
        <w:autoSpaceDN w:val="0"/>
        <w:spacing w:before="0" w:after="0" w:line="240" w:lineRule="atLeast"/>
        <w:ind w:firstLine="720" w:firstLineChars="300"/>
        <w:rPr>
          <w:rFonts w:hint="eastAsia" w:ascii="宋体" w:hAnsi="宋体" w:eastAsia="宋体" w:cs="宋体"/>
          <w:color w:val="000000" w:themeColor="text1"/>
          <w:kern w:val="2"/>
          <w:sz w:val="24"/>
          <w:lang w:val="en-US" w:eastAsia="zh-CN"/>
          <w14:textFill>
            <w14:solidFill>
              <w14:schemeClr w14:val="tx1"/>
            </w14:solidFill>
          </w14:textFill>
        </w:rPr>
      </w:pPr>
      <w:r>
        <w:rPr>
          <w:rFonts w:hint="eastAsia" w:ascii="宋体" w:hAnsi="宋体" w:eastAsia="宋体" w:cs="宋体"/>
          <w:color w:val="000000" w:themeColor="text1"/>
          <w:kern w:val="2"/>
          <w:sz w:val="24"/>
          <w:lang w:val="en-US" w:eastAsia="zh-CN"/>
          <w14:textFill>
            <w14:solidFill>
              <w14:schemeClr w14:val="tx1"/>
            </w14:solidFill>
          </w14:textFill>
        </w:rPr>
        <w:t>4．其他</w:t>
      </w:r>
    </w:p>
    <w:p>
      <w:pPr>
        <w:pStyle w:val="31"/>
        <w:widowControl w:val="0"/>
        <w:autoSpaceDE w:val="0"/>
        <w:autoSpaceDN w:val="0"/>
        <w:spacing w:before="0" w:after="0" w:line="240" w:lineRule="atLeast"/>
        <w:ind w:firstLine="720" w:firstLineChars="300"/>
        <w:rPr>
          <w:rFonts w:hint="eastAsia" w:ascii="宋体" w:hAnsi="宋体" w:eastAsia="宋体" w:cs="宋体"/>
          <w:color w:val="000000" w:themeColor="text1"/>
          <w:kern w:val="2"/>
          <w:sz w:val="24"/>
          <w:lang w:val="en-US" w:eastAsia="zh-CN"/>
          <w14:textFill>
            <w14:solidFill>
              <w14:schemeClr w14:val="tx1"/>
            </w14:solidFill>
          </w14:textFill>
        </w:rPr>
      </w:pPr>
    </w:p>
    <w:p>
      <w:pPr>
        <w:pStyle w:val="31"/>
        <w:widowControl w:val="0"/>
        <w:autoSpaceDE w:val="0"/>
        <w:autoSpaceDN w:val="0"/>
        <w:spacing w:before="0" w:after="0" w:line="240" w:lineRule="atLeast"/>
        <w:ind w:firstLine="720" w:firstLineChars="300"/>
        <w:rPr>
          <w:rFonts w:hint="eastAsia" w:ascii="宋体" w:hAnsi="宋体" w:eastAsia="宋体" w:cs="宋体"/>
          <w:color w:val="000000" w:themeColor="text1"/>
          <w:kern w:val="2"/>
          <w:sz w:val="24"/>
          <w:lang w:val="en-US" w:eastAsia="zh-CN"/>
          <w14:textFill>
            <w14:solidFill>
              <w14:schemeClr w14:val="tx1"/>
            </w14:solidFill>
          </w14:textFill>
        </w:rPr>
      </w:pPr>
    </w:p>
    <w:p>
      <w:pPr>
        <w:pStyle w:val="31"/>
        <w:widowControl w:val="0"/>
        <w:autoSpaceDE w:val="0"/>
        <w:autoSpaceDN w:val="0"/>
        <w:spacing w:before="0" w:after="0" w:line="240" w:lineRule="atLeast"/>
        <w:ind w:firstLine="720" w:firstLineChars="300"/>
        <w:rPr>
          <w:rFonts w:hint="eastAsia" w:ascii="宋体" w:hAnsi="宋体" w:eastAsia="宋体" w:cs="宋体"/>
          <w:color w:val="000000" w:themeColor="text1"/>
          <w:kern w:val="2"/>
          <w:sz w:val="24"/>
          <w:lang w:val="en-US" w:eastAsia="zh-CN"/>
          <w14:textFill>
            <w14:solidFill>
              <w14:schemeClr w14:val="tx1"/>
            </w14:solidFill>
          </w14:textFill>
        </w:rPr>
      </w:pPr>
    </w:p>
    <w:p>
      <w:pPr>
        <w:pStyle w:val="31"/>
        <w:widowControl w:val="0"/>
        <w:autoSpaceDE w:val="0"/>
        <w:autoSpaceDN w:val="0"/>
        <w:spacing w:before="0" w:after="0" w:line="240" w:lineRule="atLeast"/>
        <w:ind w:firstLine="720" w:firstLineChars="300"/>
        <w:rPr>
          <w:rFonts w:hint="eastAsia" w:ascii="宋体" w:hAnsi="宋体" w:eastAsia="宋体" w:cs="宋体"/>
          <w:color w:val="000000" w:themeColor="text1"/>
          <w:kern w:val="2"/>
          <w:sz w:val="24"/>
          <w:lang w:val="en-US" w:eastAsia="zh-CN"/>
          <w14:textFill>
            <w14:solidFill>
              <w14:schemeClr w14:val="tx1"/>
            </w14:solidFill>
          </w14:textFill>
        </w:rPr>
      </w:pPr>
    </w:p>
    <w:tbl>
      <w:tblPr>
        <w:tblStyle w:val="16"/>
        <w:tblW w:w="9962" w:type="dxa"/>
        <w:jc w:val="center"/>
        <w:tblLayout w:type="fixed"/>
        <w:tblCellMar>
          <w:top w:w="0" w:type="dxa"/>
          <w:left w:w="108" w:type="dxa"/>
          <w:bottom w:w="0" w:type="dxa"/>
          <w:right w:w="108" w:type="dxa"/>
        </w:tblCellMar>
      </w:tblPr>
      <w:tblGrid>
        <w:gridCol w:w="4981"/>
        <w:gridCol w:w="4981"/>
      </w:tblGrid>
      <w:tr>
        <w:tblPrEx>
          <w:tblCellMar>
            <w:top w:w="0" w:type="dxa"/>
            <w:left w:w="108" w:type="dxa"/>
            <w:bottom w:w="0" w:type="dxa"/>
            <w:right w:w="108" w:type="dxa"/>
          </w:tblCellMar>
        </w:tblPrEx>
        <w:trPr>
          <w:trHeight w:val="718" w:hRule="atLeast"/>
          <w:jc w:val="center"/>
        </w:trPr>
        <w:tc>
          <w:tcPr>
            <w:tcW w:w="4981" w:type="dxa"/>
            <w:vAlign w:val="center"/>
          </w:tcPr>
          <w:p>
            <w:pPr>
              <w:pStyle w:val="30"/>
              <w:spacing w:line="240" w:lineRule="atLeast"/>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甲方：   (盖章)</w:t>
            </w:r>
          </w:p>
        </w:tc>
        <w:tc>
          <w:tcPr>
            <w:tcW w:w="4981" w:type="dxa"/>
            <w:vAlign w:val="center"/>
          </w:tcPr>
          <w:p>
            <w:pPr>
              <w:pStyle w:val="30"/>
              <w:spacing w:line="240" w:lineRule="atLeast"/>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乙方：   (盖章)</w:t>
            </w:r>
          </w:p>
        </w:tc>
      </w:tr>
      <w:tr>
        <w:tblPrEx>
          <w:tblCellMar>
            <w:top w:w="0" w:type="dxa"/>
            <w:left w:w="108" w:type="dxa"/>
            <w:bottom w:w="0" w:type="dxa"/>
            <w:right w:w="108" w:type="dxa"/>
          </w:tblCellMar>
        </w:tblPrEx>
        <w:trPr>
          <w:trHeight w:val="718" w:hRule="atLeast"/>
          <w:jc w:val="center"/>
        </w:trPr>
        <w:tc>
          <w:tcPr>
            <w:tcW w:w="4981" w:type="dxa"/>
            <w:vAlign w:val="center"/>
          </w:tcPr>
          <w:p>
            <w:pPr>
              <w:pStyle w:val="30"/>
              <w:spacing w:line="240" w:lineRule="atLeast"/>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法定代表人(授权代表)：</w:t>
            </w:r>
          </w:p>
        </w:tc>
        <w:tc>
          <w:tcPr>
            <w:tcW w:w="4981" w:type="dxa"/>
            <w:vAlign w:val="center"/>
          </w:tcPr>
          <w:p>
            <w:pPr>
              <w:pStyle w:val="30"/>
              <w:spacing w:line="240" w:lineRule="atLeast"/>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法定代表人(授权代表)：</w:t>
            </w:r>
          </w:p>
        </w:tc>
      </w:tr>
      <w:tr>
        <w:tblPrEx>
          <w:tblCellMar>
            <w:top w:w="0" w:type="dxa"/>
            <w:left w:w="108" w:type="dxa"/>
            <w:bottom w:w="0" w:type="dxa"/>
            <w:right w:w="108" w:type="dxa"/>
          </w:tblCellMar>
        </w:tblPrEx>
        <w:trPr>
          <w:trHeight w:val="718" w:hRule="atLeast"/>
          <w:jc w:val="center"/>
        </w:trPr>
        <w:tc>
          <w:tcPr>
            <w:tcW w:w="4981" w:type="dxa"/>
            <w:vAlign w:val="center"/>
          </w:tcPr>
          <w:p>
            <w:pPr>
              <w:pStyle w:val="30"/>
              <w:spacing w:line="240" w:lineRule="atLeast"/>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地址(住所)：</w:t>
            </w:r>
          </w:p>
        </w:tc>
        <w:tc>
          <w:tcPr>
            <w:tcW w:w="4981" w:type="dxa"/>
            <w:vAlign w:val="center"/>
          </w:tcPr>
          <w:p>
            <w:pPr>
              <w:pStyle w:val="30"/>
              <w:spacing w:line="240" w:lineRule="atLeast"/>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地址(住所)：</w:t>
            </w:r>
          </w:p>
        </w:tc>
      </w:tr>
      <w:tr>
        <w:tblPrEx>
          <w:tblCellMar>
            <w:top w:w="0" w:type="dxa"/>
            <w:left w:w="108" w:type="dxa"/>
            <w:bottom w:w="0" w:type="dxa"/>
            <w:right w:w="108" w:type="dxa"/>
          </w:tblCellMar>
        </w:tblPrEx>
        <w:trPr>
          <w:trHeight w:val="718" w:hRule="atLeast"/>
          <w:jc w:val="center"/>
        </w:trPr>
        <w:tc>
          <w:tcPr>
            <w:tcW w:w="4981" w:type="dxa"/>
            <w:vAlign w:val="center"/>
          </w:tcPr>
          <w:p>
            <w:pPr>
              <w:pStyle w:val="30"/>
              <w:spacing w:line="240" w:lineRule="atLeast"/>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开户银行：</w:t>
            </w:r>
          </w:p>
        </w:tc>
        <w:tc>
          <w:tcPr>
            <w:tcW w:w="4981" w:type="dxa"/>
            <w:vAlign w:val="center"/>
          </w:tcPr>
          <w:p>
            <w:pPr>
              <w:pStyle w:val="30"/>
              <w:spacing w:line="240" w:lineRule="atLeast"/>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开户银行：</w:t>
            </w:r>
          </w:p>
        </w:tc>
      </w:tr>
      <w:tr>
        <w:tblPrEx>
          <w:tblCellMar>
            <w:top w:w="0" w:type="dxa"/>
            <w:left w:w="108" w:type="dxa"/>
            <w:bottom w:w="0" w:type="dxa"/>
            <w:right w:w="108" w:type="dxa"/>
          </w:tblCellMar>
        </w:tblPrEx>
        <w:trPr>
          <w:trHeight w:val="718" w:hRule="atLeast"/>
          <w:jc w:val="center"/>
        </w:trPr>
        <w:tc>
          <w:tcPr>
            <w:tcW w:w="4981" w:type="dxa"/>
            <w:vAlign w:val="center"/>
          </w:tcPr>
          <w:p>
            <w:pPr>
              <w:pStyle w:val="30"/>
              <w:spacing w:line="240" w:lineRule="atLeast"/>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账号：</w:t>
            </w:r>
          </w:p>
        </w:tc>
        <w:tc>
          <w:tcPr>
            <w:tcW w:w="4981" w:type="dxa"/>
            <w:vAlign w:val="center"/>
          </w:tcPr>
          <w:p>
            <w:pPr>
              <w:pStyle w:val="30"/>
              <w:spacing w:line="240" w:lineRule="atLeast"/>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账号：</w:t>
            </w:r>
          </w:p>
        </w:tc>
      </w:tr>
      <w:tr>
        <w:tblPrEx>
          <w:tblCellMar>
            <w:top w:w="0" w:type="dxa"/>
            <w:left w:w="108" w:type="dxa"/>
            <w:bottom w:w="0" w:type="dxa"/>
            <w:right w:w="108" w:type="dxa"/>
          </w:tblCellMar>
        </w:tblPrEx>
        <w:trPr>
          <w:trHeight w:val="718" w:hRule="atLeast"/>
          <w:jc w:val="center"/>
        </w:trPr>
        <w:tc>
          <w:tcPr>
            <w:tcW w:w="4981" w:type="dxa"/>
            <w:vAlign w:val="center"/>
          </w:tcPr>
          <w:p>
            <w:pPr>
              <w:pStyle w:val="30"/>
              <w:spacing w:line="240" w:lineRule="atLeast"/>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电话： </w:t>
            </w:r>
          </w:p>
        </w:tc>
        <w:tc>
          <w:tcPr>
            <w:tcW w:w="4981" w:type="dxa"/>
            <w:vAlign w:val="center"/>
          </w:tcPr>
          <w:p>
            <w:pPr>
              <w:pStyle w:val="30"/>
              <w:spacing w:line="240" w:lineRule="atLeast"/>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电话： </w:t>
            </w:r>
          </w:p>
        </w:tc>
      </w:tr>
      <w:tr>
        <w:tblPrEx>
          <w:tblCellMar>
            <w:top w:w="0" w:type="dxa"/>
            <w:left w:w="108" w:type="dxa"/>
            <w:bottom w:w="0" w:type="dxa"/>
            <w:right w:w="108" w:type="dxa"/>
          </w:tblCellMar>
        </w:tblPrEx>
        <w:trPr>
          <w:trHeight w:val="724" w:hRule="atLeast"/>
          <w:jc w:val="center"/>
        </w:trPr>
        <w:tc>
          <w:tcPr>
            <w:tcW w:w="4981" w:type="dxa"/>
            <w:vAlign w:val="center"/>
          </w:tcPr>
          <w:p>
            <w:pPr>
              <w:pStyle w:val="30"/>
              <w:spacing w:line="240" w:lineRule="atLeast"/>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传真：</w:t>
            </w:r>
          </w:p>
        </w:tc>
        <w:tc>
          <w:tcPr>
            <w:tcW w:w="4981" w:type="dxa"/>
            <w:vAlign w:val="center"/>
          </w:tcPr>
          <w:p>
            <w:pPr>
              <w:pStyle w:val="30"/>
              <w:spacing w:line="240" w:lineRule="atLeast"/>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传真：</w:t>
            </w:r>
          </w:p>
        </w:tc>
      </w:tr>
      <w:tr>
        <w:tblPrEx>
          <w:tblCellMar>
            <w:top w:w="0" w:type="dxa"/>
            <w:left w:w="108" w:type="dxa"/>
            <w:bottom w:w="0" w:type="dxa"/>
            <w:right w:w="108" w:type="dxa"/>
          </w:tblCellMar>
        </w:tblPrEx>
        <w:trPr>
          <w:trHeight w:val="724" w:hRule="atLeast"/>
          <w:jc w:val="center"/>
        </w:trPr>
        <w:tc>
          <w:tcPr>
            <w:tcW w:w="4981" w:type="dxa"/>
            <w:vAlign w:val="center"/>
          </w:tcPr>
          <w:p>
            <w:pPr>
              <w:pStyle w:val="30"/>
              <w:spacing w:line="240" w:lineRule="atLeast"/>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签约日期：XX年XX月XX日</w:t>
            </w:r>
          </w:p>
        </w:tc>
        <w:tc>
          <w:tcPr>
            <w:tcW w:w="4981" w:type="dxa"/>
            <w:vAlign w:val="center"/>
          </w:tcPr>
          <w:p>
            <w:pPr>
              <w:pStyle w:val="30"/>
              <w:spacing w:line="240" w:lineRule="atLeast"/>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签约日期：XX年XX月XX日</w:t>
            </w:r>
          </w:p>
        </w:tc>
      </w:tr>
      <w:bookmarkEnd w:id="224"/>
    </w:tbl>
    <w:p>
      <w:pPr>
        <w:pStyle w:val="15"/>
        <w:spacing w:after="0" w:line="240" w:lineRule="atLeast"/>
        <w:ind w:firstLine="0" w:firstLineChars="0"/>
        <w:rPr>
          <w:rFonts w:ascii="宋体" w:hAnsi="宋体" w:cs="宋体"/>
          <w:color w:val="000000" w:themeColor="text1"/>
          <w:kern w:val="2"/>
          <w14:textFill>
            <w14:solidFill>
              <w14:schemeClr w14:val="tx1"/>
            </w14:solidFill>
          </w14:textFill>
        </w:rPr>
      </w:pPr>
    </w:p>
    <w:p>
      <w:pPr>
        <w:pStyle w:val="2"/>
      </w:pPr>
    </w:p>
    <w:p/>
    <w:p>
      <w:pPr>
        <w:pStyle w:val="2"/>
      </w:pPr>
    </w:p>
    <w:p/>
    <w:p>
      <w:pPr>
        <w:pStyle w:val="2"/>
      </w:pPr>
    </w:p>
    <w:p/>
    <w:p>
      <w:pPr>
        <w:pStyle w:val="2"/>
      </w:pPr>
    </w:p>
    <w:p/>
    <w:p>
      <w:pPr>
        <w:pStyle w:val="2"/>
      </w:pPr>
    </w:p>
    <w:p/>
    <w:p>
      <w:pPr>
        <w:pStyle w:val="2"/>
      </w:pPr>
    </w:p>
    <w:p/>
    <w:p>
      <w:pPr>
        <w:pStyle w:val="2"/>
      </w:pPr>
    </w:p>
    <w:p>
      <w:pPr>
        <w:keepNext/>
        <w:keepLines/>
        <w:spacing w:before="340" w:after="330" w:line="400" w:lineRule="exact"/>
        <w:ind w:left="283"/>
        <w:outlineLvl w:val="0"/>
        <w:rPr>
          <w:rFonts w:ascii="宋体" w:hAnsi="宋体" w:cs="宋体"/>
          <w:b/>
          <w:bCs/>
          <w:spacing w:val="-20"/>
          <w:kern w:val="44"/>
          <w:sz w:val="30"/>
          <w:szCs w:val="30"/>
        </w:rPr>
      </w:pPr>
      <w:bookmarkStart w:id="226" w:name="_Toc18937"/>
      <w:r>
        <w:rPr>
          <w:rFonts w:hint="eastAsia" w:ascii="宋体" w:hAnsi="宋体" w:cs="宋体"/>
          <w:b/>
          <w:bCs/>
          <w:spacing w:val="-20"/>
          <w:kern w:val="44"/>
          <w:sz w:val="30"/>
          <w:szCs w:val="30"/>
        </w:rPr>
        <w:t>附件1：</w:t>
      </w:r>
      <w:bookmarkEnd w:id="226"/>
    </w:p>
    <w:tbl>
      <w:tblPr>
        <w:tblStyle w:val="16"/>
        <w:tblW w:w="8390" w:type="dxa"/>
        <w:jc w:val="center"/>
        <w:tblLayout w:type="fixed"/>
        <w:tblCellMar>
          <w:top w:w="0" w:type="dxa"/>
          <w:left w:w="0" w:type="dxa"/>
          <w:bottom w:w="0" w:type="dxa"/>
          <w:right w:w="0" w:type="dxa"/>
        </w:tblCellMar>
      </w:tblPr>
      <w:tblGrid>
        <w:gridCol w:w="765"/>
        <w:gridCol w:w="3094"/>
        <w:gridCol w:w="1697"/>
        <w:gridCol w:w="2834"/>
      </w:tblGrid>
      <w:tr>
        <w:tblPrEx>
          <w:tblCellMar>
            <w:top w:w="0" w:type="dxa"/>
            <w:left w:w="0" w:type="dxa"/>
            <w:bottom w:w="0" w:type="dxa"/>
            <w:right w:w="0" w:type="dxa"/>
          </w:tblCellMar>
        </w:tblPrEx>
        <w:trPr>
          <w:trHeight w:val="615" w:hRule="atLeast"/>
          <w:jc w:val="center"/>
        </w:trPr>
        <w:tc>
          <w:tcPr>
            <w:tcW w:w="8390"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b/>
                <w:sz w:val="36"/>
                <w:szCs w:val="36"/>
              </w:rPr>
            </w:pPr>
            <w:r>
              <w:rPr>
                <w:rFonts w:hint="eastAsia" w:ascii="宋体" w:hAnsi="宋体" w:cs="宋体"/>
                <w:b/>
                <w:kern w:val="0"/>
                <w:sz w:val="32"/>
                <w:szCs w:val="32"/>
                <w:lang w:bidi="ar"/>
              </w:rPr>
              <w:t>成都市双流区首批开展政府采购信用融资业务银行联系方式</w:t>
            </w:r>
          </w:p>
        </w:tc>
      </w:tr>
      <w:tr>
        <w:tblPrEx>
          <w:tblCellMar>
            <w:top w:w="0" w:type="dxa"/>
            <w:left w:w="0" w:type="dxa"/>
            <w:bottom w:w="0" w:type="dxa"/>
            <w:right w:w="0" w:type="dxa"/>
          </w:tblCellMar>
        </w:tblPrEx>
        <w:trPr>
          <w:trHeight w:val="392"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sz w:val="22"/>
              </w:rPr>
            </w:pPr>
          </w:p>
        </w:tc>
        <w:tc>
          <w:tcPr>
            <w:tcW w:w="3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sz w:val="22"/>
              </w:rPr>
            </w:pPr>
          </w:p>
        </w:tc>
        <w:tc>
          <w:tcPr>
            <w:tcW w:w="169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sz w:val="22"/>
              </w:rPr>
            </w:pPr>
          </w:p>
        </w:tc>
        <w:tc>
          <w:tcPr>
            <w:tcW w:w="28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sz w:val="22"/>
              </w:rPr>
            </w:pPr>
          </w:p>
        </w:tc>
      </w:tr>
      <w:tr>
        <w:tblPrEx>
          <w:tblCellMar>
            <w:top w:w="0" w:type="dxa"/>
            <w:left w:w="0" w:type="dxa"/>
            <w:bottom w:w="0" w:type="dxa"/>
            <w:right w:w="0" w:type="dxa"/>
          </w:tblCellMar>
        </w:tblPrEx>
        <w:trPr>
          <w:trHeight w:val="491" w:hRule="atLeast"/>
          <w:jc w:val="center"/>
        </w:trPr>
        <w:tc>
          <w:tcPr>
            <w:tcW w:w="76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序号</w:t>
            </w:r>
          </w:p>
        </w:tc>
        <w:tc>
          <w:tcPr>
            <w:tcW w:w="309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银行名称</w:t>
            </w:r>
          </w:p>
        </w:tc>
        <w:tc>
          <w:tcPr>
            <w:tcW w:w="169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联系人</w:t>
            </w:r>
          </w:p>
        </w:tc>
        <w:tc>
          <w:tcPr>
            <w:tcW w:w="283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联系电话</w:t>
            </w:r>
          </w:p>
        </w:tc>
      </w:tr>
      <w:tr>
        <w:tblPrEx>
          <w:tblCellMar>
            <w:top w:w="0" w:type="dxa"/>
            <w:left w:w="0" w:type="dxa"/>
            <w:bottom w:w="0" w:type="dxa"/>
            <w:right w:w="0" w:type="dxa"/>
          </w:tblCellMar>
        </w:tblPrEx>
        <w:trPr>
          <w:trHeight w:val="549" w:hRule="atLeast"/>
          <w:jc w:val="center"/>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w:t>
            </w:r>
          </w:p>
        </w:tc>
        <w:tc>
          <w:tcPr>
            <w:tcW w:w="30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成都银行双流支行</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周慧</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18108267808</w:t>
            </w:r>
          </w:p>
        </w:tc>
      </w:tr>
      <w:tr>
        <w:tblPrEx>
          <w:tblCellMar>
            <w:top w:w="0" w:type="dxa"/>
            <w:left w:w="0" w:type="dxa"/>
            <w:bottom w:w="0" w:type="dxa"/>
            <w:right w:w="0" w:type="dxa"/>
          </w:tblCellMar>
        </w:tblPrEx>
        <w:trPr>
          <w:trHeight w:val="549"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rPr>
            </w:pPr>
          </w:p>
        </w:tc>
        <w:tc>
          <w:tcPr>
            <w:tcW w:w="30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胡恒彬</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18190896900 </w:t>
            </w:r>
          </w:p>
        </w:tc>
      </w:tr>
      <w:tr>
        <w:tblPrEx>
          <w:tblCellMar>
            <w:top w:w="0" w:type="dxa"/>
            <w:left w:w="0" w:type="dxa"/>
            <w:bottom w:w="0" w:type="dxa"/>
            <w:right w:w="0" w:type="dxa"/>
          </w:tblCellMar>
        </w:tblPrEx>
        <w:trPr>
          <w:trHeight w:val="549"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2</w:t>
            </w:r>
          </w:p>
        </w:tc>
        <w:tc>
          <w:tcPr>
            <w:tcW w:w="3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中国建设银行双流分行</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袁俊辉</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13688076753</w:t>
            </w:r>
          </w:p>
        </w:tc>
      </w:tr>
      <w:tr>
        <w:tblPrEx>
          <w:tblCellMar>
            <w:top w:w="0" w:type="dxa"/>
            <w:left w:w="0" w:type="dxa"/>
            <w:bottom w:w="0" w:type="dxa"/>
            <w:right w:w="0" w:type="dxa"/>
          </w:tblCellMar>
        </w:tblPrEx>
        <w:trPr>
          <w:trHeight w:val="549" w:hRule="atLeast"/>
          <w:jc w:val="center"/>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3</w:t>
            </w:r>
          </w:p>
        </w:tc>
        <w:tc>
          <w:tcPr>
            <w:tcW w:w="30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交通银行双流分行</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吴旭睿</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18980585584</w:t>
            </w:r>
          </w:p>
        </w:tc>
      </w:tr>
      <w:tr>
        <w:tblPrEx>
          <w:tblCellMar>
            <w:top w:w="0" w:type="dxa"/>
            <w:left w:w="0" w:type="dxa"/>
            <w:bottom w:w="0" w:type="dxa"/>
            <w:right w:w="0" w:type="dxa"/>
          </w:tblCellMar>
        </w:tblPrEx>
        <w:trPr>
          <w:trHeight w:val="549"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rPr>
            </w:pPr>
          </w:p>
        </w:tc>
        <w:tc>
          <w:tcPr>
            <w:tcW w:w="30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席梦娇</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18284529669 </w:t>
            </w:r>
          </w:p>
        </w:tc>
      </w:tr>
      <w:tr>
        <w:tblPrEx>
          <w:tblCellMar>
            <w:top w:w="0" w:type="dxa"/>
            <w:left w:w="0" w:type="dxa"/>
            <w:bottom w:w="0" w:type="dxa"/>
            <w:right w:w="0" w:type="dxa"/>
          </w:tblCellMar>
        </w:tblPrEx>
        <w:trPr>
          <w:trHeight w:val="549"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4</w:t>
            </w:r>
          </w:p>
        </w:tc>
        <w:tc>
          <w:tcPr>
            <w:tcW w:w="3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中国农业银行双流支行</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徐丽</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13981781800</w:t>
            </w:r>
          </w:p>
        </w:tc>
      </w:tr>
      <w:tr>
        <w:tblPrEx>
          <w:tblCellMar>
            <w:top w:w="0" w:type="dxa"/>
            <w:left w:w="0" w:type="dxa"/>
            <w:bottom w:w="0" w:type="dxa"/>
            <w:right w:w="0" w:type="dxa"/>
          </w:tblCellMar>
        </w:tblPrEx>
        <w:trPr>
          <w:trHeight w:val="549"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5</w:t>
            </w:r>
          </w:p>
        </w:tc>
        <w:tc>
          <w:tcPr>
            <w:tcW w:w="3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成都农商银行双流支行</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谢薇</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18581896869</w:t>
            </w:r>
          </w:p>
        </w:tc>
      </w:tr>
      <w:tr>
        <w:tblPrEx>
          <w:tblCellMar>
            <w:top w:w="0" w:type="dxa"/>
            <w:left w:w="0" w:type="dxa"/>
            <w:bottom w:w="0" w:type="dxa"/>
            <w:right w:w="0" w:type="dxa"/>
          </w:tblCellMar>
        </w:tblPrEx>
        <w:trPr>
          <w:trHeight w:val="549" w:hRule="atLeast"/>
          <w:jc w:val="center"/>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6</w:t>
            </w:r>
          </w:p>
        </w:tc>
        <w:tc>
          <w:tcPr>
            <w:tcW w:w="30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中国银行双流支行</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方讼之</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18684003573</w:t>
            </w:r>
          </w:p>
        </w:tc>
      </w:tr>
      <w:tr>
        <w:tblPrEx>
          <w:tblCellMar>
            <w:top w:w="0" w:type="dxa"/>
            <w:left w:w="0" w:type="dxa"/>
            <w:bottom w:w="0" w:type="dxa"/>
            <w:right w:w="0" w:type="dxa"/>
          </w:tblCellMar>
        </w:tblPrEx>
        <w:trPr>
          <w:trHeight w:val="549"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rPr>
            </w:pPr>
          </w:p>
        </w:tc>
        <w:tc>
          <w:tcPr>
            <w:tcW w:w="30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彭洋</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13540664856</w:t>
            </w:r>
          </w:p>
        </w:tc>
      </w:tr>
      <w:tr>
        <w:tblPrEx>
          <w:tblCellMar>
            <w:top w:w="0" w:type="dxa"/>
            <w:left w:w="0" w:type="dxa"/>
            <w:bottom w:w="0" w:type="dxa"/>
            <w:right w:w="0" w:type="dxa"/>
          </w:tblCellMar>
        </w:tblPrEx>
        <w:trPr>
          <w:trHeight w:val="549" w:hRule="atLeast"/>
          <w:jc w:val="center"/>
        </w:trPr>
        <w:tc>
          <w:tcPr>
            <w:tcW w:w="76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7</w:t>
            </w:r>
          </w:p>
        </w:tc>
        <w:tc>
          <w:tcPr>
            <w:tcW w:w="30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上海银行成都双流支行</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马欢</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028-67087516  17761260901</w:t>
            </w:r>
          </w:p>
        </w:tc>
      </w:tr>
      <w:tr>
        <w:tblPrEx>
          <w:tblCellMar>
            <w:top w:w="0" w:type="dxa"/>
            <w:left w:w="0" w:type="dxa"/>
            <w:bottom w:w="0" w:type="dxa"/>
            <w:right w:w="0" w:type="dxa"/>
          </w:tblCellMar>
        </w:tblPrEx>
        <w:trPr>
          <w:trHeight w:val="549" w:hRule="atLeast"/>
          <w:jc w:val="center"/>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8</w:t>
            </w:r>
          </w:p>
        </w:tc>
        <w:tc>
          <w:tcPr>
            <w:tcW w:w="30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浙商银行成都双流支行</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唐城</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13540090509</w:t>
            </w:r>
          </w:p>
        </w:tc>
      </w:tr>
      <w:tr>
        <w:tblPrEx>
          <w:tblCellMar>
            <w:top w:w="0" w:type="dxa"/>
            <w:left w:w="0" w:type="dxa"/>
            <w:bottom w:w="0" w:type="dxa"/>
            <w:right w:w="0" w:type="dxa"/>
          </w:tblCellMar>
        </w:tblPrEx>
        <w:trPr>
          <w:trHeight w:val="549"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rPr>
            </w:pPr>
          </w:p>
        </w:tc>
        <w:tc>
          <w:tcPr>
            <w:tcW w:w="30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艾燕</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13308183763</w:t>
            </w:r>
          </w:p>
        </w:tc>
      </w:tr>
      <w:tr>
        <w:tblPrEx>
          <w:tblCellMar>
            <w:top w:w="0" w:type="dxa"/>
            <w:left w:w="0" w:type="dxa"/>
            <w:bottom w:w="0" w:type="dxa"/>
            <w:right w:w="0" w:type="dxa"/>
          </w:tblCellMar>
        </w:tblPrEx>
        <w:trPr>
          <w:trHeight w:val="549" w:hRule="atLeast"/>
          <w:jc w:val="center"/>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9</w:t>
            </w:r>
          </w:p>
        </w:tc>
        <w:tc>
          <w:tcPr>
            <w:tcW w:w="30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中国工商银行成都双流支行</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邓经理</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028-62580231</w:t>
            </w:r>
          </w:p>
        </w:tc>
      </w:tr>
      <w:tr>
        <w:tblPrEx>
          <w:tblCellMar>
            <w:top w:w="0" w:type="dxa"/>
            <w:left w:w="0" w:type="dxa"/>
            <w:bottom w:w="0" w:type="dxa"/>
            <w:right w:w="0" w:type="dxa"/>
          </w:tblCellMar>
        </w:tblPrEx>
        <w:trPr>
          <w:trHeight w:val="549"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rPr>
            </w:pPr>
          </w:p>
        </w:tc>
        <w:tc>
          <w:tcPr>
            <w:tcW w:w="30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肖经理</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028-85895995</w:t>
            </w:r>
          </w:p>
        </w:tc>
      </w:tr>
      <w:tr>
        <w:tblPrEx>
          <w:tblCellMar>
            <w:top w:w="0" w:type="dxa"/>
            <w:left w:w="0" w:type="dxa"/>
            <w:bottom w:w="0" w:type="dxa"/>
            <w:right w:w="0" w:type="dxa"/>
          </w:tblCellMar>
        </w:tblPrEx>
        <w:trPr>
          <w:trHeight w:val="549" w:hRule="atLeast"/>
          <w:jc w:val="center"/>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10</w:t>
            </w:r>
          </w:p>
        </w:tc>
        <w:tc>
          <w:tcPr>
            <w:tcW w:w="30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中国邮政储蓄银行成都双流支行</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杨建华</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13981895940</w:t>
            </w:r>
          </w:p>
        </w:tc>
      </w:tr>
      <w:tr>
        <w:tblPrEx>
          <w:tblCellMar>
            <w:top w:w="0" w:type="dxa"/>
            <w:left w:w="0" w:type="dxa"/>
            <w:bottom w:w="0" w:type="dxa"/>
            <w:right w:w="0" w:type="dxa"/>
          </w:tblCellMar>
        </w:tblPrEx>
        <w:trPr>
          <w:trHeight w:val="568"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rPr>
            </w:pPr>
          </w:p>
        </w:tc>
        <w:tc>
          <w:tcPr>
            <w:tcW w:w="30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王宇飞</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13540385980</w:t>
            </w:r>
          </w:p>
        </w:tc>
      </w:tr>
    </w:tbl>
    <w:p>
      <w:pPr>
        <w:rPr>
          <w:rFonts w:ascii="宋体" w:hAnsi="宋体" w:cs="宋体"/>
        </w:rPr>
      </w:pPr>
    </w:p>
    <w:p>
      <w:pPr>
        <w:pStyle w:val="2"/>
        <w:spacing w:after="0" w:line="240" w:lineRule="auto"/>
        <w:rPr>
          <w:rFonts w:ascii="Times New Roman" w:hAnsi="Times New Roman" w:cs="宋体"/>
          <w:b/>
          <w:bCs/>
          <w:sz w:val="24"/>
          <w:szCs w:val="24"/>
        </w:rPr>
      </w:pPr>
    </w:p>
    <w:p>
      <w:pPr>
        <w:pStyle w:val="2"/>
        <w:spacing w:after="0" w:line="240" w:lineRule="auto"/>
        <w:rPr>
          <w:rFonts w:ascii="Times New Roman" w:hAnsi="Times New Roman" w:cs="宋体"/>
          <w:b/>
          <w:bCs/>
          <w:sz w:val="24"/>
          <w:szCs w:val="24"/>
        </w:rPr>
      </w:pPr>
    </w:p>
    <w:p>
      <w:pPr>
        <w:pStyle w:val="2"/>
        <w:spacing w:after="0" w:line="240" w:lineRule="auto"/>
        <w:rPr>
          <w:rFonts w:ascii="Times New Roman" w:hAnsi="Times New Roman" w:cs="宋体"/>
          <w:b/>
          <w:bCs/>
          <w:sz w:val="24"/>
          <w:szCs w:val="24"/>
        </w:rPr>
      </w:pPr>
    </w:p>
    <w:p>
      <w:pPr>
        <w:pStyle w:val="2"/>
        <w:spacing w:after="0" w:line="240" w:lineRule="auto"/>
        <w:rPr>
          <w:rFonts w:ascii="Times New Roman" w:hAnsi="Times New Roman" w:cs="宋体"/>
          <w:b/>
          <w:bCs/>
          <w:sz w:val="24"/>
          <w:szCs w:val="24"/>
        </w:rPr>
      </w:pPr>
    </w:p>
    <w:p>
      <w:pPr>
        <w:spacing w:line="680" w:lineRule="exact"/>
        <w:jc w:val="left"/>
        <w:rPr>
          <w:rFonts w:ascii="Times New Roman" w:hAnsi="Times New Roman" w:cs="宋体"/>
          <w:b/>
          <w:bCs/>
          <w:sz w:val="24"/>
          <w:szCs w:val="24"/>
        </w:rPr>
      </w:pPr>
      <w:r>
        <w:rPr>
          <w:rFonts w:hint="eastAsia" w:ascii="Times New Roman" w:hAnsi="Times New Roman" w:cs="宋体"/>
          <w:b/>
          <w:bCs/>
          <w:sz w:val="24"/>
          <w:szCs w:val="24"/>
        </w:rPr>
        <w:t>附件2：</w:t>
      </w:r>
    </w:p>
    <w:p>
      <w:pPr>
        <w:spacing w:line="680" w:lineRule="exact"/>
        <w:jc w:val="center"/>
        <w:rPr>
          <w:rFonts w:ascii="方正小标宋_GBK" w:eastAsia="方正小标宋_GBK"/>
          <w:bCs/>
          <w:sz w:val="44"/>
          <w:szCs w:val="44"/>
        </w:rPr>
      </w:pPr>
      <w:r>
        <w:rPr>
          <w:rFonts w:hint="eastAsia" w:ascii="方正小标宋_GBK" w:eastAsia="方正小标宋_GBK"/>
          <w:bCs/>
          <w:sz w:val="44"/>
          <w:szCs w:val="44"/>
        </w:rPr>
        <w:t>成都市双流区人民政府怡心街道办事处</w:t>
      </w:r>
    </w:p>
    <w:p>
      <w:pPr>
        <w:spacing w:line="680" w:lineRule="exact"/>
        <w:jc w:val="center"/>
        <w:rPr>
          <w:rFonts w:ascii="仿宋_GB2312" w:eastAsia="仿宋_GB2312"/>
          <w:sz w:val="32"/>
          <w:szCs w:val="32"/>
        </w:rPr>
      </w:pPr>
      <w:r>
        <w:rPr>
          <w:rFonts w:hint="eastAsia" w:ascii="方正小标宋_GBK" w:eastAsia="方正小标宋_GBK"/>
          <w:bCs/>
          <w:sz w:val="44"/>
          <w:szCs w:val="44"/>
        </w:rPr>
        <w:t>环境卫生作业考核办法</w:t>
      </w:r>
    </w:p>
    <w:p>
      <w:pPr>
        <w:ind w:firstLine="703" w:firstLineChars="250"/>
        <w:rPr>
          <w:rFonts w:ascii="黑体" w:hAnsi="黑体" w:eastAsia="黑体"/>
          <w:b/>
          <w:sz w:val="28"/>
          <w:szCs w:val="28"/>
        </w:rPr>
      </w:pPr>
      <w:r>
        <w:rPr>
          <w:rFonts w:hint="eastAsia" w:ascii="黑体" w:hAnsi="黑体" w:eastAsia="黑体"/>
          <w:b/>
          <w:sz w:val="28"/>
          <w:szCs w:val="28"/>
        </w:rPr>
        <w:t>一、考核组织实施</w:t>
      </w:r>
    </w:p>
    <w:p>
      <w:pPr>
        <w:ind w:firstLine="700" w:firstLineChars="250"/>
        <w:rPr>
          <w:rFonts w:ascii="仿宋_GB2312" w:eastAsia="仿宋_GB2312"/>
          <w:sz w:val="28"/>
          <w:szCs w:val="28"/>
        </w:rPr>
      </w:pPr>
      <w:r>
        <w:rPr>
          <w:rFonts w:hint="eastAsia" w:ascii="仿宋_GB2312" w:eastAsia="仿宋_GB2312"/>
          <w:sz w:val="28"/>
          <w:szCs w:val="28"/>
        </w:rPr>
        <w:t>环境卫生作业考核工作由怡心街道办事处组织实施。街道综合执法协调办（城管办）、各社区共同负责对其作业质量进行日常检查和考核，综合执法协调办（城管办）负责组织辖区全域环境治理的集中检查、资料汇总和工作通报，并对其存在的问题责令整改、落实。</w:t>
      </w:r>
    </w:p>
    <w:p>
      <w:pPr>
        <w:ind w:firstLine="703" w:firstLineChars="250"/>
        <w:rPr>
          <w:rFonts w:ascii="黑体" w:hAnsi="黑体" w:eastAsia="黑体"/>
          <w:b/>
          <w:sz w:val="28"/>
          <w:szCs w:val="28"/>
        </w:rPr>
      </w:pPr>
      <w:r>
        <w:rPr>
          <w:rFonts w:hint="eastAsia" w:ascii="黑体" w:hAnsi="黑体" w:eastAsia="黑体"/>
          <w:b/>
          <w:sz w:val="28"/>
          <w:szCs w:val="28"/>
        </w:rPr>
        <w:t>二、考核对象</w:t>
      </w:r>
    </w:p>
    <w:p>
      <w:pPr>
        <w:ind w:firstLine="700" w:firstLineChars="250"/>
        <w:rPr>
          <w:rFonts w:ascii="仿宋_GB2312" w:eastAsia="仿宋_GB2312"/>
          <w:b/>
          <w:sz w:val="28"/>
          <w:szCs w:val="28"/>
        </w:rPr>
      </w:pPr>
      <w:r>
        <w:rPr>
          <w:rFonts w:hint="eastAsia" w:ascii="仿宋_GB2312" w:eastAsia="仿宋_GB2312"/>
          <w:sz w:val="28"/>
          <w:szCs w:val="28"/>
        </w:rPr>
        <w:t>怡心街道辖区内环卫作业公司。</w:t>
      </w:r>
    </w:p>
    <w:p>
      <w:pPr>
        <w:ind w:firstLine="703" w:firstLineChars="250"/>
        <w:rPr>
          <w:rFonts w:ascii="黑体" w:hAnsi="黑体" w:eastAsia="黑体"/>
          <w:b/>
          <w:sz w:val="28"/>
          <w:szCs w:val="28"/>
        </w:rPr>
      </w:pPr>
      <w:r>
        <w:rPr>
          <w:rFonts w:hint="eastAsia" w:ascii="黑体" w:hAnsi="黑体" w:eastAsia="黑体"/>
          <w:b/>
          <w:sz w:val="28"/>
          <w:szCs w:val="28"/>
        </w:rPr>
        <w:t>三、考核内容及标准</w:t>
      </w:r>
    </w:p>
    <w:p>
      <w:pPr>
        <w:rPr>
          <w:rFonts w:ascii="仿宋_GB2312" w:eastAsia="仿宋_GB2312"/>
          <w:sz w:val="28"/>
          <w:szCs w:val="28"/>
        </w:rPr>
      </w:pPr>
      <w:r>
        <w:rPr>
          <w:rFonts w:hint="eastAsia" w:ascii="仿宋_GB2312" w:eastAsia="仿宋_GB2312"/>
          <w:sz w:val="28"/>
          <w:szCs w:val="28"/>
        </w:rPr>
        <w:t>考核内容按照《怡心街道办事处生活垃圾清运考核评分表》（附件2）执行。</w:t>
      </w:r>
    </w:p>
    <w:p>
      <w:pPr>
        <w:ind w:firstLine="703" w:firstLineChars="250"/>
        <w:rPr>
          <w:rFonts w:ascii="黑体" w:hAnsi="黑体" w:eastAsia="黑体"/>
          <w:b/>
          <w:sz w:val="28"/>
          <w:szCs w:val="28"/>
        </w:rPr>
      </w:pPr>
      <w:r>
        <w:rPr>
          <w:rFonts w:hint="eastAsia" w:ascii="黑体" w:hAnsi="黑体" w:eastAsia="黑体"/>
          <w:b/>
          <w:sz w:val="28"/>
          <w:szCs w:val="28"/>
        </w:rPr>
        <w:t>四、考核办法</w:t>
      </w:r>
    </w:p>
    <w:p>
      <w:pPr>
        <w:ind w:firstLine="700" w:firstLineChars="250"/>
        <w:rPr>
          <w:rFonts w:ascii="仿宋_GB2312" w:eastAsia="仿宋_GB2312"/>
          <w:sz w:val="28"/>
          <w:szCs w:val="28"/>
        </w:rPr>
      </w:pPr>
      <w:r>
        <w:rPr>
          <w:rFonts w:hint="eastAsia" w:ascii="仿宋_GB2312" w:eastAsia="仿宋_GB2312"/>
          <w:sz w:val="28"/>
          <w:szCs w:val="28"/>
        </w:rPr>
        <w:t>1、环境卫生作业质量考核以综合执法协调办（城管办）日常巡查、各社区（每月不少于4次）巡查考核方式进行。分值占比分别为综合执法协调办（城管办）占70％、各社区占30％。</w:t>
      </w:r>
    </w:p>
    <w:p>
      <w:pPr>
        <w:ind w:firstLine="560" w:firstLineChars="200"/>
        <w:rPr>
          <w:rFonts w:ascii="仿宋_GB2312" w:eastAsia="仿宋_GB2312"/>
          <w:sz w:val="28"/>
          <w:szCs w:val="28"/>
        </w:rPr>
      </w:pPr>
      <w:r>
        <w:rPr>
          <w:rFonts w:hint="eastAsia" w:ascii="仿宋_GB2312" w:eastAsia="仿宋_GB2312"/>
          <w:sz w:val="28"/>
          <w:szCs w:val="28"/>
        </w:rPr>
        <w:t>综合执法协调办（城管办）每月开展日常检查，具体考核标准按照附件2执行。</w:t>
      </w:r>
    </w:p>
    <w:p>
      <w:pPr>
        <w:ind w:firstLine="560" w:firstLineChars="200"/>
        <w:rPr>
          <w:rFonts w:ascii="仿宋_GB2312" w:eastAsia="仿宋_GB2312"/>
          <w:sz w:val="28"/>
          <w:szCs w:val="28"/>
        </w:rPr>
      </w:pPr>
      <w:r>
        <w:rPr>
          <w:rFonts w:hint="eastAsia" w:ascii="仿宋_GB2312" w:eastAsia="仿宋_GB2312"/>
          <w:sz w:val="28"/>
          <w:szCs w:val="28"/>
        </w:rPr>
        <w:t>综合执法协调办（城管办）每月收集全考核表并按分值占比折算汇总，经作业公司签字确认后形成月考核成绩。</w:t>
      </w:r>
    </w:p>
    <w:p>
      <w:pPr>
        <w:ind w:firstLine="700" w:firstLineChars="250"/>
        <w:rPr>
          <w:rFonts w:ascii="仿宋_GB2312" w:eastAsia="仿宋_GB2312"/>
          <w:sz w:val="28"/>
          <w:szCs w:val="28"/>
        </w:rPr>
      </w:pPr>
      <w:r>
        <w:rPr>
          <w:rFonts w:hint="eastAsia" w:ascii="仿宋_GB2312" w:eastAsia="仿宋_GB2312"/>
          <w:sz w:val="28"/>
          <w:szCs w:val="28"/>
        </w:rPr>
        <w:t>2、上级部门和领导指出的重大问题，群众举报、投诉和新闻曝光等重大问题，经核实后，区级部门曝光或通报问题一次扣除服务费</w:t>
      </w:r>
      <w:r>
        <w:rPr>
          <w:rFonts w:ascii="仿宋_GB2312" w:eastAsia="仿宋_GB2312"/>
          <w:sz w:val="28"/>
          <w:szCs w:val="28"/>
        </w:rPr>
        <w:t>500</w:t>
      </w:r>
      <w:r>
        <w:rPr>
          <w:rFonts w:hint="eastAsia" w:ascii="仿宋_GB2312" w:eastAsia="仿宋_GB2312"/>
          <w:sz w:val="28"/>
          <w:szCs w:val="28"/>
        </w:rPr>
        <w:t>元，市级部门曝光一次扣除服务费</w:t>
      </w:r>
      <w:r>
        <w:rPr>
          <w:rFonts w:ascii="仿宋_GB2312" w:eastAsia="仿宋_GB2312"/>
          <w:sz w:val="28"/>
          <w:szCs w:val="28"/>
        </w:rPr>
        <w:t>1000</w:t>
      </w:r>
      <w:r>
        <w:rPr>
          <w:rFonts w:hint="eastAsia" w:ascii="仿宋_GB2312" w:eastAsia="仿宋_GB2312"/>
          <w:sz w:val="28"/>
          <w:szCs w:val="28"/>
        </w:rPr>
        <w:t>元，省级部门曝光一次扣除服务费</w:t>
      </w:r>
      <w:r>
        <w:rPr>
          <w:rFonts w:ascii="仿宋_GB2312" w:eastAsia="仿宋_GB2312"/>
          <w:sz w:val="28"/>
          <w:szCs w:val="28"/>
        </w:rPr>
        <w:t>2000</w:t>
      </w:r>
      <w:r>
        <w:rPr>
          <w:rFonts w:hint="eastAsia" w:ascii="仿宋_GB2312" w:eastAsia="仿宋_GB2312"/>
          <w:sz w:val="28"/>
          <w:szCs w:val="28"/>
        </w:rPr>
        <w:t>元。</w:t>
      </w:r>
    </w:p>
    <w:p>
      <w:pPr>
        <w:ind w:firstLine="700" w:firstLineChars="250"/>
        <w:rPr>
          <w:rFonts w:ascii="仿宋_GB2312" w:eastAsia="仿宋_GB2312"/>
          <w:sz w:val="28"/>
          <w:szCs w:val="28"/>
        </w:rPr>
      </w:pPr>
      <w:r>
        <w:rPr>
          <w:rFonts w:hint="eastAsia" w:ascii="仿宋_GB2312" w:eastAsia="仿宋_GB2312"/>
          <w:sz w:val="28"/>
          <w:szCs w:val="28"/>
        </w:rPr>
        <w:t>3、综合执法协调办（城管办）按照评分表所列项进行检查，检查出问题后，15分钟内必须作出整改，15分钟后未有整改行为，按相应检查项扣分值的1.5倍扣分；0.5小时以内按3倍扣分；0.5小时以上按5倍扣分。</w:t>
      </w:r>
    </w:p>
    <w:p>
      <w:pPr>
        <w:ind w:firstLine="700" w:firstLineChars="250"/>
        <w:rPr>
          <w:rFonts w:ascii="仿宋_GB2312" w:eastAsia="仿宋_GB2312"/>
          <w:sz w:val="28"/>
          <w:szCs w:val="28"/>
        </w:rPr>
      </w:pPr>
      <w:r>
        <w:rPr>
          <w:rFonts w:hint="eastAsia" w:ascii="仿宋_GB2312" w:eastAsia="仿宋_GB2312"/>
          <w:sz w:val="28"/>
          <w:szCs w:val="28"/>
        </w:rPr>
        <w:t>4.组织环境卫生检查考核时，工作人员在2人（含2人以上）参加，详实记录考核时间、地点和考核情况或拍照、摄像存档，若存在严重问题，被考核单位有关人员必须到场签字，立即整改。</w:t>
      </w:r>
    </w:p>
    <w:p>
      <w:pPr>
        <w:ind w:firstLine="700" w:firstLineChars="250"/>
        <w:rPr>
          <w:rFonts w:ascii="仿宋_GB2312" w:eastAsia="仿宋_GB2312"/>
          <w:sz w:val="28"/>
          <w:szCs w:val="28"/>
        </w:rPr>
      </w:pPr>
      <w:r>
        <w:rPr>
          <w:rFonts w:hint="eastAsia" w:ascii="仿宋_GB2312" w:eastAsia="仿宋_GB2312"/>
          <w:sz w:val="28"/>
          <w:szCs w:val="28"/>
        </w:rPr>
        <w:t>5.被考核单位不得以任何理由拒绝检查考核，否则其工作将直接被认定为不合格，由街道办终止合同。</w:t>
      </w:r>
    </w:p>
    <w:p>
      <w:pPr>
        <w:ind w:firstLine="703" w:firstLineChars="250"/>
        <w:rPr>
          <w:rFonts w:ascii="黑体" w:hAnsi="黑体" w:eastAsia="黑体"/>
          <w:b/>
          <w:sz w:val="28"/>
          <w:szCs w:val="28"/>
        </w:rPr>
      </w:pPr>
      <w:r>
        <w:rPr>
          <w:rFonts w:hint="eastAsia" w:ascii="黑体" w:hAnsi="黑体" w:eastAsia="黑体"/>
          <w:b/>
          <w:sz w:val="28"/>
          <w:szCs w:val="28"/>
        </w:rPr>
        <w:t>五、考核结果及使用</w:t>
      </w:r>
    </w:p>
    <w:p>
      <w:pPr>
        <w:ind w:firstLine="700" w:firstLineChars="250"/>
        <w:rPr>
          <w:rFonts w:ascii="仿宋_GB2312" w:eastAsia="仿宋_GB2312"/>
          <w:sz w:val="28"/>
          <w:szCs w:val="28"/>
        </w:rPr>
      </w:pPr>
      <w:r>
        <w:rPr>
          <w:rFonts w:hint="eastAsia" w:ascii="仿宋_GB2312" w:eastAsia="仿宋_GB2312"/>
          <w:sz w:val="28"/>
          <w:szCs w:val="28"/>
        </w:rPr>
        <w:t>1、考核按月开展实行百分制，评分采取倒扣分制，考核结果每月通报。</w:t>
      </w:r>
    </w:p>
    <w:p>
      <w:pPr>
        <w:ind w:firstLine="700" w:firstLineChars="250"/>
        <w:rPr>
          <w:rFonts w:ascii="仿宋_GB2312" w:eastAsia="仿宋_GB2312"/>
          <w:sz w:val="28"/>
          <w:szCs w:val="28"/>
        </w:rPr>
      </w:pPr>
      <w:r>
        <w:rPr>
          <w:rFonts w:hint="eastAsia" w:ascii="仿宋_GB2312" w:eastAsia="仿宋_GB2312"/>
          <w:sz w:val="28"/>
          <w:szCs w:val="28"/>
        </w:rPr>
        <w:t>2、每月考核得分情况与环卫作业服务费挂钩，具体扣款标准如下：</w:t>
      </w:r>
    </w:p>
    <w:p>
      <w:pPr>
        <w:ind w:firstLine="700" w:firstLineChars="250"/>
        <w:rPr>
          <w:rFonts w:ascii="仿宋_GB2312" w:eastAsia="仿宋_GB2312"/>
          <w:sz w:val="28"/>
          <w:szCs w:val="28"/>
        </w:rPr>
      </w:pPr>
      <w:r>
        <w:rPr>
          <w:rFonts w:hint="eastAsia" w:ascii="仿宋_GB2312" w:eastAsia="仿宋_GB2312"/>
          <w:sz w:val="28"/>
          <w:szCs w:val="28"/>
        </w:rPr>
        <w:t>（1）93分（含）至100分，每减少1分扣300元；</w:t>
      </w:r>
    </w:p>
    <w:p>
      <w:pPr>
        <w:ind w:firstLine="700" w:firstLineChars="250"/>
        <w:rPr>
          <w:rFonts w:ascii="仿宋_GB2312" w:eastAsia="仿宋_GB2312"/>
          <w:sz w:val="28"/>
          <w:szCs w:val="28"/>
        </w:rPr>
      </w:pPr>
      <w:r>
        <w:rPr>
          <w:rFonts w:hint="eastAsia" w:ascii="仿宋_GB2312" w:eastAsia="仿宋_GB2312"/>
          <w:sz w:val="28"/>
          <w:szCs w:val="28"/>
        </w:rPr>
        <w:t>（2）90分至93分（不含93分），每减少1分扣除500元；</w:t>
      </w:r>
    </w:p>
    <w:p>
      <w:pPr>
        <w:ind w:firstLine="700" w:firstLineChars="250"/>
        <w:rPr>
          <w:rFonts w:ascii="仿宋_GB2312" w:eastAsia="仿宋_GB2312"/>
          <w:sz w:val="28"/>
          <w:szCs w:val="28"/>
        </w:rPr>
      </w:pPr>
      <w:r>
        <w:rPr>
          <w:rFonts w:hint="eastAsia" w:ascii="仿宋_GB2312" w:eastAsia="仿宋_GB2312"/>
          <w:sz w:val="28"/>
          <w:szCs w:val="28"/>
        </w:rPr>
        <w:t>（3）85分至90分（不含90分），每减少1分扣除1000元；</w:t>
      </w:r>
    </w:p>
    <w:p>
      <w:pPr>
        <w:ind w:firstLine="700" w:firstLineChars="250"/>
        <w:rPr>
          <w:rFonts w:ascii="仿宋_GB2312" w:eastAsia="仿宋_GB2312"/>
          <w:sz w:val="28"/>
          <w:szCs w:val="28"/>
        </w:rPr>
      </w:pPr>
      <w:r>
        <w:rPr>
          <w:rFonts w:hint="eastAsia" w:ascii="仿宋_GB2312" w:eastAsia="仿宋_GB2312"/>
          <w:sz w:val="28"/>
          <w:szCs w:val="28"/>
        </w:rPr>
        <w:t>（4）80分至85分（不含85分），每减少1分扣除2000元；</w:t>
      </w:r>
    </w:p>
    <w:p>
      <w:pPr>
        <w:ind w:firstLine="700" w:firstLineChars="250"/>
        <w:rPr>
          <w:rFonts w:ascii="仿宋_GB2312" w:eastAsia="仿宋_GB2312"/>
          <w:sz w:val="28"/>
          <w:szCs w:val="28"/>
        </w:rPr>
      </w:pPr>
      <w:r>
        <w:rPr>
          <w:rFonts w:hint="eastAsia" w:ascii="仿宋_GB2312" w:eastAsia="仿宋_GB2312"/>
          <w:sz w:val="28"/>
          <w:szCs w:val="28"/>
        </w:rPr>
        <w:t>（5）80分以下（不含80分），扣除当月全额作业服务费。</w:t>
      </w:r>
    </w:p>
    <w:p>
      <w:pPr>
        <w:ind w:firstLine="700" w:firstLineChars="250"/>
        <w:rPr>
          <w:rFonts w:ascii="仿宋_GB2312" w:eastAsia="仿宋_GB2312"/>
          <w:sz w:val="28"/>
          <w:szCs w:val="28"/>
        </w:rPr>
      </w:pPr>
      <w:r>
        <w:rPr>
          <w:rFonts w:hint="eastAsia" w:ascii="仿宋_GB2312" w:eastAsia="仿宋_GB2312"/>
          <w:sz w:val="28"/>
          <w:szCs w:val="28"/>
        </w:rPr>
        <w:t>3、建立质量评价档案，辖区内环卫作业公司连续两次月考核得分在80分及以下的，由街道办</w:t>
      </w:r>
      <w:r>
        <w:rPr>
          <w:rFonts w:hint="eastAsia" w:ascii="仿宋_GB2312" w:eastAsia="仿宋_GB2312"/>
          <w:sz w:val="28"/>
          <w:szCs w:val="28"/>
          <w:lang w:eastAsia="zh-CN"/>
        </w:rPr>
        <w:t>终止</w:t>
      </w:r>
      <w:r>
        <w:rPr>
          <w:rFonts w:hint="eastAsia" w:ascii="仿宋_GB2312" w:eastAsia="仿宋_GB2312"/>
          <w:sz w:val="28"/>
          <w:szCs w:val="28"/>
        </w:rPr>
        <w:t>合同，由此产生的经济损失，由企业自行承担。凡在双流区被淘汰的环卫作业公司，不得参与街道下一轮环卫投标。（被考核单位认为考核有误可以向成都市双流区人民政府怡心街道办事处进行申辩，经复核</w:t>
      </w:r>
      <w:r>
        <w:rPr>
          <w:rFonts w:hint="eastAsia" w:ascii="仿宋_GB2312" w:eastAsia="仿宋_GB2312"/>
          <w:sz w:val="28"/>
          <w:szCs w:val="28"/>
          <w:lang w:eastAsia="zh-CN"/>
        </w:rPr>
        <w:t>重新</w:t>
      </w:r>
      <w:r>
        <w:rPr>
          <w:rFonts w:hint="eastAsia" w:ascii="仿宋_GB2312" w:eastAsia="仿宋_GB2312"/>
          <w:sz w:val="28"/>
          <w:szCs w:val="28"/>
        </w:rPr>
        <w:t>认定，复核只进行一次。）</w:t>
      </w:r>
    </w:p>
    <w:p>
      <w:pPr>
        <w:ind w:firstLine="562" w:firstLineChars="200"/>
        <w:rPr>
          <w:rFonts w:ascii="黑体" w:hAnsi="黑体" w:eastAsia="黑体"/>
          <w:b/>
          <w:sz w:val="28"/>
          <w:szCs w:val="28"/>
        </w:rPr>
      </w:pPr>
      <w:r>
        <w:rPr>
          <w:rFonts w:hint="eastAsia" w:ascii="黑体" w:hAnsi="黑体" w:eastAsia="黑体"/>
          <w:b/>
          <w:sz w:val="28"/>
          <w:szCs w:val="28"/>
        </w:rPr>
        <w:t>六、作业标准</w:t>
      </w:r>
    </w:p>
    <w:p>
      <w:pPr>
        <w:ind w:firstLine="700" w:firstLineChars="250"/>
        <w:rPr>
          <w:rFonts w:ascii="仿宋_GB2312" w:eastAsia="仿宋_GB2312" w:cs="宋体"/>
          <w:sz w:val="28"/>
          <w:szCs w:val="28"/>
        </w:rPr>
      </w:pPr>
      <w:r>
        <w:rPr>
          <w:rFonts w:hint="eastAsia" w:ascii="仿宋_GB2312" w:eastAsia="仿宋_GB2312" w:cs="宋体"/>
          <w:sz w:val="28"/>
          <w:szCs w:val="28"/>
        </w:rPr>
        <w:t>1.按要求配置齐全垃圾清运设备和人员，各类清运设备保养良好，工作正常；</w:t>
      </w:r>
    </w:p>
    <w:p>
      <w:pPr>
        <w:ind w:firstLine="700" w:firstLineChars="250"/>
        <w:rPr>
          <w:rFonts w:ascii="仿宋_GB2312" w:eastAsia="仿宋_GB2312" w:cs="宋体"/>
          <w:sz w:val="28"/>
          <w:szCs w:val="28"/>
        </w:rPr>
      </w:pPr>
      <w:r>
        <w:rPr>
          <w:rFonts w:hint="eastAsia" w:ascii="仿宋_GB2312" w:eastAsia="仿宋_GB2312" w:cs="宋体"/>
          <w:sz w:val="28"/>
          <w:szCs w:val="28"/>
        </w:rPr>
        <w:t>2.垃圾清运人员统一着装，佩戴安全标识；</w:t>
      </w:r>
    </w:p>
    <w:p>
      <w:pPr>
        <w:ind w:firstLine="700" w:firstLineChars="250"/>
        <w:rPr>
          <w:rFonts w:ascii="仿宋_GB2312" w:eastAsia="仿宋_GB2312" w:cs="宋体"/>
          <w:sz w:val="28"/>
          <w:szCs w:val="28"/>
        </w:rPr>
      </w:pPr>
      <w:r>
        <w:rPr>
          <w:rFonts w:hint="eastAsia" w:ascii="仿宋_GB2312" w:eastAsia="仿宋_GB2312" w:cs="宋体"/>
          <w:sz w:val="28"/>
          <w:szCs w:val="28"/>
        </w:rPr>
        <w:t>3.每周召开工作人员培训会，做好会议记录；</w:t>
      </w:r>
    </w:p>
    <w:p>
      <w:pPr>
        <w:ind w:firstLine="700" w:firstLineChars="250"/>
        <w:rPr>
          <w:rFonts w:ascii="仿宋_GB2312" w:eastAsia="仿宋_GB2312" w:cs="宋体"/>
          <w:sz w:val="28"/>
          <w:szCs w:val="28"/>
        </w:rPr>
      </w:pPr>
      <w:r>
        <w:rPr>
          <w:rFonts w:hint="eastAsia" w:ascii="仿宋_GB2312" w:eastAsia="仿宋_GB2312" w:cs="宋体"/>
          <w:sz w:val="28"/>
          <w:szCs w:val="28"/>
        </w:rPr>
        <w:t>4.在清运车辆上标明作业公司名称、作业范围、管理单位、监督电话等内容；</w:t>
      </w:r>
    </w:p>
    <w:p>
      <w:pPr>
        <w:ind w:firstLine="700" w:firstLineChars="250"/>
        <w:rPr>
          <w:rFonts w:ascii="仿宋_GB2312" w:eastAsia="仿宋_GB2312" w:cs="宋体"/>
          <w:sz w:val="28"/>
          <w:szCs w:val="28"/>
        </w:rPr>
      </w:pPr>
      <w:r>
        <w:rPr>
          <w:rFonts w:hint="eastAsia" w:ascii="仿宋_GB2312" w:eastAsia="仿宋_GB2312" w:cs="宋体"/>
          <w:sz w:val="28"/>
          <w:szCs w:val="28"/>
        </w:rPr>
        <w:t>5.垃圾每日清运，积存垃圾不能超过半吨；</w:t>
      </w:r>
    </w:p>
    <w:p>
      <w:pPr>
        <w:ind w:firstLine="700" w:firstLineChars="250"/>
        <w:rPr>
          <w:rFonts w:ascii="仿宋_GB2312" w:eastAsia="仿宋_GB2312" w:cs="宋体"/>
          <w:sz w:val="28"/>
          <w:szCs w:val="28"/>
        </w:rPr>
      </w:pPr>
      <w:r>
        <w:rPr>
          <w:rFonts w:hint="eastAsia" w:ascii="仿宋_GB2312" w:eastAsia="仿宋_GB2312" w:cs="宋体"/>
          <w:sz w:val="28"/>
          <w:szCs w:val="28"/>
        </w:rPr>
        <w:t>6.垃圾车在清运过程中，应覆盖蓬布、车辆沿途无抛撒、滴漏；</w:t>
      </w:r>
    </w:p>
    <w:p>
      <w:pPr>
        <w:ind w:firstLine="700" w:firstLineChars="250"/>
        <w:rPr>
          <w:rFonts w:ascii="仿宋_GB2312" w:eastAsia="仿宋_GB2312" w:cs="宋体"/>
          <w:sz w:val="28"/>
          <w:szCs w:val="28"/>
        </w:rPr>
      </w:pPr>
      <w:r>
        <w:rPr>
          <w:rFonts w:hint="eastAsia" w:ascii="仿宋_GB2312" w:eastAsia="仿宋_GB2312" w:cs="宋体"/>
          <w:sz w:val="28"/>
          <w:szCs w:val="28"/>
        </w:rPr>
        <w:t>7.垃圾桶不得满溢或漏桶；</w:t>
      </w:r>
    </w:p>
    <w:p>
      <w:pPr>
        <w:ind w:firstLine="700" w:firstLineChars="250"/>
        <w:rPr>
          <w:rFonts w:ascii="仿宋_GB2312" w:eastAsia="仿宋_GB2312" w:cs="宋体"/>
          <w:sz w:val="28"/>
          <w:szCs w:val="28"/>
        </w:rPr>
      </w:pPr>
      <w:r>
        <w:rPr>
          <w:rFonts w:hint="eastAsia" w:ascii="仿宋_GB2312" w:eastAsia="仿宋_GB2312" w:cs="宋体"/>
          <w:sz w:val="28"/>
          <w:szCs w:val="28"/>
        </w:rPr>
        <w:t>8. 垃圾桶和设施如有遗失、损坏的应及时逐级上报并查追；</w:t>
      </w:r>
    </w:p>
    <w:p>
      <w:pPr>
        <w:ind w:firstLine="700" w:firstLineChars="250"/>
        <w:rPr>
          <w:rFonts w:ascii="仿宋_GB2312" w:eastAsia="仿宋_GB2312" w:cs="宋体"/>
          <w:sz w:val="28"/>
          <w:szCs w:val="28"/>
        </w:rPr>
      </w:pPr>
      <w:r>
        <w:rPr>
          <w:rFonts w:hint="eastAsia" w:ascii="仿宋_GB2312" w:eastAsia="仿宋_GB2312" w:cs="宋体"/>
          <w:sz w:val="28"/>
          <w:szCs w:val="28"/>
        </w:rPr>
        <w:t>9.每日按照规定时间完成清运；</w:t>
      </w:r>
    </w:p>
    <w:p>
      <w:pPr>
        <w:ind w:firstLine="700" w:firstLineChars="250"/>
        <w:rPr>
          <w:rFonts w:ascii="仿宋_GB2312" w:eastAsia="仿宋_GB2312" w:cs="宋体"/>
          <w:sz w:val="28"/>
          <w:szCs w:val="28"/>
        </w:rPr>
      </w:pPr>
      <w:r>
        <w:rPr>
          <w:rFonts w:hint="eastAsia" w:ascii="仿宋_GB2312" w:eastAsia="仿宋_GB2312" w:cs="宋体"/>
          <w:sz w:val="28"/>
          <w:szCs w:val="28"/>
        </w:rPr>
        <w:t>10.垃圾清运车车容应整洁；</w:t>
      </w:r>
    </w:p>
    <w:p>
      <w:pPr>
        <w:ind w:firstLine="700" w:firstLineChars="250"/>
        <w:rPr>
          <w:rFonts w:ascii="仿宋_GB2312" w:eastAsia="仿宋_GB2312" w:cs="宋体"/>
          <w:sz w:val="28"/>
          <w:szCs w:val="28"/>
        </w:rPr>
      </w:pPr>
      <w:r>
        <w:rPr>
          <w:rFonts w:hint="eastAsia" w:ascii="仿宋_GB2312" w:eastAsia="仿宋_GB2312" w:cs="宋体"/>
          <w:sz w:val="28"/>
          <w:szCs w:val="28"/>
        </w:rPr>
        <w:t>11.清运公司应服从突发性指挥调派；</w:t>
      </w:r>
    </w:p>
    <w:p>
      <w:pPr>
        <w:ind w:firstLine="700" w:firstLineChars="250"/>
        <w:rPr>
          <w:b/>
          <w:bCs/>
        </w:rPr>
      </w:pPr>
      <w:r>
        <w:rPr>
          <w:rFonts w:hint="eastAsia" w:ascii="仿宋_GB2312" w:eastAsia="仿宋_GB2312" w:cs="宋体"/>
          <w:sz w:val="28"/>
          <w:szCs w:val="28"/>
        </w:rPr>
        <w:t>12.突发性产生的垃圾， 30分钟内应作应急处理。</w:t>
      </w:r>
    </w:p>
    <w:p>
      <w:pPr>
        <w:jc w:val="left"/>
        <w:rPr>
          <w:b/>
          <w:bCs/>
        </w:rPr>
      </w:pPr>
    </w:p>
    <w:p>
      <w:pPr>
        <w:pStyle w:val="2"/>
        <w:rPr>
          <w:b/>
          <w:bCs/>
        </w:rPr>
      </w:pPr>
    </w:p>
    <w:p>
      <w:pPr>
        <w:rPr>
          <w:b/>
          <w:bCs/>
        </w:rPr>
      </w:pPr>
    </w:p>
    <w:p>
      <w:pPr>
        <w:pStyle w:val="2"/>
        <w:rPr>
          <w:b/>
          <w:bCs/>
        </w:rPr>
      </w:pPr>
    </w:p>
    <w:p>
      <w:pPr>
        <w:rPr>
          <w:b/>
          <w:bCs/>
        </w:rPr>
      </w:pPr>
    </w:p>
    <w:p>
      <w:pPr>
        <w:pStyle w:val="2"/>
        <w:rPr>
          <w:b/>
          <w:bCs/>
        </w:rPr>
      </w:pPr>
    </w:p>
    <w:p>
      <w:pPr>
        <w:rPr>
          <w:b/>
          <w:bCs/>
        </w:rPr>
      </w:pPr>
    </w:p>
    <w:p>
      <w:pPr>
        <w:pStyle w:val="2"/>
        <w:rPr>
          <w:b/>
          <w:bCs/>
        </w:rPr>
      </w:pPr>
    </w:p>
    <w:p>
      <w:pPr>
        <w:rPr>
          <w:b/>
          <w:bCs/>
        </w:rPr>
      </w:pPr>
    </w:p>
    <w:p>
      <w:pPr>
        <w:pStyle w:val="2"/>
        <w:rPr>
          <w:b/>
          <w:bCs/>
        </w:rPr>
      </w:pPr>
    </w:p>
    <w:p>
      <w:pPr>
        <w:rPr>
          <w:b/>
          <w:bCs/>
        </w:rPr>
      </w:pPr>
    </w:p>
    <w:p>
      <w:pPr>
        <w:pStyle w:val="2"/>
        <w:rPr>
          <w:b/>
          <w:bCs/>
        </w:rPr>
      </w:pPr>
    </w:p>
    <w:p/>
    <w:p>
      <w:pPr>
        <w:jc w:val="left"/>
        <w:rPr>
          <w:b/>
          <w:bCs/>
        </w:rPr>
      </w:pPr>
    </w:p>
    <w:p>
      <w:pPr>
        <w:jc w:val="left"/>
        <w:rPr>
          <w:rFonts w:ascii="黑体" w:hAnsi="黑体" w:eastAsia="黑体" w:cs="黑体"/>
          <w:b/>
          <w:bCs/>
          <w:sz w:val="28"/>
          <w:szCs w:val="28"/>
        </w:rPr>
      </w:pPr>
      <w:r>
        <w:rPr>
          <w:rFonts w:hint="eastAsia"/>
          <w:b/>
          <w:bCs/>
          <w:sz w:val="28"/>
          <w:szCs w:val="28"/>
        </w:rPr>
        <w:t>附件</w:t>
      </w:r>
      <w:r>
        <w:rPr>
          <w:rFonts w:hint="eastAsia"/>
          <w:b/>
          <w:bCs/>
          <w:sz w:val="28"/>
          <w:szCs w:val="28"/>
          <w:lang w:val="en-US" w:eastAsia="zh-CN"/>
        </w:rPr>
        <w:t>3</w:t>
      </w:r>
      <w:r>
        <w:rPr>
          <w:rFonts w:hint="eastAsia"/>
          <w:b/>
          <w:bCs/>
          <w:sz w:val="28"/>
          <w:szCs w:val="28"/>
        </w:rPr>
        <w:t>：</w:t>
      </w:r>
    </w:p>
    <w:p>
      <w:pPr>
        <w:jc w:val="center"/>
      </w:pPr>
      <w:r>
        <w:rPr>
          <w:rFonts w:hint="eastAsia" w:ascii="宋体" w:hAnsi="宋体"/>
          <w:b/>
          <w:sz w:val="32"/>
          <w:szCs w:val="32"/>
        </w:rPr>
        <w:t>怡心街道办事处生活垃圾清运考核评分表</w:t>
      </w:r>
    </w:p>
    <w:tbl>
      <w:tblPr>
        <w:tblStyle w:val="1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4140"/>
        <w:gridCol w:w="900"/>
        <w:gridCol w:w="900"/>
        <w:gridCol w:w="720"/>
        <w:gridCol w:w="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1008" w:type="dxa"/>
            <w:vAlign w:val="center"/>
          </w:tcPr>
          <w:p>
            <w:pPr>
              <w:jc w:val="center"/>
              <w:rPr>
                <w:rFonts w:ascii="楷体" w:hAnsi="楷体" w:eastAsia="楷体"/>
                <w:sz w:val="24"/>
                <w:szCs w:val="24"/>
              </w:rPr>
            </w:pPr>
            <w:r>
              <w:rPr>
                <w:rFonts w:hint="eastAsia" w:ascii="楷体" w:hAnsi="楷体" w:eastAsia="楷体"/>
                <w:sz w:val="24"/>
                <w:szCs w:val="24"/>
              </w:rPr>
              <w:t>考核</w:t>
            </w:r>
          </w:p>
          <w:p>
            <w:pPr>
              <w:jc w:val="center"/>
              <w:rPr>
                <w:rFonts w:ascii="楷体" w:hAnsi="楷体" w:eastAsia="楷体"/>
                <w:sz w:val="24"/>
                <w:szCs w:val="24"/>
              </w:rPr>
            </w:pPr>
            <w:r>
              <w:rPr>
                <w:rFonts w:hint="eastAsia" w:ascii="楷体" w:hAnsi="楷体" w:eastAsia="楷体"/>
                <w:sz w:val="24"/>
                <w:szCs w:val="24"/>
              </w:rPr>
              <w:t>项目</w:t>
            </w:r>
          </w:p>
        </w:tc>
        <w:tc>
          <w:tcPr>
            <w:tcW w:w="4140" w:type="dxa"/>
            <w:vAlign w:val="center"/>
          </w:tcPr>
          <w:p>
            <w:pPr>
              <w:jc w:val="center"/>
              <w:rPr>
                <w:rFonts w:ascii="楷体" w:hAnsi="楷体" w:eastAsia="楷体"/>
                <w:sz w:val="24"/>
                <w:szCs w:val="24"/>
              </w:rPr>
            </w:pPr>
            <w:r>
              <w:rPr>
                <w:rFonts w:hint="eastAsia" w:ascii="楷体" w:hAnsi="楷体" w:eastAsia="楷体"/>
                <w:sz w:val="24"/>
                <w:szCs w:val="24"/>
              </w:rPr>
              <w:t>考核内容</w:t>
            </w:r>
          </w:p>
        </w:tc>
        <w:tc>
          <w:tcPr>
            <w:tcW w:w="1800" w:type="dxa"/>
            <w:gridSpan w:val="2"/>
            <w:vAlign w:val="center"/>
          </w:tcPr>
          <w:p>
            <w:pPr>
              <w:jc w:val="center"/>
              <w:rPr>
                <w:rFonts w:ascii="楷体" w:hAnsi="楷体" w:eastAsia="楷体"/>
                <w:sz w:val="24"/>
                <w:szCs w:val="24"/>
              </w:rPr>
            </w:pPr>
            <w:r>
              <w:rPr>
                <w:rFonts w:hint="eastAsia" w:ascii="楷体" w:hAnsi="楷体" w:eastAsia="楷体"/>
                <w:sz w:val="24"/>
                <w:szCs w:val="24"/>
              </w:rPr>
              <w:t>扣分情况</w:t>
            </w:r>
          </w:p>
        </w:tc>
        <w:tc>
          <w:tcPr>
            <w:tcW w:w="720" w:type="dxa"/>
            <w:vAlign w:val="center"/>
          </w:tcPr>
          <w:p>
            <w:pPr>
              <w:jc w:val="center"/>
              <w:rPr>
                <w:rFonts w:ascii="楷体" w:hAnsi="楷体" w:eastAsia="楷体"/>
                <w:sz w:val="24"/>
                <w:szCs w:val="24"/>
              </w:rPr>
            </w:pPr>
            <w:r>
              <w:rPr>
                <w:rFonts w:hint="eastAsia" w:ascii="楷体" w:hAnsi="楷体" w:eastAsia="楷体"/>
                <w:sz w:val="24"/>
                <w:szCs w:val="24"/>
              </w:rPr>
              <w:t>得分</w:t>
            </w:r>
          </w:p>
        </w:tc>
        <w:tc>
          <w:tcPr>
            <w:tcW w:w="854" w:type="dxa"/>
            <w:vAlign w:val="center"/>
          </w:tcPr>
          <w:p>
            <w:pPr>
              <w:jc w:val="center"/>
              <w:rPr>
                <w:rFonts w:ascii="楷体" w:hAnsi="楷体" w:eastAsia="楷体"/>
                <w:sz w:val="24"/>
                <w:szCs w:val="24"/>
              </w:rPr>
            </w:pPr>
            <w:r>
              <w:rPr>
                <w:rFonts w:hint="eastAsia" w:ascii="楷体" w:hAnsi="楷体" w:eastAsia="楷体"/>
                <w:sz w:val="24"/>
                <w:szCs w:val="24"/>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Merge w:val="restart"/>
            <w:vAlign w:val="center"/>
          </w:tcPr>
          <w:p>
            <w:pPr>
              <w:jc w:val="center"/>
              <w:rPr>
                <w:rFonts w:ascii="楷体" w:hAnsi="楷体" w:eastAsia="楷体"/>
                <w:sz w:val="24"/>
                <w:szCs w:val="24"/>
              </w:rPr>
            </w:pPr>
            <w:r>
              <w:rPr>
                <w:rFonts w:ascii="楷体" w:hAnsi="楷体" w:eastAsia="楷体"/>
                <w:sz w:val="24"/>
                <w:szCs w:val="24"/>
              </w:rPr>
              <w:t>管理</w:t>
            </w:r>
          </w:p>
          <w:p>
            <w:pPr>
              <w:jc w:val="center"/>
              <w:rPr>
                <w:rFonts w:ascii="楷体" w:hAnsi="楷体" w:eastAsia="楷体"/>
                <w:sz w:val="24"/>
                <w:szCs w:val="24"/>
              </w:rPr>
            </w:pPr>
            <w:r>
              <w:rPr>
                <w:rFonts w:ascii="楷体" w:hAnsi="楷体" w:eastAsia="楷体"/>
                <w:sz w:val="24"/>
                <w:szCs w:val="24"/>
              </w:rPr>
              <w:t>水平</w:t>
            </w:r>
            <w:r>
              <w:rPr>
                <w:rFonts w:hint="eastAsia" w:ascii="楷体" w:hAnsi="楷体" w:eastAsia="楷体"/>
                <w:sz w:val="24"/>
                <w:szCs w:val="24"/>
              </w:rPr>
              <w:t>（20分）</w:t>
            </w:r>
          </w:p>
        </w:tc>
        <w:tc>
          <w:tcPr>
            <w:tcW w:w="4140" w:type="dxa"/>
          </w:tcPr>
          <w:p>
            <w:pPr>
              <w:rPr>
                <w:rFonts w:ascii="楷体" w:hAnsi="楷体" w:eastAsia="楷体"/>
                <w:sz w:val="24"/>
                <w:szCs w:val="24"/>
              </w:rPr>
            </w:pPr>
            <w:r>
              <w:rPr>
                <w:rFonts w:ascii="楷体" w:hAnsi="楷体" w:eastAsia="楷体"/>
                <w:sz w:val="24"/>
                <w:szCs w:val="24"/>
              </w:rPr>
              <w:t>按要求配置齐全垃圾清运设备</w:t>
            </w:r>
            <w:r>
              <w:rPr>
                <w:rFonts w:hint="eastAsia" w:ascii="楷体" w:hAnsi="楷体" w:eastAsia="楷体"/>
                <w:sz w:val="24"/>
                <w:szCs w:val="24"/>
              </w:rPr>
              <w:t>和</w:t>
            </w:r>
            <w:r>
              <w:rPr>
                <w:rFonts w:ascii="楷体" w:hAnsi="楷体" w:eastAsia="楷体"/>
                <w:sz w:val="24"/>
                <w:szCs w:val="24"/>
              </w:rPr>
              <w:t>人员，各类清运设备保养良好</w:t>
            </w:r>
            <w:r>
              <w:rPr>
                <w:rFonts w:hint="eastAsia" w:ascii="楷体" w:hAnsi="楷体" w:eastAsia="楷体"/>
                <w:sz w:val="24"/>
                <w:szCs w:val="24"/>
              </w:rPr>
              <w:t>，</w:t>
            </w:r>
            <w:r>
              <w:rPr>
                <w:rFonts w:ascii="楷体" w:hAnsi="楷体" w:eastAsia="楷体"/>
                <w:sz w:val="24"/>
                <w:szCs w:val="24"/>
              </w:rPr>
              <w:t>工作正常，缺一项扣0.</w:t>
            </w:r>
            <w:r>
              <w:rPr>
                <w:rFonts w:hint="eastAsia" w:ascii="楷体" w:hAnsi="楷体" w:eastAsia="楷体"/>
                <w:sz w:val="24"/>
                <w:szCs w:val="24"/>
              </w:rPr>
              <w:t>5</w:t>
            </w:r>
            <w:r>
              <w:rPr>
                <w:rFonts w:ascii="楷体" w:hAnsi="楷体" w:eastAsia="楷体"/>
                <w:sz w:val="24"/>
                <w:szCs w:val="24"/>
              </w:rPr>
              <w:t>分</w:t>
            </w:r>
            <w:r>
              <w:rPr>
                <w:rFonts w:hint="eastAsia" w:ascii="楷体" w:hAnsi="楷体" w:eastAsia="楷体"/>
                <w:sz w:val="24"/>
                <w:szCs w:val="24"/>
              </w:rPr>
              <w:t>，共5分</w:t>
            </w:r>
          </w:p>
        </w:tc>
        <w:tc>
          <w:tcPr>
            <w:tcW w:w="900" w:type="dxa"/>
            <w:vAlign w:val="center"/>
          </w:tcPr>
          <w:p>
            <w:pPr>
              <w:rPr>
                <w:rFonts w:ascii="楷体" w:hAnsi="楷体" w:eastAsia="楷体"/>
                <w:sz w:val="24"/>
                <w:szCs w:val="24"/>
              </w:rPr>
            </w:pPr>
          </w:p>
        </w:tc>
        <w:tc>
          <w:tcPr>
            <w:tcW w:w="900" w:type="dxa"/>
            <w:vAlign w:val="center"/>
          </w:tcPr>
          <w:p>
            <w:pPr>
              <w:rPr>
                <w:rFonts w:ascii="楷体" w:hAnsi="楷体" w:eastAsia="楷体"/>
                <w:sz w:val="24"/>
                <w:szCs w:val="24"/>
              </w:rPr>
            </w:pPr>
          </w:p>
        </w:tc>
        <w:tc>
          <w:tcPr>
            <w:tcW w:w="720" w:type="dxa"/>
            <w:vAlign w:val="center"/>
          </w:tcPr>
          <w:p>
            <w:pPr>
              <w:rPr>
                <w:rFonts w:ascii="楷体" w:hAnsi="楷体" w:eastAsia="楷体"/>
                <w:sz w:val="24"/>
                <w:szCs w:val="24"/>
              </w:rPr>
            </w:pPr>
          </w:p>
        </w:tc>
        <w:tc>
          <w:tcPr>
            <w:tcW w:w="854" w:type="dxa"/>
            <w:vAlign w:val="center"/>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Merge w:val="continue"/>
            <w:vAlign w:val="center"/>
          </w:tcPr>
          <w:p>
            <w:pPr>
              <w:jc w:val="center"/>
              <w:rPr>
                <w:rFonts w:ascii="楷体" w:hAnsi="楷体" w:eastAsia="楷体"/>
                <w:sz w:val="24"/>
                <w:szCs w:val="24"/>
              </w:rPr>
            </w:pPr>
          </w:p>
        </w:tc>
        <w:tc>
          <w:tcPr>
            <w:tcW w:w="4140" w:type="dxa"/>
          </w:tcPr>
          <w:p>
            <w:pPr>
              <w:rPr>
                <w:rFonts w:ascii="楷体" w:hAnsi="楷体" w:eastAsia="楷体"/>
                <w:sz w:val="24"/>
                <w:szCs w:val="24"/>
              </w:rPr>
            </w:pPr>
            <w:r>
              <w:rPr>
                <w:rFonts w:hint="eastAsia" w:ascii="楷体" w:hAnsi="楷体" w:eastAsia="楷体"/>
                <w:sz w:val="24"/>
                <w:szCs w:val="24"/>
              </w:rPr>
              <w:t>垃圾清运人员</w:t>
            </w:r>
            <w:r>
              <w:rPr>
                <w:rFonts w:ascii="楷体" w:hAnsi="楷体" w:eastAsia="楷体"/>
                <w:sz w:val="24"/>
                <w:szCs w:val="24"/>
              </w:rPr>
              <w:t>统一着装，</w:t>
            </w:r>
            <w:r>
              <w:rPr>
                <w:rFonts w:hint="eastAsia" w:ascii="楷体" w:hAnsi="楷体" w:eastAsia="楷体"/>
                <w:sz w:val="24"/>
                <w:szCs w:val="24"/>
              </w:rPr>
              <w:t>佩戴</w:t>
            </w:r>
            <w:r>
              <w:rPr>
                <w:rFonts w:ascii="楷体" w:hAnsi="楷体" w:eastAsia="楷体"/>
                <w:sz w:val="24"/>
                <w:szCs w:val="24"/>
              </w:rPr>
              <w:t>安全标识</w:t>
            </w:r>
            <w:r>
              <w:rPr>
                <w:rFonts w:hint="eastAsia" w:ascii="楷体" w:hAnsi="楷体" w:eastAsia="楷体"/>
                <w:sz w:val="24"/>
                <w:szCs w:val="24"/>
              </w:rPr>
              <w:t>，</w:t>
            </w:r>
            <w:r>
              <w:rPr>
                <w:rFonts w:ascii="楷体" w:hAnsi="楷体" w:eastAsia="楷体"/>
                <w:sz w:val="24"/>
                <w:szCs w:val="24"/>
              </w:rPr>
              <w:t>未</w:t>
            </w:r>
            <w:r>
              <w:rPr>
                <w:rFonts w:hint="eastAsia" w:ascii="楷体" w:hAnsi="楷体" w:eastAsia="楷体"/>
                <w:sz w:val="24"/>
                <w:szCs w:val="24"/>
              </w:rPr>
              <w:t>达到要求</w:t>
            </w:r>
            <w:r>
              <w:rPr>
                <w:rFonts w:ascii="楷体" w:hAnsi="楷体" w:eastAsia="楷体"/>
                <w:sz w:val="24"/>
                <w:szCs w:val="24"/>
              </w:rPr>
              <w:t>扣0.</w:t>
            </w:r>
            <w:r>
              <w:rPr>
                <w:rFonts w:hint="eastAsia" w:ascii="楷体" w:hAnsi="楷体" w:eastAsia="楷体"/>
                <w:sz w:val="24"/>
                <w:szCs w:val="24"/>
              </w:rPr>
              <w:t>5</w:t>
            </w:r>
            <w:r>
              <w:rPr>
                <w:rFonts w:ascii="楷体" w:hAnsi="楷体" w:eastAsia="楷体"/>
                <w:sz w:val="24"/>
                <w:szCs w:val="24"/>
              </w:rPr>
              <w:t>分</w:t>
            </w:r>
            <w:r>
              <w:rPr>
                <w:rFonts w:hint="eastAsia" w:ascii="楷体" w:hAnsi="楷体" w:eastAsia="楷体"/>
                <w:sz w:val="24"/>
                <w:szCs w:val="24"/>
              </w:rPr>
              <w:t>，共5分</w:t>
            </w:r>
          </w:p>
        </w:tc>
        <w:tc>
          <w:tcPr>
            <w:tcW w:w="900" w:type="dxa"/>
            <w:vAlign w:val="center"/>
          </w:tcPr>
          <w:p>
            <w:pPr>
              <w:rPr>
                <w:rFonts w:ascii="楷体" w:hAnsi="楷体" w:eastAsia="楷体"/>
                <w:sz w:val="24"/>
                <w:szCs w:val="24"/>
              </w:rPr>
            </w:pPr>
          </w:p>
        </w:tc>
        <w:tc>
          <w:tcPr>
            <w:tcW w:w="900" w:type="dxa"/>
            <w:vAlign w:val="center"/>
          </w:tcPr>
          <w:p>
            <w:pPr>
              <w:rPr>
                <w:rFonts w:ascii="楷体" w:hAnsi="楷体" w:eastAsia="楷体"/>
                <w:sz w:val="24"/>
                <w:szCs w:val="24"/>
              </w:rPr>
            </w:pPr>
          </w:p>
        </w:tc>
        <w:tc>
          <w:tcPr>
            <w:tcW w:w="720" w:type="dxa"/>
            <w:vAlign w:val="center"/>
          </w:tcPr>
          <w:p>
            <w:pPr>
              <w:rPr>
                <w:rFonts w:ascii="楷体" w:hAnsi="楷体" w:eastAsia="楷体"/>
                <w:sz w:val="24"/>
                <w:szCs w:val="24"/>
              </w:rPr>
            </w:pPr>
          </w:p>
        </w:tc>
        <w:tc>
          <w:tcPr>
            <w:tcW w:w="854" w:type="dxa"/>
            <w:vAlign w:val="center"/>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Merge w:val="continue"/>
            <w:vAlign w:val="center"/>
          </w:tcPr>
          <w:p>
            <w:pPr>
              <w:jc w:val="center"/>
              <w:rPr>
                <w:rFonts w:ascii="楷体" w:hAnsi="楷体" w:eastAsia="楷体"/>
                <w:sz w:val="24"/>
                <w:szCs w:val="24"/>
              </w:rPr>
            </w:pPr>
          </w:p>
        </w:tc>
        <w:tc>
          <w:tcPr>
            <w:tcW w:w="4140" w:type="dxa"/>
          </w:tcPr>
          <w:p>
            <w:pPr>
              <w:rPr>
                <w:rFonts w:ascii="楷体" w:hAnsi="楷体" w:eastAsia="楷体"/>
                <w:sz w:val="24"/>
                <w:szCs w:val="24"/>
              </w:rPr>
            </w:pPr>
            <w:r>
              <w:rPr>
                <w:rFonts w:ascii="楷体" w:hAnsi="楷体" w:eastAsia="楷体"/>
                <w:sz w:val="24"/>
                <w:szCs w:val="24"/>
              </w:rPr>
              <w:t>每周召开</w:t>
            </w:r>
            <w:r>
              <w:rPr>
                <w:rFonts w:hint="eastAsia" w:ascii="楷体" w:hAnsi="楷体" w:eastAsia="楷体"/>
                <w:sz w:val="24"/>
                <w:szCs w:val="24"/>
              </w:rPr>
              <w:t>工作</w:t>
            </w:r>
            <w:r>
              <w:rPr>
                <w:rFonts w:ascii="楷体" w:hAnsi="楷体" w:eastAsia="楷体"/>
                <w:sz w:val="24"/>
                <w:szCs w:val="24"/>
              </w:rPr>
              <w:t>人员培训会，</w:t>
            </w:r>
            <w:r>
              <w:rPr>
                <w:rFonts w:hint="eastAsia" w:ascii="楷体" w:hAnsi="楷体" w:eastAsia="楷体"/>
                <w:sz w:val="24"/>
                <w:szCs w:val="24"/>
              </w:rPr>
              <w:t>做好</w:t>
            </w:r>
            <w:r>
              <w:rPr>
                <w:rFonts w:ascii="楷体" w:hAnsi="楷体" w:eastAsia="楷体"/>
                <w:sz w:val="24"/>
                <w:szCs w:val="24"/>
              </w:rPr>
              <w:t>会议记录，缺一次扣</w:t>
            </w:r>
            <w:r>
              <w:rPr>
                <w:rFonts w:hint="eastAsia" w:ascii="楷体" w:hAnsi="楷体" w:eastAsia="楷体"/>
                <w:sz w:val="24"/>
                <w:szCs w:val="24"/>
              </w:rPr>
              <w:t>1</w:t>
            </w:r>
            <w:r>
              <w:rPr>
                <w:rFonts w:ascii="楷体" w:hAnsi="楷体" w:eastAsia="楷体"/>
                <w:sz w:val="24"/>
                <w:szCs w:val="24"/>
              </w:rPr>
              <w:t>分</w:t>
            </w:r>
            <w:r>
              <w:rPr>
                <w:rFonts w:hint="eastAsia" w:ascii="楷体" w:hAnsi="楷体" w:eastAsia="楷体"/>
                <w:sz w:val="24"/>
                <w:szCs w:val="24"/>
              </w:rPr>
              <w:t>，共5分</w:t>
            </w:r>
          </w:p>
        </w:tc>
        <w:tc>
          <w:tcPr>
            <w:tcW w:w="900" w:type="dxa"/>
            <w:vAlign w:val="center"/>
          </w:tcPr>
          <w:p>
            <w:pPr>
              <w:rPr>
                <w:rFonts w:ascii="楷体" w:hAnsi="楷体" w:eastAsia="楷体"/>
                <w:sz w:val="24"/>
                <w:szCs w:val="24"/>
              </w:rPr>
            </w:pPr>
          </w:p>
        </w:tc>
        <w:tc>
          <w:tcPr>
            <w:tcW w:w="900" w:type="dxa"/>
            <w:vAlign w:val="center"/>
          </w:tcPr>
          <w:p>
            <w:pPr>
              <w:rPr>
                <w:rFonts w:ascii="楷体" w:hAnsi="楷体" w:eastAsia="楷体"/>
                <w:sz w:val="24"/>
                <w:szCs w:val="24"/>
              </w:rPr>
            </w:pPr>
          </w:p>
        </w:tc>
        <w:tc>
          <w:tcPr>
            <w:tcW w:w="720" w:type="dxa"/>
            <w:vAlign w:val="center"/>
          </w:tcPr>
          <w:p>
            <w:pPr>
              <w:rPr>
                <w:rFonts w:ascii="楷体" w:hAnsi="楷体" w:eastAsia="楷体"/>
                <w:sz w:val="24"/>
                <w:szCs w:val="24"/>
              </w:rPr>
            </w:pPr>
          </w:p>
        </w:tc>
        <w:tc>
          <w:tcPr>
            <w:tcW w:w="854" w:type="dxa"/>
            <w:vAlign w:val="center"/>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Merge w:val="continue"/>
            <w:vAlign w:val="center"/>
          </w:tcPr>
          <w:p>
            <w:pPr>
              <w:jc w:val="center"/>
              <w:rPr>
                <w:rFonts w:ascii="楷体" w:hAnsi="楷体" w:eastAsia="楷体"/>
                <w:sz w:val="24"/>
                <w:szCs w:val="24"/>
              </w:rPr>
            </w:pPr>
          </w:p>
        </w:tc>
        <w:tc>
          <w:tcPr>
            <w:tcW w:w="4140" w:type="dxa"/>
          </w:tcPr>
          <w:p>
            <w:pPr>
              <w:rPr>
                <w:rFonts w:ascii="楷体" w:hAnsi="楷体" w:eastAsia="楷体"/>
                <w:sz w:val="24"/>
                <w:szCs w:val="24"/>
              </w:rPr>
            </w:pPr>
            <w:r>
              <w:rPr>
                <w:rFonts w:hint="eastAsia" w:ascii="楷体" w:hAnsi="楷体" w:eastAsia="楷体"/>
                <w:sz w:val="24"/>
                <w:szCs w:val="24"/>
              </w:rPr>
              <w:t>在清运车辆上标明作业公司名称、作业范围、管理单位、监督电话等内容，未标明扣0.5分，共5分</w:t>
            </w:r>
          </w:p>
        </w:tc>
        <w:tc>
          <w:tcPr>
            <w:tcW w:w="900" w:type="dxa"/>
            <w:vAlign w:val="center"/>
          </w:tcPr>
          <w:p>
            <w:pPr>
              <w:rPr>
                <w:rFonts w:ascii="楷体" w:hAnsi="楷体" w:eastAsia="楷体"/>
                <w:sz w:val="24"/>
                <w:szCs w:val="24"/>
              </w:rPr>
            </w:pPr>
          </w:p>
        </w:tc>
        <w:tc>
          <w:tcPr>
            <w:tcW w:w="900" w:type="dxa"/>
            <w:vAlign w:val="center"/>
          </w:tcPr>
          <w:p>
            <w:pPr>
              <w:rPr>
                <w:rFonts w:ascii="楷体" w:hAnsi="楷体" w:eastAsia="楷体"/>
                <w:sz w:val="24"/>
                <w:szCs w:val="24"/>
              </w:rPr>
            </w:pPr>
          </w:p>
        </w:tc>
        <w:tc>
          <w:tcPr>
            <w:tcW w:w="720" w:type="dxa"/>
            <w:vAlign w:val="center"/>
          </w:tcPr>
          <w:p>
            <w:pPr>
              <w:rPr>
                <w:rFonts w:ascii="楷体" w:hAnsi="楷体" w:eastAsia="楷体"/>
                <w:sz w:val="24"/>
                <w:szCs w:val="24"/>
              </w:rPr>
            </w:pPr>
          </w:p>
        </w:tc>
        <w:tc>
          <w:tcPr>
            <w:tcW w:w="854" w:type="dxa"/>
            <w:vAlign w:val="center"/>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Merge w:val="restart"/>
            <w:vAlign w:val="center"/>
          </w:tcPr>
          <w:p>
            <w:pPr>
              <w:jc w:val="center"/>
              <w:rPr>
                <w:rFonts w:ascii="楷体" w:hAnsi="楷体" w:eastAsia="楷体"/>
                <w:sz w:val="24"/>
                <w:szCs w:val="24"/>
              </w:rPr>
            </w:pPr>
            <w:r>
              <w:rPr>
                <w:rFonts w:hint="eastAsia" w:ascii="楷体" w:hAnsi="楷体" w:eastAsia="楷体"/>
                <w:sz w:val="24"/>
                <w:szCs w:val="24"/>
              </w:rPr>
              <w:t>垃圾</w:t>
            </w:r>
          </w:p>
          <w:p>
            <w:pPr>
              <w:jc w:val="center"/>
              <w:rPr>
                <w:rFonts w:ascii="楷体" w:hAnsi="楷体" w:eastAsia="楷体"/>
                <w:sz w:val="24"/>
                <w:szCs w:val="24"/>
              </w:rPr>
            </w:pPr>
            <w:r>
              <w:rPr>
                <w:rFonts w:hint="eastAsia" w:ascii="楷体" w:hAnsi="楷体" w:eastAsia="楷体"/>
                <w:sz w:val="24"/>
                <w:szCs w:val="24"/>
              </w:rPr>
              <w:t>清运</w:t>
            </w:r>
          </w:p>
          <w:p>
            <w:pPr>
              <w:jc w:val="center"/>
              <w:rPr>
                <w:rFonts w:ascii="楷体" w:hAnsi="楷体" w:eastAsia="楷体"/>
                <w:sz w:val="24"/>
                <w:szCs w:val="24"/>
              </w:rPr>
            </w:pPr>
            <w:r>
              <w:rPr>
                <w:rFonts w:hint="eastAsia" w:ascii="楷体" w:hAnsi="楷体" w:eastAsia="楷体"/>
                <w:sz w:val="24"/>
                <w:szCs w:val="24"/>
              </w:rPr>
              <w:t>作业（80分）</w:t>
            </w:r>
          </w:p>
        </w:tc>
        <w:tc>
          <w:tcPr>
            <w:tcW w:w="4140" w:type="dxa"/>
          </w:tcPr>
          <w:p>
            <w:pPr>
              <w:rPr>
                <w:rFonts w:ascii="楷体" w:hAnsi="楷体" w:eastAsia="楷体"/>
                <w:sz w:val="24"/>
                <w:szCs w:val="24"/>
              </w:rPr>
            </w:pPr>
            <w:r>
              <w:rPr>
                <w:rFonts w:hint="eastAsia" w:ascii="楷体" w:hAnsi="楷体" w:eastAsia="楷体"/>
                <w:sz w:val="24"/>
                <w:szCs w:val="24"/>
              </w:rPr>
              <w:t>垃圾每日清运，积存垃圾半吨以上扣2分，共10分</w:t>
            </w:r>
          </w:p>
        </w:tc>
        <w:tc>
          <w:tcPr>
            <w:tcW w:w="900" w:type="dxa"/>
            <w:vAlign w:val="center"/>
          </w:tcPr>
          <w:p>
            <w:pPr>
              <w:rPr>
                <w:rFonts w:ascii="楷体" w:hAnsi="楷体" w:eastAsia="楷体"/>
                <w:sz w:val="24"/>
                <w:szCs w:val="24"/>
              </w:rPr>
            </w:pPr>
          </w:p>
        </w:tc>
        <w:tc>
          <w:tcPr>
            <w:tcW w:w="900" w:type="dxa"/>
            <w:vAlign w:val="center"/>
          </w:tcPr>
          <w:p>
            <w:pPr>
              <w:rPr>
                <w:rFonts w:ascii="楷体" w:hAnsi="楷体" w:eastAsia="楷体"/>
                <w:sz w:val="24"/>
                <w:szCs w:val="24"/>
              </w:rPr>
            </w:pPr>
          </w:p>
        </w:tc>
        <w:tc>
          <w:tcPr>
            <w:tcW w:w="720" w:type="dxa"/>
            <w:vAlign w:val="center"/>
          </w:tcPr>
          <w:p>
            <w:pPr>
              <w:rPr>
                <w:rFonts w:ascii="楷体" w:hAnsi="楷体" w:eastAsia="楷体"/>
                <w:sz w:val="24"/>
                <w:szCs w:val="24"/>
              </w:rPr>
            </w:pPr>
          </w:p>
        </w:tc>
        <w:tc>
          <w:tcPr>
            <w:tcW w:w="854" w:type="dxa"/>
            <w:vAlign w:val="center"/>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Merge w:val="continue"/>
            <w:vAlign w:val="center"/>
          </w:tcPr>
          <w:p>
            <w:pPr>
              <w:rPr>
                <w:rFonts w:ascii="楷体" w:hAnsi="楷体" w:eastAsia="楷体"/>
                <w:sz w:val="24"/>
                <w:szCs w:val="24"/>
              </w:rPr>
            </w:pPr>
          </w:p>
        </w:tc>
        <w:tc>
          <w:tcPr>
            <w:tcW w:w="4140" w:type="dxa"/>
          </w:tcPr>
          <w:p>
            <w:pPr>
              <w:rPr>
                <w:rFonts w:ascii="楷体" w:hAnsi="楷体" w:eastAsia="楷体"/>
                <w:sz w:val="24"/>
                <w:szCs w:val="24"/>
              </w:rPr>
            </w:pPr>
            <w:r>
              <w:rPr>
                <w:rFonts w:hint="eastAsia" w:ascii="楷体" w:hAnsi="楷体" w:eastAsia="楷体"/>
                <w:sz w:val="24"/>
                <w:szCs w:val="24"/>
              </w:rPr>
              <w:t>垃圾车在清运过程中，未覆盖蓬布、车辆沿途抛撒、滴漏的，有一项扣除1分，共10分</w:t>
            </w:r>
          </w:p>
        </w:tc>
        <w:tc>
          <w:tcPr>
            <w:tcW w:w="900" w:type="dxa"/>
            <w:vAlign w:val="center"/>
          </w:tcPr>
          <w:p>
            <w:pPr>
              <w:rPr>
                <w:rFonts w:ascii="楷体" w:hAnsi="楷体" w:eastAsia="楷体"/>
                <w:sz w:val="24"/>
                <w:szCs w:val="24"/>
              </w:rPr>
            </w:pPr>
          </w:p>
        </w:tc>
        <w:tc>
          <w:tcPr>
            <w:tcW w:w="900" w:type="dxa"/>
            <w:vAlign w:val="center"/>
          </w:tcPr>
          <w:p>
            <w:pPr>
              <w:rPr>
                <w:rFonts w:ascii="楷体" w:hAnsi="楷体" w:eastAsia="楷体"/>
                <w:sz w:val="24"/>
                <w:szCs w:val="24"/>
              </w:rPr>
            </w:pPr>
          </w:p>
        </w:tc>
        <w:tc>
          <w:tcPr>
            <w:tcW w:w="720" w:type="dxa"/>
            <w:vAlign w:val="center"/>
          </w:tcPr>
          <w:p>
            <w:pPr>
              <w:rPr>
                <w:rFonts w:ascii="楷体" w:hAnsi="楷体" w:eastAsia="楷体"/>
                <w:sz w:val="24"/>
                <w:szCs w:val="24"/>
              </w:rPr>
            </w:pPr>
          </w:p>
        </w:tc>
        <w:tc>
          <w:tcPr>
            <w:tcW w:w="854" w:type="dxa"/>
            <w:vAlign w:val="center"/>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Merge w:val="continue"/>
            <w:vAlign w:val="center"/>
          </w:tcPr>
          <w:p>
            <w:pPr>
              <w:rPr>
                <w:rFonts w:ascii="楷体" w:hAnsi="楷体" w:eastAsia="楷体"/>
                <w:sz w:val="24"/>
                <w:szCs w:val="24"/>
              </w:rPr>
            </w:pPr>
          </w:p>
        </w:tc>
        <w:tc>
          <w:tcPr>
            <w:tcW w:w="4140" w:type="dxa"/>
          </w:tcPr>
          <w:p>
            <w:pPr>
              <w:rPr>
                <w:rFonts w:ascii="楷体" w:hAnsi="楷体" w:eastAsia="楷体"/>
                <w:sz w:val="24"/>
                <w:szCs w:val="24"/>
              </w:rPr>
            </w:pPr>
            <w:r>
              <w:rPr>
                <w:rFonts w:hint="eastAsia" w:ascii="楷体" w:hAnsi="楷体" w:eastAsia="楷体"/>
                <w:sz w:val="24"/>
                <w:szCs w:val="24"/>
              </w:rPr>
              <w:t>检查发现有垃圾桶满溢或漏桶的每处扣2分，共10分</w:t>
            </w:r>
          </w:p>
        </w:tc>
        <w:tc>
          <w:tcPr>
            <w:tcW w:w="900" w:type="dxa"/>
            <w:vAlign w:val="center"/>
          </w:tcPr>
          <w:p>
            <w:pPr>
              <w:rPr>
                <w:rFonts w:ascii="楷体" w:hAnsi="楷体" w:eastAsia="楷体"/>
                <w:sz w:val="24"/>
                <w:szCs w:val="24"/>
              </w:rPr>
            </w:pPr>
          </w:p>
        </w:tc>
        <w:tc>
          <w:tcPr>
            <w:tcW w:w="900" w:type="dxa"/>
            <w:vAlign w:val="center"/>
          </w:tcPr>
          <w:p>
            <w:pPr>
              <w:rPr>
                <w:rFonts w:ascii="楷体" w:hAnsi="楷体" w:eastAsia="楷体"/>
                <w:sz w:val="24"/>
                <w:szCs w:val="24"/>
              </w:rPr>
            </w:pPr>
          </w:p>
        </w:tc>
        <w:tc>
          <w:tcPr>
            <w:tcW w:w="720" w:type="dxa"/>
            <w:vAlign w:val="center"/>
          </w:tcPr>
          <w:p>
            <w:pPr>
              <w:rPr>
                <w:rFonts w:ascii="楷体" w:hAnsi="楷体" w:eastAsia="楷体"/>
                <w:sz w:val="24"/>
                <w:szCs w:val="24"/>
              </w:rPr>
            </w:pPr>
          </w:p>
        </w:tc>
        <w:tc>
          <w:tcPr>
            <w:tcW w:w="854" w:type="dxa"/>
            <w:vAlign w:val="center"/>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Merge w:val="continue"/>
            <w:vAlign w:val="center"/>
          </w:tcPr>
          <w:p>
            <w:pPr>
              <w:rPr>
                <w:rFonts w:ascii="楷体" w:hAnsi="楷体" w:eastAsia="楷体"/>
                <w:sz w:val="24"/>
                <w:szCs w:val="24"/>
              </w:rPr>
            </w:pPr>
          </w:p>
        </w:tc>
        <w:tc>
          <w:tcPr>
            <w:tcW w:w="4140" w:type="dxa"/>
          </w:tcPr>
          <w:p>
            <w:pPr>
              <w:rPr>
                <w:rFonts w:ascii="楷体" w:hAnsi="楷体" w:eastAsia="楷体"/>
                <w:sz w:val="24"/>
                <w:szCs w:val="24"/>
              </w:rPr>
            </w:pPr>
            <w:r>
              <w:rPr>
                <w:rFonts w:hint="eastAsia" w:ascii="宋体" w:hAnsi="宋体" w:eastAsia="楷体"/>
                <w:sz w:val="24"/>
                <w:szCs w:val="24"/>
              </w:rPr>
              <w:t> </w:t>
            </w:r>
            <w:r>
              <w:rPr>
                <w:rFonts w:hint="eastAsia" w:ascii="楷体" w:hAnsi="楷体" w:eastAsia="楷体"/>
                <w:sz w:val="24"/>
                <w:szCs w:val="24"/>
              </w:rPr>
              <w:t>垃圾桶和设施如有遗失、损坏的应及时逐级上报并查追，否则每处扣0.5分，共5分</w:t>
            </w:r>
          </w:p>
        </w:tc>
        <w:tc>
          <w:tcPr>
            <w:tcW w:w="900" w:type="dxa"/>
            <w:vAlign w:val="center"/>
          </w:tcPr>
          <w:p>
            <w:pPr>
              <w:rPr>
                <w:rFonts w:ascii="楷体" w:hAnsi="楷体" w:eastAsia="楷体"/>
                <w:sz w:val="24"/>
                <w:szCs w:val="24"/>
              </w:rPr>
            </w:pPr>
          </w:p>
        </w:tc>
        <w:tc>
          <w:tcPr>
            <w:tcW w:w="900" w:type="dxa"/>
            <w:vAlign w:val="center"/>
          </w:tcPr>
          <w:p>
            <w:pPr>
              <w:rPr>
                <w:rFonts w:ascii="楷体" w:hAnsi="楷体" w:eastAsia="楷体"/>
                <w:sz w:val="24"/>
                <w:szCs w:val="24"/>
              </w:rPr>
            </w:pPr>
          </w:p>
        </w:tc>
        <w:tc>
          <w:tcPr>
            <w:tcW w:w="720" w:type="dxa"/>
            <w:vAlign w:val="center"/>
          </w:tcPr>
          <w:p>
            <w:pPr>
              <w:rPr>
                <w:rFonts w:ascii="楷体" w:hAnsi="楷体" w:eastAsia="楷体"/>
                <w:sz w:val="24"/>
                <w:szCs w:val="24"/>
              </w:rPr>
            </w:pPr>
          </w:p>
        </w:tc>
        <w:tc>
          <w:tcPr>
            <w:tcW w:w="854" w:type="dxa"/>
            <w:vAlign w:val="center"/>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Merge w:val="continue"/>
            <w:vAlign w:val="center"/>
          </w:tcPr>
          <w:p>
            <w:pPr>
              <w:rPr>
                <w:rFonts w:ascii="楷体" w:hAnsi="楷体" w:eastAsia="楷体"/>
                <w:sz w:val="24"/>
                <w:szCs w:val="24"/>
              </w:rPr>
            </w:pPr>
          </w:p>
        </w:tc>
        <w:tc>
          <w:tcPr>
            <w:tcW w:w="4140" w:type="dxa"/>
          </w:tcPr>
          <w:p>
            <w:pPr>
              <w:rPr>
                <w:rFonts w:ascii="楷体" w:hAnsi="楷体" w:eastAsia="楷体"/>
                <w:sz w:val="24"/>
                <w:szCs w:val="24"/>
              </w:rPr>
            </w:pPr>
            <w:r>
              <w:rPr>
                <w:rFonts w:hint="eastAsia" w:ascii="楷体" w:hAnsi="楷体" w:eastAsia="楷体"/>
                <w:sz w:val="24"/>
                <w:szCs w:val="24"/>
              </w:rPr>
              <w:t>每日按照规定时间完成清运，垃圾若未按时完成的，每桶扣0.5分；隔天清运的，每桶扣1分，共5分</w:t>
            </w:r>
          </w:p>
        </w:tc>
        <w:tc>
          <w:tcPr>
            <w:tcW w:w="900" w:type="dxa"/>
            <w:vAlign w:val="center"/>
          </w:tcPr>
          <w:p>
            <w:pPr>
              <w:rPr>
                <w:rFonts w:ascii="楷体" w:hAnsi="楷体" w:eastAsia="楷体"/>
                <w:sz w:val="24"/>
                <w:szCs w:val="24"/>
              </w:rPr>
            </w:pPr>
          </w:p>
        </w:tc>
        <w:tc>
          <w:tcPr>
            <w:tcW w:w="900" w:type="dxa"/>
            <w:vAlign w:val="center"/>
          </w:tcPr>
          <w:p>
            <w:pPr>
              <w:rPr>
                <w:rFonts w:ascii="楷体" w:hAnsi="楷体" w:eastAsia="楷体"/>
                <w:sz w:val="24"/>
                <w:szCs w:val="24"/>
              </w:rPr>
            </w:pPr>
          </w:p>
        </w:tc>
        <w:tc>
          <w:tcPr>
            <w:tcW w:w="720" w:type="dxa"/>
            <w:vAlign w:val="center"/>
          </w:tcPr>
          <w:p>
            <w:pPr>
              <w:rPr>
                <w:rFonts w:ascii="楷体" w:hAnsi="楷体" w:eastAsia="楷体"/>
                <w:sz w:val="24"/>
                <w:szCs w:val="24"/>
              </w:rPr>
            </w:pPr>
          </w:p>
        </w:tc>
        <w:tc>
          <w:tcPr>
            <w:tcW w:w="854" w:type="dxa"/>
            <w:vAlign w:val="center"/>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Merge w:val="continue"/>
            <w:vAlign w:val="center"/>
          </w:tcPr>
          <w:p>
            <w:pPr>
              <w:rPr>
                <w:rFonts w:ascii="楷体" w:hAnsi="楷体" w:eastAsia="楷体"/>
                <w:sz w:val="24"/>
                <w:szCs w:val="24"/>
              </w:rPr>
            </w:pPr>
          </w:p>
        </w:tc>
        <w:tc>
          <w:tcPr>
            <w:tcW w:w="4140" w:type="dxa"/>
          </w:tcPr>
          <w:p>
            <w:pPr>
              <w:rPr>
                <w:rFonts w:ascii="楷体" w:hAnsi="楷体" w:eastAsia="楷体"/>
                <w:sz w:val="24"/>
                <w:szCs w:val="24"/>
              </w:rPr>
            </w:pPr>
            <w:r>
              <w:rPr>
                <w:rFonts w:ascii="楷体" w:hAnsi="楷体" w:eastAsia="楷体"/>
                <w:sz w:val="24"/>
                <w:szCs w:val="24"/>
              </w:rPr>
              <w:t>垃圾</w:t>
            </w:r>
            <w:r>
              <w:rPr>
                <w:rFonts w:hint="eastAsia" w:ascii="楷体" w:hAnsi="楷体" w:eastAsia="楷体"/>
                <w:sz w:val="24"/>
                <w:szCs w:val="24"/>
              </w:rPr>
              <w:t>清运车</w:t>
            </w:r>
            <w:r>
              <w:rPr>
                <w:rFonts w:ascii="楷体" w:hAnsi="楷体" w:eastAsia="楷体"/>
                <w:sz w:val="24"/>
                <w:szCs w:val="24"/>
              </w:rPr>
              <w:t>车容不整，一次扣</w:t>
            </w:r>
            <w:r>
              <w:rPr>
                <w:rFonts w:hint="eastAsia" w:ascii="楷体" w:hAnsi="楷体" w:eastAsia="楷体"/>
                <w:sz w:val="24"/>
                <w:szCs w:val="24"/>
              </w:rPr>
              <w:t>0.5分，共5分</w:t>
            </w:r>
          </w:p>
        </w:tc>
        <w:tc>
          <w:tcPr>
            <w:tcW w:w="900" w:type="dxa"/>
            <w:vAlign w:val="center"/>
          </w:tcPr>
          <w:p>
            <w:pPr>
              <w:rPr>
                <w:rFonts w:ascii="楷体" w:hAnsi="楷体" w:eastAsia="楷体"/>
                <w:sz w:val="24"/>
                <w:szCs w:val="24"/>
              </w:rPr>
            </w:pPr>
          </w:p>
        </w:tc>
        <w:tc>
          <w:tcPr>
            <w:tcW w:w="900" w:type="dxa"/>
            <w:vAlign w:val="center"/>
          </w:tcPr>
          <w:p>
            <w:pPr>
              <w:rPr>
                <w:rFonts w:ascii="楷体" w:hAnsi="楷体" w:eastAsia="楷体"/>
                <w:sz w:val="24"/>
                <w:szCs w:val="24"/>
              </w:rPr>
            </w:pPr>
          </w:p>
        </w:tc>
        <w:tc>
          <w:tcPr>
            <w:tcW w:w="720" w:type="dxa"/>
            <w:vAlign w:val="center"/>
          </w:tcPr>
          <w:p>
            <w:pPr>
              <w:rPr>
                <w:rFonts w:ascii="楷体" w:hAnsi="楷体" w:eastAsia="楷体"/>
                <w:sz w:val="24"/>
                <w:szCs w:val="24"/>
              </w:rPr>
            </w:pPr>
          </w:p>
        </w:tc>
        <w:tc>
          <w:tcPr>
            <w:tcW w:w="854" w:type="dxa"/>
            <w:vAlign w:val="center"/>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Merge w:val="continue"/>
            <w:vAlign w:val="center"/>
          </w:tcPr>
          <w:p>
            <w:pPr>
              <w:rPr>
                <w:rFonts w:ascii="楷体" w:hAnsi="楷体" w:eastAsia="楷体"/>
                <w:sz w:val="24"/>
                <w:szCs w:val="24"/>
              </w:rPr>
            </w:pPr>
          </w:p>
        </w:tc>
        <w:tc>
          <w:tcPr>
            <w:tcW w:w="4140" w:type="dxa"/>
          </w:tcPr>
          <w:p>
            <w:pPr>
              <w:rPr>
                <w:rFonts w:ascii="楷体" w:hAnsi="楷体" w:eastAsia="楷体"/>
                <w:sz w:val="24"/>
                <w:szCs w:val="24"/>
              </w:rPr>
            </w:pPr>
            <w:r>
              <w:rPr>
                <w:rFonts w:hint="eastAsia" w:ascii="楷体" w:hAnsi="楷体" w:eastAsia="楷体"/>
                <w:sz w:val="24"/>
                <w:szCs w:val="24"/>
              </w:rPr>
              <w:t>清运公司应服从突发性指挥调派，否则，每次扣5分，共15分</w:t>
            </w:r>
          </w:p>
        </w:tc>
        <w:tc>
          <w:tcPr>
            <w:tcW w:w="900" w:type="dxa"/>
            <w:vAlign w:val="center"/>
          </w:tcPr>
          <w:p>
            <w:pPr>
              <w:rPr>
                <w:rFonts w:ascii="楷体" w:hAnsi="楷体" w:eastAsia="楷体"/>
                <w:sz w:val="24"/>
                <w:szCs w:val="24"/>
              </w:rPr>
            </w:pPr>
          </w:p>
        </w:tc>
        <w:tc>
          <w:tcPr>
            <w:tcW w:w="900" w:type="dxa"/>
            <w:vAlign w:val="center"/>
          </w:tcPr>
          <w:p>
            <w:pPr>
              <w:rPr>
                <w:rFonts w:ascii="楷体" w:hAnsi="楷体" w:eastAsia="楷体"/>
                <w:sz w:val="24"/>
                <w:szCs w:val="24"/>
              </w:rPr>
            </w:pPr>
          </w:p>
        </w:tc>
        <w:tc>
          <w:tcPr>
            <w:tcW w:w="720" w:type="dxa"/>
            <w:vAlign w:val="center"/>
          </w:tcPr>
          <w:p>
            <w:pPr>
              <w:rPr>
                <w:rFonts w:ascii="楷体" w:hAnsi="楷体" w:eastAsia="楷体"/>
                <w:sz w:val="24"/>
                <w:szCs w:val="24"/>
              </w:rPr>
            </w:pPr>
          </w:p>
        </w:tc>
        <w:tc>
          <w:tcPr>
            <w:tcW w:w="854" w:type="dxa"/>
            <w:vAlign w:val="center"/>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Merge w:val="continue"/>
            <w:vAlign w:val="center"/>
          </w:tcPr>
          <w:p>
            <w:pPr>
              <w:rPr>
                <w:rFonts w:ascii="楷体" w:hAnsi="楷体" w:eastAsia="楷体"/>
                <w:sz w:val="24"/>
                <w:szCs w:val="24"/>
              </w:rPr>
            </w:pPr>
          </w:p>
        </w:tc>
        <w:tc>
          <w:tcPr>
            <w:tcW w:w="4140" w:type="dxa"/>
          </w:tcPr>
          <w:p>
            <w:pPr>
              <w:rPr>
                <w:rFonts w:ascii="楷体" w:hAnsi="楷体" w:eastAsia="楷体"/>
                <w:sz w:val="24"/>
                <w:szCs w:val="24"/>
              </w:rPr>
            </w:pPr>
            <w:r>
              <w:rPr>
                <w:rFonts w:ascii="楷体" w:hAnsi="楷体" w:eastAsia="楷体"/>
                <w:sz w:val="24"/>
                <w:szCs w:val="24"/>
              </w:rPr>
              <w:t>突发性产生的垃圾， 30分钟内未作应急处理一次扣</w:t>
            </w:r>
            <w:r>
              <w:rPr>
                <w:rFonts w:hint="eastAsia" w:ascii="楷体" w:hAnsi="楷体" w:eastAsia="楷体"/>
                <w:sz w:val="24"/>
                <w:szCs w:val="24"/>
              </w:rPr>
              <w:t>2分，共10分</w:t>
            </w:r>
          </w:p>
        </w:tc>
        <w:tc>
          <w:tcPr>
            <w:tcW w:w="900" w:type="dxa"/>
            <w:vAlign w:val="center"/>
          </w:tcPr>
          <w:p>
            <w:pPr>
              <w:rPr>
                <w:rFonts w:ascii="楷体" w:hAnsi="楷体" w:eastAsia="楷体"/>
                <w:sz w:val="24"/>
                <w:szCs w:val="24"/>
              </w:rPr>
            </w:pPr>
          </w:p>
        </w:tc>
        <w:tc>
          <w:tcPr>
            <w:tcW w:w="900" w:type="dxa"/>
            <w:vAlign w:val="center"/>
          </w:tcPr>
          <w:p>
            <w:pPr>
              <w:rPr>
                <w:rFonts w:ascii="楷体" w:hAnsi="楷体" w:eastAsia="楷体"/>
                <w:sz w:val="24"/>
                <w:szCs w:val="24"/>
              </w:rPr>
            </w:pPr>
          </w:p>
        </w:tc>
        <w:tc>
          <w:tcPr>
            <w:tcW w:w="720" w:type="dxa"/>
            <w:vAlign w:val="center"/>
          </w:tcPr>
          <w:p>
            <w:pPr>
              <w:rPr>
                <w:rFonts w:ascii="楷体" w:hAnsi="楷体" w:eastAsia="楷体"/>
                <w:sz w:val="24"/>
                <w:szCs w:val="24"/>
              </w:rPr>
            </w:pPr>
          </w:p>
        </w:tc>
        <w:tc>
          <w:tcPr>
            <w:tcW w:w="854" w:type="dxa"/>
            <w:vAlign w:val="center"/>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Merge w:val="continue"/>
            <w:vAlign w:val="center"/>
          </w:tcPr>
          <w:p>
            <w:pPr>
              <w:rPr>
                <w:rFonts w:ascii="楷体" w:hAnsi="楷体" w:eastAsia="楷体"/>
                <w:sz w:val="24"/>
                <w:szCs w:val="24"/>
              </w:rPr>
            </w:pPr>
          </w:p>
        </w:tc>
        <w:tc>
          <w:tcPr>
            <w:tcW w:w="4140" w:type="dxa"/>
          </w:tcPr>
          <w:p>
            <w:pPr>
              <w:rPr>
                <w:rFonts w:ascii="楷体" w:hAnsi="楷体" w:eastAsia="楷体"/>
                <w:sz w:val="24"/>
                <w:szCs w:val="24"/>
              </w:rPr>
            </w:pPr>
            <w:r>
              <w:rPr>
                <w:rFonts w:hint="eastAsia" w:ascii="楷体" w:hAnsi="楷体" w:eastAsia="楷体"/>
                <w:sz w:val="24"/>
                <w:szCs w:val="24"/>
              </w:rPr>
              <w:t>被领导、重大检查发现出现问题一次扣2分，共10分</w:t>
            </w:r>
          </w:p>
        </w:tc>
        <w:tc>
          <w:tcPr>
            <w:tcW w:w="900" w:type="dxa"/>
            <w:vAlign w:val="center"/>
          </w:tcPr>
          <w:p>
            <w:pPr>
              <w:rPr>
                <w:rFonts w:ascii="楷体" w:hAnsi="楷体" w:eastAsia="楷体"/>
                <w:sz w:val="24"/>
                <w:szCs w:val="24"/>
              </w:rPr>
            </w:pPr>
          </w:p>
        </w:tc>
        <w:tc>
          <w:tcPr>
            <w:tcW w:w="900" w:type="dxa"/>
            <w:vAlign w:val="center"/>
          </w:tcPr>
          <w:p>
            <w:pPr>
              <w:rPr>
                <w:rFonts w:ascii="楷体" w:hAnsi="楷体" w:eastAsia="楷体"/>
                <w:sz w:val="24"/>
                <w:szCs w:val="24"/>
              </w:rPr>
            </w:pPr>
          </w:p>
        </w:tc>
        <w:tc>
          <w:tcPr>
            <w:tcW w:w="720" w:type="dxa"/>
            <w:vAlign w:val="center"/>
          </w:tcPr>
          <w:p>
            <w:pPr>
              <w:rPr>
                <w:rFonts w:ascii="楷体" w:hAnsi="楷体" w:eastAsia="楷体"/>
                <w:sz w:val="24"/>
                <w:szCs w:val="24"/>
              </w:rPr>
            </w:pPr>
          </w:p>
        </w:tc>
        <w:tc>
          <w:tcPr>
            <w:tcW w:w="854" w:type="dxa"/>
            <w:vAlign w:val="center"/>
          </w:tcPr>
          <w:p>
            <w:pPr>
              <w:rPr>
                <w:rFonts w:ascii="楷体" w:hAnsi="楷体" w:eastAsia="楷体"/>
                <w:sz w:val="24"/>
                <w:szCs w:val="24"/>
              </w:rPr>
            </w:pPr>
          </w:p>
        </w:tc>
      </w:tr>
    </w:tbl>
    <w:p>
      <w:pPr>
        <w:widowControl/>
        <w:adjustRightInd w:val="0"/>
        <w:snapToGrid w:val="0"/>
        <w:spacing w:line="400" w:lineRule="exact"/>
        <w:jc w:val="left"/>
        <w:rPr>
          <w:rFonts w:ascii="宋体" w:hAnsi="宋体" w:cs="宋体"/>
          <w:b/>
          <w:bCs/>
          <w:kern w:val="0"/>
          <w:sz w:val="28"/>
          <w:szCs w:val="28"/>
        </w:rPr>
      </w:pPr>
    </w:p>
    <w:p>
      <w:pPr>
        <w:pStyle w:val="2"/>
        <w:spacing w:after="0" w:line="240" w:lineRule="auto"/>
        <w:rPr>
          <w:rFonts w:ascii="Times New Roman" w:hAnsi="Times New Roman" w:cs="宋体"/>
          <w:b/>
          <w:bCs/>
          <w:sz w:val="24"/>
          <w:szCs w:val="24"/>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_x000B_">
    <w:altName w:val="微软雅黑"/>
    <w:panose1 w:val="00000000000000000000"/>
    <w:charset w:val="00"/>
    <w:family w:val="auto"/>
    <w:pitch w:val="default"/>
    <w:sig w:usb0="00000000" w:usb1="00000000" w:usb2="00000000" w:usb3="00000000" w:csb0="00040001" w:csb1="00000000"/>
  </w:font>
  <w:font w:name="新宋体">
    <w:panose1 w:val="02010609030101010101"/>
    <w:charset w:val="86"/>
    <w:family w:val="auto"/>
    <w:pitch w:val="default"/>
    <w:sig w:usb0="00000003" w:usb1="288F0000" w:usb2="00000006" w:usb3="00000000" w:csb0="00040001" w:csb1="00000000"/>
  </w:font>
  <w:font w:name="方正小标宋_GBK">
    <w:altName w:val="微软雅黑"/>
    <w:panose1 w:val="02000000000000000000"/>
    <w:charset w:val="86"/>
    <w:family w:val="script"/>
    <w:pitch w:val="default"/>
    <w:sig w:usb0="00000000" w:usb1="00000000" w:usb2="00082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OqXm5zwAAAAUBAAAPAAAAAAAAAAEA&#10;IAAAACIAAABkcnMvZG93bnJldi54bWxQSwECFAAUAAAACACHTuJAIZKpRaYBAAA/AwAADgAAAAAA&#10;AAABACAAAAAeAQAAZHJzL2Uyb0RvYy54bWxQSwUGAAAAAAYABgBZAQAANgU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F90B09"/>
    <w:multiLevelType w:val="singleLevel"/>
    <w:tmpl w:val="B3F90B09"/>
    <w:lvl w:ilvl="0" w:tentative="0">
      <w:start w:val="1"/>
      <w:numFmt w:val="chineseCounting"/>
      <w:suff w:val="nothing"/>
      <w:lvlText w:val="（%1）"/>
      <w:lvlJc w:val="left"/>
      <w:pPr>
        <w:ind w:left="0" w:firstLine="420"/>
      </w:pPr>
      <w:rPr>
        <w:rFonts w:hint="eastAsia"/>
      </w:rPr>
    </w:lvl>
  </w:abstractNum>
  <w:abstractNum w:abstractNumId="1">
    <w:nsid w:val="BD231B7C"/>
    <w:multiLevelType w:val="singleLevel"/>
    <w:tmpl w:val="BD231B7C"/>
    <w:lvl w:ilvl="0" w:tentative="0">
      <w:start w:val="1"/>
      <w:numFmt w:val="chineseCounting"/>
      <w:suff w:val="nothing"/>
      <w:lvlText w:val="%1、"/>
      <w:lvlJc w:val="left"/>
      <w:pPr>
        <w:ind w:left="0" w:firstLine="420"/>
      </w:pPr>
      <w:rPr>
        <w:rFonts w:hint="eastAsia"/>
        <w:b/>
        <w:bCs/>
        <w:sz w:val="28"/>
        <w:szCs w:val="28"/>
      </w:rPr>
    </w:lvl>
  </w:abstractNum>
  <w:abstractNum w:abstractNumId="2">
    <w:nsid w:val="D48D6D96"/>
    <w:multiLevelType w:val="singleLevel"/>
    <w:tmpl w:val="D48D6D96"/>
    <w:lvl w:ilvl="0" w:tentative="0">
      <w:start w:val="1"/>
      <w:numFmt w:val="chineseCounting"/>
      <w:suff w:val="nothing"/>
      <w:lvlText w:val="%1、"/>
      <w:lvlJc w:val="left"/>
      <w:rPr>
        <w:rFonts w:hint="eastAsia"/>
      </w:rPr>
    </w:lvl>
  </w:abstractNum>
  <w:abstractNum w:abstractNumId="3">
    <w:nsid w:val="FB358DA0"/>
    <w:multiLevelType w:val="singleLevel"/>
    <w:tmpl w:val="FB358DA0"/>
    <w:lvl w:ilvl="0" w:tentative="0">
      <w:start w:val="1"/>
      <w:numFmt w:val="chineseCounting"/>
      <w:suff w:val="nothing"/>
      <w:lvlText w:val="%1、"/>
      <w:lvlJc w:val="left"/>
      <w:rPr>
        <w:rFonts w:hint="eastAsia"/>
      </w:rPr>
    </w:lvl>
  </w:abstractNum>
  <w:abstractNum w:abstractNumId="4">
    <w:nsid w:val="FDDDD0FA"/>
    <w:multiLevelType w:val="singleLevel"/>
    <w:tmpl w:val="FDDDD0FA"/>
    <w:lvl w:ilvl="0" w:tentative="0">
      <w:start w:val="1"/>
      <w:numFmt w:val="decimal"/>
      <w:lvlText w:val="%1."/>
      <w:lvlJc w:val="left"/>
      <w:pPr>
        <w:tabs>
          <w:tab w:val="left" w:pos="312"/>
        </w:tabs>
      </w:pPr>
    </w:lvl>
  </w:abstractNum>
  <w:abstractNum w:abstractNumId="5">
    <w:nsid w:val="00000004"/>
    <w:multiLevelType w:val="singleLevel"/>
    <w:tmpl w:val="00000004"/>
    <w:lvl w:ilvl="0" w:tentative="0">
      <w:start w:val="1"/>
      <w:numFmt w:val="decimal"/>
      <w:lvlText w:val="%1."/>
      <w:lvlJc w:val="left"/>
      <w:pPr>
        <w:tabs>
          <w:tab w:val="left" w:pos="312"/>
        </w:tabs>
      </w:pPr>
    </w:lvl>
  </w:abstractNum>
  <w:abstractNum w:abstractNumId="6">
    <w:nsid w:val="00000009"/>
    <w:multiLevelType w:val="multilevel"/>
    <w:tmpl w:val="00000009"/>
    <w:lvl w:ilvl="0" w:tentative="0">
      <w:start w:val="1"/>
      <w:numFmt w:val="chineseCountingThousand"/>
      <w:lvlText w:val="%1、"/>
      <w:lvlJc w:val="left"/>
      <w:pPr>
        <w:ind w:left="1271" w:hanging="420"/>
      </w:pPr>
    </w:lvl>
    <w:lvl w:ilvl="1" w:tentative="0">
      <w:start w:val="1"/>
      <w:numFmt w:val="japaneseCounting"/>
      <w:lvlText w:val="（%2）"/>
      <w:lvlJc w:val="left"/>
      <w:pPr>
        <w:ind w:left="1830" w:hanging="885"/>
      </w:pPr>
      <w:rPr>
        <w:lang w:val="en-US"/>
      </w:r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7">
    <w:nsid w:val="00000012"/>
    <w:multiLevelType w:val="multilevel"/>
    <w:tmpl w:val="00000012"/>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8">
    <w:nsid w:val="00000015"/>
    <w:multiLevelType w:val="multilevel"/>
    <w:tmpl w:val="00000015"/>
    <w:lvl w:ilvl="0" w:tentative="0">
      <w:start w:val="1"/>
      <w:numFmt w:val="chineseCountingThousand"/>
      <w:lvlText w:val="%1、"/>
      <w:lvlJc w:val="left"/>
      <w:pPr>
        <w:ind w:left="1271"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0000018"/>
    <w:multiLevelType w:val="multilevel"/>
    <w:tmpl w:val="00000018"/>
    <w:lvl w:ilvl="0" w:tentative="0">
      <w:start w:val="1"/>
      <w:numFmt w:val="chineseCountingThousand"/>
      <w:lvlText w:val="%1、"/>
      <w:lvlJc w:val="left"/>
      <w:pPr>
        <w:ind w:left="966" w:hanging="420"/>
      </w:p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10">
    <w:nsid w:val="0000001F"/>
    <w:multiLevelType w:val="multilevel"/>
    <w:tmpl w:val="0000001F"/>
    <w:lvl w:ilvl="0" w:tentative="0">
      <w:start w:val="1"/>
      <w:numFmt w:val="chineseCountingThousand"/>
      <w:lvlText w:val="%1、"/>
      <w:lvlJc w:val="left"/>
      <w:pPr>
        <w:ind w:left="980" w:hanging="420"/>
      </w:pPr>
    </w:lvl>
    <w:lvl w:ilvl="1" w:tentative="0">
      <w:start w:val="1"/>
      <w:numFmt w:val="decimal"/>
      <w:lvlText w:val="（%2）"/>
      <w:lvlJc w:val="left"/>
      <w:pPr>
        <w:ind w:left="1700" w:hanging="7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1">
    <w:nsid w:val="00000021"/>
    <w:multiLevelType w:val="multilevel"/>
    <w:tmpl w:val="00000021"/>
    <w:lvl w:ilvl="0" w:tentative="0">
      <w:start w:val="1"/>
      <w:numFmt w:val="chineseCountingThousand"/>
      <w:lvlText w:val="(%1)"/>
      <w:lvlJc w:val="left"/>
      <w:pPr>
        <w:ind w:left="980" w:hanging="420"/>
      </w:pPr>
    </w:lvl>
    <w:lvl w:ilvl="1" w:tentative="0">
      <w:start w:val="1"/>
      <w:numFmt w:val="chineseCountingThousand"/>
      <w:lvlText w:val="(%2)"/>
      <w:lvlJc w:val="left"/>
      <w:pPr>
        <w:ind w:left="198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2">
    <w:nsid w:val="00000029"/>
    <w:multiLevelType w:val="multilevel"/>
    <w:tmpl w:val="00000029"/>
    <w:lvl w:ilvl="0" w:tentative="0">
      <w:start w:val="1"/>
      <w:numFmt w:val="decimal"/>
      <w:lvlText w:val="%1."/>
      <w:lvlJc w:val="left"/>
      <w:pPr>
        <w:ind w:left="1270" w:hanging="420"/>
      </w:pPr>
      <w:rPr>
        <w:b w:val="0"/>
        <w:sz w:val="24"/>
        <w:szCs w:val="24"/>
      </w:rPr>
    </w:lvl>
    <w:lvl w:ilvl="1" w:tentative="0">
      <w:start w:val="1"/>
      <w:numFmt w:val="decimal"/>
      <w:lvlText w:val="%2、"/>
      <w:lvlJc w:val="left"/>
      <w:pPr>
        <w:ind w:left="360" w:hanging="360"/>
      </w:pPr>
      <w:rPr>
        <w:rFonts w:ascii="Times New Roman" w:hAnsi="Times New Roman" w:eastAsia="Times New Roman"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000002E"/>
    <w:multiLevelType w:val="multilevel"/>
    <w:tmpl w:val="0000002E"/>
    <w:lvl w:ilvl="0" w:tentative="0">
      <w:start w:val="1"/>
      <w:numFmt w:val="decimal"/>
      <w:lvlText w:val="第%1章"/>
      <w:lvlJc w:val="left"/>
      <w:pPr>
        <w:ind w:left="283" w:hanging="425"/>
      </w:pPr>
      <w:rPr>
        <w:rFonts w:hint="default" w:ascii="Times New Roman" w:hAnsi="Times New Roman" w:eastAsia="宋体" w:cs="Times New Roman"/>
        <w:b/>
        <w:i w:val="0"/>
        <w:sz w:val="32"/>
        <w:szCs w:val="32"/>
      </w:rPr>
    </w:lvl>
    <w:lvl w:ilvl="1" w:tentative="0">
      <w:start w:val="1"/>
      <w:numFmt w:val="decimal"/>
      <w:suff w:val="nothing"/>
      <w:lvlText w:val="%1.%2"/>
      <w:lvlJc w:val="left"/>
      <w:pPr>
        <w:ind w:left="567" w:hanging="567"/>
      </w:pPr>
      <w:rPr>
        <w:rFonts w:hint="default" w:ascii="Times New Roman" w:hAnsi="Times New Roman" w:eastAsia="宋体" w:cs="Times New Roman"/>
        <w:b/>
        <w:i w:val="0"/>
        <w:color w:val="auto"/>
        <w:sz w:val="28"/>
        <w:szCs w:val="28"/>
      </w:rPr>
    </w:lvl>
    <w:lvl w:ilvl="2" w:tentative="0">
      <w:start w:val="1"/>
      <w:numFmt w:val="decimal"/>
      <w:pStyle w:val="4"/>
      <w:suff w:val="space"/>
      <w:lvlText w:val="%1.%2.%3"/>
      <w:lvlJc w:val="left"/>
      <w:pPr>
        <w:ind w:left="567" w:hanging="567"/>
      </w:pPr>
      <w:rPr>
        <w:rFonts w:hint="default" w:ascii="Times New Roman" w:hAnsi="Times New Roman" w:eastAsia="宋体" w:cs="Times New Roman"/>
        <w:b/>
        <w:i w:val="0"/>
        <w:sz w:val="28"/>
      </w:rPr>
    </w:lvl>
    <w:lvl w:ilvl="3" w:tentative="0">
      <w:start w:val="1"/>
      <w:numFmt w:val="decimal"/>
      <w:suff w:val="nothing"/>
      <w:lvlText w:val="%1.%2.%3.%4"/>
      <w:lvlJc w:val="left"/>
      <w:pPr>
        <w:ind w:left="708" w:hanging="708"/>
      </w:pPr>
      <w:rPr>
        <w:rFonts w:hint="default" w:ascii="Times New Roman" w:hAnsi="Times New Roman" w:eastAsia="宋体" w:cs="Times New Roman"/>
        <w:b/>
        <w:i w:val="0"/>
        <w:sz w:val="28"/>
      </w:rPr>
    </w:lvl>
    <w:lvl w:ilvl="4" w:tentative="0">
      <w:start w:val="1"/>
      <w:numFmt w:val="decimal"/>
      <w:lvlText w:val="%1.%2.%3.%4.%5"/>
      <w:lvlJc w:val="left"/>
      <w:pPr>
        <w:ind w:left="2409" w:hanging="850"/>
      </w:pPr>
      <w:rPr>
        <w:rFonts w:hint="default" w:ascii="Times New Roman" w:hAnsi="Times New Roman" w:cs="Times New Roman"/>
      </w:rPr>
    </w:lvl>
    <w:lvl w:ilvl="5" w:tentative="0">
      <w:start w:val="1"/>
      <w:numFmt w:val="decimal"/>
      <w:lvlText w:val="%1.%2.%3.%4.%5.%6"/>
      <w:lvlJc w:val="left"/>
      <w:pPr>
        <w:ind w:left="3118" w:hanging="1134"/>
      </w:pPr>
    </w:lvl>
    <w:lvl w:ilvl="6" w:tentative="0">
      <w:start w:val="1"/>
      <w:numFmt w:val="decimal"/>
      <w:lvlText w:val="%1.%2.%3.%4.%5.%6.%7"/>
      <w:lvlJc w:val="left"/>
      <w:pPr>
        <w:ind w:left="3685" w:hanging="1276"/>
      </w:pPr>
    </w:lvl>
    <w:lvl w:ilvl="7" w:tentative="0">
      <w:start w:val="1"/>
      <w:numFmt w:val="decimal"/>
      <w:lvlText w:val="%1.%2.%3.%4.%5.%6.%7.%8"/>
      <w:lvlJc w:val="left"/>
      <w:pPr>
        <w:ind w:left="4252" w:hanging="1418"/>
      </w:pPr>
    </w:lvl>
    <w:lvl w:ilvl="8" w:tentative="0">
      <w:start w:val="1"/>
      <w:numFmt w:val="decimal"/>
      <w:lvlText w:val="%1.%2.%3.%4.%5.%6.%7.%8.%9"/>
      <w:lvlJc w:val="left"/>
      <w:pPr>
        <w:ind w:left="4960" w:hanging="1700"/>
      </w:pPr>
    </w:lvl>
  </w:abstractNum>
  <w:abstractNum w:abstractNumId="14">
    <w:nsid w:val="00000031"/>
    <w:multiLevelType w:val="multilevel"/>
    <w:tmpl w:val="00000031"/>
    <w:lvl w:ilvl="0" w:tentative="0">
      <w:start w:val="1"/>
      <w:numFmt w:val="chineseCountingThousand"/>
      <w:lvlText w:val="%1、"/>
      <w:lvlJc w:val="left"/>
      <w:pPr>
        <w:ind w:left="966"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5">
    <w:nsid w:val="0000003A"/>
    <w:multiLevelType w:val="multilevel"/>
    <w:tmpl w:val="0000003A"/>
    <w:lvl w:ilvl="0" w:tentative="0">
      <w:start w:val="1"/>
      <w:numFmt w:val="chineseCountingThousand"/>
      <w:lvlText w:val="%1、"/>
      <w:lvlJc w:val="left"/>
      <w:pPr>
        <w:ind w:left="1554" w:hanging="420"/>
      </w:pPr>
    </w:lvl>
    <w:lvl w:ilvl="1" w:tentative="0">
      <w:start w:val="1"/>
      <w:numFmt w:val="lowerLetter"/>
      <w:lvlText w:val="%2)"/>
      <w:lvlJc w:val="left"/>
      <w:pPr>
        <w:ind w:left="1974" w:hanging="420"/>
      </w:pPr>
    </w:lvl>
    <w:lvl w:ilvl="2" w:tentative="0">
      <w:start w:val="1"/>
      <w:numFmt w:val="lowerRoman"/>
      <w:lvlText w:val="%3."/>
      <w:lvlJc w:val="right"/>
      <w:pPr>
        <w:ind w:left="2394" w:hanging="420"/>
      </w:pPr>
    </w:lvl>
    <w:lvl w:ilvl="3" w:tentative="0">
      <w:start w:val="1"/>
      <w:numFmt w:val="decimal"/>
      <w:lvlText w:val="%4."/>
      <w:lvlJc w:val="left"/>
      <w:pPr>
        <w:ind w:left="2814" w:hanging="420"/>
      </w:pPr>
    </w:lvl>
    <w:lvl w:ilvl="4" w:tentative="0">
      <w:start w:val="1"/>
      <w:numFmt w:val="lowerLetter"/>
      <w:lvlText w:val="%5)"/>
      <w:lvlJc w:val="left"/>
      <w:pPr>
        <w:ind w:left="3234" w:hanging="420"/>
      </w:pPr>
    </w:lvl>
    <w:lvl w:ilvl="5" w:tentative="0">
      <w:start w:val="1"/>
      <w:numFmt w:val="lowerRoman"/>
      <w:lvlText w:val="%6."/>
      <w:lvlJc w:val="right"/>
      <w:pPr>
        <w:ind w:left="3654" w:hanging="420"/>
      </w:pPr>
    </w:lvl>
    <w:lvl w:ilvl="6" w:tentative="0">
      <w:start w:val="1"/>
      <w:numFmt w:val="decimal"/>
      <w:lvlText w:val="%7."/>
      <w:lvlJc w:val="left"/>
      <w:pPr>
        <w:ind w:left="4074" w:hanging="420"/>
      </w:pPr>
    </w:lvl>
    <w:lvl w:ilvl="7" w:tentative="0">
      <w:start w:val="1"/>
      <w:numFmt w:val="lowerLetter"/>
      <w:lvlText w:val="%8)"/>
      <w:lvlJc w:val="left"/>
      <w:pPr>
        <w:ind w:left="4494" w:hanging="420"/>
      </w:pPr>
    </w:lvl>
    <w:lvl w:ilvl="8" w:tentative="0">
      <w:start w:val="1"/>
      <w:numFmt w:val="lowerRoman"/>
      <w:lvlText w:val="%9."/>
      <w:lvlJc w:val="right"/>
      <w:pPr>
        <w:ind w:left="4914" w:hanging="420"/>
      </w:pPr>
    </w:lvl>
  </w:abstractNum>
  <w:abstractNum w:abstractNumId="16">
    <w:nsid w:val="0000003B"/>
    <w:multiLevelType w:val="multilevel"/>
    <w:tmpl w:val="0000003B"/>
    <w:lvl w:ilvl="0" w:tentative="0">
      <w:start w:val="1"/>
      <w:numFmt w:val="chineseCountingThousand"/>
      <w:lvlText w:val="%1、"/>
      <w:lvlJc w:val="left"/>
      <w:pPr>
        <w:ind w:left="720" w:hanging="720"/>
      </w:pPr>
      <w:rPr>
        <w:strike w:val="0"/>
        <w:dstrike w:val="0"/>
        <w:color w:val="000000"/>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0000003E"/>
    <w:multiLevelType w:val="multilevel"/>
    <w:tmpl w:val="0000003E"/>
    <w:lvl w:ilvl="0" w:tentative="0">
      <w:start w:val="1"/>
      <w:numFmt w:val="chineseCountingThousand"/>
      <w:suff w:val="nothing"/>
      <w:lvlText w:val="%1、"/>
      <w:lvlJc w:val="left"/>
      <w:pPr>
        <w:ind w:left="1697" w:hanging="420"/>
      </w:pPr>
      <w:rPr>
        <w:b/>
        <w:lang w:val="en-US"/>
      </w:rPr>
    </w:lvl>
    <w:lvl w:ilvl="1" w:tentative="0">
      <w:start w:val="1"/>
      <w:numFmt w:val="decimal"/>
      <w:lvlText w:val="%2、"/>
      <w:lvlJc w:val="left"/>
      <w:pPr>
        <w:ind w:left="1693" w:hanging="1125"/>
      </w:pPr>
    </w:lvl>
    <w:lvl w:ilvl="2" w:tentative="0">
      <w:start w:val="1"/>
      <w:numFmt w:val="lowerRoman"/>
      <w:lvlText w:val="%3."/>
      <w:lvlJc w:val="right"/>
      <w:pPr>
        <w:ind w:left="1971" w:hanging="420"/>
      </w:pPr>
    </w:lvl>
    <w:lvl w:ilvl="3" w:tentative="0">
      <w:start w:val="1"/>
      <w:numFmt w:val="decimal"/>
      <w:lvlText w:val="%4."/>
      <w:lvlJc w:val="left"/>
      <w:pPr>
        <w:ind w:left="2391" w:hanging="420"/>
      </w:pPr>
    </w:lvl>
    <w:lvl w:ilvl="4" w:tentative="0">
      <w:start w:val="1"/>
      <w:numFmt w:val="lowerLetter"/>
      <w:lvlText w:val="%5)"/>
      <w:lvlJc w:val="left"/>
      <w:pPr>
        <w:ind w:left="2811" w:hanging="420"/>
      </w:pPr>
    </w:lvl>
    <w:lvl w:ilvl="5" w:tentative="0">
      <w:start w:val="1"/>
      <w:numFmt w:val="lowerRoman"/>
      <w:lvlText w:val="%6."/>
      <w:lvlJc w:val="right"/>
      <w:pPr>
        <w:ind w:left="3231" w:hanging="420"/>
      </w:pPr>
    </w:lvl>
    <w:lvl w:ilvl="6" w:tentative="0">
      <w:start w:val="1"/>
      <w:numFmt w:val="decimal"/>
      <w:lvlText w:val="%7."/>
      <w:lvlJc w:val="left"/>
      <w:pPr>
        <w:ind w:left="3651" w:hanging="420"/>
      </w:pPr>
    </w:lvl>
    <w:lvl w:ilvl="7" w:tentative="0">
      <w:start w:val="1"/>
      <w:numFmt w:val="lowerLetter"/>
      <w:lvlText w:val="%8)"/>
      <w:lvlJc w:val="left"/>
      <w:pPr>
        <w:ind w:left="4071" w:hanging="420"/>
      </w:pPr>
    </w:lvl>
    <w:lvl w:ilvl="8" w:tentative="0">
      <w:start w:val="1"/>
      <w:numFmt w:val="lowerRoman"/>
      <w:lvlText w:val="%9."/>
      <w:lvlJc w:val="right"/>
      <w:pPr>
        <w:ind w:left="4491" w:hanging="420"/>
      </w:pPr>
    </w:lvl>
  </w:abstractNum>
  <w:abstractNum w:abstractNumId="18">
    <w:nsid w:val="00000041"/>
    <w:multiLevelType w:val="multilevel"/>
    <w:tmpl w:val="0000004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00000043"/>
    <w:multiLevelType w:val="multilevel"/>
    <w:tmpl w:val="00000043"/>
    <w:lvl w:ilvl="0" w:tentative="0">
      <w:start w:val="1"/>
      <w:numFmt w:val="chineseCountingThousand"/>
      <w:lvlText w:val="%1、"/>
      <w:lvlJc w:val="left"/>
      <w:pPr>
        <w:ind w:left="1413" w:hanging="420"/>
      </w:pPr>
      <w:rPr>
        <w:sz w:val="28"/>
        <w:szCs w:val="28"/>
      </w:rPr>
    </w:lvl>
    <w:lvl w:ilvl="1" w:tentative="0">
      <w:start w:val="1"/>
      <w:numFmt w:val="decimal"/>
      <w:isLgl/>
      <w:lvlText w:val="%1.%2"/>
      <w:lvlJc w:val="left"/>
      <w:pPr>
        <w:ind w:left="1669" w:hanging="960"/>
      </w:pPr>
    </w:lvl>
    <w:lvl w:ilvl="2" w:tentative="0">
      <w:start w:val="1"/>
      <w:numFmt w:val="decimal"/>
      <w:isLgl/>
      <w:lvlText w:val="%1.%2.%3"/>
      <w:lvlJc w:val="left"/>
      <w:pPr>
        <w:ind w:left="1669" w:hanging="960"/>
      </w:pPr>
    </w:lvl>
    <w:lvl w:ilvl="3" w:tentative="0">
      <w:start w:val="1"/>
      <w:numFmt w:val="decimal"/>
      <w:isLgl/>
      <w:lvlText w:val="%1.%2.%3.%4"/>
      <w:lvlJc w:val="left"/>
      <w:pPr>
        <w:ind w:left="1789" w:hanging="1080"/>
      </w:pPr>
    </w:lvl>
    <w:lvl w:ilvl="4" w:tentative="0">
      <w:start w:val="1"/>
      <w:numFmt w:val="decimal"/>
      <w:isLgl/>
      <w:lvlText w:val="%1.%2.%3.%4.%5"/>
      <w:lvlJc w:val="left"/>
      <w:pPr>
        <w:ind w:left="1789" w:hanging="1080"/>
      </w:pPr>
    </w:lvl>
    <w:lvl w:ilvl="5" w:tentative="0">
      <w:start w:val="1"/>
      <w:numFmt w:val="decimal"/>
      <w:isLgl/>
      <w:lvlText w:val="%1.%2.%3.%4.%5.%6"/>
      <w:lvlJc w:val="left"/>
      <w:pPr>
        <w:ind w:left="2149" w:hanging="1440"/>
      </w:pPr>
    </w:lvl>
    <w:lvl w:ilvl="6" w:tentative="0">
      <w:start w:val="1"/>
      <w:numFmt w:val="decimal"/>
      <w:isLgl/>
      <w:lvlText w:val="%1.%2.%3.%4.%5.%6.%7"/>
      <w:lvlJc w:val="left"/>
      <w:pPr>
        <w:ind w:left="2509" w:hanging="1800"/>
      </w:pPr>
    </w:lvl>
    <w:lvl w:ilvl="7" w:tentative="0">
      <w:start w:val="1"/>
      <w:numFmt w:val="decimal"/>
      <w:isLgl/>
      <w:lvlText w:val="%1.%2.%3.%4.%5.%6.%7.%8"/>
      <w:lvlJc w:val="left"/>
      <w:pPr>
        <w:ind w:left="2509" w:hanging="1800"/>
      </w:pPr>
    </w:lvl>
    <w:lvl w:ilvl="8" w:tentative="0">
      <w:start w:val="1"/>
      <w:numFmt w:val="decimal"/>
      <w:isLgl/>
      <w:lvlText w:val="%1.%2.%3.%4.%5.%6.%7.%8.%9"/>
      <w:lvlJc w:val="left"/>
      <w:pPr>
        <w:ind w:left="2869" w:hanging="2160"/>
      </w:pPr>
    </w:lvl>
  </w:abstractNum>
  <w:abstractNum w:abstractNumId="20">
    <w:nsid w:val="06AF180E"/>
    <w:multiLevelType w:val="multilevel"/>
    <w:tmpl w:val="06AF180E"/>
    <w:lvl w:ilvl="0" w:tentative="0">
      <w:start w:val="1"/>
      <w:numFmt w:val="japaneseCounting"/>
      <w:lvlText w:val="（%1）"/>
      <w:lvlJc w:val="left"/>
      <w:pPr>
        <w:ind w:left="1421" w:hanging="855"/>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21">
    <w:nsid w:val="0D6B6379"/>
    <w:multiLevelType w:val="multilevel"/>
    <w:tmpl w:val="0D6B6379"/>
    <w:lvl w:ilvl="0" w:tentative="0">
      <w:start w:val="1"/>
      <w:numFmt w:val="chineseCountingThousand"/>
      <w:lvlText w:val="%1、"/>
      <w:lvlJc w:val="left"/>
      <w:pPr>
        <w:ind w:left="987" w:hanging="420"/>
      </w:p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2">
    <w:nsid w:val="144C623B"/>
    <w:multiLevelType w:val="multilevel"/>
    <w:tmpl w:val="144C623B"/>
    <w:lvl w:ilvl="0" w:tentative="0">
      <w:start w:val="1"/>
      <w:numFmt w:val="chineseCountingThousand"/>
      <w:lvlText w:val="%1、"/>
      <w:lvlJc w:val="left"/>
      <w:pPr>
        <w:ind w:left="966" w:hanging="420"/>
      </w:pPr>
      <w:rPr>
        <w:b w:val="0"/>
        <w:sz w:val="28"/>
        <w:szCs w:val="28"/>
      </w:r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23">
    <w:nsid w:val="1A032D52"/>
    <w:multiLevelType w:val="multilevel"/>
    <w:tmpl w:val="1A032D52"/>
    <w:lvl w:ilvl="0" w:tentative="0">
      <w:start w:val="1"/>
      <w:numFmt w:val="chineseCountingThousand"/>
      <w:lvlText w:val="%1、"/>
      <w:lvlJc w:val="left"/>
      <w:pPr>
        <w:ind w:left="1413" w:hanging="420"/>
      </w:pPr>
    </w:lvl>
    <w:lvl w:ilvl="1" w:tentative="0">
      <w:start w:val="1"/>
      <w:numFmt w:val="lowerLetter"/>
      <w:lvlText w:val="%2)"/>
      <w:lvlJc w:val="left"/>
      <w:pPr>
        <w:tabs>
          <w:tab w:val="left" w:pos="847"/>
        </w:tabs>
        <w:ind w:left="847" w:hanging="420"/>
      </w:pPr>
    </w:lvl>
    <w:lvl w:ilvl="2" w:tentative="0">
      <w:start w:val="1"/>
      <w:numFmt w:val="lowerRoman"/>
      <w:lvlText w:val="%3."/>
      <w:lvlJc w:val="right"/>
      <w:pPr>
        <w:tabs>
          <w:tab w:val="left" w:pos="1267"/>
        </w:tabs>
        <w:ind w:left="1267" w:hanging="420"/>
      </w:pPr>
    </w:lvl>
    <w:lvl w:ilvl="3" w:tentative="0">
      <w:start w:val="1"/>
      <w:numFmt w:val="decimal"/>
      <w:lvlText w:val="%4."/>
      <w:lvlJc w:val="left"/>
      <w:pPr>
        <w:tabs>
          <w:tab w:val="left" w:pos="1687"/>
        </w:tabs>
        <w:ind w:left="1687" w:hanging="420"/>
      </w:pPr>
    </w:lvl>
    <w:lvl w:ilvl="4" w:tentative="0">
      <w:start w:val="1"/>
      <w:numFmt w:val="lowerLetter"/>
      <w:lvlText w:val="%5)"/>
      <w:lvlJc w:val="left"/>
      <w:pPr>
        <w:tabs>
          <w:tab w:val="left" w:pos="2107"/>
        </w:tabs>
        <w:ind w:left="2107" w:hanging="420"/>
      </w:pPr>
    </w:lvl>
    <w:lvl w:ilvl="5" w:tentative="0">
      <w:start w:val="1"/>
      <w:numFmt w:val="lowerRoman"/>
      <w:lvlText w:val="%6."/>
      <w:lvlJc w:val="right"/>
      <w:pPr>
        <w:tabs>
          <w:tab w:val="left" w:pos="2527"/>
        </w:tabs>
        <w:ind w:left="2527" w:hanging="420"/>
      </w:pPr>
    </w:lvl>
    <w:lvl w:ilvl="6" w:tentative="0">
      <w:start w:val="1"/>
      <w:numFmt w:val="decimal"/>
      <w:lvlText w:val="%7."/>
      <w:lvlJc w:val="left"/>
      <w:pPr>
        <w:tabs>
          <w:tab w:val="left" w:pos="2947"/>
        </w:tabs>
        <w:ind w:left="2947" w:hanging="420"/>
      </w:pPr>
    </w:lvl>
    <w:lvl w:ilvl="7" w:tentative="0">
      <w:start w:val="1"/>
      <w:numFmt w:val="lowerLetter"/>
      <w:lvlText w:val="%8)"/>
      <w:lvlJc w:val="left"/>
      <w:pPr>
        <w:tabs>
          <w:tab w:val="left" w:pos="3367"/>
        </w:tabs>
        <w:ind w:left="3367" w:hanging="420"/>
      </w:pPr>
    </w:lvl>
    <w:lvl w:ilvl="8" w:tentative="0">
      <w:start w:val="1"/>
      <w:numFmt w:val="lowerRoman"/>
      <w:lvlText w:val="%9."/>
      <w:lvlJc w:val="right"/>
      <w:pPr>
        <w:tabs>
          <w:tab w:val="left" w:pos="3787"/>
        </w:tabs>
        <w:ind w:left="3787" w:hanging="420"/>
      </w:pPr>
    </w:lvl>
  </w:abstractNum>
  <w:abstractNum w:abstractNumId="24">
    <w:nsid w:val="1F2A386E"/>
    <w:multiLevelType w:val="multilevel"/>
    <w:tmpl w:val="1F2A386E"/>
    <w:lvl w:ilvl="0" w:tentative="0">
      <w:start w:val="1"/>
      <w:numFmt w:val="chineseCountingThousand"/>
      <w:lvlText w:val="%1、"/>
      <w:lvlJc w:val="left"/>
      <w:pPr>
        <w:ind w:left="988" w:hanging="420"/>
      </w:p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25">
    <w:nsid w:val="28267C73"/>
    <w:multiLevelType w:val="multilevel"/>
    <w:tmpl w:val="28267C73"/>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26">
    <w:nsid w:val="316418D8"/>
    <w:multiLevelType w:val="multilevel"/>
    <w:tmpl w:val="316418D8"/>
    <w:lvl w:ilvl="0" w:tentative="0">
      <w:start w:val="1"/>
      <w:numFmt w:val="chineseCountingThousand"/>
      <w:lvlText w:val="%1、"/>
      <w:lvlJc w:val="left"/>
      <w:pPr>
        <w:ind w:left="846" w:hanging="420"/>
      </w:p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27">
    <w:nsid w:val="32732520"/>
    <w:multiLevelType w:val="multilevel"/>
    <w:tmpl w:val="32732520"/>
    <w:lvl w:ilvl="0" w:tentative="0">
      <w:start w:val="1"/>
      <w:numFmt w:val="chineseCountingThousand"/>
      <w:lvlText w:val="(%1)"/>
      <w:lvlJc w:val="left"/>
      <w:pPr>
        <w:ind w:left="966"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3424055C"/>
    <w:multiLevelType w:val="multilevel"/>
    <w:tmpl w:val="3424055C"/>
    <w:lvl w:ilvl="0" w:tentative="0">
      <w:start w:val="1"/>
      <w:numFmt w:val="chineseCountingThousand"/>
      <w:lvlText w:val="%1、"/>
      <w:lvlJc w:val="left"/>
      <w:pPr>
        <w:ind w:left="988" w:hanging="420"/>
      </w:pPr>
      <w:rPr>
        <w:sz w:val="28"/>
        <w:szCs w:val="28"/>
      </w:rPr>
    </w:lvl>
    <w:lvl w:ilvl="1" w:tentative="0">
      <w:start w:val="1"/>
      <w:numFmt w:val="lowerLetter"/>
      <w:lvlText w:val="%2)"/>
      <w:lvlJc w:val="left"/>
      <w:pPr>
        <w:ind w:left="415" w:hanging="420"/>
      </w:pPr>
    </w:lvl>
    <w:lvl w:ilvl="2" w:tentative="0">
      <w:start w:val="1"/>
      <w:numFmt w:val="lowerRoman"/>
      <w:lvlText w:val="%3."/>
      <w:lvlJc w:val="right"/>
      <w:pPr>
        <w:ind w:left="835" w:hanging="420"/>
      </w:pPr>
    </w:lvl>
    <w:lvl w:ilvl="3" w:tentative="0">
      <w:start w:val="1"/>
      <w:numFmt w:val="decimal"/>
      <w:lvlText w:val="%4."/>
      <w:lvlJc w:val="left"/>
      <w:pPr>
        <w:ind w:left="1255" w:hanging="420"/>
      </w:pPr>
    </w:lvl>
    <w:lvl w:ilvl="4" w:tentative="0">
      <w:start w:val="1"/>
      <w:numFmt w:val="lowerLetter"/>
      <w:lvlText w:val="%5)"/>
      <w:lvlJc w:val="left"/>
      <w:pPr>
        <w:ind w:left="1675" w:hanging="420"/>
      </w:pPr>
    </w:lvl>
    <w:lvl w:ilvl="5" w:tentative="0">
      <w:start w:val="1"/>
      <w:numFmt w:val="lowerRoman"/>
      <w:lvlText w:val="%6."/>
      <w:lvlJc w:val="right"/>
      <w:pPr>
        <w:ind w:left="2095" w:hanging="420"/>
      </w:pPr>
    </w:lvl>
    <w:lvl w:ilvl="6" w:tentative="0">
      <w:start w:val="1"/>
      <w:numFmt w:val="decimal"/>
      <w:lvlText w:val="%7."/>
      <w:lvlJc w:val="left"/>
      <w:pPr>
        <w:ind w:left="2515" w:hanging="420"/>
      </w:pPr>
    </w:lvl>
    <w:lvl w:ilvl="7" w:tentative="0">
      <w:start w:val="1"/>
      <w:numFmt w:val="lowerLetter"/>
      <w:lvlText w:val="%8)"/>
      <w:lvlJc w:val="left"/>
      <w:pPr>
        <w:ind w:left="2935" w:hanging="420"/>
      </w:pPr>
    </w:lvl>
    <w:lvl w:ilvl="8" w:tentative="0">
      <w:start w:val="1"/>
      <w:numFmt w:val="lowerRoman"/>
      <w:lvlText w:val="%9."/>
      <w:lvlJc w:val="right"/>
      <w:pPr>
        <w:ind w:left="3355" w:hanging="420"/>
      </w:pPr>
    </w:lvl>
  </w:abstractNum>
  <w:abstractNum w:abstractNumId="29">
    <w:nsid w:val="34D50379"/>
    <w:multiLevelType w:val="multilevel"/>
    <w:tmpl w:val="34D50379"/>
    <w:lvl w:ilvl="0" w:tentative="0">
      <w:start w:val="1"/>
      <w:numFmt w:val="decimal"/>
      <w:lvlText w:val="%1."/>
      <w:lvlJc w:val="left"/>
      <w:pPr>
        <w:ind w:left="840" w:hanging="420"/>
      </w:pPr>
    </w:lvl>
    <w:lvl w:ilvl="1" w:tentative="0">
      <w:start w:val="1"/>
      <w:numFmt w:val="decimal"/>
      <w:lvlText w:val="%2）"/>
      <w:lvlJc w:val="left"/>
      <w:pPr>
        <w:ind w:left="1560" w:hanging="720"/>
      </w:pPr>
      <w:rPr>
        <w:b w:val="0"/>
        <w:color w:val="000000"/>
      </w:rPr>
    </w:lvl>
    <w:lvl w:ilvl="2" w:tentative="0">
      <w:start w:val="1"/>
      <w:numFmt w:val="chineseCountingThousand"/>
      <w:lvlText w:val="%3、"/>
      <w:lvlJc w:val="left"/>
      <w:pPr>
        <w:ind w:left="60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0">
    <w:nsid w:val="3B2E9994"/>
    <w:multiLevelType w:val="singleLevel"/>
    <w:tmpl w:val="3B2E9994"/>
    <w:lvl w:ilvl="0" w:tentative="0">
      <w:start w:val="1"/>
      <w:numFmt w:val="chineseCounting"/>
      <w:suff w:val="nothing"/>
      <w:lvlText w:val="（%1）"/>
      <w:lvlJc w:val="left"/>
      <w:rPr>
        <w:rFonts w:hint="eastAsia"/>
      </w:rPr>
    </w:lvl>
  </w:abstractNum>
  <w:abstractNum w:abstractNumId="31">
    <w:nsid w:val="4C1635C4"/>
    <w:multiLevelType w:val="multilevel"/>
    <w:tmpl w:val="4C1635C4"/>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32">
    <w:nsid w:val="4C72071B"/>
    <w:multiLevelType w:val="multilevel"/>
    <w:tmpl w:val="4C72071B"/>
    <w:lvl w:ilvl="0" w:tentative="0">
      <w:start w:val="1"/>
      <w:numFmt w:val="chineseCountingThousand"/>
      <w:lvlText w:val="%1、"/>
      <w:lvlJc w:val="left"/>
      <w:pPr>
        <w:ind w:left="986" w:hanging="420"/>
      </w:pPr>
      <w:rPr>
        <w:sz w:val="28"/>
      </w:r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33">
    <w:nsid w:val="4C866FAA"/>
    <w:multiLevelType w:val="multilevel"/>
    <w:tmpl w:val="4C866FAA"/>
    <w:lvl w:ilvl="0" w:tentative="0">
      <w:start w:val="1"/>
      <w:numFmt w:val="chineseCountingThousand"/>
      <w:lvlText w:val="%1、"/>
      <w:lvlJc w:val="left"/>
      <w:pPr>
        <w:ind w:left="845"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4">
    <w:nsid w:val="4CC31705"/>
    <w:multiLevelType w:val="multilevel"/>
    <w:tmpl w:val="4CC31705"/>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35">
    <w:nsid w:val="50F471D7"/>
    <w:multiLevelType w:val="multilevel"/>
    <w:tmpl w:val="50F471D7"/>
    <w:lvl w:ilvl="0" w:tentative="0">
      <w:start w:val="1"/>
      <w:numFmt w:val="chineseCountingThousand"/>
      <w:suff w:val="nothing"/>
      <w:lvlText w:val="%1、"/>
      <w:lvlJc w:val="left"/>
      <w:pPr>
        <w:ind w:left="1270" w:hanging="420"/>
      </w:pPr>
      <w:rPr>
        <w:b/>
      </w:rPr>
    </w:lvl>
    <w:lvl w:ilvl="1" w:tentative="0">
      <w:start w:val="1"/>
      <w:numFmt w:val="chineseCountingThousand"/>
      <w:lvlText w:val="(%2)"/>
      <w:lvlJc w:val="left"/>
      <w:pPr>
        <w:tabs>
          <w:tab w:val="left" w:pos="1130"/>
        </w:tabs>
        <w:ind w:left="1130" w:hanging="420"/>
      </w:pPr>
      <w:rPr>
        <w:b w:val="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6">
    <w:nsid w:val="53F22A82"/>
    <w:multiLevelType w:val="multilevel"/>
    <w:tmpl w:val="53F22A82"/>
    <w:lvl w:ilvl="0" w:tentative="0">
      <w:start w:val="1"/>
      <w:numFmt w:val="chineseCountingThousand"/>
      <w:lvlText w:val="(%1)"/>
      <w:lvlJc w:val="left"/>
      <w:pPr>
        <w:ind w:left="900" w:hanging="420"/>
      </w:pPr>
      <w:rPr>
        <w:sz w:val="28"/>
        <w:szCs w:val="28"/>
      </w:rPr>
    </w:lvl>
    <w:lvl w:ilvl="1" w:tentative="0">
      <w:start w:val="1"/>
      <w:numFmt w:val="chineseCountingThousand"/>
      <w:lvlText w:val="(%2)"/>
      <w:lvlJc w:val="left"/>
      <w:pPr>
        <w:ind w:left="1320" w:hanging="420"/>
      </w:pPr>
      <w:rPr>
        <w:sz w:val="28"/>
        <w:szCs w:val="28"/>
      </w:rPr>
    </w:lvl>
    <w:lvl w:ilvl="2" w:tentative="0">
      <w:start w:val="1"/>
      <w:numFmt w:val="decimalEnclosedCircle"/>
      <w:lvlText w:val="%3"/>
      <w:lvlJc w:val="left"/>
      <w:pPr>
        <w:ind w:left="1680" w:hanging="360"/>
      </w:pPr>
      <w:rPr>
        <w:rFonts w:hint="eastAsia" w:ascii="宋体" w:hAnsi="Times New Roman" w:eastAsia="宋体" w:cs="Times New Roman"/>
      </w:r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7">
    <w:nsid w:val="60642B38"/>
    <w:multiLevelType w:val="multilevel"/>
    <w:tmpl w:val="60642B38"/>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38">
    <w:nsid w:val="61FA781F"/>
    <w:multiLevelType w:val="multilevel"/>
    <w:tmpl w:val="61FA781F"/>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39">
    <w:nsid w:val="638064AA"/>
    <w:multiLevelType w:val="multilevel"/>
    <w:tmpl w:val="638064AA"/>
    <w:lvl w:ilvl="0" w:tentative="0">
      <w:start w:val="1"/>
      <w:numFmt w:val="japaneseCounting"/>
      <w:lvlText w:val="%1、"/>
      <w:lvlJc w:val="left"/>
      <w:pPr>
        <w:ind w:left="1856" w:hanging="1005"/>
      </w:pPr>
      <w:rPr>
        <w:lang w:val="en-US"/>
      </w:rPr>
    </w:lvl>
    <w:lvl w:ilvl="1" w:tentative="0">
      <w:start w:val="1"/>
      <w:numFmt w:val="chineseCountingThousand"/>
      <w:lvlText w:val="(%2)"/>
      <w:lvlJc w:val="left"/>
      <w:pPr>
        <w:ind w:left="987"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40">
    <w:nsid w:val="6F5B4150"/>
    <w:multiLevelType w:val="multilevel"/>
    <w:tmpl w:val="6F5B4150"/>
    <w:lvl w:ilvl="0" w:tentative="0">
      <w:start w:val="1"/>
      <w:numFmt w:val="chineseCountingThousand"/>
      <w:lvlText w:val="%1、"/>
      <w:lvlJc w:val="left"/>
      <w:pPr>
        <w:ind w:left="846" w:hanging="420"/>
      </w:pPr>
      <w:rPr>
        <w:rFonts w:hint="eastAsia"/>
        <w:b/>
        <w:sz w:val="28"/>
        <w:szCs w:val="28"/>
      </w:rPr>
    </w:lvl>
    <w:lvl w:ilvl="1" w:tentative="0">
      <w:start w:val="1"/>
      <w:numFmt w:val="lowerLetter"/>
      <w:lvlText w:val="%2)"/>
      <w:lvlJc w:val="left"/>
      <w:pPr>
        <w:ind w:left="-3289" w:hanging="420"/>
      </w:pPr>
    </w:lvl>
    <w:lvl w:ilvl="2" w:tentative="0">
      <w:start w:val="1"/>
      <w:numFmt w:val="lowerRoman"/>
      <w:lvlText w:val="%3."/>
      <w:lvlJc w:val="right"/>
      <w:pPr>
        <w:ind w:left="-2869" w:hanging="420"/>
      </w:pPr>
    </w:lvl>
    <w:lvl w:ilvl="3" w:tentative="0">
      <w:start w:val="1"/>
      <w:numFmt w:val="decimal"/>
      <w:lvlText w:val="%4."/>
      <w:lvlJc w:val="left"/>
      <w:pPr>
        <w:ind w:left="-2449" w:hanging="420"/>
      </w:pPr>
    </w:lvl>
    <w:lvl w:ilvl="4" w:tentative="0">
      <w:start w:val="1"/>
      <w:numFmt w:val="lowerLetter"/>
      <w:lvlText w:val="%5)"/>
      <w:lvlJc w:val="left"/>
      <w:pPr>
        <w:ind w:left="-2029" w:hanging="420"/>
      </w:pPr>
    </w:lvl>
    <w:lvl w:ilvl="5" w:tentative="0">
      <w:start w:val="1"/>
      <w:numFmt w:val="lowerRoman"/>
      <w:lvlText w:val="%6."/>
      <w:lvlJc w:val="right"/>
      <w:pPr>
        <w:ind w:left="-1609" w:hanging="420"/>
      </w:pPr>
    </w:lvl>
    <w:lvl w:ilvl="6" w:tentative="0">
      <w:start w:val="1"/>
      <w:numFmt w:val="decimal"/>
      <w:lvlText w:val="%7."/>
      <w:lvlJc w:val="left"/>
      <w:pPr>
        <w:ind w:left="-1189" w:hanging="420"/>
      </w:pPr>
    </w:lvl>
    <w:lvl w:ilvl="7" w:tentative="0">
      <w:start w:val="1"/>
      <w:numFmt w:val="lowerLetter"/>
      <w:lvlText w:val="%8)"/>
      <w:lvlJc w:val="left"/>
      <w:pPr>
        <w:ind w:left="-769" w:hanging="420"/>
      </w:pPr>
    </w:lvl>
    <w:lvl w:ilvl="8" w:tentative="0">
      <w:start w:val="1"/>
      <w:numFmt w:val="lowerRoman"/>
      <w:lvlText w:val="%9."/>
      <w:lvlJc w:val="right"/>
      <w:pPr>
        <w:ind w:left="-349" w:hanging="420"/>
      </w:pPr>
    </w:lvl>
  </w:abstractNum>
  <w:abstractNum w:abstractNumId="41">
    <w:nsid w:val="70CA42E2"/>
    <w:multiLevelType w:val="multilevel"/>
    <w:tmpl w:val="70CA42E2"/>
    <w:lvl w:ilvl="0" w:tentative="0">
      <w:start w:val="1"/>
      <w:numFmt w:val="chineseCountingThousand"/>
      <w:lvlText w:val="%1、"/>
      <w:lvlJc w:val="left"/>
      <w:pPr>
        <w:ind w:left="988"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42">
    <w:nsid w:val="716F767A"/>
    <w:multiLevelType w:val="multilevel"/>
    <w:tmpl w:val="716F767A"/>
    <w:lvl w:ilvl="0" w:tentative="0">
      <w:start w:val="1"/>
      <w:numFmt w:val="chineseCountingThousand"/>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43">
    <w:nsid w:val="75656F13"/>
    <w:multiLevelType w:val="multilevel"/>
    <w:tmpl w:val="75656F13"/>
    <w:lvl w:ilvl="0" w:tentative="0">
      <w:start w:val="1"/>
      <w:numFmt w:val="chineseCountingThousand"/>
      <w:lvlText w:val="(%1)"/>
      <w:lvlJc w:val="left"/>
      <w:pPr>
        <w:tabs>
          <w:tab w:val="left" w:pos="846"/>
        </w:tabs>
        <w:ind w:left="846" w:hanging="420"/>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44">
    <w:nsid w:val="789D00AF"/>
    <w:multiLevelType w:val="multilevel"/>
    <w:tmpl w:val="789D00AF"/>
    <w:lvl w:ilvl="0" w:tentative="0">
      <w:start w:val="1"/>
      <w:numFmt w:val="chineseCountingThousand"/>
      <w:lvlText w:val="(%1)"/>
      <w:lvlJc w:val="left"/>
      <w:pPr>
        <w:ind w:left="972" w:hanging="420"/>
      </w:pPr>
      <w:rPr>
        <w:b w:val="0"/>
      </w:rPr>
    </w:lvl>
    <w:lvl w:ilvl="1" w:tentative="0">
      <w:start w:val="1"/>
      <w:numFmt w:val="lowerLetter"/>
      <w:lvlText w:val="%2)"/>
      <w:lvlJc w:val="left"/>
      <w:pPr>
        <w:ind w:left="1392" w:hanging="420"/>
      </w:pPr>
    </w:lvl>
    <w:lvl w:ilvl="2" w:tentative="0">
      <w:start w:val="1"/>
      <w:numFmt w:val="lowerRoman"/>
      <w:lvlText w:val="%3."/>
      <w:lvlJc w:val="right"/>
      <w:pPr>
        <w:ind w:left="1812" w:hanging="420"/>
      </w:pPr>
    </w:lvl>
    <w:lvl w:ilvl="3" w:tentative="0">
      <w:start w:val="1"/>
      <w:numFmt w:val="decimal"/>
      <w:lvlText w:val="%4."/>
      <w:lvlJc w:val="left"/>
      <w:pPr>
        <w:ind w:left="2232" w:hanging="420"/>
      </w:pPr>
    </w:lvl>
    <w:lvl w:ilvl="4" w:tentative="0">
      <w:start w:val="1"/>
      <w:numFmt w:val="lowerLetter"/>
      <w:lvlText w:val="%5)"/>
      <w:lvlJc w:val="left"/>
      <w:pPr>
        <w:ind w:left="2652" w:hanging="420"/>
      </w:pPr>
    </w:lvl>
    <w:lvl w:ilvl="5" w:tentative="0">
      <w:start w:val="1"/>
      <w:numFmt w:val="lowerRoman"/>
      <w:lvlText w:val="%6."/>
      <w:lvlJc w:val="right"/>
      <w:pPr>
        <w:ind w:left="3072" w:hanging="420"/>
      </w:pPr>
    </w:lvl>
    <w:lvl w:ilvl="6" w:tentative="0">
      <w:start w:val="1"/>
      <w:numFmt w:val="decimal"/>
      <w:lvlText w:val="%7."/>
      <w:lvlJc w:val="left"/>
      <w:pPr>
        <w:ind w:left="3492" w:hanging="420"/>
      </w:pPr>
    </w:lvl>
    <w:lvl w:ilvl="7" w:tentative="0">
      <w:start w:val="1"/>
      <w:numFmt w:val="lowerLetter"/>
      <w:lvlText w:val="%8)"/>
      <w:lvlJc w:val="left"/>
      <w:pPr>
        <w:ind w:left="3912" w:hanging="420"/>
      </w:pPr>
    </w:lvl>
    <w:lvl w:ilvl="8" w:tentative="0">
      <w:start w:val="1"/>
      <w:numFmt w:val="lowerRoman"/>
      <w:lvlText w:val="%9."/>
      <w:lvlJc w:val="right"/>
      <w:pPr>
        <w:ind w:left="4332" w:hanging="420"/>
      </w:pPr>
    </w:lvl>
  </w:abstractNum>
  <w:abstractNum w:abstractNumId="45">
    <w:nsid w:val="7F511D7D"/>
    <w:multiLevelType w:val="multilevel"/>
    <w:tmpl w:val="7F511D7D"/>
    <w:lvl w:ilvl="0" w:tentative="0">
      <w:start w:val="1"/>
      <w:numFmt w:val="chineseCountingThousand"/>
      <w:lvlText w:val="%1、"/>
      <w:lvlJc w:val="left"/>
      <w:pPr>
        <w:ind w:left="988" w:hanging="420"/>
      </w:pPr>
      <w:rPr>
        <w:sz w:val="28"/>
        <w:szCs w:val="28"/>
      </w:rPr>
    </w:lvl>
    <w:lvl w:ilvl="1" w:tentative="0">
      <w:start w:val="1"/>
      <w:numFmt w:val="decimal"/>
      <w:isLgl/>
      <w:lvlText w:val="%1.%2"/>
      <w:lvlJc w:val="left"/>
      <w:pPr>
        <w:ind w:left="1528" w:hanging="960"/>
      </w:pPr>
    </w:lvl>
    <w:lvl w:ilvl="2" w:tentative="0">
      <w:start w:val="1"/>
      <w:numFmt w:val="decimal"/>
      <w:isLgl/>
      <w:lvlText w:val="%1.%2.%3"/>
      <w:lvlJc w:val="left"/>
      <w:pPr>
        <w:ind w:left="1528" w:hanging="960"/>
      </w:pPr>
    </w:lvl>
    <w:lvl w:ilvl="3" w:tentative="0">
      <w:start w:val="1"/>
      <w:numFmt w:val="decimal"/>
      <w:isLgl/>
      <w:lvlText w:val="%1.%2.%3.%4"/>
      <w:lvlJc w:val="left"/>
      <w:pPr>
        <w:ind w:left="1648" w:hanging="1080"/>
      </w:pPr>
    </w:lvl>
    <w:lvl w:ilvl="4" w:tentative="0">
      <w:start w:val="1"/>
      <w:numFmt w:val="decimal"/>
      <w:isLgl/>
      <w:lvlText w:val="%1.%2.%3.%4.%5"/>
      <w:lvlJc w:val="left"/>
      <w:pPr>
        <w:ind w:left="1648" w:hanging="1080"/>
      </w:pPr>
    </w:lvl>
    <w:lvl w:ilvl="5" w:tentative="0">
      <w:start w:val="1"/>
      <w:numFmt w:val="decimal"/>
      <w:isLgl/>
      <w:lvlText w:val="%1.%2.%3.%4.%5.%6"/>
      <w:lvlJc w:val="left"/>
      <w:pPr>
        <w:ind w:left="2008" w:hanging="1440"/>
      </w:pPr>
    </w:lvl>
    <w:lvl w:ilvl="6" w:tentative="0">
      <w:start w:val="1"/>
      <w:numFmt w:val="decimal"/>
      <w:isLgl/>
      <w:lvlText w:val="%1.%2.%3.%4.%5.%6.%7"/>
      <w:lvlJc w:val="left"/>
      <w:pPr>
        <w:ind w:left="2368" w:hanging="1800"/>
      </w:pPr>
    </w:lvl>
    <w:lvl w:ilvl="7" w:tentative="0">
      <w:start w:val="1"/>
      <w:numFmt w:val="decimal"/>
      <w:isLgl/>
      <w:lvlText w:val="%1.%2.%3.%4.%5.%6.%7.%8"/>
      <w:lvlJc w:val="left"/>
      <w:pPr>
        <w:ind w:left="2368" w:hanging="1800"/>
      </w:pPr>
    </w:lvl>
    <w:lvl w:ilvl="8" w:tentative="0">
      <w:start w:val="1"/>
      <w:numFmt w:val="decimal"/>
      <w:isLgl/>
      <w:lvlText w:val="%1.%2.%3.%4.%5.%6.%7.%8.%9"/>
      <w:lvlJc w:val="left"/>
      <w:pPr>
        <w:ind w:left="2728" w:hanging="2160"/>
      </w:p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num>
  <w:num w:numId="23">
    <w:abstractNumId w:val="1"/>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2"/>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num>
  <w:num w:numId="4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C6A"/>
    <w:rsid w:val="00032C6A"/>
    <w:rsid w:val="000F00A9"/>
    <w:rsid w:val="002204E7"/>
    <w:rsid w:val="00342E07"/>
    <w:rsid w:val="00511A3E"/>
    <w:rsid w:val="006169BB"/>
    <w:rsid w:val="0068637E"/>
    <w:rsid w:val="00690E50"/>
    <w:rsid w:val="006C62C7"/>
    <w:rsid w:val="008844D0"/>
    <w:rsid w:val="00997DAA"/>
    <w:rsid w:val="00A919E9"/>
    <w:rsid w:val="00B6366E"/>
    <w:rsid w:val="00B821EF"/>
    <w:rsid w:val="03BD292F"/>
    <w:rsid w:val="3E1E45AD"/>
    <w:rsid w:val="411F310E"/>
    <w:rsid w:val="542747EC"/>
    <w:rsid w:val="55092A5F"/>
    <w:rsid w:val="55BA3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styleId="3">
    <w:name w:val="heading 2"/>
    <w:basedOn w:val="1"/>
    <w:next w:val="1"/>
    <w:qFormat/>
    <w:uiPriority w:val="9"/>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unhideWhenUsed/>
    <w:qFormat/>
    <w:uiPriority w:val="0"/>
    <w:pPr>
      <w:keepNext/>
      <w:keepLines/>
      <w:numPr>
        <w:ilvl w:val="2"/>
        <w:numId w:val="1"/>
      </w:numPr>
      <w:spacing w:line="360" w:lineRule="auto"/>
      <w:outlineLvl w:val="2"/>
    </w:pPr>
    <w:rPr>
      <w:rFonts w:ascii="宋体" w:hAnsi="宋体" w:cs="宋体"/>
      <w:b/>
      <w:bCs/>
      <w:color w:val="000000"/>
      <w:kern w:val="0"/>
      <w:sz w:val="28"/>
      <w:szCs w:val="28"/>
    </w:rPr>
  </w:style>
  <w:style w:type="paragraph" w:styleId="5">
    <w:name w:val="heading 4"/>
    <w:basedOn w:val="1"/>
    <w:next w:val="1"/>
    <w:unhideWhenUsed/>
    <w:qFormat/>
    <w:uiPriority w:val="0"/>
    <w:pPr>
      <w:keepNext/>
      <w:keepLines/>
      <w:spacing w:before="120" w:after="120" w:line="360" w:lineRule="auto"/>
      <w:jc w:val="left"/>
      <w:outlineLvl w:val="3"/>
    </w:pPr>
    <w:rPr>
      <w:rFonts w:ascii="Arial" w:hAnsi="Arial"/>
      <w:b/>
      <w:bCs/>
      <w:kern w:val="0"/>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semiHidden/>
    <w:unhideWhenUsed/>
    <w:qFormat/>
    <w:uiPriority w:val="99"/>
    <w:pPr>
      <w:spacing w:after="120"/>
    </w:pPr>
  </w:style>
  <w:style w:type="paragraph" w:styleId="6">
    <w:name w:val="Normal Indent"/>
    <w:basedOn w:val="1"/>
    <w:unhideWhenUsed/>
    <w:qFormat/>
    <w:uiPriority w:val="0"/>
    <w:pPr>
      <w:spacing w:after="180" w:line="307" w:lineRule="auto"/>
      <w:ind w:firstLine="420"/>
    </w:pPr>
    <w:rPr>
      <w:rFonts w:asciiTheme="minorHAnsi" w:hAnsiTheme="minorHAnsi" w:eastAsiaTheme="minorEastAsia" w:cstheme="minorBidi"/>
    </w:rPr>
  </w:style>
  <w:style w:type="paragraph" w:styleId="7">
    <w:name w:val="annotation text"/>
    <w:basedOn w:val="1"/>
    <w:qFormat/>
    <w:uiPriority w:val="99"/>
    <w:pPr>
      <w:jc w:val="left"/>
    </w:pPr>
  </w:style>
  <w:style w:type="paragraph" w:styleId="8">
    <w:name w:val="Body Text Indent 2"/>
    <w:basedOn w:val="1"/>
    <w:unhideWhenUsed/>
    <w:qFormat/>
    <w:uiPriority w:val="99"/>
    <w:pPr>
      <w:spacing w:after="120" w:line="480" w:lineRule="auto"/>
      <w:ind w:left="420" w:leftChars="200"/>
    </w:pPr>
  </w:style>
  <w:style w:type="paragraph" w:styleId="9">
    <w:name w:val="footer"/>
    <w:basedOn w:val="1"/>
    <w:unhideWhenUsed/>
    <w:qFormat/>
    <w:uiPriority w:val="99"/>
    <w:pPr>
      <w:tabs>
        <w:tab w:val="center" w:pos="4153"/>
        <w:tab w:val="right" w:pos="8306"/>
      </w:tabs>
      <w:snapToGrid w:val="0"/>
      <w:jc w:val="left"/>
    </w:pPr>
    <w:rPr>
      <w:kern w:val="0"/>
      <w:sz w:val="18"/>
      <w:szCs w:val="18"/>
    </w:rPr>
  </w:style>
  <w:style w:type="paragraph" w:styleId="10">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toc 1"/>
    <w:basedOn w:val="1"/>
    <w:next w:val="1"/>
    <w:unhideWhenUsed/>
    <w:qFormat/>
    <w:uiPriority w:val="39"/>
    <w:pPr>
      <w:tabs>
        <w:tab w:val="left" w:pos="709"/>
        <w:tab w:val="right" w:leader="dot" w:pos="8364"/>
      </w:tabs>
      <w:spacing w:before="120" w:after="120"/>
      <w:jc w:val="left"/>
    </w:pPr>
    <w:rPr>
      <w:rFonts w:ascii="华文中宋" w:hAnsi="华文中宋" w:eastAsia="华文中宋"/>
      <w:bCs/>
      <w:caps/>
      <w:sz w:val="20"/>
      <w:szCs w:val="20"/>
    </w:rPr>
  </w:style>
  <w:style w:type="paragraph" w:styleId="12">
    <w:name w:val="toc 2"/>
    <w:basedOn w:val="1"/>
    <w:next w:val="1"/>
    <w:unhideWhenUsed/>
    <w:qFormat/>
    <w:uiPriority w:val="39"/>
    <w:pPr>
      <w:tabs>
        <w:tab w:val="left" w:pos="620"/>
        <w:tab w:val="right" w:leader="dot" w:pos="8364"/>
      </w:tabs>
      <w:ind w:left="180"/>
      <w:jc w:val="left"/>
    </w:pPr>
    <w:rPr>
      <w:rFonts w:ascii="华文中宋" w:hAnsi="华文中宋" w:eastAsia="华文中宋"/>
      <w:smallCaps/>
      <w:sz w:val="20"/>
      <w:szCs w:val="20"/>
    </w:rPr>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hAnsi="宋体"/>
      <w:sz w:val="24"/>
      <w:szCs w:val="24"/>
    </w:rPr>
  </w:style>
  <w:style w:type="paragraph" w:styleId="14">
    <w:name w:val="Normal (Web)"/>
    <w:basedOn w:val="1"/>
    <w:unhideWhenUsed/>
    <w:qFormat/>
    <w:uiPriority w:val="99"/>
    <w:pPr>
      <w:widowControl/>
      <w:spacing w:before="100" w:beforeAutospacing="1" w:after="100" w:afterAutospacing="1"/>
      <w:jc w:val="left"/>
    </w:pPr>
    <w:rPr>
      <w:rFonts w:ascii="宋体" w:hAnsi="宋体"/>
      <w:color w:val="000000"/>
      <w:kern w:val="0"/>
      <w:sz w:val="24"/>
      <w:szCs w:val="24"/>
    </w:rPr>
  </w:style>
  <w:style w:type="paragraph" w:styleId="15">
    <w:name w:val="Body Text First Indent"/>
    <w:basedOn w:val="2"/>
    <w:semiHidden/>
    <w:unhideWhenUsed/>
    <w:qFormat/>
    <w:uiPriority w:val="99"/>
    <w:pPr>
      <w:ind w:firstLine="420" w:firstLineChars="100"/>
    </w:pPr>
    <w:rPr>
      <w:rFonts w:ascii="Times New Roman" w:hAnsi="Times New Roman"/>
      <w:kern w:val="0"/>
      <w:sz w:val="18"/>
      <w:szCs w:val="18"/>
    </w:rPr>
  </w:style>
  <w:style w:type="table" w:styleId="17">
    <w:name w:val="Table Grid"/>
    <w:basedOn w:val="16"/>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unhideWhenUsed/>
    <w:qFormat/>
    <w:uiPriority w:val="99"/>
    <w:rPr>
      <w:color w:val="0563C1" w:themeColor="hyperlink"/>
      <w:u w:val="single"/>
      <w14:textFill>
        <w14:solidFill>
          <w14:schemeClr w14:val="hlink"/>
        </w14:solidFill>
      </w14:textFill>
    </w:rPr>
  </w:style>
  <w:style w:type="character" w:styleId="20">
    <w:name w:val="annotation reference"/>
    <w:basedOn w:val="18"/>
    <w:qFormat/>
    <w:uiPriority w:val="0"/>
    <w:rPr>
      <w:sz w:val="21"/>
      <w:szCs w:val="21"/>
    </w:rPr>
  </w:style>
  <w:style w:type="paragraph" w:styleId="21">
    <w:name w:val="List Paragraph"/>
    <w:basedOn w:val="1"/>
    <w:qFormat/>
    <w:uiPriority w:val="0"/>
    <w:pPr>
      <w:ind w:firstLine="420" w:firstLineChars="200"/>
    </w:pPr>
    <w:rPr>
      <w:rFonts w:eastAsiaTheme="minorEastAsia" w:cstheme="minorBidi"/>
    </w:rPr>
  </w:style>
  <w:style w:type="paragraph" w:customStyle="1" w:styleId="22">
    <w:name w:val="正文首行缩进两字符"/>
    <w:basedOn w:val="1"/>
    <w:qFormat/>
    <w:uiPriority w:val="99"/>
    <w:pPr>
      <w:spacing w:line="360" w:lineRule="auto"/>
      <w:ind w:firstLine="200" w:firstLineChars="200"/>
    </w:pPr>
    <w:rPr>
      <w:rFonts w:ascii="Times New Roman" w:hAnsi="Times New Roman"/>
      <w:szCs w:val="24"/>
    </w:rPr>
  </w:style>
  <w:style w:type="paragraph" w:customStyle="1" w:styleId="23">
    <w:name w:val="彩色列表 - 强调文字颜色 11"/>
    <w:basedOn w:val="1"/>
    <w:qFormat/>
    <w:uiPriority w:val="0"/>
    <w:pPr>
      <w:ind w:firstLine="420" w:firstLineChars="200"/>
    </w:pPr>
    <w:rPr>
      <w:rFonts w:eastAsiaTheme="minorEastAsia" w:cstheme="minorBidi"/>
    </w:rPr>
  </w:style>
  <w:style w:type="paragraph" w:customStyle="1" w:styleId="24">
    <w:name w:val="样式"/>
    <w:qFormat/>
    <w:uiPriority w:val="0"/>
    <w:pPr>
      <w:widowControl w:val="0"/>
      <w:autoSpaceDE w:val="0"/>
      <w:autoSpaceDN w:val="0"/>
      <w:adjustRightInd w:val="0"/>
      <w:spacing w:after="200" w:line="276" w:lineRule="auto"/>
    </w:pPr>
    <w:rPr>
      <w:rFonts w:ascii="宋体" w:hAnsi="宋体" w:eastAsia="宋体" w:cs="宋体"/>
      <w:sz w:val="24"/>
      <w:szCs w:val="24"/>
      <w:lang w:val="en-US" w:eastAsia="zh-CN" w:bidi="ar-SA"/>
    </w:rPr>
  </w:style>
  <w:style w:type="paragraph" w:customStyle="1" w:styleId="25">
    <w:name w:val="列出段落2"/>
    <w:basedOn w:val="1"/>
    <w:qFormat/>
    <w:uiPriority w:val="0"/>
    <w:pPr>
      <w:ind w:firstLine="420" w:firstLineChars="200"/>
    </w:pPr>
  </w:style>
  <w:style w:type="paragraph" w:customStyle="1" w:styleId="26">
    <w:name w:val="列出段落1"/>
    <w:basedOn w:val="1"/>
    <w:qFormat/>
    <w:uiPriority w:val="34"/>
    <w:pPr>
      <w:ind w:firstLine="420" w:firstLineChars="200"/>
    </w:pPr>
  </w:style>
  <w:style w:type="paragraph" w:customStyle="1" w:styleId="27">
    <w:name w:val="表格"/>
    <w:basedOn w:val="1"/>
    <w:qFormat/>
    <w:uiPriority w:val="99"/>
    <w:pPr>
      <w:spacing w:line="400" w:lineRule="exact"/>
    </w:pPr>
    <w:rPr>
      <w:rFonts w:ascii="Times New Roman" w:hAnsi="Times New Roman"/>
      <w:sz w:val="24"/>
      <w:szCs w:val="24"/>
    </w:rPr>
  </w:style>
  <w:style w:type="paragraph" w:customStyle="1" w:styleId="28">
    <w:name w:val="正文1"/>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customStyle="1" w:styleId="29">
    <w:name w:val="二级"/>
    <w:basedOn w:val="3"/>
    <w:qFormat/>
    <w:uiPriority w:val="0"/>
    <w:pPr>
      <w:spacing w:beforeLines="100" w:afterLines="50"/>
      <w:jc w:val="left"/>
    </w:pPr>
    <w:rPr>
      <w:rFonts w:ascii="黑体"/>
      <w:sz w:val="30"/>
    </w:rPr>
  </w:style>
  <w:style w:type="paragraph" w:customStyle="1" w:styleId="30">
    <w:name w:val="01、普通正文"/>
    <w:basedOn w:val="1"/>
    <w:qFormat/>
    <w:uiPriority w:val="0"/>
    <w:pPr>
      <w:tabs>
        <w:tab w:val="left" w:pos="0"/>
      </w:tabs>
      <w:wordWrap w:val="0"/>
      <w:topLinePunct/>
      <w:spacing w:after="0" w:line="440" w:lineRule="exact"/>
      <w:ind w:firstLine="723" w:firstLineChars="200"/>
    </w:pPr>
    <w:rPr>
      <w:rFonts w:ascii="宋体" w:hAnsi="宋体"/>
      <w:snapToGrid w:val="0"/>
      <w:sz w:val="24"/>
    </w:rPr>
  </w:style>
  <w:style w:type="paragraph" w:customStyle="1" w:styleId="31">
    <w:name w:val="Normal_59"/>
    <w:qFormat/>
    <w:uiPriority w:val="99"/>
    <w:pPr>
      <w:spacing w:before="120" w:after="240" w:line="276" w:lineRule="auto"/>
      <w:jc w:val="both"/>
    </w:pPr>
    <w:rPr>
      <w:rFonts w:ascii="Times New Roman" w:hAnsi="Times New Roman" w:eastAsia="Calibri" w:cs="Times New Roman"/>
      <w:sz w:val="22"/>
      <w:szCs w:val="22"/>
      <w:lang w:val="ru-RU"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3E9DFD-F663-475E-B6DF-91532B7B2634}">
  <ds:schemaRefs/>
</ds:datastoreItem>
</file>

<file path=docProps/app.xml><?xml version="1.0" encoding="utf-8"?>
<Properties xmlns="http://schemas.openxmlformats.org/officeDocument/2006/extended-properties" xmlns:vt="http://schemas.openxmlformats.org/officeDocument/2006/docPropsVTypes">
  <Template>Normal</Template>
  <Pages>1</Pages>
  <Words>6745</Words>
  <Characters>38452</Characters>
  <Lines>320</Lines>
  <Paragraphs>90</Paragraphs>
  <TotalTime>18</TotalTime>
  <ScaleCrop>false</ScaleCrop>
  <LinksUpToDate>false</LinksUpToDate>
  <CharactersWithSpaces>45107</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2021-12-01T16:31:00Z</dcterms:created>
  <dc:creator>方思敏</dc:creator>
  <cp:lastModifiedBy>肖迪</cp:lastModifiedBy>
  <cp:lastPrinted>2021-12-07T02:38:00Z</cp:lastPrinted>
  <dcterms:modified xsi:type="dcterms:W3CDTF">2021-12-07T03:10:16Z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BCD092DDF6C9457FB8CF65F64865DB1B</vt:lpwstr>
  </property>
</Properties>
</file>