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adjustRightInd w:val="0"/>
        <w:snapToGrid w:val="0"/>
        <w:spacing w:afterAutospacing="0" w:line="360" w:lineRule="auto"/>
        <w:ind w:firstLine="400" w:firstLineChars="200"/>
        <w:jc w:val="center"/>
        <w:rPr>
          <w:rFonts w:hint="eastAsia"/>
          <w:color w:val="auto"/>
          <w:sz w:val="20"/>
          <w:highlight w:val="none"/>
        </w:rPr>
      </w:pPr>
      <w:bookmarkStart w:id="0" w:name="EB8388323710814b63940f4da58e9679e6"/>
      <w:r>
        <w:rPr>
          <w:rFonts w:hint="eastAsia"/>
          <w:color w:val="auto"/>
          <w:sz w:val="20"/>
          <w:highlight w:val="none"/>
        </w:rPr>
        <w:t xml:space="preserve"> </w:t>
      </w:r>
      <w:bookmarkEnd w:id="0"/>
      <w:bookmarkStart w:id="1" w:name="EB8b19b7216b064f94ad4eb0e0ed38afad"/>
      <w:r>
        <w:rPr>
          <w:rFonts w:hint="eastAsia"/>
          <w:color w:val="auto"/>
          <w:sz w:val="20"/>
          <w:highlight w:val="none"/>
        </w:rPr>
        <w:t xml:space="preserve"> </w:t>
      </w:r>
      <w:bookmarkEnd w:id="1"/>
    </w:p>
    <w:p>
      <w:pPr>
        <w:pageBreakBefore w:val="0"/>
        <w:kinsoku/>
        <w:wordWrap/>
        <w:overflowPunct/>
        <w:topLinePunct w:val="0"/>
        <w:bidi w:val="0"/>
        <w:adjustRightInd w:val="0"/>
        <w:snapToGrid w:val="0"/>
        <w:spacing w:afterAutospacing="0" w:line="360" w:lineRule="auto"/>
        <w:ind w:firstLine="400" w:firstLineChars="200"/>
        <w:jc w:val="center"/>
        <w:rPr>
          <w:rFonts w:hint="eastAsia"/>
          <w:color w:val="auto"/>
          <w:sz w:val="20"/>
          <w:highlight w:val="none"/>
        </w:rPr>
      </w:pPr>
    </w:p>
    <w:p>
      <w:pPr>
        <w:pageBreakBefore w:val="0"/>
        <w:kinsoku/>
        <w:wordWrap/>
        <w:overflowPunct/>
        <w:topLinePunct w:val="0"/>
        <w:bidi w:val="0"/>
        <w:adjustRightInd w:val="0"/>
        <w:snapToGrid w:val="0"/>
        <w:spacing w:afterAutospacing="0" w:line="360" w:lineRule="auto"/>
        <w:ind w:firstLine="1840" w:firstLineChars="200"/>
        <w:jc w:val="center"/>
        <w:rPr>
          <w:rFonts w:hint="eastAsia" w:ascii="华文中宋" w:hAnsi="华文中宋" w:eastAsia="华文中宋"/>
          <w:color w:val="auto"/>
          <w:spacing w:val="-20"/>
          <w:sz w:val="96"/>
          <w:szCs w:val="96"/>
          <w:highlight w:val="none"/>
        </w:rPr>
      </w:pP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华文中宋" w:hAnsi="华文中宋" w:eastAsia="华文中宋"/>
          <w:color w:val="auto"/>
          <w:spacing w:val="-20"/>
          <w:sz w:val="96"/>
          <w:szCs w:val="96"/>
          <w:highlight w:val="none"/>
        </w:rPr>
      </w:pPr>
      <w:r>
        <w:rPr>
          <w:rFonts w:hint="eastAsia" w:ascii="华文中宋" w:hAnsi="华文中宋" w:eastAsia="华文中宋"/>
          <w:color w:val="auto"/>
          <w:spacing w:val="-20"/>
          <w:sz w:val="96"/>
          <w:szCs w:val="96"/>
          <w:highlight w:val="none"/>
        </w:rPr>
        <w:t>竞争性磋商文件</w:t>
      </w:r>
    </w:p>
    <w:p>
      <w:pPr>
        <w:pageBreakBefore w:val="0"/>
        <w:kinsoku/>
        <w:wordWrap/>
        <w:overflowPunct/>
        <w:topLinePunct w:val="0"/>
        <w:bidi w:val="0"/>
        <w:adjustRightInd w:val="0"/>
        <w:snapToGrid w:val="0"/>
        <w:spacing w:afterAutospacing="0" w:line="360" w:lineRule="auto"/>
        <w:ind w:left="624" w:leftChars="223" w:firstLine="680" w:firstLineChars="200"/>
        <w:rPr>
          <w:rFonts w:ascii="华文中宋" w:hAnsi="华文中宋" w:eastAsia="华文中宋"/>
          <w:color w:val="auto"/>
          <w:spacing w:val="20"/>
          <w:sz w:val="30"/>
          <w:szCs w:val="30"/>
          <w:highlight w:val="none"/>
        </w:rPr>
      </w:pPr>
    </w:p>
    <w:p>
      <w:pPr>
        <w:pageBreakBefore w:val="0"/>
        <w:kinsoku/>
        <w:wordWrap/>
        <w:overflowPunct/>
        <w:topLinePunct w:val="0"/>
        <w:bidi w:val="0"/>
        <w:adjustRightInd w:val="0"/>
        <w:snapToGrid w:val="0"/>
        <w:spacing w:afterAutospacing="0" w:line="360" w:lineRule="auto"/>
        <w:ind w:firstLine="560" w:firstLineChars="200"/>
      </w:pPr>
    </w:p>
    <w:p>
      <w:pPr>
        <w:spacing w:line="360" w:lineRule="auto"/>
        <w:jc w:val="left"/>
        <w:rPr>
          <w:rFonts w:ascii="宋体" w:hAnsi="宋体" w:eastAsia="宋体" w:cstheme="minorBidi"/>
          <w:sz w:val="24"/>
          <w:szCs w:val="24"/>
        </w:rPr>
      </w:pPr>
      <w:r>
        <w:rPr>
          <w:rFonts w:hint="eastAsia" w:ascii="华文中宋" w:hAnsi="华文中宋" w:eastAsia="华文中宋"/>
          <w:color w:val="auto"/>
          <w:sz w:val="32"/>
          <w:szCs w:val="32"/>
          <w:highlight w:val="none"/>
        </w:rPr>
        <w:t>项目名称：</w:t>
      </w:r>
      <w:r>
        <w:rPr>
          <w:rFonts w:hint="eastAsia" w:ascii="宋体" w:hAnsi="宋体" w:eastAsia="宋体" w:cstheme="minorBidi"/>
          <w:sz w:val="24"/>
          <w:szCs w:val="24"/>
        </w:rPr>
        <w:t>成都市温江区第二中学校多功能报告厅音视频系统建设改造项目</w:t>
      </w:r>
    </w:p>
    <w:p>
      <w:pPr>
        <w:pageBreakBefore w:val="0"/>
        <w:kinsoku/>
        <w:wordWrap/>
        <w:overflowPunct/>
        <w:topLinePunct w:val="0"/>
        <w:bidi w:val="0"/>
        <w:adjustRightInd w:val="0"/>
        <w:snapToGrid w:val="0"/>
        <w:spacing w:afterAutospacing="0" w:line="360" w:lineRule="auto"/>
        <w:ind w:firstLine="600" w:firstLineChars="200"/>
        <w:rPr>
          <w:rFonts w:hint="eastAsia" w:ascii="宋体" w:hAnsi="宋体" w:eastAsia="宋体" w:cs="宋体"/>
          <w:color w:val="auto"/>
          <w:sz w:val="30"/>
          <w:szCs w:val="30"/>
          <w:highlight w:val="none"/>
        </w:rPr>
      </w:pPr>
    </w:p>
    <w:p>
      <w:pPr>
        <w:pageBreakBefore w:val="0"/>
        <w:tabs>
          <w:tab w:val="left" w:pos="2552"/>
        </w:tabs>
        <w:kinsoku/>
        <w:wordWrap/>
        <w:overflowPunct/>
        <w:topLinePunct w:val="0"/>
        <w:bidi w:val="0"/>
        <w:adjustRightInd w:val="0"/>
        <w:snapToGrid w:val="0"/>
        <w:spacing w:afterAutospacing="0" w:line="360" w:lineRule="auto"/>
        <w:ind w:firstLine="640" w:firstLineChars="200"/>
        <w:rPr>
          <w:rFonts w:hint="eastAsia" w:ascii="华文中宋" w:hAnsi="华文中宋" w:eastAsia="华文中宋"/>
          <w:color w:val="auto"/>
          <w:spacing w:val="110"/>
          <w:sz w:val="24"/>
          <w:szCs w:val="24"/>
          <w:highlight w:val="none"/>
          <w:lang w:eastAsia="zh-CN"/>
        </w:rPr>
      </w:pPr>
      <w:r>
        <w:rPr>
          <w:rFonts w:hint="eastAsia" w:ascii="华文中宋" w:hAnsi="华文中宋" w:eastAsia="华文中宋"/>
          <w:color w:val="auto"/>
          <w:sz w:val="32"/>
          <w:szCs w:val="32"/>
          <w:highlight w:val="none"/>
        </w:rPr>
        <w:t xml:space="preserve">项目编号: </w:t>
      </w:r>
      <w:r>
        <w:rPr>
          <w:rFonts w:hint="eastAsia" w:cs="宋体"/>
          <w:i w:val="0"/>
          <w:iCs w:val="0"/>
          <w:caps w:val="0"/>
          <w:color w:val="333333"/>
          <w:spacing w:val="0"/>
          <w:sz w:val="24"/>
          <w:szCs w:val="24"/>
          <w:highlight w:val="none"/>
          <w:shd w:val="clear" w:fill="FFFFFF"/>
          <w:lang w:eastAsia="zh-CN"/>
        </w:rPr>
        <w:t>温江政采（2021）A0062号</w:t>
      </w:r>
    </w:p>
    <w:p>
      <w:pPr>
        <w:pageBreakBefore w:val="0"/>
        <w:kinsoku/>
        <w:wordWrap/>
        <w:overflowPunct/>
        <w:topLinePunct w:val="0"/>
        <w:bidi w:val="0"/>
        <w:adjustRightInd w:val="0"/>
        <w:snapToGrid w:val="0"/>
        <w:spacing w:afterAutospacing="0" w:line="360" w:lineRule="auto"/>
        <w:ind w:left="941" w:leftChars="336" w:firstLine="640" w:firstLineChars="200"/>
        <w:rPr>
          <w:rFonts w:ascii="华文中宋" w:hAnsi="华文中宋" w:eastAsia="华文中宋"/>
          <w:color w:val="auto"/>
          <w:sz w:val="32"/>
          <w:szCs w:val="32"/>
          <w:highlight w:val="none"/>
        </w:rPr>
      </w:pPr>
    </w:p>
    <w:p>
      <w:pPr>
        <w:pageBreakBefore w:val="0"/>
        <w:tabs>
          <w:tab w:val="left" w:pos="2552"/>
        </w:tabs>
        <w:kinsoku/>
        <w:wordWrap/>
        <w:overflowPunct/>
        <w:topLinePunct w:val="0"/>
        <w:bidi w:val="0"/>
        <w:adjustRightInd w:val="0"/>
        <w:snapToGrid w:val="0"/>
        <w:spacing w:afterAutospacing="0" w:line="360" w:lineRule="auto"/>
        <w:ind w:firstLine="1080" w:firstLineChars="200"/>
        <w:rPr>
          <w:rFonts w:ascii="华文中宋" w:hAnsi="华文中宋" w:eastAsia="华文中宋"/>
          <w:color w:val="auto"/>
          <w:spacing w:val="110"/>
          <w:sz w:val="32"/>
          <w:szCs w:val="32"/>
          <w:highlight w:val="none"/>
        </w:rPr>
      </w:pPr>
    </w:p>
    <w:p>
      <w:pPr>
        <w:pageBreakBefore w:val="0"/>
        <w:kinsoku/>
        <w:wordWrap/>
        <w:overflowPunct/>
        <w:topLinePunct w:val="0"/>
        <w:bidi w:val="0"/>
        <w:adjustRightInd w:val="0"/>
        <w:snapToGrid w:val="0"/>
        <w:spacing w:afterAutospacing="0" w:line="360" w:lineRule="auto"/>
        <w:ind w:firstLine="640" w:firstLineChars="200"/>
        <w:jc w:val="center"/>
        <w:rPr>
          <w:rFonts w:ascii="华文中宋" w:hAnsi="华文中宋" w:eastAsia="华文中宋"/>
          <w:color w:val="auto"/>
          <w:kern w:val="24"/>
          <w:sz w:val="32"/>
          <w:szCs w:val="32"/>
          <w:highlight w:val="none"/>
        </w:rPr>
      </w:pPr>
    </w:p>
    <w:p>
      <w:pPr>
        <w:pageBreakBefore w:val="0"/>
        <w:kinsoku/>
        <w:wordWrap/>
        <w:overflowPunct/>
        <w:topLinePunct w:val="0"/>
        <w:bidi w:val="0"/>
        <w:adjustRightInd w:val="0"/>
        <w:snapToGrid w:val="0"/>
        <w:spacing w:afterAutospacing="0" w:line="360" w:lineRule="auto"/>
        <w:ind w:firstLine="640" w:firstLineChars="200"/>
        <w:jc w:val="center"/>
        <w:rPr>
          <w:rFonts w:ascii="华文中宋" w:hAnsi="华文中宋" w:eastAsia="华文中宋"/>
          <w:color w:val="auto"/>
          <w:kern w:val="24"/>
          <w:sz w:val="32"/>
          <w:szCs w:val="32"/>
          <w:highlight w:val="none"/>
        </w:rPr>
      </w:pPr>
    </w:p>
    <w:p>
      <w:pPr>
        <w:pageBreakBefore w:val="0"/>
        <w:kinsoku/>
        <w:wordWrap/>
        <w:overflowPunct/>
        <w:topLinePunct w:val="0"/>
        <w:bidi w:val="0"/>
        <w:adjustRightInd w:val="0"/>
        <w:snapToGrid w:val="0"/>
        <w:spacing w:afterAutospacing="0" w:line="360" w:lineRule="auto"/>
        <w:ind w:firstLine="640" w:firstLineChars="200"/>
        <w:jc w:val="center"/>
        <w:rPr>
          <w:rFonts w:ascii="华文中宋" w:hAnsi="华文中宋" w:eastAsia="华文中宋"/>
          <w:color w:val="auto"/>
          <w:kern w:val="24"/>
          <w:sz w:val="32"/>
          <w:szCs w:val="32"/>
          <w:highlight w:val="none"/>
        </w:rPr>
      </w:pPr>
    </w:p>
    <w:p>
      <w:pPr>
        <w:pageBreakBefore w:val="0"/>
        <w:kinsoku/>
        <w:wordWrap/>
        <w:overflowPunct/>
        <w:topLinePunct w:val="0"/>
        <w:bidi w:val="0"/>
        <w:adjustRightInd w:val="0"/>
        <w:snapToGrid w:val="0"/>
        <w:spacing w:afterAutospacing="0" w:line="360" w:lineRule="auto"/>
        <w:ind w:firstLine="640" w:firstLineChars="200"/>
        <w:jc w:val="center"/>
        <w:rPr>
          <w:rFonts w:ascii="华文中宋" w:hAnsi="华文中宋" w:eastAsia="华文中宋"/>
          <w:color w:val="auto"/>
          <w:kern w:val="24"/>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华文中宋" w:hAnsi="华文中宋" w:eastAsia="华文中宋"/>
          <w:color w:val="auto"/>
          <w:kern w:val="24"/>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i w:val="0"/>
          <w:iCs w:val="0"/>
          <w:caps w:val="0"/>
          <w:color w:val="auto"/>
          <w:spacing w:val="0"/>
          <w:sz w:val="32"/>
          <w:szCs w:val="32"/>
          <w:shd w:val="clear" w:fill="FFFFFF"/>
          <w:lang w:val="en-US" w:eastAsia="zh-CN"/>
        </w:rPr>
        <w:t>成都市温江区第二中学校</w:t>
      </w:r>
      <w:r>
        <w:rPr>
          <w:rFonts w:hint="eastAsia" w:asciiTheme="minorEastAsia" w:hAnsiTheme="minorEastAsia" w:eastAsiaTheme="minorEastAsia" w:cstheme="minorEastAsia"/>
          <w:color w:val="auto"/>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成都市</w:t>
      </w:r>
      <w:r>
        <w:rPr>
          <w:rFonts w:hint="eastAsia" w:ascii="华文中宋" w:hAnsi="华文中宋" w:eastAsia="华文中宋"/>
          <w:color w:val="auto"/>
          <w:sz w:val="32"/>
          <w:szCs w:val="32"/>
          <w:highlight w:val="none"/>
          <w:lang w:val="en-US" w:eastAsia="zh-CN"/>
        </w:rPr>
        <w:t>温江区</w:t>
      </w:r>
      <w:r>
        <w:rPr>
          <w:rFonts w:hint="eastAsia" w:ascii="华文中宋" w:hAnsi="华文中宋" w:eastAsia="华文中宋"/>
          <w:color w:val="auto"/>
          <w:sz w:val="32"/>
          <w:szCs w:val="32"/>
          <w:highlight w:val="none"/>
        </w:rPr>
        <w:t>公共资源交易服务中心</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共同编制</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hint="eastAsia"/>
          <w:color w:val="auto"/>
          <w:highlight w:val="none"/>
        </w:rPr>
      </w:pPr>
      <w:r>
        <w:rPr>
          <w:rFonts w:hint="eastAsia" w:ascii="华文中宋" w:hAnsi="华文中宋" w:eastAsia="华文中宋"/>
          <w:color w:val="auto"/>
          <w:sz w:val="32"/>
          <w:szCs w:val="32"/>
          <w:highlight w:val="none"/>
        </w:rPr>
        <w:t>二○二一年</w:t>
      </w:r>
      <w:r>
        <w:rPr>
          <w:rFonts w:hint="eastAsia" w:ascii="华文中宋" w:hAnsi="华文中宋" w:eastAsia="华文中宋"/>
          <w:color w:val="auto"/>
          <w:sz w:val="32"/>
          <w:szCs w:val="32"/>
          <w:highlight w:val="none"/>
          <w:lang w:val="en-US" w:eastAsia="zh-CN"/>
        </w:rPr>
        <w:t>十一</w:t>
      </w:r>
      <w:r>
        <w:rPr>
          <w:rFonts w:hint="eastAsia" w:ascii="华文中宋" w:hAnsi="华文中宋" w:eastAsia="华文中宋"/>
          <w:color w:val="auto"/>
          <w:sz w:val="32"/>
          <w:szCs w:val="32"/>
          <w:highlight w:val="none"/>
        </w:rPr>
        <w:t>月</w:t>
      </w:r>
      <w:r>
        <w:rPr>
          <w:rFonts w:ascii="华文中宋" w:hAnsi="华文中宋" w:eastAsia="华文中宋"/>
          <w:bCs/>
          <w:color w:val="auto"/>
          <w:sz w:val="36"/>
          <w:szCs w:val="36"/>
          <w:highlight w:val="none"/>
        </w:rPr>
        <w:br w:type="page"/>
      </w:r>
    </w:p>
    <w:p>
      <w:pPr>
        <w:pageBreakBefore w:val="0"/>
        <w:kinsoku/>
        <w:wordWrap/>
        <w:overflowPunct/>
        <w:topLinePunct w:val="0"/>
        <w:bidi w:val="0"/>
        <w:adjustRightInd w:val="0"/>
        <w:snapToGrid w:val="0"/>
        <w:spacing w:afterAutospacing="0" w:line="360" w:lineRule="auto"/>
        <w:ind w:firstLine="560" w:firstLineChars="200"/>
        <w:jc w:val="center"/>
        <w:rPr>
          <w:color w:val="auto"/>
          <w:highlight w:val="none"/>
          <w:lang w:val="zh-CN"/>
        </w:rPr>
      </w:pPr>
      <w:r>
        <w:rPr>
          <w:color w:val="auto"/>
          <w:highlight w:val="none"/>
          <w:lang w:val="zh-CN"/>
        </w:rPr>
        <w:t>目</w:t>
      </w:r>
      <w:r>
        <w:rPr>
          <w:rFonts w:hint="eastAsia"/>
          <w:color w:val="auto"/>
          <w:highlight w:val="none"/>
          <w:lang w:val="zh-CN"/>
        </w:rPr>
        <w:t xml:space="preserve">  </w:t>
      </w:r>
      <w:r>
        <w:rPr>
          <w:color w:val="auto"/>
          <w:highlight w:val="none"/>
          <w:lang w:val="zh-CN"/>
        </w:rPr>
        <w:t>录</w:t>
      </w:r>
    </w:p>
    <w:p>
      <w:pPr>
        <w:pStyle w:val="15"/>
        <w:tabs>
          <w:tab w:val="right" w:leader="dot" w:pos="9214"/>
          <w:tab w:val="clear" w:pos="840"/>
          <w:tab w:val="clear" w:pos="9204"/>
        </w:tabs>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highlight w:val="none"/>
        </w:rPr>
        <w:instrText xml:space="preserve"> HYPERLINK \l _Toc14775 </w:instrText>
      </w:r>
      <w:r>
        <w:rPr>
          <w:highlight w:val="none"/>
        </w:rPr>
        <w:fldChar w:fldCharType="separate"/>
      </w:r>
      <w:r>
        <w:rPr>
          <w:rFonts w:hint="eastAsia"/>
          <w:highlight w:val="none"/>
        </w:rPr>
        <w:t>第1章 竞争性磋商邀请</w:t>
      </w:r>
      <w:r>
        <w:tab/>
      </w:r>
      <w:r>
        <w:fldChar w:fldCharType="begin"/>
      </w:r>
      <w:r>
        <w:instrText xml:space="preserve"> PAGEREF _Toc14775 \h </w:instrText>
      </w:r>
      <w:r>
        <w:fldChar w:fldCharType="separate"/>
      </w:r>
      <w:r>
        <w:t>1</w:t>
      </w:r>
      <w:r>
        <w:fldChar w:fldCharType="end"/>
      </w:r>
      <w:r>
        <w:rPr>
          <w:color w:val="auto"/>
          <w:highlight w:val="none"/>
        </w:rPr>
        <w:fldChar w:fldCharType="end"/>
      </w:r>
    </w:p>
    <w:p>
      <w:pPr>
        <w:pStyle w:val="15"/>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_Toc15589 </w:instrText>
      </w:r>
      <w:r>
        <w:rPr>
          <w:szCs w:val="20"/>
          <w:highlight w:val="none"/>
        </w:rPr>
        <w:fldChar w:fldCharType="separate"/>
      </w:r>
      <w:r>
        <w:rPr>
          <w:rFonts w:hint="eastAsia"/>
          <w:highlight w:val="none"/>
        </w:rPr>
        <w:t>第2章 供应商须知</w:t>
      </w:r>
      <w:r>
        <w:tab/>
      </w:r>
      <w:r>
        <w:fldChar w:fldCharType="begin"/>
      </w:r>
      <w:r>
        <w:instrText xml:space="preserve"> PAGEREF _Toc15589 \h </w:instrText>
      </w:r>
      <w:r>
        <w:fldChar w:fldCharType="separate"/>
      </w:r>
      <w:r>
        <w:t>7</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_Toc917 </w:instrText>
      </w:r>
      <w:r>
        <w:rPr>
          <w:szCs w:val="20"/>
          <w:highlight w:val="none"/>
        </w:rPr>
        <w:fldChar w:fldCharType="separate"/>
      </w:r>
      <w:r>
        <w:rPr>
          <w:rFonts w:hint="eastAsia"/>
          <w:highlight w:val="none"/>
        </w:rPr>
        <w:t>2.1供应商须知前附表</w:t>
      </w:r>
      <w:r>
        <w:tab/>
      </w:r>
      <w:r>
        <w:fldChar w:fldCharType="begin"/>
      </w:r>
      <w:r>
        <w:instrText xml:space="preserve"> PAGEREF _Toc917 \h </w:instrText>
      </w:r>
      <w:r>
        <w:fldChar w:fldCharType="separate"/>
      </w:r>
      <w:r>
        <w:t>7</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_Toc17290 </w:instrText>
      </w:r>
      <w:r>
        <w:rPr>
          <w:szCs w:val="20"/>
          <w:highlight w:val="none"/>
        </w:rPr>
        <w:fldChar w:fldCharType="separate"/>
      </w:r>
      <w:r>
        <w:rPr>
          <w:rFonts w:hint="eastAsia"/>
          <w:highlight w:val="none"/>
        </w:rPr>
        <w:t>2.2总则</w:t>
      </w:r>
      <w:r>
        <w:tab/>
      </w:r>
      <w:r>
        <w:fldChar w:fldCharType="begin"/>
      </w:r>
      <w:r>
        <w:instrText xml:space="preserve"> PAGEREF _Toc17290 \h </w:instrText>
      </w:r>
      <w:r>
        <w:fldChar w:fldCharType="separate"/>
      </w:r>
      <w:r>
        <w:t>10</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_Toc31118 </w:instrText>
      </w:r>
      <w:r>
        <w:rPr>
          <w:szCs w:val="20"/>
          <w:highlight w:val="none"/>
        </w:rPr>
        <w:fldChar w:fldCharType="separate"/>
      </w:r>
      <w:r>
        <w:rPr>
          <w:rFonts w:hint="eastAsia"/>
          <w:highlight w:val="none"/>
        </w:rPr>
        <w:t>2.2.1适用范围</w:t>
      </w:r>
      <w:r>
        <w:tab/>
      </w:r>
      <w:r>
        <w:fldChar w:fldCharType="begin"/>
      </w:r>
      <w:r>
        <w:instrText xml:space="preserve"> PAGEREF _Toc31118 \h </w:instrText>
      </w:r>
      <w:r>
        <w:fldChar w:fldCharType="separate"/>
      </w:r>
      <w:r>
        <w:t>10</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_Toc8197 </w:instrText>
      </w:r>
      <w:r>
        <w:rPr>
          <w:szCs w:val="20"/>
          <w:highlight w:val="none"/>
        </w:rPr>
        <w:fldChar w:fldCharType="separate"/>
      </w:r>
      <w:r>
        <w:rPr>
          <w:rFonts w:hint="eastAsia"/>
          <w:highlight w:val="none"/>
        </w:rPr>
        <w:t>2.2.2有关定义</w:t>
      </w:r>
      <w:r>
        <w:tab/>
      </w:r>
      <w:r>
        <w:fldChar w:fldCharType="begin"/>
      </w:r>
      <w:r>
        <w:instrText xml:space="preserve"> PAGEREF _Toc8197 \h </w:instrText>
      </w:r>
      <w:r>
        <w:fldChar w:fldCharType="separate"/>
      </w:r>
      <w:r>
        <w:t>10</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_Toc5260 </w:instrText>
      </w:r>
      <w:r>
        <w:rPr>
          <w:szCs w:val="20"/>
          <w:highlight w:val="none"/>
        </w:rPr>
        <w:fldChar w:fldCharType="separate"/>
      </w:r>
      <w:r>
        <w:rPr>
          <w:rFonts w:hint="eastAsia"/>
          <w:highlight w:val="none"/>
        </w:rPr>
        <w:t>2.2.3合格的供应商</w:t>
      </w:r>
      <w:r>
        <w:tab/>
      </w:r>
      <w:r>
        <w:fldChar w:fldCharType="begin"/>
      </w:r>
      <w:r>
        <w:instrText xml:space="preserve"> PAGEREF _Toc5260 \h </w:instrText>
      </w:r>
      <w:r>
        <w:fldChar w:fldCharType="separate"/>
      </w:r>
      <w:r>
        <w:t>10</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_Toc31462 </w:instrText>
      </w:r>
      <w:r>
        <w:rPr>
          <w:szCs w:val="20"/>
          <w:highlight w:val="none"/>
        </w:rPr>
        <w:fldChar w:fldCharType="separate"/>
      </w:r>
      <w:r>
        <w:rPr>
          <w:rFonts w:hint="eastAsia"/>
          <w:highlight w:val="none"/>
        </w:rPr>
        <w:t>2.2.4参加竞争性磋商的费用</w:t>
      </w:r>
      <w:r>
        <w:tab/>
      </w:r>
      <w:r>
        <w:fldChar w:fldCharType="begin"/>
      </w:r>
      <w:r>
        <w:instrText xml:space="preserve"> PAGEREF _Toc31462 \h </w:instrText>
      </w:r>
      <w:r>
        <w:fldChar w:fldCharType="separate"/>
      </w:r>
      <w:r>
        <w:t>11</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_Toc18684 </w:instrText>
      </w:r>
      <w:r>
        <w:rPr>
          <w:szCs w:val="20"/>
          <w:highlight w:val="none"/>
        </w:rPr>
        <w:fldChar w:fldCharType="separate"/>
      </w:r>
      <w:r>
        <w:rPr>
          <w:rFonts w:hint="eastAsia"/>
          <w:highlight w:val="none"/>
        </w:rPr>
        <w:t>2.2.5充分、公平竞争保障措施</w:t>
      </w:r>
      <w:r>
        <w:tab/>
      </w:r>
      <w:r>
        <w:fldChar w:fldCharType="begin"/>
      </w:r>
      <w:r>
        <w:instrText xml:space="preserve"> PAGEREF _Toc18684 \h </w:instrText>
      </w:r>
      <w:r>
        <w:fldChar w:fldCharType="separate"/>
      </w:r>
      <w:r>
        <w:t>11</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_Toc13435 </w:instrText>
      </w:r>
      <w:r>
        <w:rPr>
          <w:szCs w:val="20"/>
          <w:highlight w:val="none"/>
        </w:rPr>
        <w:fldChar w:fldCharType="separate"/>
      </w:r>
      <w:r>
        <w:rPr>
          <w:rFonts w:hint="eastAsia"/>
          <w:highlight w:val="none"/>
        </w:rPr>
        <w:t>2.3磋商文件</w:t>
      </w:r>
      <w:r>
        <w:tab/>
      </w:r>
      <w:r>
        <w:fldChar w:fldCharType="begin"/>
      </w:r>
      <w:r>
        <w:instrText xml:space="preserve"> PAGEREF _Toc13435 \h </w:instrText>
      </w:r>
      <w:r>
        <w:fldChar w:fldCharType="separate"/>
      </w:r>
      <w:r>
        <w:t>11</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_Toc9511 </w:instrText>
      </w:r>
      <w:r>
        <w:rPr>
          <w:szCs w:val="20"/>
          <w:highlight w:val="none"/>
        </w:rPr>
        <w:fldChar w:fldCharType="separate"/>
      </w:r>
      <w:r>
        <w:rPr>
          <w:rFonts w:hint="eastAsia"/>
          <w:highlight w:val="none"/>
        </w:rPr>
        <w:t>2.3.1磋商文件的构成</w:t>
      </w:r>
      <w:r>
        <w:tab/>
      </w:r>
      <w:r>
        <w:fldChar w:fldCharType="begin"/>
      </w:r>
      <w:r>
        <w:instrText xml:space="preserve"> PAGEREF _Toc9511 \h </w:instrText>
      </w:r>
      <w:r>
        <w:fldChar w:fldCharType="separate"/>
      </w:r>
      <w:r>
        <w:t>11</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_Toc23640 </w:instrText>
      </w:r>
      <w:r>
        <w:rPr>
          <w:szCs w:val="20"/>
          <w:highlight w:val="none"/>
        </w:rPr>
        <w:fldChar w:fldCharType="separate"/>
      </w:r>
      <w:r>
        <w:rPr>
          <w:rFonts w:hint="eastAsia"/>
          <w:highlight w:val="none"/>
        </w:rPr>
        <w:t>2.3.2磋商文件的澄清和修改</w:t>
      </w:r>
      <w:r>
        <w:tab/>
      </w:r>
      <w:r>
        <w:fldChar w:fldCharType="begin"/>
      </w:r>
      <w:r>
        <w:instrText xml:space="preserve"> PAGEREF _Toc23640 \h </w:instrText>
      </w:r>
      <w:r>
        <w:fldChar w:fldCharType="separate"/>
      </w:r>
      <w:r>
        <w:t>12</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_Toc29461 </w:instrText>
      </w:r>
      <w:r>
        <w:rPr>
          <w:szCs w:val="20"/>
          <w:highlight w:val="none"/>
        </w:rPr>
        <w:fldChar w:fldCharType="separate"/>
      </w:r>
      <w:r>
        <w:rPr>
          <w:rFonts w:hint="eastAsia"/>
        </w:rPr>
        <w:t>2.4响应文件</w:t>
      </w:r>
      <w:r>
        <w:tab/>
      </w:r>
      <w:r>
        <w:fldChar w:fldCharType="begin"/>
      </w:r>
      <w:r>
        <w:instrText xml:space="preserve"> PAGEREF _Toc29461 \h </w:instrText>
      </w:r>
      <w:r>
        <w:fldChar w:fldCharType="separate"/>
      </w:r>
      <w:r>
        <w:t>12</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_Toc12831 </w:instrText>
      </w:r>
      <w:r>
        <w:rPr>
          <w:szCs w:val="20"/>
          <w:highlight w:val="none"/>
        </w:rPr>
        <w:fldChar w:fldCharType="separate"/>
      </w:r>
      <w:r>
        <w:rPr>
          <w:rFonts w:hint="eastAsia"/>
          <w:highlight w:val="none"/>
        </w:rPr>
        <w:t>2.4.1响应文件的语言</w:t>
      </w:r>
      <w:r>
        <w:tab/>
      </w:r>
      <w:r>
        <w:fldChar w:fldCharType="begin"/>
      </w:r>
      <w:r>
        <w:instrText xml:space="preserve"> PAGEREF _Toc12831 \h </w:instrText>
      </w:r>
      <w:r>
        <w:fldChar w:fldCharType="separate"/>
      </w:r>
      <w:r>
        <w:t>12</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_Toc690 </w:instrText>
      </w:r>
      <w:r>
        <w:rPr>
          <w:szCs w:val="20"/>
          <w:highlight w:val="none"/>
        </w:rPr>
        <w:fldChar w:fldCharType="separate"/>
      </w:r>
      <w:r>
        <w:rPr>
          <w:rFonts w:hint="eastAsia"/>
          <w:highlight w:val="none"/>
        </w:rPr>
        <w:t>2.4.2计量单位</w:t>
      </w:r>
      <w:r>
        <w:tab/>
      </w:r>
      <w:r>
        <w:fldChar w:fldCharType="begin"/>
      </w:r>
      <w:r>
        <w:instrText xml:space="preserve"> PAGEREF _Toc690 \h </w:instrText>
      </w:r>
      <w:r>
        <w:fldChar w:fldCharType="separate"/>
      </w:r>
      <w:r>
        <w:t>12</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_Toc24977 </w:instrText>
      </w:r>
      <w:r>
        <w:rPr>
          <w:szCs w:val="20"/>
          <w:highlight w:val="none"/>
        </w:rPr>
        <w:fldChar w:fldCharType="separate"/>
      </w:r>
      <w:r>
        <w:rPr>
          <w:rFonts w:hint="eastAsia"/>
          <w:highlight w:val="none"/>
        </w:rPr>
        <w:t>2.4.</w:t>
      </w:r>
      <w:r>
        <w:rPr>
          <w:rFonts w:hint="eastAsia"/>
          <w:highlight w:val="none"/>
          <w:lang w:val="en-US" w:eastAsia="zh-CN"/>
        </w:rPr>
        <w:t>3</w:t>
      </w:r>
      <w:r>
        <w:rPr>
          <w:rFonts w:hint="eastAsia"/>
          <w:highlight w:val="none"/>
        </w:rPr>
        <w:t>联合体</w:t>
      </w:r>
      <w:r>
        <w:tab/>
      </w:r>
      <w:r>
        <w:fldChar w:fldCharType="begin"/>
      </w:r>
      <w:r>
        <w:instrText xml:space="preserve"> PAGEREF _Toc24977 \h </w:instrText>
      </w:r>
      <w:r>
        <w:fldChar w:fldCharType="separate"/>
      </w:r>
      <w:r>
        <w:t>12</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_Toc9756 </w:instrText>
      </w:r>
      <w:r>
        <w:rPr>
          <w:szCs w:val="20"/>
          <w:highlight w:val="none"/>
        </w:rPr>
        <w:fldChar w:fldCharType="separate"/>
      </w:r>
      <w:r>
        <w:rPr>
          <w:rFonts w:hint="eastAsia"/>
          <w:highlight w:val="none"/>
        </w:rPr>
        <w:t>2.4.</w:t>
      </w:r>
      <w:r>
        <w:rPr>
          <w:rFonts w:hint="eastAsia"/>
          <w:highlight w:val="none"/>
          <w:lang w:val="en-US" w:eastAsia="zh-CN"/>
        </w:rPr>
        <w:t>4</w:t>
      </w:r>
      <w:r>
        <w:rPr>
          <w:rFonts w:hint="eastAsia"/>
          <w:highlight w:val="none"/>
        </w:rPr>
        <w:t>知识产权</w:t>
      </w:r>
      <w:r>
        <w:tab/>
      </w:r>
      <w:r>
        <w:fldChar w:fldCharType="begin"/>
      </w:r>
      <w:r>
        <w:instrText xml:space="preserve"> PAGEREF _Toc9756 \h </w:instrText>
      </w:r>
      <w:r>
        <w:fldChar w:fldCharType="separate"/>
      </w:r>
      <w:r>
        <w:t>12</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_Toc31796 </w:instrText>
      </w:r>
      <w:r>
        <w:rPr>
          <w:szCs w:val="20"/>
          <w:highlight w:val="none"/>
        </w:rPr>
        <w:fldChar w:fldCharType="separate"/>
      </w:r>
      <w:r>
        <w:rPr>
          <w:rFonts w:hint="eastAsia"/>
          <w:highlight w:val="none"/>
        </w:rPr>
        <w:t>2.4.</w:t>
      </w:r>
      <w:r>
        <w:rPr>
          <w:rFonts w:hint="eastAsia"/>
          <w:highlight w:val="none"/>
          <w:lang w:val="en-US" w:eastAsia="zh-CN"/>
        </w:rPr>
        <w:t>5</w:t>
      </w:r>
      <w:r>
        <w:rPr>
          <w:rFonts w:hint="eastAsia"/>
          <w:highlight w:val="none"/>
        </w:rPr>
        <w:t>响应文件的组成</w:t>
      </w:r>
      <w:r>
        <w:tab/>
      </w:r>
      <w:r>
        <w:fldChar w:fldCharType="begin"/>
      </w:r>
      <w:r>
        <w:instrText xml:space="preserve"> PAGEREF _Toc31796 \h </w:instrText>
      </w:r>
      <w:r>
        <w:fldChar w:fldCharType="separate"/>
      </w:r>
      <w:r>
        <w:t>13</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_Toc31027 </w:instrText>
      </w:r>
      <w:r>
        <w:rPr>
          <w:szCs w:val="20"/>
          <w:highlight w:val="none"/>
        </w:rPr>
        <w:fldChar w:fldCharType="separate"/>
      </w:r>
      <w:r>
        <w:rPr>
          <w:rFonts w:hint="eastAsia"/>
          <w:highlight w:val="none"/>
        </w:rPr>
        <w:t>2.4.</w:t>
      </w:r>
      <w:r>
        <w:rPr>
          <w:rFonts w:hint="eastAsia"/>
          <w:highlight w:val="none"/>
          <w:lang w:val="en-US" w:eastAsia="zh-CN"/>
        </w:rPr>
        <w:t>6</w:t>
      </w:r>
      <w:r>
        <w:rPr>
          <w:rFonts w:hint="eastAsia"/>
          <w:highlight w:val="none"/>
        </w:rPr>
        <w:t>响应文件格式</w:t>
      </w:r>
      <w:r>
        <w:tab/>
      </w:r>
      <w:r>
        <w:fldChar w:fldCharType="begin"/>
      </w:r>
      <w:r>
        <w:instrText xml:space="preserve"> PAGEREF _Toc31027 \h </w:instrText>
      </w:r>
      <w:r>
        <w:fldChar w:fldCharType="separate"/>
      </w:r>
      <w:r>
        <w:t>14</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_Toc1293 </w:instrText>
      </w:r>
      <w:r>
        <w:rPr>
          <w:szCs w:val="20"/>
          <w:highlight w:val="none"/>
        </w:rPr>
        <w:fldChar w:fldCharType="separate"/>
      </w:r>
      <w:r>
        <w:rPr>
          <w:rFonts w:hint="eastAsia"/>
          <w:highlight w:val="none"/>
        </w:rPr>
        <w:t>2.4.</w:t>
      </w:r>
      <w:r>
        <w:rPr>
          <w:rFonts w:hint="eastAsia"/>
          <w:highlight w:val="none"/>
          <w:lang w:val="en-US" w:eastAsia="zh-CN"/>
        </w:rPr>
        <w:t>7</w:t>
      </w:r>
      <w:r>
        <w:rPr>
          <w:rFonts w:hint="eastAsia"/>
          <w:highlight w:val="none"/>
        </w:rPr>
        <w:t>报价</w:t>
      </w:r>
      <w:r>
        <w:tab/>
      </w:r>
      <w:r>
        <w:fldChar w:fldCharType="begin"/>
      </w:r>
      <w:r>
        <w:instrText xml:space="preserve"> PAGEREF _Toc1293 \h </w:instrText>
      </w:r>
      <w:r>
        <w:fldChar w:fldCharType="separate"/>
      </w:r>
      <w:r>
        <w:t>14</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_Toc5867 </w:instrText>
      </w:r>
      <w:r>
        <w:rPr>
          <w:szCs w:val="20"/>
          <w:highlight w:val="none"/>
        </w:rPr>
        <w:fldChar w:fldCharType="separate"/>
      </w:r>
      <w:r>
        <w:rPr>
          <w:rFonts w:hint="eastAsia"/>
          <w:highlight w:val="none"/>
        </w:rPr>
        <w:t>2.4.</w:t>
      </w:r>
      <w:r>
        <w:rPr>
          <w:rFonts w:hint="eastAsia"/>
          <w:highlight w:val="none"/>
          <w:lang w:val="en-US" w:eastAsia="zh-CN"/>
        </w:rPr>
        <w:t>8</w:t>
      </w:r>
      <w:r>
        <w:rPr>
          <w:rFonts w:hint="eastAsia"/>
          <w:highlight w:val="none"/>
        </w:rPr>
        <w:t>磋商保证金</w:t>
      </w:r>
      <w:r>
        <w:tab/>
      </w:r>
      <w:r>
        <w:fldChar w:fldCharType="begin"/>
      </w:r>
      <w:r>
        <w:instrText xml:space="preserve"> PAGEREF _Toc5867 \h </w:instrText>
      </w:r>
      <w:r>
        <w:fldChar w:fldCharType="separate"/>
      </w:r>
      <w:r>
        <w:t>14</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_Toc18238 </w:instrText>
      </w:r>
      <w:r>
        <w:rPr>
          <w:szCs w:val="20"/>
          <w:highlight w:val="none"/>
        </w:rPr>
        <w:fldChar w:fldCharType="separate"/>
      </w:r>
      <w:r>
        <w:rPr>
          <w:rFonts w:hint="eastAsia"/>
          <w:highlight w:val="none"/>
        </w:rPr>
        <w:t>2.4.</w:t>
      </w:r>
      <w:r>
        <w:rPr>
          <w:rFonts w:hint="eastAsia"/>
          <w:highlight w:val="none"/>
          <w:lang w:val="en-US" w:eastAsia="zh-CN"/>
        </w:rPr>
        <w:t>9</w:t>
      </w:r>
      <w:r>
        <w:rPr>
          <w:rFonts w:hint="eastAsia"/>
          <w:highlight w:val="none"/>
        </w:rPr>
        <w:t>响应文件有效期</w:t>
      </w:r>
      <w:r>
        <w:tab/>
      </w:r>
      <w:r>
        <w:fldChar w:fldCharType="begin"/>
      </w:r>
      <w:r>
        <w:instrText xml:space="preserve"> PAGEREF _Toc18238 \h </w:instrText>
      </w:r>
      <w:r>
        <w:fldChar w:fldCharType="separate"/>
      </w:r>
      <w:r>
        <w:t>14</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_Toc12784 </w:instrText>
      </w:r>
      <w:r>
        <w:rPr>
          <w:szCs w:val="20"/>
          <w:highlight w:val="none"/>
        </w:rPr>
        <w:fldChar w:fldCharType="separate"/>
      </w:r>
      <w:r>
        <w:rPr>
          <w:rFonts w:hint="eastAsia"/>
          <w:highlight w:val="none"/>
        </w:rPr>
        <w:t>2.4.</w:t>
      </w:r>
      <w:r>
        <w:rPr>
          <w:rFonts w:hint="eastAsia"/>
          <w:highlight w:val="none"/>
          <w:lang w:val="en-US" w:eastAsia="zh-CN"/>
        </w:rPr>
        <w:t>10</w:t>
      </w:r>
      <w:r>
        <w:rPr>
          <w:rFonts w:hint="eastAsia"/>
          <w:highlight w:val="none"/>
        </w:rPr>
        <w:t>响应文件的</w:t>
      </w:r>
      <w:r>
        <w:rPr>
          <w:rFonts w:hint="eastAsia"/>
          <w:highlight w:val="none"/>
          <w:lang w:eastAsia="zh-CN"/>
        </w:rPr>
        <w:t>制作、签章和加密</w:t>
      </w:r>
      <w:r>
        <w:tab/>
      </w:r>
      <w:r>
        <w:fldChar w:fldCharType="begin"/>
      </w:r>
      <w:r>
        <w:instrText xml:space="preserve"> PAGEREF _Toc12784 \h </w:instrText>
      </w:r>
      <w:r>
        <w:fldChar w:fldCharType="separate"/>
      </w:r>
      <w:r>
        <w:t>15</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_Toc13963 </w:instrText>
      </w:r>
      <w:r>
        <w:rPr>
          <w:szCs w:val="20"/>
          <w:highlight w:val="none"/>
        </w:rPr>
        <w:fldChar w:fldCharType="separate"/>
      </w:r>
      <w:r>
        <w:rPr>
          <w:rFonts w:hint="eastAsia"/>
          <w:highlight w:val="none"/>
        </w:rPr>
        <w:t>2.4.</w:t>
      </w:r>
      <w:r>
        <w:rPr>
          <w:rFonts w:hint="eastAsia"/>
          <w:highlight w:val="none"/>
          <w:lang w:val="en-US" w:eastAsia="zh-CN"/>
        </w:rPr>
        <w:t>11</w:t>
      </w:r>
      <w:r>
        <w:rPr>
          <w:rFonts w:hint="eastAsia"/>
          <w:highlight w:val="none"/>
        </w:rPr>
        <w:t>响应文件的</w:t>
      </w:r>
      <w:r>
        <w:rPr>
          <w:rFonts w:hint="eastAsia"/>
          <w:szCs w:val="24"/>
          <w:highlight w:val="none"/>
          <w:lang w:eastAsia="zh-CN"/>
        </w:rPr>
        <w:t>递交</w:t>
      </w:r>
      <w:r>
        <w:tab/>
      </w:r>
      <w:r>
        <w:fldChar w:fldCharType="begin"/>
      </w:r>
      <w:r>
        <w:instrText xml:space="preserve"> PAGEREF _Toc13963 \h </w:instrText>
      </w:r>
      <w:r>
        <w:fldChar w:fldCharType="separate"/>
      </w:r>
      <w:r>
        <w:t>15</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_Toc29589 </w:instrText>
      </w:r>
      <w:r>
        <w:rPr>
          <w:szCs w:val="20"/>
          <w:highlight w:val="none"/>
        </w:rPr>
        <w:fldChar w:fldCharType="separate"/>
      </w:r>
      <w:r>
        <w:rPr>
          <w:rFonts w:hint="eastAsia"/>
          <w:highlight w:val="none"/>
        </w:rPr>
        <w:t>2.4.1</w:t>
      </w:r>
      <w:r>
        <w:rPr>
          <w:rFonts w:hint="eastAsia"/>
          <w:highlight w:val="none"/>
          <w:lang w:val="en-US" w:eastAsia="zh-CN"/>
        </w:rPr>
        <w:t>2</w:t>
      </w:r>
      <w:r>
        <w:rPr>
          <w:rFonts w:hint="eastAsia"/>
          <w:highlight w:val="none"/>
        </w:rPr>
        <w:t>响应文件的补充、修改和撤回</w:t>
      </w:r>
      <w:r>
        <w:tab/>
      </w:r>
      <w:r>
        <w:fldChar w:fldCharType="begin"/>
      </w:r>
      <w:r>
        <w:instrText xml:space="preserve"> PAGEREF _Toc29589 \h </w:instrText>
      </w:r>
      <w:r>
        <w:fldChar w:fldCharType="separate"/>
      </w:r>
      <w:r>
        <w:t>16</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_Toc20755 </w:instrText>
      </w:r>
      <w:r>
        <w:rPr>
          <w:szCs w:val="20"/>
          <w:highlight w:val="none"/>
        </w:rPr>
        <w:fldChar w:fldCharType="separate"/>
      </w:r>
      <w:r>
        <w:rPr>
          <w:rFonts w:hint="eastAsia"/>
          <w:lang w:val="en-US" w:eastAsia="zh-CN"/>
        </w:rPr>
        <w:t>2.4.13响应文件的解密</w:t>
      </w:r>
      <w:r>
        <w:tab/>
      </w:r>
      <w:r>
        <w:fldChar w:fldCharType="begin"/>
      </w:r>
      <w:r>
        <w:instrText xml:space="preserve"> PAGEREF _Toc20755 \h </w:instrText>
      </w:r>
      <w:r>
        <w:fldChar w:fldCharType="separate"/>
      </w:r>
      <w:r>
        <w:t>16</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_Toc23345 </w:instrText>
      </w:r>
      <w:r>
        <w:rPr>
          <w:szCs w:val="20"/>
          <w:highlight w:val="none"/>
        </w:rPr>
        <w:fldChar w:fldCharType="separate"/>
      </w:r>
      <w:r>
        <w:rPr>
          <w:rFonts w:hint="eastAsia"/>
          <w:szCs w:val="28"/>
          <w:highlight w:val="none"/>
        </w:rPr>
        <w:t>2.5磋商</w:t>
      </w:r>
      <w:r>
        <w:rPr>
          <w:szCs w:val="28"/>
          <w:highlight w:val="none"/>
        </w:rPr>
        <w:t>开启活动</w:t>
      </w:r>
      <w:r>
        <w:rPr>
          <w:rFonts w:hint="eastAsia"/>
          <w:szCs w:val="28"/>
          <w:highlight w:val="none"/>
        </w:rPr>
        <w:t>程序</w:t>
      </w:r>
      <w:r>
        <w:tab/>
      </w:r>
      <w:r>
        <w:fldChar w:fldCharType="begin"/>
      </w:r>
      <w:r>
        <w:instrText xml:space="preserve"> PAGEREF _Toc23345 \h </w:instrText>
      </w:r>
      <w:r>
        <w:fldChar w:fldCharType="separate"/>
      </w:r>
      <w:r>
        <w:t>16</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_Toc29632 </w:instrText>
      </w:r>
      <w:r>
        <w:rPr>
          <w:szCs w:val="20"/>
          <w:highlight w:val="none"/>
        </w:rPr>
        <w:fldChar w:fldCharType="separate"/>
      </w:r>
      <w:r>
        <w:rPr>
          <w:rFonts w:hint="eastAsia"/>
          <w:bCs/>
          <w:szCs w:val="28"/>
          <w:highlight w:val="none"/>
          <w:lang w:val="en-US" w:eastAsia="zh-CN"/>
        </w:rPr>
        <w:t>2.6</w:t>
      </w:r>
      <w:r>
        <w:rPr>
          <w:rFonts w:hint="eastAsia"/>
          <w:bCs/>
          <w:szCs w:val="28"/>
          <w:highlight w:val="none"/>
        </w:rPr>
        <w:t>资格审查</w:t>
      </w:r>
      <w:r>
        <w:rPr>
          <w:rFonts w:hint="eastAsia"/>
          <w:bCs/>
          <w:szCs w:val="28"/>
          <w:highlight w:val="none"/>
          <w:lang w:eastAsia="zh-CN"/>
        </w:rPr>
        <w:t>和评审</w:t>
      </w:r>
      <w:r>
        <w:tab/>
      </w:r>
      <w:r>
        <w:fldChar w:fldCharType="begin"/>
      </w:r>
      <w:r>
        <w:instrText xml:space="preserve"> PAGEREF _Toc29632 \h </w:instrText>
      </w:r>
      <w:r>
        <w:fldChar w:fldCharType="separate"/>
      </w:r>
      <w:r>
        <w:t>17</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_Toc26955 </w:instrText>
      </w:r>
      <w:r>
        <w:rPr>
          <w:szCs w:val="20"/>
          <w:highlight w:val="none"/>
        </w:rPr>
        <w:fldChar w:fldCharType="separate"/>
      </w:r>
      <w:r>
        <w:rPr>
          <w:rFonts w:hint="eastAsia"/>
          <w:szCs w:val="28"/>
          <w:highlight w:val="none"/>
          <w:lang w:val="en-US" w:eastAsia="zh-CN"/>
        </w:rPr>
        <w:t>2.7</w:t>
      </w:r>
      <w:r>
        <w:rPr>
          <w:szCs w:val="28"/>
          <w:highlight w:val="none"/>
        </w:rPr>
        <w:t>成交通知书</w:t>
      </w:r>
      <w:r>
        <w:tab/>
      </w:r>
      <w:r>
        <w:fldChar w:fldCharType="begin"/>
      </w:r>
      <w:r>
        <w:instrText xml:space="preserve"> PAGEREF _Toc26955 \h </w:instrText>
      </w:r>
      <w:r>
        <w:fldChar w:fldCharType="separate"/>
      </w:r>
      <w:r>
        <w:t>17</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_Toc24373 </w:instrText>
      </w:r>
      <w:r>
        <w:rPr>
          <w:szCs w:val="20"/>
          <w:highlight w:val="none"/>
        </w:rPr>
        <w:fldChar w:fldCharType="separate"/>
      </w:r>
      <w:r>
        <w:rPr>
          <w:rFonts w:hint="eastAsia"/>
          <w:szCs w:val="28"/>
          <w:highlight w:val="none"/>
          <w:lang w:val="en-US" w:eastAsia="zh-CN"/>
        </w:rPr>
        <w:t>2.8</w:t>
      </w:r>
      <w:r>
        <w:rPr>
          <w:rFonts w:hint="eastAsia"/>
          <w:szCs w:val="28"/>
          <w:highlight w:val="none"/>
        </w:rPr>
        <w:t>签订及履行合同和验收</w:t>
      </w:r>
      <w:r>
        <w:tab/>
      </w:r>
      <w:r>
        <w:fldChar w:fldCharType="begin"/>
      </w:r>
      <w:r>
        <w:instrText xml:space="preserve"> PAGEREF _Toc24373 \h </w:instrText>
      </w:r>
      <w:r>
        <w:fldChar w:fldCharType="separate"/>
      </w:r>
      <w:r>
        <w:t>17</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_Toc32071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.1签订合同</w:t>
      </w:r>
      <w:r>
        <w:tab/>
      </w:r>
      <w:r>
        <w:fldChar w:fldCharType="begin"/>
      </w:r>
      <w:r>
        <w:instrText xml:space="preserve"> PAGEREF _Toc32071 \h </w:instrText>
      </w:r>
      <w:r>
        <w:fldChar w:fldCharType="separate"/>
      </w:r>
      <w:r>
        <w:t>17</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_Toc22860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.2合同分包和转包</w:t>
      </w:r>
      <w:r>
        <w:tab/>
      </w:r>
      <w:r>
        <w:fldChar w:fldCharType="begin"/>
      </w:r>
      <w:r>
        <w:instrText xml:space="preserve"> PAGEREF _Toc22860 \h </w:instrText>
      </w:r>
      <w:r>
        <w:fldChar w:fldCharType="separate"/>
      </w:r>
      <w:r>
        <w:t>18</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_Toc16764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.3采购人增加合同标的的权利</w:t>
      </w:r>
      <w:r>
        <w:tab/>
      </w:r>
      <w:r>
        <w:fldChar w:fldCharType="begin"/>
      </w:r>
      <w:r>
        <w:instrText xml:space="preserve"> PAGEREF _Toc16764 \h </w:instrText>
      </w:r>
      <w:r>
        <w:fldChar w:fldCharType="separate"/>
      </w:r>
      <w:r>
        <w:t>18</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_Toc30559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.4履约保证金</w:t>
      </w:r>
      <w:r>
        <w:tab/>
      </w:r>
      <w:r>
        <w:fldChar w:fldCharType="begin"/>
      </w:r>
      <w:r>
        <w:instrText xml:space="preserve"> PAGEREF _Toc30559 \h </w:instrText>
      </w:r>
      <w:r>
        <w:fldChar w:fldCharType="separate"/>
      </w:r>
      <w:r>
        <w:t>18</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_Toc8397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.5</w:t>
      </w:r>
      <w:r>
        <w:rPr>
          <w:highlight w:val="none"/>
        </w:rPr>
        <w:t>合同公告</w:t>
      </w:r>
      <w:r>
        <w:tab/>
      </w:r>
      <w:r>
        <w:fldChar w:fldCharType="begin"/>
      </w:r>
      <w:r>
        <w:instrText xml:space="preserve"> PAGEREF _Toc8397 \h </w:instrText>
      </w:r>
      <w:r>
        <w:fldChar w:fldCharType="separate"/>
      </w:r>
      <w:r>
        <w:t>18</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_Toc16365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.6</w:t>
      </w:r>
      <w:r>
        <w:rPr>
          <w:highlight w:val="none"/>
        </w:rPr>
        <w:t>合同备案</w:t>
      </w:r>
      <w:r>
        <w:tab/>
      </w:r>
      <w:r>
        <w:fldChar w:fldCharType="begin"/>
      </w:r>
      <w:r>
        <w:instrText xml:space="preserve"> PAGEREF _Toc16365 \h </w:instrText>
      </w:r>
      <w:r>
        <w:fldChar w:fldCharType="separate"/>
      </w:r>
      <w:r>
        <w:t>18</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_Toc23104 </w:instrText>
      </w:r>
      <w:r>
        <w:rPr>
          <w:szCs w:val="20"/>
          <w:highlight w:val="none"/>
        </w:rPr>
        <w:fldChar w:fldCharType="separate"/>
      </w:r>
      <w:r>
        <w:rPr>
          <w:rFonts w:hint="eastAsia" w:cs="宋体"/>
          <w:highlight w:val="none"/>
        </w:rPr>
        <w:t>2.</w:t>
      </w:r>
      <w:r>
        <w:rPr>
          <w:rFonts w:hint="eastAsia" w:cs="宋体"/>
          <w:highlight w:val="none"/>
          <w:lang w:val="en-US" w:eastAsia="zh-CN"/>
        </w:rPr>
        <w:t>8</w:t>
      </w:r>
      <w:r>
        <w:rPr>
          <w:rFonts w:hint="eastAsia" w:cs="宋体"/>
          <w:highlight w:val="none"/>
        </w:rPr>
        <w:t>.7履行</w:t>
      </w:r>
      <w:r>
        <w:rPr>
          <w:rFonts w:hint="eastAsia"/>
          <w:highlight w:val="none"/>
        </w:rPr>
        <w:t>合同</w:t>
      </w:r>
      <w:r>
        <w:tab/>
      </w:r>
      <w:r>
        <w:fldChar w:fldCharType="begin"/>
      </w:r>
      <w:r>
        <w:instrText xml:space="preserve"> PAGEREF _Toc23104 \h </w:instrText>
      </w:r>
      <w:r>
        <w:fldChar w:fldCharType="separate"/>
      </w:r>
      <w:r>
        <w:t>18</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_Toc1630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.8验收</w:t>
      </w:r>
      <w:r>
        <w:tab/>
      </w:r>
      <w:r>
        <w:fldChar w:fldCharType="begin"/>
      </w:r>
      <w:r>
        <w:instrText xml:space="preserve"> PAGEREF _Toc1630 \h </w:instrText>
      </w:r>
      <w:r>
        <w:fldChar w:fldCharType="separate"/>
      </w:r>
      <w:r>
        <w:t>19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_Toc10798 </w:instrText>
      </w:r>
      <w:r>
        <w:rPr>
          <w:szCs w:val="20"/>
          <w:highlight w:val="none"/>
        </w:rPr>
        <w:fldChar w:fldCharType="separate"/>
      </w:r>
      <w:r>
        <w:rPr>
          <w:rFonts w:hint="eastAsia"/>
          <w:highlight w:val="none"/>
        </w:rPr>
        <w:t>2.</w:t>
      </w:r>
      <w:r>
        <w:rPr>
          <w:rFonts w:hint="eastAsia"/>
          <w:highlight w:val="none"/>
          <w:lang w:val="en-US" w:eastAsia="zh-CN"/>
        </w:rPr>
        <w:t>8</w:t>
      </w:r>
      <w:r>
        <w:rPr>
          <w:rFonts w:hint="eastAsia"/>
          <w:highlight w:val="none"/>
        </w:rPr>
        <w:t>.9资金支付</w:t>
      </w:r>
      <w:r>
        <w:tab/>
      </w:r>
      <w:r>
        <w:fldChar w:fldCharType="begin"/>
      </w:r>
      <w:r>
        <w:instrText xml:space="preserve"> PAGEREF _Toc10798 \h </w:instrText>
      </w:r>
      <w:r>
        <w:fldChar w:fldCharType="separate"/>
      </w:r>
      <w:r>
        <w:t>19</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_Toc14835 </w:instrText>
      </w:r>
      <w:r>
        <w:rPr>
          <w:szCs w:val="20"/>
          <w:highlight w:val="none"/>
        </w:rPr>
        <w:fldChar w:fldCharType="separate"/>
      </w:r>
      <w:r>
        <w:rPr>
          <w:rFonts w:hint="eastAsia"/>
          <w:szCs w:val="28"/>
          <w:highlight w:val="none"/>
        </w:rPr>
        <w:t>2.</w:t>
      </w:r>
      <w:r>
        <w:rPr>
          <w:rFonts w:hint="eastAsia"/>
          <w:szCs w:val="28"/>
          <w:highlight w:val="none"/>
          <w:lang w:val="en-US" w:eastAsia="zh-CN"/>
        </w:rPr>
        <w:t>9</w:t>
      </w:r>
      <w:r>
        <w:rPr>
          <w:rFonts w:hint="eastAsia"/>
          <w:szCs w:val="28"/>
          <w:highlight w:val="none"/>
        </w:rPr>
        <w:t>竞争性磋商工作纪律及要求</w:t>
      </w:r>
      <w:r>
        <w:tab/>
      </w:r>
      <w:r>
        <w:fldChar w:fldCharType="begin"/>
      </w:r>
      <w:r>
        <w:instrText xml:space="preserve"> PAGEREF _Toc14835 \h </w:instrText>
      </w:r>
      <w:r>
        <w:fldChar w:fldCharType="separate"/>
      </w:r>
      <w:r>
        <w:t>19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_Toc32247 </w:instrText>
      </w:r>
      <w:r>
        <w:rPr>
          <w:szCs w:val="20"/>
          <w:highlight w:val="none"/>
        </w:rPr>
        <w:fldChar w:fldCharType="separate"/>
      </w:r>
      <w:r>
        <w:rPr>
          <w:rFonts w:hint="eastAsia"/>
          <w:highlight w:val="none"/>
        </w:rPr>
        <w:t>2.</w:t>
      </w:r>
      <w:r>
        <w:rPr>
          <w:rFonts w:hint="eastAsia"/>
          <w:highlight w:val="none"/>
          <w:lang w:val="en-US" w:eastAsia="zh-CN"/>
        </w:rPr>
        <w:t>9</w:t>
      </w:r>
      <w:r>
        <w:rPr>
          <w:rFonts w:hint="eastAsia"/>
          <w:highlight w:val="none"/>
        </w:rPr>
        <w:t>.1供应商不得具有的情形</w:t>
      </w:r>
      <w:r>
        <w:tab/>
      </w:r>
      <w:r>
        <w:fldChar w:fldCharType="begin"/>
      </w:r>
      <w:r>
        <w:instrText xml:space="preserve"> PAGEREF _Toc32247 \h </w:instrText>
      </w:r>
      <w:r>
        <w:fldChar w:fldCharType="separate"/>
      </w:r>
      <w:r>
        <w:t>19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_Toc26914 </w:instrText>
      </w:r>
      <w:r>
        <w:rPr>
          <w:szCs w:val="20"/>
          <w:highlight w:val="none"/>
        </w:rPr>
        <w:fldChar w:fldCharType="separate"/>
      </w:r>
      <w:r>
        <w:rPr>
          <w:rFonts w:hint="eastAsia"/>
          <w:highlight w:val="none"/>
        </w:rPr>
        <w:t>2.</w:t>
      </w:r>
      <w:r>
        <w:rPr>
          <w:rFonts w:hint="eastAsia"/>
          <w:highlight w:val="none"/>
          <w:lang w:val="en-US" w:eastAsia="zh-CN"/>
        </w:rPr>
        <w:t>9</w:t>
      </w:r>
      <w:r>
        <w:rPr>
          <w:rFonts w:hint="eastAsia"/>
          <w:highlight w:val="none"/>
        </w:rPr>
        <w:t>.</w:t>
      </w:r>
      <w:r>
        <w:rPr>
          <w:rFonts w:hint="eastAsia"/>
          <w:highlight w:val="none"/>
          <w:lang w:val="en-US" w:eastAsia="zh-CN"/>
        </w:rPr>
        <w:t>2</w:t>
      </w:r>
      <w:r>
        <w:rPr>
          <w:rFonts w:hint="eastAsia"/>
          <w:highlight w:val="none"/>
        </w:rPr>
        <w:t>回避</w:t>
      </w:r>
      <w:r>
        <w:tab/>
      </w:r>
      <w:r>
        <w:fldChar w:fldCharType="begin"/>
      </w:r>
      <w:r>
        <w:instrText xml:space="preserve"> PAGEREF _Toc26914 \h </w:instrText>
      </w:r>
      <w:r>
        <w:fldChar w:fldCharType="separate"/>
      </w:r>
      <w:r>
        <w:t>20</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_Toc3688 </w:instrText>
      </w:r>
      <w:r>
        <w:rPr>
          <w:szCs w:val="20"/>
          <w:highlight w:val="none"/>
        </w:rPr>
        <w:fldChar w:fldCharType="separate"/>
      </w:r>
      <w:r>
        <w:rPr>
          <w:rFonts w:hint="eastAsia"/>
          <w:highlight w:val="none"/>
        </w:rPr>
        <w:t>2.</w:t>
      </w:r>
      <w:r>
        <w:rPr>
          <w:rFonts w:hint="eastAsia"/>
          <w:highlight w:val="none"/>
          <w:lang w:val="en-US" w:eastAsia="zh-CN"/>
        </w:rPr>
        <w:t>10</w:t>
      </w:r>
      <w:r>
        <w:rPr>
          <w:rFonts w:hint="eastAsia"/>
          <w:highlight w:val="none"/>
        </w:rPr>
        <w:t>询问、质疑和投诉</w:t>
      </w:r>
      <w:r>
        <w:tab/>
      </w:r>
      <w:r>
        <w:fldChar w:fldCharType="begin"/>
      </w:r>
      <w:r>
        <w:instrText xml:space="preserve"> PAGEREF _Toc3688 \h </w:instrText>
      </w:r>
      <w:r>
        <w:fldChar w:fldCharType="separate"/>
      </w:r>
      <w:r>
        <w:t>20</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_Toc1268 </w:instrText>
      </w:r>
      <w:r>
        <w:rPr>
          <w:szCs w:val="20"/>
          <w:highlight w:val="none"/>
        </w:rPr>
        <w:fldChar w:fldCharType="separate"/>
      </w:r>
      <w:r>
        <w:rPr>
          <w:rFonts w:hint="eastAsia"/>
          <w:highlight w:val="none"/>
        </w:rPr>
        <w:t>2.</w:t>
      </w:r>
      <w:r>
        <w:rPr>
          <w:rFonts w:hint="eastAsia"/>
          <w:highlight w:val="none"/>
          <w:lang w:val="en-US" w:eastAsia="zh-CN"/>
        </w:rPr>
        <w:t>11</w:t>
      </w:r>
      <w:r>
        <w:rPr>
          <w:rFonts w:hint="eastAsia" w:ascii="宋体" w:hAnsi="宋体"/>
          <w:bCs/>
          <w:szCs w:val="28"/>
          <w:highlight w:val="none"/>
        </w:rPr>
        <w:t>中小企业政府采购信用融资</w:t>
      </w:r>
      <w:r>
        <w:tab/>
      </w:r>
      <w:r>
        <w:fldChar w:fldCharType="begin"/>
      </w:r>
      <w:r>
        <w:instrText xml:space="preserve"> PAGEREF _Toc1268 \h </w:instrText>
      </w:r>
      <w:r>
        <w:fldChar w:fldCharType="separate"/>
      </w:r>
      <w:r>
        <w:t>21</w:t>
      </w:r>
      <w:r>
        <w:fldChar w:fldCharType="end"/>
      </w:r>
      <w:r>
        <w:rPr>
          <w:color w:val="auto"/>
          <w:szCs w:val="20"/>
          <w:highlight w:val="none"/>
        </w:rPr>
        <w:fldChar w:fldCharType="end"/>
      </w:r>
    </w:p>
    <w:p>
      <w:pPr>
        <w:pStyle w:val="15"/>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_Toc24109 </w:instrText>
      </w:r>
      <w:r>
        <w:rPr>
          <w:szCs w:val="20"/>
          <w:highlight w:val="none"/>
        </w:rPr>
        <w:fldChar w:fldCharType="separate"/>
      </w:r>
      <w:r>
        <w:rPr>
          <w:rFonts w:hint="eastAsia"/>
        </w:rPr>
        <w:t xml:space="preserve">第3章 </w:t>
      </w:r>
      <w:r>
        <w:rPr>
          <w:rFonts w:hint="eastAsia"/>
          <w:highlight w:val="none"/>
        </w:rPr>
        <w:t>响应文件格式</w:t>
      </w:r>
      <w:r>
        <w:tab/>
      </w:r>
      <w:r>
        <w:fldChar w:fldCharType="begin"/>
      </w:r>
      <w:r>
        <w:instrText xml:space="preserve"> PAGEREF _Toc24109 \h </w:instrText>
      </w:r>
      <w:r>
        <w:fldChar w:fldCharType="separate"/>
      </w:r>
      <w:r>
        <w:t>22</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_Toc3093 </w:instrText>
      </w:r>
      <w:r>
        <w:rPr>
          <w:szCs w:val="20"/>
          <w:highlight w:val="none"/>
        </w:rPr>
        <w:fldChar w:fldCharType="separate"/>
      </w:r>
      <w:r>
        <w:rPr>
          <w:rFonts w:hint="eastAsia"/>
          <w:highlight w:val="none"/>
          <w:lang w:val="en-US" w:eastAsia="zh-CN"/>
        </w:rPr>
        <w:t>3.1</w:t>
      </w:r>
      <w:r>
        <w:rPr>
          <w:rFonts w:hint="eastAsia"/>
          <w:highlight w:val="none"/>
        </w:rPr>
        <w:t>资格性响应文件格式</w:t>
      </w:r>
      <w:r>
        <w:tab/>
      </w:r>
      <w:r>
        <w:fldChar w:fldCharType="begin"/>
      </w:r>
      <w:r>
        <w:instrText xml:space="preserve"> PAGEREF _Toc3093 \h </w:instrText>
      </w:r>
      <w:r>
        <w:fldChar w:fldCharType="separate"/>
      </w:r>
      <w:r>
        <w:t>22</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_Toc17679 </w:instrText>
      </w:r>
      <w:r>
        <w:rPr>
          <w:szCs w:val="20"/>
          <w:highlight w:val="none"/>
        </w:rPr>
        <w:fldChar w:fldCharType="separate"/>
      </w:r>
      <w:r>
        <w:rPr>
          <w:rFonts w:hint="eastAsia"/>
          <w:highlight w:val="none"/>
          <w:lang w:val="en-US" w:eastAsia="zh-CN"/>
        </w:rPr>
        <w:t>3.1.1.</w:t>
      </w:r>
      <w:r>
        <w:rPr>
          <w:rFonts w:hint="eastAsia"/>
          <w:highlight w:val="none"/>
        </w:rPr>
        <w:t>资格性响应文件封面格式</w:t>
      </w:r>
      <w:r>
        <w:tab/>
      </w:r>
      <w:r>
        <w:fldChar w:fldCharType="begin"/>
      </w:r>
      <w:r>
        <w:instrText xml:space="preserve"> PAGEREF _Toc17679 \h </w:instrText>
      </w:r>
      <w:r>
        <w:fldChar w:fldCharType="separate"/>
      </w:r>
      <w:r>
        <w:t>22</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_Toc17344 </w:instrText>
      </w:r>
      <w:r>
        <w:rPr>
          <w:szCs w:val="20"/>
          <w:highlight w:val="none"/>
        </w:rPr>
        <w:fldChar w:fldCharType="separate"/>
      </w:r>
      <w:r>
        <w:rPr>
          <w:rFonts w:hint="eastAsia" w:ascii="宋体" w:hAnsi="宋体" w:eastAsia="宋体"/>
          <w:highlight w:val="none"/>
          <w:lang w:val="en-US" w:eastAsia="zh-CN"/>
        </w:rPr>
        <w:t>3.1.2供应商资格申明的函</w:t>
      </w:r>
      <w:r>
        <w:tab/>
      </w:r>
      <w:r>
        <w:fldChar w:fldCharType="begin"/>
      </w:r>
      <w:r>
        <w:instrText xml:space="preserve"> PAGEREF _Toc17344 \h </w:instrText>
      </w:r>
      <w:r>
        <w:fldChar w:fldCharType="separate"/>
      </w:r>
      <w:r>
        <w:t>23</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_Toc13762 </w:instrText>
      </w:r>
      <w:r>
        <w:rPr>
          <w:szCs w:val="20"/>
          <w:highlight w:val="none"/>
        </w:rPr>
        <w:fldChar w:fldCharType="separate"/>
      </w:r>
      <w:r>
        <w:rPr>
          <w:rFonts w:hint="eastAsia" w:ascii="宋体" w:hAnsi="宋体" w:eastAsia="宋体"/>
          <w:highlight w:val="none"/>
          <w:lang w:val="en-US" w:eastAsia="zh-CN"/>
        </w:rPr>
        <w:t>3.1.3声明</w:t>
      </w:r>
      <w:r>
        <w:tab/>
      </w:r>
      <w:r>
        <w:fldChar w:fldCharType="begin"/>
      </w:r>
      <w:r>
        <w:instrText xml:space="preserve"> PAGEREF _Toc13762 \h </w:instrText>
      </w:r>
      <w:r>
        <w:fldChar w:fldCharType="separate"/>
      </w:r>
      <w:r>
        <w:t>24</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_Toc5292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3.1.</w:t>
      </w:r>
      <w:r>
        <w:rPr>
          <w:rFonts w:hint="eastAsia" w:cs="Times New Roman"/>
          <w:bCs/>
          <w:kern w:val="2"/>
          <w:szCs w:val="28"/>
          <w:highlight w:val="none"/>
          <w:lang w:val="en-US" w:eastAsia="zh-CN" w:bidi="ar-SA"/>
        </w:rPr>
        <w:t>4</w:t>
      </w:r>
      <w:r>
        <w:rPr>
          <w:rFonts w:hint="eastAsia" w:ascii="宋体" w:hAnsi="宋体" w:eastAsia="宋体" w:cs="Times New Roman"/>
          <w:bCs/>
          <w:kern w:val="2"/>
          <w:szCs w:val="28"/>
          <w:highlight w:val="none"/>
          <w:lang w:val="en-US" w:eastAsia="zh-CN" w:bidi="ar-SA"/>
        </w:rPr>
        <w:t>法定代表人身份证明书</w:t>
      </w:r>
      <w:r>
        <w:tab/>
      </w:r>
      <w:r>
        <w:fldChar w:fldCharType="begin"/>
      </w:r>
      <w:r>
        <w:instrText xml:space="preserve"> PAGEREF _Toc5292 \h </w:instrText>
      </w:r>
      <w:r>
        <w:fldChar w:fldCharType="separate"/>
      </w:r>
      <w:r>
        <w:t>26</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_Toc7060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3.1.</w:t>
      </w:r>
      <w:r>
        <w:rPr>
          <w:rFonts w:hint="eastAsia" w:cs="Times New Roman"/>
          <w:bCs/>
          <w:kern w:val="2"/>
          <w:szCs w:val="28"/>
          <w:highlight w:val="none"/>
          <w:lang w:val="en-US" w:eastAsia="zh-CN" w:bidi="ar-SA"/>
        </w:rPr>
        <w:t>5</w:t>
      </w:r>
      <w:r>
        <w:rPr>
          <w:rFonts w:hint="eastAsia" w:ascii="宋体" w:hAnsi="宋体" w:eastAsia="宋体" w:cs="Times New Roman"/>
          <w:bCs/>
          <w:kern w:val="2"/>
          <w:szCs w:val="28"/>
          <w:highlight w:val="none"/>
          <w:lang w:val="en-US" w:eastAsia="zh-CN" w:bidi="ar-SA"/>
        </w:rPr>
        <w:t>供应商基本情况表</w:t>
      </w:r>
      <w:r>
        <w:tab/>
      </w:r>
      <w:r>
        <w:fldChar w:fldCharType="begin"/>
      </w:r>
      <w:r>
        <w:instrText xml:space="preserve"> PAGEREF _Toc7060 \h </w:instrText>
      </w:r>
      <w:r>
        <w:fldChar w:fldCharType="separate"/>
      </w:r>
      <w:r>
        <w:t>27</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_Toc5271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3.1.</w:t>
      </w:r>
      <w:r>
        <w:rPr>
          <w:rFonts w:hint="eastAsia" w:cs="Times New Roman"/>
          <w:bCs/>
          <w:kern w:val="2"/>
          <w:szCs w:val="28"/>
          <w:highlight w:val="none"/>
          <w:lang w:val="en-US" w:eastAsia="zh-CN" w:bidi="ar-SA"/>
        </w:rPr>
        <w:t>6</w:t>
      </w:r>
      <w:r>
        <w:rPr>
          <w:rFonts w:hint="eastAsia" w:ascii="宋体" w:hAnsi="宋体" w:eastAsia="宋体" w:cs="Times New Roman"/>
          <w:bCs/>
          <w:kern w:val="2"/>
          <w:szCs w:val="28"/>
          <w:highlight w:val="none"/>
          <w:lang w:val="en-US" w:eastAsia="zh-CN" w:bidi="ar-SA"/>
        </w:rPr>
        <w:t>供应商应提供的相关资格证明材料</w:t>
      </w:r>
      <w:r>
        <w:tab/>
      </w:r>
      <w:r>
        <w:fldChar w:fldCharType="begin"/>
      </w:r>
      <w:r>
        <w:instrText xml:space="preserve"> PAGEREF _Toc5271 \h </w:instrText>
      </w:r>
      <w:r>
        <w:fldChar w:fldCharType="separate"/>
      </w:r>
      <w:r>
        <w:t>28</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_Toc22087 </w:instrText>
      </w:r>
      <w:r>
        <w:rPr>
          <w:szCs w:val="20"/>
          <w:highlight w:val="none"/>
        </w:rPr>
        <w:fldChar w:fldCharType="separate"/>
      </w:r>
      <w:r>
        <w:rPr>
          <w:rFonts w:hint="eastAsia"/>
          <w:lang w:val="en-US" w:eastAsia="zh-CN"/>
        </w:rPr>
        <w:t>3.2技术、服务性响应文件格式</w:t>
      </w:r>
      <w:r>
        <w:tab/>
      </w:r>
      <w:r>
        <w:fldChar w:fldCharType="begin"/>
      </w:r>
      <w:r>
        <w:instrText xml:space="preserve"> PAGEREF _Toc22087 \h </w:instrText>
      </w:r>
      <w:r>
        <w:fldChar w:fldCharType="separate"/>
      </w:r>
      <w:r>
        <w:t>29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_Toc18747 </w:instrText>
      </w:r>
      <w:r>
        <w:rPr>
          <w:szCs w:val="20"/>
          <w:highlight w:val="none"/>
        </w:rPr>
        <w:fldChar w:fldCharType="separate"/>
      </w:r>
      <w:r>
        <w:rPr>
          <w:rFonts w:hint="eastAsia"/>
          <w:highlight w:val="none"/>
          <w:lang w:val="en-US" w:eastAsia="zh-CN"/>
        </w:rPr>
        <w:t>3.2.1</w:t>
      </w:r>
      <w:r>
        <w:rPr>
          <w:rFonts w:hint="eastAsia"/>
          <w:highlight w:val="none"/>
        </w:rPr>
        <w:t>技术、服务性响应文件封面格式</w:t>
      </w:r>
      <w:r>
        <w:tab/>
      </w:r>
      <w:r>
        <w:fldChar w:fldCharType="begin"/>
      </w:r>
      <w:r>
        <w:instrText xml:space="preserve"> PAGEREF _Toc18747 \h </w:instrText>
      </w:r>
      <w:r>
        <w:fldChar w:fldCharType="separate"/>
      </w:r>
      <w:r>
        <w:t>29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_Toc19911 </w:instrText>
      </w:r>
      <w:r>
        <w:rPr>
          <w:szCs w:val="20"/>
          <w:highlight w:val="none"/>
        </w:rPr>
        <w:fldChar w:fldCharType="separate"/>
      </w:r>
      <w:r>
        <w:rPr>
          <w:rFonts w:hint="eastAsia" w:ascii="宋体" w:hAnsi="宋体" w:eastAsia="宋体"/>
          <w:highlight w:val="none"/>
          <w:lang w:val="en-US" w:eastAsia="zh-CN"/>
        </w:rPr>
        <w:t>3.2.2报价表</w:t>
      </w:r>
      <w:r>
        <w:tab/>
      </w:r>
      <w:r>
        <w:fldChar w:fldCharType="begin"/>
      </w:r>
      <w:r>
        <w:instrText xml:space="preserve"> PAGEREF _Toc19911 \h </w:instrText>
      </w:r>
      <w:r>
        <w:fldChar w:fldCharType="separate"/>
      </w:r>
      <w:r>
        <w:t>30</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_Toc22426 </w:instrText>
      </w:r>
      <w:r>
        <w:rPr>
          <w:szCs w:val="20"/>
          <w:highlight w:val="none"/>
        </w:rPr>
        <w:fldChar w:fldCharType="separate"/>
      </w:r>
      <w:r>
        <w:rPr>
          <w:rFonts w:hint="eastAsia" w:ascii="宋体" w:hAnsi="宋体" w:eastAsia="宋体" w:cs="Times New Roman"/>
          <w:bCs/>
          <w:kern w:val="2"/>
          <w:szCs w:val="28"/>
          <w:highlight w:val="none"/>
          <w:lang w:val="en-US" w:eastAsia="zh-CN" w:bidi="ar-SA"/>
        </w:rPr>
        <w:t>3.2.3分项报价表</w:t>
      </w:r>
      <w:r>
        <w:tab/>
      </w:r>
      <w:r>
        <w:fldChar w:fldCharType="begin"/>
      </w:r>
      <w:r>
        <w:instrText xml:space="preserve"> PAGEREF _Toc22426 \h </w:instrText>
      </w:r>
      <w:r>
        <w:fldChar w:fldCharType="separate"/>
      </w:r>
      <w:r>
        <w:t>31</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_Toc9386 </w:instrText>
      </w:r>
      <w:r>
        <w:rPr>
          <w:szCs w:val="20"/>
          <w:highlight w:val="none"/>
        </w:rPr>
        <w:fldChar w:fldCharType="separate"/>
      </w:r>
      <w:r>
        <w:rPr>
          <w:rFonts w:hint="eastAsia"/>
          <w:lang w:val="en-US" w:eastAsia="zh-CN"/>
        </w:rPr>
        <w:t>3.2.4中小企业声明函</w:t>
      </w:r>
      <w:r>
        <w:tab/>
      </w:r>
      <w:r>
        <w:fldChar w:fldCharType="begin"/>
      </w:r>
      <w:r>
        <w:instrText xml:space="preserve"> PAGEREF _Toc9386 \h </w:instrText>
      </w:r>
      <w:r>
        <w:fldChar w:fldCharType="separate"/>
      </w:r>
      <w:r>
        <w:t>33</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_Toc11021 </w:instrText>
      </w:r>
      <w:r>
        <w:rPr>
          <w:szCs w:val="20"/>
          <w:highlight w:val="none"/>
        </w:rPr>
        <w:fldChar w:fldCharType="separate"/>
      </w:r>
      <w:r>
        <w:rPr>
          <w:rFonts w:hint="eastAsia"/>
          <w:lang w:val="en-US" w:eastAsia="zh-CN"/>
        </w:rPr>
        <w:t>3.2.5残疾人福利性单位声明函</w:t>
      </w:r>
      <w:r>
        <w:tab/>
      </w:r>
      <w:r>
        <w:fldChar w:fldCharType="begin"/>
      </w:r>
      <w:r>
        <w:instrText xml:space="preserve"> PAGEREF _Toc11021 \h </w:instrText>
      </w:r>
      <w:r>
        <w:fldChar w:fldCharType="separate"/>
      </w:r>
      <w:r>
        <w:t>34</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_Toc1947 </w:instrText>
      </w:r>
      <w:r>
        <w:rPr>
          <w:szCs w:val="20"/>
          <w:highlight w:val="none"/>
        </w:rPr>
        <w:fldChar w:fldCharType="separate"/>
      </w:r>
      <w:r>
        <w:rPr>
          <w:rFonts w:hint="eastAsia"/>
          <w:lang w:val="en-US" w:eastAsia="zh-CN"/>
        </w:rPr>
        <w:t>3.2.6所投产品技术性能、技术参数和配置的详细描述</w:t>
      </w:r>
      <w:r>
        <w:tab/>
      </w:r>
      <w:r>
        <w:fldChar w:fldCharType="begin"/>
      </w:r>
      <w:r>
        <w:instrText xml:space="preserve"> PAGEREF _Toc1947 \h </w:instrText>
      </w:r>
      <w:r>
        <w:fldChar w:fldCharType="separate"/>
      </w:r>
      <w:r>
        <w:t>35</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_Toc14720 </w:instrText>
      </w:r>
      <w:r>
        <w:rPr>
          <w:szCs w:val="20"/>
          <w:highlight w:val="none"/>
        </w:rPr>
        <w:fldChar w:fldCharType="separate"/>
      </w:r>
      <w:r>
        <w:rPr>
          <w:rFonts w:hint="eastAsia"/>
          <w:szCs w:val="24"/>
          <w:lang w:val="en-US" w:eastAsia="zh-CN"/>
        </w:rPr>
        <w:t>3.2.7售后服务方案</w:t>
      </w:r>
      <w:r>
        <w:tab/>
      </w:r>
      <w:r>
        <w:fldChar w:fldCharType="begin"/>
      </w:r>
      <w:r>
        <w:instrText xml:space="preserve"> PAGEREF _Toc14720 \h </w:instrText>
      </w:r>
      <w:r>
        <w:fldChar w:fldCharType="separate"/>
      </w:r>
      <w:r>
        <w:t>36</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_Toc18710 </w:instrText>
      </w:r>
      <w:r>
        <w:rPr>
          <w:szCs w:val="20"/>
          <w:highlight w:val="none"/>
        </w:rPr>
        <w:fldChar w:fldCharType="separate"/>
      </w:r>
      <w:r>
        <w:rPr>
          <w:rFonts w:hint="eastAsia"/>
          <w:szCs w:val="24"/>
          <w:lang w:val="en-US" w:eastAsia="zh-CN"/>
        </w:rPr>
        <w:t>3.2.8项目实施方案</w:t>
      </w:r>
      <w:r>
        <w:tab/>
      </w:r>
      <w:r>
        <w:fldChar w:fldCharType="begin"/>
      </w:r>
      <w:r>
        <w:instrText xml:space="preserve"> PAGEREF _Toc18710 \h </w:instrText>
      </w:r>
      <w:r>
        <w:fldChar w:fldCharType="separate"/>
      </w:r>
      <w:r>
        <w:t>37</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_Toc30388 </w:instrText>
      </w:r>
      <w:r>
        <w:rPr>
          <w:szCs w:val="20"/>
          <w:highlight w:val="none"/>
        </w:rPr>
        <w:fldChar w:fldCharType="separate"/>
      </w:r>
      <w:r>
        <w:rPr>
          <w:rFonts w:hint="eastAsia"/>
          <w:szCs w:val="24"/>
          <w:lang w:val="en-US" w:eastAsia="zh-CN"/>
        </w:rPr>
        <w:t>3.2.9承诺函</w:t>
      </w:r>
      <w:r>
        <w:tab/>
      </w:r>
      <w:r>
        <w:fldChar w:fldCharType="begin"/>
      </w:r>
      <w:r>
        <w:instrText xml:space="preserve"> PAGEREF _Toc30388 \h </w:instrText>
      </w:r>
      <w:r>
        <w:fldChar w:fldCharType="separate"/>
      </w:r>
      <w:r>
        <w:t>38</w:t>
      </w:r>
      <w:r>
        <w:fldChar w:fldCharType="end"/>
      </w:r>
      <w:r>
        <w:rPr>
          <w:color w:val="auto"/>
          <w:szCs w:val="20"/>
          <w:highlight w:val="none"/>
        </w:rPr>
        <w:fldChar w:fldCharType="end"/>
      </w:r>
    </w:p>
    <w:p>
      <w:pPr>
        <w:pStyle w:val="15"/>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_Toc13353 </w:instrText>
      </w:r>
      <w:r>
        <w:rPr>
          <w:szCs w:val="20"/>
          <w:highlight w:val="none"/>
        </w:rPr>
        <w:fldChar w:fldCharType="separate"/>
      </w:r>
      <w:r>
        <w:rPr>
          <w:rFonts w:hint="eastAsia"/>
          <w:lang w:val="en-US" w:eastAsia="zh-CN"/>
        </w:rPr>
        <w:t>第4章技术、服务、商务及其他要求</w:t>
      </w:r>
      <w:r>
        <w:tab/>
      </w:r>
      <w:r>
        <w:fldChar w:fldCharType="begin"/>
      </w:r>
      <w:r>
        <w:instrText xml:space="preserve"> PAGEREF _Toc13353 \h </w:instrText>
      </w:r>
      <w:r>
        <w:fldChar w:fldCharType="separate"/>
      </w:r>
      <w:r>
        <w:t>39</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_Toc22154 </w:instrText>
      </w:r>
      <w:r>
        <w:rPr>
          <w:szCs w:val="20"/>
          <w:highlight w:val="none"/>
        </w:rPr>
        <w:fldChar w:fldCharType="separate"/>
      </w:r>
      <w:r>
        <w:rPr>
          <w:rFonts w:hint="eastAsia"/>
          <w:highlight w:val="none"/>
          <w:lang w:val="en-US" w:eastAsia="zh-CN"/>
        </w:rPr>
        <w:t>4.1技术、服务要求</w:t>
      </w:r>
      <w:r>
        <w:tab/>
      </w:r>
      <w:r>
        <w:fldChar w:fldCharType="begin"/>
      </w:r>
      <w:r>
        <w:instrText xml:space="preserve"> PAGEREF _Toc22154 \h </w:instrText>
      </w:r>
      <w:r>
        <w:fldChar w:fldCharType="separate"/>
      </w:r>
      <w:r>
        <w:t>39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_Toc5653 </w:instrText>
      </w:r>
      <w:r>
        <w:rPr>
          <w:szCs w:val="20"/>
          <w:highlight w:val="none"/>
        </w:rPr>
        <w:fldChar w:fldCharType="separate"/>
      </w:r>
      <w:r>
        <w:rPr>
          <w:rFonts w:hint="eastAsia"/>
          <w:szCs w:val="24"/>
          <w:lang w:val="en-US" w:eastAsia="zh-CN"/>
        </w:rPr>
        <w:t>4.1.1项目概况</w:t>
      </w:r>
      <w:r>
        <w:tab/>
      </w:r>
      <w:r>
        <w:fldChar w:fldCharType="begin"/>
      </w:r>
      <w:r>
        <w:instrText xml:space="preserve"> PAGEREF _Toc5653 \h </w:instrText>
      </w:r>
      <w:r>
        <w:fldChar w:fldCharType="separate"/>
      </w:r>
      <w:r>
        <w:t>39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_Toc32414 </w:instrText>
      </w:r>
      <w:r>
        <w:rPr>
          <w:szCs w:val="20"/>
          <w:highlight w:val="none"/>
        </w:rPr>
        <w:fldChar w:fldCharType="separate"/>
      </w:r>
      <w:r>
        <w:rPr>
          <w:rFonts w:hint="eastAsia"/>
          <w:szCs w:val="24"/>
          <w:lang w:val="en-US" w:eastAsia="zh-CN"/>
        </w:rPr>
        <w:t>4.1.2技术参数及要求</w:t>
      </w:r>
      <w:r>
        <w:tab/>
      </w:r>
      <w:r>
        <w:fldChar w:fldCharType="begin"/>
      </w:r>
      <w:r>
        <w:instrText xml:space="preserve"> PAGEREF _Toc32414 \h </w:instrText>
      </w:r>
      <w:r>
        <w:fldChar w:fldCharType="separate"/>
      </w:r>
      <w:r>
        <w:t>39</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_Toc15864 </w:instrText>
      </w:r>
      <w:r>
        <w:rPr>
          <w:szCs w:val="20"/>
          <w:highlight w:val="none"/>
        </w:rPr>
        <w:fldChar w:fldCharType="separate"/>
      </w:r>
      <w:r>
        <w:rPr>
          <w:rFonts w:hint="eastAsia" w:cs="Times New Roman"/>
          <w:bCs/>
          <w:iCs/>
          <w:kern w:val="0"/>
          <w:szCs w:val="28"/>
          <w:highlight w:val="none"/>
          <w:lang w:val="en-US" w:eastAsia="zh-CN" w:bidi="ar-SA"/>
        </w:rPr>
        <w:t>4.2商务要求</w:t>
      </w:r>
      <w:r>
        <w:tab/>
      </w:r>
      <w:r>
        <w:fldChar w:fldCharType="begin"/>
      </w:r>
      <w:r>
        <w:instrText xml:space="preserve"> PAGEREF _Toc15864 \h </w:instrText>
      </w:r>
      <w:r>
        <w:fldChar w:fldCharType="separate"/>
      </w:r>
      <w:r>
        <w:t>39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_Toc2489 </w:instrText>
      </w:r>
      <w:r>
        <w:rPr>
          <w:szCs w:val="20"/>
          <w:highlight w:val="none"/>
        </w:rPr>
        <w:fldChar w:fldCharType="separate"/>
      </w:r>
      <w:r>
        <w:rPr>
          <w:rFonts w:hint="eastAsia"/>
          <w:szCs w:val="24"/>
          <w:lang w:val="en-US" w:eastAsia="zh-CN"/>
        </w:rPr>
        <w:t>4.2.1履约时间、地点及方式</w:t>
      </w:r>
      <w:r>
        <w:tab/>
      </w:r>
      <w:r>
        <w:fldChar w:fldCharType="begin"/>
      </w:r>
      <w:r>
        <w:instrText xml:space="preserve"> PAGEREF _Toc2489 \h </w:instrText>
      </w:r>
      <w:r>
        <w:fldChar w:fldCharType="separate"/>
      </w:r>
      <w:r>
        <w:t>39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_Toc27384 </w:instrText>
      </w:r>
      <w:r>
        <w:rPr>
          <w:szCs w:val="20"/>
          <w:highlight w:val="none"/>
        </w:rPr>
        <w:fldChar w:fldCharType="separate"/>
      </w:r>
      <w:r>
        <w:rPr>
          <w:rFonts w:hint="eastAsia"/>
          <w:szCs w:val="24"/>
          <w:lang w:val="en-US" w:eastAsia="zh-CN"/>
        </w:rPr>
        <w:t>4.2.2履约验收</w:t>
      </w:r>
      <w:r>
        <w:tab/>
      </w:r>
      <w:r>
        <w:fldChar w:fldCharType="begin"/>
      </w:r>
      <w:r>
        <w:instrText xml:space="preserve"> PAGEREF _Toc27384 \h </w:instrText>
      </w:r>
      <w:r>
        <w:fldChar w:fldCharType="separate"/>
      </w:r>
      <w:r>
        <w:t>39</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_Toc5097 </w:instrText>
      </w:r>
      <w:r>
        <w:rPr>
          <w:szCs w:val="20"/>
          <w:highlight w:val="none"/>
        </w:rPr>
        <w:fldChar w:fldCharType="separate"/>
      </w:r>
      <w:r>
        <w:rPr>
          <w:rFonts w:hint="eastAsia"/>
          <w:highlight w:val="none"/>
          <w:lang w:val="en-US" w:eastAsia="zh-CN"/>
        </w:rPr>
        <w:t>4.2.3</w:t>
      </w:r>
      <w:r>
        <w:rPr>
          <w:rFonts w:hint="default"/>
          <w:highlight w:val="none"/>
          <w:lang w:val="en-US" w:eastAsia="zh-CN"/>
        </w:rPr>
        <w:t>售后服务</w:t>
      </w:r>
      <w:r>
        <w:rPr>
          <w:rFonts w:hint="eastAsia"/>
          <w:highlight w:val="none"/>
          <w:lang w:val="en-US" w:eastAsia="zh-CN"/>
        </w:rPr>
        <w:t>的</w:t>
      </w:r>
      <w:r>
        <w:rPr>
          <w:rFonts w:hint="default"/>
          <w:highlight w:val="none"/>
          <w:lang w:val="en-US" w:eastAsia="zh-CN"/>
        </w:rPr>
        <w:t>要求</w:t>
      </w:r>
      <w:r>
        <w:tab/>
      </w:r>
      <w:r>
        <w:fldChar w:fldCharType="begin"/>
      </w:r>
      <w:r>
        <w:instrText xml:space="preserve"> PAGEREF _Toc5097 \h </w:instrText>
      </w:r>
      <w:r>
        <w:fldChar w:fldCharType="separate"/>
      </w:r>
      <w:r>
        <w:t>40</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_Toc9340 </w:instrText>
      </w:r>
      <w:r>
        <w:rPr>
          <w:szCs w:val="20"/>
          <w:highlight w:val="none"/>
        </w:rPr>
        <w:fldChar w:fldCharType="separate"/>
      </w:r>
      <w:r>
        <w:rPr>
          <w:rFonts w:hint="eastAsia"/>
          <w:lang w:val="en-US" w:eastAsia="zh-CN"/>
        </w:rPr>
        <w:t>4.2.4合同价款支付方式和条件</w:t>
      </w:r>
      <w:r>
        <w:tab/>
      </w:r>
      <w:r>
        <w:fldChar w:fldCharType="begin"/>
      </w:r>
      <w:r>
        <w:instrText xml:space="preserve"> PAGEREF _Toc9340 \h </w:instrText>
      </w:r>
      <w:r>
        <w:fldChar w:fldCharType="separate"/>
      </w:r>
      <w:r>
        <w:t>40</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_Toc15422 </w:instrText>
      </w:r>
      <w:r>
        <w:rPr>
          <w:szCs w:val="20"/>
          <w:highlight w:val="none"/>
        </w:rPr>
        <w:fldChar w:fldCharType="separate"/>
      </w:r>
      <w:r>
        <w:rPr>
          <w:rFonts w:hint="eastAsia"/>
          <w:highlight w:val="none"/>
          <w:lang w:val="en-US" w:eastAsia="zh-CN"/>
        </w:rPr>
        <w:t>4.3★最高限价</w:t>
      </w:r>
      <w:r>
        <w:tab/>
      </w:r>
      <w:r>
        <w:fldChar w:fldCharType="begin"/>
      </w:r>
      <w:r>
        <w:instrText xml:space="preserve"> PAGEREF _Toc15422 \h </w:instrText>
      </w:r>
      <w:r>
        <w:fldChar w:fldCharType="separate"/>
      </w:r>
      <w:r>
        <w:t>40</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_Toc5496 </w:instrText>
      </w:r>
      <w:r>
        <w:rPr>
          <w:szCs w:val="20"/>
          <w:highlight w:val="none"/>
        </w:rPr>
        <w:fldChar w:fldCharType="separate"/>
      </w:r>
      <w:r>
        <w:rPr>
          <w:rFonts w:hint="eastAsia"/>
          <w:highlight w:val="none"/>
          <w:lang w:val="en-US" w:eastAsia="zh-CN"/>
        </w:rPr>
        <w:t>4.4</w:t>
      </w:r>
      <w:r>
        <w:rPr>
          <w:rFonts w:hint="eastAsia"/>
          <w:highlight w:val="none"/>
        </w:rPr>
        <w:t>其他要求</w:t>
      </w:r>
      <w:r>
        <w:tab/>
      </w:r>
      <w:r>
        <w:fldChar w:fldCharType="begin"/>
      </w:r>
      <w:r>
        <w:instrText xml:space="preserve"> PAGEREF _Toc5496 \h </w:instrText>
      </w:r>
      <w:r>
        <w:fldChar w:fldCharType="separate"/>
      </w:r>
      <w:r>
        <w:t>41</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_Toc29048 </w:instrText>
      </w:r>
      <w:r>
        <w:rPr>
          <w:szCs w:val="20"/>
          <w:highlight w:val="none"/>
        </w:rPr>
        <w:fldChar w:fldCharType="separate"/>
      </w:r>
      <w:r>
        <w:rPr>
          <w:rFonts w:hint="eastAsia"/>
          <w:highlight w:val="none"/>
          <w:lang w:val="en-US" w:eastAsia="zh-CN"/>
        </w:rPr>
        <w:t>4.5</w:t>
      </w:r>
      <w:r>
        <w:rPr>
          <w:rFonts w:hint="eastAsia"/>
          <w:highlight w:val="none"/>
        </w:rPr>
        <w:t>满足采购需求的实质性要求</w:t>
      </w:r>
      <w:r>
        <w:tab/>
      </w:r>
      <w:r>
        <w:fldChar w:fldCharType="begin"/>
      </w:r>
      <w:r>
        <w:instrText xml:space="preserve"> PAGEREF _Toc29048 \h </w:instrText>
      </w:r>
      <w:r>
        <w:fldChar w:fldCharType="separate"/>
      </w:r>
      <w:r>
        <w:t>42</w:t>
      </w:r>
      <w:r>
        <w:fldChar w:fldCharType="end"/>
      </w:r>
      <w:r>
        <w:rPr>
          <w:color w:val="auto"/>
          <w:szCs w:val="20"/>
          <w:highlight w:val="none"/>
        </w:rPr>
        <w:fldChar w:fldCharType="end"/>
      </w:r>
    </w:p>
    <w:p>
      <w:pPr>
        <w:pStyle w:val="15"/>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_Toc8903 </w:instrText>
      </w:r>
      <w:r>
        <w:rPr>
          <w:szCs w:val="20"/>
          <w:highlight w:val="none"/>
        </w:rPr>
        <w:fldChar w:fldCharType="separate"/>
      </w:r>
      <w:r>
        <w:rPr>
          <w:rFonts w:hint="eastAsia"/>
          <w:lang w:val="en-US" w:eastAsia="zh-CN"/>
        </w:rPr>
        <w:t>第5章 磋商办法</w:t>
      </w:r>
      <w:r>
        <w:tab/>
      </w:r>
      <w:r>
        <w:fldChar w:fldCharType="begin"/>
      </w:r>
      <w:r>
        <w:instrText xml:space="preserve"> PAGEREF _Toc8903 \h </w:instrText>
      </w:r>
      <w:r>
        <w:fldChar w:fldCharType="separate"/>
      </w:r>
      <w:r>
        <w:t>77</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_Toc13221 </w:instrText>
      </w:r>
      <w:r>
        <w:rPr>
          <w:szCs w:val="20"/>
          <w:highlight w:val="none"/>
        </w:rPr>
        <w:fldChar w:fldCharType="separate"/>
      </w:r>
      <w:r>
        <w:rPr>
          <w:rFonts w:hint="eastAsia"/>
          <w:bCs/>
          <w:iCs/>
        </w:rPr>
        <w:t>5.1总则</w:t>
      </w:r>
      <w:r>
        <w:tab/>
      </w:r>
      <w:r>
        <w:fldChar w:fldCharType="begin"/>
      </w:r>
      <w:r>
        <w:instrText xml:space="preserve"> PAGEREF _Toc13221 \h </w:instrText>
      </w:r>
      <w:r>
        <w:fldChar w:fldCharType="separate"/>
      </w:r>
      <w:r>
        <w:t>77</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_Toc2061 </w:instrText>
      </w:r>
      <w:r>
        <w:rPr>
          <w:szCs w:val="20"/>
          <w:highlight w:val="none"/>
        </w:rPr>
        <w:fldChar w:fldCharType="separate"/>
      </w:r>
      <w:r>
        <w:rPr>
          <w:rFonts w:hint="eastAsia"/>
          <w:highlight w:val="none"/>
        </w:rPr>
        <w:t>5.2</w:t>
      </w:r>
      <w:r>
        <w:rPr>
          <w:rFonts w:hint="eastAsia"/>
          <w:highlight w:val="none"/>
          <w:lang w:eastAsia="zh-CN"/>
        </w:rPr>
        <w:t>评审</w:t>
      </w:r>
      <w:r>
        <w:rPr>
          <w:rFonts w:hint="eastAsia"/>
          <w:highlight w:val="none"/>
        </w:rPr>
        <w:t>程序</w:t>
      </w:r>
      <w:r>
        <w:tab/>
      </w:r>
      <w:r>
        <w:fldChar w:fldCharType="begin"/>
      </w:r>
      <w:r>
        <w:instrText xml:space="preserve"> PAGEREF _Toc2061 \h </w:instrText>
      </w:r>
      <w:r>
        <w:fldChar w:fldCharType="separate"/>
      </w:r>
      <w:r>
        <w:t>78</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_Toc123 </w:instrText>
      </w:r>
      <w:r>
        <w:rPr>
          <w:szCs w:val="20"/>
          <w:highlight w:val="none"/>
        </w:rPr>
        <w:fldChar w:fldCharType="separate"/>
      </w:r>
      <w:r>
        <w:rPr>
          <w:rFonts w:hint="eastAsia"/>
          <w:highlight w:val="none"/>
        </w:rPr>
        <w:t>5.2.</w:t>
      </w:r>
      <w:r>
        <w:rPr>
          <w:rFonts w:hint="eastAsia"/>
          <w:highlight w:val="none"/>
          <w:lang w:val="en-US" w:eastAsia="zh-CN"/>
        </w:rPr>
        <w:t>1</w:t>
      </w:r>
      <w:r>
        <w:rPr>
          <w:rFonts w:hint="eastAsia"/>
          <w:highlight w:val="none"/>
        </w:rPr>
        <w:t>磋商小组</w:t>
      </w:r>
      <w:r>
        <w:tab/>
      </w:r>
      <w:r>
        <w:fldChar w:fldCharType="begin"/>
      </w:r>
      <w:r>
        <w:instrText xml:space="preserve"> PAGEREF _Toc123 \h </w:instrText>
      </w:r>
      <w:r>
        <w:fldChar w:fldCharType="separate"/>
      </w:r>
      <w:r>
        <w:t>78</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_Toc22060 </w:instrText>
      </w:r>
      <w:r>
        <w:rPr>
          <w:szCs w:val="20"/>
          <w:highlight w:val="none"/>
        </w:rPr>
        <w:fldChar w:fldCharType="separate"/>
      </w:r>
      <w:r>
        <w:rPr>
          <w:rFonts w:hint="eastAsia"/>
          <w:highlight w:val="none"/>
        </w:rPr>
        <w:t>5.2</w:t>
      </w:r>
      <w:r>
        <w:rPr>
          <w:rFonts w:hint="eastAsia"/>
          <w:highlight w:val="none"/>
          <w:lang w:val="en-US" w:eastAsia="zh-CN"/>
        </w:rPr>
        <w:t>.2</w:t>
      </w:r>
      <w:r>
        <w:rPr>
          <w:rFonts w:hint="eastAsia"/>
          <w:highlight w:val="none"/>
        </w:rPr>
        <w:t>资格性审查</w:t>
      </w:r>
      <w:r>
        <w:tab/>
      </w:r>
      <w:r>
        <w:fldChar w:fldCharType="begin"/>
      </w:r>
      <w:r>
        <w:instrText xml:space="preserve"> PAGEREF _Toc22060 \h </w:instrText>
      </w:r>
      <w:r>
        <w:fldChar w:fldCharType="separate"/>
      </w:r>
      <w:r>
        <w:t>78</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_Toc30812 </w:instrText>
      </w:r>
      <w:r>
        <w:rPr>
          <w:szCs w:val="20"/>
          <w:highlight w:val="none"/>
        </w:rPr>
        <w:fldChar w:fldCharType="separate"/>
      </w:r>
      <w:r>
        <w:rPr>
          <w:rFonts w:hint="eastAsia"/>
          <w:highlight w:val="none"/>
          <w:lang w:val="en-US" w:eastAsia="zh-CN"/>
        </w:rPr>
        <w:t>5.2.3符合性审查</w:t>
      </w:r>
      <w:r>
        <w:tab/>
      </w:r>
      <w:r>
        <w:fldChar w:fldCharType="begin"/>
      </w:r>
      <w:r>
        <w:instrText xml:space="preserve"> PAGEREF _Toc30812 \h </w:instrText>
      </w:r>
      <w:r>
        <w:fldChar w:fldCharType="separate"/>
      </w:r>
      <w:r>
        <w:t>81</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_Toc18296 </w:instrText>
      </w:r>
      <w:r>
        <w:rPr>
          <w:szCs w:val="20"/>
          <w:highlight w:val="none"/>
        </w:rPr>
        <w:fldChar w:fldCharType="separate"/>
      </w:r>
      <w:r>
        <w:rPr>
          <w:rFonts w:hint="eastAsia"/>
          <w:highlight w:val="none"/>
        </w:rPr>
        <w:t>5.2.</w:t>
      </w:r>
      <w:r>
        <w:rPr>
          <w:rFonts w:hint="eastAsia"/>
          <w:highlight w:val="none"/>
          <w:lang w:val="en-US" w:eastAsia="zh-CN"/>
        </w:rPr>
        <w:t>4</w:t>
      </w:r>
      <w:r>
        <w:rPr>
          <w:rFonts w:hint="eastAsia"/>
          <w:highlight w:val="none"/>
        </w:rPr>
        <w:t>磋商</w:t>
      </w:r>
      <w:r>
        <w:tab/>
      </w:r>
      <w:r>
        <w:fldChar w:fldCharType="begin"/>
      </w:r>
      <w:r>
        <w:instrText xml:space="preserve"> PAGEREF _Toc18296 \h </w:instrText>
      </w:r>
      <w:r>
        <w:fldChar w:fldCharType="separate"/>
      </w:r>
      <w:r>
        <w:t>83</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_Toc6862 </w:instrText>
      </w:r>
      <w:r>
        <w:rPr>
          <w:szCs w:val="20"/>
          <w:highlight w:val="none"/>
        </w:rPr>
        <w:fldChar w:fldCharType="separate"/>
      </w:r>
      <w:r>
        <w:rPr>
          <w:rFonts w:hint="eastAsia"/>
          <w:highlight w:val="none"/>
        </w:rPr>
        <w:t>5.2.</w:t>
      </w:r>
      <w:r>
        <w:rPr>
          <w:rFonts w:hint="eastAsia"/>
          <w:highlight w:val="none"/>
          <w:lang w:val="en-US" w:eastAsia="zh-CN"/>
        </w:rPr>
        <w:t>5</w:t>
      </w:r>
      <w:r>
        <w:rPr>
          <w:rFonts w:hint="eastAsia"/>
          <w:highlight w:val="none"/>
        </w:rPr>
        <w:t>最后报价审查</w:t>
      </w:r>
      <w:r>
        <w:tab/>
      </w:r>
      <w:r>
        <w:fldChar w:fldCharType="begin"/>
      </w:r>
      <w:r>
        <w:instrText xml:space="preserve"> PAGEREF _Toc6862 \h </w:instrText>
      </w:r>
      <w:r>
        <w:fldChar w:fldCharType="separate"/>
      </w:r>
      <w:r>
        <w:t>84</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_Toc31164 </w:instrText>
      </w:r>
      <w:r>
        <w:rPr>
          <w:szCs w:val="20"/>
          <w:highlight w:val="none"/>
        </w:rPr>
        <w:fldChar w:fldCharType="separate"/>
      </w:r>
      <w:r>
        <w:rPr>
          <w:rFonts w:hint="eastAsia"/>
          <w:highlight w:val="none"/>
        </w:rPr>
        <w:t>5.2.</w:t>
      </w:r>
      <w:r>
        <w:rPr>
          <w:rFonts w:hint="eastAsia"/>
          <w:highlight w:val="none"/>
          <w:lang w:val="en-US" w:eastAsia="zh-CN"/>
        </w:rPr>
        <w:t>6</w:t>
      </w:r>
      <w:r>
        <w:rPr>
          <w:rFonts w:hint="eastAsia"/>
          <w:highlight w:val="none"/>
        </w:rPr>
        <w:t>解释、澄清、说明的有关问题</w:t>
      </w:r>
      <w:r>
        <w:tab/>
      </w:r>
      <w:r>
        <w:fldChar w:fldCharType="begin"/>
      </w:r>
      <w:r>
        <w:instrText xml:space="preserve"> PAGEREF _Toc31164 \h </w:instrText>
      </w:r>
      <w:r>
        <w:fldChar w:fldCharType="separate"/>
      </w:r>
      <w:r>
        <w:t>85</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_Toc16716 </w:instrText>
      </w:r>
      <w:r>
        <w:rPr>
          <w:szCs w:val="20"/>
          <w:highlight w:val="none"/>
        </w:rPr>
        <w:fldChar w:fldCharType="separate"/>
      </w:r>
      <w:r>
        <w:rPr>
          <w:rFonts w:hint="eastAsia"/>
          <w:highlight w:val="none"/>
        </w:rPr>
        <w:t>5.2.</w:t>
      </w:r>
      <w:r>
        <w:rPr>
          <w:rFonts w:hint="eastAsia"/>
          <w:highlight w:val="none"/>
          <w:lang w:val="en-US" w:eastAsia="zh-CN"/>
        </w:rPr>
        <w:t>7</w:t>
      </w:r>
      <w:r>
        <w:rPr>
          <w:highlight w:val="none"/>
        </w:rPr>
        <w:t>复核</w:t>
      </w:r>
      <w:r>
        <w:tab/>
      </w:r>
      <w:r>
        <w:fldChar w:fldCharType="begin"/>
      </w:r>
      <w:r>
        <w:instrText xml:space="preserve"> PAGEREF _Toc16716 \h </w:instrText>
      </w:r>
      <w:r>
        <w:fldChar w:fldCharType="separate"/>
      </w:r>
      <w:r>
        <w:t>85</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_Toc12288 </w:instrText>
      </w:r>
      <w:r>
        <w:rPr>
          <w:szCs w:val="20"/>
          <w:highlight w:val="none"/>
        </w:rPr>
        <w:fldChar w:fldCharType="separate"/>
      </w:r>
      <w:r>
        <w:rPr>
          <w:rFonts w:hint="eastAsia"/>
          <w:highlight w:val="none"/>
        </w:rPr>
        <w:t>5.2.</w:t>
      </w:r>
      <w:r>
        <w:rPr>
          <w:rFonts w:hint="eastAsia"/>
          <w:highlight w:val="none"/>
          <w:lang w:val="en-US" w:eastAsia="zh-CN"/>
        </w:rPr>
        <w:t>8</w:t>
      </w:r>
      <w:r>
        <w:rPr>
          <w:rFonts w:hint="eastAsia"/>
          <w:highlight w:val="none"/>
        </w:rPr>
        <w:t>推荐成交候选供应商</w:t>
      </w:r>
      <w:r>
        <w:tab/>
      </w:r>
      <w:r>
        <w:fldChar w:fldCharType="begin"/>
      </w:r>
      <w:r>
        <w:instrText xml:space="preserve"> PAGEREF _Toc12288 \h </w:instrText>
      </w:r>
      <w:r>
        <w:fldChar w:fldCharType="separate"/>
      </w:r>
      <w:r>
        <w:t>86</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_Toc31851 </w:instrText>
      </w:r>
      <w:r>
        <w:rPr>
          <w:szCs w:val="20"/>
          <w:highlight w:val="none"/>
        </w:rPr>
        <w:fldChar w:fldCharType="separate"/>
      </w:r>
      <w:r>
        <w:rPr>
          <w:rFonts w:hint="eastAsia"/>
          <w:highlight w:val="none"/>
          <w:lang w:val="en-US" w:eastAsia="zh-CN"/>
        </w:rPr>
        <w:t>5.2.9</w:t>
      </w:r>
      <w:r>
        <w:rPr>
          <w:rFonts w:hint="eastAsia"/>
          <w:highlight w:val="none"/>
        </w:rPr>
        <w:t>编写评审报告</w:t>
      </w:r>
      <w:r>
        <w:tab/>
      </w:r>
      <w:r>
        <w:fldChar w:fldCharType="begin"/>
      </w:r>
      <w:r>
        <w:instrText xml:space="preserve"> PAGEREF _Toc31851 \h </w:instrText>
      </w:r>
      <w:r>
        <w:fldChar w:fldCharType="separate"/>
      </w:r>
      <w:r>
        <w:t>86</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_Toc21377 </w:instrText>
      </w:r>
      <w:r>
        <w:rPr>
          <w:szCs w:val="20"/>
          <w:highlight w:val="none"/>
        </w:rPr>
        <w:fldChar w:fldCharType="separate"/>
      </w:r>
      <w:r>
        <w:rPr>
          <w:rFonts w:hint="eastAsia"/>
          <w:highlight w:val="none"/>
        </w:rPr>
        <w:t>5.3磋商</w:t>
      </w:r>
      <w:r>
        <w:rPr>
          <w:highlight w:val="none"/>
        </w:rPr>
        <w:t>异议</w:t>
      </w:r>
      <w:r>
        <w:rPr>
          <w:rFonts w:hint="eastAsia"/>
          <w:highlight w:val="none"/>
        </w:rPr>
        <w:t>处理</w:t>
      </w:r>
      <w:r>
        <w:tab/>
      </w:r>
      <w:r>
        <w:fldChar w:fldCharType="begin"/>
      </w:r>
      <w:r>
        <w:instrText xml:space="preserve"> PAGEREF _Toc21377 \h </w:instrText>
      </w:r>
      <w:r>
        <w:fldChar w:fldCharType="separate"/>
      </w:r>
      <w:r>
        <w:t>87</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_Toc18286 </w:instrText>
      </w:r>
      <w:r>
        <w:rPr>
          <w:szCs w:val="20"/>
          <w:highlight w:val="none"/>
        </w:rPr>
        <w:fldChar w:fldCharType="separate"/>
      </w:r>
      <w:r>
        <w:rPr>
          <w:rFonts w:hint="eastAsia" w:ascii="宋体" w:hAnsi="宋体" w:cs="Times New Roman"/>
          <w:bCs/>
          <w:highlight w:val="none"/>
          <w:lang w:val="en-US" w:eastAsia="zh-CN"/>
        </w:rPr>
        <w:t>5.</w:t>
      </w:r>
      <w:r>
        <w:rPr>
          <w:rFonts w:hint="eastAsia" w:cs="Times New Roman"/>
          <w:bCs/>
          <w:highlight w:val="none"/>
          <w:lang w:val="en-US" w:eastAsia="zh-CN"/>
        </w:rPr>
        <w:t>4</w:t>
      </w:r>
      <w:r>
        <w:rPr>
          <w:rFonts w:hint="eastAsia" w:ascii="宋体" w:hAnsi="宋体" w:cs="Times New Roman"/>
          <w:bCs/>
          <w:highlight w:val="none"/>
        </w:rPr>
        <w:t>评审办法和标准</w:t>
      </w:r>
      <w:r>
        <w:tab/>
      </w:r>
      <w:r>
        <w:fldChar w:fldCharType="begin"/>
      </w:r>
      <w:r>
        <w:instrText xml:space="preserve"> PAGEREF _Toc18286 \h </w:instrText>
      </w:r>
      <w:r>
        <w:fldChar w:fldCharType="separate"/>
      </w:r>
      <w:r>
        <w:t>87</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_Toc13707 </w:instrText>
      </w:r>
      <w:r>
        <w:rPr>
          <w:szCs w:val="20"/>
          <w:highlight w:val="none"/>
        </w:rPr>
        <w:fldChar w:fldCharType="separate"/>
      </w:r>
      <w:r>
        <w:rPr>
          <w:rFonts w:hint="eastAsia" w:ascii="宋体" w:hAnsi="宋体" w:cs="Times New Roman"/>
          <w:bCs/>
          <w:highlight w:val="none"/>
          <w:lang w:val="en-US" w:eastAsia="zh-CN"/>
        </w:rPr>
        <w:t>5.</w:t>
      </w:r>
      <w:r>
        <w:rPr>
          <w:rFonts w:hint="eastAsia" w:cs="Times New Roman"/>
          <w:bCs/>
          <w:highlight w:val="none"/>
          <w:lang w:val="en-US" w:eastAsia="zh-CN"/>
        </w:rPr>
        <w:t>4.1</w:t>
      </w:r>
      <w:r>
        <w:rPr>
          <w:rFonts w:hint="eastAsia" w:ascii="宋体" w:hAnsi="宋体" w:cs="Times New Roman"/>
          <w:bCs/>
          <w:highlight w:val="none"/>
          <w:lang w:val="en-US" w:eastAsia="zh-CN"/>
        </w:rPr>
        <w:t>评分办法</w:t>
      </w:r>
      <w:r>
        <w:tab/>
      </w:r>
      <w:r>
        <w:fldChar w:fldCharType="begin"/>
      </w:r>
      <w:r>
        <w:instrText xml:space="preserve"> PAGEREF _Toc13707 \h </w:instrText>
      </w:r>
      <w:r>
        <w:fldChar w:fldCharType="separate"/>
      </w:r>
      <w:r>
        <w:t>87</w:t>
      </w:r>
      <w:r>
        <w:fldChar w:fldCharType="end"/>
      </w:r>
      <w:r>
        <w:rPr>
          <w:color w:val="auto"/>
          <w:szCs w:val="20"/>
          <w:highlight w:val="none"/>
        </w:rPr>
        <w:fldChar w:fldCharType="end"/>
      </w:r>
    </w:p>
    <w:p>
      <w:pPr>
        <w:pStyle w:val="10"/>
        <w:tabs>
          <w:tab w:val="right" w:leader="dot" w:pos="9214"/>
        </w:tabs>
      </w:pPr>
      <w:r>
        <w:rPr>
          <w:color w:val="auto"/>
          <w:szCs w:val="20"/>
          <w:highlight w:val="none"/>
        </w:rPr>
        <w:fldChar w:fldCharType="begin"/>
      </w:r>
      <w:r>
        <w:rPr>
          <w:szCs w:val="20"/>
          <w:highlight w:val="none"/>
        </w:rPr>
        <w:instrText xml:space="preserve"> HYPERLINK \l _Toc11575 </w:instrText>
      </w:r>
      <w:r>
        <w:rPr>
          <w:szCs w:val="20"/>
          <w:highlight w:val="none"/>
        </w:rPr>
        <w:fldChar w:fldCharType="separate"/>
      </w:r>
      <w:r>
        <w:rPr>
          <w:rFonts w:hint="eastAsia"/>
          <w:lang w:val="en-US" w:eastAsia="zh-CN"/>
        </w:rPr>
        <w:t>5.4.2评分标准</w:t>
      </w:r>
      <w:r>
        <w:tab/>
      </w:r>
      <w:r>
        <w:fldChar w:fldCharType="begin"/>
      </w:r>
      <w:r>
        <w:instrText xml:space="preserve"> PAGEREF _Toc11575 \h </w:instrText>
      </w:r>
      <w:r>
        <w:fldChar w:fldCharType="separate"/>
      </w:r>
      <w:r>
        <w:t>88</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_Toc24858 </w:instrText>
      </w:r>
      <w:r>
        <w:rPr>
          <w:szCs w:val="20"/>
          <w:highlight w:val="none"/>
        </w:rPr>
        <w:fldChar w:fldCharType="separate"/>
      </w:r>
      <w:r>
        <w:rPr>
          <w:rFonts w:hint="eastAsia"/>
          <w:highlight w:val="none"/>
        </w:rPr>
        <w:t>5.5采购失败情形</w:t>
      </w:r>
      <w:r>
        <w:tab/>
      </w:r>
      <w:r>
        <w:fldChar w:fldCharType="begin"/>
      </w:r>
      <w:r>
        <w:instrText xml:space="preserve"> PAGEREF _Toc24858 \h </w:instrText>
      </w:r>
      <w:r>
        <w:fldChar w:fldCharType="separate"/>
      </w:r>
      <w:r>
        <w:t>90</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_Toc4592 </w:instrText>
      </w:r>
      <w:r>
        <w:rPr>
          <w:szCs w:val="20"/>
          <w:highlight w:val="none"/>
        </w:rPr>
        <w:fldChar w:fldCharType="separate"/>
      </w:r>
      <w:r>
        <w:rPr>
          <w:rFonts w:hint="eastAsia"/>
          <w:highlight w:val="none"/>
        </w:rPr>
        <w:t>5.6确定成交供应商</w:t>
      </w:r>
      <w:r>
        <w:tab/>
      </w:r>
      <w:r>
        <w:fldChar w:fldCharType="begin"/>
      </w:r>
      <w:r>
        <w:instrText xml:space="preserve"> PAGEREF _Toc4592 \h </w:instrText>
      </w:r>
      <w:r>
        <w:fldChar w:fldCharType="separate"/>
      </w:r>
      <w:r>
        <w:t>90</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_Toc607 </w:instrText>
      </w:r>
      <w:r>
        <w:rPr>
          <w:szCs w:val="20"/>
          <w:highlight w:val="none"/>
        </w:rPr>
        <w:fldChar w:fldCharType="separate"/>
      </w:r>
      <w:r>
        <w:rPr>
          <w:rFonts w:hint="eastAsia"/>
          <w:highlight w:val="none"/>
          <w:lang w:val="en-US" w:eastAsia="zh-CN"/>
        </w:rPr>
        <w:t>5.7</w:t>
      </w:r>
      <w:r>
        <w:rPr>
          <w:rFonts w:hint="eastAsia"/>
          <w:highlight w:val="none"/>
        </w:rPr>
        <w:t>磋商小组成员义务</w:t>
      </w:r>
      <w:r>
        <w:tab/>
      </w:r>
      <w:r>
        <w:fldChar w:fldCharType="begin"/>
      </w:r>
      <w:r>
        <w:instrText xml:space="preserve"> PAGEREF _Toc607 \h </w:instrText>
      </w:r>
      <w:r>
        <w:fldChar w:fldCharType="separate"/>
      </w:r>
      <w:r>
        <w:t>91</w:t>
      </w:r>
      <w:r>
        <w:fldChar w:fldCharType="end"/>
      </w:r>
      <w:r>
        <w:rPr>
          <w:color w:val="auto"/>
          <w:szCs w:val="20"/>
          <w:highlight w:val="none"/>
        </w:rPr>
        <w:fldChar w:fldCharType="end"/>
      </w:r>
    </w:p>
    <w:p>
      <w:pPr>
        <w:pStyle w:val="17"/>
        <w:tabs>
          <w:tab w:val="right" w:leader="dot" w:pos="9214"/>
        </w:tabs>
      </w:pPr>
      <w:r>
        <w:rPr>
          <w:color w:val="auto"/>
          <w:szCs w:val="20"/>
          <w:highlight w:val="none"/>
        </w:rPr>
        <w:fldChar w:fldCharType="begin"/>
      </w:r>
      <w:r>
        <w:rPr>
          <w:szCs w:val="20"/>
          <w:highlight w:val="none"/>
        </w:rPr>
        <w:instrText xml:space="preserve"> HYPERLINK \l _Toc12013 </w:instrText>
      </w:r>
      <w:r>
        <w:rPr>
          <w:szCs w:val="20"/>
          <w:highlight w:val="none"/>
        </w:rPr>
        <w:fldChar w:fldCharType="separate"/>
      </w:r>
      <w:r>
        <w:rPr>
          <w:rFonts w:hint="eastAsia"/>
          <w:highlight w:val="none"/>
          <w:lang w:val="en-US" w:eastAsia="zh-CN"/>
        </w:rPr>
        <w:t>5.8</w:t>
      </w:r>
      <w:r>
        <w:rPr>
          <w:rFonts w:hint="eastAsia"/>
          <w:highlight w:val="none"/>
        </w:rPr>
        <w:t>磋商纪律</w:t>
      </w:r>
      <w:r>
        <w:tab/>
      </w:r>
      <w:r>
        <w:fldChar w:fldCharType="begin"/>
      </w:r>
      <w:r>
        <w:instrText xml:space="preserve"> PAGEREF _Toc12013 \h </w:instrText>
      </w:r>
      <w:r>
        <w:fldChar w:fldCharType="separate"/>
      </w:r>
      <w:r>
        <w:t>91</w:t>
      </w:r>
      <w:r>
        <w:fldChar w:fldCharType="end"/>
      </w:r>
      <w:r>
        <w:rPr>
          <w:color w:val="auto"/>
          <w:szCs w:val="20"/>
          <w:highlight w:val="none"/>
        </w:rPr>
        <w:fldChar w:fldCharType="end"/>
      </w:r>
    </w:p>
    <w:p>
      <w:pPr>
        <w:pStyle w:val="15"/>
        <w:tabs>
          <w:tab w:val="right" w:leader="dot" w:pos="9214"/>
          <w:tab w:val="clear" w:pos="840"/>
          <w:tab w:val="clear" w:pos="9204"/>
        </w:tabs>
      </w:pPr>
      <w:r>
        <w:rPr>
          <w:color w:val="auto"/>
          <w:szCs w:val="20"/>
          <w:highlight w:val="none"/>
        </w:rPr>
        <w:fldChar w:fldCharType="begin"/>
      </w:r>
      <w:r>
        <w:rPr>
          <w:szCs w:val="20"/>
          <w:highlight w:val="none"/>
        </w:rPr>
        <w:instrText xml:space="preserve"> HYPERLINK \l _Toc23461 </w:instrText>
      </w:r>
      <w:r>
        <w:rPr>
          <w:szCs w:val="20"/>
          <w:highlight w:val="none"/>
        </w:rPr>
        <w:fldChar w:fldCharType="separate"/>
      </w:r>
      <w:r>
        <w:rPr>
          <w:rFonts w:hint="eastAsia" w:ascii="宋体" w:hAnsi="宋体"/>
          <w:bCs/>
          <w:spacing w:val="-20"/>
          <w:kern w:val="44"/>
          <w:szCs w:val="32"/>
          <w:highlight w:val="none"/>
          <w:lang w:eastAsia="zh-CN"/>
        </w:rPr>
        <w:t>第</w:t>
      </w:r>
      <w:r>
        <w:rPr>
          <w:rFonts w:hint="eastAsia" w:ascii="宋体" w:hAnsi="宋体"/>
          <w:bCs/>
          <w:spacing w:val="-20"/>
          <w:kern w:val="44"/>
          <w:szCs w:val="32"/>
          <w:highlight w:val="none"/>
          <w:lang w:val="en-US" w:eastAsia="zh-CN"/>
        </w:rPr>
        <w:t>6章</w:t>
      </w:r>
      <w:r>
        <w:rPr>
          <w:rFonts w:hint="eastAsia" w:ascii="宋体" w:hAnsi="宋体"/>
          <w:bCs/>
          <w:spacing w:val="-20"/>
          <w:kern w:val="44"/>
          <w:szCs w:val="32"/>
          <w:highlight w:val="none"/>
        </w:rPr>
        <w:t>拟签订的合同文本</w:t>
      </w:r>
      <w:r>
        <w:tab/>
      </w:r>
      <w:r>
        <w:fldChar w:fldCharType="begin"/>
      </w:r>
      <w:r>
        <w:instrText xml:space="preserve"> PAGEREF _Toc23461 \h </w:instrText>
      </w:r>
      <w:r>
        <w:fldChar w:fldCharType="separate"/>
      </w:r>
      <w:r>
        <w:t>93</w:t>
      </w:r>
      <w:r>
        <w:fldChar w:fldCharType="end"/>
      </w:r>
      <w:r>
        <w:rPr>
          <w:color w:val="auto"/>
          <w:szCs w:val="20"/>
          <w:highlight w:val="none"/>
        </w:rPr>
        <w:fldChar w:fldCharType="end"/>
      </w:r>
    </w:p>
    <w:p>
      <w:pPr>
        <w:pStyle w:val="25"/>
        <w:pageBreakBefore w:val="0"/>
        <w:kinsoku/>
        <w:wordWrap/>
        <w:overflowPunct/>
        <w:topLinePunct w:val="0"/>
        <w:bidi w:val="0"/>
        <w:adjustRightInd w:val="0"/>
        <w:snapToGrid w:val="0"/>
        <w:spacing w:afterAutospacing="0" w:line="360" w:lineRule="auto"/>
        <w:ind w:firstLine="480" w:firstLineChars="200"/>
        <w:rPr>
          <w:color w:val="auto"/>
          <w:highlight w:val="none"/>
        </w:rPr>
      </w:pPr>
      <w:r>
        <w:rPr>
          <w:color w:val="auto"/>
          <w:szCs w:val="20"/>
          <w:highlight w:val="none"/>
        </w:rPr>
        <w:fldChar w:fldCharType="end"/>
      </w:r>
    </w:p>
    <w:p>
      <w:pPr>
        <w:pStyle w:val="25"/>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p>
    <w:p>
      <w:pPr>
        <w:pStyle w:val="25"/>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p>
    <w:p>
      <w:pPr>
        <w:pStyle w:val="25"/>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p>
    <w:p>
      <w:pPr>
        <w:pStyle w:val="2"/>
        <w:pageBreakBefore w:val="0"/>
        <w:kinsoku/>
        <w:wordWrap/>
        <w:overflowPunct/>
        <w:topLinePunct w:val="0"/>
        <w:bidi w:val="0"/>
        <w:adjustRightInd w:val="0"/>
        <w:snapToGrid w:val="0"/>
        <w:spacing w:after="0" w:afterAutospacing="0" w:line="360" w:lineRule="auto"/>
        <w:ind w:firstLine="400" w:firstLineChars="200"/>
        <w:rPr>
          <w:rFonts w:hint="eastAsia"/>
          <w:color w:val="auto"/>
          <w:sz w:val="20"/>
          <w:highlight w:val="none"/>
          <w:lang w:val="en-US" w:eastAsia="zh-CN"/>
        </w:rPr>
        <w:sectPr>
          <w:headerReference r:id="rId5" w:type="default"/>
          <w:pgSz w:w="11906" w:h="16838"/>
          <w:pgMar w:top="1134" w:right="1274" w:bottom="1440" w:left="1418" w:header="851" w:footer="992" w:gutter="0"/>
          <w:pgNumType w:fmt="decimal"/>
          <w:cols w:space="720" w:num="1"/>
          <w:titlePg/>
          <w:docGrid w:type="lines" w:linePitch="312" w:charSpace="0"/>
        </w:sectPr>
      </w:pPr>
      <w:bookmarkStart w:id="2" w:name="EBe87eb355ee8c4dba85b80bedb8d06353"/>
    </w:p>
    <w:p>
      <w:pPr>
        <w:pStyle w:val="2"/>
        <w:pageBreakBefore w:val="0"/>
        <w:kinsoku/>
        <w:wordWrap/>
        <w:overflowPunct/>
        <w:topLinePunct w:val="0"/>
        <w:bidi w:val="0"/>
        <w:adjustRightInd w:val="0"/>
        <w:snapToGrid w:val="0"/>
        <w:spacing w:after="0" w:afterAutospacing="0" w:line="360" w:lineRule="auto"/>
        <w:ind w:firstLine="400" w:firstLineChars="200"/>
        <w:rPr>
          <w:rFonts w:hint="eastAsia"/>
          <w:color w:val="auto"/>
          <w:highlight w:val="none"/>
          <w:lang w:val="en-US" w:eastAsia="zh-CN"/>
        </w:rPr>
      </w:pPr>
      <w:r>
        <w:rPr>
          <w:rFonts w:hint="eastAsia"/>
          <w:color w:val="auto"/>
          <w:sz w:val="20"/>
          <w:highlight w:val="none"/>
          <w:lang w:val="en-US" w:eastAsia="zh-CN"/>
        </w:rPr>
        <w:t xml:space="preserve"> </w:t>
      </w:r>
      <w:bookmarkEnd w:id="2"/>
    </w:p>
    <w:p>
      <w:pPr>
        <w:pStyle w:val="3"/>
        <w:pageBreakBefore w:val="0"/>
        <w:widowControl w:val="0"/>
        <w:kinsoku/>
        <w:wordWrap/>
        <w:overflowPunct/>
        <w:topLinePunct w:val="0"/>
        <w:autoSpaceDE/>
        <w:autoSpaceDN/>
        <w:bidi w:val="0"/>
        <w:adjustRightInd w:val="0"/>
        <w:snapToGrid w:val="0"/>
        <w:spacing w:before="0" w:after="313" w:afterLines="100" w:afterAutospacing="0" w:line="360" w:lineRule="auto"/>
        <w:ind w:firstLine="602" w:firstLineChars="200"/>
        <w:textAlignment w:val="auto"/>
        <w:rPr>
          <w:color w:val="auto"/>
          <w:highlight w:val="none"/>
        </w:rPr>
      </w:pPr>
      <w:bookmarkStart w:id="3" w:name="_Toc14775"/>
      <w:r>
        <w:rPr>
          <w:rFonts w:hint="eastAsia"/>
          <w:color w:val="auto"/>
          <w:highlight w:val="none"/>
        </w:rPr>
        <w:t>第1章 竞争性磋商邀请</w:t>
      </w:r>
      <w:bookmarkEnd w:id="3"/>
    </w:p>
    <w:p>
      <w:pPr>
        <w:pStyle w:val="26"/>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color w:val="auto"/>
          <w:highlight w:val="none"/>
          <w:u w:val="single"/>
        </w:rPr>
      </w:pPr>
      <w:r>
        <w:rPr>
          <w:rStyle w:val="27"/>
          <w:rFonts w:hint="eastAsia"/>
          <w:color w:val="auto"/>
          <w:highlight w:val="none"/>
        </w:rPr>
        <w:t>成都市温江区</w:t>
      </w:r>
      <w:r>
        <w:rPr>
          <w:rFonts w:hint="eastAsia"/>
          <w:b/>
          <w:color w:val="auto"/>
          <w:highlight w:val="none"/>
        </w:rPr>
        <w:t>公共资源交易服务中心</w:t>
      </w:r>
      <w:r>
        <w:rPr>
          <w:rFonts w:hint="eastAsia"/>
          <w:color w:val="auto"/>
          <w:highlight w:val="none"/>
        </w:rPr>
        <w:t>(以下简称“区公资交易中心”)受</w:t>
      </w:r>
      <w:r>
        <w:rPr>
          <w:rFonts w:hint="eastAsia" w:ascii="宋体" w:hAnsi="宋体" w:eastAsia="宋体" w:cstheme="minorBidi"/>
          <w:b/>
          <w:bCs/>
          <w:sz w:val="24"/>
          <w:szCs w:val="24"/>
          <w:u w:val="single"/>
        </w:rPr>
        <w:t>成都市温江区第二中学校</w:t>
      </w:r>
      <w:r>
        <w:rPr>
          <w:rFonts w:hint="eastAsia"/>
          <w:color w:val="auto"/>
          <w:highlight w:val="none"/>
        </w:rPr>
        <w:t>的委托，拟对</w:t>
      </w:r>
      <w:r>
        <w:rPr>
          <w:rFonts w:hint="eastAsia" w:ascii="宋体" w:hAnsi="宋体" w:eastAsia="宋体" w:cstheme="minorBidi"/>
          <w:b/>
          <w:bCs/>
          <w:sz w:val="24"/>
          <w:szCs w:val="24"/>
          <w:u w:val="single"/>
        </w:rPr>
        <w:t>多功能报告厅音视频系统建设改造</w:t>
      </w:r>
      <w:r>
        <w:rPr>
          <w:rFonts w:hint="eastAsia"/>
          <w:color w:val="auto"/>
          <w:highlight w:val="none"/>
          <w:lang w:eastAsia="zh-CN"/>
        </w:rPr>
        <w:t>项目</w:t>
      </w:r>
      <w:r>
        <w:rPr>
          <w:rFonts w:hint="eastAsia"/>
          <w:color w:val="auto"/>
          <w:highlight w:val="none"/>
        </w:rPr>
        <w:t>采用竞争性磋商采购方式进行采购，欢迎供应商参加该项目的竞争性磋商。</w:t>
      </w:r>
    </w:p>
    <w:p>
      <w:pPr>
        <w:pStyle w:val="26"/>
        <w:keepNext w:val="0"/>
        <w:keepLines w:val="0"/>
        <w:pageBreakBefore w:val="0"/>
        <w:widowControl w:val="0"/>
        <w:kinsoku/>
        <w:wordWrap/>
        <w:overflowPunct/>
        <w:topLinePunct w:val="0"/>
        <w:autoSpaceDE/>
        <w:autoSpaceDN/>
        <w:bidi w:val="0"/>
        <w:adjustRightInd w:val="0"/>
        <w:snapToGrid w:val="0"/>
        <w:spacing w:afterAutospacing="0" w:line="360" w:lineRule="auto"/>
        <w:textAlignment w:val="auto"/>
        <w:rPr>
          <w:rFonts w:hint="eastAsia" w:eastAsia="宋体"/>
          <w:b/>
          <w:color w:val="auto"/>
          <w:sz w:val="28"/>
          <w:szCs w:val="28"/>
          <w:highlight w:val="none"/>
          <w:u w:val="single"/>
          <w:lang w:val="en-US" w:eastAsia="zh-CN"/>
        </w:rPr>
      </w:pPr>
      <w:r>
        <w:rPr>
          <w:rFonts w:hint="eastAsia"/>
          <w:b/>
          <w:color w:val="auto"/>
          <w:highlight w:val="none"/>
        </w:rPr>
        <w:t>一、项目编号：</w:t>
      </w:r>
      <w:r>
        <w:rPr>
          <w:rFonts w:hint="eastAsia"/>
          <w:b/>
          <w:color w:val="auto"/>
          <w:highlight w:val="none"/>
          <w:lang w:eastAsia="zh-CN"/>
        </w:rPr>
        <w:t xml:space="preserve"> 温江政采（2021）A00</w:t>
      </w:r>
      <w:r>
        <w:rPr>
          <w:rFonts w:hint="eastAsia"/>
          <w:b/>
          <w:color w:val="auto"/>
          <w:highlight w:val="none"/>
          <w:lang w:val="en-US" w:eastAsia="zh-CN"/>
        </w:rPr>
        <w:t>62</w:t>
      </w:r>
      <w:r>
        <w:rPr>
          <w:rFonts w:hint="eastAsia"/>
          <w:b/>
          <w:color w:val="auto"/>
          <w:highlight w:val="none"/>
          <w:lang w:eastAsia="zh-CN"/>
        </w:rPr>
        <w:t>号</w:t>
      </w:r>
    </w:p>
    <w:p>
      <w:pPr>
        <w:pStyle w:val="26"/>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b/>
          <w:color w:val="auto"/>
          <w:highlight w:val="none"/>
        </w:rPr>
      </w:pPr>
      <w:r>
        <w:rPr>
          <w:rFonts w:hint="eastAsia"/>
          <w:b/>
          <w:color w:val="auto"/>
          <w:highlight w:val="none"/>
        </w:rPr>
        <w:t>（采</w:t>
      </w:r>
      <w:r>
        <w:rPr>
          <w:rFonts w:hint="eastAsia"/>
          <w:b/>
          <w:color w:val="auto"/>
          <w:sz w:val="24"/>
          <w:szCs w:val="24"/>
          <w:highlight w:val="none"/>
        </w:rPr>
        <w:t>购项目编号：</w:t>
      </w:r>
      <w:r>
        <w:rPr>
          <w:rFonts w:hint="eastAsia" w:ascii="宋体" w:hAnsi="宋体" w:eastAsia="宋体" w:cs="宋体"/>
          <w:b/>
          <w:bCs/>
          <w:i w:val="0"/>
          <w:iCs w:val="0"/>
          <w:caps w:val="0"/>
          <w:color w:val="333333"/>
          <w:spacing w:val="0"/>
          <w:sz w:val="24"/>
          <w:szCs w:val="24"/>
          <w:shd w:val="clear" w:fill="FFFFFF"/>
        </w:rPr>
        <w:t>510115202100213</w:t>
      </w:r>
      <w:r>
        <w:rPr>
          <w:rFonts w:hint="eastAsia" w:ascii="宋体" w:hAnsi="宋体" w:eastAsia="宋体" w:cs="宋体"/>
          <w:b/>
          <w:bCs/>
          <w:color w:val="auto"/>
          <w:sz w:val="24"/>
          <w:szCs w:val="24"/>
          <w:highlight w:val="none"/>
          <w:lang w:val="en-US" w:eastAsia="zh-CN"/>
        </w:rPr>
        <w:t xml:space="preserve"> </w:t>
      </w:r>
      <w:r>
        <w:rPr>
          <w:rFonts w:hint="eastAsia"/>
          <w:b/>
          <w:color w:val="auto"/>
          <w:sz w:val="24"/>
          <w:szCs w:val="24"/>
          <w:highlight w:val="none"/>
        </w:rPr>
        <w:t>）</w:t>
      </w:r>
    </w:p>
    <w:p>
      <w:pPr>
        <w:pStyle w:val="26"/>
        <w:keepNext w:val="0"/>
        <w:keepLines w:val="0"/>
        <w:pageBreakBefore w:val="0"/>
        <w:widowControl w:val="0"/>
        <w:numPr>
          <w:ilvl w:val="0"/>
          <w:numId w:val="2"/>
        </w:numPr>
        <w:kinsoku/>
        <w:wordWrap/>
        <w:overflowPunct/>
        <w:topLinePunct w:val="0"/>
        <w:autoSpaceDE/>
        <w:autoSpaceDN/>
        <w:bidi w:val="0"/>
        <w:adjustRightInd w:val="0"/>
        <w:snapToGrid w:val="0"/>
        <w:spacing w:afterAutospacing="0" w:line="360" w:lineRule="auto"/>
        <w:ind w:firstLine="482" w:firstLineChars="200"/>
        <w:textAlignment w:val="auto"/>
        <w:rPr>
          <w:rFonts w:hint="eastAsia" w:ascii="宋体" w:hAnsi="宋体" w:eastAsia="宋体" w:cs="宋体"/>
          <w:b/>
          <w:bCs w:val="0"/>
          <w:i w:val="0"/>
          <w:iCs w:val="0"/>
          <w:caps w:val="0"/>
          <w:color w:val="333333"/>
          <w:spacing w:val="0"/>
          <w:sz w:val="21"/>
          <w:szCs w:val="21"/>
          <w:shd w:val="clear" w:fill="FFFFFF"/>
        </w:rPr>
      </w:pPr>
      <w:r>
        <w:rPr>
          <w:rFonts w:hint="eastAsia"/>
          <w:b/>
          <w:bCs w:val="0"/>
          <w:color w:val="auto"/>
          <w:highlight w:val="none"/>
        </w:rPr>
        <w:t>项目名称</w:t>
      </w:r>
      <w:r>
        <w:rPr>
          <w:rFonts w:hint="eastAsia"/>
          <w:b/>
          <w:bCs w:val="0"/>
          <w:color w:val="auto"/>
          <w:sz w:val="24"/>
          <w:szCs w:val="24"/>
          <w:highlight w:val="none"/>
        </w:rPr>
        <w:t>：</w:t>
      </w:r>
      <w:r>
        <w:rPr>
          <w:rFonts w:hint="eastAsia" w:cs="宋体"/>
          <w:b/>
          <w:bCs w:val="0"/>
          <w:i w:val="0"/>
          <w:iCs w:val="0"/>
          <w:caps w:val="0"/>
          <w:color w:val="333333"/>
          <w:spacing w:val="0"/>
          <w:sz w:val="24"/>
          <w:szCs w:val="24"/>
          <w:shd w:val="clear" w:fill="FFFFFF"/>
          <w:lang w:eastAsia="zh-CN"/>
        </w:rPr>
        <w:t>成都市温江区第二中学校多功能报告厅音视频系统建设改造项目</w:t>
      </w:r>
    </w:p>
    <w:p>
      <w:pPr>
        <w:pStyle w:val="26"/>
        <w:keepNext w:val="0"/>
        <w:keepLines w:val="0"/>
        <w:pageBreakBefore w:val="0"/>
        <w:widowControl w:val="0"/>
        <w:numPr>
          <w:ilvl w:val="0"/>
          <w:numId w:val="2"/>
        </w:numPr>
        <w:kinsoku/>
        <w:wordWrap/>
        <w:overflowPunct/>
        <w:topLinePunct w:val="0"/>
        <w:autoSpaceDE/>
        <w:autoSpaceDN/>
        <w:bidi w:val="0"/>
        <w:adjustRightInd w:val="0"/>
        <w:snapToGrid w:val="0"/>
        <w:spacing w:afterAutospacing="0" w:line="360" w:lineRule="auto"/>
        <w:ind w:firstLine="482" w:firstLineChars="200"/>
        <w:textAlignment w:val="auto"/>
        <w:rPr>
          <w:rFonts w:hint="default" w:eastAsia="宋体"/>
          <w:color w:val="auto"/>
          <w:highlight w:val="none"/>
          <w:lang w:val="en-US" w:eastAsia="zh-CN"/>
        </w:rPr>
      </w:pPr>
      <w:r>
        <w:rPr>
          <w:rFonts w:hint="eastAsia"/>
          <w:b/>
          <w:color w:val="auto"/>
          <w:highlight w:val="none"/>
        </w:rPr>
        <w:t>资金来源、预算金额：</w:t>
      </w:r>
      <w:r>
        <w:rPr>
          <w:rFonts w:hint="eastAsia"/>
          <w:color w:val="auto"/>
          <w:highlight w:val="none"/>
        </w:rPr>
        <w:t>财政性资金，预算金额：</w:t>
      </w:r>
      <w:bookmarkStart w:id="4" w:name="EB8cb0824450004d98ba5094f18d4b8c41"/>
      <w:r>
        <w:rPr>
          <w:rFonts w:hint="eastAsia"/>
          <w:color w:val="auto"/>
          <w:highlight w:val="none"/>
          <w:lang w:val="en-US" w:eastAsia="zh-CN"/>
        </w:rPr>
        <w:t>166.76万</w:t>
      </w:r>
      <w:r>
        <w:rPr>
          <w:rFonts w:hint="eastAsia"/>
          <w:color w:val="auto"/>
          <w:highlight w:val="none"/>
        </w:rPr>
        <w:t>元</w:t>
      </w:r>
      <w:r>
        <w:rPr>
          <w:rFonts w:hint="eastAsia"/>
          <w:color w:val="auto"/>
          <w:highlight w:val="none"/>
          <w:lang w:eastAsia="zh-CN"/>
        </w:rPr>
        <w:t>，</w:t>
      </w:r>
      <w:r>
        <w:rPr>
          <w:rFonts w:hint="eastAsia"/>
          <w:color w:val="auto"/>
          <w:highlight w:val="none"/>
          <w:lang w:val="en-US" w:eastAsia="zh-CN"/>
        </w:rPr>
        <w:t>最高限价：166.76万</w:t>
      </w:r>
      <w:r>
        <w:rPr>
          <w:rFonts w:hint="eastAsia"/>
          <w:color w:val="auto"/>
          <w:highlight w:val="none"/>
        </w:rPr>
        <w:t>元</w:t>
      </w:r>
      <w:r>
        <w:rPr>
          <w:rFonts w:hint="eastAsia"/>
          <w:color w:val="auto"/>
          <w:highlight w:val="none"/>
          <w:lang w:eastAsia="zh-CN"/>
        </w:rPr>
        <w:t>。</w:t>
      </w:r>
      <w:r>
        <w:rPr>
          <w:rFonts w:hint="eastAsia"/>
          <w:color w:val="auto"/>
          <w:highlight w:val="none"/>
        </w:rPr>
        <w:t>预算品目</w:t>
      </w:r>
      <w:r>
        <w:rPr>
          <w:rFonts w:hint="eastAsia" w:ascii="宋体" w:hAnsi="宋体" w:eastAsia="宋体" w:cs="宋体"/>
          <w:color w:val="auto"/>
          <w:sz w:val="24"/>
          <w:szCs w:val="24"/>
          <w:highlight w:val="none"/>
        </w:rPr>
        <w:t>：</w:t>
      </w:r>
      <w:r>
        <w:rPr>
          <w:rFonts w:hint="eastAsia" w:ascii="宋体" w:hAnsi="宋体" w:eastAsia="宋体" w:cs="宋体"/>
          <w:i w:val="0"/>
          <w:iCs w:val="0"/>
          <w:caps w:val="0"/>
          <w:color w:val="333333"/>
          <w:spacing w:val="0"/>
          <w:sz w:val="24"/>
          <w:szCs w:val="24"/>
          <w:shd w:val="clear" w:fill="FFFFFF"/>
        </w:rPr>
        <w:t>A033412教学专用仪器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政府</w:t>
      </w:r>
      <w:r>
        <w:rPr>
          <w:rFonts w:hint="eastAsia"/>
          <w:color w:val="auto"/>
          <w:highlight w:val="none"/>
        </w:rPr>
        <w:t>采购计划文号</w:t>
      </w:r>
      <w:r>
        <w:rPr>
          <w:rFonts w:hint="eastAsia" w:ascii="宋体" w:hAnsi="宋体" w:eastAsia="宋体" w:cs="宋体"/>
          <w:color w:val="auto"/>
          <w:highlight w:val="none"/>
        </w:rPr>
        <w:t>：</w:t>
      </w:r>
      <w:bookmarkEnd w:id="4"/>
      <w:r>
        <w:rPr>
          <w:rFonts w:hint="eastAsia" w:ascii="宋体" w:hAnsi="宋体" w:eastAsia="宋体" w:cs="宋体"/>
          <w:i w:val="0"/>
          <w:iCs w:val="0"/>
          <w:caps w:val="0"/>
          <w:color w:val="auto"/>
          <w:spacing w:val="0"/>
          <w:sz w:val="24"/>
          <w:szCs w:val="24"/>
          <w:u w:val="none"/>
        </w:rPr>
        <w:fldChar w:fldCharType="begin"/>
      </w:r>
      <w:r>
        <w:rPr>
          <w:rFonts w:hint="eastAsia" w:ascii="宋体" w:hAnsi="宋体" w:eastAsia="宋体" w:cs="宋体"/>
          <w:i w:val="0"/>
          <w:iCs w:val="0"/>
          <w:caps w:val="0"/>
          <w:color w:val="auto"/>
          <w:spacing w:val="0"/>
          <w:sz w:val="24"/>
          <w:szCs w:val="24"/>
          <w:u w:val="none"/>
        </w:rPr>
        <w:instrText xml:space="preserve"> HYPERLINK "https://pay.zcygov.cn/purchaseplan_front/" \l "/plan/list/detail?id=1000000000006336984&amp;encrypt=27ec95657399a8761657eb582b7d7cd5" \t "https://www.zcygov.cn/project-center/purchasePlans/_blank" </w:instrText>
      </w:r>
      <w:r>
        <w:rPr>
          <w:rFonts w:hint="eastAsia" w:ascii="宋体" w:hAnsi="宋体" w:eastAsia="宋体" w:cs="宋体"/>
          <w:i w:val="0"/>
          <w:iCs w:val="0"/>
          <w:caps w:val="0"/>
          <w:color w:val="auto"/>
          <w:spacing w:val="0"/>
          <w:sz w:val="24"/>
          <w:szCs w:val="24"/>
          <w:u w:val="none"/>
        </w:rPr>
        <w:fldChar w:fldCharType="separate"/>
      </w:r>
      <w:r>
        <w:rPr>
          <w:rStyle w:val="24"/>
          <w:rFonts w:hint="eastAsia" w:ascii="宋体" w:hAnsi="宋体" w:eastAsia="宋体" w:cs="宋体"/>
          <w:i w:val="0"/>
          <w:iCs w:val="0"/>
          <w:caps w:val="0"/>
          <w:color w:val="auto"/>
          <w:spacing w:val="0"/>
          <w:sz w:val="24"/>
          <w:szCs w:val="24"/>
          <w:u w:val="none"/>
        </w:rPr>
        <w:t>SCZC510115605613_20210003</w:t>
      </w:r>
      <w:r>
        <w:rPr>
          <w:rFonts w:hint="eastAsia" w:ascii="宋体" w:hAnsi="宋体" w:eastAsia="宋体" w:cs="宋体"/>
          <w:i w:val="0"/>
          <w:iCs w:val="0"/>
          <w:caps w:val="0"/>
          <w:color w:val="auto"/>
          <w:spacing w:val="0"/>
          <w:sz w:val="24"/>
          <w:szCs w:val="24"/>
          <w:u w:val="none"/>
        </w:rPr>
        <w:fldChar w:fldCharType="end"/>
      </w:r>
      <w:r>
        <w:rPr>
          <w:rFonts w:hint="eastAsia" w:ascii="宋体" w:hAnsi="宋体" w:eastAsia="宋体" w:cs="宋体"/>
          <w:color w:val="auto"/>
          <w:sz w:val="24"/>
          <w:szCs w:val="24"/>
          <w:highlight w:val="none"/>
          <w:lang w:val="en-US" w:eastAsia="zh-CN"/>
        </w:rPr>
        <w:t>。</w:t>
      </w:r>
    </w:p>
    <w:p>
      <w:pPr>
        <w:pStyle w:val="26"/>
        <w:keepNext w:val="0"/>
        <w:keepLines w:val="0"/>
        <w:pageBreakBefore w:val="0"/>
        <w:widowControl w:val="0"/>
        <w:kinsoku/>
        <w:wordWrap/>
        <w:overflowPunct/>
        <w:topLinePunct w:val="0"/>
        <w:autoSpaceDE/>
        <w:autoSpaceDN/>
        <w:bidi w:val="0"/>
        <w:adjustRightInd w:val="0"/>
        <w:snapToGrid w:val="0"/>
        <w:spacing w:afterAutospacing="0" w:line="360" w:lineRule="auto"/>
        <w:ind w:firstLine="482" w:firstLineChars="200"/>
        <w:textAlignment w:val="auto"/>
        <w:rPr>
          <w:b/>
          <w:color w:val="auto"/>
          <w:highlight w:val="none"/>
        </w:rPr>
      </w:pPr>
      <w:r>
        <w:rPr>
          <w:rFonts w:hint="eastAsia"/>
          <w:b/>
          <w:color w:val="auto"/>
          <w:highlight w:val="none"/>
          <w:lang w:eastAsia="zh-CN"/>
        </w:rPr>
        <w:t>四、</w:t>
      </w:r>
      <w:r>
        <w:rPr>
          <w:rFonts w:hint="eastAsia"/>
          <w:b/>
          <w:color w:val="auto"/>
          <w:highlight w:val="none"/>
        </w:rPr>
        <w:t>供应商参加本次政府采购活动应具备的条件</w:t>
      </w:r>
    </w:p>
    <w:p>
      <w:pPr>
        <w:pStyle w:val="26"/>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highlight w:val="none"/>
          <w:lang w:eastAsia="zh-CN"/>
        </w:rPr>
      </w:pPr>
      <w:bookmarkStart w:id="5" w:name="EBaaacd4918dc94d53a5d0c76b9fa8f5f3"/>
      <w:r>
        <w:rPr>
          <w:rFonts w:hint="eastAsia"/>
          <w:color w:val="auto"/>
          <w:highlight w:val="none"/>
          <w:lang w:eastAsia="zh-CN"/>
        </w:rPr>
        <w:t>（一）符合《中华人民共和国政府采购法》第二十二条第一款的相关规定；</w:t>
      </w:r>
    </w:p>
    <w:p>
      <w:pPr>
        <w:pStyle w:val="26"/>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未被列入失信被执行人、重大税收违法案件当事人名单、政府采购严重违法失信行为记录名单；</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lang w:eastAsia="zh-CN"/>
        </w:rPr>
        <w:t>（三）在行贿犯罪信息查询期限内，供应商及其现任法定代表人、主要负责人没有行贿犯罪记录；</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lang w:eastAsia="zh-CN"/>
        </w:rPr>
        <w:t>（四）未处于被行政部门禁止参与政府采购活动的期限内；</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lang w:eastAsia="zh-CN"/>
        </w:rPr>
        <w:t>（五）不属于其他国家相关法律法规规定的禁止参加磋商的供应商；</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lang w:eastAsia="zh-CN"/>
        </w:rPr>
        <w:t>（六）在中华人民共和国境内依法登记注册，并有效存续具有独立法人资格的供应商；</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lang w:eastAsia="zh-CN"/>
        </w:rPr>
        <w:t>（七）本次政府采购活动</w:t>
      </w:r>
      <w:r>
        <w:rPr>
          <w:rFonts w:hint="eastAsia"/>
          <w:b/>
          <w:bCs/>
          <w:color w:val="auto"/>
          <w:highlight w:val="none"/>
          <w:lang w:eastAsia="zh-CN"/>
        </w:rPr>
        <w:t>不接受</w:t>
      </w:r>
      <w:r>
        <w:rPr>
          <w:rFonts w:hint="eastAsia"/>
          <w:color w:val="auto"/>
          <w:highlight w:val="none"/>
          <w:lang w:eastAsia="zh-CN"/>
        </w:rPr>
        <w:t>供应商以联合体的形式参加磋商。</w:t>
      </w:r>
      <w:bookmarkEnd w:id="5"/>
    </w:p>
    <w:p>
      <w:pPr>
        <w:pStyle w:val="26"/>
        <w:pageBreakBefore w:val="0"/>
        <w:kinsoku/>
        <w:wordWrap/>
        <w:overflowPunct/>
        <w:topLinePunct w:val="0"/>
        <w:bidi w:val="0"/>
        <w:adjustRightInd w:val="0"/>
        <w:snapToGrid w:val="0"/>
        <w:spacing w:afterAutospacing="0" w:line="360" w:lineRule="auto"/>
        <w:ind w:firstLine="482" w:firstLineChars="200"/>
        <w:rPr>
          <w:rFonts w:hint="eastAsia" w:ascii="宋体" w:hAnsi="宋体" w:cs="Times New Roman"/>
          <w:b/>
          <w:color w:val="auto"/>
          <w:kern w:val="10"/>
          <w:sz w:val="24"/>
          <w:szCs w:val="20"/>
          <w:highlight w:val="none"/>
          <w:lang w:val="en-US" w:eastAsia="zh-CN" w:bidi="ar-SA"/>
        </w:rPr>
      </w:pPr>
      <w:r>
        <w:rPr>
          <w:rFonts w:hint="eastAsia" w:cs="Times New Roman"/>
          <w:b/>
          <w:color w:val="auto"/>
          <w:kern w:val="10"/>
          <w:sz w:val="24"/>
          <w:szCs w:val="20"/>
          <w:highlight w:val="none"/>
          <w:lang w:val="en-US" w:eastAsia="zh-CN" w:bidi="ar-SA"/>
        </w:rPr>
        <w:t>五</w:t>
      </w:r>
      <w:r>
        <w:rPr>
          <w:rFonts w:hint="eastAsia" w:ascii="宋体" w:hAnsi="宋体" w:cs="Times New Roman"/>
          <w:b/>
          <w:color w:val="auto"/>
          <w:kern w:val="10"/>
          <w:sz w:val="24"/>
          <w:szCs w:val="20"/>
          <w:highlight w:val="none"/>
          <w:lang w:val="en-US" w:eastAsia="zh-CN" w:bidi="ar-SA"/>
        </w:rPr>
        <w:t>、</w:t>
      </w:r>
      <w:r>
        <w:rPr>
          <w:rFonts w:hint="eastAsia" w:ascii="宋体" w:hAnsi="宋体"/>
          <w:b/>
          <w:color w:val="auto"/>
          <w:sz w:val="28"/>
          <w:szCs w:val="28"/>
          <w:highlight w:val="none"/>
        </w:rPr>
        <w:t>采购项目技术、服务、商务和报价要求</w:t>
      </w:r>
    </w:p>
    <w:p>
      <w:pPr>
        <w:pageBreakBefore w:val="0"/>
        <w:kinsoku/>
        <w:wordWrap/>
        <w:overflowPunct/>
        <w:topLinePunct w:val="0"/>
        <w:bidi w:val="0"/>
        <w:adjustRightInd w:val="0"/>
        <w:snapToGrid w:val="0"/>
        <w:spacing w:afterAutospacing="0" w:line="360" w:lineRule="auto"/>
        <w:ind w:firstLine="480" w:firstLineChars="200"/>
        <w:rPr>
          <w:rFonts w:hint="eastAsia" w:cs="Times New Roman"/>
          <w:color w:val="auto"/>
          <w:kern w:val="10"/>
          <w:sz w:val="24"/>
          <w:szCs w:val="20"/>
          <w:highlight w:val="yellow"/>
          <w:lang w:eastAsia="zh-CN"/>
        </w:rPr>
      </w:pPr>
      <w:r>
        <w:rPr>
          <w:rFonts w:hint="eastAsia" w:cs="Times New Roman"/>
          <w:color w:val="auto"/>
          <w:kern w:val="10"/>
          <w:sz w:val="24"/>
          <w:szCs w:val="20"/>
          <w:highlight w:val="none"/>
          <w:lang w:eastAsia="zh-CN"/>
        </w:rPr>
        <w:t>（一）</w:t>
      </w:r>
      <w:r>
        <w:rPr>
          <w:rFonts w:hint="eastAsia" w:ascii="宋体" w:hAnsi="宋体" w:cs="Times New Roman"/>
          <w:color w:val="auto"/>
          <w:kern w:val="10"/>
          <w:sz w:val="24"/>
          <w:szCs w:val="20"/>
          <w:highlight w:val="none"/>
        </w:rPr>
        <w:t>采购内容</w:t>
      </w:r>
      <w:r>
        <w:rPr>
          <w:rFonts w:hint="eastAsia" w:cs="Times New Roman"/>
          <w:color w:val="auto"/>
          <w:kern w:val="10"/>
          <w:sz w:val="24"/>
          <w:szCs w:val="20"/>
          <w:highlight w:val="none"/>
          <w:lang w:eastAsia="zh-CN"/>
        </w:rPr>
        <w:t>：</w:t>
      </w:r>
    </w:p>
    <w:p>
      <w:pPr>
        <w:pStyle w:val="2"/>
        <w:rPr>
          <w:rFonts w:hint="eastAsia" w:cs="Times New Roman"/>
          <w:color w:val="auto"/>
          <w:kern w:val="10"/>
          <w:sz w:val="24"/>
          <w:szCs w:val="20"/>
          <w:highlight w:val="none"/>
          <w:lang w:eastAsia="zh-CN"/>
        </w:rPr>
      </w:pPr>
    </w:p>
    <w:p>
      <w:pPr>
        <w:rPr>
          <w:rFonts w:hint="eastAsia" w:cs="Times New Roman"/>
          <w:color w:val="auto"/>
          <w:kern w:val="10"/>
          <w:sz w:val="24"/>
          <w:szCs w:val="20"/>
          <w:highlight w:val="none"/>
          <w:lang w:eastAsia="zh-CN"/>
        </w:rPr>
      </w:pPr>
    </w:p>
    <w:p>
      <w:pPr>
        <w:pStyle w:val="2"/>
        <w:rPr>
          <w:rFonts w:hint="eastAsia" w:cs="Times New Roman"/>
          <w:color w:val="auto"/>
          <w:kern w:val="10"/>
          <w:sz w:val="24"/>
          <w:szCs w:val="20"/>
          <w:highlight w:val="none"/>
          <w:lang w:eastAsia="zh-CN"/>
        </w:rPr>
      </w:pPr>
    </w:p>
    <w:p>
      <w:pPr>
        <w:rPr>
          <w:rFonts w:hint="eastAsia" w:cs="Times New Roman"/>
          <w:color w:val="auto"/>
          <w:kern w:val="10"/>
          <w:sz w:val="24"/>
          <w:szCs w:val="20"/>
          <w:highlight w:val="none"/>
          <w:lang w:eastAsia="zh-CN"/>
        </w:rPr>
      </w:pPr>
    </w:p>
    <w:p>
      <w:pPr>
        <w:pStyle w:val="2"/>
        <w:keepNext w:val="0"/>
        <w:keepLines w:val="0"/>
        <w:pageBreakBefore w:val="0"/>
        <w:kinsoku/>
        <w:wordWrap/>
        <w:overflowPunct/>
        <w:topLinePunct w:val="0"/>
        <w:autoSpaceDE/>
        <w:autoSpaceDN/>
        <w:bidi w:val="0"/>
        <w:adjustRightInd w:val="0"/>
        <w:snapToGrid w:val="0"/>
        <w:spacing w:after="0"/>
        <w:ind w:firstLine="0" w:firstLineChars="0"/>
        <w:textAlignment w:val="auto"/>
        <w:rPr>
          <w:rFonts w:hint="eastAsia"/>
          <w:lang w:eastAsia="zh-CN"/>
        </w:rPr>
      </w:pPr>
    </w:p>
    <w:tbl>
      <w:tblPr>
        <w:tblStyle w:val="20"/>
        <w:tblW w:w="8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557"/>
        <w:gridCol w:w="1300"/>
        <w:gridCol w:w="1734"/>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noWrap/>
            <w:vAlign w:val="center"/>
          </w:tcPr>
          <w:p>
            <w:pPr>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ascii="宋体" w:hAnsi="宋体" w:cs="宋体"/>
                <w:b/>
                <w:bCs/>
                <w:sz w:val="18"/>
                <w:szCs w:val="18"/>
              </w:rPr>
            </w:pPr>
            <w:r>
              <w:rPr>
                <w:rFonts w:hint="eastAsia" w:ascii="宋体" w:hAnsi="宋体" w:cs="宋体"/>
                <w:b/>
                <w:bCs/>
                <w:sz w:val="18"/>
                <w:szCs w:val="18"/>
              </w:rPr>
              <w:t>序号</w:t>
            </w:r>
          </w:p>
        </w:tc>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ascii="宋体" w:hAnsi="宋体" w:cs="宋体"/>
                <w:b/>
                <w:bCs/>
                <w:sz w:val="18"/>
                <w:szCs w:val="18"/>
              </w:rPr>
            </w:pPr>
            <w:r>
              <w:rPr>
                <w:rFonts w:hint="eastAsia" w:ascii="宋体" w:hAnsi="宋体" w:cs="宋体"/>
                <w:b/>
                <w:bCs/>
                <w:sz w:val="18"/>
                <w:szCs w:val="18"/>
                <w:lang w:val="en-US" w:eastAsia="zh-CN"/>
              </w:rPr>
              <w:t>标的</w:t>
            </w:r>
            <w:r>
              <w:rPr>
                <w:rFonts w:hint="eastAsia" w:ascii="宋体" w:hAnsi="宋体" w:cs="宋体"/>
                <w:b/>
                <w:bCs/>
                <w:sz w:val="18"/>
                <w:szCs w:val="18"/>
              </w:rPr>
              <w:t>名称</w:t>
            </w:r>
          </w:p>
        </w:tc>
        <w:tc>
          <w:tcPr>
            <w:tcW w:w="1300" w:type="dxa"/>
            <w:noWrap/>
            <w:vAlign w:val="center"/>
          </w:tcPr>
          <w:p>
            <w:pPr>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ascii="宋体" w:hAnsi="宋体" w:cs="宋体"/>
                <w:b/>
                <w:bCs/>
                <w:sz w:val="18"/>
                <w:szCs w:val="18"/>
              </w:rPr>
            </w:pPr>
            <w:r>
              <w:rPr>
                <w:rFonts w:hint="eastAsia" w:ascii="宋体" w:hAnsi="宋体" w:cs="宋体"/>
                <w:b/>
                <w:bCs/>
                <w:sz w:val="18"/>
                <w:szCs w:val="18"/>
              </w:rPr>
              <w:t>数量</w:t>
            </w:r>
          </w:p>
        </w:tc>
        <w:tc>
          <w:tcPr>
            <w:tcW w:w="1734" w:type="dxa"/>
            <w:noWrap/>
            <w:vAlign w:val="center"/>
          </w:tcPr>
          <w:p>
            <w:pPr>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ascii="宋体" w:hAnsi="宋体" w:cs="宋体"/>
                <w:b/>
                <w:bCs/>
                <w:sz w:val="18"/>
                <w:szCs w:val="18"/>
              </w:rPr>
            </w:pPr>
            <w:r>
              <w:rPr>
                <w:rFonts w:hint="eastAsia" w:ascii="宋体" w:hAnsi="宋体" w:cs="宋体"/>
                <w:b/>
                <w:bCs/>
                <w:sz w:val="18"/>
                <w:szCs w:val="18"/>
              </w:rPr>
              <w:t>单位</w:t>
            </w:r>
          </w:p>
        </w:tc>
        <w:tc>
          <w:tcPr>
            <w:tcW w:w="2166" w:type="dxa"/>
            <w:noWrap/>
            <w:vAlign w:val="center"/>
          </w:tcPr>
          <w:p>
            <w:pPr>
              <w:keepNext w:val="0"/>
              <w:keepLines w:val="0"/>
              <w:pageBreakBefore w:val="0"/>
              <w:widowControl w:val="0"/>
              <w:kinsoku/>
              <w:wordWrap/>
              <w:overflowPunct/>
              <w:topLinePunct w:val="0"/>
              <w:autoSpaceDE/>
              <w:autoSpaceDN/>
              <w:bidi w:val="0"/>
              <w:adjustRightInd w:val="0"/>
              <w:snapToGrid w:val="0"/>
              <w:spacing w:before="0"/>
              <w:ind w:firstLine="0" w:firstLineChars="0"/>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2" w:type="dxa"/>
            <w:gridSpan w:val="5"/>
            <w:noWrap/>
            <w:vAlign w:val="center"/>
          </w:tcPr>
          <w:p>
            <w:pPr>
              <w:keepNext w:val="0"/>
              <w:keepLines w:val="0"/>
              <w:pageBreakBefore w:val="0"/>
              <w:kinsoku/>
              <w:wordWrap/>
              <w:overflowPunct/>
              <w:topLinePunct w:val="0"/>
              <w:autoSpaceDE/>
              <w:autoSpaceDN/>
              <w:bidi w:val="0"/>
              <w:adjustRightInd w:val="0"/>
              <w:snapToGrid w:val="0"/>
              <w:spacing w:before="0"/>
              <w:ind w:firstLine="0" w:firstLineChars="0"/>
              <w:jc w:val="center"/>
              <w:textAlignment w:val="auto"/>
              <w:rPr>
                <w:rFonts w:hint="default" w:ascii="宋体" w:hAnsi="宋体" w:cs="宋体"/>
                <w:b/>
                <w:bCs/>
                <w:sz w:val="18"/>
                <w:szCs w:val="18"/>
                <w:lang w:val="en-US" w:eastAsia="zh-CN"/>
              </w:rPr>
            </w:pPr>
            <w:r>
              <w:rPr>
                <w:rFonts w:hint="eastAsia" w:ascii="宋体" w:hAnsi="宋体" w:eastAsia="宋体" w:cs="宋体"/>
                <w:b/>
                <w:bCs/>
                <w:color w:val="000000"/>
                <w:kern w:val="0"/>
                <w:sz w:val="18"/>
                <w:szCs w:val="18"/>
              </w:rPr>
              <w:t>一、舞台灯光系统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1</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LED面光灯</w:t>
            </w:r>
          </w:p>
        </w:tc>
        <w:tc>
          <w:tcPr>
            <w:tcW w:w="1300"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12</w:t>
            </w:r>
          </w:p>
        </w:tc>
        <w:tc>
          <w:tcPr>
            <w:tcW w:w="1734"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台</w:t>
            </w:r>
          </w:p>
        </w:tc>
        <w:tc>
          <w:tcPr>
            <w:tcW w:w="2166"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2</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效果灯</w:t>
            </w:r>
          </w:p>
        </w:tc>
        <w:tc>
          <w:tcPr>
            <w:tcW w:w="1300"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24</w:t>
            </w:r>
          </w:p>
        </w:tc>
        <w:tc>
          <w:tcPr>
            <w:tcW w:w="1734"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台</w:t>
            </w:r>
          </w:p>
        </w:tc>
        <w:tc>
          <w:tcPr>
            <w:tcW w:w="2166"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lang w:val="en-US" w:eastAsia="zh-CN"/>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3</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电脑摇头灯</w:t>
            </w:r>
          </w:p>
        </w:tc>
        <w:tc>
          <w:tcPr>
            <w:tcW w:w="1300"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4</w:t>
            </w:r>
          </w:p>
        </w:tc>
        <w:tc>
          <w:tcPr>
            <w:tcW w:w="1734"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台</w:t>
            </w:r>
          </w:p>
        </w:tc>
        <w:tc>
          <w:tcPr>
            <w:tcW w:w="2166"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lang w:val="en-US" w:eastAsia="zh-CN"/>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4</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LED平板灯</w:t>
            </w:r>
          </w:p>
        </w:tc>
        <w:tc>
          <w:tcPr>
            <w:tcW w:w="1300"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5</w:t>
            </w:r>
          </w:p>
        </w:tc>
        <w:tc>
          <w:tcPr>
            <w:tcW w:w="1734"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台</w:t>
            </w:r>
          </w:p>
        </w:tc>
        <w:tc>
          <w:tcPr>
            <w:tcW w:w="2166"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18"/>
                <w:szCs w:val="18"/>
                <w:lang w:val="en-US" w:eastAsia="zh-CN"/>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5</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电脑灯光控制台</w:t>
            </w:r>
          </w:p>
        </w:tc>
        <w:tc>
          <w:tcPr>
            <w:tcW w:w="1300"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1</w:t>
            </w:r>
          </w:p>
        </w:tc>
        <w:tc>
          <w:tcPr>
            <w:tcW w:w="1734"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台</w:t>
            </w:r>
          </w:p>
        </w:tc>
        <w:tc>
          <w:tcPr>
            <w:tcW w:w="2166"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lang w:val="en-US" w:eastAsia="zh-CN"/>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6</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LED背景会议灯</w:t>
            </w:r>
          </w:p>
        </w:tc>
        <w:tc>
          <w:tcPr>
            <w:tcW w:w="1300"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4</w:t>
            </w:r>
          </w:p>
        </w:tc>
        <w:tc>
          <w:tcPr>
            <w:tcW w:w="1734"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台</w:t>
            </w:r>
          </w:p>
        </w:tc>
        <w:tc>
          <w:tcPr>
            <w:tcW w:w="2166" w:type="dxa"/>
            <w:shd w:val="clear" w:color="000000" w:fill="FFFFFF"/>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lang w:val="en-US" w:eastAsia="zh-CN"/>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7</w:t>
            </w:r>
          </w:p>
        </w:tc>
        <w:tc>
          <w:tcPr>
            <w:tcW w:w="2557"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24路电源直通柜</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2</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台</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lang w:val="en-US" w:eastAsia="zh-CN"/>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8</w:t>
            </w:r>
          </w:p>
        </w:tc>
        <w:tc>
          <w:tcPr>
            <w:tcW w:w="2557"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信号放大器</w:t>
            </w: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6</w:t>
            </w:r>
          </w:p>
        </w:tc>
        <w:tc>
          <w:tcPr>
            <w:tcW w:w="1734"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台</w:t>
            </w:r>
          </w:p>
        </w:tc>
        <w:tc>
          <w:tcPr>
            <w:tcW w:w="2166"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9</w:t>
            </w:r>
          </w:p>
        </w:tc>
        <w:tc>
          <w:tcPr>
            <w:tcW w:w="2557"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highlight w:val="none"/>
              </w:rPr>
              <w:t>2联控制台</w:t>
            </w: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1</w:t>
            </w:r>
          </w:p>
        </w:tc>
        <w:tc>
          <w:tcPr>
            <w:tcW w:w="1734"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套</w:t>
            </w:r>
          </w:p>
        </w:tc>
        <w:tc>
          <w:tcPr>
            <w:tcW w:w="2166"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i w:val="0"/>
                <w:iCs w:val="0"/>
                <w:color w:val="000000"/>
                <w:kern w:val="2"/>
                <w:sz w:val="18"/>
                <w:szCs w:val="18"/>
                <w:u w:val="none"/>
                <w:lang w:val="en-US" w:eastAsia="zh-CN" w:bidi="ar-SA"/>
              </w:rPr>
            </w:pPr>
            <w:r>
              <w:rPr>
                <w:rFonts w:hint="eastAsia" w:cs="宋体"/>
                <w:i w:val="0"/>
                <w:iCs w:val="0"/>
                <w:color w:val="000000"/>
                <w:kern w:val="2"/>
                <w:sz w:val="18"/>
                <w:szCs w:val="18"/>
                <w:u w:val="none"/>
                <w:lang w:val="en-US" w:eastAsia="zh-CN" w:bidi="ar-SA"/>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10</w:t>
            </w:r>
          </w:p>
        </w:tc>
        <w:tc>
          <w:tcPr>
            <w:tcW w:w="2557" w:type="dxa"/>
            <w:shd w:val="clear" w:color="000000" w:fill="FFFFFF"/>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专业灯钩</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98</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套</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11</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灯具保险绳</w:t>
            </w:r>
          </w:p>
        </w:tc>
        <w:tc>
          <w:tcPr>
            <w:tcW w:w="1300" w:type="dxa"/>
            <w:shd w:val="clear" w:color="FFFFFF" w:fill="FFFFFF"/>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74</w:t>
            </w:r>
          </w:p>
        </w:tc>
        <w:tc>
          <w:tcPr>
            <w:tcW w:w="1734" w:type="dxa"/>
            <w:shd w:val="clear" w:color="FFFFFF" w:fill="FFFFFF"/>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根</w:t>
            </w:r>
          </w:p>
        </w:tc>
        <w:tc>
          <w:tcPr>
            <w:tcW w:w="2166" w:type="dxa"/>
            <w:shd w:val="clear" w:color="FFFFFF" w:fill="FFFFFF"/>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highlight w:val="red"/>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12</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信号线</w:t>
            </w:r>
          </w:p>
        </w:tc>
        <w:tc>
          <w:tcPr>
            <w:tcW w:w="1300" w:type="dxa"/>
            <w:shd w:val="clear" w:color="FFFFFF" w:fill="FFFFFF"/>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300</w:t>
            </w:r>
          </w:p>
        </w:tc>
        <w:tc>
          <w:tcPr>
            <w:tcW w:w="1734" w:type="dxa"/>
            <w:shd w:val="clear" w:color="FFFFFF" w:fill="FFFFFF"/>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米</w:t>
            </w:r>
          </w:p>
        </w:tc>
        <w:tc>
          <w:tcPr>
            <w:tcW w:w="2166" w:type="dxa"/>
            <w:shd w:val="clear" w:color="FFFFFF" w:fill="FFFFFF"/>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13</w:t>
            </w:r>
          </w:p>
        </w:tc>
        <w:tc>
          <w:tcPr>
            <w:tcW w:w="2557"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电缆线1</w:t>
            </w: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2000</w:t>
            </w:r>
          </w:p>
        </w:tc>
        <w:tc>
          <w:tcPr>
            <w:tcW w:w="1734"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米</w:t>
            </w:r>
          </w:p>
        </w:tc>
        <w:tc>
          <w:tcPr>
            <w:tcW w:w="2166"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14</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升降电源转接箱</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9</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sz w:val="18"/>
                <w:szCs w:val="18"/>
              </w:rPr>
            </w:pPr>
            <w:r>
              <w:rPr>
                <w:rFonts w:hint="eastAsia" w:ascii="宋体" w:hAnsi="宋体" w:eastAsia="宋体" w:cs="宋体"/>
                <w:color w:val="000000"/>
                <w:kern w:val="0"/>
                <w:sz w:val="18"/>
                <w:szCs w:val="18"/>
              </w:rPr>
              <w:t>个</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15</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舞台背景电源信息盒</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2</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个</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16</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电缆线2</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200</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米</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17</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highlight w:val="none"/>
              </w:rPr>
              <w:t>桥架 200*100</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100</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米</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cs="宋体"/>
                <w:color w:val="000000"/>
                <w:kern w:val="0"/>
                <w:sz w:val="18"/>
                <w:szCs w:val="18"/>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18</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辅材</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1</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批</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i w:val="0"/>
                <w:iCs w:val="0"/>
                <w:color w:val="000000"/>
                <w:kern w:val="0"/>
                <w:sz w:val="18"/>
                <w:szCs w:val="18"/>
                <w:u w:val="none"/>
                <w:lang w:val="en-US" w:eastAsia="zh-CN" w:bidi="ar"/>
              </w:rPr>
            </w:pPr>
            <w:r>
              <w:rPr>
                <w:rFonts w:hint="eastAsia" w:cs="宋体"/>
                <w:i w:val="0"/>
                <w:iCs w:val="0"/>
                <w:color w:val="000000"/>
                <w:kern w:val="0"/>
                <w:sz w:val="18"/>
                <w:szCs w:val="18"/>
                <w:u w:val="none"/>
                <w:lang w:val="en-US" w:eastAsia="zh-CN"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2" w:type="dxa"/>
            <w:gridSpan w:val="5"/>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before="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color w:val="000000"/>
                <w:kern w:val="0"/>
                <w:sz w:val="18"/>
                <w:szCs w:val="18"/>
              </w:rPr>
              <w:t>二、舞台音响系统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线性阵列全频音箱(左右）</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8</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只</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2</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线性阵列超次低频箱</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2</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只</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3</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线性阵列次低音功率放大器</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5</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台</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4</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highlight w:val="none"/>
                <w:lang w:val="en-US" w:eastAsia="zh-CN" w:bidi="ar-SA"/>
              </w:rPr>
            </w:pPr>
            <w:r>
              <w:rPr>
                <w:rFonts w:hint="eastAsia" w:ascii="宋体" w:hAnsi="宋体" w:eastAsia="宋体" w:cs="宋体"/>
                <w:color w:val="000000"/>
                <w:kern w:val="0"/>
                <w:sz w:val="18"/>
                <w:szCs w:val="18"/>
              </w:rPr>
              <w:t>舞台返听音响</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highlight w:val="none"/>
                <w:lang w:val="en-US" w:eastAsia="zh-CN" w:bidi="ar-SA"/>
              </w:rPr>
            </w:pPr>
            <w:r>
              <w:rPr>
                <w:rFonts w:hint="eastAsia" w:ascii="宋体" w:hAnsi="宋体" w:eastAsia="宋体" w:cs="宋体"/>
                <w:color w:val="000000"/>
                <w:kern w:val="0"/>
                <w:sz w:val="18"/>
                <w:szCs w:val="18"/>
              </w:rPr>
              <w:t>4</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只</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5</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台唇音箱</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4</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只</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6</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台唇功放</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4</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台</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7</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数字调音台</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台</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8</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数字接口箱</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台</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9</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数字音频处理器</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2</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台</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10</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监听耳机</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套</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11</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有源监听音箱</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2</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只</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12</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无线手持式话筒</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4</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套</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13</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无线头戴式话筒</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4</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套</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14</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合唱话筒</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4</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套</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15</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无线会议话筒</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套</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16</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电源时序器</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2</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台</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17</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话筒支架</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4</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套</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18</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线阵音箱吊架</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2</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套</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19</w:t>
            </w:r>
          </w:p>
        </w:tc>
        <w:tc>
          <w:tcPr>
            <w:tcW w:w="2557"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手动葫芦</w:t>
            </w:r>
          </w:p>
        </w:tc>
        <w:tc>
          <w:tcPr>
            <w:tcW w:w="1300"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2</w:t>
            </w:r>
          </w:p>
        </w:tc>
        <w:tc>
          <w:tcPr>
            <w:tcW w:w="1734"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套</w:t>
            </w:r>
          </w:p>
        </w:tc>
        <w:tc>
          <w:tcPr>
            <w:tcW w:w="2166" w:type="dxa"/>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20</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音响线</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1000</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米</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21</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话筒线</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800</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kern w:val="0"/>
                <w:sz w:val="18"/>
                <w:szCs w:val="18"/>
              </w:rPr>
              <w:t>米</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22</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多媒体信息</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地面插盒</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8</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套</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23</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卡侬头</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50</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套</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24</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大二芯</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30</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套</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25</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rPr>
              <w:t>PVC线管</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500</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宋体"/>
                <w:sz w:val="18"/>
                <w:szCs w:val="18"/>
              </w:rPr>
            </w:pPr>
            <w:r>
              <w:rPr>
                <w:rFonts w:hint="eastAsia" w:ascii="宋体" w:hAnsi="宋体" w:eastAsia="宋体" w:cs="宋体"/>
                <w:color w:val="000000"/>
                <w:kern w:val="0"/>
                <w:sz w:val="18"/>
                <w:szCs w:val="18"/>
              </w:rPr>
              <w:t>米</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2" w:type="dxa"/>
            <w:gridSpan w:val="5"/>
            <w:vAlign w:val="center"/>
          </w:tcPr>
          <w:p>
            <w:pPr>
              <w:keepNext w:val="0"/>
              <w:keepLines w:val="0"/>
              <w:pageBreakBefore w:val="0"/>
              <w:kinsoku/>
              <w:wordWrap/>
              <w:overflowPunct/>
              <w:topLinePunct w:val="0"/>
              <w:autoSpaceDE/>
              <w:autoSpaceDN/>
              <w:bidi w:val="0"/>
              <w:adjustRightInd w:val="0"/>
              <w:snapToGrid w:val="0"/>
              <w:spacing w:before="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color w:val="000000"/>
                <w:kern w:val="0"/>
                <w:sz w:val="18"/>
                <w:szCs w:val="18"/>
              </w:rPr>
              <w:t>三、舞台舞美系统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1</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电动面光吊杆</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套</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2</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固定顶光吊杆</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4</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套</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3</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kern w:val="2"/>
                <w:sz w:val="18"/>
                <w:szCs w:val="18"/>
                <w:highlight w:val="none"/>
                <w:lang w:val="en-US" w:eastAsia="zh-CN" w:bidi="ar-SA"/>
              </w:rPr>
            </w:pPr>
            <w:r>
              <w:rPr>
                <w:rFonts w:hint="eastAsia" w:ascii="宋体" w:hAnsi="宋体" w:eastAsia="宋体" w:cs="宋体"/>
                <w:color w:val="000000"/>
                <w:kern w:val="0"/>
                <w:sz w:val="18"/>
                <w:szCs w:val="18"/>
              </w:rPr>
              <w:t>固定灯光侧杆</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2</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套</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kern w:val="2"/>
                <w:sz w:val="18"/>
                <w:szCs w:val="18"/>
                <w:lang w:val="en-US" w:eastAsia="zh-CN" w:bidi="ar-SA"/>
              </w:rPr>
            </w:pPr>
            <w:r>
              <w:rPr>
                <w:rFonts w:hint="eastAsia" w:ascii="宋体" w:hAnsi="宋体" w:eastAsia="宋体" w:cs="宋体"/>
                <w:color w:val="000000"/>
                <w:kern w:val="0"/>
                <w:sz w:val="18"/>
                <w:szCs w:val="18"/>
              </w:rPr>
              <w:t>4</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highlight w:val="none"/>
                <w:lang w:val="en-US" w:eastAsia="zh-CN" w:bidi="ar-SA"/>
              </w:rPr>
            </w:pPr>
            <w:r>
              <w:rPr>
                <w:rFonts w:hint="eastAsia" w:ascii="宋体" w:hAnsi="宋体" w:eastAsia="宋体" w:cs="宋体"/>
                <w:color w:val="000000"/>
                <w:kern w:val="0"/>
                <w:sz w:val="18"/>
                <w:szCs w:val="18"/>
              </w:rPr>
              <w:t>舞台机械控制和电气系统</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套</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cs="宋体"/>
                <w:color w:val="000000"/>
                <w:kern w:val="0"/>
                <w:sz w:val="18"/>
                <w:szCs w:val="18"/>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kern w:val="2"/>
                <w:sz w:val="18"/>
                <w:szCs w:val="18"/>
                <w:lang w:val="en-US" w:eastAsia="zh-CN" w:bidi="ar-SA"/>
              </w:rPr>
            </w:pPr>
            <w:r>
              <w:rPr>
                <w:rFonts w:hint="eastAsia" w:ascii="宋体" w:hAnsi="宋体" w:eastAsia="宋体" w:cs="宋体"/>
                <w:color w:val="000000"/>
                <w:kern w:val="0"/>
                <w:sz w:val="18"/>
                <w:szCs w:val="18"/>
              </w:rPr>
              <w:t>5</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kern w:val="2"/>
                <w:sz w:val="18"/>
                <w:szCs w:val="18"/>
                <w:lang w:val="en-US" w:eastAsia="zh-CN" w:bidi="ar-SA"/>
              </w:rPr>
            </w:pPr>
            <w:r>
              <w:rPr>
                <w:rFonts w:hint="eastAsia" w:ascii="宋体" w:hAnsi="宋体" w:eastAsia="宋体" w:cs="宋体"/>
                <w:color w:val="000000"/>
                <w:kern w:val="0"/>
                <w:sz w:val="18"/>
                <w:szCs w:val="18"/>
              </w:rPr>
              <w:t>栅顶钢架、吊杆机基础结构</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项</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cs="宋体"/>
                <w:color w:val="00000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6</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大幕含衬里</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120</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平方</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kern w:val="2"/>
                <w:sz w:val="18"/>
                <w:szCs w:val="18"/>
                <w:lang w:val="en-US" w:eastAsia="zh-CN" w:bidi="ar-SA"/>
              </w:rPr>
            </w:pPr>
            <w:r>
              <w:rPr>
                <w:rFonts w:hint="eastAsia" w:ascii="宋体" w:hAnsi="宋体" w:eastAsia="宋体" w:cs="宋体"/>
                <w:color w:val="000000"/>
                <w:kern w:val="0"/>
                <w:sz w:val="18"/>
                <w:szCs w:val="18"/>
              </w:rPr>
              <w:t>7</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检修架</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套</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kern w:val="2"/>
                <w:sz w:val="18"/>
                <w:szCs w:val="18"/>
                <w:lang w:val="en-US" w:eastAsia="zh-CN" w:bidi="ar-SA"/>
              </w:rPr>
            </w:pPr>
            <w:r>
              <w:rPr>
                <w:rFonts w:hint="eastAsia" w:ascii="宋体" w:hAnsi="宋体" w:eastAsia="宋体" w:cs="宋体"/>
                <w:color w:val="000000"/>
                <w:kern w:val="0"/>
                <w:sz w:val="18"/>
                <w:szCs w:val="18"/>
              </w:rPr>
              <w:t>8</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礼堂椅</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378</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kern w:val="2"/>
                <w:sz w:val="18"/>
                <w:szCs w:val="18"/>
                <w:lang w:val="en-US" w:eastAsia="zh-CN" w:bidi="ar-SA"/>
              </w:rPr>
            </w:pPr>
            <w:r>
              <w:rPr>
                <w:rFonts w:hint="eastAsia" w:ascii="宋体" w:hAnsi="宋体" w:eastAsia="宋体" w:cs="宋体"/>
                <w:color w:val="000000"/>
                <w:kern w:val="0"/>
                <w:sz w:val="18"/>
                <w:szCs w:val="18"/>
              </w:rPr>
              <w:t>位</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Arial" w:hAnsi="Arial" w:cs="Arial"/>
                <w:sz w:val="18"/>
                <w:szCs w:val="18"/>
                <w:lang w:val="en-US" w:eastAsia="zh-CN"/>
              </w:rPr>
            </w:pPr>
            <w:r>
              <w:rPr>
                <w:rFonts w:hint="eastAsia" w:ascii="宋体" w:hAnsi="宋体" w:eastAsia="宋体" w:cs="宋体"/>
                <w:color w:val="000000"/>
                <w:kern w:val="0"/>
                <w:sz w:val="18"/>
                <w:szCs w:val="18"/>
              </w:rPr>
              <w:t>9</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Arial"/>
                <w:sz w:val="18"/>
                <w:szCs w:val="18"/>
              </w:rPr>
            </w:pPr>
            <w:r>
              <w:rPr>
                <w:rFonts w:hint="eastAsia" w:ascii="宋体" w:hAnsi="宋体" w:eastAsia="宋体" w:cs="宋体"/>
                <w:color w:val="000000"/>
                <w:kern w:val="0"/>
                <w:sz w:val="18"/>
                <w:szCs w:val="18"/>
              </w:rPr>
              <w:t>钢材运输及安装调试</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Arial"/>
                <w:sz w:val="18"/>
                <w:szCs w:val="18"/>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Arial"/>
                <w:sz w:val="18"/>
                <w:szCs w:val="18"/>
              </w:rPr>
            </w:pPr>
            <w:r>
              <w:rPr>
                <w:rFonts w:hint="eastAsia" w:ascii="宋体" w:hAnsi="宋体" w:eastAsia="宋体" w:cs="宋体"/>
                <w:color w:val="000000"/>
                <w:kern w:val="0"/>
                <w:sz w:val="18"/>
                <w:szCs w:val="18"/>
              </w:rPr>
              <w:t>项</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cs="宋体"/>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2" w:type="dxa"/>
            <w:gridSpan w:val="5"/>
            <w:vAlign w:val="center"/>
          </w:tcPr>
          <w:p>
            <w:pPr>
              <w:keepNext w:val="0"/>
              <w:keepLines w:val="0"/>
              <w:pageBreakBefore w:val="0"/>
              <w:kinsoku/>
              <w:wordWrap/>
              <w:overflowPunct/>
              <w:topLinePunct w:val="0"/>
              <w:autoSpaceDE/>
              <w:autoSpaceDN/>
              <w:bidi w:val="0"/>
              <w:adjustRightInd w:val="0"/>
              <w:snapToGrid w:val="0"/>
              <w:spacing w:before="0"/>
              <w:ind w:firstLine="0" w:firstLineChars="0"/>
              <w:jc w:val="center"/>
              <w:textAlignment w:val="auto"/>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color w:val="000000"/>
                <w:kern w:val="0"/>
                <w:sz w:val="18"/>
                <w:szCs w:val="18"/>
              </w:rPr>
              <w:t>四、室内LED显示系统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1</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LED显示单元</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51.34</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2</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开关电源</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255</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台</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3</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highlight w:val="none"/>
                <w:lang w:val="en-US" w:eastAsia="zh-CN" w:bidi="ar-SA"/>
              </w:rPr>
            </w:pPr>
            <w:r>
              <w:rPr>
                <w:rFonts w:hint="eastAsia" w:ascii="宋体" w:hAnsi="宋体" w:eastAsia="宋体" w:cs="宋体"/>
                <w:color w:val="000000"/>
                <w:kern w:val="0"/>
                <w:sz w:val="18"/>
                <w:szCs w:val="18"/>
              </w:rPr>
              <w:t>视频处理器</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套</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4</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highlight w:val="none"/>
                <w:lang w:val="en-US" w:eastAsia="zh-CN" w:bidi="ar-SA"/>
              </w:rPr>
            </w:pPr>
            <w:r>
              <w:rPr>
                <w:rFonts w:hint="eastAsia" w:ascii="宋体" w:hAnsi="宋体" w:eastAsia="宋体" w:cs="宋体"/>
                <w:color w:val="000000"/>
                <w:kern w:val="0"/>
                <w:sz w:val="18"/>
                <w:szCs w:val="18"/>
              </w:rPr>
              <w:t>接收系统</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86</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张</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5</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highlight w:val="none"/>
                <w:lang w:val="en-US" w:eastAsia="zh-CN" w:bidi="ar-SA"/>
              </w:rPr>
            </w:pPr>
            <w:r>
              <w:rPr>
                <w:rFonts w:hint="eastAsia" w:ascii="宋体" w:hAnsi="宋体" w:eastAsia="宋体" w:cs="宋体"/>
                <w:color w:val="000000"/>
                <w:kern w:val="0"/>
                <w:sz w:val="18"/>
                <w:szCs w:val="18"/>
              </w:rPr>
              <w:t>钢架结构及屏体外装饰</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51.34</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cs="宋体"/>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6</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highlight w:val="none"/>
                <w:lang w:val="en-US" w:eastAsia="zh-CN" w:bidi="ar-SA"/>
              </w:rPr>
            </w:pPr>
            <w:r>
              <w:rPr>
                <w:rFonts w:hint="eastAsia" w:ascii="宋体" w:hAnsi="宋体" w:eastAsia="宋体" w:cs="宋体"/>
                <w:color w:val="000000"/>
                <w:kern w:val="0"/>
                <w:sz w:val="18"/>
                <w:szCs w:val="18"/>
              </w:rPr>
              <w:t>移动操作终端</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台</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7</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highlight w:val="none"/>
                <w:lang w:val="en-US" w:eastAsia="zh-CN" w:bidi="ar-SA"/>
              </w:rPr>
            </w:pPr>
            <w:r>
              <w:rPr>
                <w:rFonts w:hint="eastAsia" w:ascii="宋体" w:hAnsi="宋体" w:eastAsia="宋体" w:cs="宋体"/>
                <w:color w:val="000000"/>
                <w:kern w:val="0"/>
                <w:sz w:val="18"/>
                <w:szCs w:val="18"/>
              </w:rPr>
              <w:t>机柜</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台</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8</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highlight w:val="none"/>
                <w:lang w:val="en-US" w:eastAsia="zh-CN" w:bidi="ar-SA"/>
              </w:rPr>
            </w:pPr>
            <w:r>
              <w:rPr>
                <w:rFonts w:hint="eastAsia" w:ascii="宋体" w:hAnsi="宋体" w:eastAsia="宋体" w:cs="宋体"/>
                <w:color w:val="000000"/>
                <w:kern w:val="0"/>
                <w:sz w:val="18"/>
                <w:szCs w:val="18"/>
              </w:rPr>
              <w:t>配电柜</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台</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color w:val="000000"/>
                <w:kern w:val="0"/>
                <w:sz w:val="18"/>
                <w:szCs w:val="1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9</w:t>
            </w:r>
          </w:p>
        </w:tc>
        <w:tc>
          <w:tcPr>
            <w:tcW w:w="255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highlight w:val="none"/>
                <w:lang w:val="en-US" w:eastAsia="zh-CN" w:bidi="ar-SA"/>
              </w:rPr>
            </w:pPr>
            <w:r>
              <w:rPr>
                <w:rFonts w:hint="eastAsia" w:ascii="宋体" w:hAnsi="宋体" w:eastAsia="宋体" w:cs="宋体"/>
                <w:color w:val="000000"/>
                <w:kern w:val="0"/>
                <w:sz w:val="18"/>
                <w:szCs w:val="18"/>
              </w:rPr>
              <w:t>屏体内部线材</w:t>
            </w:r>
          </w:p>
        </w:tc>
        <w:tc>
          <w:tcPr>
            <w:tcW w:w="130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1</w:t>
            </w:r>
          </w:p>
        </w:tc>
        <w:tc>
          <w:tcPr>
            <w:tcW w:w="1734"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宋体" w:cs="Tahoma"/>
                <w:kern w:val="2"/>
                <w:sz w:val="18"/>
                <w:szCs w:val="18"/>
                <w:lang w:val="en-US" w:eastAsia="zh-CN" w:bidi="ar-SA"/>
              </w:rPr>
            </w:pPr>
            <w:r>
              <w:rPr>
                <w:rFonts w:hint="eastAsia" w:ascii="宋体" w:hAnsi="宋体" w:eastAsia="宋体" w:cs="宋体"/>
                <w:color w:val="000000"/>
                <w:kern w:val="0"/>
                <w:sz w:val="18"/>
                <w:szCs w:val="18"/>
              </w:rPr>
              <w:t>项</w:t>
            </w:r>
          </w:p>
        </w:tc>
        <w:tc>
          <w:tcPr>
            <w:tcW w:w="2166"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olor w:val="000000"/>
                <w:kern w:val="2"/>
                <w:sz w:val="18"/>
                <w:szCs w:val="18"/>
                <w:highlight w:val="none"/>
                <w:u w:val="none"/>
                <w:lang w:val="en-US" w:eastAsia="zh-CN" w:bidi="ar-SA"/>
              </w:rPr>
            </w:pPr>
            <w:r>
              <w:rPr>
                <w:rFonts w:hint="eastAsia" w:cs="宋体"/>
                <w:color w:val="000000"/>
                <w:kern w:val="0"/>
                <w:sz w:val="18"/>
                <w:szCs w:val="18"/>
                <w:lang w:val="en-US" w:eastAsia="zh-CN"/>
              </w:rPr>
              <w:t>工业</w:t>
            </w:r>
          </w:p>
        </w:tc>
      </w:tr>
    </w:tbl>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具体采购内容见磋商文件 “第4章项目技术、服务、商务及其他要求”。</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（二）</w:t>
      </w:r>
      <w:r>
        <w:rPr>
          <w:rFonts w:hint="eastAsia" w:ascii="宋体" w:hAnsi="宋体" w:cs="Times New Roman"/>
          <w:color w:val="auto"/>
          <w:kern w:val="10"/>
          <w:sz w:val="24"/>
          <w:szCs w:val="20"/>
          <w:highlight w:val="none"/>
        </w:rPr>
        <w:t>技术、服务要求</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见磋商文件 “第4章项目技术、服务、商务及其他要求”。</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（三）</w:t>
      </w:r>
      <w:r>
        <w:rPr>
          <w:rFonts w:hint="eastAsia" w:ascii="宋体" w:hAnsi="宋体" w:cs="Times New Roman"/>
          <w:color w:val="auto"/>
          <w:kern w:val="10"/>
          <w:sz w:val="24"/>
          <w:szCs w:val="20"/>
          <w:highlight w:val="none"/>
        </w:rPr>
        <w:t>报价要求</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lang w:eastAsia="zh-CN"/>
        </w:rPr>
      </w:pPr>
      <w:r>
        <w:rPr>
          <w:rFonts w:hint="eastAsia" w:ascii="宋体" w:hAnsi="宋体" w:cs="Times New Roman"/>
          <w:color w:val="auto"/>
          <w:kern w:val="10"/>
          <w:sz w:val="24"/>
          <w:szCs w:val="20"/>
          <w:highlight w:val="none"/>
        </w:rPr>
        <w:t>供应商按磋商文件要求进行报价。</w:t>
      </w:r>
    </w:p>
    <w:p>
      <w:pPr>
        <w:pStyle w:val="26"/>
        <w:pageBreakBefore w:val="0"/>
        <w:kinsoku/>
        <w:wordWrap/>
        <w:overflowPunct/>
        <w:topLinePunct w:val="0"/>
        <w:bidi w:val="0"/>
        <w:adjustRightInd w:val="0"/>
        <w:snapToGrid w:val="0"/>
        <w:spacing w:afterAutospacing="0" w:line="360" w:lineRule="auto"/>
        <w:ind w:firstLine="482" w:firstLineChars="200"/>
        <w:rPr>
          <w:b/>
          <w:color w:val="auto"/>
          <w:highlight w:val="none"/>
        </w:rPr>
      </w:pPr>
      <w:r>
        <w:rPr>
          <w:rFonts w:hint="eastAsia"/>
          <w:b/>
          <w:color w:val="auto"/>
          <w:highlight w:val="none"/>
          <w:lang w:eastAsia="zh-CN"/>
        </w:rPr>
        <w:t>六</w:t>
      </w:r>
      <w:r>
        <w:rPr>
          <w:rFonts w:hint="eastAsia"/>
          <w:b/>
          <w:color w:val="auto"/>
          <w:highlight w:val="none"/>
        </w:rPr>
        <w:t>、磋商文件获取时间</w:t>
      </w:r>
    </w:p>
    <w:p>
      <w:pPr>
        <w:pageBreakBefore w:val="0"/>
        <w:kinsoku/>
        <w:wordWrap/>
        <w:overflowPunct/>
        <w:topLinePunct w:val="0"/>
        <w:bidi w:val="0"/>
        <w:adjustRightInd w:val="0"/>
        <w:snapToGrid w:val="0"/>
        <w:spacing w:afterAutospacing="0" w:line="360" w:lineRule="auto"/>
        <w:ind w:firstLine="482" w:firstLineChars="200"/>
        <w:rPr>
          <w:rFonts w:hint="eastAsia" w:ascii="宋体" w:hAnsi="宋体" w:cs="Times New Roman"/>
          <w:b/>
          <w:bCs/>
          <w:color w:val="auto"/>
          <w:kern w:val="10"/>
          <w:sz w:val="24"/>
          <w:szCs w:val="20"/>
          <w:highlight w:val="yellow"/>
        </w:rPr>
      </w:pPr>
      <w:r>
        <w:rPr>
          <w:rFonts w:hint="eastAsia" w:ascii="宋体" w:hAnsi="宋体" w:cs="Times New Roman"/>
          <w:b/>
          <w:bCs/>
          <w:color w:val="auto"/>
          <w:kern w:val="10"/>
          <w:sz w:val="24"/>
          <w:szCs w:val="20"/>
          <w:highlight w:val="none"/>
        </w:rPr>
        <w:t>（一）磋商文件获取时间：2021年</w:t>
      </w:r>
      <w:r>
        <w:rPr>
          <w:rFonts w:hint="eastAsia" w:cs="Times New Roman"/>
          <w:b/>
          <w:bCs/>
          <w:color w:val="auto"/>
          <w:kern w:val="10"/>
          <w:sz w:val="24"/>
          <w:szCs w:val="20"/>
          <w:highlight w:val="none"/>
          <w:lang w:val="en-US" w:eastAsia="zh-CN"/>
        </w:rPr>
        <w:t>11</w:t>
      </w:r>
      <w:r>
        <w:rPr>
          <w:rFonts w:hint="eastAsia" w:ascii="宋体" w:hAnsi="宋体" w:cs="Times New Roman"/>
          <w:b/>
          <w:bCs/>
          <w:color w:val="auto"/>
          <w:kern w:val="10"/>
          <w:sz w:val="24"/>
          <w:szCs w:val="20"/>
          <w:highlight w:val="none"/>
        </w:rPr>
        <w:t>月</w:t>
      </w:r>
      <w:r>
        <w:rPr>
          <w:rFonts w:hint="eastAsia" w:cs="Times New Roman"/>
          <w:b/>
          <w:bCs/>
          <w:color w:val="auto"/>
          <w:kern w:val="10"/>
          <w:sz w:val="24"/>
          <w:szCs w:val="20"/>
          <w:highlight w:val="none"/>
          <w:lang w:val="en-US" w:eastAsia="zh-CN"/>
        </w:rPr>
        <w:t>5</w:t>
      </w:r>
      <w:r>
        <w:rPr>
          <w:rFonts w:hint="eastAsia" w:ascii="宋体" w:hAnsi="宋体" w:cs="Times New Roman"/>
          <w:b/>
          <w:bCs/>
          <w:color w:val="auto"/>
          <w:kern w:val="10"/>
          <w:sz w:val="24"/>
          <w:szCs w:val="20"/>
          <w:highlight w:val="none"/>
        </w:rPr>
        <w:t>日至</w:t>
      </w:r>
      <w:r>
        <w:rPr>
          <w:rFonts w:hint="eastAsia" w:cs="Times New Roman"/>
          <w:b/>
          <w:bCs/>
          <w:color w:val="auto"/>
          <w:kern w:val="10"/>
          <w:sz w:val="24"/>
          <w:szCs w:val="20"/>
          <w:highlight w:val="none"/>
          <w:lang w:val="en-US" w:eastAsia="zh-CN"/>
        </w:rPr>
        <w:t>11</w:t>
      </w:r>
      <w:r>
        <w:rPr>
          <w:rFonts w:hint="eastAsia" w:ascii="宋体" w:hAnsi="宋体" w:cs="Times New Roman"/>
          <w:b/>
          <w:bCs/>
          <w:color w:val="auto"/>
          <w:kern w:val="10"/>
          <w:sz w:val="24"/>
          <w:szCs w:val="20"/>
          <w:highlight w:val="none"/>
        </w:rPr>
        <w:t>月</w:t>
      </w:r>
      <w:r>
        <w:rPr>
          <w:rFonts w:hint="eastAsia" w:cs="Times New Roman"/>
          <w:b/>
          <w:bCs/>
          <w:color w:val="auto"/>
          <w:kern w:val="10"/>
          <w:sz w:val="24"/>
          <w:szCs w:val="20"/>
          <w:highlight w:val="none"/>
          <w:lang w:val="en-US" w:eastAsia="zh-CN"/>
        </w:rPr>
        <w:t>15</w:t>
      </w:r>
      <w:r>
        <w:rPr>
          <w:rFonts w:hint="eastAsia" w:ascii="宋体" w:hAnsi="宋体" w:cs="Times New Roman"/>
          <w:b/>
          <w:bCs/>
          <w:color w:val="auto"/>
          <w:kern w:val="10"/>
          <w:sz w:val="24"/>
          <w:szCs w:val="20"/>
          <w:highlight w:val="none"/>
        </w:rPr>
        <w:t>日。</w:t>
      </w:r>
    </w:p>
    <w:p>
      <w:pPr>
        <w:pageBreakBefore w:val="0"/>
        <w:kinsoku/>
        <w:wordWrap/>
        <w:overflowPunct/>
        <w:topLinePunct w:val="0"/>
        <w:bidi w:val="0"/>
        <w:adjustRightInd w:val="0"/>
        <w:snapToGrid w:val="0"/>
        <w:spacing w:afterAutospacing="0" w:line="360" w:lineRule="auto"/>
        <w:ind w:firstLine="482" w:firstLineChars="200"/>
        <w:rPr>
          <w:rFonts w:hint="eastAsia" w:ascii="宋体" w:hAnsi="宋体" w:cs="Times New Roman"/>
          <w:b/>
          <w:bCs/>
          <w:color w:val="auto"/>
          <w:kern w:val="10"/>
          <w:sz w:val="24"/>
          <w:szCs w:val="20"/>
          <w:highlight w:val="none"/>
        </w:rPr>
      </w:pPr>
      <w:r>
        <w:rPr>
          <w:rFonts w:hint="eastAsia" w:ascii="宋体" w:hAnsi="宋体" w:cs="Times New Roman"/>
          <w:b/>
          <w:bCs/>
          <w:color w:val="auto"/>
          <w:kern w:val="10"/>
          <w:sz w:val="24"/>
          <w:szCs w:val="20"/>
          <w:highlight w:val="none"/>
        </w:rPr>
        <w:t>（二）公告期限：2021年</w:t>
      </w:r>
      <w:r>
        <w:rPr>
          <w:rFonts w:hint="eastAsia" w:cs="Times New Roman"/>
          <w:b/>
          <w:bCs/>
          <w:color w:val="auto"/>
          <w:kern w:val="10"/>
          <w:sz w:val="24"/>
          <w:szCs w:val="20"/>
          <w:highlight w:val="none"/>
          <w:lang w:val="en-US" w:eastAsia="zh-CN"/>
        </w:rPr>
        <w:t>11</w:t>
      </w:r>
      <w:r>
        <w:rPr>
          <w:rFonts w:hint="eastAsia" w:ascii="宋体" w:hAnsi="宋体" w:cs="Times New Roman"/>
          <w:b/>
          <w:bCs/>
          <w:color w:val="auto"/>
          <w:kern w:val="10"/>
          <w:sz w:val="24"/>
          <w:szCs w:val="20"/>
          <w:highlight w:val="none"/>
        </w:rPr>
        <w:t>月</w:t>
      </w:r>
      <w:r>
        <w:rPr>
          <w:rFonts w:hint="eastAsia" w:cs="Times New Roman"/>
          <w:b/>
          <w:bCs/>
          <w:color w:val="auto"/>
          <w:kern w:val="10"/>
          <w:sz w:val="24"/>
          <w:szCs w:val="20"/>
          <w:highlight w:val="none"/>
          <w:lang w:val="en-US" w:eastAsia="zh-CN"/>
        </w:rPr>
        <w:t>5</w:t>
      </w:r>
      <w:r>
        <w:rPr>
          <w:rFonts w:hint="eastAsia" w:ascii="宋体" w:hAnsi="宋体" w:cs="Times New Roman"/>
          <w:b/>
          <w:bCs/>
          <w:color w:val="auto"/>
          <w:kern w:val="10"/>
          <w:sz w:val="24"/>
          <w:szCs w:val="20"/>
          <w:highlight w:val="none"/>
        </w:rPr>
        <w:t>日至</w:t>
      </w:r>
      <w:r>
        <w:rPr>
          <w:rFonts w:hint="eastAsia" w:cs="Times New Roman"/>
          <w:b/>
          <w:bCs/>
          <w:color w:val="auto"/>
          <w:kern w:val="10"/>
          <w:sz w:val="24"/>
          <w:szCs w:val="20"/>
          <w:highlight w:val="none"/>
          <w:lang w:val="en-US" w:eastAsia="zh-CN"/>
        </w:rPr>
        <w:t>11</w:t>
      </w:r>
      <w:r>
        <w:rPr>
          <w:rFonts w:hint="eastAsia" w:ascii="宋体" w:hAnsi="宋体" w:cs="Times New Roman"/>
          <w:b/>
          <w:bCs/>
          <w:color w:val="auto"/>
          <w:kern w:val="10"/>
          <w:sz w:val="24"/>
          <w:szCs w:val="20"/>
          <w:highlight w:val="none"/>
        </w:rPr>
        <w:t>月</w:t>
      </w:r>
      <w:r>
        <w:rPr>
          <w:rFonts w:hint="eastAsia" w:cs="Times New Roman"/>
          <w:b/>
          <w:bCs/>
          <w:color w:val="auto"/>
          <w:kern w:val="10"/>
          <w:sz w:val="24"/>
          <w:szCs w:val="20"/>
          <w:highlight w:val="none"/>
          <w:lang w:val="en-US" w:eastAsia="zh-CN"/>
        </w:rPr>
        <w:t>10</w:t>
      </w:r>
      <w:r>
        <w:rPr>
          <w:rFonts w:hint="eastAsia" w:ascii="宋体" w:hAnsi="宋体" w:cs="Times New Roman"/>
          <w:b/>
          <w:bCs/>
          <w:color w:val="auto"/>
          <w:kern w:val="10"/>
          <w:sz w:val="24"/>
          <w:szCs w:val="20"/>
          <w:highlight w:val="none"/>
        </w:rPr>
        <w:t>日</w:t>
      </w:r>
    </w:p>
    <w:p>
      <w:pPr>
        <w:pStyle w:val="2"/>
        <w:pageBreakBefore w:val="0"/>
        <w:kinsoku/>
        <w:wordWrap/>
        <w:overflowPunct/>
        <w:topLinePunct w:val="0"/>
        <w:bidi w:val="0"/>
        <w:adjustRightInd w:val="0"/>
        <w:snapToGrid w:val="0"/>
        <w:spacing w:after="0" w:afterAutospacing="0" w:line="360" w:lineRule="auto"/>
        <w:ind w:firstLine="482" w:firstLineChars="200"/>
        <w:rPr>
          <w:b/>
          <w:color w:val="auto"/>
          <w:highlight w:val="none"/>
        </w:rPr>
      </w:pPr>
      <w:r>
        <w:rPr>
          <w:rFonts w:hint="eastAsia"/>
          <w:b/>
          <w:color w:val="auto"/>
          <w:highlight w:val="none"/>
          <w:lang w:eastAsia="zh-CN"/>
        </w:rPr>
        <w:t>七</w:t>
      </w:r>
      <w:r>
        <w:rPr>
          <w:rFonts w:hint="eastAsia"/>
          <w:b/>
          <w:color w:val="auto"/>
          <w:highlight w:val="none"/>
        </w:rPr>
        <w:t>、磋商文</w:t>
      </w:r>
      <w:r>
        <w:rPr>
          <w:rFonts w:hint="eastAsia"/>
          <w:b/>
          <w:color w:val="auto"/>
          <w:highlight w:val="none"/>
          <w:u w:val="none"/>
        </w:rPr>
        <w:t>件</w:t>
      </w:r>
      <w:r>
        <w:rPr>
          <w:rFonts w:hint="eastAsia"/>
          <w:b/>
          <w:color w:val="auto"/>
          <w:highlight w:val="none"/>
        </w:rPr>
        <w:t>获取方式</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供应商有意向参加本项目采购的，应在成都市公共资源交易服务中心“政府采购云平台”获取采购文件。登录成都市公共资源交易服务中心门户网站（https://www.cdggzy.com/）—用户中心—政府采购云平台—项目采购—获取采购文件—申请获取采购文件。</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提示：</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（1）本项目</w:t>
      </w:r>
      <w:r>
        <w:rPr>
          <w:rFonts w:hint="eastAsia" w:cs="Times New Roman"/>
          <w:color w:val="auto"/>
          <w:kern w:val="10"/>
          <w:sz w:val="24"/>
          <w:szCs w:val="20"/>
          <w:highlight w:val="none"/>
          <w:lang w:eastAsia="zh-CN"/>
        </w:rPr>
        <w:t>采购</w:t>
      </w:r>
      <w:r>
        <w:rPr>
          <w:rFonts w:hint="eastAsia" w:ascii="宋体" w:hAnsi="宋体" w:cs="Times New Roman"/>
          <w:color w:val="auto"/>
          <w:kern w:val="10"/>
          <w:sz w:val="24"/>
          <w:szCs w:val="20"/>
          <w:highlight w:val="none"/>
        </w:rPr>
        <w:t>文件免费获取。</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2）成都市公共资源交易服务中心门户网站上采购公告附件内的采购文件仅供下载阅览使用，供应商只有在“政府采购云平台”完成获取采购文件申请并下载采购文件后才视作依法获取采购文件。如未在“政府采购云平台”内完成相关流程，导致相关行为无效等后果的责任自负。</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（3）首次登录成都市公共资源交易服务中心门户网站的新用户应先点击“注册新用户”，注册成功后再登录。</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（4）本项目为电子化采购项目，</w:t>
      </w:r>
      <w:r>
        <w:rPr>
          <w:rFonts w:hint="eastAsia" w:ascii="宋体" w:hAnsi="宋体" w:cs="Times New Roman"/>
          <w:color w:val="auto"/>
          <w:kern w:val="10"/>
          <w:sz w:val="24"/>
          <w:szCs w:val="20"/>
          <w:highlight w:val="none"/>
          <w:lang w:eastAsia="zh-CN"/>
        </w:rPr>
        <w:t>供应商</w:t>
      </w:r>
      <w:r>
        <w:rPr>
          <w:rFonts w:hint="eastAsia" w:ascii="宋体" w:hAnsi="宋体" w:cs="Times New Roman"/>
          <w:color w:val="auto"/>
          <w:kern w:val="10"/>
          <w:sz w:val="24"/>
          <w:szCs w:val="20"/>
          <w:highlight w:val="none"/>
        </w:rPr>
        <w:t>参与本项目全过程中凡涉及系统操作请详见《成都市全流程电子化采购系统操作指南——供应商版》（操作指南请登录政府采购云平台后，点击“前台大厅—操作指南—供应商”处下载查看）。</w:t>
      </w:r>
    </w:p>
    <w:p>
      <w:pPr>
        <w:pStyle w:val="26"/>
        <w:pageBreakBefore w:val="0"/>
        <w:kinsoku/>
        <w:wordWrap/>
        <w:overflowPunct/>
        <w:topLinePunct w:val="0"/>
        <w:bidi w:val="0"/>
        <w:adjustRightInd w:val="0"/>
        <w:snapToGrid w:val="0"/>
        <w:spacing w:afterAutospacing="0" w:line="360" w:lineRule="auto"/>
        <w:ind w:firstLine="482" w:firstLineChars="200"/>
        <w:rPr>
          <w:rFonts w:hint="eastAsia"/>
          <w:color w:val="auto"/>
          <w:szCs w:val="28"/>
          <w:highlight w:val="none"/>
        </w:rPr>
      </w:pPr>
      <w:r>
        <w:rPr>
          <w:rFonts w:hint="eastAsia"/>
          <w:b/>
          <w:color w:val="auto"/>
          <w:szCs w:val="28"/>
          <w:highlight w:val="none"/>
          <w:lang w:eastAsia="zh-CN"/>
        </w:rPr>
        <w:t>八</w:t>
      </w:r>
      <w:r>
        <w:rPr>
          <w:rFonts w:hint="eastAsia"/>
          <w:b/>
          <w:color w:val="auto"/>
          <w:szCs w:val="28"/>
          <w:highlight w:val="none"/>
        </w:rPr>
        <w:t>、磋商文件获取地点</w:t>
      </w:r>
      <w:r>
        <w:rPr>
          <w:rFonts w:hint="eastAsia"/>
          <w:color w:val="auto"/>
          <w:szCs w:val="28"/>
          <w:highlight w:val="none"/>
        </w:rPr>
        <w:t>：</w:t>
      </w:r>
    </w:p>
    <w:p>
      <w:pPr>
        <w:pStyle w:val="26"/>
        <w:pageBreakBefore w:val="0"/>
        <w:kinsoku/>
        <w:wordWrap/>
        <w:overflowPunct/>
        <w:topLinePunct w:val="0"/>
        <w:bidi w:val="0"/>
        <w:adjustRightInd w:val="0"/>
        <w:snapToGrid w:val="0"/>
        <w:spacing w:afterAutospacing="0" w:line="360" w:lineRule="auto"/>
        <w:ind w:firstLine="480" w:firstLineChars="200"/>
        <w:rPr>
          <w:color w:val="auto"/>
          <w:szCs w:val="28"/>
          <w:highlight w:val="none"/>
        </w:rPr>
      </w:pPr>
      <w:r>
        <w:rPr>
          <w:rFonts w:hint="eastAsia"/>
          <w:color w:val="auto"/>
          <w:szCs w:val="28"/>
          <w:highlight w:val="none"/>
        </w:rPr>
        <w:t>登录成都市公共资源交易服务中心门户网站（https://www.cdggzy.com/）—用户中心—政府采购云平台获取</w:t>
      </w:r>
      <w:r>
        <w:rPr>
          <w:rFonts w:hint="eastAsia"/>
          <w:color w:val="auto"/>
          <w:highlight w:val="none"/>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Autospacing="0" w:line="360" w:lineRule="auto"/>
        <w:ind w:firstLine="482" w:firstLineChars="200"/>
        <w:textAlignment w:val="auto"/>
        <w:rPr>
          <w:rFonts w:hint="eastAsia" w:ascii="宋体" w:hAnsi="宋体" w:eastAsia="宋体" w:cs="Times New Roman"/>
          <w:b/>
          <w:color w:val="auto"/>
          <w:kern w:val="10"/>
          <w:sz w:val="24"/>
          <w:szCs w:val="28"/>
          <w:highlight w:val="none"/>
          <w:lang w:val="en-US" w:eastAsia="zh-CN" w:bidi="ar-SA"/>
        </w:rPr>
      </w:pPr>
      <w:r>
        <w:rPr>
          <w:rFonts w:hint="eastAsia" w:cs="Times New Roman"/>
          <w:b/>
          <w:color w:val="auto"/>
          <w:kern w:val="10"/>
          <w:sz w:val="24"/>
          <w:szCs w:val="28"/>
          <w:highlight w:val="none"/>
          <w:lang w:val="en-US" w:eastAsia="zh-CN" w:bidi="ar-SA"/>
        </w:rPr>
        <w:t>九、</w:t>
      </w:r>
      <w:r>
        <w:rPr>
          <w:rFonts w:hint="eastAsia" w:ascii="宋体" w:hAnsi="宋体" w:eastAsia="宋体" w:cs="Times New Roman"/>
          <w:b/>
          <w:color w:val="auto"/>
          <w:kern w:val="10"/>
          <w:sz w:val="24"/>
          <w:szCs w:val="28"/>
          <w:highlight w:val="none"/>
          <w:lang w:val="en-US" w:eastAsia="zh-CN" w:bidi="ar-SA"/>
        </w:rPr>
        <w:t>响应文件提交截止时间、方式及开启时间（北京时间）</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b/>
          <w:bCs/>
          <w:color w:val="auto"/>
          <w:kern w:val="10"/>
          <w:sz w:val="24"/>
          <w:szCs w:val="28"/>
          <w:highlight w:val="none"/>
          <w:lang w:val="en-US" w:eastAsia="zh-CN" w:bidi="ar-SA"/>
        </w:rPr>
      </w:pPr>
      <w:r>
        <w:rPr>
          <w:rFonts w:hint="eastAsia" w:ascii="宋体" w:hAnsi="宋体" w:eastAsia="宋体" w:cs="Times New Roman"/>
          <w:color w:val="auto"/>
          <w:kern w:val="10"/>
          <w:sz w:val="24"/>
          <w:szCs w:val="28"/>
          <w:highlight w:val="none"/>
          <w:lang w:val="en-US" w:eastAsia="zh-CN" w:bidi="ar-SA"/>
        </w:rPr>
        <w:t>（一）首次提交响应文件截止时间及开启时间：</w:t>
      </w:r>
      <w:r>
        <w:rPr>
          <w:rFonts w:hint="eastAsia" w:ascii="宋体" w:hAnsi="宋体" w:eastAsia="宋体" w:cs="Times New Roman"/>
          <w:b/>
          <w:bCs/>
          <w:color w:val="auto"/>
          <w:kern w:val="10"/>
          <w:sz w:val="24"/>
          <w:szCs w:val="28"/>
          <w:highlight w:val="none"/>
          <w:lang w:val="en-US" w:eastAsia="zh-CN" w:bidi="ar-SA"/>
        </w:rPr>
        <w:t>2021年</w:t>
      </w:r>
      <w:r>
        <w:rPr>
          <w:rFonts w:hint="eastAsia" w:cs="Times New Roman"/>
          <w:b/>
          <w:bCs/>
          <w:color w:val="auto"/>
          <w:kern w:val="10"/>
          <w:sz w:val="24"/>
          <w:szCs w:val="28"/>
          <w:highlight w:val="none"/>
          <w:lang w:val="en-US" w:eastAsia="zh-CN" w:bidi="ar-SA"/>
        </w:rPr>
        <w:t>11</w:t>
      </w:r>
      <w:r>
        <w:rPr>
          <w:rFonts w:hint="eastAsia" w:ascii="宋体" w:hAnsi="宋体" w:eastAsia="宋体" w:cs="Times New Roman"/>
          <w:b/>
          <w:bCs/>
          <w:color w:val="auto"/>
          <w:kern w:val="10"/>
          <w:sz w:val="24"/>
          <w:szCs w:val="28"/>
          <w:highlight w:val="none"/>
          <w:lang w:val="en-US" w:eastAsia="zh-CN" w:bidi="ar-SA"/>
        </w:rPr>
        <w:t>月</w:t>
      </w:r>
      <w:r>
        <w:rPr>
          <w:rFonts w:hint="eastAsia" w:cs="Times New Roman"/>
          <w:b/>
          <w:bCs/>
          <w:color w:val="auto"/>
          <w:kern w:val="10"/>
          <w:sz w:val="24"/>
          <w:szCs w:val="28"/>
          <w:highlight w:val="none"/>
          <w:lang w:val="en-US" w:eastAsia="zh-CN" w:bidi="ar-SA"/>
        </w:rPr>
        <w:t>16</w:t>
      </w:r>
      <w:r>
        <w:rPr>
          <w:rFonts w:hint="eastAsia" w:ascii="宋体" w:hAnsi="宋体" w:eastAsia="宋体" w:cs="Times New Roman"/>
          <w:b/>
          <w:bCs/>
          <w:color w:val="auto"/>
          <w:kern w:val="10"/>
          <w:sz w:val="24"/>
          <w:szCs w:val="28"/>
          <w:highlight w:val="none"/>
          <w:lang w:val="en-US" w:eastAsia="zh-CN" w:bidi="ar-SA"/>
        </w:rPr>
        <w:t>日上午9:30。</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8"/>
          <w:highlight w:val="none"/>
          <w:lang w:val="en-US" w:eastAsia="zh-CN" w:bidi="ar-SA"/>
        </w:rPr>
      </w:pPr>
      <w:r>
        <w:rPr>
          <w:rFonts w:hint="eastAsia" w:ascii="宋体" w:hAnsi="宋体" w:eastAsia="宋体" w:cs="Times New Roman"/>
          <w:color w:val="auto"/>
          <w:kern w:val="10"/>
          <w:sz w:val="24"/>
          <w:szCs w:val="28"/>
          <w:highlight w:val="none"/>
          <w:lang w:val="en-US" w:eastAsia="zh-CN" w:bidi="ar-SA"/>
        </w:rPr>
        <w:t>（二）响应文件递交方式、地点：响应文件递交截止时间前，供应商应将加密的响应文件递交至“政府采购云平台”对应项目。</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8"/>
          <w:highlight w:val="none"/>
          <w:lang w:val="en-US" w:eastAsia="zh-CN" w:bidi="ar-SA"/>
        </w:rPr>
      </w:pPr>
      <w:r>
        <w:rPr>
          <w:rFonts w:hint="eastAsia" w:ascii="宋体" w:hAnsi="宋体" w:eastAsia="宋体" w:cs="Times New Roman"/>
          <w:color w:val="auto"/>
          <w:kern w:val="10"/>
          <w:sz w:val="24"/>
          <w:szCs w:val="28"/>
          <w:highlight w:val="none"/>
          <w:lang w:val="en-US" w:eastAsia="zh-CN" w:bidi="ar-SA"/>
        </w:rPr>
        <w:t>本项目只接受供应商加密并递交至“政府采购云平台”的响应文件。</w:t>
      </w:r>
    </w:p>
    <w:p>
      <w:pPr>
        <w:pStyle w:val="26"/>
        <w:pageBreakBefore w:val="0"/>
        <w:kinsoku/>
        <w:wordWrap/>
        <w:overflowPunct/>
        <w:topLinePunct w:val="0"/>
        <w:bidi w:val="0"/>
        <w:adjustRightInd w:val="0"/>
        <w:snapToGrid w:val="0"/>
        <w:spacing w:afterAutospacing="0" w:line="360" w:lineRule="auto"/>
        <w:ind w:firstLine="482" w:firstLineChars="200"/>
        <w:rPr>
          <w:b/>
          <w:color w:val="auto"/>
          <w:highlight w:val="none"/>
        </w:rPr>
      </w:pPr>
      <w:r>
        <w:rPr>
          <w:rFonts w:hint="eastAsia"/>
          <w:b/>
          <w:color w:val="auto"/>
          <w:highlight w:val="none"/>
          <w:lang w:eastAsia="zh-CN"/>
        </w:rPr>
        <w:t>十</w:t>
      </w:r>
      <w:r>
        <w:rPr>
          <w:rFonts w:hint="eastAsia"/>
          <w:b/>
          <w:color w:val="auto"/>
          <w:highlight w:val="none"/>
        </w:rPr>
        <w:t xml:space="preserve">、响应文件开启地点及磋商地点 </w:t>
      </w:r>
    </w:p>
    <w:p>
      <w:pPr>
        <w:pageBreakBefore w:val="0"/>
        <w:kinsoku/>
        <w:wordWrap/>
        <w:overflowPunct/>
        <w:topLinePunct w:val="0"/>
        <w:bidi w:val="0"/>
        <w:adjustRightInd w:val="0"/>
        <w:snapToGrid w:val="0"/>
        <w:spacing w:afterAutospacing="0" w:line="360" w:lineRule="auto"/>
        <w:ind w:firstLine="560" w:firstLineChars="200"/>
        <w:rPr>
          <w:rFonts w:hint="eastAsia" w:ascii="宋体" w:hAnsi="宋体" w:eastAsia="宋体"/>
          <w:b w:val="0"/>
          <w:bCs w:val="0"/>
          <w:color w:val="auto"/>
          <w:sz w:val="28"/>
          <w:szCs w:val="28"/>
          <w:highlight w:val="none"/>
        </w:rPr>
      </w:pPr>
      <w:r>
        <w:rPr>
          <w:rFonts w:hint="eastAsia" w:ascii="宋体" w:hAnsi="宋体" w:eastAsia="宋体"/>
          <w:b w:val="0"/>
          <w:bCs w:val="0"/>
          <w:color w:val="auto"/>
          <w:sz w:val="28"/>
          <w:szCs w:val="28"/>
          <w:highlight w:val="none"/>
        </w:rPr>
        <w:t>本项目磋商为不见面开标。</w:t>
      </w:r>
    </w:p>
    <w:p>
      <w:pPr>
        <w:keepNext w:val="0"/>
        <w:keepLines w:val="0"/>
        <w:pageBreakBefore w:val="0"/>
        <w:widowControl/>
        <w:kinsoku/>
        <w:wordWrap/>
        <w:overflowPunct/>
        <w:topLinePunct w:val="0"/>
        <w:autoSpaceDE/>
        <w:autoSpaceDN/>
        <w:bidi w:val="0"/>
        <w:adjustRightInd w:val="0"/>
        <w:snapToGrid w:val="0"/>
        <w:spacing w:afterAutospacing="0" w:line="360" w:lineRule="auto"/>
        <w:ind w:firstLine="560" w:firstLineChars="200"/>
        <w:textAlignment w:val="auto"/>
        <w:rPr>
          <w:rFonts w:hint="eastAsia" w:ascii="宋体" w:hAnsi="宋体"/>
          <w:color w:val="auto"/>
          <w:sz w:val="28"/>
          <w:szCs w:val="28"/>
          <w:highlight w:val="none"/>
        </w:rPr>
      </w:pPr>
      <w:r>
        <w:rPr>
          <w:rFonts w:hint="eastAsia" w:ascii="宋体" w:hAnsi="宋体"/>
          <w:color w:val="auto"/>
          <w:sz w:val="28"/>
          <w:szCs w:val="28"/>
          <w:highlight w:val="none"/>
        </w:rPr>
        <w:t>磋商地点：政府采购云平台开标大厅。</w:t>
      </w:r>
    </w:p>
    <w:p>
      <w:pPr>
        <w:keepNext w:val="0"/>
        <w:keepLines w:val="0"/>
        <w:pageBreakBefore w:val="0"/>
        <w:widowControl/>
        <w:kinsoku/>
        <w:wordWrap/>
        <w:overflowPunct/>
        <w:topLinePunct w:val="0"/>
        <w:autoSpaceDE/>
        <w:autoSpaceDN/>
        <w:bidi w:val="0"/>
        <w:adjustRightInd w:val="0"/>
        <w:snapToGrid w:val="0"/>
        <w:spacing w:afterAutospacing="0" w:line="360" w:lineRule="auto"/>
        <w:ind w:firstLine="482" w:firstLineChars="200"/>
        <w:textAlignment w:val="auto"/>
        <w:rPr>
          <w:rFonts w:hint="eastAsia" w:ascii="宋体" w:hAnsi="宋体" w:cs="Times New Roman"/>
          <w:b/>
          <w:color w:val="auto"/>
          <w:kern w:val="10"/>
          <w:sz w:val="24"/>
          <w:szCs w:val="20"/>
          <w:highlight w:val="none"/>
          <w:lang w:val="en-US" w:eastAsia="zh-CN" w:bidi="ar-SA"/>
        </w:rPr>
      </w:pPr>
      <w:r>
        <w:rPr>
          <w:rFonts w:hint="eastAsia" w:ascii="宋体" w:hAnsi="宋体" w:cs="Times New Roman"/>
          <w:b/>
          <w:color w:val="auto"/>
          <w:kern w:val="10"/>
          <w:sz w:val="24"/>
          <w:szCs w:val="20"/>
          <w:highlight w:val="none"/>
          <w:lang w:val="en-US" w:eastAsia="zh-CN" w:bidi="ar-SA"/>
        </w:rPr>
        <w:t>十</w:t>
      </w:r>
      <w:r>
        <w:rPr>
          <w:rFonts w:hint="eastAsia" w:cs="Times New Roman"/>
          <w:b/>
          <w:color w:val="auto"/>
          <w:kern w:val="10"/>
          <w:sz w:val="24"/>
          <w:szCs w:val="20"/>
          <w:highlight w:val="none"/>
          <w:lang w:val="en-US" w:eastAsia="zh-CN" w:bidi="ar-SA"/>
        </w:rPr>
        <w:t>一</w:t>
      </w:r>
      <w:r>
        <w:rPr>
          <w:rFonts w:hint="eastAsia" w:ascii="宋体" w:hAnsi="宋体" w:cs="Times New Roman"/>
          <w:b/>
          <w:color w:val="auto"/>
          <w:kern w:val="10"/>
          <w:sz w:val="24"/>
          <w:szCs w:val="20"/>
          <w:highlight w:val="none"/>
          <w:lang w:val="en-US" w:eastAsia="zh-CN" w:bidi="ar-SA"/>
        </w:rPr>
        <w:t>、中小企业政府采购信用融资</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参加本次采购活动成交的中小企业无需提供财产抵押或第三方担保，凭借政府采购合同可向融资机构申请融资。具体内容详见</w:t>
      </w:r>
      <w:r>
        <w:rPr>
          <w:rFonts w:hint="eastAsia" w:ascii="宋体" w:hAnsi="宋体"/>
          <w:color w:val="auto"/>
          <w:sz w:val="24"/>
          <w:szCs w:val="24"/>
          <w:highlight w:val="none"/>
          <w:lang w:eastAsia="zh-CN"/>
        </w:rPr>
        <w:t>附件</w:t>
      </w:r>
      <w:r>
        <w:rPr>
          <w:rFonts w:hint="eastAsia" w:ascii="宋体" w:hAnsi="宋体"/>
          <w:color w:val="auto"/>
          <w:sz w:val="24"/>
          <w:szCs w:val="24"/>
          <w:highlight w:val="none"/>
        </w:rPr>
        <w:t>《成都市温江区财政局关于公布温江区首批支持中小企业政府采购信用融资银行名单的公告》和《成都市财政局关于公布成都市首批在线开展政府采购信用融资业务银行名单的通知》（成财采〔2019〕49号）。</w:t>
      </w:r>
    </w:p>
    <w:p>
      <w:pPr>
        <w:pStyle w:val="26"/>
        <w:pageBreakBefore w:val="0"/>
        <w:kinsoku/>
        <w:wordWrap/>
        <w:overflowPunct/>
        <w:topLinePunct w:val="0"/>
        <w:bidi w:val="0"/>
        <w:adjustRightInd w:val="0"/>
        <w:snapToGrid w:val="0"/>
        <w:spacing w:afterAutospacing="0" w:line="360" w:lineRule="auto"/>
        <w:ind w:firstLine="482" w:firstLineChars="200"/>
        <w:rPr>
          <w:rFonts w:hint="eastAsia" w:eastAsia="宋体"/>
          <w:b/>
          <w:color w:val="auto"/>
          <w:highlight w:val="none"/>
          <w:lang w:eastAsia="zh-CN"/>
        </w:rPr>
      </w:pPr>
      <w:r>
        <w:rPr>
          <w:rFonts w:hint="eastAsia"/>
          <w:b/>
          <w:color w:val="auto"/>
          <w:highlight w:val="none"/>
          <w:lang w:eastAsia="zh-CN"/>
        </w:rPr>
        <w:t>十二、联系方式</w:t>
      </w:r>
    </w:p>
    <w:p>
      <w:pPr>
        <w:pStyle w:val="26"/>
        <w:pageBreakBefore w:val="0"/>
        <w:kinsoku/>
        <w:wordWrap/>
        <w:overflowPunct/>
        <w:topLinePunct w:val="0"/>
        <w:bidi w:val="0"/>
        <w:adjustRightInd w:val="0"/>
        <w:snapToGrid w:val="0"/>
        <w:spacing w:afterAutospacing="0" w:line="360" w:lineRule="auto"/>
        <w:ind w:firstLine="482" w:firstLineChars="200"/>
        <w:rPr>
          <w:rFonts w:hint="default" w:eastAsia="宋体"/>
          <w:color w:val="auto"/>
          <w:highlight w:val="none"/>
          <w:u w:val="single"/>
          <w:lang w:val="en-US" w:eastAsia="zh-CN"/>
        </w:rPr>
      </w:pPr>
      <w:r>
        <w:rPr>
          <w:rFonts w:hint="eastAsia"/>
          <w:b/>
          <w:color w:val="auto"/>
          <w:highlight w:val="none"/>
        </w:rPr>
        <w:t>（一）采购人</w:t>
      </w:r>
      <w:r>
        <w:rPr>
          <w:rFonts w:hint="eastAsia"/>
          <w:color w:val="auto"/>
          <w:highlight w:val="none"/>
        </w:rPr>
        <w:t>：</w:t>
      </w:r>
      <w:r>
        <w:rPr>
          <w:rFonts w:hint="eastAsia" w:ascii="Times New Roman" w:hAnsi="Times New Roman" w:eastAsia="宋体"/>
          <w:b/>
          <w:sz w:val="24"/>
        </w:rPr>
        <w:t>成都市温江区第二中学校</w:t>
      </w:r>
      <w:r>
        <w:rPr>
          <w:rFonts w:ascii="Times New Roman" w:hAnsi="Times New Roman" w:eastAsia="宋体"/>
          <w:b/>
          <w:sz w:val="24"/>
        </w:rPr>
        <w:t xml:space="preserve"> </w:t>
      </w:r>
    </w:p>
    <w:p>
      <w:pPr>
        <w:pStyle w:val="26"/>
        <w:pageBreakBefore w:val="0"/>
        <w:kinsoku/>
        <w:wordWrap/>
        <w:overflowPunct/>
        <w:topLinePunct w:val="0"/>
        <w:bidi w:val="0"/>
        <w:adjustRightInd w:val="0"/>
        <w:snapToGrid w:val="0"/>
        <w:spacing w:afterAutospacing="0" w:line="360" w:lineRule="auto"/>
        <w:ind w:firstLine="480" w:firstLineChars="200"/>
        <w:rPr>
          <w:rFonts w:hint="default" w:eastAsia="宋体"/>
          <w:color w:val="auto"/>
          <w:highlight w:val="none"/>
          <w:u w:val="single"/>
          <w:lang w:val="en-US" w:eastAsia="zh-CN"/>
        </w:rPr>
      </w:pPr>
      <w:r>
        <w:rPr>
          <w:rFonts w:hint="eastAsia"/>
          <w:color w:val="auto"/>
          <w:highlight w:val="none"/>
        </w:rPr>
        <w:t>地    址：</w:t>
      </w:r>
      <w:r>
        <w:rPr>
          <w:rFonts w:ascii="宋体" w:hAnsi="宋体" w:eastAsia="宋体" w:cs="宋体"/>
          <w:sz w:val="24"/>
          <w:szCs w:val="24"/>
        </w:rPr>
        <w:t>成都市温江区柳台大道东段128号</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r>
        <w:rPr>
          <w:rFonts w:hint="eastAsia"/>
          <w:color w:val="auto"/>
          <w:highlight w:val="none"/>
        </w:rPr>
        <w:t>邮    编：611130</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r>
        <w:rPr>
          <w:rFonts w:hint="eastAsia"/>
          <w:color w:val="auto"/>
          <w:highlight w:val="none"/>
        </w:rPr>
        <w:t>联 系 人：</w:t>
      </w:r>
      <w:r>
        <w:rPr>
          <w:rFonts w:hint="eastAsia"/>
          <w:color w:val="auto"/>
          <w:highlight w:val="none"/>
          <w:lang w:val="en-US" w:eastAsia="zh-CN"/>
        </w:rPr>
        <w:t xml:space="preserve">白老师  </w:t>
      </w:r>
      <w:r>
        <w:rPr>
          <w:rFonts w:hint="eastAsia"/>
          <w:color w:val="auto"/>
          <w:highlight w:val="none"/>
        </w:rPr>
        <w:t>联系电话：</w:t>
      </w:r>
      <w:r>
        <w:rPr>
          <w:rFonts w:ascii="宋体" w:hAnsi="宋体" w:eastAsia="宋体" w:cs="宋体"/>
          <w:sz w:val="24"/>
          <w:szCs w:val="24"/>
        </w:rPr>
        <w:t>028-82681066</w:t>
      </w:r>
    </w:p>
    <w:p>
      <w:pPr>
        <w:pStyle w:val="26"/>
        <w:pageBreakBefore w:val="0"/>
        <w:kinsoku/>
        <w:wordWrap/>
        <w:overflowPunct/>
        <w:topLinePunct w:val="0"/>
        <w:bidi w:val="0"/>
        <w:adjustRightInd w:val="0"/>
        <w:snapToGrid w:val="0"/>
        <w:spacing w:afterAutospacing="0" w:line="360" w:lineRule="auto"/>
        <w:ind w:firstLine="482" w:firstLineChars="200"/>
        <w:rPr>
          <w:b/>
          <w:color w:val="auto"/>
          <w:highlight w:val="none"/>
        </w:rPr>
      </w:pPr>
      <w:r>
        <w:rPr>
          <w:rFonts w:hint="eastAsia"/>
          <w:b/>
          <w:color w:val="auto"/>
          <w:highlight w:val="none"/>
        </w:rPr>
        <w:t>（二）集中采购机构：成都市温江</w:t>
      </w:r>
      <w:r>
        <w:rPr>
          <w:rFonts w:hint="eastAsia"/>
          <w:b/>
          <w:color w:val="auto"/>
          <w:highlight w:val="none"/>
          <w:lang w:eastAsia="zh-CN"/>
        </w:rPr>
        <w:t>区</w:t>
      </w:r>
      <w:r>
        <w:rPr>
          <w:rFonts w:hint="eastAsia"/>
          <w:b/>
          <w:color w:val="auto"/>
          <w:highlight w:val="none"/>
        </w:rPr>
        <w:t>公共资源交易服务中心</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地    址：成都市温江区锦绣大道南段43号天府智谷C栋3楼</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邮    编：611130</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rPr>
        <w:t>联 系 人</w:t>
      </w:r>
      <w:r>
        <w:rPr>
          <w:rFonts w:hint="eastAsia"/>
          <w:color w:val="auto"/>
          <w:highlight w:val="none"/>
          <w:lang w:eastAsia="zh-CN"/>
        </w:rPr>
        <w:t>：</w:t>
      </w:r>
      <w:r>
        <w:rPr>
          <w:rFonts w:hint="eastAsia"/>
          <w:color w:val="auto"/>
          <w:highlight w:val="none"/>
          <w:lang w:val="en-US" w:eastAsia="zh-CN"/>
        </w:rPr>
        <w:t>顾芹</w:t>
      </w:r>
    </w:p>
    <w:p>
      <w:pPr>
        <w:pStyle w:val="26"/>
        <w:pageBreakBefore w:val="0"/>
        <w:kinsoku/>
        <w:wordWrap/>
        <w:overflowPunct/>
        <w:topLinePunct w:val="0"/>
        <w:bidi w:val="0"/>
        <w:adjustRightInd w:val="0"/>
        <w:snapToGrid w:val="0"/>
        <w:spacing w:afterAutospacing="0" w:line="360" w:lineRule="auto"/>
        <w:ind w:firstLine="480" w:firstLineChars="200"/>
        <w:rPr>
          <w:rFonts w:hint="default" w:eastAsia="宋体"/>
          <w:color w:val="auto"/>
          <w:highlight w:val="none"/>
          <w:lang w:val="en-US" w:eastAsia="zh-CN"/>
        </w:rPr>
      </w:pPr>
      <w:r>
        <w:rPr>
          <w:rFonts w:hint="eastAsia"/>
          <w:color w:val="auto"/>
          <w:highlight w:val="none"/>
        </w:rPr>
        <w:t>联系电话：</w:t>
      </w:r>
      <w:bookmarkStart w:id="6" w:name="EBeb8d297ecfe64323924dbe33cc2e5752"/>
      <w:r>
        <w:rPr>
          <w:rFonts w:hint="eastAsia"/>
          <w:color w:val="auto"/>
          <w:highlight w:val="none"/>
        </w:rPr>
        <w:t>028-</w:t>
      </w:r>
      <w:bookmarkEnd w:id="6"/>
      <w:r>
        <w:rPr>
          <w:rFonts w:hint="eastAsia"/>
          <w:color w:val="auto"/>
          <w:highlight w:val="none"/>
          <w:lang w:val="en-US" w:eastAsia="zh-CN"/>
        </w:rPr>
        <w:t>82781679</w:t>
      </w:r>
    </w:p>
    <w:p>
      <w:pPr>
        <w:pageBreakBefore w:val="0"/>
        <w:kinsoku/>
        <w:wordWrap/>
        <w:overflowPunct/>
        <w:topLinePunct w:val="0"/>
        <w:bidi w:val="0"/>
        <w:adjustRightInd w:val="0"/>
        <w:snapToGrid w:val="0"/>
        <w:spacing w:afterAutospacing="0" w:line="360" w:lineRule="auto"/>
        <w:ind w:firstLine="562" w:firstLineChars="200"/>
        <w:rPr>
          <w:rFonts w:ascii="宋体" w:hAnsi="宋体"/>
          <w:color w:val="auto"/>
          <w:kern w:val="0"/>
          <w:sz w:val="28"/>
          <w:highlight w:val="none"/>
        </w:rPr>
      </w:pPr>
      <w:r>
        <w:rPr>
          <w:rFonts w:hint="eastAsia" w:ascii="宋体" w:hAnsi="宋体"/>
          <w:b/>
          <w:color w:val="auto"/>
          <w:sz w:val="28"/>
          <w:szCs w:val="28"/>
          <w:highlight w:val="none"/>
        </w:rPr>
        <w:t>技术支持电话：</w:t>
      </w:r>
      <w:r>
        <w:rPr>
          <w:rFonts w:hint="eastAsia" w:ascii="宋体" w:hAnsi="宋体"/>
          <w:color w:val="auto"/>
          <w:sz w:val="28"/>
          <w:szCs w:val="28"/>
          <w:highlight w:val="none"/>
        </w:rPr>
        <w:t>400-881-7190</w:t>
      </w:r>
    </w:p>
    <w:p>
      <w:pPr>
        <w:pStyle w:val="26"/>
        <w:pageBreakBefore w:val="0"/>
        <w:kinsoku/>
        <w:wordWrap/>
        <w:overflowPunct/>
        <w:topLinePunct w:val="0"/>
        <w:bidi w:val="0"/>
        <w:adjustRightInd w:val="0"/>
        <w:snapToGrid w:val="0"/>
        <w:spacing w:afterAutospacing="0" w:line="360" w:lineRule="auto"/>
        <w:ind w:firstLine="482" w:firstLineChars="200"/>
        <w:rPr>
          <w:b/>
          <w:color w:val="auto"/>
          <w:highlight w:val="none"/>
        </w:rPr>
      </w:pPr>
      <w:r>
        <w:rPr>
          <w:rFonts w:hint="eastAsia"/>
          <w:b/>
          <w:color w:val="auto"/>
          <w:highlight w:val="none"/>
        </w:rPr>
        <w:t>（三）政府采购监督管理部门：成都市温江区财政局</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地    址：成都市温江区海科大厦</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rPr>
        <w:t>联系电话：028-82727142</w:t>
      </w:r>
    </w:p>
    <w:p>
      <w:pPr>
        <w:pageBreakBefore w:val="0"/>
        <w:kinsoku/>
        <w:wordWrap/>
        <w:overflowPunct/>
        <w:topLinePunct w:val="0"/>
        <w:bidi w:val="0"/>
        <w:adjustRightInd w:val="0"/>
        <w:snapToGrid w:val="0"/>
        <w:spacing w:afterAutospacing="0" w:line="360" w:lineRule="auto"/>
        <w:ind w:firstLine="400" w:firstLineChars="200"/>
        <w:rPr>
          <w:rFonts w:hint="eastAsia"/>
          <w:color w:val="auto"/>
          <w:sz w:val="20"/>
          <w:highlight w:val="none"/>
        </w:rPr>
      </w:pPr>
      <w:bookmarkStart w:id="7" w:name="EBa7e00a33df2247fb87c775e3eeb6f68e"/>
      <w:r>
        <w:rPr>
          <w:rFonts w:hint="eastAsia"/>
          <w:color w:val="auto"/>
          <w:sz w:val="20"/>
          <w:highlight w:val="none"/>
        </w:rPr>
        <w:t xml:space="preserve"> </w:t>
      </w:r>
      <w:bookmarkEnd w:id="7"/>
    </w:p>
    <w:p>
      <w:pPr>
        <w:pStyle w:val="3"/>
        <w:pageBreakBefore w:val="0"/>
        <w:kinsoku/>
        <w:wordWrap/>
        <w:overflowPunct/>
        <w:topLinePunct w:val="0"/>
        <w:bidi w:val="0"/>
        <w:adjustRightInd w:val="0"/>
        <w:snapToGrid w:val="0"/>
        <w:spacing w:before="0" w:after="0" w:afterAutospacing="0" w:line="360" w:lineRule="auto"/>
        <w:ind w:firstLine="602" w:firstLineChars="200"/>
        <w:rPr>
          <w:rFonts w:hint="eastAsia"/>
          <w:color w:val="auto"/>
          <w:highlight w:val="none"/>
        </w:rPr>
      </w:pPr>
      <w:r>
        <w:rPr>
          <w:color w:val="auto"/>
          <w:highlight w:val="none"/>
          <w:lang w:val="en-US" w:eastAsia="zh-CN"/>
        </w:rPr>
        <w:br w:type="page"/>
      </w:r>
      <w:bookmarkStart w:id="8" w:name="_Toc15589"/>
      <w:r>
        <w:rPr>
          <w:rFonts w:hint="eastAsia"/>
          <w:color w:val="auto"/>
          <w:highlight w:val="none"/>
        </w:rPr>
        <w:t>第2章 供应商须知</w:t>
      </w:r>
      <w:bookmarkEnd w:id="8"/>
    </w:p>
    <w:p>
      <w:pPr>
        <w:pageBreakBefore w:val="0"/>
        <w:kinsoku/>
        <w:wordWrap/>
        <w:overflowPunct/>
        <w:topLinePunct w:val="0"/>
        <w:bidi w:val="0"/>
        <w:adjustRightInd w:val="0"/>
        <w:snapToGrid w:val="0"/>
        <w:spacing w:afterAutospacing="0" w:line="360" w:lineRule="auto"/>
        <w:ind w:firstLine="400" w:firstLineChars="200"/>
        <w:rPr>
          <w:color w:val="auto"/>
          <w:highlight w:val="none"/>
        </w:rPr>
      </w:pPr>
      <w:bookmarkStart w:id="9" w:name="EB266cf7ac68504172812b037736c5797c"/>
      <w:r>
        <w:rPr>
          <w:rFonts w:hint="eastAsia"/>
          <w:color w:val="auto"/>
          <w:sz w:val="20"/>
          <w:highlight w:val="none"/>
        </w:rPr>
        <w:t xml:space="preserve"> </w:t>
      </w:r>
      <w:bookmarkEnd w:id="9"/>
      <w:bookmarkStart w:id="10" w:name="EB35c251e035b54fa6ae1adfd5df76bd79"/>
      <w:r>
        <w:rPr>
          <w:rFonts w:hint="eastAsia"/>
          <w:color w:val="auto"/>
          <w:sz w:val="20"/>
          <w:highlight w:val="none"/>
        </w:rPr>
        <w:t xml:space="preserve"> </w:t>
      </w:r>
      <w:bookmarkEnd w:id="10"/>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11" w:name="_Toc917"/>
      <w:r>
        <w:rPr>
          <w:rFonts w:hint="eastAsia"/>
          <w:color w:val="auto"/>
          <w:highlight w:val="none"/>
        </w:rPr>
        <w:t>2.1供应商须知前附表</w:t>
      </w:r>
      <w:bookmarkEnd w:id="11"/>
    </w:p>
    <w:tbl>
      <w:tblPr>
        <w:tblStyle w:val="20"/>
        <w:tblW w:w="926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01"/>
        <w:gridCol w:w="1951"/>
        <w:gridCol w:w="6508"/>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01" w:type="dxa"/>
            <w:noWrap w:val="0"/>
            <w:vAlign w:val="center"/>
          </w:tcPr>
          <w:p>
            <w:pPr>
              <w:pStyle w:val="26"/>
              <w:pageBreakBefore w:val="0"/>
              <w:kinsoku/>
              <w:wordWrap/>
              <w:overflowPunct/>
              <w:topLinePunct w:val="0"/>
              <w:bidi w:val="0"/>
              <w:adjustRightInd w:val="0"/>
              <w:snapToGrid w:val="0"/>
              <w:spacing w:afterAutospacing="0" w:line="360" w:lineRule="auto"/>
              <w:ind w:left="0" w:leftChars="0" w:firstLine="0" w:firstLineChars="0"/>
              <w:jc w:val="center"/>
              <w:rPr>
                <w:rFonts w:cs="宋体"/>
                <w:b/>
                <w:color w:val="auto"/>
                <w:sz w:val="21"/>
                <w:highlight w:val="none"/>
                <w:lang w:val="en-US" w:eastAsia="zh-CN"/>
              </w:rPr>
            </w:pPr>
            <w:r>
              <w:rPr>
                <w:rFonts w:hint="eastAsia" w:cs="宋体"/>
                <w:b/>
                <w:color w:val="auto"/>
                <w:sz w:val="21"/>
                <w:highlight w:val="none"/>
                <w:lang w:val="zh-CN" w:eastAsia="zh-CN"/>
              </w:rPr>
              <w:t>序号</w:t>
            </w:r>
          </w:p>
        </w:tc>
        <w:tc>
          <w:tcPr>
            <w:tcW w:w="1951" w:type="dxa"/>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Autospacing="0" w:line="360" w:lineRule="auto"/>
              <w:ind w:left="0" w:firstLine="0" w:firstLineChars="0"/>
              <w:jc w:val="center"/>
              <w:textAlignment w:val="auto"/>
              <w:rPr>
                <w:rFonts w:cs="宋体"/>
                <w:b/>
                <w:color w:val="auto"/>
                <w:sz w:val="21"/>
                <w:szCs w:val="21"/>
                <w:highlight w:val="none"/>
                <w:lang w:val="zh-CN" w:eastAsia="zh-CN"/>
              </w:rPr>
            </w:pPr>
            <w:r>
              <w:rPr>
                <w:rFonts w:hint="eastAsia" w:cs="宋体"/>
                <w:b/>
                <w:color w:val="auto"/>
                <w:sz w:val="21"/>
                <w:szCs w:val="21"/>
                <w:highlight w:val="none"/>
                <w:lang w:val="zh-CN" w:eastAsia="zh-CN"/>
              </w:rPr>
              <w:t>应知事项</w:t>
            </w:r>
          </w:p>
        </w:tc>
        <w:tc>
          <w:tcPr>
            <w:tcW w:w="6508" w:type="dxa"/>
            <w:noWrap w:val="0"/>
            <w:vAlign w:val="center"/>
          </w:tcPr>
          <w:p>
            <w:pPr>
              <w:pStyle w:val="26"/>
              <w:pageBreakBefore w:val="0"/>
              <w:kinsoku/>
              <w:wordWrap/>
              <w:overflowPunct/>
              <w:topLinePunct w:val="0"/>
              <w:bidi w:val="0"/>
              <w:adjustRightInd w:val="0"/>
              <w:snapToGrid w:val="0"/>
              <w:spacing w:afterAutospacing="0" w:line="360" w:lineRule="auto"/>
              <w:ind w:firstLine="422" w:firstLineChars="200"/>
              <w:jc w:val="center"/>
              <w:rPr>
                <w:rFonts w:cs="宋体"/>
                <w:b/>
                <w:color w:val="auto"/>
                <w:sz w:val="21"/>
                <w:highlight w:val="none"/>
                <w:lang w:val="zh-CN" w:eastAsia="zh-CN"/>
              </w:rPr>
            </w:pPr>
            <w:r>
              <w:rPr>
                <w:rFonts w:hint="eastAsia" w:cs="宋体"/>
                <w:b/>
                <w:color w:val="auto"/>
                <w:sz w:val="21"/>
                <w:highlight w:val="none"/>
                <w:lang w:val="zh-CN" w:eastAsia="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right="0" w:rightChars="0" w:firstLine="0" w:firstLineChars="0"/>
              <w:jc w:val="center"/>
              <w:textAlignment w:val="auto"/>
              <w:rPr>
                <w:color w:val="auto"/>
                <w:highlight w:val="none"/>
              </w:rPr>
            </w:pPr>
            <w:r>
              <w:rPr>
                <w:rFonts w:hint="eastAsia"/>
                <w:color w:val="auto"/>
                <w:highlight w:val="none"/>
              </w:rPr>
              <w:t>1</w:t>
            </w:r>
          </w:p>
        </w:tc>
        <w:tc>
          <w:tcPr>
            <w:tcW w:w="195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rPr>
            </w:pPr>
            <w:r>
              <w:rPr>
                <w:rFonts w:hint="eastAsia"/>
                <w:color w:val="auto"/>
                <w:sz w:val="21"/>
                <w:szCs w:val="21"/>
                <w:highlight w:val="none"/>
              </w:rPr>
              <w:t>采购预算</w:t>
            </w:r>
          </w:p>
        </w:tc>
        <w:tc>
          <w:tcPr>
            <w:tcW w:w="6508" w:type="dxa"/>
            <w:noWrap w:val="0"/>
            <w:vAlign w:val="center"/>
          </w:tcPr>
          <w:p>
            <w:pPr>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b/>
                <w:color w:val="auto"/>
                <w:sz w:val="21"/>
                <w:szCs w:val="21"/>
                <w:highlight w:val="none"/>
                <w:lang w:val="zh-CN"/>
              </w:rPr>
            </w:pPr>
            <w:bookmarkStart w:id="12" w:name="EB98e56ed8678a453280c3e0778f77c07e"/>
            <w:r>
              <w:rPr>
                <w:rFonts w:hint="eastAsia" w:ascii="宋体" w:hAnsi="宋体" w:eastAsia="宋体" w:cs="宋体"/>
                <w:b/>
                <w:color w:val="auto"/>
                <w:sz w:val="21"/>
                <w:szCs w:val="21"/>
                <w:highlight w:val="none"/>
                <w:lang w:val="zh-CN"/>
              </w:rPr>
              <w:t>人民币</w:t>
            </w:r>
            <w:r>
              <w:rPr>
                <w:rFonts w:hint="eastAsia" w:cs="宋体"/>
                <w:b/>
                <w:color w:val="auto"/>
                <w:sz w:val="21"/>
                <w:szCs w:val="21"/>
                <w:highlight w:val="none"/>
                <w:lang w:val="en-US" w:eastAsia="zh-CN"/>
              </w:rPr>
              <w:t>166.76</w:t>
            </w:r>
            <w:r>
              <w:rPr>
                <w:rFonts w:hint="eastAsia" w:ascii="宋体" w:hAnsi="宋体" w:eastAsia="宋体" w:cs="宋体"/>
                <w:b/>
                <w:color w:val="auto"/>
                <w:sz w:val="21"/>
                <w:szCs w:val="21"/>
                <w:highlight w:val="none"/>
                <w:lang w:val="en-US" w:eastAsia="zh-CN"/>
              </w:rPr>
              <w:t>万</w:t>
            </w:r>
            <w:r>
              <w:rPr>
                <w:rFonts w:hint="eastAsia" w:ascii="宋体" w:hAnsi="宋体" w:eastAsia="宋体" w:cs="宋体"/>
                <w:b/>
                <w:color w:val="auto"/>
                <w:sz w:val="21"/>
                <w:szCs w:val="21"/>
                <w:highlight w:val="none"/>
                <w:lang w:val="zh-CN"/>
              </w:rPr>
              <w:t>元。</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14" w:hRule="atLeast"/>
          <w:jc w:val="center"/>
        </w:trPr>
        <w:tc>
          <w:tcPr>
            <w:tcW w:w="8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2</w:t>
            </w:r>
          </w:p>
        </w:tc>
        <w:tc>
          <w:tcPr>
            <w:tcW w:w="1951" w:type="dxa"/>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lang w:val="zh-CN"/>
              </w:rPr>
            </w:pPr>
            <w:r>
              <w:rPr>
                <w:rFonts w:hint="eastAsia"/>
                <w:color w:val="auto"/>
                <w:sz w:val="21"/>
                <w:szCs w:val="21"/>
                <w:highlight w:val="none"/>
                <w:lang w:val="zh-CN"/>
              </w:rPr>
              <w:t>最高限价</w:t>
            </w:r>
          </w:p>
        </w:tc>
        <w:tc>
          <w:tcPr>
            <w:tcW w:w="6508" w:type="dxa"/>
            <w:noWrap w:val="0"/>
            <w:vAlign w:val="center"/>
          </w:tcPr>
          <w:p>
            <w:pPr>
              <w:pStyle w:val="28"/>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jc w:val="both"/>
              <w:textAlignment w:val="auto"/>
              <w:rPr>
                <w:rFonts w:hint="eastAsia" w:ascii="宋体" w:hAnsi="宋体" w:eastAsia="宋体" w:cs="宋体"/>
                <w:b/>
                <w:color w:val="auto"/>
                <w:sz w:val="21"/>
                <w:szCs w:val="21"/>
                <w:highlight w:val="none"/>
                <w:lang w:val="zh-CN"/>
              </w:rPr>
            </w:pPr>
            <w:r>
              <w:rPr>
                <w:rFonts w:hint="eastAsia" w:ascii="宋体" w:hAnsi="宋体" w:eastAsia="宋体" w:cs="宋体"/>
                <w:b/>
                <w:color w:val="auto"/>
                <w:sz w:val="21"/>
                <w:szCs w:val="21"/>
                <w:highlight w:val="none"/>
                <w:lang w:val="zh-CN"/>
              </w:rPr>
              <w:t>本项目最高限价为</w:t>
            </w:r>
            <w:r>
              <w:rPr>
                <w:rFonts w:hint="eastAsia" w:ascii="宋体" w:hAnsi="宋体" w:eastAsia="宋体" w:cs="宋体"/>
                <w:b/>
                <w:color w:val="auto"/>
                <w:sz w:val="21"/>
                <w:szCs w:val="21"/>
                <w:highlight w:val="none"/>
                <w:lang w:val="en-US" w:eastAsia="zh-CN"/>
              </w:rPr>
              <w:t>人民币</w:t>
            </w:r>
            <w:r>
              <w:rPr>
                <w:rFonts w:hint="eastAsia" w:cs="宋体"/>
                <w:b/>
                <w:color w:val="auto"/>
                <w:sz w:val="21"/>
                <w:szCs w:val="21"/>
                <w:highlight w:val="none"/>
                <w:lang w:val="en-US" w:eastAsia="zh-CN"/>
              </w:rPr>
              <w:t>166.76</w:t>
            </w:r>
            <w:r>
              <w:rPr>
                <w:rFonts w:hint="eastAsia" w:ascii="宋体" w:hAnsi="宋体" w:eastAsia="宋体" w:cs="宋体"/>
                <w:b/>
                <w:color w:val="auto"/>
                <w:sz w:val="21"/>
                <w:szCs w:val="21"/>
                <w:highlight w:val="none"/>
                <w:lang w:val="en-US" w:eastAsia="zh-CN"/>
              </w:rPr>
              <w:t>万</w:t>
            </w:r>
            <w:r>
              <w:rPr>
                <w:rFonts w:hint="eastAsia" w:ascii="宋体" w:hAnsi="宋体" w:eastAsia="宋体" w:cs="宋体"/>
                <w:b/>
                <w:color w:val="auto"/>
                <w:sz w:val="21"/>
                <w:szCs w:val="21"/>
                <w:highlight w:val="none"/>
                <w:lang w:val="zh-CN"/>
              </w:rPr>
              <w:t>元。供应商最后报价高于各包最高限价的，则其响应文件按无效响应文件处理。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70" w:hRule="exact"/>
          <w:jc w:val="center"/>
        </w:trPr>
        <w:tc>
          <w:tcPr>
            <w:tcW w:w="8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right="0" w:rightChars="0" w:firstLine="0" w:firstLineChars="0"/>
              <w:jc w:val="center"/>
              <w:textAlignment w:val="auto"/>
              <w:rPr>
                <w:color w:val="auto"/>
                <w:highlight w:val="none"/>
              </w:rPr>
            </w:pPr>
            <w:r>
              <w:rPr>
                <w:rFonts w:hint="eastAsia"/>
                <w:color w:val="auto"/>
                <w:highlight w:val="none"/>
                <w:lang w:val="en-US" w:eastAsia="zh-CN"/>
              </w:rPr>
              <w:t>3</w:t>
            </w:r>
          </w:p>
        </w:tc>
        <w:tc>
          <w:tcPr>
            <w:tcW w:w="1951" w:type="dxa"/>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lang w:val="zh-CN"/>
              </w:rPr>
            </w:pPr>
            <w:r>
              <w:rPr>
                <w:rFonts w:hint="eastAsia"/>
                <w:color w:val="auto"/>
                <w:sz w:val="21"/>
                <w:szCs w:val="21"/>
                <w:highlight w:val="none"/>
                <w:lang w:val="zh-CN"/>
              </w:rPr>
              <w:t>采购方式</w:t>
            </w:r>
          </w:p>
        </w:tc>
        <w:tc>
          <w:tcPr>
            <w:tcW w:w="6508" w:type="dxa"/>
            <w:noWrap w:val="0"/>
            <w:vAlign w:val="center"/>
          </w:tcPr>
          <w:p>
            <w:pPr>
              <w:pStyle w:val="28"/>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color w:val="auto"/>
                <w:highlight w:val="none"/>
              </w:rPr>
            </w:pPr>
            <w:r>
              <w:rPr>
                <w:rFonts w:hint="eastAsia"/>
                <w:color w:val="auto"/>
                <w:highlight w:val="none"/>
              </w:rPr>
              <w:t>4</w:t>
            </w:r>
          </w:p>
        </w:tc>
        <w:tc>
          <w:tcPr>
            <w:tcW w:w="1951" w:type="dxa"/>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lang w:val="zh-CN"/>
              </w:rPr>
            </w:pPr>
            <w:r>
              <w:rPr>
                <w:rFonts w:hint="eastAsia"/>
                <w:color w:val="auto"/>
                <w:sz w:val="21"/>
                <w:szCs w:val="21"/>
                <w:highlight w:val="none"/>
                <w:lang w:val="zh-CN"/>
              </w:rPr>
              <w:t>评审方法</w:t>
            </w:r>
          </w:p>
        </w:tc>
        <w:tc>
          <w:tcPr>
            <w:tcW w:w="6508" w:type="dxa"/>
            <w:noWrap w:val="0"/>
            <w:vAlign w:val="center"/>
          </w:tcPr>
          <w:p>
            <w:pPr>
              <w:pStyle w:val="28"/>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综合评分法(详见第5章)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90" w:hRule="atLeast"/>
          <w:jc w:val="center"/>
        </w:trPr>
        <w:tc>
          <w:tcPr>
            <w:tcW w:w="8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color w:val="auto"/>
                <w:highlight w:val="none"/>
              </w:rPr>
            </w:pPr>
            <w:r>
              <w:rPr>
                <w:rFonts w:hint="eastAsia"/>
                <w:color w:val="auto"/>
                <w:highlight w:val="none"/>
              </w:rPr>
              <w:t>5</w:t>
            </w:r>
          </w:p>
        </w:tc>
        <w:tc>
          <w:tcPr>
            <w:tcW w:w="1951" w:type="dxa"/>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left"/>
              <w:textAlignment w:val="auto"/>
              <w:rPr>
                <w:rFonts w:eastAsia="仿宋_GB2312"/>
                <w:color w:val="auto"/>
                <w:kern w:val="2"/>
                <w:sz w:val="21"/>
                <w:szCs w:val="21"/>
                <w:highlight w:val="none"/>
                <w:lang w:val="zh-CN"/>
              </w:rPr>
            </w:pPr>
            <w:r>
              <w:rPr>
                <w:rFonts w:hint="eastAsia"/>
                <w:color w:val="auto"/>
                <w:sz w:val="21"/>
                <w:szCs w:val="21"/>
                <w:highlight w:val="none"/>
                <w:lang w:val="zh-CN"/>
              </w:rPr>
              <w:t>低于成本价不正当竞争预防措施</w:t>
            </w:r>
          </w:p>
        </w:tc>
        <w:tc>
          <w:tcPr>
            <w:tcW w:w="6508" w:type="dxa"/>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Autospacing="0" w:line="360" w:lineRule="auto"/>
              <w:ind w:right="0" w:rightChars="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在评审过程中，磋商小组认为供应商最后报价明显低于其他通过符合性审查供应商的最后报价，有可能影响服务质量或者不能诚信履约的，磋商小组应当要求其在合理的时间内提供书面说明，必要时提交相关证明材料。供应商提交的书面说明、相关证明材料（如涉及），应当加盖供应商（法定名称）电子签章，在磋商小组要求的时间内通过政府采购云平台进行递交，否则无效。如因断电、断网、系统故障或其他不可抗力等因素，导致系统无法使用的，由供应商按磋商小组的要求进行澄清或者说明。供应商不能证明其报价合理性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88"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Autospacing="0" w:line="240" w:lineRule="auto"/>
              <w:ind w:left="0" w:leftChars="0" w:right="0" w:rightChars="0" w:firstLine="0" w:firstLineChars="0"/>
              <w:jc w:val="center"/>
              <w:textAlignment w:val="auto"/>
              <w:rPr>
                <w:rFonts w:hint="default" w:ascii="宋体" w:hAnsi="宋体" w:cs="宋体"/>
                <w:color w:val="auto"/>
                <w:kern w:val="2"/>
                <w:sz w:val="21"/>
                <w:szCs w:val="22"/>
                <w:highlight w:val="none"/>
                <w:lang w:val="en-US" w:eastAsia="zh-CN" w:bidi="ar-SA"/>
              </w:rPr>
            </w:pPr>
            <w:r>
              <w:rPr>
                <w:rFonts w:hint="eastAsia" w:cs="宋体"/>
                <w:color w:val="auto"/>
                <w:kern w:val="2"/>
                <w:sz w:val="21"/>
                <w:szCs w:val="22"/>
                <w:highlight w:val="none"/>
                <w:lang w:val="en-US" w:eastAsia="zh-CN" w:bidi="ar-SA"/>
              </w:rPr>
              <w:t>6</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Autospacing="0" w:line="360" w:lineRule="auto"/>
              <w:ind w:left="0" w:leftChars="0" w:right="0" w:rightChars="0" w:firstLine="0" w:firstLineChars="0"/>
              <w:jc w:val="center"/>
              <w:textAlignment w:val="auto"/>
              <w:rPr>
                <w:rFonts w:hint="eastAsia" w:ascii="宋体" w:hAnsi="宋体" w:cs="宋体"/>
                <w:color w:val="auto"/>
                <w:kern w:val="2"/>
                <w:sz w:val="21"/>
                <w:szCs w:val="21"/>
                <w:highlight w:val="none"/>
                <w:lang w:val="zh-CN" w:eastAsia="zh-CN" w:bidi="ar-SA"/>
              </w:rPr>
            </w:pPr>
            <w:r>
              <w:rPr>
                <w:rFonts w:hint="eastAsia"/>
                <w:color w:val="auto"/>
                <w:kern w:val="2"/>
                <w:sz w:val="21"/>
                <w:szCs w:val="21"/>
                <w:highlight w:val="none"/>
                <w:lang w:val="zh-CN"/>
              </w:rPr>
              <w:t>小微企业价格扣除</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根据《政府采购促进中小企业发展管理办法》（财库〔2020〕46号）的规定，对小型和微型企业制造的货物的价格给予10%的价格扣除，用扣除后的价格参与评审。供应商提供的货物既有中小企业制造货物，也有大型企业制造货物的，不享受该办法规定的中小企业扶持政策。</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2.供应商应提供《中小企业声明函》。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22"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Autospacing="0" w:line="240" w:lineRule="auto"/>
              <w:ind w:left="0" w:leftChars="0" w:right="0" w:rightChars="0" w:firstLine="0" w:firstLineChars="0"/>
              <w:jc w:val="center"/>
              <w:textAlignment w:val="auto"/>
              <w:rPr>
                <w:rFonts w:hint="default" w:ascii="宋体" w:hAnsi="宋体" w:cs="宋体"/>
                <w:color w:val="auto"/>
                <w:kern w:val="2"/>
                <w:sz w:val="21"/>
                <w:szCs w:val="22"/>
                <w:highlight w:val="none"/>
                <w:lang w:val="en-US" w:eastAsia="zh-CN" w:bidi="ar-SA"/>
              </w:rPr>
            </w:pPr>
            <w:r>
              <w:rPr>
                <w:rFonts w:hint="eastAsia" w:cs="宋体"/>
                <w:color w:val="auto"/>
                <w:kern w:val="2"/>
                <w:sz w:val="21"/>
                <w:szCs w:val="22"/>
                <w:highlight w:val="none"/>
                <w:lang w:val="en-US" w:eastAsia="zh-CN" w:bidi="ar-SA"/>
              </w:rPr>
              <w:t>7</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Autospacing="0" w:line="360" w:lineRule="auto"/>
              <w:ind w:left="0" w:leftChars="0" w:right="0" w:rightChars="0" w:firstLine="0" w:firstLineChars="0"/>
              <w:jc w:val="center"/>
              <w:textAlignment w:val="auto"/>
              <w:rPr>
                <w:rFonts w:hint="eastAsia" w:ascii="宋体" w:hAnsi="宋体" w:cs="宋体"/>
                <w:b w:val="0"/>
                <w:bCs w:val="0"/>
                <w:color w:val="auto"/>
                <w:kern w:val="2"/>
                <w:sz w:val="21"/>
                <w:szCs w:val="21"/>
                <w:highlight w:val="none"/>
                <w:lang w:val="zh-CN" w:eastAsia="zh-CN" w:bidi="ar-SA"/>
              </w:rPr>
            </w:pPr>
            <w:r>
              <w:rPr>
                <w:rFonts w:hint="eastAsia"/>
                <w:b w:val="0"/>
                <w:bCs w:val="0"/>
                <w:color w:val="auto"/>
                <w:kern w:val="2"/>
                <w:sz w:val="21"/>
                <w:szCs w:val="21"/>
                <w:highlight w:val="none"/>
                <w:lang w:val="zh-CN"/>
              </w:rPr>
              <w:t>监狱企业价格扣除</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Autospacing="0" w:line="360" w:lineRule="auto"/>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zh-CN"/>
              </w:rPr>
              <w:t>根据《关于政府采购支持监狱企业发展有关问题的通知》（财库〔2014〕68号）的规定，监狱企业视同小型、微型企业，对监狱企业制造的货物的价格给予10%的价格扣除，用扣除后的价格参与评审。</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b w:val="0"/>
                <w:bCs w:val="0"/>
                <w:color w:val="auto"/>
                <w:sz w:val="21"/>
                <w:szCs w:val="21"/>
                <w:highlight w:val="none"/>
                <w:lang w:val="zh-CN"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zh-CN"/>
              </w:rPr>
              <w:t>供应商为监狱企业的,应提供由省级以上监狱管理局、戒毒管理局（含新疆生产建设兵团）出具的供应商属于监狱企业的证明文件复印件。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55"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Autospacing="0" w:line="240" w:lineRule="auto"/>
              <w:ind w:left="0" w:leftChars="0" w:right="0" w:rightChars="0" w:firstLine="0" w:firstLineChars="0"/>
              <w:jc w:val="center"/>
              <w:textAlignment w:val="auto"/>
              <w:rPr>
                <w:rFonts w:hint="default" w:ascii="宋体" w:hAnsi="宋体" w:cs="宋体"/>
                <w:color w:val="auto"/>
                <w:kern w:val="2"/>
                <w:sz w:val="21"/>
                <w:szCs w:val="22"/>
                <w:highlight w:val="none"/>
                <w:lang w:val="en-US" w:eastAsia="zh-CN" w:bidi="ar-SA"/>
              </w:rPr>
            </w:pPr>
            <w:r>
              <w:rPr>
                <w:rFonts w:hint="eastAsia" w:cs="宋体"/>
                <w:color w:val="auto"/>
                <w:kern w:val="2"/>
                <w:sz w:val="21"/>
                <w:szCs w:val="22"/>
                <w:highlight w:val="none"/>
                <w:lang w:val="en-US" w:eastAsia="zh-CN" w:bidi="ar-SA"/>
              </w:rPr>
              <w:t>8</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Autospacing="0" w:line="360" w:lineRule="auto"/>
              <w:ind w:left="0" w:leftChars="0" w:right="0" w:rightChars="0" w:firstLine="0" w:firstLineChars="0"/>
              <w:jc w:val="left"/>
              <w:textAlignment w:val="auto"/>
              <w:rPr>
                <w:rFonts w:hint="eastAsia" w:ascii="宋体" w:hAnsi="宋体" w:cs="宋体"/>
                <w:color w:val="auto"/>
                <w:kern w:val="2"/>
                <w:sz w:val="21"/>
                <w:szCs w:val="21"/>
                <w:highlight w:val="none"/>
                <w:lang w:val="zh-CN" w:eastAsia="zh-CN" w:bidi="ar-SA"/>
              </w:rPr>
            </w:pPr>
            <w:r>
              <w:rPr>
                <w:rFonts w:hint="eastAsia"/>
                <w:color w:val="auto"/>
                <w:kern w:val="2"/>
                <w:sz w:val="21"/>
                <w:szCs w:val="21"/>
                <w:highlight w:val="none"/>
              </w:rPr>
              <w:t>残疾人福利性单位</w:t>
            </w:r>
            <w:r>
              <w:rPr>
                <w:rFonts w:hint="eastAsia"/>
                <w:color w:val="auto"/>
                <w:kern w:val="2"/>
                <w:sz w:val="21"/>
                <w:szCs w:val="21"/>
                <w:highlight w:val="none"/>
                <w:lang w:val="zh-CN"/>
              </w:rPr>
              <w:t>价格扣除</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Autospacing="0" w:line="360" w:lineRule="auto"/>
              <w:ind w:left="0" w:leftChars="0" w:right="0" w:rightChars="0" w:firstLine="0" w:firstLineChars="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根据《三部门联合发布关于促进残疾人就业政府采购政策的通知》（财库[2017]141号）的规定，残疾人福利性单位视同小型、微型企业，对残疾人福利性单位制造的货物的价格给予10%的价格扣除，用扣除后的价格参与评审。</w:t>
            </w:r>
          </w:p>
          <w:p>
            <w:pPr>
              <w:keepNext w:val="0"/>
              <w:keepLines w:val="0"/>
              <w:pageBreakBefore w:val="0"/>
              <w:widowControl/>
              <w:kinsoku/>
              <w:wordWrap/>
              <w:overflowPunct/>
              <w:topLinePunct w:val="0"/>
              <w:autoSpaceDE/>
              <w:autoSpaceDN/>
              <w:bidi w:val="0"/>
              <w:adjustRightInd w:val="0"/>
              <w:snapToGrid w:val="0"/>
              <w:spacing w:afterAutospacing="0" w:line="360" w:lineRule="auto"/>
              <w:ind w:left="0" w:leftChars="0" w:right="0" w:rightChars="0" w:firstLine="0" w:firstLineChars="0"/>
              <w:jc w:val="left"/>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2.供应商应提供《残疾人福利性单位声明函》。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eastAsia" w:eastAsia="宋体"/>
                <w:color w:val="auto"/>
                <w:highlight w:val="none"/>
                <w:lang w:eastAsia="zh-CN"/>
              </w:rPr>
            </w:pPr>
            <w:r>
              <w:rPr>
                <w:rFonts w:hint="eastAsia"/>
                <w:color w:val="auto"/>
                <w:highlight w:val="none"/>
                <w:lang w:val="en-US" w:eastAsia="zh-CN"/>
              </w:rPr>
              <w:t>9</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lang w:val="zh-CN"/>
              </w:rPr>
            </w:pPr>
            <w:r>
              <w:rPr>
                <w:rFonts w:hint="eastAsia"/>
                <w:color w:val="auto"/>
                <w:sz w:val="21"/>
                <w:szCs w:val="21"/>
                <w:highlight w:val="none"/>
                <w:lang w:val="zh-CN"/>
              </w:rPr>
              <w:t>磋商保证金</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u w:val="single"/>
                <w:lang w:val="zh-CN"/>
              </w:rPr>
            </w:pPr>
            <w:bookmarkStart w:id="13" w:name="EB4f8c085a19294a48ac612af789d09175"/>
            <w:r>
              <w:rPr>
                <w:rFonts w:hint="eastAsia" w:ascii="宋体" w:hAnsi="宋体" w:eastAsia="宋体" w:cs="宋体"/>
                <w:color w:val="auto"/>
                <w:sz w:val="21"/>
                <w:szCs w:val="21"/>
                <w:highlight w:val="none"/>
                <w:lang w:val="zh-CN"/>
              </w:rPr>
              <w:t>本项目不收取磋商保证金</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6"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10</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lang w:val="zh-CN"/>
              </w:rPr>
            </w:pPr>
            <w:r>
              <w:rPr>
                <w:rFonts w:hint="eastAsia"/>
                <w:color w:val="auto"/>
                <w:sz w:val="21"/>
                <w:szCs w:val="21"/>
                <w:highlight w:val="none"/>
                <w:lang w:val="zh-CN"/>
              </w:rPr>
              <w:t>履约保证金</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default" w:ascii="宋体" w:hAnsi="宋体" w:eastAsia="宋体" w:cs="宋体"/>
                <w:color w:val="auto"/>
                <w:sz w:val="21"/>
                <w:szCs w:val="21"/>
                <w:highlight w:val="none"/>
                <w:lang w:val="en-US" w:eastAsia="zh-CN"/>
              </w:rPr>
            </w:pPr>
            <w:r>
              <w:rPr>
                <w:rFonts w:hint="eastAsia" w:cs="宋体"/>
                <w:b w:val="0"/>
                <w:bCs w:val="0"/>
                <w:color w:val="auto"/>
                <w:sz w:val="21"/>
                <w:szCs w:val="21"/>
                <w:highlight w:val="none"/>
                <w:lang w:val="en-US" w:eastAsia="zh-CN"/>
              </w:rPr>
              <w:t>详见2.8.4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2"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11</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tabs>
                <w:tab w:val="left" w:pos="7665"/>
              </w:tabs>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rFonts w:hint="eastAsia" w:ascii="宋体" w:hAnsi="宋体" w:cs="宋体"/>
                <w:color w:val="auto"/>
                <w:kern w:val="2"/>
                <w:sz w:val="21"/>
                <w:szCs w:val="21"/>
                <w:highlight w:val="none"/>
                <w:lang w:val="en-US" w:eastAsia="zh-CN" w:bidi="ar-SA"/>
              </w:rPr>
            </w:pPr>
            <w:r>
              <w:rPr>
                <w:rFonts w:hint="eastAsia"/>
                <w:color w:val="auto"/>
                <w:sz w:val="21"/>
                <w:szCs w:val="21"/>
                <w:highlight w:val="none"/>
              </w:rPr>
              <w:t>响应文件有效期</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递交响应文件的截止之日起</w:t>
            </w:r>
            <w:r>
              <w:rPr>
                <w:rFonts w:hint="eastAsia" w:ascii="宋体" w:hAnsi="宋体" w:eastAsia="宋体" w:cs="宋体"/>
                <w:color w:val="auto"/>
                <w:sz w:val="21"/>
                <w:szCs w:val="21"/>
                <w:highlight w:val="none"/>
                <w:u w:val="single"/>
              </w:rPr>
              <w:t>120</w:t>
            </w:r>
            <w:r>
              <w:rPr>
                <w:rFonts w:hint="eastAsia" w:ascii="宋体" w:hAnsi="宋体" w:eastAsia="宋体" w:cs="宋体"/>
                <w:color w:val="auto"/>
                <w:sz w:val="21"/>
                <w:szCs w:val="21"/>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12</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tabs>
                <w:tab w:val="left" w:pos="7665"/>
              </w:tabs>
              <w:kinsoku/>
              <w:wordWrap/>
              <w:overflowPunct/>
              <w:topLinePunct w:val="0"/>
              <w:autoSpaceDE/>
              <w:autoSpaceDN/>
              <w:bidi w:val="0"/>
              <w:adjustRightInd w:val="0"/>
              <w:snapToGrid w:val="0"/>
              <w:spacing w:afterAutospacing="0" w:line="360" w:lineRule="auto"/>
              <w:ind w:left="0" w:right="0" w:rightChars="0" w:firstLine="0" w:firstLineChars="0"/>
              <w:jc w:val="left"/>
              <w:textAlignment w:val="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响应文件的制作、签章和加密</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详见供应商须知2.4.</w:t>
            </w:r>
            <w:r>
              <w:rPr>
                <w:rFonts w:hint="eastAsia" w:ascii="宋体" w:hAnsi="宋体" w:eastAsia="宋体" w:cs="宋体"/>
                <w:color w:val="auto"/>
                <w:sz w:val="21"/>
                <w:szCs w:val="21"/>
                <w:highlight w:val="none"/>
                <w:lang w:val="en-US" w:eastAsia="zh-CN"/>
              </w:rPr>
              <w:t>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13</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tabs>
                <w:tab w:val="left" w:pos="7665"/>
              </w:tabs>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rFonts w:hint="eastAsia" w:ascii="宋体" w:hAnsi="宋体" w:cs="宋体"/>
                <w:color w:val="auto"/>
                <w:kern w:val="2"/>
                <w:sz w:val="21"/>
                <w:szCs w:val="21"/>
                <w:highlight w:val="none"/>
                <w:lang w:val="en-US" w:eastAsia="zh-CN" w:bidi="ar-SA"/>
              </w:rPr>
            </w:pPr>
            <w:r>
              <w:rPr>
                <w:rFonts w:hint="eastAsia"/>
                <w:color w:val="auto"/>
                <w:sz w:val="21"/>
                <w:szCs w:val="21"/>
                <w:highlight w:val="none"/>
                <w:lang w:eastAsia="zh-CN"/>
              </w:rPr>
              <w:t>响应</w:t>
            </w:r>
            <w:r>
              <w:rPr>
                <w:rFonts w:hint="eastAsia" w:ascii="宋体" w:hAnsi="宋体"/>
                <w:color w:val="auto"/>
                <w:sz w:val="21"/>
                <w:szCs w:val="21"/>
                <w:highlight w:val="none"/>
              </w:rPr>
              <w:t>文件的递交</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详见</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须知2.4.1</w:t>
            </w:r>
            <w:r>
              <w:rPr>
                <w:rFonts w:hint="eastAsia" w:ascii="宋体" w:hAnsi="宋体" w:eastAsia="宋体" w:cs="宋体"/>
                <w:color w:val="auto"/>
                <w:sz w:val="21"/>
                <w:szCs w:val="21"/>
                <w:highlight w:val="none"/>
                <w:lang w:val="en-US" w:eastAsia="zh-CN"/>
              </w:rPr>
              <w:t>1</w:t>
            </w:r>
          </w:p>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注：在递交响应文件截止时间前，供应商使用CA证书将响应文件上传至政府采购云平台，上传前须对响应文件是否有电子签章等进行核对。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14</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tabs>
                <w:tab w:val="left" w:pos="7665"/>
              </w:tabs>
              <w:kinsoku/>
              <w:wordWrap/>
              <w:overflowPunct/>
              <w:topLinePunct w:val="0"/>
              <w:autoSpaceDE/>
              <w:autoSpaceDN/>
              <w:bidi w:val="0"/>
              <w:adjustRightInd w:val="0"/>
              <w:snapToGrid w:val="0"/>
              <w:spacing w:afterAutospacing="0" w:line="360" w:lineRule="auto"/>
              <w:ind w:left="0" w:right="0" w:rightChars="0" w:firstLine="0" w:firstLineChars="0"/>
              <w:jc w:val="left"/>
              <w:textAlignment w:val="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响应文件的补充、修改和撤回</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详见</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须知2.</w:t>
            </w:r>
            <w:r>
              <w:rPr>
                <w:rFonts w:hint="eastAsia" w:ascii="宋体" w:hAnsi="宋体" w:eastAsia="宋体" w:cs="宋体"/>
                <w:color w:val="auto"/>
                <w:sz w:val="21"/>
                <w:szCs w:val="21"/>
                <w:highlight w:val="none"/>
                <w:lang w:val="en-US" w:eastAsia="zh-CN"/>
              </w:rPr>
              <w:t>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15</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rFonts w:hint="eastAsia" w:ascii="宋体" w:hAnsi="宋体" w:cs="宋体"/>
                <w:color w:val="auto"/>
                <w:kern w:val="2"/>
                <w:sz w:val="21"/>
                <w:szCs w:val="21"/>
                <w:highlight w:val="none"/>
                <w:lang w:val="en-US" w:eastAsia="zh-CN" w:bidi="ar-SA"/>
              </w:rPr>
            </w:pPr>
            <w:r>
              <w:rPr>
                <w:rFonts w:hint="eastAsia"/>
                <w:color w:val="auto"/>
                <w:sz w:val="21"/>
                <w:szCs w:val="21"/>
                <w:highlight w:val="none"/>
              </w:rPr>
              <w:t>磋商</w:t>
            </w:r>
            <w:r>
              <w:rPr>
                <w:color w:val="auto"/>
                <w:sz w:val="21"/>
                <w:szCs w:val="21"/>
                <w:highlight w:val="none"/>
              </w:rPr>
              <w:t>活动</w:t>
            </w:r>
            <w:r>
              <w:rPr>
                <w:rFonts w:hint="eastAsia"/>
                <w:color w:val="auto"/>
                <w:sz w:val="21"/>
                <w:szCs w:val="21"/>
                <w:highlight w:val="none"/>
              </w:rPr>
              <w:t>开启程序</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详见供应商须知2.</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响应文件解密：开启解密后，供应商应在系统提示的解密开始时间后60分钟内，使用对响应文件进行加密的CA证书在线完成对供应商递交至政府采购云平台的响应文件的解密。</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供应商电脑终端等硬件设备和软件系统配置：供应商电脑终端等硬件设备和软件系统配置应符合开标大厅供应商电脑终端配置要求并运行正常，供应商承担因未尽职责产生的不利后果。</w:t>
            </w:r>
          </w:p>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color w:val="auto"/>
                <w:sz w:val="21"/>
                <w:szCs w:val="21"/>
                <w:highlight w:val="none"/>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16</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left"/>
              <w:textAlignment w:val="auto"/>
              <w:rPr>
                <w:color w:val="auto"/>
                <w:sz w:val="21"/>
                <w:szCs w:val="21"/>
                <w:highlight w:val="none"/>
              </w:rPr>
            </w:pPr>
            <w:r>
              <w:rPr>
                <w:rFonts w:hint="eastAsia"/>
                <w:color w:val="auto"/>
                <w:sz w:val="21"/>
                <w:szCs w:val="21"/>
                <w:highlight w:val="none"/>
              </w:rPr>
              <w:t>对磋商文件中供应商参加本次政府采购活动应当具备的条件</w:t>
            </w:r>
            <w:r>
              <w:rPr>
                <w:rFonts w:hint="eastAsia"/>
                <w:color w:val="auto"/>
                <w:sz w:val="21"/>
                <w:szCs w:val="21"/>
                <w:highlight w:val="none"/>
                <w:lang w:eastAsia="zh-CN"/>
              </w:rPr>
              <w:t>，项目</w:t>
            </w:r>
            <w:r>
              <w:rPr>
                <w:rFonts w:hint="eastAsia"/>
                <w:color w:val="auto"/>
                <w:sz w:val="21"/>
                <w:szCs w:val="21"/>
                <w:highlight w:val="none"/>
              </w:rPr>
              <w:t>技术、服务</w:t>
            </w:r>
            <w:r>
              <w:rPr>
                <w:rFonts w:hint="eastAsia"/>
                <w:color w:val="auto"/>
                <w:sz w:val="21"/>
                <w:szCs w:val="21"/>
                <w:highlight w:val="none"/>
                <w:lang w:eastAsia="zh-CN"/>
              </w:rPr>
              <w:t>、商务</w:t>
            </w:r>
            <w:r>
              <w:rPr>
                <w:rFonts w:hint="eastAsia"/>
                <w:color w:val="auto"/>
                <w:sz w:val="21"/>
                <w:szCs w:val="21"/>
                <w:highlight w:val="none"/>
              </w:rPr>
              <w:t>及其他要求</w:t>
            </w:r>
            <w:r>
              <w:rPr>
                <w:rFonts w:hint="eastAsia"/>
                <w:color w:val="auto"/>
                <w:sz w:val="21"/>
                <w:szCs w:val="21"/>
                <w:highlight w:val="none"/>
                <w:lang w:eastAsia="zh-CN"/>
              </w:rPr>
              <w:t>，</w:t>
            </w:r>
            <w:r>
              <w:rPr>
                <w:rFonts w:hint="eastAsia" w:ascii="宋体" w:hAnsi="宋体"/>
                <w:color w:val="auto"/>
                <w:sz w:val="21"/>
                <w:szCs w:val="21"/>
                <w:highlight w:val="none"/>
              </w:rPr>
              <w:t>评标细则及标准的询问、质疑</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向采购人提出，并由采购人按相关规定作出答复（详见供应商须知2.</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17</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rPr>
            </w:pPr>
            <w:r>
              <w:rPr>
                <w:rFonts w:hint="eastAsia"/>
                <w:color w:val="auto"/>
                <w:sz w:val="21"/>
                <w:szCs w:val="21"/>
                <w:highlight w:val="none"/>
              </w:rPr>
              <w:t>对磋商文件中的其他内容、采购过程及成交结果的询问、质疑</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pStyle w:val="26"/>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向区公资交易中心提出，并由区公资交易中心按相关规定作出答复（详见供应商须知2.10）。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64" w:hRule="atLeast"/>
          <w:jc w:val="center"/>
        </w:trPr>
        <w:tc>
          <w:tcPr>
            <w:tcW w:w="801" w:type="dxa"/>
            <w:tcBorders>
              <w:top w:val="single" w:color="auto" w:sz="8" w:space="0"/>
              <w:left w:val="single" w:color="auto" w:sz="1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18</w:t>
            </w:r>
          </w:p>
        </w:tc>
        <w:tc>
          <w:tcPr>
            <w:tcW w:w="195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rPr>
            </w:pPr>
            <w:r>
              <w:rPr>
                <w:rFonts w:hint="eastAsia"/>
                <w:color w:val="auto"/>
                <w:sz w:val="21"/>
                <w:szCs w:val="21"/>
                <w:highlight w:val="none"/>
              </w:rPr>
              <w:t>供应商投诉</w:t>
            </w:r>
          </w:p>
        </w:tc>
        <w:tc>
          <w:tcPr>
            <w:tcW w:w="6508" w:type="dxa"/>
            <w:tcBorders>
              <w:top w:val="single" w:color="auto" w:sz="8" w:space="0"/>
              <w:left w:val="single" w:color="auto" w:sz="8" w:space="0"/>
              <w:bottom w:val="single" w:color="auto" w:sz="8" w:space="0"/>
              <w:right w:val="single" w:color="auto" w:sz="18" w:space="0"/>
            </w:tcBorders>
            <w:noWrap w:val="0"/>
            <w:vAlign w:val="center"/>
          </w:tcPr>
          <w:p>
            <w:pPr>
              <w:pStyle w:val="26"/>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投诉受理单位：本项目同级财政部门，即</w:t>
            </w:r>
            <w:r>
              <w:rPr>
                <w:rFonts w:hint="eastAsia" w:ascii="宋体" w:hAnsi="宋体" w:eastAsia="宋体" w:cs="宋体"/>
                <w:color w:val="auto"/>
                <w:kern w:val="2"/>
                <w:sz w:val="21"/>
                <w:szCs w:val="21"/>
                <w:highlight w:val="none"/>
                <w:lang w:val="zh-CN" w:eastAsia="zh-CN"/>
              </w:rPr>
              <w:t>成都市温江区财政局</w:t>
            </w:r>
            <w:r>
              <w:rPr>
                <w:rFonts w:hint="eastAsia" w:ascii="宋体" w:hAnsi="宋体" w:eastAsia="宋体" w:cs="宋体"/>
                <w:color w:val="auto"/>
                <w:sz w:val="21"/>
                <w:szCs w:val="21"/>
                <w:highlight w:val="none"/>
                <w:lang w:val="en-US" w:eastAsia="zh-CN"/>
              </w:rPr>
              <w:t>。</w:t>
            </w:r>
          </w:p>
          <w:p>
            <w:pPr>
              <w:pStyle w:val="26"/>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w:t>
            </w:r>
            <w:bookmarkStart w:id="14" w:name="EB91905635386e42c09a9f7b66230bc0eb"/>
            <w:r>
              <w:rPr>
                <w:rFonts w:hint="eastAsia" w:ascii="宋体" w:hAnsi="宋体" w:eastAsia="宋体" w:cs="宋体"/>
                <w:color w:val="auto"/>
                <w:sz w:val="21"/>
                <w:szCs w:val="21"/>
                <w:highlight w:val="none"/>
                <w:lang w:val="en-US" w:eastAsia="zh-CN"/>
              </w:rPr>
              <w:t>028-82727142</w:t>
            </w:r>
            <w:bookmarkEnd w:id="14"/>
            <w:r>
              <w:rPr>
                <w:rFonts w:hint="eastAsia" w:ascii="宋体" w:hAnsi="宋体" w:eastAsia="宋体" w:cs="宋体"/>
                <w:color w:val="auto"/>
                <w:sz w:val="21"/>
                <w:szCs w:val="21"/>
                <w:highlight w:val="none"/>
                <w:lang w:val="en-US" w:eastAsia="zh-CN"/>
              </w:rPr>
              <w:t>。</w:t>
            </w:r>
          </w:p>
          <w:p>
            <w:pPr>
              <w:pStyle w:val="26"/>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w:t>
            </w:r>
            <w:r>
              <w:rPr>
                <w:rFonts w:hint="eastAsia" w:ascii="宋体" w:hAnsi="宋体" w:eastAsia="宋体" w:cs="宋体"/>
                <w:color w:val="auto"/>
                <w:kern w:val="2"/>
                <w:sz w:val="21"/>
                <w:szCs w:val="21"/>
                <w:highlight w:val="none"/>
                <w:lang w:val="zh-CN" w:eastAsia="zh-CN"/>
              </w:rPr>
              <w:t>温江区海科大厦</w:t>
            </w:r>
            <w:r>
              <w:rPr>
                <w:rFonts w:hint="eastAsia" w:ascii="宋体" w:hAnsi="宋体" w:eastAsia="宋体" w:cs="宋体"/>
                <w:color w:val="auto"/>
                <w:sz w:val="21"/>
                <w:szCs w:val="21"/>
                <w:highlight w:val="none"/>
                <w:lang w:val="en-US" w:eastAsia="zh-CN"/>
              </w:rPr>
              <w:t>。</w:t>
            </w:r>
          </w:p>
          <w:p>
            <w:pPr>
              <w:pStyle w:val="26"/>
              <w:keepNext w:val="0"/>
              <w:keepLines w:val="0"/>
              <w:pageBreakBefore w:val="0"/>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邮编：611130。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81" w:hRule="atLeast"/>
          <w:jc w:val="center"/>
        </w:trPr>
        <w:tc>
          <w:tcPr>
            <w:tcW w:w="801" w:type="dxa"/>
            <w:tcBorders>
              <w:top w:val="single" w:color="auto" w:sz="8" w:space="0"/>
              <w:left w:val="single" w:color="auto" w:sz="1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19</w:t>
            </w:r>
          </w:p>
        </w:tc>
        <w:tc>
          <w:tcPr>
            <w:tcW w:w="1951"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lang w:val="zh-CN"/>
              </w:rPr>
            </w:pPr>
            <w:r>
              <w:rPr>
                <w:rFonts w:hint="eastAsia"/>
                <w:color w:val="auto"/>
                <w:sz w:val="21"/>
                <w:szCs w:val="21"/>
                <w:highlight w:val="none"/>
                <w:lang w:val="zh-CN"/>
              </w:rPr>
              <w:t>评审情况公告</w:t>
            </w:r>
          </w:p>
        </w:tc>
        <w:tc>
          <w:tcPr>
            <w:tcW w:w="6508" w:type="dxa"/>
            <w:tcBorders>
              <w:top w:val="single" w:color="auto" w:sz="8" w:space="0"/>
              <w:left w:val="single" w:color="auto" w:sz="8" w:space="0"/>
              <w:bottom w:val="single" w:color="auto" w:sz="4" w:space="0"/>
              <w:right w:val="single" w:color="auto" w:sz="18" w:space="0"/>
            </w:tcBorders>
            <w:noWrap w:val="0"/>
            <w:vAlign w:val="center"/>
          </w:tcPr>
          <w:p>
            <w:pPr>
              <w:keepNext w:val="0"/>
              <w:keepLines w:val="0"/>
              <w:pageBreakBefore w:val="0"/>
              <w:widowControl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所有</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zh-CN"/>
              </w:rPr>
              <w:t>资格性审查情况、响应文件符合性审查情况、采用综合评分法时的得分情况、评审结果等将在“成都市公共资源交易服务中心网”、“四川政府采购网”采购结果公告栏中予以公告。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01" w:type="dxa"/>
            <w:tcBorders>
              <w:top w:val="single" w:color="auto" w:sz="8" w:space="0"/>
              <w:left w:val="single" w:color="auto" w:sz="1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20</w:t>
            </w:r>
          </w:p>
        </w:tc>
        <w:tc>
          <w:tcPr>
            <w:tcW w:w="1951"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rPr>
            </w:pPr>
            <w:r>
              <w:rPr>
                <w:rFonts w:hint="eastAsia"/>
                <w:color w:val="auto"/>
                <w:sz w:val="21"/>
                <w:szCs w:val="21"/>
                <w:highlight w:val="none"/>
                <w:lang w:val="zh-CN"/>
              </w:rPr>
              <w:t>成交通知书领取</w:t>
            </w:r>
          </w:p>
        </w:tc>
        <w:tc>
          <w:tcPr>
            <w:tcW w:w="6508" w:type="dxa"/>
            <w:tcBorders>
              <w:top w:val="single" w:color="auto" w:sz="8" w:space="0"/>
              <w:left w:val="single" w:color="auto" w:sz="8" w:space="0"/>
              <w:bottom w:val="single" w:color="auto" w:sz="4"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1" w:hRule="atLeast"/>
          <w:jc w:val="center"/>
        </w:trPr>
        <w:tc>
          <w:tcPr>
            <w:tcW w:w="801" w:type="dxa"/>
            <w:tcBorders>
              <w:top w:val="single" w:color="auto" w:sz="8" w:space="0"/>
              <w:left w:val="single" w:color="auto" w:sz="1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21</w:t>
            </w:r>
          </w:p>
        </w:tc>
        <w:tc>
          <w:tcPr>
            <w:tcW w:w="1951" w:type="dxa"/>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rPr>
            </w:pPr>
            <w:r>
              <w:rPr>
                <w:rFonts w:hint="eastAsia"/>
                <w:color w:val="auto"/>
                <w:sz w:val="21"/>
                <w:szCs w:val="21"/>
                <w:highlight w:val="none"/>
              </w:rPr>
              <w:t>合同签订地点</w:t>
            </w:r>
          </w:p>
        </w:tc>
        <w:tc>
          <w:tcPr>
            <w:tcW w:w="6508" w:type="dxa"/>
            <w:tcBorders>
              <w:top w:val="single" w:color="auto" w:sz="8" w:space="0"/>
              <w:left w:val="single" w:color="auto" w:sz="8" w:space="0"/>
              <w:bottom w:val="single" w:color="auto" w:sz="4"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四川省成都市温江区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01" w:type="dxa"/>
            <w:tcBorders>
              <w:top w:val="single" w:color="auto" w:sz="4" w:space="0"/>
              <w:left w:val="single" w:color="auto" w:sz="1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22</w:t>
            </w:r>
          </w:p>
        </w:tc>
        <w:tc>
          <w:tcPr>
            <w:tcW w:w="1951" w:type="dxa"/>
            <w:tcBorders>
              <w:top w:val="single" w:color="auto" w:sz="4" w:space="0"/>
              <w:left w:val="single" w:color="auto" w:sz="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color w:val="auto"/>
                <w:sz w:val="21"/>
                <w:szCs w:val="21"/>
                <w:highlight w:val="none"/>
              </w:rPr>
            </w:pPr>
            <w:r>
              <w:rPr>
                <w:rFonts w:hint="eastAsia"/>
                <w:color w:val="auto"/>
                <w:sz w:val="21"/>
                <w:szCs w:val="21"/>
                <w:highlight w:val="none"/>
              </w:rPr>
              <w:t>政府采购合同公告、备案</w:t>
            </w:r>
          </w:p>
        </w:tc>
        <w:tc>
          <w:tcPr>
            <w:tcW w:w="6508" w:type="dxa"/>
            <w:tcBorders>
              <w:top w:val="single" w:color="auto" w:sz="4" w:space="0"/>
              <w:left w:val="single" w:color="auto" w:sz="8" w:space="0"/>
              <w:bottom w:val="single" w:color="auto" w:sz="4"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政府采购合同签订之日起2个工作日内，采购人将在四川政府采购网公告政府采购合同；疫情防控期间，采购人原则上在5个工作日内与供应商签订政府采购合同及向本采购项目同级财政部门，即成都市</w:t>
            </w:r>
            <w:r>
              <w:rPr>
                <w:rFonts w:hint="eastAsia" w:ascii="宋体" w:hAnsi="宋体" w:eastAsia="宋体" w:cs="宋体"/>
                <w:color w:val="auto"/>
                <w:sz w:val="21"/>
                <w:szCs w:val="21"/>
                <w:highlight w:val="none"/>
                <w:lang w:val="en-US" w:eastAsia="zh-CN"/>
              </w:rPr>
              <w:t>温江区</w:t>
            </w:r>
            <w:r>
              <w:rPr>
                <w:rFonts w:hint="eastAsia" w:ascii="宋体" w:hAnsi="宋体" w:eastAsia="宋体" w:cs="宋体"/>
                <w:color w:val="auto"/>
                <w:sz w:val="21"/>
                <w:szCs w:val="21"/>
                <w:highlight w:val="none"/>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01" w:type="dxa"/>
            <w:tcBorders>
              <w:top w:val="single" w:color="auto" w:sz="4" w:space="0"/>
              <w:left w:val="single" w:color="auto" w:sz="1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23</w:t>
            </w:r>
          </w:p>
        </w:tc>
        <w:tc>
          <w:tcPr>
            <w:tcW w:w="1951" w:type="dxa"/>
            <w:tcBorders>
              <w:top w:val="single" w:color="auto" w:sz="4" w:space="0"/>
              <w:left w:val="single" w:color="auto" w:sz="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rFonts w:hint="eastAsia" w:ascii="宋体" w:hAnsi="宋体"/>
                <w:color w:val="auto"/>
                <w:sz w:val="21"/>
                <w:szCs w:val="21"/>
                <w:highlight w:val="none"/>
              </w:rPr>
            </w:pPr>
            <w:r>
              <w:rPr>
                <w:rFonts w:hint="eastAsia"/>
                <w:color w:val="000000"/>
                <w:sz w:val="21"/>
                <w:szCs w:val="21"/>
                <w:shd w:val="clear" w:color="auto" w:fill="FFFFFF"/>
              </w:rPr>
              <w:t>进口产品</w:t>
            </w:r>
          </w:p>
        </w:tc>
        <w:tc>
          <w:tcPr>
            <w:tcW w:w="6508" w:type="dxa"/>
            <w:tcBorders>
              <w:top w:val="single" w:color="auto" w:sz="4" w:space="0"/>
              <w:left w:val="single" w:color="auto" w:sz="8" w:space="0"/>
              <w:bottom w:val="single" w:color="auto" w:sz="4"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shd w:val="clear" w:color="auto" w:fill="FFFFFF"/>
                <w:lang w:val="en-US" w:eastAsia="zh-CN"/>
              </w:rPr>
              <w:t>磋商</w:t>
            </w:r>
            <w:r>
              <w:rPr>
                <w:rFonts w:hint="eastAsia" w:ascii="宋体" w:hAnsi="宋体" w:eastAsia="宋体" w:cs="宋体"/>
                <w:color w:val="000000"/>
                <w:sz w:val="21"/>
                <w:szCs w:val="21"/>
                <w:shd w:val="clear" w:color="auto" w:fill="FFFFFF"/>
              </w:rPr>
              <w:t>文件中未载明“允许采购进口产品”的产品，拒绝进口产品的报价。磋商文件中载明“允许采购进口产品”的产品，允许国产产品参</w:t>
            </w:r>
            <w:r>
              <w:rPr>
                <w:rFonts w:hint="eastAsia" w:ascii="宋体" w:hAnsi="宋体" w:eastAsia="宋体" w:cs="宋体"/>
                <w:color w:val="000000"/>
                <w:sz w:val="21"/>
                <w:szCs w:val="21"/>
                <w:shd w:val="clear" w:color="auto" w:fill="FFFFFF"/>
                <w:lang w:val="en-US" w:eastAsia="zh-CN"/>
              </w:rPr>
              <w:t>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32" w:hRule="atLeast"/>
          <w:jc w:val="center"/>
        </w:trPr>
        <w:tc>
          <w:tcPr>
            <w:tcW w:w="801" w:type="dxa"/>
            <w:tcBorders>
              <w:top w:val="single" w:color="auto" w:sz="4" w:space="0"/>
              <w:left w:val="single" w:color="auto" w:sz="1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24</w:t>
            </w:r>
          </w:p>
        </w:tc>
        <w:tc>
          <w:tcPr>
            <w:tcW w:w="1951" w:type="dxa"/>
            <w:tcBorders>
              <w:top w:val="single" w:color="auto" w:sz="4" w:space="0"/>
              <w:left w:val="single" w:color="auto" w:sz="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right="0" w:rightChars="0" w:firstLine="0" w:firstLineChars="0"/>
              <w:jc w:val="center"/>
              <w:textAlignment w:val="auto"/>
              <w:rPr>
                <w:rFonts w:hint="eastAsia" w:ascii="宋体" w:hAnsi="宋体" w:cs="宋体"/>
                <w:b/>
                <w:color w:val="auto"/>
                <w:kern w:val="2"/>
                <w:sz w:val="21"/>
                <w:szCs w:val="21"/>
                <w:highlight w:val="none"/>
                <w:lang w:val="en-US" w:eastAsia="zh-CN" w:bidi="ar-SA"/>
              </w:rPr>
            </w:pPr>
            <w:r>
              <w:rPr>
                <w:rFonts w:hint="eastAsia" w:ascii="宋体" w:hAnsi="宋体"/>
                <w:color w:val="auto"/>
                <w:sz w:val="21"/>
                <w:szCs w:val="21"/>
                <w:highlight w:val="none"/>
              </w:rPr>
              <w:t>中小企业政府采购信用融资</w:t>
            </w:r>
          </w:p>
        </w:tc>
        <w:tc>
          <w:tcPr>
            <w:tcW w:w="6508" w:type="dxa"/>
            <w:tcBorders>
              <w:top w:val="single" w:color="auto" w:sz="4" w:space="0"/>
              <w:left w:val="single" w:color="auto" w:sz="8" w:space="0"/>
              <w:bottom w:val="single" w:color="auto" w:sz="4"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360" w:lineRule="auto"/>
              <w:ind w:left="0" w:leftChars="0" w:right="0" w:righ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参加本次采购活动成交的中小企业无需提供财产抵押或第三方担保，凭借政府采购合同可向融资机构申请融资。具体内容详见附件《成都市温江区财政局关于公布温江区首批支持中小企业政府采购信用融资银行名单的公告》和《成都市财政局关于公布成都市首批在线开展政府采购信用融资业务银行名单的通知》（成财采〔2019〕49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17" w:hRule="atLeast"/>
          <w:jc w:val="center"/>
        </w:trPr>
        <w:tc>
          <w:tcPr>
            <w:tcW w:w="801" w:type="dxa"/>
            <w:tcBorders>
              <w:top w:val="single" w:color="auto" w:sz="4" w:space="0"/>
              <w:left w:val="single" w:color="auto" w:sz="18"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ind w:left="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25</w:t>
            </w:r>
          </w:p>
        </w:tc>
        <w:tc>
          <w:tcPr>
            <w:tcW w:w="8459" w:type="dxa"/>
            <w:gridSpan w:val="2"/>
            <w:tcBorders>
              <w:top w:val="single" w:color="auto" w:sz="4" w:space="0"/>
              <w:left w:val="single" w:color="auto" w:sz="8" w:space="0"/>
              <w:bottom w:val="single" w:color="auto" w:sz="4" w:space="0"/>
              <w:right w:val="single" w:color="auto" w:sz="18" w:space="0"/>
            </w:tcBorders>
            <w:noWrap w:val="0"/>
            <w:vAlign w:val="center"/>
          </w:tcPr>
          <w:p>
            <w:pPr>
              <w:keepNext w:val="0"/>
              <w:keepLines w:val="0"/>
              <w:pageBreakBefore w:val="0"/>
              <w:tabs>
                <w:tab w:val="left" w:pos="7665"/>
              </w:tabs>
              <w:kinsoku/>
              <w:wordWrap/>
              <w:overflowPunct/>
              <w:topLinePunct w:val="0"/>
              <w:autoSpaceDE/>
              <w:autoSpaceDN/>
              <w:bidi w:val="0"/>
              <w:adjustRightInd w:val="0"/>
              <w:snapToGrid w:val="0"/>
              <w:spacing w:afterAutospacing="0" w:line="240" w:lineRule="auto"/>
              <w:ind w:right="0" w:rightChars="0" w:firstLine="0" w:firstLineChars="0"/>
              <w:textAlignment w:val="auto"/>
              <w:rPr>
                <w:color w:val="auto"/>
                <w:sz w:val="21"/>
                <w:szCs w:val="21"/>
                <w:highlight w:val="none"/>
              </w:rPr>
            </w:pPr>
            <w:r>
              <w:rPr>
                <w:rFonts w:hint="eastAsia" w:ascii="宋体" w:hAnsi="宋体"/>
                <w:color w:val="auto"/>
                <w:sz w:val="21"/>
                <w:szCs w:val="21"/>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ageBreakBefore w:val="0"/>
        <w:kinsoku/>
        <w:wordWrap/>
        <w:overflowPunct/>
        <w:topLinePunct w:val="0"/>
        <w:bidi w:val="0"/>
        <w:adjustRightInd w:val="0"/>
        <w:snapToGrid w:val="0"/>
        <w:spacing w:afterAutospacing="0" w:line="360" w:lineRule="auto"/>
        <w:ind w:firstLine="400" w:firstLineChars="200"/>
        <w:rPr>
          <w:rFonts w:hint="eastAsia"/>
          <w:color w:val="auto"/>
          <w:highlight w:val="none"/>
        </w:rPr>
      </w:pPr>
      <w:bookmarkStart w:id="15" w:name="EBf488fe2aca9f4b22bcf9ca77b55f433c"/>
      <w:r>
        <w:rPr>
          <w:rFonts w:hint="eastAsia"/>
          <w:color w:val="auto"/>
          <w:sz w:val="20"/>
          <w:highlight w:val="none"/>
        </w:rPr>
        <w:t xml:space="preserve"> </w:t>
      </w:r>
      <w:bookmarkEnd w:id="15"/>
      <w:bookmarkStart w:id="16" w:name="EBbf1257c4c3c543a9a10fee0b0399f11a"/>
      <w:r>
        <w:rPr>
          <w:rFonts w:hint="eastAsia"/>
          <w:color w:val="auto"/>
          <w:sz w:val="20"/>
          <w:highlight w:val="none"/>
        </w:rPr>
        <w:t xml:space="preserve"> </w:t>
      </w:r>
      <w:bookmarkEnd w:id="16"/>
      <w:bookmarkStart w:id="17" w:name="EB76383d92be7144a0ae27ee6bbc7ff87f"/>
      <w:r>
        <w:rPr>
          <w:rFonts w:hint="eastAsia"/>
          <w:color w:val="auto"/>
          <w:sz w:val="20"/>
          <w:highlight w:val="none"/>
        </w:rPr>
        <w:t xml:space="preserve"> </w:t>
      </w:r>
      <w:bookmarkEnd w:id="17"/>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18" w:name="_Toc17290"/>
      <w:r>
        <w:rPr>
          <w:rFonts w:hint="eastAsia"/>
          <w:color w:val="auto"/>
          <w:highlight w:val="none"/>
        </w:rPr>
        <w:t>2.2总则</w:t>
      </w:r>
      <w:bookmarkEnd w:id="18"/>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19" w:name="_Toc31118"/>
      <w:r>
        <w:rPr>
          <w:rFonts w:hint="eastAsia"/>
          <w:color w:val="auto"/>
          <w:highlight w:val="none"/>
        </w:rPr>
        <w:t>2.2.1适用范围</w:t>
      </w:r>
      <w:bookmarkEnd w:id="19"/>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r>
        <w:rPr>
          <w:rFonts w:hint="eastAsia"/>
          <w:color w:val="auto"/>
          <w:highlight w:val="none"/>
        </w:rPr>
        <w:t>一、本磋商文件仅适用于本竞争性磋商邀请中所叙述项目的采购。</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r>
        <w:rPr>
          <w:rFonts w:hint="eastAsia"/>
          <w:color w:val="auto"/>
          <w:highlight w:val="none"/>
        </w:rPr>
        <w:t>二、本磋商文件的最终解释权由采购人或区公资交易中心享有。磋商文件中供应商参加本次政府采购活动应当具备的条件</w:t>
      </w:r>
      <w:r>
        <w:rPr>
          <w:rFonts w:hint="eastAsia"/>
          <w:color w:val="auto"/>
          <w:highlight w:val="none"/>
          <w:lang w:eastAsia="zh-CN"/>
        </w:rPr>
        <w:t>，项目</w:t>
      </w:r>
      <w:r>
        <w:rPr>
          <w:rFonts w:hint="eastAsia"/>
          <w:color w:val="auto"/>
          <w:highlight w:val="none"/>
        </w:rPr>
        <w:t>技术、服务</w:t>
      </w:r>
      <w:r>
        <w:rPr>
          <w:rFonts w:hint="eastAsia"/>
          <w:color w:val="auto"/>
          <w:highlight w:val="none"/>
          <w:lang w:eastAsia="zh-CN"/>
        </w:rPr>
        <w:t>、商务</w:t>
      </w:r>
      <w:r>
        <w:rPr>
          <w:rFonts w:hint="eastAsia"/>
          <w:color w:val="auto"/>
          <w:highlight w:val="none"/>
        </w:rPr>
        <w:t>及其他要求</w:t>
      </w:r>
      <w:r>
        <w:rPr>
          <w:rFonts w:hint="eastAsia"/>
          <w:color w:val="auto"/>
          <w:highlight w:val="none"/>
          <w:lang w:eastAsia="zh-CN"/>
        </w:rPr>
        <w:t>，</w:t>
      </w:r>
      <w:r>
        <w:rPr>
          <w:rFonts w:hint="eastAsia"/>
          <w:color w:val="auto"/>
          <w:highlight w:val="none"/>
        </w:rPr>
        <w:t>评标细则及标准</w:t>
      </w:r>
      <w:r>
        <w:rPr>
          <w:rFonts w:hint="eastAsia"/>
          <w:color w:val="auto"/>
          <w:highlight w:val="none"/>
          <w:lang w:eastAsia="zh-CN"/>
        </w:rPr>
        <w:t>由采购人负责解释</w:t>
      </w:r>
      <w:r>
        <w:rPr>
          <w:rFonts w:hint="eastAsia"/>
          <w:color w:val="auto"/>
          <w:highlight w:val="none"/>
        </w:rPr>
        <w:t>。除上述</w:t>
      </w:r>
      <w:r>
        <w:rPr>
          <w:rFonts w:hint="eastAsia"/>
          <w:color w:val="auto"/>
          <w:highlight w:val="none"/>
          <w:lang w:eastAsia="zh-CN"/>
        </w:rPr>
        <w:t>磋商</w:t>
      </w:r>
      <w:r>
        <w:rPr>
          <w:rFonts w:hint="eastAsia"/>
          <w:color w:val="auto"/>
          <w:highlight w:val="none"/>
        </w:rPr>
        <w:t>文件内容，其他内容由</w:t>
      </w:r>
      <w:r>
        <w:rPr>
          <w:rFonts w:hint="eastAsia"/>
          <w:color w:val="auto"/>
          <w:highlight w:val="none"/>
          <w:lang w:eastAsia="zh-CN"/>
        </w:rPr>
        <w:t>区</w:t>
      </w:r>
      <w:r>
        <w:rPr>
          <w:rFonts w:hint="eastAsia"/>
          <w:color w:val="auto"/>
          <w:highlight w:val="none"/>
        </w:rPr>
        <w:t>公资交易中心负责解释。</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20" w:name="_Toc8197"/>
      <w:r>
        <w:rPr>
          <w:rFonts w:hint="eastAsia"/>
          <w:color w:val="auto"/>
          <w:highlight w:val="none"/>
        </w:rPr>
        <w:t>2.2.2有关定义</w:t>
      </w:r>
      <w:bookmarkEnd w:id="20"/>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rPr>
        <w:t>一、“采购人”、“甲方”系指依法进行政府采购的成都市</w:t>
      </w:r>
      <w:r>
        <w:rPr>
          <w:rFonts w:hint="eastAsia"/>
          <w:color w:val="auto"/>
          <w:highlight w:val="none"/>
          <w:lang w:val="en-US" w:eastAsia="zh-CN"/>
        </w:rPr>
        <w:t>温江区区</w:t>
      </w:r>
      <w:r>
        <w:rPr>
          <w:rFonts w:hint="eastAsia"/>
          <w:color w:val="auto"/>
          <w:highlight w:val="none"/>
        </w:rPr>
        <w:t>级机关、事业单位、团体组织。本次竞争性磋商项目的采购人是</w:t>
      </w:r>
      <w:r>
        <w:rPr>
          <w:rFonts w:hint="eastAsia" w:ascii="宋体" w:hAnsi="宋体" w:eastAsia="宋体" w:cstheme="minorBidi"/>
          <w:b/>
          <w:bCs/>
          <w:sz w:val="24"/>
          <w:szCs w:val="24"/>
        </w:rPr>
        <w:t>成都市温江区第二中学校</w:t>
      </w:r>
      <w:r>
        <w:rPr>
          <w:rFonts w:hint="eastAsia"/>
          <w:color w:val="auto"/>
          <w:highlight w:val="none"/>
          <w:lang w:eastAsia="zh-CN"/>
        </w:rPr>
        <w:t>。</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r>
        <w:rPr>
          <w:rFonts w:hint="eastAsia"/>
          <w:color w:val="auto"/>
          <w:highlight w:val="none"/>
        </w:rPr>
        <w:t>二、“供应商”系指按照竞争性磋商文件“竞争性磋商邀请”中第六、七、八条规定获取了采购文件拟参加竞争性磋商和向采购人提供</w:t>
      </w:r>
      <w:r>
        <w:rPr>
          <w:rFonts w:hint="eastAsia"/>
          <w:color w:val="auto"/>
          <w:highlight w:val="none"/>
          <w:lang w:eastAsia="zh-CN"/>
        </w:rPr>
        <w:t>货物</w:t>
      </w:r>
      <w:r>
        <w:rPr>
          <w:rFonts w:hint="eastAsia"/>
          <w:color w:val="auto"/>
          <w:highlight w:val="none"/>
        </w:rPr>
        <w:t>的供应商。“乙方”系指本项目的成交供应商。</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三、本磋商文件各部分规定的期间以时、日、月、年计算。期间开始的时和日，不计算在期间内，从次日开始计算。期间届满的最后一天是法定节假日的，以法定节假日后的第一日为期间届满的日期。</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四、磋商文件中所称的“以上”、“以下”、“内”、“以内”，包括本数；所称的“不足”，不包括本数。</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五、重大违法记录是指供应商因违法经营受到刑事处罚或者责令停产停业、吊销许可证或者执照、较大数额罚款等行政处罚。</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六、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七、不见面磋商是指</w:t>
      </w:r>
      <w:r>
        <w:rPr>
          <w:rFonts w:hint="eastAsia" w:cs="Times New Roman"/>
          <w:b w:val="0"/>
          <w:bCs w:val="0"/>
          <w:color w:val="auto"/>
          <w:kern w:val="10"/>
          <w:sz w:val="24"/>
          <w:szCs w:val="20"/>
          <w:highlight w:val="none"/>
          <w:lang w:val="en-US" w:eastAsia="zh-CN" w:bidi="ar-SA"/>
        </w:rPr>
        <w:t>区</w:t>
      </w:r>
      <w:r>
        <w:rPr>
          <w:rFonts w:hint="eastAsia" w:ascii="宋体" w:hAnsi="宋体" w:eastAsia="宋体" w:cs="Times New Roman"/>
          <w:b w:val="0"/>
          <w:bCs w:val="0"/>
          <w:color w:val="auto"/>
          <w:kern w:val="10"/>
          <w:sz w:val="24"/>
          <w:szCs w:val="20"/>
          <w:highlight w:val="none"/>
          <w:lang w:val="en-US" w:eastAsia="zh-CN" w:bidi="ar-SA"/>
        </w:rPr>
        <w:t>公资交易中心依托政府采购云平台组织磋商活动，供应商在线参与磋商的一种组织形式。</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21" w:name="_Toc5260"/>
      <w:r>
        <w:rPr>
          <w:rFonts w:hint="eastAsia"/>
          <w:color w:val="auto"/>
          <w:highlight w:val="none"/>
        </w:rPr>
        <w:t>2.2.3合格的供应商</w:t>
      </w:r>
      <w:bookmarkEnd w:id="21"/>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合格的供应商应具备以下条件：</w:t>
      </w:r>
    </w:p>
    <w:p>
      <w:pPr>
        <w:pStyle w:val="26"/>
        <w:pageBreakBefore w:val="0"/>
        <w:kinsoku/>
        <w:wordWrap/>
        <w:overflowPunct/>
        <w:topLinePunct w:val="0"/>
        <w:bidi w:val="0"/>
        <w:adjustRightInd w:val="0"/>
        <w:snapToGrid w:val="0"/>
        <w:spacing w:afterAutospacing="0" w:line="360" w:lineRule="auto"/>
        <w:ind w:firstLine="480" w:firstLineChars="200"/>
        <w:rPr>
          <w:color w:val="auto"/>
          <w:spacing w:val="-4"/>
          <w:highlight w:val="none"/>
        </w:rPr>
      </w:pPr>
      <w:r>
        <w:rPr>
          <w:rFonts w:hint="eastAsia"/>
          <w:color w:val="auto"/>
          <w:highlight w:val="none"/>
        </w:rPr>
        <w:t>一、符合竞争性磋商邀请第</w:t>
      </w:r>
      <w:r>
        <w:rPr>
          <w:rFonts w:hint="eastAsia"/>
          <w:color w:val="auto"/>
          <w:highlight w:val="none"/>
          <w:lang w:eastAsia="zh-CN"/>
        </w:rPr>
        <w:t>四</w:t>
      </w:r>
      <w:r>
        <w:rPr>
          <w:rFonts w:hint="eastAsia"/>
          <w:color w:val="auto"/>
          <w:highlight w:val="none"/>
        </w:rPr>
        <w:t>条规定的条件</w:t>
      </w:r>
      <w:r>
        <w:rPr>
          <w:rFonts w:hint="eastAsia"/>
          <w:color w:val="auto"/>
          <w:spacing w:val="-4"/>
          <w:highlight w:val="none"/>
        </w:rPr>
        <w:t>；</w:t>
      </w:r>
    </w:p>
    <w:p>
      <w:pPr>
        <w:pageBreakBefore w:val="0"/>
        <w:numPr>
          <w:ilvl w:val="0"/>
          <w:numId w:val="0"/>
        </w:numPr>
        <w:tabs>
          <w:tab w:val="left" w:pos="1134"/>
        </w:tabs>
        <w:kinsoku/>
        <w:wordWrap/>
        <w:overflowPunct/>
        <w:topLinePunct w:val="0"/>
        <w:bidi w:val="0"/>
        <w:adjustRightInd w:val="0"/>
        <w:snapToGrid w:val="0"/>
        <w:spacing w:afterAutospacing="0" w:line="360" w:lineRule="auto"/>
        <w:ind w:left="0" w:firstLine="480" w:firstLineChars="200"/>
        <w:rPr>
          <w:rFonts w:hint="eastAsia" w:eastAsia="宋体"/>
          <w:color w:val="auto"/>
          <w:highlight w:val="none"/>
          <w:lang w:val="en-US" w:eastAsia="zh-CN"/>
        </w:rPr>
      </w:pPr>
      <w:r>
        <w:rPr>
          <w:rFonts w:hint="eastAsia" w:ascii="宋体" w:hAnsi="宋体" w:eastAsia="宋体" w:cs="Times New Roman"/>
          <w:color w:val="auto"/>
          <w:kern w:val="10"/>
          <w:sz w:val="24"/>
          <w:szCs w:val="20"/>
          <w:highlight w:val="none"/>
          <w:lang w:val="en-US" w:eastAsia="zh-CN" w:bidi="ar-SA"/>
        </w:rPr>
        <w:t>二、按照竞争性磋商文件“竞争性磋商邀请”中第</w:t>
      </w:r>
      <w:r>
        <w:rPr>
          <w:rFonts w:hint="eastAsia" w:eastAsia="宋体" w:cs="Times New Roman"/>
          <w:color w:val="auto"/>
          <w:kern w:val="10"/>
          <w:sz w:val="24"/>
          <w:szCs w:val="20"/>
          <w:highlight w:val="none"/>
          <w:lang w:val="en-US" w:eastAsia="zh-CN" w:bidi="ar-SA"/>
        </w:rPr>
        <w:t>六</w:t>
      </w:r>
      <w:r>
        <w:rPr>
          <w:rFonts w:hint="eastAsia" w:ascii="宋体" w:hAnsi="宋体" w:eastAsia="宋体" w:cs="Times New Roman"/>
          <w:color w:val="auto"/>
          <w:kern w:val="10"/>
          <w:sz w:val="24"/>
          <w:szCs w:val="20"/>
          <w:highlight w:val="none"/>
          <w:lang w:val="en-US" w:eastAsia="zh-CN" w:bidi="ar-SA"/>
        </w:rPr>
        <w:t>、</w:t>
      </w:r>
      <w:r>
        <w:rPr>
          <w:rFonts w:hint="eastAsia" w:eastAsia="宋体" w:cs="Times New Roman"/>
          <w:color w:val="auto"/>
          <w:kern w:val="10"/>
          <w:sz w:val="24"/>
          <w:szCs w:val="20"/>
          <w:highlight w:val="none"/>
          <w:lang w:val="en-US" w:eastAsia="zh-CN" w:bidi="ar-SA"/>
        </w:rPr>
        <w:t>七</w:t>
      </w:r>
      <w:r>
        <w:rPr>
          <w:rFonts w:hint="eastAsia" w:ascii="宋体" w:hAnsi="宋体" w:eastAsia="宋体" w:cs="Times New Roman"/>
          <w:color w:val="auto"/>
          <w:kern w:val="10"/>
          <w:sz w:val="24"/>
          <w:szCs w:val="20"/>
          <w:highlight w:val="none"/>
          <w:lang w:val="en-US" w:eastAsia="zh-CN" w:bidi="ar-SA"/>
        </w:rPr>
        <w:t>、</w:t>
      </w:r>
      <w:r>
        <w:rPr>
          <w:rFonts w:hint="eastAsia" w:eastAsia="宋体" w:cs="Times New Roman"/>
          <w:color w:val="auto"/>
          <w:kern w:val="10"/>
          <w:sz w:val="24"/>
          <w:szCs w:val="20"/>
          <w:highlight w:val="none"/>
          <w:lang w:val="en-US" w:eastAsia="zh-CN" w:bidi="ar-SA"/>
        </w:rPr>
        <w:t>八</w:t>
      </w:r>
      <w:r>
        <w:rPr>
          <w:rFonts w:hint="eastAsia" w:ascii="宋体" w:hAnsi="宋体" w:eastAsia="宋体" w:cs="Times New Roman"/>
          <w:color w:val="auto"/>
          <w:kern w:val="10"/>
          <w:sz w:val="24"/>
          <w:szCs w:val="20"/>
          <w:highlight w:val="none"/>
          <w:lang w:val="en-US" w:eastAsia="zh-CN" w:bidi="ar-SA"/>
        </w:rPr>
        <w:t>条规定获取了磋商文件。</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22" w:name="_Toc31462"/>
      <w:r>
        <w:rPr>
          <w:rFonts w:hint="eastAsia"/>
          <w:color w:val="auto"/>
          <w:highlight w:val="none"/>
        </w:rPr>
        <w:t>2.2.4参加竞争性磋商的费用</w:t>
      </w:r>
      <w:bookmarkEnd w:id="22"/>
    </w:p>
    <w:p>
      <w:pPr>
        <w:pageBreakBefore w:val="0"/>
        <w:numPr>
          <w:ilvl w:val="0"/>
          <w:numId w:val="0"/>
        </w:numPr>
        <w:tabs>
          <w:tab w:val="left" w:pos="1134"/>
        </w:tabs>
        <w:kinsoku/>
        <w:wordWrap/>
        <w:overflowPunct/>
        <w:topLinePunct w:val="0"/>
        <w:bidi w:val="0"/>
        <w:adjustRightInd w:val="0"/>
        <w:snapToGrid w:val="0"/>
        <w:spacing w:afterAutospacing="0" w:line="360" w:lineRule="auto"/>
        <w:ind w:left="0"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供应商应自行承担参加竞争性磋商采购活动的全部费用。</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23" w:name="_Toc18684"/>
      <w:r>
        <w:rPr>
          <w:rFonts w:hint="eastAsia"/>
          <w:color w:val="auto"/>
          <w:highlight w:val="none"/>
        </w:rPr>
        <w:t>2.2.5充分、公平竞争保障措施</w:t>
      </w:r>
      <w:bookmarkEnd w:id="23"/>
    </w:p>
    <w:p>
      <w:pPr>
        <w:pageBreakBefore w:val="0"/>
        <w:numPr>
          <w:ilvl w:val="0"/>
          <w:numId w:val="3"/>
        </w:numPr>
        <w:tabs>
          <w:tab w:val="left" w:pos="1134"/>
        </w:tabs>
        <w:kinsoku/>
        <w:wordWrap/>
        <w:overflowPunct/>
        <w:topLinePunct w:val="0"/>
        <w:bidi w:val="0"/>
        <w:adjustRightInd w:val="0"/>
        <w:snapToGrid w:val="0"/>
        <w:spacing w:afterAutospacing="0" w:line="360" w:lineRule="auto"/>
        <w:ind w:left="0"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单位负责人为同一人或者存在直接控股、管理关系的不同供应商，不得参加同一项目的投标。</w:t>
      </w:r>
    </w:p>
    <w:p>
      <w:pPr>
        <w:pageBreakBefore w:val="0"/>
        <w:numPr>
          <w:ilvl w:val="0"/>
          <w:numId w:val="3"/>
        </w:numPr>
        <w:tabs>
          <w:tab w:val="left" w:pos="1134"/>
        </w:tabs>
        <w:kinsoku/>
        <w:wordWrap/>
        <w:overflowPunct/>
        <w:topLinePunct w:val="0"/>
        <w:bidi w:val="0"/>
        <w:adjustRightInd w:val="0"/>
        <w:snapToGrid w:val="0"/>
        <w:spacing w:afterAutospacing="0" w:line="360" w:lineRule="auto"/>
        <w:ind w:left="0" w:firstLine="480" w:firstLineChars="200"/>
        <w:rPr>
          <w:rFonts w:hint="eastAsia" w:ascii="宋体" w:hAnsi="宋体" w:eastAsia="宋体" w:cs="Times New Roman"/>
          <w:b/>
          <w:bCs/>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bCs/>
          <w:color w:val="auto"/>
          <w:kern w:val="10"/>
          <w:sz w:val="24"/>
          <w:szCs w:val="20"/>
          <w:highlight w:val="none"/>
          <w:lang w:val="en-US" w:eastAsia="zh-CN" w:bidi="ar-SA"/>
        </w:rPr>
        <w:t>（说明：无供应商为本项目提供整体设计、规范编制或者项目管理、监理、检测等服务。）</w:t>
      </w:r>
    </w:p>
    <w:p>
      <w:pPr>
        <w:pageBreakBefore w:val="0"/>
        <w:numPr>
          <w:ilvl w:val="0"/>
          <w:numId w:val="3"/>
        </w:numPr>
        <w:tabs>
          <w:tab w:val="left" w:pos="1134"/>
        </w:tabs>
        <w:kinsoku/>
        <w:wordWrap/>
        <w:overflowPunct/>
        <w:topLinePunct w:val="0"/>
        <w:bidi w:val="0"/>
        <w:adjustRightInd w:val="0"/>
        <w:snapToGrid w:val="0"/>
        <w:spacing w:afterAutospacing="0" w:line="360" w:lineRule="auto"/>
        <w:ind w:left="0"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本项目</w:t>
      </w:r>
      <w:r>
        <w:rPr>
          <w:rFonts w:hint="eastAsia" w:cs="Times New Roman"/>
          <w:b/>
          <w:bCs/>
          <w:color w:val="auto"/>
          <w:kern w:val="10"/>
          <w:sz w:val="24"/>
          <w:szCs w:val="20"/>
          <w:highlight w:val="none"/>
          <w:lang w:val="en-US" w:eastAsia="zh-CN" w:bidi="ar-SA"/>
        </w:rPr>
        <w:t>核心产品为“LED背景会议灯、线性阵列全频音箱（左右）”</w:t>
      </w:r>
      <w:r>
        <w:rPr>
          <w:rFonts w:hint="eastAsia" w:ascii="宋体" w:hAnsi="宋体" w:eastAsia="宋体" w:cs="Times New Roman"/>
          <w:color w:val="auto"/>
          <w:kern w:val="10"/>
          <w:sz w:val="24"/>
          <w:szCs w:val="20"/>
          <w:highlight w:val="none"/>
          <w:lang w:val="en-US" w:eastAsia="zh-CN" w:bidi="ar-SA"/>
        </w:rPr>
        <w:t>。提供核心产品品牌相同且通过资格检查和符合性检查的不同供应商参加同一项目磋商的，按一家供应商计算，评审后得分最高的供应商获得成交候选人推荐资格；评审得分相同的，报价最低的供应商获得成交候选人推荐资格；评审得分相同且报价相同的，由磋商小组采取随机抽取的方式确定一名供应商获得成交候选人推荐资格。</w:t>
      </w:r>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24" w:name="_Toc13435"/>
      <w:r>
        <w:rPr>
          <w:rFonts w:hint="eastAsia"/>
          <w:color w:val="auto"/>
          <w:highlight w:val="none"/>
        </w:rPr>
        <w:t>2.3磋商文件</w:t>
      </w:r>
      <w:bookmarkEnd w:id="24"/>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25" w:name="_Toc9511"/>
      <w:r>
        <w:rPr>
          <w:rFonts w:hint="eastAsia"/>
          <w:color w:val="auto"/>
          <w:highlight w:val="none"/>
        </w:rPr>
        <w:t>2.3.1磋商文件的构成</w:t>
      </w:r>
      <w:bookmarkEnd w:id="25"/>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一、竞争性磋商文件是供应商准备响应文件和参加磋商的依据，同时也是评审的重要依据。竞争性磋商文件用以阐明采购项目所需的资质、技术、服务及报价等要求、磋商程序、有关规定和注意事项以及合同草案条款等。本磋商文件包括以下内容</w:t>
      </w:r>
      <w:r>
        <w:rPr>
          <w:rFonts w:hint="eastAsia" w:cs="Times New Roman"/>
          <w:color w:val="auto"/>
          <w:kern w:val="10"/>
          <w:sz w:val="24"/>
          <w:szCs w:val="20"/>
          <w:highlight w:val="none"/>
          <w:lang w:val="en-US" w:eastAsia="zh-CN" w:bidi="ar-SA"/>
        </w:rPr>
        <w:t>：</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（一）竞争性磋商邀请；</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（二）供应商须知；</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（三）响应文件格式；</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（四）技术、服务、商务及其他要求；</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lang w:eastAsia="zh-CN"/>
        </w:rPr>
        <w:t>（五）</w:t>
      </w:r>
      <w:r>
        <w:rPr>
          <w:rFonts w:hint="eastAsia"/>
          <w:color w:val="auto"/>
          <w:highlight w:val="none"/>
        </w:rPr>
        <w:t>磋商办法；</w:t>
      </w:r>
    </w:p>
    <w:p>
      <w:pPr>
        <w:pStyle w:val="26"/>
        <w:pageBreakBefore w:val="0"/>
        <w:kinsoku/>
        <w:wordWrap/>
        <w:overflowPunct/>
        <w:topLinePunct w:val="0"/>
        <w:bidi w:val="0"/>
        <w:adjustRightInd w:val="0"/>
        <w:snapToGrid w:val="0"/>
        <w:spacing w:afterAutospacing="0" w:line="360" w:lineRule="auto"/>
        <w:ind w:firstLine="480" w:firstLineChars="200"/>
        <w:rPr>
          <w:rFonts w:hint="default" w:eastAsia="宋体"/>
          <w:color w:val="auto"/>
          <w:highlight w:val="none"/>
          <w:lang w:val="en-US" w:eastAsia="zh-CN"/>
        </w:rPr>
      </w:pPr>
      <w:r>
        <w:rPr>
          <w:rFonts w:hint="eastAsia"/>
          <w:color w:val="auto"/>
          <w:highlight w:val="none"/>
        </w:rPr>
        <w:t>（六）</w:t>
      </w:r>
      <w:r>
        <w:rPr>
          <w:rFonts w:hint="eastAsia"/>
          <w:color w:val="auto"/>
          <w:sz w:val="24"/>
          <w:szCs w:val="20"/>
          <w:highlight w:val="none"/>
          <w:lang w:val="en-US" w:eastAsia="zh-CN"/>
        </w:rPr>
        <w:t>拟签订的合同文本。</w:t>
      </w:r>
    </w:p>
    <w:p>
      <w:pPr>
        <w:pageBreakBefore w:val="0"/>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二、供应商应认真阅读和充分理解竞争性磋商文件中所有的事项、格式条款和规范要求。按照磋商文件的要求提供响应文件，并保证所提供的全部资料的合法性、真实性和有效性，一经发现有虚假行为的，将取消其参加磋商或成交资格，并承担相应的法律责任。供应商没有对竞争性磋商文件全面做出实质性响应所产生的风险由供应商承担。</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26" w:name="_Toc23640"/>
      <w:r>
        <w:rPr>
          <w:rFonts w:hint="eastAsia"/>
          <w:color w:val="auto"/>
          <w:highlight w:val="none"/>
        </w:rPr>
        <w:t>2.3.2磋商文件的澄清和修改</w:t>
      </w:r>
      <w:bookmarkEnd w:id="26"/>
    </w:p>
    <w:p>
      <w:pPr>
        <w:pageBreakBefore w:val="0"/>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bookmarkStart w:id="27" w:name="EB605809a429884f1c828f0318ebedb4ab"/>
      <w:r>
        <w:rPr>
          <w:rFonts w:hint="eastAsia" w:cs="Times New Roman"/>
          <w:color w:val="auto"/>
          <w:kern w:val="10"/>
          <w:sz w:val="24"/>
          <w:szCs w:val="20"/>
          <w:highlight w:val="none"/>
          <w:lang w:val="en-US" w:eastAsia="zh-CN" w:bidi="ar-SA"/>
        </w:rPr>
        <w:t>一、</w:t>
      </w:r>
      <w:r>
        <w:rPr>
          <w:rFonts w:hint="eastAsia" w:ascii="宋体" w:hAnsi="宋体" w:eastAsia="宋体" w:cs="Times New Roman"/>
          <w:color w:val="auto"/>
          <w:kern w:val="10"/>
          <w:sz w:val="24"/>
          <w:szCs w:val="20"/>
          <w:highlight w:val="none"/>
          <w:lang w:val="en-US" w:eastAsia="zh-CN" w:bidi="ar-SA"/>
        </w:rPr>
        <w:t>在递交响应文件截止时间前，采购人或者</w:t>
      </w:r>
      <w:r>
        <w:rPr>
          <w:rFonts w:hint="eastAsia" w:cs="Times New Roman"/>
          <w:color w:val="auto"/>
          <w:kern w:val="10"/>
          <w:sz w:val="24"/>
          <w:szCs w:val="20"/>
          <w:highlight w:val="none"/>
          <w:lang w:val="en-US" w:eastAsia="zh-CN" w:bidi="ar-SA"/>
        </w:rPr>
        <w:t>区</w:t>
      </w:r>
      <w:r>
        <w:rPr>
          <w:rFonts w:hint="eastAsia" w:ascii="宋体" w:hAnsi="宋体" w:eastAsia="宋体" w:cs="Times New Roman"/>
          <w:color w:val="auto"/>
          <w:kern w:val="10"/>
          <w:sz w:val="24"/>
          <w:szCs w:val="20"/>
          <w:highlight w:val="none"/>
          <w:lang w:val="en-US" w:eastAsia="zh-CN" w:bidi="ar-SA"/>
        </w:rPr>
        <w:t>公资交易中心可以对已发出的磋商文件进行必要的澄清或者修改。</w:t>
      </w:r>
    </w:p>
    <w:p>
      <w:pPr>
        <w:pageBreakBefore w:val="0"/>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cs="Times New Roman"/>
          <w:color w:val="auto"/>
          <w:kern w:val="10"/>
          <w:sz w:val="24"/>
          <w:szCs w:val="20"/>
          <w:highlight w:val="none"/>
          <w:lang w:val="en-US" w:eastAsia="zh-CN" w:bidi="ar-SA"/>
        </w:rPr>
        <w:t>二、</w:t>
      </w:r>
      <w:r>
        <w:rPr>
          <w:rFonts w:hint="eastAsia" w:ascii="宋体" w:hAnsi="宋体" w:eastAsia="宋体" w:cs="Times New Roman"/>
          <w:color w:val="auto"/>
          <w:kern w:val="10"/>
          <w:sz w:val="24"/>
          <w:szCs w:val="20"/>
          <w:highlight w:val="none"/>
          <w:lang w:val="en-US" w:eastAsia="zh-CN" w:bidi="ar-SA"/>
        </w:rPr>
        <w:t>澄清或者修改的内容，</w:t>
      </w:r>
      <w:r>
        <w:rPr>
          <w:rFonts w:hint="eastAsia" w:cs="Times New Roman"/>
          <w:color w:val="auto"/>
          <w:kern w:val="10"/>
          <w:sz w:val="24"/>
          <w:szCs w:val="20"/>
          <w:highlight w:val="none"/>
          <w:lang w:val="en-US" w:eastAsia="zh-CN" w:bidi="ar-SA"/>
        </w:rPr>
        <w:t>区</w:t>
      </w:r>
      <w:r>
        <w:rPr>
          <w:rFonts w:hint="eastAsia" w:ascii="宋体" w:hAnsi="宋体" w:eastAsia="宋体" w:cs="Times New Roman"/>
          <w:color w:val="auto"/>
          <w:kern w:val="10"/>
          <w:sz w:val="24"/>
          <w:szCs w:val="20"/>
          <w:highlight w:val="none"/>
          <w:lang w:val="en-US" w:eastAsia="zh-CN" w:bidi="ar-SA"/>
        </w:rPr>
        <w:t>公资交易中心将在“四川政府采购网”和“成都市公共资源交易服务中心”网站上发布澄清公告，同时通过政府采购云平台将澄清或者修改的内容告知所有已获取采购文件的潜在供应商（供应商通过账号或CA证书登录云平台查看），该澄清或者修改的内容为磋商文件的组成部分。</w:t>
      </w:r>
    </w:p>
    <w:p>
      <w:pPr>
        <w:pageBreakBefore w:val="0"/>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cs="Times New Roman"/>
          <w:color w:val="auto"/>
          <w:kern w:val="10"/>
          <w:sz w:val="24"/>
          <w:szCs w:val="20"/>
          <w:highlight w:val="none"/>
          <w:lang w:val="en-US" w:eastAsia="zh-CN" w:bidi="ar-SA"/>
        </w:rPr>
        <w:t>三、</w:t>
      </w:r>
      <w:r>
        <w:rPr>
          <w:rFonts w:hint="eastAsia" w:ascii="宋体" w:hAnsi="宋体" w:eastAsia="宋体" w:cs="Times New Roman"/>
          <w:color w:val="auto"/>
          <w:kern w:val="10"/>
          <w:sz w:val="24"/>
          <w:szCs w:val="20"/>
          <w:highlight w:val="none"/>
          <w:lang w:val="en-US" w:eastAsia="zh-CN" w:bidi="ar-SA"/>
        </w:rPr>
        <w:t>澄清或者修改的内容可能影响响应文件编制的，</w:t>
      </w:r>
      <w:r>
        <w:rPr>
          <w:rFonts w:hint="eastAsia" w:cs="Times New Roman"/>
          <w:color w:val="auto"/>
          <w:kern w:val="10"/>
          <w:sz w:val="24"/>
          <w:szCs w:val="20"/>
          <w:highlight w:val="none"/>
          <w:lang w:val="en-US" w:eastAsia="zh-CN" w:bidi="ar-SA"/>
        </w:rPr>
        <w:t>区</w:t>
      </w:r>
      <w:r>
        <w:rPr>
          <w:rFonts w:hint="eastAsia" w:ascii="宋体" w:hAnsi="宋体" w:eastAsia="宋体" w:cs="Times New Roman"/>
          <w:color w:val="auto"/>
          <w:kern w:val="10"/>
          <w:sz w:val="24"/>
          <w:szCs w:val="20"/>
          <w:highlight w:val="none"/>
          <w:lang w:val="en-US" w:eastAsia="zh-CN" w:bidi="ar-SA"/>
        </w:rPr>
        <w:t>公资交易中心应当在提交首次响应文件截止时间至少5日前，通过政府采购云平台通知所有已获取采购文件的潜在供应商；不足5日的，采购人或</w:t>
      </w:r>
      <w:r>
        <w:rPr>
          <w:rFonts w:hint="eastAsia" w:cs="Times New Roman"/>
          <w:color w:val="auto"/>
          <w:kern w:val="10"/>
          <w:sz w:val="24"/>
          <w:szCs w:val="20"/>
          <w:highlight w:val="none"/>
          <w:lang w:val="en-US" w:eastAsia="zh-CN" w:bidi="ar-SA"/>
        </w:rPr>
        <w:t>区</w:t>
      </w:r>
      <w:r>
        <w:rPr>
          <w:rFonts w:hint="eastAsia" w:ascii="宋体" w:hAnsi="宋体" w:eastAsia="宋体" w:cs="Times New Roman"/>
          <w:color w:val="auto"/>
          <w:kern w:val="10"/>
          <w:sz w:val="24"/>
          <w:szCs w:val="20"/>
          <w:highlight w:val="none"/>
          <w:lang w:val="en-US" w:eastAsia="zh-CN" w:bidi="ar-SA"/>
        </w:rPr>
        <w:t>公资交易中心应当顺延提交首次响应文件截止时间。</w:t>
      </w:r>
    </w:p>
    <w:p>
      <w:pPr>
        <w:pStyle w:val="4"/>
        <w:numPr>
          <w:ilvl w:val="1"/>
          <w:numId w:val="0"/>
        </w:numPr>
        <w:bidi w:val="0"/>
        <w:rPr>
          <w:rFonts w:hint="eastAsia"/>
        </w:rPr>
      </w:pPr>
      <w:r>
        <w:rPr>
          <w:rFonts w:hint="eastAsia"/>
        </w:rPr>
        <w:t xml:space="preserve"> </w:t>
      </w:r>
      <w:bookmarkEnd w:id="27"/>
      <w:bookmarkStart w:id="28" w:name="_Toc29461"/>
      <w:r>
        <w:rPr>
          <w:rFonts w:hint="eastAsia"/>
        </w:rPr>
        <w:t>2.4响应文件</w:t>
      </w:r>
      <w:bookmarkEnd w:id="28"/>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29" w:name="_Toc12831"/>
      <w:r>
        <w:rPr>
          <w:rFonts w:hint="eastAsia"/>
          <w:color w:val="auto"/>
          <w:highlight w:val="none"/>
        </w:rPr>
        <w:t>2.4.1响应文件的语言</w:t>
      </w:r>
      <w:bookmarkEnd w:id="29"/>
    </w:p>
    <w:p>
      <w:pPr>
        <w:pageBreakBefore w:val="0"/>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一、供应商提交的响应文件以及供应商与磋商小组在评审过程中的所有来往书面文件均须使用中文。响应文件中如附有外文资料，主要部分要对应翻译成中文并附在相关外文资料后面。</w:t>
      </w:r>
    </w:p>
    <w:p>
      <w:pPr>
        <w:pageBreakBefore w:val="0"/>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二、翻译的中文资料与外文资料如果出现差异和矛盾时，以中文为准。涉嫌提供虚假材料的按照相关法律法规处理。</w:t>
      </w:r>
    </w:p>
    <w:p>
      <w:pPr>
        <w:pageBreakBefore w:val="0"/>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三、如因未翻译而造成对供应商的不利后果，由供应商承担。</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0" w:name="_Toc690"/>
      <w:r>
        <w:rPr>
          <w:rFonts w:hint="eastAsia"/>
          <w:color w:val="auto"/>
          <w:highlight w:val="none"/>
        </w:rPr>
        <w:t>2.4.2计量单位</w:t>
      </w:r>
      <w:bookmarkEnd w:id="30"/>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除磋商文件中另有规定外，本次采购项目所有合同项下的响应均采用国家法定的计量单位。</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1" w:name="_Toc24977"/>
      <w:r>
        <w:rPr>
          <w:rFonts w:hint="eastAsia"/>
          <w:color w:val="auto"/>
          <w:highlight w:val="none"/>
        </w:rPr>
        <w:t>2.4.</w:t>
      </w:r>
      <w:r>
        <w:rPr>
          <w:rFonts w:hint="eastAsia"/>
          <w:color w:val="auto"/>
          <w:highlight w:val="none"/>
          <w:lang w:val="en-US" w:eastAsia="zh-CN"/>
        </w:rPr>
        <w:t>3</w:t>
      </w:r>
      <w:r>
        <w:rPr>
          <w:rFonts w:hint="eastAsia"/>
          <w:color w:val="auto"/>
          <w:highlight w:val="none"/>
        </w:rPr>
        <w:t>联合体</w:t>
      </w:r>
      <w:bookmarkEnd w:id="31"/>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本次政府采购活动</w:t>
      </w:r>
      <w:bookmarkStart w:id="32" w:name="EBb214d4eddaa9434392123a2accee8c35"/>
      <w:r>
        <w:rPr>
          <w:rFonts w:hint="eastAsia"/>
          <w:b/>
          <w:bCs/>
          <w:color w:val="auto"/>
          <w:highlight w:val="none"/>
        </w:rPr>
        <w:t>不接受</w:t>
      </w:r>
      <w:bookmarkEnd w:id="32"/>
      <w:r>
        <w:rPr>
          <w:rFonts w:hint="eastAsia"/>
          <w:color w:val="auto"/>
          <w:highlight w:val="none"/>
        </w:rPr>
        <w:t>供应商以联合体的形式参加磋商。</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3" w:name="_Toc9756"/>
      <w:r>
        <w:rPr>
          <w:rFonts w:hint="eastAsia"/>
          <w:color w:val="auto"/>
          <w:highlight w:val="none"/>
        </w:rPr>
        <w:t>2.4.</w:t>
      </w:r>
      <w:r>
        <w:rPr>
          <w:rFonts w:hint="eastAsia"/>
          <w:color w:val="auto"/>
          <w:highlight w:val="none"/>
          <w:lang w:val="en-US" w:eastAsia="zh-CN"/>
        </w:rPr>
        <w:t>4</w:t>
      </w:r>
      <w:r>
        <w:rPr>
          <w:rFonts w:hint="eastAsia"/>
          <w:color w:val="auto"/>
          <w:highlight w:val="none"/>
        </w:rPr>
        <w:t>知识产权</w:t>
      </w:r>
      <w:bookmarkEnd w:id="33"/>
    </w:p>
    <w:p>
      <w:pPr>
        <w:pStyle w:val="28"/>
        <w:pageBreakBefore w:val="0"/>
        <w:kinsoku/>
        <w:wordWrap/>
        <w:overflowPunct/>
        <w:topLinePunct w:val="0"/>
        <w:bidi w:val="0"/>
        <w:adjustRightInd w:val="0"/>
        <w:snapToGrid w:val="0"/>
        <w:spacing w:afterAutospacing="0" w:line="360" w:lineRule="auto"/>
        <w:ind w:firstLine="480" w:firstLineChars="200"/>
        <w:jc w:val="both"/>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一、供应商应保证在本项目中使用的任何技术、产品和服务（含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28"/>
        <w:pageBreakBefore w:val="0"/>
        <w:kinsoku/>
        <w:wordWrap/>
        <w:overflowPunct/>
        <w:topLinePunct w:val="0"/>
        <w:bidi w:val="0"/>
        <w:adjustRightInd w:val="0"/>
        <w:snapToGrid w:val="0"/>
        <w:spacing w:afterAutospacing="0" w:line="360" w:lineRule="auto"/>
        <w:ind w:firstLine="480" w:firstLineChars="200"/>
        <w:jc w:val="both"/>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ageBreakBefore w:val="0"/>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三、如采用供应商所不拥有的知识产权，则在报价中必须包括合法获取使用该知识产权的相关费用。</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4" w:name="_Toc31796"/>
      <w:r>
        <w:rPr>
          <w:rFonts w:hint="eastAsia"/>
          <w:color w:val="auto"/>
          <w:highlight w:val="none"/>
        </w:rPr>
        <w:t>2.4.</w:t>
      </w:r>
      <w:r>
        <w:rPr>
          <w:rFonts w:hint="eastAsia"/>
          <w:color w:val="auto"/>
          <w:highlight w:val="none"/>
          <w:lang w:val="en-US" w:eastAsia="zh-CN"/>
        </w:rPr>
        <w:t>5</w:t>
      </w:r>
      <w:r>
        <w:rPr>
          <w:rFonts w:hint="eastAsia"/>
          <w:color w:val="auto"/>
          <w:highlight w:val="none"/>
        </w:rPr>
        <w:t>响应文件的组成</w:t>
      </w:r>
      <w:bookmarkEnd w:id="34"/>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供应商应按照磋商文件的规定和要求编制响应文件。供应商编写的响应文件应包括下列部分：</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一、资格性响应文件：用于磋商小组资格性审查；</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二、技术、服务性响应文件：用于供应商与磋商小组磋商；</w:t>
      </w:r>
    </w:p>
    <w:p>
      <w:pPr>
        <w:pStyle w:val="26"/>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color w:val="auto"/>
          <w:highlight w:val="none"/>
        </w:rPr>
      </w:pPr>
      <w:r>
        <w:rPr>
          <w:rFonts w:hint="eastAsia"/>
          <w:color w:val="auto"/>
          <w:highlight w:val="none"/>
        </w:rPr>
        <w:t>三、最后报价文件（按磋商小组的要求提供最后报价）。</w:t>
      </w:r>
    </w:p>
    <w:p>
      <w:pPr>
        <w:pStyle w:val="6"/>
        <w:keepNext/>
        <w:keepLines/>
        <w:pageBreakBefore w:val="0"/>
        <w:widowControl w:val="0"/>
        <w:kinsoku/>
        <w:wordWrap/>
        <w:overflowPunct/>
        <w:topLinePunct w:val="0"/>
        <w:autoSpaceDE/>
        <w:autoSpaceDN/>
        <w:bidi w:val="0"/>
        <w:adjustRightInd w:val="0"/>
        <w:snapToGrid w:val="0"/>
        <w:ind w:firstLine="482" w:firstLineChars="200"/>
        <w:textAlignment w:val="auto"/>
        <w:rPr>
          <w:rFonts w:hint="eastAsia"/>
        </w:rPr>
      </w:pPr>
      <w:r>
        <w:rPr>
          <w:rFonts w:hint="eastAsia"/>
        </w:rPr>
        <w:t>2.4.</w:t>
      </w:r>
      <w:r>
        <w:rPr>
          <w:rFonts w:hint="eastAsia"/>
          <w:lang w:val="en-US" w:eastAsia="zh-CN"/>
        </w:rPr>
        <w:t>5</w:t>
      </w:r>
      <w:r>
        <w:rPr>
          <w:rFonts w:hint="eastAsia"/>
        </w:rPr>
        <w:t>.1资格性响应文件</w:t>
      </w:r>
    </w:p>
    <w:p>
      <w:pPr>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eastAsia="宋体" w:cs="Times New Roman"/>
          <w:b w:val="0"/>
          <w:bCs w:val="0"/>
          <w:color w:val="auto"/>
          <w:kern w:val="10"/>
          <w:sz w:val="24"/>
          <w:szCs w:val="20"/>
          <w:highlight w:val="none"/>
          <w:lang w:val="en-US" w:eastAsia="zh-CN" w:bidi="ar-SA"/>
        </w:rPr>
      </w:pPr>
      <w:r>
        <w:rPr>
          <w:rFonts w:hint="eastAsia" w:ascii="宋体" w:hAnsi="宋体" w:eastAsia="宋体" w:cs="Times New Roman"/>
          <w:b w:val="0"/>
          <w:bCs w:val="0"/>
          <w:color w:val="auto"/>
          <w:kern w:val="10"/>
          <w:sz w:val="24"/>
          <w:szCs w:val="20"/>
          <w:highlight w:val="none"/>
          <w:lang w:val="en-US" w:eastAsia="zh-CN" w:bidi="ar-SA"/>
        </w:rPr>
        <w:t>资格性响应文件由以下部分组成：</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一、供应商</w:t>
      </w:r>
      <w:r>
        <w:rPr>
          <w:rFonts w:hint="eastAsia" w:ascii="宋体" w:hAnsi="宋体"/>
          <w:b w:val="0"/>
          <w:bCs w:val="0"/>
          <w:color w:val="auto"/>
          <w:kern w:val="10"/>
          <w:sz w:val="24"/>
          <w:szCs w:val="20"/>
          <w:highlight w:val="none"/>
        </w:rPr>
        <w:t>资格申明的函；</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二、</w:t>
      </w:r>
      <w:r>
        <w:rPr>
          <w:rFonts w:hint="eastAsia" w:ascii="宋体" w:hAnsi="宋体"/>
          <w:b w:val="0"/>
          <w:bCs w:val="0"/>
          <w:color w:val="auto"/>
          <w:kern w:val="10"/>
          <w:sz w:val="24"/>
          <w:szCs w:val="20"/>
          <w:highlight w:val="none"/>
        </w:rPr>
        <w:t>声明；</w:t>
      </w:r>
    </w:p>
    <w:p>
      <w:pPr>
        <w:pStyle w:val="26"/>
        <w:pageBreakBefore w:val="0"/>
        <w:kinsoku/>
        <w:wordWrap/>
        <w:overflowPunct/>
        <w:topLinePunct w:val="0"/>
        <w:bidi w:val="0"/>
        <w:adjustRightInd w:val="0"/>
        <w:snapToGrid w:val="0"/>
        <w:spacing w:afterAutospacing="0" w:line="360" w:lineRule="auto"/>
        <w:ind w:firstLine="480" w:firstLineChars="200"/>
        <w:rPr>
          <w:rFonts w:hint="eastAsia"/>
          <w:b w:val="0"/>
          <w:bCs w:val="0"/>
          <w:color w:val="auto"/>
          <w:kern w:val="10"/>
          <w:sz w:val="24"/>
          <w:szCs w:val="20"/>
          <w:highlight w:val="none"/>
          <w:lang w:eastAsia="zh-CN"/>
        </w:rPr>
      </w:pPr>
      <w:r>
        <w:rPr>
          <w:rFonts w:hint="eastAsia"/>
          <w:b w:val="0"/>
          <w:bCs w:val="0"/>
          <w:color w:val="auto"/>
          <w:kern w:val="10"/>
          <w:sz w:val="24"/>
          <w:szCs w:val="20"/>
          <w:highlight w:val="none"/>
          <w:lang w:eastAsia="zh-CN"/>
        </w:rPr>
        <w:t>三、法定代表人身份证明书以及法定代表人身份证复印件（身份证两面均应复印）或护照复印件（说明：供应商的法定代表人为外籍人士的，则提供护照复印件）；</w:t>
      </w:r>
    </w:p>
    <w:p>
      <w:pPr>
        <w:pStyle w:val="26"/>
        <w:pageBreakBefore w:val="0"/>
        <w:kinsoku/>
        <w:wordWrap/>
        <w:overflowPunct/>
        <w:topLinePunct w:val="0"/>
        <w:bidi w:val="0"/>
        <w:adjustRightInd w:val="0"/>
        <w:snapToGrid w:val="0"/>
        <w:spacing w:afterAutospacing="0" w:line="360" w:lineRule="auto"/>
        <w:ind w:firstLine="480" w:firstLineChars="200"/>
        <w:rPr>
          <w:rFonts w:hint="eastAsia"/>
          <w:b w:val="0"/>
          <w:bCs w:val="0"/>
          <w:color w:val="auto"/>
          <w:kern w:val="10"/>
          <w:sz w:val="24"/>
          <w:szCs w:val="20"/>
          <w:highlight w:val="none"/>
          <w:lang w:eastAsia="zh-CN"/>
        </w:rPr>
      </w:pPr>
      <w:r>
        <w:rPr>
          <w:rFonts w:hint="eastAsia"/>
          <w:b w:val="0"/>
          <w:bCs w:val="0"/>
          <w:color w:val="auto"/>
          <w:kern w:val="10"/>
          <w:sz w:val="24"/>
          <w:szCs w:val="20"/>
          <w:highlight w:val="none"/>
          <w:lang w:eastAsia="zh-CN"/>
        </w:rPr>
        <w:t>四、供应商基本情况表；</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五、供应商</w:t>
      </w:r>
      <w:r>
        <w:rPr>
          <w:rFonts w:hint="eastAsia" w:ascii="宋体" w:hAnsi="宋体"/>
          <w:b w:val="0"/>
          <w:bCs w:val="0"/>
          <w:color w:val="auto"/>
          <w:kern w:val="10"/>
          <w:sz w:val="24"/>
          <w:szCs w:val="20"/>
          <w:highlight w:val="none"/>
        </w:rPr>
        <w:t>应提交的相关资格证明材料：</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（一）</w:t>
      </w:r>
      <w:r>
        <w:rPr>
          <w:rFonts w:hint="eastAsia" w:ascii="宋体" w:hAnsi="宋体"/>
          <w:b w:val="0"/>
          <w:bCs w:val="0"/>
          <w:color w:val="auto"/>
          <w:kern w:val="10"/>
          <w:sz w:val="24"/>
          <w:szCs w:val="20"/>
          <w:highlight w:val="none"/>
        </w:rPr>
        <w:t>营业执照复印件（正本或副本）或法人证书复印件（正本或副本）；</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（二）</w:t>
      </w:r>
      <w:r>
        <w:rPr>
          <w:rFonts w:hint="eastAsia" w:ascii="宋体" w:hAnsi="宋体"/>
          <w:b w:val="0"/>
          <w:bCs w:val="0"/>
          <w:color w:val="auto"/>
          <w:kern w:val="10"/>
          <w:sz w:val="24"/>
          <w:szCs w:val="20"/>
          <w:highlight w:val="none"/>
        </w:rPr>
        <w:t>2019或2020会计年度资产负债表复印件（说明：</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成立时间至递交</w:t>
      </w:r>
      <w:r>
        <w:rPr>
          <w:rFonts w:hint="eastAsia"/>
          <w:b w:val="0"/>
          <w:bCs w:val="0"/>
          <w:color w:val="auto"/>
          <w:kern w:val="10"/>
          <w:sz w:val="24"/>
          <w:szCs w:val="20"/>
          <w:highlight w:val="none"/>
          <w:lang w:eastAsia="zh-CN"/>
        </w:rPr>
        <w:t>响应</w:t>
      </w:r>
      <w:r>
        <w:rPr>
          <w:rFonts w:hint="eastAsia" w:ascii="宋体" w:hAnsi="宋体"/>
          <w:b w:val="0"/>
          <w:bCs w:val="0"/>
          <w:color w:val="auto"/>
          <w:kern w:val="10"/>
          <w:sz w:val="24"/>
          <w:szCs w:val="20"/>
          <w:highlight w:val="none"/>
        </w:rPr>
        <w:t>文件截止时间止不足一年的，提供成立后任意时段的资产负债表复印件）；</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（三）供应商</w:t>
      </w:r>
      <w:r>
        <w:rPr>
          <w:rFonts w:hint="eastAsia" w:ascii="宋体" w:hAnsi="宋体"/>
          <w:b w:val="0"/>
          <w:bCs w:val="0"/>
          <w:color w:val="auto"/>
          <w:kern w:val="10"/>
          <w:sz w:val="24"/>
          <w:szCs w:val="20"/>
          <w:highlight w:val="none"/>
        </w:rPr>
        <w:t>缴纳2020或2021年任意时段的税收的银行电子回单或者行政部门出具的纳税证明或完税证明复印件；</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（四）</w:t>
      </w:r>
      <w:r>
        <w:rPr>
          <w:rFonts w:hint="eastAsia" w:ascii="宋体" w:hAnsi="宋体"/>
          <w:b w:val="0"/>
          <w:bCs w:val="0"/>
          <w:color w:val="auto"/>
          <w:kern w:val="10"/>
          <w:sz w:val="24"/>
          <w:szCs w:val="20"/>
          <w:highlight w:val="none"/>
        </w:rPr>
        <w:t>采购人对</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履行合同所必须的设备和专业技术能力无其他特殊要求，</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具有有效的营业执照或法人证书即可，可不提供其他证明材料；</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（五）供应商</w:t>
      </w:r>
      <w:r>
        <w:rPr>
          <w:rFonts w:hint="eastAsia" w:ascii="宋体" w:hAnsi="宋体"/>
          <w:b w:val="0"/>
          <w:bCs w:val="0"/>
          <w:color w:val="auto"/>
          <w:kern w:val="10"/>
          <w:sz w:val="24"/>
          <w:szCs w:val="20"/>
          <w:highlight w:val="none"/>
        </w:rPr>
        <w:t>缴纳2020或2021年任意时段的社保的银行电子回单或行政部门出具的社保缴纳证明材料复印件；</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b w:val="0"/>
          <w:bCs w:val="0"/>
          <w:color w:val="auto"/>
          <w:kern w:val="10"/>
          <w:sz w:val="24"/>
          <w:szCs w:val="20"/>
          <w:highlight w:val="none"/>
          <w:lang w:eastAsia="zh-CN"/>
        </w:rPr>
      </w:pPr>
      <w:r>
        <w:rPr>
          <w:rFonts w:hint="eastAsia"/>
          <w:b w:val="0"/>
          <w:bCs w:val="0"/>
          <w:color w:val="auto"/>
          <w:kern w:val="10"/>
          <w:sz w:val="24"/>
          <w:szCs w:val="20"/>
          <w:highlight w:val="none"/>
          <w:lang w:eastAsia="zh-CN"/>
        </w:rPr>
        <w:t>（六）</w:t>
      </w:r>
      <w:r>
        <w:rPr>
          <w:rFonts w:hint="eastAsia" w:ascii="宋体" w:hAnsi="宋体"/>
          <w:b w:val="0"/>
          <w:bCs w:val="0"/>
          <w:color w:val="auto"/>
          <w:kern w:val="10"/>
          <w:sz w:val="24"/>
          <w:szCs w:val="20"/>
          <w:highlight w:val="none"/>
        </w:rPr>
        <w:t>采购人对法律、行政法规规定的其他条件无其他特殊要求，</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具有有效的营业执照或法人证书即可，可不提供其他证明材料</w:t>
      </w:r>
      <w:r>
        <w:rPr>
          <w:rFonts w:hint="eastAsia"/>
          <w:b w:val="0"/>
          <w:bCs w:val="0"/>
          <w:color w:val="auto"/>
          <w:kern w:val="10"/>
          <w:sz w:val="24"/>
          <w:szCs w:val="20"/>
          <w:highlight w:val="none"/>
          <w:lang w:eastAsia="zh-CN"/>
        </w:rPr>
        <w:t>；</w:t>
      </w:r>
    </w:p>
    <w:p>
      <w:pPr>
        <w:pStyle w:val="6"/>
        <w:keepNext/>
        <w:keepLines/>
        <w:pageBreakBefore w:val="0"/>
        <w:widowControl w:val="0"/>
        <w:kinsoku/>
        <w:wordWrap/>
        <w:overflowPunct/>
        <w:topLinePunct w:val="0"/>
        <w:autoSpaceDE/>
        <w:autoSpaceDN/>
        <w:bidi w:val="0"/>
        <w:adjustRightInd/>
        <w:snapToGrid/>
        <w:ind w:firstLine="482" w:firstLineChars="200"/>
        <w:textAlignment w:val="auto"/>
        <w:rPr>
          <w:rFonts w:hint="eastAsia"/>
          <w:lang w:eastAsia="zh-CN"/>
        </w:rPr>
      </w:pPr>
      <w:r>
        <w:rPr>
          <w:rFonts w:hint="eastAsia"/>
          <w:lang w:val="en-US" w:eastAsia="zh-CN"/>
        </w:rPr>
        <w:t>2.4.5.2</w:t>
      </w:r>
      <w:bookmarkStart w:id="35" w:name="_Toc320698726"/>
      <w:r>
        <w:rPr>
          <w:rFonts w:hint="eastAsia"/>
          <w:lang w:val="en-US" w:eastAsia="zh-CN"/>
        </w:rPr>
        <w:t>技术、服务性响应文件</w:t>
      </w:r>
      <w:bookmarkEnd w:id="35"/>
    </w:p>
    <w:p>
      <w:pPr>
        <w:pStyle w:val="26"/>
        <w:pageBreakBefore w:val="0"/>
        <w:numPr>
          <w:ilvl w:val="0"/>
          <w:numId w:val="4"/>
        </w:numPr>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eastAsia="zh-CN"/>
        </w:rPr>
      </w:pPr>
      <w:r>
        <w:rPr>
          <w:rFonts w:hint="eastAsia"/>
          <w:color w:val="auto"/>
          <w:highlight w:val="none"/>
          <w:lang w:eastAsia="zh-CN"/>
        </w:rPr>
        <w:t>报价表；</w:t>
      </w:r>
    </w:p>
    <w:p>
      <w:pPr>
        <w:pStyle w:val="26"/>
        <w:pageBreakBefore w:val="0"/>
        <w:numPr>
          <w:ilvl w:val="0"/>
          <w:numId w:val="4"/>
        </w:numPr>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eastAsia="zh-CN"/>
        </w:rPr>
      </w:pPr>
      <w:r>
        <w:rPr>
          <w:rFonts w:hint="eastAsia"/>
          <w:color w:val="auto"/>
          <w:highlight w:val="none"/>
          <w:lang w:eastAsia="zh-CN"/>
        </w:rPr>
        <w:t>分项报价表；</w:t>
      </w:r>
    </w:p>
    <w:p>
      <w:pPr>
        <w:pStyle w:val="26"/>
        <w:pageBreakBefore w:val="0"/>
        <w:numPr>
          <w:ilvl w:val="0"/>
          <w:numId w:val="4"/>
        </w:numPr>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eastAsia="zh-CN"/>
        </w:rPr>
      </w:pPr>
      <w:r>
        <w:rPr>
          <w:rFonts w:hint="eastAsia"/>
          <w:color w:val="auto"/>
          <w:highlight w:val="none"/>
          <w:lang w:eastAsia="zh-CN"/>
        </w:rPr>
        <w:t>中小企业声明函（如未提供中小企业声明函或提供的中小企业声明函不符合磋商文件要求的，则不享受磋商文件规定的价格扣除，但不影响供应商响应文件的有效性）；</w:t>
      </w:r>
    </w:p>
    <w:p>
      <w:pPr>
        <w:pStyle w:val="26"/>
        <w:pageBreakBefore w:val="0"/>
        <w:numPr>
          <w:ilvl w:val="0"/>
          <w:numId w:val="4"/>
        </w:numPr>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eastAsia="zh-CN"/>
        </w:rPr>
      </w:pPr>
      <w:r>
        <w:rPr>
          <w:rFonts w:hint="eastAsia"/>
          <w:color w:val="auto"/>
          <w:highlight w:val="none"/>
          <w:lang w:eastAsia="zh-CN"/>
        </w:rPr>
        <w:t>残疾人福利性单位声明函（如未提供残疾人福利性单位声明函或提供的残疾人福利性单位声明函不符合磋商文件要求的，则不享受磋商文件规定的价格扣除，但不影响供应商响应文件的有效性）；</w:t>
      </w:r>
    </w:p>
    <w:p>
      <w:pPr>
        <w:pStyle w:val="26"/>
        <w:pageBreakBefore w:val="0"/>
        <w:numPr>
          <w:ilvl w:val="0"/>
          <w:numId w:val="4"/>
        </w:numPr>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eastAsia="zh-CN"/>
        </w:rPr>
      </w:pPr>
      <w:r>
        <w:rPr>
          <w:rFonts w:hint="eastAsia"/>
          <w:color w:val="auto"/>
          <w:highlight w:val="none"/>
          <w:lang w:eastAsia="zh-CN"/>
        </w:rPr>
        <w:t>所投产品技术性能、技术参数和配置的详细描述；</w:t>
      </w:r>
    </w:p>
    <w:p>
      <w:pPr>
        <w:pStyle w:val="26"/>
        <w:pageBreakBefore w:val="0"/>
        <w:numPr>
          <w:ilvl w:val="0"/>
          <w:numId w:val="4"/>
        </w:numPr>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eastAsia="zh-CN"/>
        </w:rPr>
      </w:pPr>
      <w:r>
        <w:rPr>
          <w:rFonts w:hint="eastAsia"/>
          <w:color w:val="auto"/>
          <w:highlight w:val="none"/>
          <w:lang w:eastAsia="zh-CN"/>
        </w:rPr>
        <w:t>售后服务</w:t>
      </w:r>
      <w:r>
        <w:rPr>
          <w:rFonts w:hint="eastAsia"/>
          <w:color w:val="auto"/>
          <w:highlight w:val="none"/>
          <w:lang w:val="en-US" w:eastAsia="zh-CN"/>
        </w:rPr>
        <w:t>方案</w:t>
      </w:r>
      <w:r>
        <w:rPr>
          <w:rFonts w:hint="eastAsia"/>
          <w:color w:val="auto"/>
          <w:highlight w:val="none"/>
          <w:lang w:eastAsia="zh-CN"/>
        </w:rPr>
        <w:t>；</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lang w:eastAsia="zh-CN"/>
        </w:rPr>
        <w:t>七、项目实施方案；</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lang w:eastAsia="zh-CN"/>
        </w:rPr>
        <w:t>八、承诺函。</w:t>
      </w:r>
    </w:p>
    <w:p>
      <w:pPr>
        <w:pStyle w:val="6"/>
        <w:keepNext/>
        <w:keepLines/>
        <w:pageBreakBefore w:val="0"/>
        <w:widowControl w:val="0"/>
        <w:kinsoku/>
        <w:wordWrap/>
        <w:overflowPunct/>
        <w:topLinePunct w:val="0"/>
        <w:autoSpaceDE/>
        <w:autoSpaceDN/>
        <w:bidi w:val="0"/>
        <w:adjustRightInd/>
        <w:snapToGrid/>
        <w:ind w:firstLine="482" w:firstLineChars="200"/>
        <w:textAlignment w:val="auto"/>
        <w:rPr>
          <w:rFonts w:hint="eastAsia"/>
          <w:lang w:eastAsia="zh-CN"/>
        </w:rPr>
      </w:pPr>
      <w:r>
        <w:rPr>
          <w:rFonts w:hint="eastAsia"/>
        </w:rPr>
        <w:t>2.4.</w:t>
      </w:r>
      <w:r>
        <w:rPr>
          <w:rFonts w:hint="eastAsia"/>
          <w:lang w:val="en-US" w:eastAsia="zh-CN"/>
        </w:rPr>
        <w:t>5</w:t>
      </w:r>
      <w:r>
        <w:rPr>
          <w:rFonts w:hint="eastAsia"/>
        </w:rPr>
        <w:t>.3</w:t>
      </w:r>
      <w:r>
        <w:rPr>
          <w:rFonts w:hint="eastAsia"/>
          <w:lang w:eastAsia="zh-CN"/>
        </w:rPr>
        <w:t>最后报价文件</w:t>
      </w:r>
    </w:p>
    <w:p>
      <w:pPr>
        <w:pStyle w:val="29"/>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参加最后报价的供应商按磋商小组的要求在政府采购云平台中提供最后报价，报价应是包括磋商文件规定的全部相应内容的报价。</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6" w:name="_Toc31027"/>
      <w:r>
        <w:rPr>
          <w:rFonts w:hint="eastAsia"/>
          <w:color w:val="auto"/>
          <w:highlight w:val="none"/>
        </w:rPr>
        <w:t>2.4.</w:t>
      </w:r>
      <w:r>
        <w:rPr>
          <w:rFonts w:hint="eastAsia"/>
          <w:color w:val="auto"/>
          <w:highlight w:val="none"/>
          <w:lang w:val="en-US" w:eastAsia="zh-CN"/>
        </w:rPr>
        <w:t>6</w:t>
      </w:r>
      <w:r>
        <w:rPr>
          <w:rFonts w:hint="eastAsia"/>
          <w:color w:val="auto"/>
          <w:highlight w:val="none"/>
        </w:rPr>
        <w:t>响应文件格式</w:t>
      </w:r>
      <w:bookmarkEnd w:id="36"/>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一、供应商应按照竞争性磋商文件第3章中提供的“响应文件格式”填写相关内容。</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二、对于没有格式要求的响应文件由供应商自行编写。</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7" w:name="_Toc1293"/>
      <w:r>
        <w:rPr>
          <w:rFonts w:hint="eastAsia"/>
          <w:color w:val="auto"/>
          <w:highlight w:val="none"/>
        </w:rPr>
        <w:t>2.4.</w:t>
      </w:r>
      <w:r>
        <w:rPr>
          <w:rFonts w:hint="eastAsia"/>
          <w:color w:val="auto"/>
          <w:highlight w:val="none"/>
          <w:lang w:val="en-US" w:eastAsia="zh-CN"/>
        </w:rPr>
        <w:t>7</w:t>
      </w:r>
      <w:r>
        <w:rPr>
          <w:rFonts w:hint="eastAsia"/>
          <w:color w:val="auto"/>
          <w:highlight w:val="none"/>
        </w:rPr>
        <w:t>报价</w:t>
      </w:r>
      <w:bookmarkEnd w:id="37"/>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一、供应商所有报价一律以人民币报价。</w:t>
      </w:r>
    </w:p>
    <w:p>
      <w:pPr>
        <w:pageBreakBefore w:val="0"/>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二、供应商的报价是其响应本项目要求的全部工作内容的价格体现，包括供应商完成本项目所需的一切费用。</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8" w:name="_Toc5867"/>
      <w:r>
        <w:rPr>
          <w:rFonts w:hint="eastAsia"/>
          <w:color w:val="auto"/>
          <w:highlight w:val="none"/>
        </w:rPr>
        <w:t>2.4.</w:t>
      </w:r>
      <w:r>
        <w:rPr>
          <w:rFonts w:hint="eastAsia"/>
          <w:color w:val="auto"/>
          <w:highlight w:val="none"/>
          <w:lang w:val="en-US" w:eastAsia="zh-CN"/>
        </w:rPr>
        <w:t>8</w:t>
      </w:r>
      <w:r>
        <w:rPr>
          <w:rFonts w:hint="eastAsia"/>
          <w:color w:val="auto"/>
          <w:highlight w:val="none"/>
        </w:rPr>
        <w:t>磋商保证金</w:t>
      </w:r>
      <w:bookmarkEnd w:id="38"/>
    </w:p>
    <w:p>
      <w:pPr>
        <w:pStyle w:val="31"/>
        <w:pageBreakBefore w:val="0"/>
        <w:kinsoku/>
        <w:wordWrap/>
        <w:overflowPunct/>
        <w:topLinePunct w:val="0"/>
        <w:bidi w:val="0"/>
        <w:adjustRightInd w:val="0"/>
        <w:snapToGrid w:val="0"/>
        <w:spacing w:afterAutospacing="0" w:line="360" w:lineRule="auto"/>
        <w:ind w:left="567" w:firstLine="480" w:firstLineChars="200"/>
        <w:rPr>
          <w:rFonts w:ascii="宋体" w:hAnsi="宋体" w:cs="宋体"/>
          <w:color w:val="auto"/>
          <w:sz w:val="28"/>
          <w:szCs w:val="28"/>
          <w:highlight w:val="none"/>
        </w:rPr>
      </w:pPr>
      <w:bookmarkStart w:id="39" w:name="EBdd5395b44bb947409ec49cd6045fcce9"/>
      <w:r>
        <w:rPr>
          <w:rFonts w:hint="eastAsia"/>
          <w:color w:val="auto"/>
          <w:highlight w:val="none"/>
        </w:rPr>
        <w:t>本项目不收取磋商保证金</w:t>
      </w:r>
      <w:bookmarkEnd w:id="39"/>
      <w:r>
        <w:rPr>
          <w:rFonts w:hint="eastAsia" w:ascii="宋体" w:hAnsi="宋体" w:cs="宋体"/>
          <w:color w:val="auto"/>
          <w:sz w:val="28"/>
          <w:szCs w:val="28"/>
          <w:highlight w:val="none"/>
        </w:rPr>
        <w:t>。</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rFonts w:hint="eastAsia"/>
          <w:color w:val="auto"/>
          <w:highlight w:val="none"/>
        </w:rPr>
      </w:pPr>
      <w:bookmarkStart w:id="40" w:name="_Toc18238"/>
      <w:r>
        <w:rPr>
          <w:rFonts w:hint="eastAsia"/>
          <w:color w:val="auto"/>
          <w:highlight w:val="none"/>
        </w:rPr>
        <w:t>2.4.</w:t>
      </w:r>
      <w:r>
        <w:rPr>
          <w:rFonts w:hint="eastAsia"/>
          <w:color w:val="auto"/>
          <w:highlight w:val="none"/>
          <w:lang w:val="en-US" w:eastAsia="zh-CN"/>
        </w:rPr>
        <w:t>9</w:t>
      </w:r>
      <w:r>
        <w:rPr>
          <w:rFonts w:hint="eastAsia"/>
          <w:color w:val="auto"/>
          <w:highlight w:val="none"/>
        </w:rPr>
        <w:t>响应文件有效期</w:t>
      </w:r>
      <w:bookmarkEnd w:id="40"/>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r>
        <w:rPr>
          <w:rFonts w:hint="eastAsia"/>
          <w:color w:val="auto"/>
          <w:highlight w:val="none"/>
        </w:rPr>
        <w:t>一、响应文件有效期为递交响应文件截止之日起</w:t>
      </w:r>
      <w:r>
        <w:rPr>
          <w:rFonts w:hint="eastAsia"/>
          <w:b/>
          <w:bCs/>
          <w:color w:val="auto"/>
          <w:highlight w:val="none"/>
          <w:u w:val="single"/>
        </w:rPr>
        <w:t>120天</w:t>
      </w:r>
      <w:r>
        <w:rPr>
          <w:rFonts w:hint="eastAsia"/>
          <w:color w:val="auto"/>
          <w:highlight w:val="none"/>
        </w:rPr>
        <w:t>。响应文件有效期短于此规定期限或不作响应的，其响应文件将按无效响应文件处理。</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r>
        <w:rPr>
          <w:rFonts w:hint="eastAsia"/>
          <w:color w:val="auto"/>
          <w:highlight w:val="none"/>
        </w:rPr>
        <w:t>二、特殊情况下，采购人可于响应文件有效期满之前要求供应商同意延长有效期，要求与答复均应为书面形式。供应商可以拒绝上述要求。供应商同意延长响应文件有效期的，不得修改其响应文件。</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rFonts w:hint="eastAsia" w:eastAsia="宋体"/>
          <w:color w:val="auto"/>
          <w:highlight w:val="none"/>
          <w:lang w:eastAsia="zh-CN"/>
        </w:rPr>
      </w:pPr>
      <w:bookmarkStart w:id="41" w:name="_Toc12784"/>
      <w:r>
        <w:rPr>
          <w:rFonts w:hint="eastAsia"/>
          <w:color w:val="auto"/>
          <w:highlight w:val="none"/>
        </w:rPr>
        <w:t>2.4.</w:t>
      </w:r>
      <w:r>
        <w:rPr>
          <w:rFonts w:hint="eastAsia"/>
          <w:color w:val="auto"/>
          <w:highlight w:val="none"/>
          <w:lang w:val="en-US" w:eastAsia="zh-CN"/>
        </w:rPr>
        <w:t>10</w:t>
      </w:r>
      <w:r>
        <w:rPr>
          <w:rFonts w:hint="eastAsia"/>
          <w:color w:val="auto"/>
          <w:highlight w:val="none"/>
        </w:rPr>
        <w:t>响应文件的</w:t>
      </w:r>
      <w:r>
        <w:rPr>
          <w:rFonts w:hint="eastAsia"/>
          <w:color w:val="auto"/>
          <w:highlight w:val="none"/>
          <w:lang w:eastAsia="zh-CN"/>
        </w:rPr>
        <w:t>制作、签章和加密</w:t>
      </w:r>
      <w:bookmarkEnd w:id="41"/>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一、响应文件应根据磋商文件的要求进行制作。（说明：1、响应文件中要求提供复印件证明材料的，包含提供原件的影印件或复印件。2、要求提供复印件的证明材料须清晰可辨。）</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二、响应文件制作详情：</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b/>
          <w:color w:val="auto"/>
          <w:sz w:val="24"/>
          <w:szCs w:val="24"/>
          <w:highlight w:val="none"/>
        </w:rPr>
        <w:t>响应文件应加盖有供应商（法定名称）的电子签章，不得使用供应商专用章（如经济合同章、投标专用章等）或下属单位印章代替</w:t>
      </w:r>
      <w:r>
        <w:rPr>
          <w:rFonts w:hint="eastAsia" w:ascii="宋体" w:hAnsi="宋体"/>
          <w:color w:val="auto"/>
          <w:sz w:val="24"/>
          <w:szCs w:val="24"/>
          <w:highlight w:val="none"/>
        </w:rPr>
        <w:t>。</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3、磋商文件有修改的，供应商须重新下载修改后的磋商文件（修改后的磋商文件在更正公告中下载），并根据修改后的磋商文件制作、撤回修改，并递交响应文件。</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4、使用“政府采购云平台”（含政采云电子交易客户端）需要提前申领CA数字证书及电子签章，请自行前往四川CA、CFCA、天威CA服务点办理</w:t>
      </w:r>
      <w:r>
        <w:rPr>
          <w:rFonts w:hint="eastAsia" w:ascii="宋体" w:hAnsi="宋体"/>
          <w:color w:val="auto"/>
          <w:sz w:val="24"/>
          <w:szCs w:val="24"/>
          <w:highlight w:val="none"/>
        </w:rPr>
        <w:t>，</w:t>
      </w:r>
      <w:r>
        <w:rPr>
          <w:rFonts w:ascii="宋体" w:hAnsi="宋体"/>
          <w:color w:val="auto"/>
          <w:sz w:val="24"/>
          <w:szCs w:val="24"/>
          <w:highlight w:val="none"/>
        </w:rPr>
        <w:t>以上CA数字证书均</w:t>
      </w:r>
      <w:r>
        <w:rPr>
          <w:rFonts w:hint="eastAsia" w:ascii="宋体" w:hAnsi="宋体"/>
          <w:color w:val="auto"/>
          <w:sz w:val="24"/>
          <w:szCs w:val="24"/>
          <w:highlight w:val="none"/>
        </w:rPr>
        <w:t>可</w:t>
      </w:r>
      <w:r>
        <w:rPr>
          <w:rFonts w:ascii="宋体" w:hAnsi="宋体"/>
          <w:color w:val="auto"/>
          <w:sz w:val="24"/>
          <w:szCs w:val="24"/>
          <w:highlight w:val="none"/>
        </w:rPr>
        <w:t>在成都市公共资源交易服务中心3楼窗口办理</w:t>
      </w:r>
      <w:r>
        <w:rPr>
          <w:rFonts w:hint="eastAsia" w:ascii="宋体" w:hAnsi="宋体"/>
          <w:color w:val="auto"/>
          <w:sz w:val="24"/>
          <w:szCs w:val="24"/>
          <w:highlight w:val="none"/>
        </w:rPr>
        <w:t>，</w:t>
      </w:r>
      <w:r>
        <w:rPr>
          <w:rFonts w:ascii="宋体" w:hAnsi="宋体"/>
          <w:color w:val="auto"/>
          <w:sz w:val="24"/>
          <w:szCs w:val="24"/>
          <w:highlight w:val="none"/>
        </w:rPr>
        <w:t>其他办理服务点</w:t>
      </w:r>
      <w:r>
        <w:rPr>
          <w:rFonts w:hint="eastAsia" w:ascii="宋体" w:hAnsi="宋体"/>
          <w:color w:val="auto"/>
          <w:sz w:val="24"/>
          <w:szCs w:val="24"/>
          <w:highlight w:val="none"/>
        </w:rPr>
        <w:t>及</w:t>
      </w:r>
      <w:r>
        <w:rPr>
          <w:rFonts w:ascii="宋体" w:hAnsi="宋体"/>
          <w:color w:val="auto"/>
          <w:sz w:val="24"/>
          <w:szCs w:val="24"/>
          <w:highlight w:val="none"/>
        </w:rPr>
        <w:t>办理方式可拨打官方</w:t>
      </w:r>
      <w:r>
        <w:rPr>
          <w:rFonts w:hint="eastAsia" w:ascii="宋体" w:hAnsi="宋体"/>
          <w:color w:val="auto"/>
          <w:sz w:val="24"/>
          <w:szCs w:val="24"/>
          <w:highlight w:val="none"/>
        </w:rPr>
        <w:t>服务</w:t>
      </w:r>
      <w:r>
        <w:rPr>
          <w:rFonts w:ascii="宋体" w:hAnsi="宋体"/>
          <w:color w:val="auto"/>
          <w:sz w:val="24"/>
          <w:szCs w:val="24"/>
          <w:highlight w:val="none"/>
        </w:rPr>
        <w:t>电话</w:t>
      </w:r>
      <w:r>
        <w:rPr>
          <w:rFonts w:hint="eastAsia" w:ascii="宋体" w:hAnsi="宋体"/>
          <w:color w:val="auto"/>
          <w:sz w:val="24"/>
          <w:szCs w:val="24"/>
          <w:highlight w:val="none"/>
        </w:rPr>
        <w:t>咨询</w:t>
      </w:r>
      <w:r>
        <w:rPr>
          <w:rFonts w:ascii="宋体" w:hAnsi="宋体"/>
          <w:color w:val="auto"/>
          <w:sz w:val="24"/>
          <w:szCs w:val="24"/>
          <w:highlight w:val="none"/>
        </w:rPr>
        <w:t>400-028-1130(四川CA)</w:t>
      </w:r>
      <w:r>
        <w:rPr>
          <w:rFonts w:hint="eastAsia" w:ascii="宋体" w:hAnsi="宋体"/>
          <w:color w:val="auto"/>
          <w:sz w:val="24"/>
          <w:szCs w:val="24"/>
          <w:highlight w:val="none"/>
        </w:rPr>
        <w:t>；</w:t>
      </w:r>
      <w:r>
        <w:rPr>
          <w:rFonts w:ascii="宋体" w:hAnsi="宋体"/>
          <w:color w:val="auto"/>
          <w:sz w:val="24"/>
          <w:szCs w:val="24"/>
          <w:highlight w:val="none"/>
        </w:rPr>
        <w:t>(028)6578532</w:t>
      </w:r>
      <w:r>
        <w:rPr>
          <w:rFonts w:hint="eastAsia" w:ascii="宋体" w:hAnsi="宋体"/>
          <w:color w:val="auto"/>
          <w:sz w:val="24"/>
          <w:szCs w:val="24"/>
          <w:highlight w:val="none"/>
        </w:rPr>
        <w:t>、</w:t>
      </w:r>
      <w:r>
        <w:rPr>
          <w:rFonts w:ascii="宋体" w:hAnsi="宋体"/>
          <w:color w:val="auto"/>
          <w:sz w:val="24"/>
          <w:szCs w:val="24"/>
          <w:highlight w:val="none"/>
        </w:rPr>
        <w:t>400-8809888(CFCA)；400-819-9995</w:t>
      </w:r>
      <w:r>
        <w:rPr>
          <w:rFonts w:hint="eastAsia" w:ascii="宋体" w:hAnsi="宋体"/>
          <w:color w:val="auto"/>
          <w:sz w:val="24"/>
          <w:szCs w:val="24"/>
          <w:highlight w:val="none"/>
        </w:rPr>
        <w:t>、</w:t>
      </w:r>
      <w:r>
        <w:rPr>
          <w:rFonts w:ascii="宋体" w:hAnsi="宋体"/>
          <w:color w:val="auto"/>
          <w:sz w:val="24"/>
          <w:szCs w:val="24"/>
          <w:highlight w:val="none"/>
        </w:rPr>
        <w:t>15928647082(天威CA)</w:t>
      </w:r>
      <w:r>
        <w:rPr>
          <w:rFonts w:hint="eastAsia" w:ascii="宋体" w:hAnsi="宋体"/>
          <w:color w:val="auto"/>
          <w:sz w:val="24"/>
          <w:szCs w:val="24"/>
          <w:highlight w:val="none"/>
        </w:rPr>
        <w:t>。供应商只需办理其中一家</w:t>
      </w:r>
      <w:r>
        <w:rPr>
          <w:rFonts w:ascii="宋体" w:hAnsi="宋体"/>
          <w:color w:val="auto"/>
          <w:sz w:val="24"/>
          <w:szCs w:val="24"/>
          <w:highlight w:val="none"/>
        </w:rPr>
        <w:t>CA数字证书及签章（提示：办理时请说明参与成都市政府采购项目）。供应商应及时完成在“政府采购云平台”的CA账号绑定，确保顺利参与电子采购。</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rFonts w:hint="eastAsia" w:eastAsia="宋体"/>
          <w:color w:val="auto"/>
          <w:highlight w:val="none"/>
          <w:lang w:eastAsia="zh-CN"/>
        </w:rPr>
      </w:pPr>
      <w:bookmarkStart w:id="42" w:name="_Toc13963"/>
      <w:r>
        <w:rPr>
          <w:rFonts w:hint="eastAsia"/>
          <w:color w:val="auto"/>
          <w:highlight w:val="none"/>
        </w:rPr>
        <w:t>2.4.</w:t>
      </w:r>
      <w:r>
        <w:rPr>
          <w:rFonts w:hint="eastAsia"/>
          <w:color w:val="auto"/>
          <w:highlight w:val="none"/>
          <w:lang w:val="en-US" w:eastAsia="zh-CN"/>
        </w:rPr>
        <w:t>11</w:t>
      </w:r>
      <w:r>
        <w:rPr>
          <w:rFonts w:hint="eastAsia"/>
          <w:color w:val="auto"/>
          <w:highlight w:val="none"/>
        </w:rPr>
        <w:t>响应文件的</w:t>
      </w:r>
      <w:r>
        <w:rPr>
          <w:rFonts w:hint="eastAsia"/>
          <w:color w:val="auto"/>
          <w:szCs w:val="24"/>
          <w:highlight w:val="none"/>
          <w:lang w:eastAsia="zh-CN"/>
        </w:rPr>
        <w:t>递交</w:t>
      </w:r>
      <w:bookmarkEnd w:id="42"/>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color w:val="auto"/>
          <w:sz w:val="24"/>
          <w:szCs w:val="24"/>
          <w:highlight w:val="none"/>
          <w:lang w:eastAsia="zh-CN"/>
        </w:rPr>
        <w:t>一、</w:t>
      </w:r>
      <w:r>
        <w:rPr>
          <w:rFonts w:hint="eastAsia" w:ascii="宋体" w:hAnsi="宋体"/>
          <w:color w:val="auto"/>
          <w:sz w:val="24"/>
          <w:szCs w:val="24"/>
          <w:highlight w:val="none"/>
        </w:rPr>
        <w:t>供应商应当在响应文件递交截止时间前，将生成的已加密的响应文件成功递交至“政府采购云平台”。</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color w:val="auto"/>
          <w:sz w:val="24"/>
          <w:szCs w:val="24"/>
          <w:highlight w:val="none"/>
          <w:lang w:eastAsia="zh-CN"/>
        </w:rPr>
        <w:t>二、</w:t>
      </w:r>
      <w:r>
        <w:rPr>
          <w:rFonts w:hint="eastAsia" w:ascii="宋体" w:hAnsi="宋体"/>
          <w:color w:val="auto"/>
          <w:sz w:val="24"/>
          <w:szCs w:val="24"/>
          <w:highlight w:val="none"/>
        </w:rPr>
        <w:t>因磋商文件的修改推迟响应文件递交截止时间的，供应商按</w:t>
      </w:r>
      <w:r>
        <w:rPr>
          <w:rFonts w:hint="eastAsia"/>
          <w:color w:val="auto"/>
          <w:sz w:val="24"/>
          <w:szCs w:val="24"/>
          <w:highlight w:val="none"/>
          <w:lang w:eastAsia="zh-CN"/>
        </w:rPr>
        <w:t>区</w:t>
      </w:r>
      <w:r>
        <w:rPr>
          <w:rFonts w:hint="eastAsia" w:ascii="宋体" w:hAnsi="宋体"/>
          <w:color w:val="auto"/>
          <w:sz w:val="24"/>
          <w:szCs w:val="24"/>
          <w:highlight w:val="none"/>
        </w:rPr>
        <w:t>公资交易中心在“四川政府采购网”和“成都市公共资源交易服务中心”网站上发布的澄清公告中修改的时间递交响应文件。</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color w:val="auto"/>
          <w:sz w:val="24"/>
          <w:szCs w:val="24"/>
          <w:highlight w:val="none"/>
          <w:lang w:eastAsia="zh-CN"/>
        </w:rPr>
        <w:t>三、</w:t>
      </w:r>
      <w:r>
        <w:rPr>
          <w:rFonts w:hint="eastAsia" w:ascii="宋体" w:hAnsi="宋体"/>
          <w:color w:val="auto"/>
          <w:sz w:val="24"/>
          <w:szCs w:val="24"/>
          <w:highlight w:val="none"/>
        </w:rPr>
        <w:t>供应商应充分考虑递交响应文件的不可预见因素，未在递交</w:t>
      </w:r>
      <w:r>
        <w:rPr>
          <w:rFonts w:ascii="宋体" w:hAnsi="宋体"/>
          <w:color w:val="auto"/>
          <w:sz w:val="24"/>
          <w:szCs w:val="24"/>
          <w:highlight w:val="none"/>
        </w:rPr>
        <w:t>响应文件</w:t>
      </w:r>
      <w:r>
        <w:rPr>
          <w:rFonts w:hint="eastAsia" w:ascii="宋体" w:hAnsi="宋体"/>
          <w:color w:val="auto"/>
          <w:sz w:val="24"/>
          <w:szCs w:val="24"/>
          <w:highlight w:val="none"/>
        </w:rPr>
        <w:t>截止时间前完成递交的，在递交</w:t>
      </w:r>
      <w:r>
        <w:rPr>
          <w:rFonts w:ascii="宋体" w:hAnsi="宋体"/>
          <w:color w:val="auto"/>
          <w:sz w:val="24"/>
          <w:szCs w:val="24"/>
          <w:highlight w:val="none"/>
        </w:rPr>
        <w:t>响应文件</w:t>
      </w:r>
      <w:r>
        <w:rPr>
          <w:rFonts w:hint="eastAsia" w:ascii="宋体" w:hAnsi="宋体"/>
          <w:color w:val="auto"/>
          <w:sz w:val="24"/>
          <w:szCs w:val="24"/>
          <w:highlight w:val="none"/>
        </w:rPr>
        <w:t>截止时间后将无法递交。</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rFonts w:hint="eastAsia" w:eastAsia="宋体"/>
          <w:color w:val="auto"/>
          <w:highlight w:val="none"/>
          <w:lang w:eastAsia="zh-CN"/>
        </w:rPr>
      </w:pPr>
      <w:bookmarkStart w:id="43" w:name="_Toc29589"/>
      <w:r>
        <w:rPr>
          <w:rFonts w:hint="eastAsia"/>
          <w:color w:val="auto"/>
          <w:highlight w:val="none"/>
        </w:rPr>
        <w:t>2.4.1</w:t>
      </w:r>
      <w:r>
        <w:rPr>
          <w:rFonts w:hint="eastAsia"/>
          <w:color w:val="auto"/>
          <w:highlight w:val="none"/>
          <w:lang w:val="en-US" w:eastAsia="zh-CN"/>
        </w:rPr>
        <w:t>2</w:t>
      </w:r>
      <w:r>
        <w:rPr>
          <w:rFonts w:hint="eastAsia"/>
          <w:color w:val="auto"/>
          <w:highlight w:val="none"/>
        </w:rPr>
        <w:t>响应文件的补充、修改和撤回</w:t>
      </w:r>
      <w:bookmarkEnd w:id="43"/>
    </w:p>
    <w:p>
      <w:pPr>
        <w:pageBreakBefore w:val="0"/>
        <w:numPr>
          <w:ilvl w:val="0"/>
          <w:numId w:val="5"/>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在递交</w:t>
      </w:r>
      <w:r>
        <w:rPr>
          <w:rFonts w:ascii="宋体" w:hAnsi="宋体" w:eastAsia="宋体" w:cs="Times New Roman"/>
          <w:color w:val="auto"/>
          <w:sz w:val="24"/>
          <w:szCs w:val="24"/>
          <w:highlight w:val="none"/>
        </w:rPr>
        <w:t>响应文件</w:t>
      </w:r>
      <w:r>
        <w:rPr>
          <w:rFonts w:hint="eastAsia" w:ascii="宋体" w:hAnsi="宋体" w:eastAsia="宋体" w:cs="Times New Roman"/>
          <w:color w:val="auto"/>
          <w:sz w:val="24"/>
          <w:szCs w:val="24"/>
          <w:highlight w:val="none"/>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pageBreakBefore w:val="0"/>
        <w:widowControl w:val="0"/>
        <w:numPr>
          <w:ilvl w:val="0"/>
          <w:numId w:val="5"/>
        </w:numPr>
        <w:tabs>
          <w:tab w:val="left" w:pos="1134"/>
        </w:tabs>
        <w:kinsoku/>
        <w:wordWrap/>
        <w:overflowPunct/>
        <w:topLinePunct w:val="0"/>
        <w:autoSpaceDE/>
        <w:autoSpaceDN/>
        <w:bidi w:val="0"/>
        <w:adjustRightInd w:val="0"/>
        <w:snapToGrid w:val="0"/>
        <w:spacing w:afterAutospacing="0" w:line="360" w:lineRule="auto"/>
        <w:ind w:left="0" w:firstLine="480" w:firstLineChars="200"/>
        <w:textAlignment w:val="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在递交响应文件截止时间之后，供应商不得对其递交的响应文件做任何补充、修改。</w:t>
      </w:r>
    </w:p>
    <w:p>
      <w:pPr>
        <w:pageBreakBefore w:val="0"/>
        <w:widowControl w:val="0"/>
        <w:numPr>
          <w:ilvl w:val="0"/>
          <w:numId w:val="5"/>
        </w:numPr>
        <w:tabs>
          <w:tab w:val="left" w:pos="1134"/>
        </w:tabs>
        <w:kinsoku/>
        <w:wordWrap/>
        <w:overflowPunct/>
        <w:topLinePunct w:val="0"/>
        <w:autoSpaceDE/>
        <w:autoSpaceDN/>
        <w:bidi w:val="0"/>
        <w:adjustRightInd w:val="0"/>
        <w:snapToGrid w:val="0"/>
        <w:spacing w:afterAutospacing="0" w:line="360" w:lineRule="auto"/>
        <w:ind w:left="0" w:firstLine="480" w:firstLineChars="200"/>
        <w:textAlignment w:val="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在递交响应文件截止时间之前，供应商可对已递交的响应文件进行撤回。在递交响应文件截止时间之后，供应商不得撤回响应文件。</w:t>
      </w:r>
    </w:p>
    <w:p>
      <w:pPr>
        <w:pStyle w:val="5"/>
        <w:numPr>
          <w:ilvl w:val="2"/>
          <w:numId w:val="0"/>
        </w:numPr>
        <w:bidi w:val="0"/>
        <w:ind w:leftChars="200"/>
        <w:rPr>
          <w:rFonts w:hint="eastAsia"/>
          <w:lang w:val="en-US" w:eastAsia="zh-CN"/>
        </w:rPr>
      </w:pPr>
      <w:bookmarkStart w:id="44" w:name="_Toc20755"/>
      <w:r>
        <w:rPr>
          <w:rFonts w:hint="eastAsia"/>
          <w:lang w:val="en-US" w:eastAsia="zh-CN"/>
        </w:rPr>
        <w:t>2.4.13响应文件的解密</w:t>
      </w:r>
      <w:bookmarkEnd w:id="44"/>
    </w:p>
    <w:p>
      <w:pPr>
        <w:pageBreakBefore w:val="0"/>
        <w:widowControl w:val="0"/>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ascii="宋体" w:hAnsi="宋体"/>
          <w:bCs/>
          <w:color w:val="auto"/>
          <w:sz w:val="24"/>
          <w:szCs w:val="24"/>
          <w:highlight w:val="none"/>
        </w:rPr>
      </w:pPr>
      <w:r>
        <w:rPr>
          <w:rFonts w:hint="eastAsia" w:ascii="宋体" w:hAnsi="宋体"/>
          <w:bCs/>
          <w:color w:val="auto"/>
          <w:sz w:val="24"/>
          <w:szCs w:val="24"/>
          <w:highlight w:val="none"/>
        </w:rPr>
        <w:t>供应商</w:t>
      </w:r>
      <w:r>
        <w:rPr>
          <w:rFonts w:hint="eastAsia" w:ascii="宋体" w:hAnsi="宋体"/>
          <w:color w:val="auto"/>
          <w:sz w:val="24"/>
          <w:szCs w:val="24"/>
          <w:highlight w:val="none"/>
        </w:rPr>
        <w:t>登录政府采购云平台，点击“项目采购—开标评标”模块，找到对应项目，进入“开标大厅”，</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公资交易中心开启解密后，</w:t>
      </w:r>
      <w:r>
        <w:rPr>
          <w:rFonts w:hint="eastAsia" w:ascii="宋体" w:hAnsi="宋体" w:cs="宋体"/>
          <w:color w:val="auto"/>
          <w:sz w:val="24"/>
          <w:szCs w:val="24"/>
          <w:highlight w:val="none"/>
        </w:rPr>
        <w:t>供应商应在60分钟内，使用加密该响应文件的CA数字证书在线完成响应文件的解密。</w:t>
      </w:r>
      <w:r>
        <w:rPr>
          <w:rFonts w:hint="eastAsia" w:ascii="宋体" w:hAnsi="宋体"/>
          <w:bCs/>
          <w:color w:val="auto"/>
          <w:sz w:val="24"/>
          <w:szCs w:val="24"/>
          <w:highlight w:val="none"/>
        </w:rPr>
        <w:t>除因</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w:t>
      </w:r>
      <w:r>
        <w:rPr>
          <w:rFonts w:hint="eastAsia" w:ascii="宋体" w:hAnsi="宋体"/>
          <w:bCs/>
          <w:color w:val="auto"/>
          <w:sz w:val="24"/>
          <w:szCs w:val="24"/>
          <w:highlight w:val="none"/>
        </w:rPr>
        <w:t>断电、断网、系统故障或其他不可抗力等因素，导致系统无法使用外，供应商在规定的解密时间内，未成功解密的响应文件将视为无效响应文件。</w:t>
      </w:r>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rFonts w:hint="eastAsia"/>
          <w:color w:val="auto"/>
          <w:sz w:val="28"/>
          <w:szCs w:val="28"/>
          <w:highlight w:val="none"/>
        </w:rPr>
      </w:pPr>
      <w:bookmarkStart w:id="45" w:name="_Toc23345"/>
      <w:r>
        <w:rPr>
          <w:rFonts w:hint="eastAsia"/>
          <w:color w:val="auto"/>
          <w:sz w:val="28"/>
          <w:szCs w:val="28"/>
          <w:highlight w:val="none"/>
        </w:rPr>
        <w:t>2.5</w:t>
      </w:r>
      <w:bookmarkStart w:id="46" w:name="_Toc217446057"/>
      <w:bookmarkStart w:id="47" w:name="_Toc183682369"/>
      <w:bookmarkStart w:id="48" w:name="_Toc183582232"/>
      <w:bookmarkStart w:id="49" w:name="_Toc77688475"/>
      <w:bookmarkStart w:id="50" w:name="_Toc73447467"/>
      <w:r>
        <w:rPr>
          <w:rFonts w:hint="eastAsia"/>
          <w:color w:val="auto"/>
          <w:sz w:val="28"/>
          <w:szCs w:val="28"/>
          <w:highlight w:val="none"/>
        </w:rPr>
        <w:t>磋商</w:t>
      </w:r>
      <w:r>
        <w:rPr>
          <w:color w:val="auto"/>
          <w:sz w:val="28"/>
          <w:szCs w:val="28"/>
          <w:highlight w:val="none"/>
        </w:rPr>
        <w:t>开启活动</w:t>
      </w:r>
      <w:r>
        <w:rPr>
          <w:rFonts w:hint="eastAsia"/>
          <w:color w:val="auto"/>
          <w:sz w:val="28"/>
          <w:szCs w:val="28"/>
          <w:highlight w:val="none"/>
        </w:rPr>
        <w:t>程序</w:t>
      </w:r>
      <w:bookmarkEnd w:id="45"/>
      <w:bookmarkEnd w:id="46"/>
      <w:bookmarkEnd w:id="47"/>
      <w:bookmarkEnd w:id="48"/>
      <w:bookmarkEnd w:id="49"/>
      <w:bookmarkEnd w:id="50"/>
    </w:p>
    <w:p>
      <w:pPr>
        <w:pStyle w:val="32"/>
        <w:pageBreakBefore w:val="0"/>
        <w:numPr>
          <w:ilvl w:val="0"/>
          <w:numId w:val="6"/>
        </w:numPr>
        <w:tabs>
          <w:tab w:val="left" w:pos="1134"/>
        </w:tabs>
        <w:kinsoku/>
        <w:wordWrap/>
        <w:overflowPunct/>
        <w:topLinePunct w:val="0"/>
        <w:bidi w:val="0"/>
        <w:adjustRightInd w:val="0"/>
        <w:snapToGrid w:val="0"/>
        <w:spacing w:afterAutospacing="0" w:line="360" w:lineRule="auto"/>
        <w:ind w:left="0" w:right="210"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递交响应文件的供应商不足三家的，不予继续开展磋商采购</w:t>
      </w:r>
      <w:r>
        <w:rPr>
          <w:rFonts w:ascii="宋体" w:hAnsi="宋体" w:eastAsia="宋体" w:cs="宋体"/>
          <w:b/>
          <w:color w:val="auto"/>
          <w:sz w:val="24"/>
          <w:szCs w:val="24"/>
          <w:highlight w:val="none"/>
        </w:rPr>
        <w:t>活动</w:t>
      </w:r>
      <w:r>
        <w:rPr>
          <w:rFonts w:hint="eastAsia" w:ascii="宋体" w:hAnsi="宋体" w:eastAsia="宋体" w:cs="宋体"/>
          <w:b/>
          <w:color w:val="auto"/>
          <w:sz w:val="24"/>
          <w:szCs w:val="24"/>
          <w:highlight w:val="none"/>
        </w:rPr>
        <w:t>。</w:t>
      </w:r>
    </w:p>
    <w:p>
      <w:pPr>
        <w:pStyle w:val="32"/>
        <w:keepNext w:val="0"/>
        <w:keepLines w:val="0"/>
        <w:pageBreakBefore w:val="0"/>
        <w:widowControl w:val="0"/>
        <w:numPr>
          <w:ilvl w:val="0"/>
          <w:numId w:val="6"/>
        </w:numPr>
        <w:tabs>
          <w:tab w:val="left" w:pos="1134"/>
        </w:tabs>
        <w:kinsoku/>
        <w:wordWrap/>
        <w:overflowPunct/>
        <w:topLinePunct w:val="0"/>
        <w:autoSpaceDE/>
        <w:autoSpaceDN/>
        <w:bidi w:val="0"/>
        <w:adjustRightInd w:val="0"/>
        <w:snapToGrid w:val="0"/>
        <w:spacing w:afterAutospacing="0" w:line="360" w:lineRule="auto"/>
        <w:ind w:left="0" w:right="210"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准备工作。供应商需在递交响应</w:t>
      </w:r>
      <w:r>
        <w:rPr>
          <w:rFonts w:ascii="宋体" w:hAnsi="宋体" w:eastAsia="宋体" w:cs="宋体"/>
          <w:b/>
          <w:color w:val="auto"/>
          <w:sz w:val="24"/>
          <w:szCs w:val="24"/>
          <w:highlight w:val="none"/>
        </w:rPr>
        <w:t>文件</w:t>
      </w:r>
      <w:r>
        <w:rPr>
          <w:rFonts w:hint="eastAsia" w:ascii="宋体" w:hAnsi="宋体" w:eastAsia="宋体" w:cs="宋体"/>
          <w:b/>
          <w:color w:val="auto"/>
          <w:sz w:val="24"/>
          <w:szCs w:val="24"/>
          <w:highlight w:val="none"/>
        </w:rPr>
        <w:t>截止时间前登录“政府采购云平台”，通过“开标大厅”参与。登录成都市公共资源交易服务中心门户网站（https://www.cdggzy.com/）—政府采购云平台—项目采购—开标评标—开标大厅（找到对应项目）。提示：供应商未按时登录不见面开标系统，错过解密时间的，由供应商自行承担不利后果。</w:t>
      </w:r>
    </w:p>
    <w:p>
      <w:pPr>
        <w:pStyle w:val="32"/>
        <w:keepNext w:val="0"/>
        <w:keepLines w:val="0"/>
        <w:pageBreakBefore w:val="0"/>
        <w:widowControl w:val="0"/>
        <w:numPr>
          <w:ilvl w:val="0"/>
          <w:numId w:val="6"/>
        </w:numPr>
        <w:tabs>
          <w:tab w:val="left" w:pos="1134"/>
        </w:tabs>
        <w:kinsoku/>
        <w:wordWrap/>
        <w:overflowPunct/>
        <w:topLinePunct w:val="0"/>
        <w:autoSpaceDE/>
        <w:autoSpaceDN/>
        <w:bidi w:val="0"/>
        <w:adjustRightInd w:val="0"/>
        <w:snapToGrid w:val="0"/>
        <w:spacing w:afterAutospacing="0" w:line="360" w:lineRule="auto"/>
        <w:ind w:left="0" w:right="210" w:firstLine="482" w:firstLineChars="200"/>
        <w:textAlignment w:val="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解密响应文件。待</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公资交易中心开启解密后，供应商进行线上解密。除因</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公资交易中心断电、断网、系统故障或其他不可抗力等因素，导致系统无法使用外，供应商在规定的解密时间内，未成功解密的响应文件将视为无效响应文件。</w:t>
      </w:r>
    </w:p>
    <w:p>
      <w:pPr>
        <w:pStyle w:val="32"/>
        <w:pageBreakBefore w:val="0"/>
        <w:numPr>
          <w:ilvl w:val="0"/>
          <w:numId w:val="6"/>
        </w:numPr>
        <w:tabs>
          <w:tab w:val="left" w:pos="1134"/>
        </w:tabs>
        <w:kinsoku/>
        <w:wordWrap/>
        <w:overflowPunct/>
        <w:topLinePunct w:val="0"/>
        <w:bidi w:val="0"/>
        <w:adjustRightInd w:val="0"/>
        <w:snapToGrid w:val="0"/>
        <w:spacing w:afterAutospacing="0" w:line="360" w:lineRule="auto"/>
        <w:ind w:left="0" w:right="210"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确认。所有供应商</w:t>
      </w:r>
      <w:r>
        <w:rPr>
          <w:rFonts w:ascii="宋体" w:hAnsi="宋体" w:eastAsia="宋体" w:cs="宋体"/>
          <w:b/>
          <w:color w:val="auto"/>
          <w:sz w:val="24"/>
          <w:szCs w:val="24"/>
          <w:highlight w:val="none"/>
        </w:rPr>
        <w:t>响应文件</w:t>
      </w:r>
      <w:r>
        <w:rPr>
          <w:rFonts w:hint="eastAsia" w:ascii="宋体" w:hAnsi="宋体" w:eastAsia="宋体" w:cs="宋体"/>
          <w:b/>
          <w:color w:val="auto"/>
          <w:sz w:val="24"/>
          <w:szCs w:val="24"/>
          <w:highlight w:val="none"/>
        </w:rPr>
        <w:t>均完成解密或者解密时间截止（以发生在先的时间为准），由“政府采购云平台”系统展示供应商名称、响应文件解密情况等内容。</w:t>
      </w:r>
    </w:p>
    <w:p>
      <w:pPr>
        <w:pStyle w:val="32"/>
        <w:pageBreakBefore w:val="0"/>
        <w:numPr>
          <w:ilvl w:val="0"/>
          <w:numId w:val="6"/>
        </w:numPr>
        <w:tabs>
          <w:tab w:val="left" w:pos="1134"/>
        </w:tabs>
        <w:kinsoku/>
        <w:wordWrap/>
        <w:overflowPunct/>
        <w:topLinePunct w:val="0"/>
        <w:bidi w:val="0"/>
        <w:adjustRightInd w:val="0"/>
        <w:snapToGrid w:val="0"/>
        <w:spacing w:afterAutospacing="0" w:line="360" w:lineRule="auto"/>
        <w:ind w:left="0" w:right="210"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供应商对过程和记录有异议，以及认为采购人、</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公资交易中心相关工作人员有需要回避的情形的，及时向工作人员提出询问或者回避申请。采购人、</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公资交易中心对供应商提出的询问或者回避申请应当及时处理。</w:t>
      </w:r>
    </w:p>
    <w:p>
      <w:pPr>
        <w:pStyle w:val="32"/>
        <w:pageBreakBefore w:val="0"/>
        <w:numPr>
          <w:ilvl w:val="0"/>
          <w:numId w:val="6"/>
        </w:numPr>
        <w:tabs>
          <w:tab w:val="left" w:pos="1134"/>
        </w:tabs>
        <w:kinsoku/>
        <w:wordWrap/>
        <w:overflowPunct/>
        <w:topLinePunct w:val="0"/>
        <w:bidi w:val="0"/>
        <w:adjustRightInd w:val="0"/>
        <w:snapToGrid w:val="0"/>
        <w:spacing w:afterAutospacing="0" w:line="360" w:lineRule="auto"/>
        <w:ind w:left="0" w:right="210"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32"/>
        <w:pageBreakBefore w:val="0"/>
        <w:numPr>
          <w:ilvl w:val="0"/>
          <w:numId w:val="6"/>
        </w:numPr>
        <w:tabs>
          <w:tab w:val="left" w:pos="1134"/>
        </w:tabs>
        <w:kinsoku/>
        <w:wordWrap/>
        <w:overflowPunct/>
        <w:topLinePunct w:val="0"/>
        <w:bidi w:val="0"/>
        <w:adjustRightInd w:val="0"/>
        <w:snapToGrid w:val="0"/>
        <w:spacing w:afterAutospacing="0" w:line="360" w:lineRule="auto"/>
        <w:ind w:left="0" w:right="210"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因</w:t>
      </w:r>
      <w:r>
        <w:rPr>
          <w:rFonts w:hint="eastAsia" w:ascii="宋体" w:hAnsi="宋体" w:eastAsia="宋体" w:cs="宋体"/>
          <w:b/>
          <w:color w:val="auto"/>
          <w:sz w:val="24"/>
          <w:szCs w:val="24"/>
          <w:highlight w:val="none"/>
          <w:lang w:eastAsia="zh-CN"/>
        </w:rPr>
        <w:t>区</w:t>
      </w:r>
      <w:r>
        <w:rPr>
          <w:rFonts w:hint="eastAsia" w:ascii="宋体" w:hAnsi="宋体" w:eastAsia="宋体" w:cs="宋体"/>
          <w:b/>
          <w:color w:val="auto"/>
          <w:sz w:val="24"/>
          <w:szCs w:val="24"/>
          <w:highlight w:val="none"/>
        </w:rPr>
        <w:t>公资交易中心断电、断网、系统故障或其他不可抗力等因素导致不见面开标系统无法正常运行的，磋商活动开启中止或延迟，待系统恢复正常后继续进行。</w:t>
      </w:r>
    </w:p>
    <w:p>
      <w:pPr>
        <w:pageBreakBefore w:val="0"/>
        <w:widowControl w:val="0"/>
        <w:numPr>
          <w:ilvl w:val="0"/>
          <w:numId w:val="6"/>
        </w:numPr>
        <w:tabs>
          <w:tab w:val="left" w:pos="1134"/>
        </w:tabs>
        <w:kinsoku/>
        <w:wordWrap/>
        <w:overflowPunct/>
        <w:topLinePunct w:val="0"/>
        <w:bidi w:val="0"/>
        <w:adjustRightInd w:val="0"/>
        <w:snapToGrid w:val="0"/>
        <w:spacing w:afterAutospacing="0" w:line="360" w:lineRule="auto"/>
        <w:ind w:left="0" w:right="210" w:firstLine="482" w:firstLineChars="200"/>
        <w:jc w:val="both"/>
        <w:rPr>
          <w:rFonts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磋商活动开启过程中，各方主体均应遵守互联网有关规定，不得发表与交易活动无关的言论。</w:t>
      </w:r>
    </w:p>
    <w:p>
      <w:pPr>
        <w:pStyle w:val="4"/>
        <w:numPr>
          <w:ilvl w:val="1"/>
          <w:numId w:val="0"/>
        </w:numPr>
        <w:bidi w:val="0"/>
        <w:rPr>
          <w:rFonts w:hint="eastAsia"/>
          <w:b/>
          <w:bCs/>
          <w:color w:val="auto"/>
          <w:sz w:val="28"/>
          <w:szCs w:val="28"/>
          <w:highlight w:val="none"/>
          <w:lang w:eastAsia="zh-CN"/>
        </w:rPr>
      </w:pPr>
      <w:bookmarkStart w:id="51" w:name="_Toc29632"/>
      <w:r>
        <w:rPr>
          <w:rFonts w:hint="eastAsia"/>
          <w:b/>
          <w:bCs/>
          <w:color w:val="auto"/>
          <w:sz w:val="28"/>
          <w:szCs w:val="28"/>
          <w:highlight w:val="none"/>
          <w:lang w:val="en-US" w:eastAsia="zh-CN"/>
        </w:rPr>
        <w:t>2.6</w:t>
      </w:r>
      <w:r>
        <w:rPr>
          <w:rFonts w:hint="eastAsia"/>
          <w:b/>
          <w:bCs/>
          <w:color w:val="auto"/>
          <w:sz w:val="28"/>
          <w:szCs w:val="28"/>
          <w:highlight w:val="none"/>
        </w:rPr>
        <w:t>资格审查</w:t>
      </w:r>
      <w:r>
        <w:rPr>
          <w:rFonts w:hint="eastAsia"/>
          <w:b/>
          <w:bCs/>
          <w:color w:val="auto"/>
          <w:sz w:val="28"/>
          <w:szCs w:val="28"/>
          <w:highlight w:val="none"/>
          <w:lang w:eastAsia="zh-CN"/>
        </w:rPr>
        <w:t>和评审</w:t>
      </w:r>
      <w:bookmarkEnd w:id="51"/>
    </w:p>
    <w:p>
      <w:pPr>
        <w:pageBreakBefore w:val="0"/>
        <w:numPr>
          <w:ilvl w:val="0"/>
          <w:numId w:val="7"/>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资格审查详见采购文件第五章。</w:t>
      </w:r>
    </w:p>
    <w:p>
      <w:pPr>
        <w:pageBreakBefore w:val="0"/>
        <w:numPr>
          <w:ilvl w:val="0"/>
          <w:numId w:val="7"/>
        </w:numPr>
        <w:tabs>
          <w:tab w:val="left" w:pos="1134"/>
        </w:tabs>
        <w:kinsoku/>
        <w:wordWrap/>
        <w:overflowPunct/>
        <w:topLinePunct w:val="0"/>
        <w:bidi w:val="0"/>
        <w:adjustRightInd w:val="0"/>
        <w:snapToGrid w:val="0"/>
        <w:spacing w:afterAutospacing="0" w:line="360" w:lineRule="auto"/>
        <w:ind w:left="0" w:firstLine="480" w:firstLineChars="200"/>
        <w:rPr>
          <w:rFonts w:hint="eastAsia"/>
          <w:b/>
          <w:bCs/>
          <w:color w:val="auto"/>
          <w:sz w:val="24"/>
          <w:szCs w:val="24"/>
          <w:highlight w:val="none"/>
          <w:lang w:eastAsia="zh-CN"/>
        </w:rPr>
      </w:pPr>
      <w:r>
        <w:rPr>
          <w:rFonts w:hint="eastAsia" w:ascii="宋体" w:hAnsi="宋体"/>
          <w:color w:val="auto"/>
          <w:sz w:val="24"/>
          <w:szCs w:val="24"/>
          <w:highlight w:val="none"/>
        </w:rPr>
        <w:t>磋商小组的组建及其评审工作按照有关法律制度和本文件第五章的规定进行。</w:t>
      </w:r>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sz w:val="28"/>
          <w:szCs w:val="28"/>
          <w:highlight w:val="none"/>
        </w:rPr>
      </w:pPr>
      <w:bookmarkStart w:id="52" w:name="_Toc26955"/>
      <w:r>
        <w:rPr>
          <w:rFonts w:hint="eastAsia"/>
          <w:color w:val="auto"/>
          <w:sz w:val="28"/>
          <w:szCs w:val="28"/>
          <w:highlight w:val="none"/>
          <w:lang w:val="en-US" w:eastAsia="zh-CN"/>
        </w:rPr>
        <w:t>2.7</w:t>
      </w:r>
      <w:r>
        <w:rPr>
          <w:color w:val="auto"/>
          <w:sz w:val="28"/>
          <w:szCs w:val="28"/>
          <w:highlight w:val="none"/>
        </w:rPr>
        <w:t>成交通知书</w:t>
      </w:r>
      <w:bookmarkEnd w:id="52"/>
    </w:p>
    <w:p>
      <w:pPr>
        <w:pageBreakBefore w:val="0"/>
        <w:kinsoku/>
        <w:wordWrap/>
        <w:overflowPunct/>
        <w:topLinePunct w:val="0"/>
        <w:bidi w:val="0"/>
        <w:adjustRightInd w:val="0"/>
        <w:snapToGrid w:val="0"/>
        <w:spacing w:afterAutospacing="0" w:line="360" w:lineRule="auto"/>
        <w:ind w:right="210"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成交通知书为采购人签订政府采购合同的依据，是合同的有效组成部分。若出现政府采购法律法规、规章制度规定的成交无效情形的，将以公告形式宣布发出的成交通知书无效，成交通知书将自动失效，并依法重新确定成交供应商或者重新开展采购活动。</w:t>
      </w:r>
    </w:p>
    <w:p>
      <w:pPr>
        <w:pageBreakBefore w:val="0"/>
        <w:kinsoku/>
        <w:wordWrap/>
        <w:overflowPunct/>
        <w:topLinePunct w:val="0"/>
        <w:bidi w:val="0"/>
        <w:adjustRightInd w:val="0"/>
        <w:snapToGrid w:val="0"/>
        <w:spacing w:afterAutospacing="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二、成交通知书对采购人和成交供应商均具有法律效力。</w:t>
      </w:r>
    </w:p>
    <w:p>
      <w:pPr>
        <w:pageBreakBefore w:val="0"/>
        <w:kinsoku/>
        <w:wordWrap/>
        <w:overflowPunct/>
        <w:topLinePunct w:val="0"/>
        <w:bidi w:val="0"/>
        <w:adjustRightInd w:val="0"/>
        <w:snapToGrid w:val="0"/>
        <w:spacing w:afterAutospacing="0" w:line="360" w:lineRule="auto"/>
        <w:ind w:firstLine="480" w:firstLineChars="200"/>
        <w:rPr>
          <w:rFonts w:ascii="Calibri" w:hAnsi="Calibri" w:eastAsia="宋体" w:cs="Times New Roman"/>
          <w:color w:val="auto"/>
          <w:sz w:val="24"/>
          <w:szCs w:val="24"/>
          <w:highlight w:val="none"/>
        </w:rPr>
      </w:pPr>
      <w:r>
        <w:rPr>
          <w:rFonts w:hint="eastAsia" w:ascii="宋体" w:hAnsi="宋体" w:eastAsia="宋体" w:cs="Times New Roman"/>
          <w:color w:val="auto"/>
          <w:sz w:val="24"/>
          <w:szCs w:val="24"/>
          <w:highlight w:val="none"/>
          <w:lang w:val="zh-CN"/>
        </w:rPr>
        <w:t>三、</w:t>
      </w:r>
      <w:r>
        <w:rPr>
          <w:rFonts w:hint="eastAsia" w:ascii="宋体" w:hAnsi="宋体" w:eastAsia="宋体" w:cs="Times New Roman"/>
          <w:color w:val="auto"/>
          <w:sz w:val="24"/>
          <w:szCs w:val="24"/>
          <w:highlight w:val="none"/>
        </w:rPr>
        <w:t>成交公告在四川政府采购网上公告后，成交供应商自行登录政府采购云平台下载成交通知书。</w:t>
      </w:r>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sz w:val="28"/>
          <w:szCs w:val="28"/>
          <w:highlight w:val="none"/>
        </w:rPr>
      </w:pPr>
      <w:bookmarkStart w:id="53" w:name="_Toc24373"/>
      <w:r>
        <w:rPr>
          <w:rFonts w:hint="eastAsia"/>
          <w:color w:val="auto"/>
          <w:sz w:val="28"/>
          <w:szCs w:val="28"/>
          <w:highlight w:val="none"/>
          <w:lang w:val="en-US" w:eastAsia="zh-CN"/>
        </w:rPr>
        <w:t>2.8</w:t>
      </w:r>
      <w:r>
        <w:rPr>
          <w:rFonts w:hint="eastAsia"/>
          <w:color w:val="auto"/>
          <w:sz w:val="28"/>
          <w:szCs w:val="28"/>
          <w:highlight w:val="none"/>
        </w:rPr>
        <w:t>签订及履行合同和验收</w:t>
      </w:r>
      <w:bookmarkEnd w:id="53"/>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54" w:name="_Toc32071"/>
      <w:r>
        <w:rPr>
          <w:rFonts w:hint="eastAsia"/>
          <w:color w:val="auto"/>
          <w:highlight w:val="none"/>
        </w:rPr>
        <w:t>2.</w:t>
      </w:r>
      <w:r>
        <w:rPr>
          <w:rFonts w:hint="eastAsia"/>
          <w:color w:val="auto"/>
          <w:highlight w:val="none"/>
          <w:lang w:val="en-US" w:eastAsia="zh-CN"/>
        </w:rPr>
        <w:t>8</w:t>
      </w:r>
      <w:r>
        <w:rPr>
          <w:rFonts w:hint="eastAsia"/>
          <w:color w:val="auto"/>
          <w:highlight w:val="none"/>
        </w:rPr>
        <w:t>.1签订合同</w:t>
      </w:r>
      <w:bookmarkEnd w:id="54"/>
    </w:p>
    <w:p>
      <w:pPr>
        <w:pageBreakBefore w:val="0"/>
        <w:widowControl/>
        <w:numPr>
          <w:ilvl w:val="0"/>
          <w:numId w:val="8"/>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疫情防控期间，采购人原则上应在成交通知书发出之日起5个工作日内与成交供应商签订采购合同。因成交供应商的原因在成交通知书发出之日起30日内逾期未与采购人签订采购合同或者成交供应商拒绝与采购人签订合同的，采购人可以按照评审报告推荐的成交候选供应商名单排序，确定下一候选供应商为成交供应商，也可以重新开展政府采购活动</w:t>
      </w:r>
      <w:r>
        <w:rPr>
          <w:rFonts w:hint="eastAsia" w:ascii="宋体" w:hAnsi="宋体"/>
          <w:color w:val="auto"/>
          <w:sz w:val="24"/>
          <w:szCs w:val="24"/>
          <w:highlight w:val="none"/>
        </w:rPr>
        <w:t>。</w:t>
      </w:r>
    </w:p>
    <w:p>
      <w:pPr>
        <w:pageBreakBefore w:val="0"/>
        <w:widowControl/>
        <w:numPr>
          <w:ilvl w:val="0"/>
          <w:numId w:val="8"/>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采购人不得向成交供应商提出任何不合理的要求作为签订合同的条件，不得与成交供应商私下订立背离合同实质性内容的任何协议，所签订的合同不得对磋商文件和成交供应商响应文件作实质性修改。</w:t>
      </w:r>
    </w:p>
    <w:p>
      <w:pPr>
        <w:pageBreakBefore w:val="0"/>
        <w:widowControl/>
        <w:numPr>
          <w:ilvl w:val="0"/>
          <w:numId w:val="8"/>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s="宋体"/>
          <w:i/>
          <w:color w:val="auto"/>
          <w:sz w:val="24"/>
          <w:szCs w:val="24"/>
          <w:highlight w:val="none"/>
        </w:rPr>
      </w:pPr>
      <w:r>
        <w:rPr>
          <w:rFonts w:hint="eastAsia" w:ascii="宋体" w:hAnsi="宋体" w:cs="宋体"/>
          <w:color w:val="auto"/>
          <w:sz w:val="24"/>
          <w:szCs w:val="24"/>
          <w:highlight w:val="none"/>
        </w:rPr>
        <w:t>磋商文件、响应文件、成交通知书等均成为有法律约束力的合同组成内容。</w:t>
      </w:r>
    </w:p>
    <w:p>
      <w:pPr>
        <w:pageBreakBefore w:val="0"/>
        <w:widowControl/>
        <w:numPr>
          <w:ilvl w:val="0"/>
          <w:numId w:val="8"/>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s="宋体"/>
          <w:color w:val="auto"/>
          <w:sz w:val="24"/>
          <w:szCs w:val="24"/>
          <w:highlight w:val="none"/>
        </w:rPr>
      </w:pPr>
      <w:r>
        <w:rPr>
          <w:rFonts w:hint="eastAsia" w:ascii="宋体" w:hAnsi="宋体"/>
          <w:color w:val="auto"/>
          <w:sz w:val="24"/>
          <w:szCs w:val="24"/>
          <w:highlight w:val="none"/>
        </w:rPr>
        <w:t>询问或者质疑事项可能影响成交结果的，采购人应当暂停签订合同，已经签订合同的，应当中止履行合同。</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55" w:name="_Toc22860"/>
      <w:r>
        <w:rPr>
          <w:rFonts w:hint="eastAsia"/>
          <w:color w:val="auto"/>
          <w:highlight w:val="none"/>
        </w:rPr>
        <w:t>2.</w:t>
      </w:r>
      <w:r>
        <w:rPr>
          <w:rFonts w:hint="eastAsia"/>
          <w:color w:val="auto"/>
          <w:highlight w:val="none"/>
          <w:lang w:val="en-US" w:eastAsia="zh-CN"/>
        </w:rPr>
        <w:t>8</w:t>
      </w:r>
      <w:r>
        <w:rPr>
          <w:rFonts w:hint="eastAsia"/>
          <w:color w:val="auto"/>
          <w:highlight w:val="none"/>
        </w:rPr>
        <w:t>.2合同分包和转包</w:t>
      </w:r>
      <w:bookmarkEnd w:id="55"/>
    </w:p>
    <w:p>
      <w:pPr>
        <w:pStyle w:val="6"/>
        <w:keepNext/>
        <w:keepLines/>
        <w:pageBreakBefore w:val="0"/>
        <w:widowControl w:val="0"/>
        <w:kinsoku/>
        <w:wordWrap/>
        <w:overflowPunct/>
        <w:topLinePunct w:val="0"/>
        <w:autoSpaceDE/>
        <w:autoSpaceDN/>
        <w:bidi w:val="0"/>
        <w:adjustRightInd/>
        <w:snapToGrid/>
        <w:ind w:firstLine="482" w:firstLineChars="200"/>
        <w:textAlignment w:val="auto"/>
      </w:pPr>
      <w:r>
        <w:rPr>
          <w:rFonts w:hint="eastAsia"/>
          <w:lang w:val="en-US" w:eastAsia="zh-CN"/>
        </w:rPr>
        <w:t>2.8.2.1</w:t>
      </w:r>
      <w:r>
        <w:rPr>
          <w:rFonts w:hint="eastAsia"/>
        </w:rPr>
        <w:t>合同分包</w:t>
      </w:r>
    </w:p>
    <w:p>
      <w:pPr>
        <w:pStyle w:val="28"/>
        <w:pageBreakBefore w:val="0"/>
        <w:kinsoku/>
        <w:wordWrap/>
        <w:overflowPunct/>
        <w:topLinePunct w:val="0"/>
        <w:bidi w:val="0"/>
        <w:adjustRightInd w:val="0"/>
        <w:snapToGrid w:val="0"/>
        <w:spacing w:afterAutospacing="0" w:line="360" w:lineRule="auto"/>
        <w:ind w:firstLine="480" w:firstLineChars="200"/>
        <w:rPr>
          <w:rFonts w:hint="eastAsia" w:ascii="宋体" w:hAnsi="宋体" w:cs="宋体"/>
          <w:b w:val="0"/>
          <w:bCs w:val="0"/>
          <w:color w:val="auto"/>
          <w:kern w:val="2"/>
          <w:sz w:val="24"/>
          <w:szCs w:val="24"/>
          <w:highlight w:val="none"/>
          <w:u w:val="none"/>
          <w:lang w:val="zh-CN" w:eastAsia="zh-CN" w:bidi="ar-SA"/>
        </w:rPr>
      </w:pPr>
      <w:r>
        <w:rPr>
          <w:rFonts w:hint="eastAsia" w:ascii="宋体" w:hAnsi="宋体" w:cs="宋体"/>
          <w:b w:val="0"/>
          <w:bCs w:val="0"/>
          <w:color w:val="auto"/>
          <w:kern w:val="2"/>
          <w:sz w:val="24"/>
          <w:szCs w:val="24"/>
          <w:highlight w:val="none"/>
          <w:u w:val="none"/>
          <w:lang w:val="zh-CN" w:eastAsia="zh-CN" w:bidi="ar-SA"/>
        </w:rPr>
        <w:t>本项目</w:t>
      </w:r>
      <w:r>
        <w:rPr>
          <w:rFonts w:hint="eastAsia" w:ascii="宋体" w:hAnsi="宋体" w:cs="宋体"/>
          <w:b/>
          <w:bCs/>
          <w:color w:val="auto"/>
          <w:kern w:val="2"/>
          <w:sz w:val="24"/>
          <w:szCs w:val="24"/>
          <w:highlight w:val="none"/>
          <w:u w:val="none"/>
          <w:lang w:val="zh-CN" w:eastAsia="zh-CN" w:bidi="ar-SA"/>
        </w:rPr>
        <w:t>不允许</w:t>
      </w:r>
      <w:r>
        <w:rPr>
          <w:rFonts w:hint="eastAsia" w:ascii="宋体" w:hAnsi="宋体" w:cs="宋体"/>
          <w:b w:val="0"/>
          <w:bCs w:val="0"/>
          <w:color w:val="auto"/>
          <w:kern w:val="2"/>
          <w:sz w:val="24"/>
          <w:szCs w:val="24"/>
          <w:highlight w:val="none"/>
          <w:u w:val="none"/>
          <w:lang w:val="zh-CN" w:eastAsia="zh-CN" w:bidi="ar-SA"/>
        </w:rPr>
        <w:t xml:space="preserve">分包 </w:t>
      </w:r>
    </w:p>
    <w:p>
      <w:pPr>
        <w:pStyle w:val="6"/>
        <w:keepNext/>
        <w:keepLines/>
        <w:pageBreakBefore w:val="0"/>
        <w:widowControl w:val="0"/>
        <w:kinsoku/>
        <w:wordWrap/>
        <w:overflowPunct/>
        <w:topLinePunct w:val="0"/>
        <w:autoSpaceDE/>
        <w:autoSpaceDN/>
        <w:bidi w:val="0"/>
        <w:adjustRightInd/>
        <w:snapToGrid/>
        <w:ind w:firstLine="482" w:firstLineChars="200"/>
        <w:textAlignment w:val="auto"/>
      </w:pPr>
      <w:r>
        <w:rPr>
          <w:rFonts w:hint="eastAsia"/>
          <w:lang w:val="en-US" w:eastAsia="zh-CN"/>
        </w:rPr>
        <w:t>2.8.2.2</w:t>
      </w:r>
      <w:r>
        <w:rPr>
          <w:rFonts w:hint="eastAsia"/>
        </w:rPr>
        <w:t>合同转包</w:t>
      </w:r>
    </w:p>
    <w:p>
      <w:pPr>
        <w:pageBreakBefore w:val="0"/>
        <w:kinsoku/>
        <w:wordWrap/>
        <w:overflowPunct/>
        <w:topLinePunct w:val="0"/>
        <w:bidi w:val="0"/>
        <w:adjustRightInd w:val="0"/>
        <w:snapToGrid w:val="0"/>
        <w:spacing w:afterAutospacing="0" w:line="360" w:lineRule="auto"/>
        <w:ind w:firstLine="480" w:firstLineChars="200"/>
        <w:rPr>
          <w:rFonts w:ascii="宋体" w:hAnsi="宋体" w:cs="宋体"/>
          <w:color w:val="auto"/>
          <w:sz w:val="24"/>
          <w:szCs w:val="24"/>
          <w:highlight w:val="none"/>
        </w:rPr>
      </w:pPr>
      <w:r>
        <w:rPr>
          <w:rFonts w:hint="eastAsia" w:ascii="宋体" w:hAnsi="宋体"/>
          <w:color w:val="auto"/>
          <w:sz w:val="24"/>
          <w:szCs w:val="24"/>
          <w:highlight w:val="none"/>
        </w:rPr>
        <w:t>一、严禁成交供应商将本项目转包。本项目所称转包，是指</w:t>
      </w:r>
      <w:r>
        <w:rPr>
          <w:rFonts w:hint="eastAsia" w:ascii="宋体" w:hAnsi="宋体" w:cs="宋体"/>
          <w:color w:val="auto"/>
          <w:sz w:val="24"/>
          <w:szCs w:val="24"/>
          <w:highlight w:val="none"/>
        </w:rPr>
        <w:t>将本项目转给他人或者将本项目全部肢解以后以分包的名义分别转给他人的行为。</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二、成交供应商转包的，视同拒绝履行政府采购合同，将依法追究法律责任。</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56" w:name="_Toc16764"/>
      <w:r>
        <w:rPr>
          <w:rFonts w:hint="eastAsia"/>
          <w:color w:val="auto"/>
          <w:highlight w:val="none"/>
        </w:rPr>
        <w:t>2.</w:t>
      </w:r>
      <w:r>
        <w:rPr>
          <w:rFonts w:hint="eastAsia"/>
          <w:color w:val="auto"/>
          <w:highlight w:val="none"/>
          <w:lang w:val="en-US" w:eastAsia="zh-CN"/>
        </w:rPr>
        <w:t>8</w:t>
      </w:r>
      <w:r>
        <w:rPr>
          <w:rFonts w:hint="eastAsia"/>
          <w:color w:val="auto"/>
          <w:highlight w:val="none"/>
        </w:rPr>
        <w:t>.3采购人增加合同标的的权利</w:t>
      </w:r>
      <w:bookmarkEnd w:id="56"/>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57" w:name="_Toc30559"/>
      <w:r>
        <w:rPr>
          <w:rFonts w:hint="eastAsia"/>
          <w:color w:val="auto"/>
          <w:highlight w:val="none"/>
        </w:rPr>
        <w:t>2.</w:t>
      </w:r>
      <w:r>
        <w:rPr>
          <w:rFonts w:hint="eastAsia"/>
          <w:color w:val="auto"/>
          <w:highlight w:val="none"/>
          <w:lang w:val="en-US" w:eastAsia="zh-CN"/>
        </w:rPr>
        <w:t>8</w:t>
      </w:r>
      <w:r>
        <w:rPr>
          <w:rFonts w:hint="eastAsia"/>
          <w:color w:val="auto"/>
          <w:highlight w:val="none"/>
        </w:rPr>
        <w:t>.4履约保证金</w:t>
      </w:r>
      <w:bookmarkEnd w:id="57"/>
    </w:p>
    <w:p>
      <w:pPr>
        <w:numPr>
          <w:ilvl w:val="0"/>
          <w:numId w:val="9"/>
        </w:numPr>
        <w:spacing w:line="360" w:lineRule="auto"/>
        <w:ind w:firstLine="495"/>
        <w:rPr>
          <w:rFonts w:hint="eastAsia" w:ascii="宋体" w:hAnsi="宋体" w:eastAsia="宋体" w:cs="Times New Roman"/>
          <w:color w:val="auto"/>
          <w:kern w:val="10"/>
          <w:sz w:val="24"/>
          <w:szCs w:val="20"/>
          <w:highlight w:val="none"/>
          <w:lang w:val="en-US" w:eastAsia="zh-CN" w:bidi="ar-SA"/>
        </w:rPr>
      </w:pPr>
      <w:r>
        <w:rPr>
          <w:rFonts w:hint="eastAsia" w:cs="Times New Roman"/>
          <w:color w:val="auto"/>
          <w:kern w:val="10"/>
          <w:sz w:val="24"/>
          <w:szCs w:val="20"/>
          <w:highlight w:val="none"/>
          <w:lang w:val="en-US" w:eastAsia="zh-CN" w:bidi="ar-SA"/>
        </w:rPr>
        <w:t>本项目</w:t>
      </w:r>
      <w:r>
        <w:rPr>
          <w:rFonts w:hint="eastAsia" w:ascii="宋体" w:hAnsi="宋体" w:eastAsia="宋体" w:cs="Times New Roman"/>
          <w:color w:val="auto"/>
          <w:kern w:val="10"/>
          <w:sz w:val="24"/>
          <w:szCs w:val="20"/>
          <w:highlight w:val="none"/>
          <w:lang w:val="en-US" w:eastAsia="zh-CN" w:bidi="ar-SA"/>
        </w:rPr>
        <w:t>履约保证金金额为</w:t>
      </w:r>
      <w:r>
        <w:rPr>
          <w:rFonts w:hint="eastAsia" w:cs="Times New Roman"/>
          <w:color w:val="auto"/>
          <w:kern w:val="10"/>
          <w:sz w:val="24"/>
          <w:szCs w:val="20"/>
          <w:highlight w:val="none"/>
          <w:lang w:val="en-US" w:eastAsia="zh-CN" w:bidi="ar-SA"/>
        </w:rPr>
        <w:t>合同总价</w:t>
      </w:r>
      <w:r>
        <w:rPr>
          <w:rFonts w:hint="eastAsia" w:ascii="宋体" w:hAnsi="宋体" w:eastAsia="宋体" w:cs="Times New Roman"/>
          <w:color w:val="auto"/>
          <w:kern w:val="10"/>
          <w:sz w:val="24"/>
          <w:szCs w:val="20"/>
          <w:highlight w:val="none"/>
          <w:lang w:val="en-US" w:eastAsia="zh-CN" w:bidi="ar-SA"/>
        </w:rPr>
        <w:t>的</w:t>
      </w:r>
      <w:r>
        <w:rPr>
          <w:rFonts w:hint="eastAsia" w:cs="Times New Roman"/>
          <w:color w:val="auto"/>
          <w:kern w:val="10"/>
          <w:sz w:val="24"/>
          <w:szCs w:val="20"/>
          <w:highlight w:val="none"/>
          <w:lang w:val="en-US" w:eastAsia="zh-CN" w:bidi="ar-SA"/>
        </w:rPr>
        <w:t>5</w:t>
      </w:r>
      <w:r>
        <w:rPr>
          <w:rFonts w:hint="eastAsia" w:ascii="宋体" w:hAnsi="宋体" w:eastAsia="宋体" w:cs="Times New Roman"/>
          <w:color w:val="auto"/>
          <w:kern w:val="10"/>
          <w:sz w:val="24"/>
          <w:szCs w:val="20"/>
          <w:highlight w:val="none"/>
          <w:lang w:val="en-US" w:eastAsia="zh-CN" w:bidi="ar-SA"/>
        </w:rPr>
        <w:t>%。</w:t>
      </w:r>
      <w:r>
        <w:rPr>
          <w:rFonts w:hint="eastAsia" w:cs="Times New Roman"/>
          <w:color w:val="auto"/>
          <w:kern w:val="10"/>
          <w:sz w:val="24"/>
          <w:szCs w:val="20"/>
          <w:highlight w:val="none"/>
          <w:lang w:val="en-US" w:eastAsia="zh-CN" w:bidi="ar-SA"/>
        </w:rPr>
        <w:t>成交供应商</w:t>
      </w:r>
      <w:r>
        <w:rPr>
          <w:rFonts w:hint="eastAsia" w:ascii="宋体" w:hAnsi="宋体" w:eastAsia="宋体" w:cs="Times New Roman"/>
          <w:color w:val="auto"/>
          <w:kern w:val="10"/>
          <w:sz w:val="24"/>
          <w:szCs w:val="20"/>
          <w:highlight w:val="none"/>
          <w:lang w:val="en-US" w:eastAsia="zh-CN" w:bidi="ar-SA"/>
        </w:rPr>
        <w:t>应在</w:t>
      </w:r>
      <w:r>
        <w:rPr>
          <w:rFonts w:hint="eastAsia" w:cs="Times New Roman"/>
          <w:color w:val="auto"/>
          <w:kern w:val="10"/>
          <w:sz w:val="24"/>
          <w:szCs w:val="20"/>
          <w:highlight w:val="none"/>
          <w:lang w:val="en-US" w:eastAsia="zh-CN" w:bidi="ar-SA"/>
        </w:rPr>
        <w:t>签订合同后10个工作日内</w:t>
      </w:r>
      <w:r>
        <w:rPr>
          <w:rFonts w:hint="eastAsia" w:ascii="宋体" w:hAnsi="宋体" w:eastAsia="宋体" w:cs="Times New Roman"/>
          <w:color w:val="auto"/>
          <w:kern w:val="10"/>
          <w:sz w:val="24"/>
          <w:szCs w:val="20"/>
          <w:highlight w:val="none"/>
          <w:lang w:val="en-US" w:eastAsia="zh-CN" w:bidi="ar-SA"/>
        </w:rPr>
        <w:t>，以支票、汇票、本票或者金融机构出具的保函等非现金形式向采购人交纳规定金额的履约保证金。履约保证金在质保期满后无息退还。</w:t>
      </w:r>
    </w:p>
    <w:p>
      <w:pPr>
        <w:numPr>
          <w:ilvl w:val="0"/>
          <w:numId w:val="0"/>
        </w:numPr>
        <w:spacing w:line="360" w:lineRule="auto"/>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 xml:space="preserve">    二、 履约保证金汇入的银行及账号：</w:t>
      </w:r>
    </w:p>
    <w:p>
      <w:pPr>
        <w:numPr>
          <w:ilvl w:val="0"/>
          <w:numId w:val="0"/>
        </w:numPr>
        <w:spacing w:line="360" w:lineRule="auto"/>
        <w:rPr>
          <w:rFonts w:hint="default"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 xml:space="preserve">    收款单位：</w:t>
      </w:r>
      <w:r>
        <w:rPr>
          <w:rFonts w:hint="eastAsia" w:cs="Times New Roman"/>
          <w:color w:val="auto"/>
          <w:kern w:val="10"/>
          <w:sz w:val="24"/>
          <w:szCs w:val="20"/>
          <w:highlight w:val="none"/>
          <w:lang w:val="en-US" w:eastAsia="zh-CN" w:bidi="ar-SA"/>
        </w:rPr>
        <w:t>成都市温江区第二中学校</w:t>
      </w:r>
    </w:p>
    <w:p>
      <w:pPr>
        <w:numPr>
          <w:ilvl w:val="0"/>
          <w:numId w:val="0"/>
        </w:numPr>
        <w:spacing w:line="360" w:lineRule="auto"/>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 xml:space="preserve">    开户行：中国银行温江支行</w:t>
      </w:r>
    </w:p>
    <w:p>
      <w:pPr>
        <w:numPr>
          <w:ilvl w:val="0"/>
          <w:numId w:val="0"/>
        </w:numPr>
        <w:spacing w:line="360" w:lineRule="auto"/>
        <w:rPr>
          <w:rFonts w:hint="eastAsia" w:ascii="宋体" w:hAnsi="宋体" w:eastAsia="宋体" w:cs="Times New Roman"/>
          <w:color w:val="auto"/>
          <w:kern w:val="10"/>
          <w:sz w:val="24"/>
          <w:szCs w:val="20"/>
          <w:highlight w:val="none"/>
          <w:lang w:val="en-US" w:eastAsia="zh-CN" w:bidi="ar-SA"/>
        </w:rPr>
      </w:pPr>
      <w:r>
        <w:rPr>
          <w:rFonts w:hint="eastAsia" w:ascii="宋体" w:hAnsi="宋体" w:eastAsia="宋体" w:cs="Times New Roman"/>
          <w:color w:val="auto"/>
          <w:kern w:val="10"/>
          <w:sz w:val="24"/>
          <w:szCs w:val="20"/>
          <w:highlight w:val="none"/>
          <w:lang w:val="en-US" w:eastAsia="zh-CN" w:bidi="ar-SA"/>
        </w:rPr>
        <w:t xml:space="preserve">    银行账号：</w:t>
      </w:r>
      <w:r>
        <w:rPr>
          <w:rFonts w:ascii="宋体" w:hAnsi="宋体" w:eastAsia="宋体" w:cs="宋体"/>
          <w:sz w:val="24"/>
          <w:szCs w:val="24"/>
        </w:rPr>
        <w:t>119905324351</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58" w:name="_Toc8397"/>
      <w:r>
        <w:rPr>
          <w:rFonts w:hint="eastAsia"/>
          <w:color w:val="auto"/>
          <w:highlight w:val="none"/>
        </w:rPr>
        <w:t>2.</w:t>
      </w:r>
      <w:r>
        <w:rPr>
          <w:rFonts w:hint="eastAsia"/>
          <w:color w:val="auto"/>
          <w:highlight w:val="none"/>
          <w:lang w:val="en-US" w:eastAsia="zh-CN"/>
        </w:rPr>
        <w:t>8</w:t>
      </w:r>
      <w:r>
        <w:rPr>
          <w:rFonts w:hint="eastAsia"/>
          <w:color w:val="auto"/>
          <w:highlight w:val="none"/>
        </w:rPr>
        <w:t>.5</w:t>
      </w:r>
      <w:r>
        <w:rPr>
          <w:color w:val="auto"/>
          <w:highlight w:val="none"/>
        </w:rPr>
        <w:t>合同公告</w:t>
      </w:r>
      <w:bookmarkEnd w:id="58"/>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采购人应当自政府采购合同签订之日起2个工作日内，将政府采购合同在四川政府采购网公告，但政府采购合同中涉及国家秘密、商业秘密的内容除外。</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59" w:name="_Toc16365"/>
      <w:r>
        <w:rPr>
          <w:rFonts w:hint="eastAsia"/>
          <w:color w:val="auto"/>
          <w:highlight w:val="none"/>
        </w:rPr>
        <w:t>2.</w:t>
      </w:r>
      <w:r>
        <w:rPr>
          <w:rFonts w:hint="eastAsia"/>
          <w:color w:val="auto"/>
          <w:highlight w:val="none"/>
          <w:lang w:val="en-US" w:eastAsia="zh-CN"/>
        </w:rPr>
        <w:t>8</w:t>
      </w:r>
      <w:r>
        <w:rPr>
          <w:rFonts w:hint="eastAsia"/>
          <w:color w:val="auto"/>
          <w:highlight w:val="none"/>
        </w:rPr>
        <w:t>.6</w:t>
      </w:r>
      <w:r>
        <w:rPr>
          <w:color w:val="auto"/>
          <w:highlight w:val="none"/>
        </w:rPr>
        <w:t>合同备案</w:t>
      </w:r>
      <w:bookmarkEnd w:id="59"/>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疫情防控期间，采购人原则上在5个工作日内与供应商签订政府采购合同及按成都市</w:t>
      </w:r>
      <w:r>
        <w:rPr>
          <w:rFonts w:hint="eastAsia" w:cs="Times New Roman"/>
          <w:color w:val="auto"/>
          <w:kern w:val="10"/>
          <w:sz w:val="24"/>
          <w:szCs w:val="20"/>
          <w:highlight w:val="none"/>
          <w:lang w:eastAsia="zh-CN"/>
        </w:rPr>
        <w:t>温江区</w:t>
      </w:r>
      <w:r>
        <w:rPr>
          <w:rFonts w:hint="eastAsia" w:ascii="宋体" w:hAnsi="宋体" w:cs="Times New Roman"/>
          <w:color w:val="auto"/>
          <w:kern w:val="10"/>
          <w:sz w:val="24"/>
          <w:szCs w:val="20"/>
          <w:highlight w:val="none"/>
        </w:rPr>
        <w:t>财政局的要求完成合同备案工作。</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60" w:name="_Toc23104"/>
      <w:r>
        <w:rPr>
          <w:rFonts w:hint="eastAsia" w:cs="宋体"/>
          <w:color w:val="auto"/>
          <w:highlight w:val="none"/>
        </w:rPr>
        <w:t>2.</w:t>
      </w:r>
      <w:r>
        <w:rPr>
          <w:rFonts w:hint="eastAsia" w:cs="宋体"/>
          <w:color w:val="auto"/>
          <w:highlight w:val="none"/>
          <w:lang w:val="en-US" w:eastAsia="zh-CN"/>
        </w:rPr>
        <w:t>8</w:t>
      </w:r>
      <w:r>
        <w:rPr>
          <w:rFonts w:hint="eastAsia" w:cs="宋体"/>
          <w:color w:val="auto"/>
          <w:highlight w:val="none"/>
        </w:rPr>
        <w:t>.7履行</w:t>
      </w:r>
      <w:r>
        <w:rPr>
          <w:rFonts w:hint="eastAsia"/>
          <w:color w:val="auto"/>
          <w:highlight w:val="none"/>
        </w:rPr>
        <w:t>合同</w:t>
      </w:r>
      <w:bookmarkEnd w:id="60"/>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一、合同一经签订，双方应严格履行合同规定的义务。</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二、在合同履行过程中，如发生合同纠纷，合同双方应按照《中华人民共和国民法典》及合同条款的有关规定进行处理。</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61" w:name="_Toc1630"/>
      <w:r>
        <w:rPr>
          <w:rFonts w:hint="eastAsia"/>
          <w:color w:val="auto"/>
          <w:highlight w:val="none"/>
        </w:rPr>
        <w:t>2.</w:t>
      </w:r>
      <w:r>
        <w:rPr>
          <w:rFonts w:hint="eastAsia"/>
          <w:color w:val="auto"/>
          <w:highlight w:val="none"/>
          <w:lang w:val="en-US" w:eastAsia="zh-CN"/>
        </w:rPr>
        <w:t>8</w:t>
      </w:r>
      <w:r>
        <w:rPr>
          <w:rFonts w:hint="eastAsia"/>
          <w:color w:val="auto"/>
          <w:highlight w:val="none"/>
        </w:rPr>
        <w:t>.8验收</w:t>
      </w:r>
      <w:bookmarkEnd w:id="61"/>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rPr>
      </w:pPr>
      <w:r>
        <w:rPr>
          <w:rFonts w:hint="eastAsia"/>
          <w:color w:val="auto"/>
          <w:highlight w:val="none"/>
        </w:rPr>
        <w:t>采购人严格按照国家相关法律法规的要求组织验收或考核。</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62" w:name="_Toc10798"/>
      <w:r>
        <w:rPr>
          <w:rFonts w:hint="eastAsia"/>
          <w:color w:val="auto"/>
          <w:highlight w:val="none"/>
        </w:rPr>
        <w:t>2.</w:t>
      </w:r>
      <w:r>
        <w:rPr>
          <w:rFonts w:hint="eastAsia"/>
          <w:color w:val="auto"/>
          <w:highlight w:val="none"/>
          <w:lang w:val="en-US" w:eastAsia="zh-CN"/>
        </w:rPr>
        <w:t>8</w:t>
      </w:r>
      <w:r>
        <w:rPr>
          <w:rFonts w:hint="eastAsia"/>
          <w:color w:val="auto"/>
          <w:highlight w:val="none"/>
        </w:rPr>
        <w:t>.9资金支付</w:t>
      </w:r>
      <w:bookmarkEnd w:id="62"/>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采购人按财政部门</w:t>
      </w:r>
      <w:r>
        <w:rPr>
          <w:rFonts w:hint="eastAsia"/>
          <w:color w:val="auto"/>
          <w:highlight w:val="none"/>
          <w:lang w:eastAsia="zh-CN"/>
        </w:rPr>
        <w:t>的</w:t>
      </w:r>
      <w:r>
        <w:rPr>
          <w:rFonts w:hint="eastAsia"/>
          <w:color w:val="auto"/>
          <w:highlight w:val="none"/>
        </w:rPr>
        <w:t>有关规定及采购合同的约定进行支付。</w:t>
      </w:r>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sz w:val="28"/>
          <w:szCs w:val="28"/>
          <w:highlight w:val="none"/>
        </w:rPr>
      </w:pPr>
      <w:bookmarkStart w:id="63" w:name="_Toc14835"/>
      <w:r>
        <w:rPr>
          <w:rFonts w:hint="eastAsia"/>
          <w:color w:val="auto"/>
          <w:sz w:val="28"/>
          <w:szCs w:val="28"/>
          <w:highlight w:val="none"/>
        </w:rPr>
        <w:t>2.</w:t>
      </w:r>
      <w:r>
        <w:rPr>
          <w:rFonts w:hint="eastAsia"/>
          <w:color w:val="auto"/>
          <w:sz w:val="28"/>
          <w:szCs w:val="28"/>
          <w:highlight w:val="none"/>
          <w:lang w:val="en-US" w:eastAsia="zh-CN"/>
        </w:rPr>
        <w:t>9</w:t>
      </w:r>
      <w:r>
        <w:rPr>
          <w:rFonts w:hint="eastAsia"/>
          <w:color w:val="auto"/>
          <w:sz w:val="28"/>
          <w:szCs w:val="28"/>
          <w:highlight w:val="none"/>
        </w:rPr>
        <w:t>竞争性磋商工作纪律及要求</w:t>
      </w:r>
      <w:bookmarkEnd w:id="63"/>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64" w:name="_Toc32247"/>
      <w:r>
        <w:rPr>
          <w:rFonts w:hint="eastAsia"/>
          <w:color w:val="auto"/>
          <w:highlight w:val="none"/>
        </w:rPr>
        <w:t>2.</w:t>
      </w:r>
      <w:r>
        <w:rPr>
          <w:rFonts w:hint="eastAsia"/>
          <w:color w:val="auto"/>
          <w:highlight w:val="none"/>
          <w:lang w:val="en-US" w:eastAsia="zh-CN"/>
        </w:rPr>
        <w:t>9</w:t>
      </w:r>
      <w:r>
        <w:rPr>
          <w:rFonts w:hint="eastAsia"/>
          <w:color w:val="auto"/>
          <w:highlight w:val="none"/>
        </w:rPr>
        <w:t>.1供应商不得具有的情形</w:t>
      </w:r>
      <w:bookmarkEnd w:id="64"/>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供应商参加磋商不得有下列情形：</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一、有下列情形之一的，视为供应商串通参加本次竞争性磋商采购活动：</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（一）不同供应商的响应文件由同一单位或者个人编制；</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（二）不同供应商委托同一单位或者个人办理磋商事宜；</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（三）不同供应商的响应文件载明的项目管理成员或者联系人员为同一人；</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（四）不同供应商的响应文件异常一致或者最后报价呈规律性差异；</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（五）不同供应商的响应文件相互混装；</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lang w:eastAsia="zh-CN"/>
        </w:rPr>
      </w:pPr>
      <w:r>
        <w:rPr>
          <w:rFonts w:hint="eastAsia"/>
          <w:color w:val="auto"/>
          <w:highlight w:val="none"/>
        </w:rPr>
        <w:t>（六）不同供应商的磋商保证金从同一单位或者个人的账户转出；</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二、提供虚假材料谋取成交；</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三、采取不正当手段诋毁、排挤其他供应商；</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四、与采购人或区公资交易中心、其他供应商恶意串通；</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五、向采购人或区公资交易中心、磋商小组成员行贿或者提供其他不正当利益；</w:t>
      </w:r>
    </w:p>
    <w:p>
      <w:pPr>
        <w:keepNext w:val="0"/>
        <w:keepLines w:val="0"/>
        <w:pageBreakBefore w:val="0"/>
        <w:widowControl w:val="0"/>
        <w:numPr>
          <w:ilvl w:val="0"/>
          <w:numId w:val="0"/>
        </w:numPr>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六、</w:t>
      </w:r>
      <w:r>
        <w:rPr>
          <w:rFonts w:hint="eastAsia" w:ascii="宋体" w:hAnsi="宋体" w:cs="Times New Roman"/>
          <w:color w:val="auto"/>
          <w:kern w:val="10"/>
          <w:sz w:val="24"/>
          <w:szCs w:val="20"/>
          <w:highlight w:val="none"/>
        </w:rPr>
        <w:t>在</w:t>
      </w:r>
      <w:r>
        <w:rPr>
          <w:rFonts w:hint="eastAsia" w:cs="Times New Roman"/>
          <w:color w:val="auto"/>
          <w:kern w:val="10"/>
          <w:sz w:val="24"/>
          <w:szCs w:val="20"/>
          <w:highlight w:val="none"/>
          <w:lang w:eastAsia="zh-CN"/>
        </w:rPr>
        <w:t>磋商</w:t>
      </w:r>
      <w:r>
        <w:rPr>
          <w:rFonts w:hint="eastAsia" w:ascii="宋体" w:hAnsi="宋体" w:cs="Times New Roman"/>
          <w:color w:val="auto"/>
          <w:kern w:val="10"/>
          <w:sz w:val="24"/>
          <w:szCs w:val="20"/>
          <w:highlight w:val="none"/>
        </w:rPr>
        <w:t>过程中与采购人或</w:t>
      </w:r>
      <w:r>
        <w:rPr>
          <w:rFonts w:hint="eastAsia" w:cs="Times New Roman"/>
          <w:color w:val="auto"/>
          <w:kern w:val="10"/>
          <w:sz w:val="24"/>
          <w:szCs w:val="20"/>
          <w:highlight w:val="none"/>
          <w:lang w:eastAsia="zh-CN"/>
        </w:rPr>
        <w:t>区</w:t>
      </w:r>
      <w:r>
        <w:rPr>
          <w:rFonts w:hint="eastAsia" w:cs="Times New Roman"/>
          <w:color w:val="auto"/>
          <w:kern w:val="10"/>
          <w:sz w:val="24"/>
          <w:szCs w:val="20"/>
          <w:highlight w:val="none"/>
        </w:rPr>
        <w:t>公资交易中心</w:t>
      </w:r>
      <w:r>
        <w:rPr>
          <w:rFonts w:hint="eastAsia" w:ascii="宋体" w:hAnsi="宋体" w:cs="Times New Roman"/>
          <w:color w:val="auto"/>
          <w:kern w:val="10"/>
          <w:sz w:val="24"/>
          <w:szCs w:val="20"/>
          <w:highlight w:val="none"/>
        </w:rPr>
        <w:t>进行协商谈判；</w:t>
      </w:r>
    </w:p>
    <w:p>
      <w:pPr>
        <w:keepNext w:val="0"/>
        <w:keepLines w:val="0"/>
        <w:pageBreakBefore w:val="0"/>
        <w:widowControl w:val="0"/>
        <w:numPr>
          <w:ilvl w:val="0"/>
          <w:numId w:val="0"/>
        </w:numPr>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七、成交</w:t>
      </w:r>
      <w:r>
        <w:rPr>
          <w:rFonts w:hint="eastAsia" w:ascii="宋体" w:hAnsi="宋体" w:cs="Times New Roman"/>
          <w:color w:val="auto"/>
          <w:kern w:val="10"/>
          <w:sz w:val="24"/>
          <w:szCs w:val="20"/>
          <w:highlight w:val="none"/>
        </w:rPr>
        <w:t>后无正当理由拒不与采购人签订政府采购合同；</w:t>
      </w:r>
    </w:p>
    <w:p>
      <w:pPr>
        <w:keepNext w:val="0"/>
        <w:keepLines w:val="0"/>
        <w:pageBreakBefore w:val="0"/>
        <w:widowControl w:val="0"/>
        <w:numPr>
          <w:ilvl w:val="0"/>
          <w:numId w:val="0"/>
        </w:numPr>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八、</w:t>
      </w:r>
      <w:r>
        <w:rPr>
          <w:rFonts w:hint="eastAsia" w:ascii="宋体" w:hAnsi="宋体" w:cs="Times New Roman"/>
          <w:color w:val="auto"/>
          <w:kern w:val="10"/>
          <w:sz w:val="24"/>
          <w:szCs w:val="20"/>
          <w:highlight w:val="none"/>
        </w:rPr>
        <w:t>未按照采购文件确定的事项签订政府采购合同；</w:t>
      </w:r>
    </w:p>
    <w:p>
      <w:pPr>
        <w:keepNext w:val="0"/>
        <w:keepLines w:val="0"/>
        <w:pageBreakBefore w:val="0"/>
        <w:widowControl w:val="0"/>
        <w:numPr>
          <w:ilvl w:val="0"/>
          <w:numId w:val="0"/>
        </w:numPr>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九、</w:t>
      </w:r>
      <w:r>
        <w:rPr>
          <w:rFonts w:hint="eastAsia" w:ascii="宋体" w:hAnsi="宋体" w:cs="Times New Roman"/>
          <w:color w:val="auto"/>
          <w:kern w:val="10"/>
          <w:sz w:val="24"/>
          <w:szCs w:val="20"/>
          <w:highlight w:val="none"/>
        </w:rPr>
        <w:t>将政府采购合同转包或者违规分包；</w:t>
      </w:r>
    </w:p>
    <w:p>
      <w:pPr>
        <w:keepNext w:val="0"/>
        <w:keepLines w:val="0"/>
        <w:pageBreakBefore w:val="0"/>
        <w:widowControl w:val="0"/>
        <w:numPr>
          <w:ilvl w:val="0"/>
          <w:numId w:val="0"/>
        </w:numPr>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十、</w:t>
      </w:r>
      <w:r>
        <w:rPr>
          <w:rFonts w:hint="eastAsia" w:ascii="宋体" w:hAnsi="宋体" w:cs="Times New Roman"/>
          <w:color w:val="auto"/>
          <w:kern w:val="10"/>
          <w:sz w:val="24"/>
          <w:szCs w:val="20"/>
          <w:highlight w:val="none"/>
        </w:rPr>
        <w:t>提供假冒伪劣产品；</w:t>
      </w:r>
    </w:p>
    <w:p>
      <w:pPr>
        <w:keepNext w:val="0"/>
        <w:keepLines w:val="0"/>
        <w:pageBreakBefore w:val="0"/>
        <w:widowControl w:val="0"/>
        <w:numPr>
          <w:ilvl w:val="0"/>
          <w:numId w:val="0"/>
        </w:numPr>
        <w:tabs>
          <w:tab w:val="left" w:pos="1134"/>
          <w:tab w:val="left" w:pos="1418"/>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eastAsia="zh-CN"/>
        </w:rPr>
        <w:t>十一、</w:t>
      </w:r>
      <w:r>
        <w:rPr>
          <w:rFonts w:hint="eastAsia" w:ascii="宋体" w:hAnsi="宋体" w:cs="Times New Roman"/>
          <w:color w:val="auto"/>
          <w:kern w:val="10"/>
          <w:sz w:val="24"/>
          <w:szCs w:val="20"/>
          <w:highlight w:val="none"/>
        </w:rPr>
        <w:t>擅自变更、中止或者终止政府采购合同；</w:t>
      </w:r>
    </w:p>
    <w:p>
      <w:pPr>
        <w:keepNext w:val="0"/>
        <w:keepLines w:val="0"/>
        <w:pageBreakBefore w:val="0"/>
        <w:widowControl w:val="0"/>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十二、被列入失信被执行人、重大税收违法案件当事人名单、政府采购严重违法失信行为记录名单。参加政府采购活动前三年内，在经营活动中有重大违法记录；</w:t>
      </w:r>
    </w:p>
    <w:p>
      <w:pPr>
        <w:keepNext w:val="0"/>
        <w:keepLines w:val="0"/>
        <w:pageBreakBefore w:val="0"/>
        <w:widowControl w:val="0"/>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cs="Times New Roman"/>
          <w:color w:val="auto"/>
          <w:kern w:val="10"/>
          <w:sz w:val="24"/>
          <w:szCs w:val="20"/>
          <w:highlight w:val="none"/>
          <w:lang w:val="en-US" w:eastAsia="zh-CN"/>
        </w:rPr>
        <w:t>十</w:t>
      </w:r>
      <w:r>
        <w:rPr>
          <w:rFonts w:hint="eastAsia" w:ascii="宋体" w:hAnsi="宋体" w:cs="Times New Roman"/>
          <w:color w:val="auto"/>
          <w:kern w:val="10"/>
          <w:sz w:val="24"/>
          <w:szCs w:val="20"/>
          <w:highlight w:val="none"/>
        </w:rPr>
        <w:t>三、在行贿犯罪信息查询期限内，根据中国裁判文书网（https://wenshu.court.gov.cn）查询结果供应商及其现任法定代表人、主要负责人有行贿犯罪记录；</w:t>
      </w:r>
    </w:p>
    <w:p>
      <w:pPr>
        <w:keepNext w:val="0"/>
        <w:keepLines w:val="0"/>
        <w:pageBreakBefore w:val="0"/>
        <w:widowControl w:val="0"/>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十四、处于被行政部门禁止参与政府采购活动的期限内；</w:t>
      </w:r>
    </w:p>
    <w:p>
      <w:pPr>
        <w:keepNext w:val="0"/>
        <w:keepLines w:val="0"/>
        <w:pageBreakBefore w:val="0"/>
        <w:widowControl w:val="0"/>
        <w:tabs>
          <w:tab w:val="left" w:pos="1134"/>
        </w:tabs>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十五、拒绝有关部门的监督检查或者向监督检查部门提供虚假情况；</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十六、法律法规规定的其他情形。</w:t>
      </w:r>
    </w:p>
    <w:p>
      <w:pPr>
        <w:pStyle w:val="8"/>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cs="Times New Roman"/>
          <w:color w:val="auto"/>
          <w:kern w:val="10"/>
          <w:sz w:val="24"/>
          <w:szCs w:val="20"/>
          <w:highlight w:val="none"/>
          <w:lang w:val="en-US" w:eastAsia="zh-CN" w:bidi="ar-SA"/>
        </w:rPr>
      </w:pPr>
      <w:r>
        <w:rPr>
          <w:rFonts w:hint="eastAsia" w:ascii="宋体" w:hAnsi="宋体" w:cs="Times New Roman"/>
          <w:color w:val="auto"/>
          <w:kern w:val="10"/>
          <w:sz w:val="24"/>
          <w:szCs w:val="20"/>
          <w:highlight w:val="none"/>
          <w:lang w:val="en-US" w:eastAsia="zh-CN" w:bidi="ar-SA"/>
        </w:rPr>
        <w:t>供应商有上述情形的，按照规定追究法律责任，具备一至十四条情形之一的，同时将认定供应商响应文件无效或不确定其为成交供应商，或者取消成交资格或认定成交无效。</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65" w:name="_Toc26914"/>
      <w:r>
        <w:rPr>
          <w:rFonts w:hint="eastAsia"/>
          <w:color w:val="auto"/>
          <w:highlight w:val="none"/>
        </w:rPr>
        <w:t>2.</w:t>
      </w:r>
      <w:r>
        <w:rPr>
          <w:rFonts w:hint="eastAsia"/>
          <w:color w:val="auto"/>
          <w:highlight w:val="none"/>
          <w:lang w:val="en-US" w:eastAsia="zh-CN"/>
        </w:rPr>
        <w:t>9</w:t>
      </w:r>
      <w:r>
        <w:rPr>
          <w:rFonts w:hint="eastAsia"/>
          <w:color w:val="auto"/>
          <w:highlight w:val="none"/>
        </w:rPr>
        <w:t>.</w:t>
      </w:r>
      <w:r>
        <w:rPr>
          <w:rFonts w:hint="eastAsia"/>
          <w:color w:val="auto"/>
          <w:highlight w:val="none"/>
          <w:lang w:val="en-US" w:eastAsia="zh-CN"/>
        </w:rPr>
        <w:t>2</w:t>
      </w:r>
      <w:r>
        <w:rPr>
          <w:rFonts w:hint="eastAsia"/>
          <w:color w:val="auto"/>
          <w:highlight w:val="none"/>
        </w:rPr>
        <w:t>回避</w:t>
      </w:r>
      <w:bookmarkEnd w:id="65"/>
    </w:p>
    <w:p>
      <w:pPr>
        <w:pageBreakBefore w:val="0"/>
        <w:shd w:val="clear" w:color="auto" w:fill="auto"/>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在政府采购活动中，采购人员</w:t>
      </w:r>
      <w:r>
        <w:rPr>
          <w:rFonts w:hint="eastAsia" w:cs="Times New Roman"/>
          <w:color w:val="auto"/>
          <w:kern w:val="10"/>
          <w:sz w:val="24"/>
          <w:szCs w:val="20"/>
          <w:highlight w:val="none"/>
        </w:rPr>
        <w:t>（如采购人内部负责采购项目的具体经办工作人员或直接分管采购项目的负责人、</w:t>
      </w:r>
      <w:r>
        <w:rPr>
          <w:rFonts w:hint="eastAsia" w:cs="Times New Roman"/>
          <w:color w:val="auto"/>
          <w:kern w:val="10"/>
          <w:sz w:val="24"/>
          <w:szCs w:val="20"/>
          <w:highlight w:val="none"/>
          <w:lang w:eastAsia="zh-CN"/>
        </w:rPr>
        <w:t>区</w:t>
      </w:r>
      <w:r>
        <w:rPr>
          <w:rFonts w:hint="eastAsia" w:cs="Times New Roman"/>
          <w:color w:val="auto"/>
          <w:kern w:val="10"/>
          <w:sz w:val="24"/>
          <w:szCs w:val="20"/>
          <w:highlight w:val="none"/>
        </w:rPr>
        <w:t>公资交易中心负责采购项目的具体经办工作人员或直接分管采购活动的负责人等）</w:t>
      </w:r>
      <w:r>
        <w:rPr>
          <w:rFonts w:hint="eastAsia" w:ascii="宋体" w:hAnsi="宋体" w:cs="Times New Roman"/>
          <w:color w:val="auto"/>
          <w:kern w:val="10"/>
          <w:sz w:val="24"/>
          <w:szCs w:val="20"/>
          <w:highlight w:val="none"/>
        </w:rPr>
        <w:t>及相关人员与供应商有下列利害关系之一的，应当回避：</w:t>
      </w:r>
    </w:p>
    <w:p>
      <w:pPr>
        <w:pageBreakBefore w:val="0"/>
        <w:shd w:val="clear" w:color="auto" w:fill="auto"/>
        <w:tabs>
          <w:tab w:val="left" w:pos="1134"/>
        </w:tabs>
        <w:kinsoku/>
        <w:wordWrap/>
        <w:overflowPunct/>
        <w:topLinePunct w:val="0"/>
        <w:bidi w:val="0"/>
        <w:adjustRightInd w:val="0"/>
        <w:snapToGrid w:val="0"/>
        <w:spacing w:afterAutospacing="0" w:line="360" w:lineRule="auto"/>
        <w:ind w:left="0"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（一）参加采购活动前3年内与供应商存在劳动关系；</w:t>
      </w:r>
    </w:p>
    <w:p>
      <w:pPr>
        <w:pageBreakBefore w:val="0"/>
        <w:shd w:val="clear" w:color="auto" w:fill="auto"/>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（二）参加采购活动前3年内担任供应商的董事、监事；</w:t>
      </w:r>
    </w:p>
    <w:p>
      <w:pPr>
        <w:pageBreakBefore w:val="0"/>
        <w:shd w:val="clear" w:color="auto" w:fill="auto"/>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（三）参加采购活动前3年内是供应商的控股股东或者实际控制人；</w:t>
      </w:r>
    </w:p>
    <w:p>
      <w:pPr>
        <w:pageBreakBefore w:val="0"/>
        <w:shd w:val="clear" w:color="auto" w:fill="auto"/>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（四）与供应商的法定代表人或者负责人有夫妻、直系血亲、三代以内旁系血亲或者近姻亲关系；</w:t>
      </w:r>
    </w:p>
    <w:p>
      <w:pPr>
        <w:pageBreakBefore w:val="0"/>
        <w:shd w:val="clear" w:color="auto" w:fill="auto"/>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（五）与供应商有其他可能影响政府采购活动公平、公正进行的关系。</w:t>
      </w:r>
    </w:p>
    <w:p>
      <w:pPr>
        <w:pageBreakBefore w:val="0"/>
        <w:shd w:val="clear" w:color="auto" w:fill="auto"/>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r>
        <w:rPr>
          <w:rFonts w:hint="eastAsia" w:ascii="宋体" w:hAnsi="宋体" w:cs="Times New Roman"/>
          <w:color w:val="auto"/>
          <w:kern w:val="10"/>
          <w:sz w:val="24"/>
          <w:szCs w:val="2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66" w:name="_Toc3688"/>
      <w:r>
        <w:rPr>
          <w:rFonts w:hint="eastAsia"/>
          <w:color w:val="auto"/>
          <w:highlight w:val="none"/>
        </w:rPr>
        <w:t>2.</w:t>
      </w:r>
      <w:r>
        <w:rPr>
          <w:rFonts w:hint="eastAsia"/>
          <w:color w:val="auto"/>
          <w:highlight w:val="none"/>
          <w:lang w:val="en-US" w:eastAsia="zh-CN"/>
        </w:rPr>
        <w:t>10</w:t>
      </w:r>
      <w:r>
        <w:rPr>
          <w:rFonts w:hint="eastAsia"/>
          <w:color w:val="auto"/>
          <w:highlight w:val="none"/>
        </w:rPr>
        <w:t>询问、质疑和投诉</w:t>
      </w:r>
      <w:bookmarkEnd w:id="66"/>
    </w:p>
    <w:p>
      <w:pPr>
        <w:pStyle w:val="12"/>
        <w:keepNext w:val="0"/>
        <w:keepLines w:val="0"/>
        <w:pageBreakBefore w:val="0"/>
        <w:numPr>
          <w:ilvl w:val="0"/>
          <w:numId w:val="10"/>
        </w:numPr>
        <w:tabs>
          <w:tab w:val="left" w:pos="1134"/>
        </w:tabs>
        <w:kinsoku/>
        <w:wordWrap/>
        <w:overflowPunct/>
        <w:topLinePunct w:val="0"/>
        <w:autoSpaceDE/>
        <w:autoSpaceDN/>
        <w:bidi w:val="0"/>
        <w:adjustRightInd w:val="0"/>
        <w:snapToGrid w:val="0"/>
        <w:spacing w:after="0" w:afterAutospacing="0" w:line="360" w:lineRule="auto"/>
        <w:ind w:left="0" w:lef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供应商认为磋商文件、磋商过程和成交结果使自己的合法权益受到损害的，可以依法进行质疑。</w:t>
      </w:r>
    </w:p>
    <w:p>
      <w:pPr>
        <w:pStyle w:val="32"/>
        <w:keepNext w:val="0"/>
        <w:keepLines w:val="0"/>
        <w:pageBreakBefore w:val="0"/>
        <w:widowControl/>
        <w:numPr>
          <w:ilvl w:val="0"/>
          <w:numId w:val="10"/>
        </w:numPr>
        <w:tabs>
          <w:tab w:val="left" w:pos="1134"/>
        </w:tabs>
        <w:kinsoku/>
        <w:wordWrap/>
        <w:overflowPunct/>
        <w:topLinePunct w:val="0"/>
        <w:autoSpaceDE/>
        <w:autoSpaceDN/>
        <w:bidi w:val="0"/>
        <w:adjustRightInd w:val="0"/>
        <w:snapToGrid w:val="0"/>
        <w:spacing w:afterAutospacing="0" w:line="360" w:lineRule="auto"/>
        <w:ind w:left="0" w:firstLine="480" w:firstLineChars="200"/>
        <w:jc w:val="left"/>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询问、质疑、投诉的接收和处理严格按照《中华人民共和国政府采购法》《中华人民共和国政府采购法实施条例》和《政府采购质疑和投诉办法》（财政部94号令）的规定办理。</w:t>
      </w:r>
    </w:p>
    <w:p>
      <w:pPr>
        <w:pStyle w:val="12"/>
        <w:keepNext w:val="0"/>
        <w:keepLines w:val="0"/>
        <w:pageBreakBefore w:val="0"/>
        <w:numPr>
          <w:ilvl w:val="0"/>
          <w:numId w:val="10"/>
        </w:numPr>
        <w:tabs>
          <w:tab w:val="left" w:pos="1134"/>
        </w:tabs>
        <w:kinsoku/>
        <w:wordWrap/>
        <w:overflowPunct/>
        <w:topLinePunct w:val="0"/>
        <w:autoSpaceDE/>
        <w:autoSpaceDN/>
        <w:bidi w:val="0"/>
        <w:adjustRightInd w:val="0"/>
        <w:snapToGrid w:val="0"/>
        <w:spacing w:after="0" w:afterAutospacing="0" w:line="360" w:lineRule="auto"/>
        <w:ind w:left="0" w:leftChars="0"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供应商询问、质疑的对象</w:t>
      </w:r>
    </w:p>
    <w:p>
      <w:pPr>
        <w:pStyle w:val="12"/>
        <w:keepNext w:val="0"/>
        <w:keepLines w:val="0"/>
        <w:pageBreakBefore w:val="0"/>
        <w:numPr>
          <w:ilvl w:val="1"/>
          <w:numId w:val="11"/>
        </w:numPr>
        <w:tabs>
          <w:tab w:val="left" w:pos="1134"/>
        </w:tabs>
        <w:kinsoku/>
        <w:wordWrap/>
        <w:overflowPunct/>
        <w:topLinePunct w:val="0"/>
        <w:autoSpaceDE/>
        <w:autoSpaceDN/>
        <w:bidi w:val="0"/>
        <w:adjustRightInd w:val="0"/>
        <w:snapToGrid w:val="0"/>
        <w:spacing w:after="0" w:afterAutospacing="0" w:line="360" w:lineRule="auto"/>
        <w:ind w:left="0" w:leftChars="0"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供应商对磋商文件中供应商参加本次政府采购活动应当具备的条件，项目技术、服务、商务及其他要求，评审办法</w:t>
      </w:r>
      <w:r>
        <w:rPr>
          <w:rFonts w:ascii="宋体" w:hAnsi="宋体"/>
          <w:color w:val="auto"/>
          <w:sz w:val="24"/>
          <w:szCs w:val="24"/>
          <w:highlight w:val="none"/>
        </w:rPr>
        <w:t>和</w:t>
      </w:r>
      <w:r>
        <w:rPr>
          <w:rFonts w:hint="eastAsia" w:ascii="宋体" w:hAnsi="宋体"/>
          <w:color w:val="auto"/>
          <w:sz w:val="24"/>
          <w:szCs w:val="24"/>
          <w:highlight w:val="none"/>
        </w:rPr>
        <w:t>标准提出询问或质疑的，应通过</w:t>
      </w:r>
      <w:r>
        <w:rPr>
          <w:rFonts w:ascii="宋体" w:hAnsi="宋体"/>
          <w:color w:val="auto"/>
          <w:sz w:val="24"/>
          <w:szCs w:val="24"/>
          <w:highlight w:val="none"/>
        </w:rPr>
        <w:t>政府采购云平台</w:t>
      </w:r>
      <w:r>
        <w:rPr>
          <w:rFonts w:hint="eastAsia" w:ascii="宋体" w:hAnsi="宋体"/>
          <w:color w:val="auto"/>
          <w:sz w:val="24"/>
          <w:szCs w:val="24"/>
          <w:highlight w:val="none"/>
        </w:rPr>
        <w:t>向采购人提出；</w:t>
      </w:r>
    </w:p>
    <w:p>
      <w:pPr>
        <w:pStyle w:val="12"/>
        <w:keepNext w:val="0"/>
        <w:keepLines w:val="0"/>
        <w:pageBreakBefore w:val="0"/>
        <w:numPr>
          <w:ilvl w:val="1"/>
          <w:numId w:val="11"/>
        </w:numPr>
        <w:tabs>
          <w:tab w:val="left" w:pos="1134"/>
        </w:tabs>
        <w:kinsoku/>
        <w:wordWrap/>
        <w:overflowPunct/>
        <w:topLinePunct w:val="0"/>
        <w:autoSpaceDE/>
        <w:autoSpaceDN/>
        <w:bidi w:val="0"/>
        <w:adjustRightInd w:val="0"/>
        <w:snapToGrid w:val="0"/>
        <w:spacing w:after="0" w:afterAutospacing="0" w:line="360" w:lineRule="auto"/>
        <w:ind w:left="0" w:leftChars="0"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供应商对除上述磋商文件中的其他内容、采购过程及成交结果提出询问、质疑的，应通过</w:t>
      </w:r>
      <w:r>
        <w:rPr>
          <w:rFonts w:ascii="宋体" w:hAnsi="宋体"/>
          <w:color w:val="auto"/>
          <w:sz w:val="24"/>
          <w:szCs w:val="24"/>
          <w:highlight w:val="none"/>
        </w:rPr>
        <w:t>政府采购云平台</w:t>
      </w:r>
      <w:r>
        <w:rPr>
          <w:rFonts w:hint="eastAsia" w:ascii="宋体" w:hAnsi="宋体"/>
          <w:color w:val="auto"/>
          <w:sz w:val="24"/>
          <w:szCs w:val="24"/>
          <w:highlight w:val="none"/>
        </w:rPr>
        <w:t>向</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公资交易中心提出。</w:t>
      </w:r>
    </w:p>
    <w:p>
      <w:pPr>
        <w:pStyle w:val="12"/>
        <w:keepNext w:val="0"/>
        <w:keepLines w:val="0"/>
        <w:pageBreakBefore w:val="0"/>
        <w:numPr>
          <w:ilvl w:val="0"/>
          <w:numId w:val="10"/>
        </w:numPr>
        <w:tabs>
          <w:tab w:val="left" w:pos="1134"/>
        </w:tabs>
        <w:kinsoku/>
        <w:wordWrap/>
        <w:overflowPunct/>
        <w:topLinePunct w:val="0"/>
        <w:autoSpaceDE/>
        <w:autoSpaceDN/>
        <w:bidi w:val="0"/>
        <w:adjustRightInd w:val="0"/>
        <w:snapToGrid w:val="0"/>
        <w:spacing w:after="0" w:afterAutospacing="0" w:line="360" w:lineRule="auto"/>
        <w:ind w:left="0" w:leftChars="0"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供应商提出的询问，应当明确询问事项，如以书面形式提出的，应由供应商法定代表人签字并加盖公章。</w:t>
      </w:r>
    </w:p>
    <w:p>
      <w:pPr>
        <w:pStyle w:val="12"/>
        <w:keepNext w:val="0"/>
        <w:keepLines w:val="0"/>
        <w:pageBreakBefore w:val="0"/>
        <w:numPr>
          <w:ilvl w:val="0"/>
          <w:numId w:val="10"/>
        </w:numPr>
        <w:tabs>
          <w:tab w:val="left" w:pos="1134"/>
        </w:tabs>
        <w:kinsoku/>
        <w:wordWrap/>
        <w:overflowPunct/>
        <w:topLinePunct w:val="0"/>
        <w:autoSpaceDE/>
        <w:autoSpaceDN/>
        <w:bidi w:val="0"/>
        <w:adjustRightInd w:val="0"/>
        <w:snapToGrid w:val="0"/>
        <w:spacing w:after="0" w:afterAutospacing="0" w:line="360" w:lineRule="auto"/>
        <w:ind w:left="0" w:leftChars="0"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供应商应在法定质疑期内一次性提出针对同一采购程序环节的质疑。</w:t>
      </w:r>
    </w:p>
    <w:p>
      <w:pPr>
        <w:pStyle w:val="12"/>
        <w:keepNext w:val="0"/>
        <w:keepLines w:val="0"/>
        <w:pageBreakBefore w:val="0"/>
        <w:numPr>
          <w:ilvl w:val="0"/>
          <w:numId w:val="10"/>
        </w:numPr>
        <w:tabs>
          <w:tab w:val="left" w:pos="1134"/>
        </w:tabs>
        <w:kinsoku/>
        <w:wordWrap/>
        <w:overflowPunct/>
        <w:topLinePunct w:val="0"/>
        <w:autoSpaceDE/>
        <w:autoSpaceDN/>
        <w:bidi w:val="0"/>
        <w:adjustRightInd w:val="0"/>
        <w:snapToGrid w:val="0"/>
        <w:spacing w:after="0" w:afterAutospacing="0" w:line="360" w:lineRule="auto"/>
        <w:ind w:left="0" w:leftChars="0"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供应商提出质疑时应当准备的资料</w:t>
      </w:r>
    </w:p>
    <w:p>
      <w:pPr>
        <w:pStyle w:val="32"/>
        <w:keepNext w:val="0"/>
        <w:keepLines w:val="0"/>
        <w:pageBreakBefore w:val="0"/>
        <w:numPr>
          <w:ilvl w:val="1"/>
          <w:numId w:val="12"/>
        </w:numPr>
        <w:tabs>
          <w:tab w:val="left" w:pos="1134"/>
        </w:tabs>
        <w:kinsoku/>
        <w:wordWrap/>
        <w:overflowPunct/>
        <w:topLinePunct w:val="0"/>
        <w:autoSpaceDE/>
        <w:autoSpaceDN/>
        <w:bidi w:val="0"/>
        <w:adjustRightInd w:val="0"/>
        <w:snapToGrid w:val="0"/>
        <w:spacing w:afterAutospacing="0" w:line="360" w:lineRule="auto"/>
        <w:ind w:left="0" w:firstLine="480" w:firstLineChars="200"/>
        <w:textAlignment w:val="auto"/>
        <w:rPr>
          <w:rFonts w:ascii="宋体" w:hAnsi="宋体" w:eastAsia="宋体"/>
          <w:color w:val="auto"/>
          <w:sz w:val="24"/>
          <w:szCs w:val="24"/>
          <w:highlight w:val="none"/>
        </w:rPr>
      </w:pPr>
      <w:r>
        <w:rPr>
          <w:rFonts w:ascii="宋体" w:hAnsi="宋体" w:eastAsia="宋体"/>
          <w:color w:val="auto"/>
          <w:sz w:val="24"/>
          <w:szCs w:val="24"/>
          <w:highlight w:val="none"/>
        </w:rPr>
        <w:t>质疑书</w:t>
      </w:r>
      <w:r>
        <w:rPr>
          <w:rFonts w:hint="eastAsia" w:ascii="宋体" w:hAnsi="宋体" w:eastAsia="宋体"/>
          <w:color w:val="auto"/>
          <w:sz w:val="24"/>
          <w:szCs w:val="24"/>
          <w:highlight w:val="none"/>
        </w:rPr>
        <w:t>1</w:t>
      </w:r>
      <w:r>
        <w:rPr>
          <w:rFonts w:ascii="宋体" w:hAnsi="宋体" w:eastAsia="宋体"/>
          <w:color w:val="auto"/>
          <w:sz w:val="24"/>
          <w:szCs w:val="24"/>
          <w:highlight w:val="none"/>
        </w:rPr>
        <w:t>份</w:t>
      </w:r>
      <w:r>
        <w:rPr>
          <w:rFonts w:hint="eastAsia" w:ascii="宋体" w:hAnsi="宋体" w:eastAsia="宋体"/>
          <w:color w:val="auto"/>
          <w:sz w:val="24"/>
          <w:szCs w:val="24"/>
          <w:highlight w:val="none"/>
        </w:rPr>
        <w:t>（加盖公章）；</w:t>
      </w:r>
    </w:p>
    <w:p>
      <w:pPr>
        <w:pStyle w:val="32"/>
        <w:keepNext w:val="0"/>
        <w:keepLines w:val="0"/>
        <w:pageBreakBefore w:val="0"/>
        <w:numPr>
          <w:ilvl w:val="1"/>
          <w:numId w:val="12"/>
        </w:numPr>
        <w:tabs>
          <w:tab w:val="left" w:pos="1134"/>
        </w:tabs>
        <w:kinsoku/>
        <w:wordWrap/>
        <w:overflowPunct/>
        <w:topLinePunct w:val="0"/>
        <w:autoSpaceDE/>
        <w:autoSpaceDN/>
        <w:bidi w:val="0"/>
        <w:adjustRightInd w:val="0"/>
        <w:snapToGrid w:val="0"/>
        <w:spacing w:afterAutospacing="0" w:line="360" w:lineRule="auto"/>
        <w:ind w:left="0"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委托代理人办理质疑事宜的，需提供法定代表人授权委托书1份（加盖公章）；</w:t>
      </w:r>
    </w:p>
    <w:p>
      <w:pPr>
        <w:pStyle w:val="32"/>
        <w:keepNext w:val="0"/>
        <w:keepLines w:val="0"/>
        <w:pageBreakBefore w:val="0"/>
        <w:numPr>
          <w:ilvl w:val="1"/>
          <w:numId w:val="12"/>
        </w:numPr>
        <w:tabs>
          <w:tab w:val="left" w:pos="1134"/>
        </w:tabs>
        <w:kinsoku/>
        <w:wordWrap/>
        <w:overflowPunct/>
        <w:topLinePunct w:val="0"/>
        <w:autoSpaceDE/>
        <w:autoSpaceDN/>
        <w:bidi w:val="0"/>
        <w:adjustRightInd w:val="0"/>
        <w:snapToGrid w:val="0"/>
        <w:spacing w:afterAutospacing="0" w:line="360" w:lineRule="auto"/>
        <w:ind w:left="0"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营业执照或法人证书复印件1份；</w:t>
      </w:r>
    </w:p>
    <w:p>
      <w:pPr>
        <w:pStyle w:val="32"/>
        <w:keepNext w:val="0"/>
        <w:keepLines w:val="0"/>
        <w:pageBreakBefore w:val="0"/>
        <w:numPr>
          <w:ilvl w:val="1"/>
          <w:numId w:val="12"/>
        </w:numPr>
        <w:tabs>
          <w:tab w:val="left" w:pos="1134"/>
        </w:tabs>
        <w:kinsoku/>
        <w:wordWrap/>
        <w:overflowPunct/>
        <w:topLinePunct w:val="0"/>
        <w:autoSpaceDE/>
        <w:autoSpaceDN/>
        <w:bidi w:val="0"/>
        <w:adjustRightInd w:val="0"/>
        <w:snapToGrid w:val="0"/>
        <w:spacing w:afterAutospacing="0" w:line="360" w:lineRule="auto"/>
        <w:ind w:left="0"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法定代表人身份证复印件1份；</w:t>
      </w:r>
    </w:p>
    <w:p>
      <w:pPr>
        <w:pStyle w:val="32"/>
        <w:keepNext w:val="0"/>
        <w:keepLines w:val="0"/>
        <w:pageBreakBefore w:val="0"/>
        <w:numPr>
          <w:ilvl w:val="1"/>
          <w:numId w:val="12"/>
        </w:numPr>
        <w:tabs>
          <w:tab w:val="left" w:pos="1134"/>
        </w:tabs>
        <w:kinsoku/>
        <w:wordWrap/>
        <w:overflowPunct/>
        <w:topLinePunct w:val="0"/>
        <w:autoSpaceDE/>
        <w:autoSpaceDN/>
        <w:bidi w:val="0"/>
        <w:adjustRightInd w:val="0"/>
        <w:snapToGrid w:val="0"/>
        <w:spacing w:afterAutospacing="0" w:line="360" w:lineRule="auto"/>
        <w:ind w:left="0"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委托代理人身份证复印件1份（委托代理人办理质疑事宜的需提供）；</w:t>
      </w:r>
    </w:p>
    <w:p>
      <w:pPr>
        <w:pStyle w:val="32"/>
        <w:keepNext w:val="0"/>
        <w:keepLines w:val="0"/>
        <w:pageBreakBefore w:val="0"/>
        <w:numPr>
          <w:ilvl w:val="1"/>
          <w:numId w:val="12"/>
        </w:numPr>
        <w:tabs>
          <w:tab w:val="left" w:pos="1134"/>
        </w:tabs>
        <w:kinsoku/>
        <w:wordWrap/>
        <w:overflowPunct/>
        <w:topLinePunct w:val="0"/>
        <w:autoSpaceDE/>
        <w:autoSpaceDN/>
        <w:bidi w:val="0"/>
        <w:adjustRightInd w:val="0"/>
        <w:snapToGrid w:val="0"/>
        <w:spacing w:afterAutospacing="0" w:line="360" w:lineRule="auto"/>
        <w:ind w:left="0"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针对质疑事项必要的证明材料。</w:t>
      </w:r>
    </w:p>
    <w:p>
      <w:pPr>
        <w:pStyle w:val="12"/>
        <w:keepNext w:val="0"/>
        <w:keepLines w:val="0"/>
        <w:pageBreakBefore w:val="0"/>
        <w:tabs>
          <w:tab w:val="left" w:pos="1134"/>
        </w:tabs>
        <w:kinsoku/>
        <w:wordWrap/>
        <w:overflowPunct/>
        <w:topLinePunct w:val="0"/>
        <w:autoSpaceDE/>
        <w:autoSpaceDN/>
        <w:bidi w:val="0"/>
        <w:adjustRightInd w:val="0"/>
        <w:snapToGrid w:val="0"/>
        <w:spacing w:after="0" w:afterAutospacing="0" w:line="360" w:lineRule="auto"/>
        <w:ind w:left="0" w:leftChars="0" w:firstLine="480" w:firstLineChars="200"/>
        <w:textAlignment w:val="auto"/>
        <w:rPr>
          <w:color w:val="auto"/>
          <w:sz w:val="24"/>
          <w:szCs w:val="24"/>
          <w:highlight w:val="none"/>
        </w:rPr>
      </w:pPr>
      <w:r>
        <w:rPr>
          <w:rFonts w:hint="eastAsia" w:ascii="宋体" w:hAnsi="宋体"/>
          <w:color w:val="auto"/>
          <w:sz w:val="24"/>
          <w:szCs w:val="24"/>
          <w:highlight w:val="none"/>
        </w:rPr>
        <w:t>供应商对采购人、集中采购机构的质疑答复不满意，或者采购人、集中采购机构未在规定期限内作出答复的，供应商可以在答复期满后15个工作日内向同级财政部门提起投诉。</w:t>
      </w:r>
      <w:bookmarkStart w:id="67" w:name="_Toc77688483"/>
      <w:bookmarkEnd w:id="67"/>
      <w:bookmarkStart w:id="68" w:name="_Toc77688481"/>
      <w:bookmarkEnd w:id="68"/>
      <w:bookmarkStart w:id="69" w:name="_Toc77688482"/>
      <w:bookmarkEnd w:id="69"/>
      <w:bookmarkStart w:id="70" w:name="_Toc376425021"/>
      <w:bookmarkEnd w:id="70"/>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71" w:name="_Toc1268"/>
      <w:r>
        <w:rPr>
          <w:rFonts w:hint="eastAsia"/>
          <w:color w:val="auto"/>
          <w:highlight w:val="none"/>
        </w:rPr>
        <w:t>2.</w:t>
      </w:r>
      <w:bookmarkStart w:id="72" w:name="_Toc74926772"/>
      <w:r>
        <w:rPr>
          <w:rFonts w:hint="eastAsia"/>
          <w:color w:val="auto"/>
          <w:highlight w:val="none"/>
          <w:lang w:val="en-US" w:eastAsia="zh-CN"/>
        </w:rPr>
        <w:t>11</w:t>
      </w:r>
      <w:r>
        <w:rPr>
          <w:rFonts w:hint="eastAsia" w:ascii="宋体" w:hAnsi="宋体"/>
          <w:b/>
          <w:bCs/>
          <w:color w:val="auto"/>
          <w:sz w:val="28"/>
          <w:szCs w:val="28"/>
          <w:highlight w:val="none"/>
        </w:rPr>
        <w:t>中小企业政府采购信用融资</w:t>
      </w:r>
      <w:bookmarkEnd w:id="71"/>
      <w:bookmarkEnd w:id="72"/>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ascii="宋体" w:hAnsi="宋体"/>
          <w:color w:val="auto"/>
          <w:highlight w:val="none"/>
        </w:rPr>
        <w:t>参加本次采购活动成交的中小企业无需提供财产抵押或第三方担保，凭借政府采购合同可向融资机构申请融资。具体内容详见附件《成都市温江区财政局关于公布温江区首批支持中小企业政府采购信用融资银行名单的公告》和《成都市财政局关于公布成都市首批在线开展政府采购信用融资业务银行名单的通知》（成财采〔2019〕49号）。</w:t>
      </w:r>
    </w:p>
    <w:p>
      <w:pPr>
        <w:pageBreakBefore w:val="0"/>
        <w:kinsoku/>
        <w:wordWrap/>
        <w:overflowPunct/>
        <w:topLinePunct w:val="0"/>
        <w:bidi w:val="0"/>
        <w:adjustRightInd w:val="0"/>
        <w:snapToGrid w:val="0"/>
        <w:spacing w:afterAutospacing="0" w:line="360" w:lineRule="auto"/>
        <w:ind w:firstLine="400" w:firstLineChars="200"/>
        <w:rPr>
          <w:color w:val="auto"/>
          <w:highlight w:val="none"/>
        </w:rPr>
      </w:pPr>
      <w:bookmarkStart w:id="73" w:name="EB779828d01d25400aa2feafedf89f74b6"/>
      <w:r>
        <w:rPr>
          <w:rFonts w:hint="eastAsia"/>
          <w:color w:val="auto"/>
          <w:sz w:val="20"/>
          <w:highlight w:val="none"/>
        </w:rPr>
        <w:t xml:space="preserve"> </w:t>
      </w:r>
      <w:bookmarkEnd w:id="73"/>
    </w:p>
    <w:p>
      <w:pPr>
        <w:pageBreakBefore w:val="0"/>
        <w:numPr>
          <w:ilvl w:val="0"/>
          <w:numId w:val="13"/>
        </w:numPr>
        <w:tabs>
          <w:tab w:val="left" w:pos="1200"/>
        </w:tabs>
        <w:kinsoku/>
        <w:wordWrap/>
        <w:overflowPunct/>
        <w:topLinePunct w:val="0"/>
        <w:bidi w:val="0"/>
        <w:adjustRightInd w:val="0"/>
        <w:snapToGrid w:val="0"/>
        <w:spacing w:afterAutospacing="0" w:line="360" w:lineRule="auto"/>
        <w:ind w:firstLine="560" w:firstLineChars="200"/>
        <w:rPr>
          <w:color w:val="auto"/>
          <w:sz w:val="28"/>
          <w:szCs w:val="28"/>
          <w:highlight w:val="none"/>
        </w:rPr>
        <w:sectPr>
          <w:footerReference r:id="rId7" w:type="first"/>
          <w:footerReference r:id="rId6" w:type="default"/>
          <w:pgSz w:w="11906" w:h="16838"/>
          <w:pgMar w:top="1134" w:right="1274" w:bottom="1440" w:left="1418" w:header="851" w:footer="992" w:gutter="0"/>
          <w:pgNumType w:fmt="decimal" w:start="1"/>
          <w:cols w:space="720" w:num="1"/>
          <w:titlePg/>
          <w:docGrid w:type="lines" w:linePitch="312" w:charSpace="0"/>
        </w:sectPr>
      </w:pPr>
    </w:p>
    <w:p>
      <w:pPr>
        <w:pStyle w:val="3"/>
        <w:pageBreakBefore w:val="0"/>
        <w:numPr>
          <w:ilvl w:val="0"/>
          <w:numId w:val="14"/>
        </w:numPr>
        <w:kinsoku/>
        <w:wordWrap/>
        <w:overflowPunct/>
        <w:topLinePunct w:val="0"/>
        <w:bidi w:val="0"/>
        <w:adjustRightInd w:val="0"/>
        <w:snapToGrid w:val="0"/>
        <w:spacing w:before="0" w:after="0" w:afterAutospacing="0" w:line="360" w:lineRule="auto"/>
        <w:ind w:firstLine="602" w:firstLineChars="200"/>
        <w:rPr>
          <w:rFonts w:hint="eastAsia"/>
          <w:color w:val="auto"/>
          <w:highlight w:val="none"/>
        </w:rPr>
      </w:pPr>
      <w:bookmarkStart w:id="74" w:name="_Toc24109"/>
      <w:bookmarkStart w:id="75" w:name="EB20b4495b86c340da89ed6c67e8d127ac"/>
      <w:r>
        <w:rPr>
          <w:rFonts w:hint="eastAsia"/>
          <w:color w:val="auto"/>
          <w:highlight w:val="none"/>
        </w:rPr>
        <w:t>响应文件格式</w:t>
      </w:r>
      <w:bookmarkEnd w:id="74"/>
      <w:bookmarkStart w:id="76" w:name="EBc1203400a70d472a80973f17e2d4383e"/>
    </w:p>
    <w:p>
      <w:pPr>
        <w:rPr>
          <w:rFonts w:hint="eastAsia"/>
        </w:rPr>
      </w:pPr>
    </w:p>
    <w:p>
      <w:pPr>
        <w:pStyle w:val="4"/>
        <w:pageBreakBefore w:val="0"/>
        <w:numPr>
          <w:ilvl w:val="1"/>
          <w:numId w:val="0"/>
        </w:numPr>
        <w:kinsoku/>
        <w:wordWrap/>
        <w:overflowPunct/>
        <w:topLinePunct w:val="0"/>
        <w:bidi w:val="0"/>
        <w:adjustRightInd w:val="0"/>
        <w:snapToGrid w:val="0"/>
        <w:spacing w:before="0" w:beforeLines="0" w:after="0" w:afterLines="0" w:afterAutospacing="0" w:line="360" w:lineRule="auto"/>
        <w:jc w:val="both"/>
        <w:rPr>
          <w:color w:val="auto"/>
          <w:highlight w:val="none"/>
        </w:rPr>
      </w:pPr>
      <w:bookmarkStart w:id="77" w:name="_Toc3093"/>
      <w:bookmarkStart w:id="78" w:name="_Toc58943336"/>
      <w:bookmarkStart w:id="79" w:name="_Toc77688486"/>
      <w:r>
        <w:rPr>
          <w:rFonts w:hint="eastAsia"/>
          <w:color w:val="auto"/>
          <w:highlight w:val="none"/>
          <w:lang w:val="en-US" w:eastAsia="zh-CN"/>
        </w:rPr>
        <w:t>3.1</w:t>
      </w:r>
      <w:r>
        <w:rPr>
          <w:rFonts w:hint="eastAsia"/>
          <w:color w:val="auto"/>
          <w:highlight w:val="none"/>
        </w:rPr>
        <w:t>资格性响应文件格式</w:t>
      </w:r>
      <w:bookmarkEnd w:id="77"/>
      <w:bookmarkEnd w:id="78"/>
      <w:bookmarkEnd w:id="79"/>
    </w:p>
    <w:p>
      <w:pPr>
        <w:pStyle w:val="5"/>
        <w:pageBreakBefore w:val="0"/>
        <w:numPr>
          <w:ilvl w:val="2"/>
          <w:numId w:val="0"/>
        </w:numPr>
        <w:tabs>
          <w:tab w:val="left" w:pos="709"/>
        </w:tabs>
        <w:kinsoku/>
        <w:wordWrap/>
        <w:overflowPunct/>
        <w:topLinePunct w:val="0"/>
        <w:bidi w:val="0"/>
        <w:adjustRightInd w:val="0"/>
        <w:snapToGrid w:val="0"/>
        <w:spacing w:afterAutospacing="0" w:line="360" w:lineRule="auto"/>
        <w:ind w:leftChars="0" w:firstLine="482" w:firstLineChars="200"/>
        <w:rPr>
          <w:color w:val="auto"/>
          <w:highlight w:val="none"/>
        </w:rPr>
      </w:pPr>
      <w:bookmarkStart w:id="80" w:name="_Toc320698761"/>
      <w:bookmarkStart w:id="81" w:name="_Toc17679"/>
      <w:r>
        <w:rPr>
          <w:rFonts w:hint="eastAsia"/>
          <w:color w:val="auto"/>
          <w:highlight w:val="none"/>
          <w:lang w:val="en-US" w:eastAsia="zh-CN"/>
        </w:rPr>
        <w:t>3.1.1.</w:t>
      </w:r>
      <w:r>
        <w:rPr>
          <w:rFonts w:hint="eastAsia"/>
          <w:color w:val="auto"/>
          <w:highlight w:val="none"/>
        </w:rPr>
        <w:t>资格性响应文件封面格式</w:t>
      </w:r>
      <w:bookmarkEnd w:id="80"/>
      <w:bookmarkEnd w:id="81"/>
    </w:p>
    <w:p>
      <w:pPr>
        <w:pStyle w:val="33"/>
        <w:pageBreakBefore w:val="0"/>
        <w:kinsoku/>
        <w:wordWrap/>
        <w:overflowPunct/>
        <w:topLinePunct w:val="0"/>
        <w:bidi w:val="0"/>
        <w:adjustRightInd w:val="0"/>
        <w:snapToGrid w:val="0"/>
        <w:spacing w:afterAutospacing="0" w:line="360" w:lineRule="auto"/>
        <w:ind w:firstLine="2232" w:firstLineChars="200"/>
        <w:jc w:val="both"/>
        <w:rPr>
          <w:rFonts w:hint="eastAsia" w:ascii="宋体" w:hAnsi="宋体"/>
          <w:color w:val="auto"/>
          <w:spacing w:val="78"/>
          <w:sz w:val="96"/>
          <w:szCs w:val="120"/>
          <w:highlight w:val="none"/>
        </w:rPr>
      </w:pPr>
    </w:p>
    <w:p>
      <w:pPr>
        <w:pStyle w:val="33"/>
        <w:pageBreakBefore w:val="0"/>
        <w:kinsoku/>
        <w:wordWrap/>
        <w:overflowPunct/>
        <w:topLinePunct w:val="0"/>
        <w:bidi w:val="0"/>
        <w:adjustRightInd w:val="0"/>
        <w:snapToGrid w:val="0"/>
        <w:spacing w:afterAutospacing="0" w:line="360" w:lineRule="auto"/>
        <w:ind w:firstLine="2232" w:firstLineChars="200"/>
        <w:jc w:val="center"/>
        <w:rPr>
          <w:rFonts w:hint="eastAsia" w:ascii="宋体" w:hAnsi="宋体"/>
          <w:color w:val="auto"/>
          <w:spacing w:val="78"/>
          <w:sz w:val="96"/>
          <w:szCs w:val="120"/>
          <w:highlight w:val="none"/>
        </w:rPr>
      </w:pP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color w:val="auto"/>
          <w:sz w:val="84"/>
          <w:szCs w:val="84"/>
          <w:highlight w:val="none"/>
        </w:rPr>
      </w:pPr>
      <w:r>
        <w:rPr>
          <w:rFonts w:hint="eastAsia" w:ascii="宋体" w:hAnsi="宋体"/>
          <w:color w:val="auto"/>
          <w:sz w:val="84"/>
          <w:szCs w:val="84"/>
          <w:highlight w:val="none"/>
        </w:rPr>
        <w:t>资格性响应文件</w:t>
      </w:r>
    </w:p>
    <w:p>
      <w:pPr>
        <w:pStyle w:val="33"/>
        <w:pageBreakBefore w:val="0"/>
        <w:kinsoku/>
        <w:wordWrap/>
        <w:overflowPunct/>
        <w:topLinePunct w:val="0"/>
        <w:bidi w:val="0"/>
        <w:adjustRightInd w:val="0"/>
        <w:snapToGrid w:val="0"/>
        <w:spacing w:afterAutospacing="0" w:line="360" w:lineRule="auto"/>
        <w:ind w:firstLine="600" w:firstLineChars="200"/>
        <w:jc w:val="center"/>
        <w:rPr>
          <w:rFonts w:hint="eastAsia" w:ascii="宋体" w:hAnsi="宋体"/>
          <w:bCs/>
          <w:color w:val="auto"/>
          <w:sz w:val="30"/>
          <w:szCs w:val="30"/>
          <w:highlight w:val="none"/>
        </w:rPr>
      </w:pPr>
    </w:p>
    <w:p>
      <w:pPr>
        <w:pStyle w:val="33"/>
        <w:pageBreakBefore w:val="0"/>
        <w:kinsoku/>
        <w:wordWrap/>
        <w:overflowPunct/>
        <w:topLinePunct w:val="0"/>
        <w:bidi w:val="0"/>
        <w:adjustRightInd w:val="0"/>
        <w:snapToGrid w:val="0"/>
        <w:spacing w:afterAutospacing="0" w:line="360" w:lineRule="auto"/>
        <w:ind w:firstLine="600" w:firstLineChars="200"/>
        <w:jc w:val="center"/>
        <w:rPr>
          <w:rFonts w:hint="eastAsia" w:ascii="宋体" w:hAnsi="宋体"/>
          <w:bCs/>
          <w:color w:val="auto"/>
          <w:sz w:val="30"/>
          <w:szCs w:val="30"/>
          <w:highlight w:val="none"/>
        </w:rPr>
      </w:pPr>
    </w:p>
    <w:p>
      <w:pPr>
        <w:pageBreakBefore w:val="0"/>
        <w:kinsoku/>
        <w:wordWrap/>
        <w:overflowPunct/>
        <w:topLinePunct w:val="0"/>
        <w:bidi w:val="0"/>
        <w:adjustRightInd w:val="0"/>
        <w:snapToGrid w:val="0"/>
        <w:spacing w:afterAutospacing="0" w:line="360" w:lineRule="auto"/>
        <w:ind w:left="1965" w:leftChars="200" w:right="-832" w:rightChars="-297" w:hanging="1405" w:hangingChars="500"/>
        <w:rPr>
          <w:rFonts w:hint="eastAsia"/>
          <w:b/>
          <w:color w:val="auto"/>
          <w:sz w:val="28"/>
          <w:highlight w:val="none"/>
          <w:u w:val="single"/>
          <w:lang w:val="en-US" w:eastAsia="zh-CN"/>
        </w:rPr>
      </w:pPr>
      <w:r>
        <w:rPr>
          <w:rFonts w:hint="eastAsia" w:ascii="宋体" w:hAnsi="宋体"/>
          <w:b/>
          <w:color w:val="auto"/>
          <w:sz w:val="28"/>
          <w:highlight w:val="none"/>
        </w:rPr>
        <w:t>项目名称：</w:t>
      </w:r>
      <w:r>
        <w:rPr>
          <w:rFonts w:hint="eastAsia"/>
          <w:b/>
          <w:color w:val="auto"/>
          <w:sz w:val="28"/>
          <w:highlight w:val="none"/>
          <w:u w:val="single"/>
          <w:lang w:val="en-US" w:eastAsia="zh-CN"/>
        </w:rPr>
        <w:t>成都市温江区第二中学校多功能报告厅音视频系统</w:t>
      </w:r>
    </w:p>
    <w:p>
      <w:pPr>
        <w:pageBreakBefore w:val="0"/>
        <w:kinsoku/>
        <w:wordWrap/>
        <w:overflowPunct/>
        <w:topLinePunct w:val="0"/>
        <w:bidi w:val="0"/>
        <w:adjustRightInd w:val="0"/>
        <w:snapToGrid w:val="0"/>
        <w:spacing w:afterAutospacing="0" w:line="360" w:lineRule="auto"/>
        <w:ind w:left="1960" w:leftChars="700" w:right="-832" w:rightChars="-297" w:firstLine="0" w:firstLineChars="0"/>
        <w:rPr>
          <w:rFonts w:hint="default" w:ascii="宋体" w:hAnsi="宋体" w:eastAsia="宋体"/>
          <w:b/>
          <w:color w:val="auto"/>
          <w:sz w:val="28"/>
          <w:highlight w:val="none"/>
          <w:u w:val="single"/>
          <w:lang w:val="en-US" w:eastAsia="zh-CN"/>
        </w:rPr>
      </w:pPr>
      <w:r>
        <w:rPr>
          <w:rFonts w:hint="eastAsia"/>
          <w:b/>
          <w:color w:val="auto"/>
          <w:sz w:val="28"/>
          <w:highlight w:val="none"/>
          <w:u w:val="single"/>
          <w:lang w:val="en-US" w:eastAsia="zh-CN"/>
        </w:rPr>
        <w:t>建设改造项目</w:t>
      </w: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cs="Times New Roman"/>
          <w:b/>
          <w:bCs/>
          <w:color w:val="auto"/>
          <w:kern w:val="2"/>
          <w:sz w:val="28"/>
          <w:szCs w:val="28"/>
          <w:highlight w:val="none"/>
          <w:u w:val="single"/>
          <w:lang w:val="en-US" w:eastAsia="zh-CN" w:bidi="ar-SA"/>
        </w:rPr>
      </w:pPr>
      <w:r>
        <w:rPr>
          <w:rFonts w:hint="eastAsia" w:ascii="宋体" w:hAnsi="宋体"/>
          <w:b/>
          <w:color w:val="auto"/>
          <w:sz w:val="28"/>
          <w:highlight w:val="none"/>
        </w:rPr>
        <w:t>项目编号：</w:t>
      </w:r>
      <w:r>
        <w:rPr>
          <w:rFonts w:hint="eastAsia" w:ascii="宋体" w:hAnsi="宋体"/>
          <w:b/>
          <w:color w:val="auto"/>
          <w:sz w:val="28"/>
          <w:highlight w:val="none"/>
          <w:u w:val="single"/>
        </w:rPr>
        <w:t>温江政采（2021）A00</w:t>
      </w:r>
      <w:r>
        <w:rPr>
          <w:rFonts w:hint="eastAsia"/>
          <w:b/>
          <w:color w:val="auto"/>
          <w:sz w:val="28"/>
          <w:highlight w:val="none"/>
          <w:u w:val="single"/>
          <w:lang w:val="en-US" w:eastAsia="zh-CN"/>
        </w:rPr>
        <w:t>62</w:t>
      </w:r>
      <w:r>
        <w:rPr>
          <w:rFonts w:hint="eastAsia" w:ascii="宋体" w:hAnsi="宋体"/>
          <w:b/>
          <w:color w:val="auto"/>
          <w:sz w:val="28"/>
          <w:highlight w:val="none"/>
          <w:u w:val="single"/>
        </w:rPr>
        <w:t>号</w:t>
      </w:r>
    </w:p>
    <w:p>
      <w:pPr>
        <w:pStyle w:val="33"/>
        <w:pageBreakBefore w:val="0"/>
        <w:kinsoku/>
        <w:wordWrap/>
        <w:overflowPunct/>
        <w:topLinePunct w:val="0"/>
        <w:bidi w:val="0"/>
        <w:adjustRightInd w:val="0"/>
        <w:snapToGrid w:val="0"/>
        <w:spacing w:afterAutospacing="0" w:line="360" w:lineRule="auto"/>
        <w:ind w:left="2520" w:leftChars="900" w:firstLine="602" w:firstLineChars="200"/>
        <w:rPr>
          <w:rFonts w:hint="eastAsia" w:ascii="宋体" w:hAnsi="宋体"/>
          <w:b/>
          <w:bCs/>
          <w:color w:val="auto"/>
          <w:sz w:val="30"/>
          <w:szCs w:val="30"/>
          <w:highlight w:val="none"/>
        </w:rPr>
      </w:pPr>
    </w:p>
    <w:p>
      <w:pPr>
        <w:pStyle w:val="33"/>
        <w:pageBreakBefore w:val="0"/>
        <w:kinsoku/>
        <w:wordWrap/>
        <w:overflowPunct/>
        <w:topLinePunct w:val="0"/>
        <w:bidi w:val="0"/>
        <w:adjustRightInd w:val="0"/>
        <w:snapToGrid w:val="0"/>
        <w:spacing w:afterAutospacing="0" w:line="360" w:lineRule="auto"/>
        <w:ind w:left="2520" w:leftChars="900" w:firstLine="602" w:firstLineChars="200"/>
        <w:rPr>
          <w:rFonts w:hint="eastAsia" w:ascii="宋体" w:hAnsi="宋体"/>
          <w:b/>
          <w:bCs/>
          <w:color w:val="auto"/>
          <w:sz w:val="30"/>
          <w:szCs w:val="30"/>
          <w:highlight w:val="none"/>
        </w:rPr>
      </w:pPr>
    </w:p>
    <w:p>
      <w:pPr>
        <w:pStyle w:val="33"/>
        <w:pageBreakBefore w:val="0"/>
        <w:kinsoku/>
        <w:wordWrap/>
        <w:overflowPunct/>
        <w:topLinePunct w:val="0"/>
        <w:bidi w:val="0"/>
        <w:adjustRightInd w:val="0"/>
        <w:snapToGrid w:val="0"/>
        <w:spacing w:afterAutospacing="0" w:line="360" w:lineRule="auto"/>
        <w:ind w:firstLine="602" w:firstLineChars="200"/>
        <w:rPr>
          <w:rFonts w:hint="eastAsia" w:ascii="宋体" w:hAnsi="宋体"/>
          <w:b/>
          <w:bCs/>
          <w:color w:val="auto"/>
          <w:sz w:val="30"/>
          <w:szCs w:val="30"/>
          <w:highlight w:val="none"/>
        </w:rPr>
      </w:pPr>
    </w:p>
    <w:p>
      <w:pPr>
        <w:pStyle w:val="33"/>
        <w:pageBreakBefore w:val="0"/>
        <w:kinsoku/>
        <w:wordWrap/>
        <w:overflowPunct/>
        <w:topLinePunct w:val="0"/>
        <w:bidi w:val="0"/>
        <w:adjustRightInd w:val="0"/>
        <w:snapToGrid w:val="0"/>
        <w:spacing w:afterAutospacing="0" w:line="360" w:lineRule="auto"/>
        <w:ind w:firstLine="602" w:firstLineChars="200"/>
        <w:rPr>
          <w:rFonts w:hint="eastAsia" w:ascii="宋体" w:hAnsi="宋体"/>
          <w:b/>
          <w:bCs/>
          <w:color w:val="auto"/>
          <w:sz w:val="30"/>
          <w:szCs w:val="30"/>
          <w:highlight w:val="none"/>
          <w:u w:val="single"/>
        </w:rPr>
      </w:pPr>
      <w:r>
        <w:rPr>
          <w:rFonts w:hint="eastAsia" w:ascii="宋体" w:hAnsi="宋体"/>
          <w:b/>
          <w:bCs/>
          <w:color w:val="auto"/>
          <w:sz w:val="30"/>
          <w:szCs w:val="30"/>
          <w:highlight w:val="none"/>
        </w:rPr>
        <w:t>供应商名称：</w:t>
      </w:r>
      <w:r>
        <w:rPr>
          <w:rFonts w:hint="eastAsia" w:ascii="宋体" w:hAnsi="宋体" w:cs="宋体"/>
          <w:color w:val="auto"/>
          <w:sz w:val="30"/>
          <w:szCs w:val="30"/>
          <w:highlight w:val="none"/>
          <w:u w:val="single"/>
          <w:lang w:val="zh-CN"/>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u w:val="single"/>
          <w:lang w:val="zh-CN"/>
        </w:rPr>
        <w:t xml:space="preserve">  </w:t>
      </w:r>
      <w:r>
        <w:rPr>
          <w:rFonts w:hint="eastAsia" w:ascii="宋体" w:hAnsi="宋体" w:cs="宋体"/>
          <w:color w:val="auto"/>
          <w:sz w:val="30"/>
          <w:szCs w:val="30"/>
          <w:highlight w:val="none"/>
          <w:u w:val="single"/>
        </w:rPr>
        <w:t xml:space="preserve">    </w:t>
      </w:r>
      <w:r>
        <w:rPr>
          <w:rFonts w:hint="eastAsia" w:ascii="宋体" w:hAnsi="宋体"/>
          <w:b/>
          <w:bCs/>
          <w:color w:val="auto"/>
          <w:sz w:val="30"/>
          <w:szCs w:val="30"/>
          <w:highlight w:val="none"/>
          <w:u w:val="single"/>
        </w:rPr>
        <w:t xml:space="preserve"> </w:t>
      </w:r>
    </w:p>
    <w:p>
      <w:pPr>
        <w:pStyle w:val="33"/>
        <w:pageBreakBefore w:val="0"/>
        <w:kinsoku/>
        <w:wordWrap/>
        <w:overflowPunct/>
        <w:topLinePunct w:val="0"/>
        <w:bidi w:val="0"/>
        <w:adjustRightInd w:val="0"/>
        <w:snapToGrid w:val="0"/>
        <w:spacing w:afterAutospacing="0" w:line="360" w:lineRule="auto"/>
        <w:ind w:firstLine="602" w:firstLineChars="200"/>
        <w:rPr>
          <w:rFonts w:hint="eastAsia"/>
          <w:color w:val="auto"/>
          <w:highlight w:val="none"/>
        </w:rPr>
      </w:pPr>
      <w:r>
        <w:rPr>
          <w:rFonts w:hint="eastAsia" w:ascii="宋体" w:hAnsi="宋体"/>
          <w:b/>
          <w:bCs/>
          <w:color w:val="auto"/>
          <w:sz w:val="30"/>
          <w:szCs w:val="30"/>
          <w:highlight w:val="none"/>
        </w:rPr>
        <w:t>日      期：</w:t>
      </w:r>
      <w:r>
        <w:rPr>
          <w:rFonts w:hint="eastAsia" w:ascii="宋体" w:hAnsi="宋体"/>
          <w:b/>
          <w:bCs/>
          <w:color w:val="auto"/>
          <w:sz w:val="30"/>
          <w:szCs w:val="30"/>
          <w:highlight w:val="none"/>
          <w:u w:val="single"/>
        </w:rPr>
        <w:t xml:space="preserve">       </w:t>
      </w:r>
      <w:r>
        <w:rPr>
          <w:rFonts w:hint="eastAsia" w:ascii="宋体" w:hAnsi="宋体"/>
          <w:b/>
          <w:bCs/>
          <w:color w:val="auto"/>
          <w:sz w:val="30"/>
          <w:szCs w:val="30"/>
          <w:highlight w:val="none"/>
        </w:rPr>
        <w:t>年</w:t>
      </w:r>
      <w:r>
        <w:rPr>
          <w:rFonts w:hint="eastAsia" w:ascii="宋体" w:hAnsi="宋体"/>
          <w:b/>
          <w:bCs/>
          <w:color w:val="auto"/>
          <w:sz w:val="30"/>
          <w:szCs w:val="30"/>
          <w:highlight w:val="none"/>
          <w:u w:val="single"/>
        </w:rPr>
        <w:t xml:space="preserve">       </w:t>
      </w:r>
      <w:r>
        <w:rPr>
          <w:rFonts w:hint="eastAsia" w:ascii="宋体" w:hAnsi="宋体"/>
          <w:b/>
          <w:bCs/>
          <w:color w:val="auto"/>
          <w:sz w:val="30"/>
          <w:szCs w:val="30"/>
          <w:highlight w:val="none"/>
        </w:rPr>
        <w:t>月</w:t>
      </w:r>
      <w:r>
        <w:rPr>
          <w:rFonts w:hint="eastAsia" w:ascii="宋体" w:hAnsi="宋体"/>
          <w:b/>
          <w:bCs/>
          <w:color w:val="auto"/>
          <w:sz w:val="30"/>
          <w:szCs w:val="30"/>
          <w:highlight w:val="none"/>
          <w:u w:val="single"/>
        </w:rPr>
        <w:t xml:space="preserve">      </w:t>
      </w:r>
      <w:r>
        <w:rPr>
          <w:rFonts w:hint="eastAsia" w:ascii="宋体" w:hAnsi="宋体"/>
          <w:b/>
          <w:bCs/>
          <w:color w:val="auto"/>
          <w:sz w:val="30"/>
          <w:szCs w:val="30"/>
          <w:highlight w:val="none"/>
        </w:rPr>
        <w:t>日</w:t>
      </w:r>
    </w:p>
    <w:p>
      <w:pPr>
        <w:bidi w:val="0"/>
        <w:rPr>
          <w:rFonts w:hint="eastAsia"/>
          <w:lang w:val="en-US" w:eastAsia="zh-CN"/>
        </w:rPr>
      </w:pPr>
      <w:r>
        <w:br w:type="page"/>
      </w:r>
    </w:p>
    <w:p>
      <w:pPr>
        <w:pStyle w:val="5"/>
        <w:pageBreakBefore w:val="0"/>
        <w:numPr>
          <w:ilvl w:val="2"/>
          <w:numId w:val="0"/>
        </w:numPr>
        <w:tabs>
          <w:tab w:val="left" w:pos="709"/>
        </w:tabs>
        <w:kinsoku/>
        <w:wordWrap/>
        <w:overflowPunct/>
        <w:topLinePunct w:val="0"/>
        <w:bidi w:val="0"/>
        <w:adjustRightInd w:val="0"/>
        <w:snapToGrid w:val="0"/>
        <w:spacing w:afterAutospacing="0" w:line="360" w:lineRule="auto"/>
        <w:ind w:leftChars="0" w:firstLine="482" w:firstLineChars="200"/>
        <w:rPr>
          <w:rFonts w:hint="eastAsia" w:ascii="宋体" w:hAnsi="宋体" w:eastAsia="宋体"/>
          <w:color w:val="auto"/>
          <w:highlight w:val="none"/>
          <w:lang w:val="en-US" w:eastAsia="zh-CN"/>
        </w:rPr>
      </w:pPr>
      <w:bookmarkStart w:id="82" w:name="_Toc17344"/>
      <w:r>
        <w:rPr>
          <w:rFonts w:hint="eastAsia" w:ascii="宋体" w:hAnsi="宋体" w:eastAsia="宋体"/>
          <w:color w:val="auto"/>
          <w:highlight w:val="none"/>
          <w:lang w:val="en-US" w:eastAsia="zh-CN"/>
        </w:rPr>
        <w:t>3.1.2供应商资格申明的函</w:t>
      </w:r>
      <w:bookmarkEnd w:id="82"/>
    </w:p>
    <w:p>
      <w:pPr>
        <w:pStyle w:val="35"/>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lang w:eastAsia="zh-CN"/>
        </w:rPr>
        <w:t>致：</w:t>
      </w:r>
      <w:r>
        <w:rPr>
          <w:rFonts w:hint="eastAsia"/>
          <w:color w:val="auto"/>
          <w:highlight w:val="none"/>
        </w:rPr>
        <w:t>成都市温江区公共资源交易服务中心：</w:t>
      </w:r>
    </w:p>
    <w:p>
      <w:pPr>
        <w:pStyle w:val="35"/>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我方全面研究了</w:t>
      </w:r>
      <w:r>
        <w:rPr>
          <w:rFonts w:hint="eastAsia"/>
          <w:b/>
          <w:bCs/>
          <w:color w:val="auto"/>
          <w:highlight w:val="none"/>
          <w:u w:val="single"/>
        </w:rPr>
        <w:t>“</w:t>
      </w:r>
      <w:r>
        <w:rPr>
          <w:rFonts w:hint="eastAsia"/>
          <w:b/>
          <w:bCs/>
          <w:color w:val="auto"/>
          <w:highlight w:val="none"/>
          <w:u w:val="single"/>
          <w:lang w:eastAsia="zh-CN"/>
        </w:rPr>
        <w:t>成都市温江区第二中学校多功能报告厅音视频系统建设改造项目</w:t>
      </w:r>
      <w:r>
        <w:rPr>
          <w:rFonts w:hint="eastAsia"/>
          <w:b/>
          <w:bCs/>
          <w:color w:val="auto"/>
          <w:highlight w:val="none"/>
          <w:u w:val="single"/>
        </w:rPr>
        <w:t>”（</w:t>
      </w:r>
      <w:r>
        <w:rPr>
          <w:rFonts w:hint="eastAsia"/>
          <w:b/>
          <w:color w:val="auto"/>
          <w:highlight w:val="none"/>
          <w:u w:val="single"/>
        </w:rPr>
        <w:t>项目编号：</w:t>
      </w:r>
      <w:r>
        <w:rPr>
          <w:rFonts w:hint="eastAsia"/>
          <w:b/>
          <w:color w:val="auto"/>
          <w:highlight w:val="none"/>
          <w:u w:val="single"/>
          <w:lang w:eastAsia="zh-CN"/>
        </w:rPr>
        <w:t>温江政采（2021）A0062号</w:t>
      </w:r>
      <w:r>
        <w:rPr>
          <w:rFonts w:hint="eastAsia"/>
          <w:b/>
          <w:color w:val="auto"/>
          <w:highlight w:val="none"/>
          <w:u w:val="single"/>
        </w:rPr>
        <w:t>）</w:t>
      </w:r>
      <w:r>
        <w:rPr>
          <w:rFonts w:hint="eastAsia"/>
          <w:color w:val="auto"/>
          <w:highlight w:val="none"/>
        </w:rPr>
        <w:t>的磋商文件，决定参加贵单位组织的本项目的磋商。我方郑重承诺：</w:t>
      </w:r>
    </w:p>
    <w:p>
      <w:pPr>
        <w:pStyle w:val="35"/>
        <w:pageBreakBefore w:val="0"/>
        <w:numPr>
          <w:ilvl w:val="0"/>
          <w:numId w:val="15"/>
        </w:numPr>
        <w:kinsoku/>
        <w:wordWrap/>
        <w:overflowPunct/>
        <w:topLinePunct w:val="0"/>
        <w:bidi w:val="0"/>
        <w:adjustRightInd w:val="0"/>
        <w:snapToGrid w:val="0"/>
        <w:spacing w:afterAutospacing="0" w:line="360" w:lineRule="auto"/>
        <w:ind w:firstLine="480" w:firstLineChars="200"/>
        <w:rPr>
          <w:rFonts w:hint="eastAsia"/>
          <w:b/>
          <w:bCs/>
          <w:color w:val="auto"/>
          <w:highlight w:val="none"/>
        </w:rPr>
      </w:pPr>
      <w:r>
        <w:rPr>
          <w:rFonts w:hint="eastAsia"/>
          <w:color w:val="auto"/>
          <w:highlight w:val="none"/>
        </w:rPr>
        <w:t>我方自愿按照磋商文件规定的各项要求向采购人提供所需</w:t>
      </w:r>
      <w:r>
        <w:rPr>
          <w:rFonts w:hint="eastAsia"/>
          <w:color w:val="auto"/>
          <w:highlight w:val="none"/>
          <w:lang w:eastAsia="zh-CN"/>
        </w:rPr>
        <w:t>货物及</w:t>
      </w:r>
      <w:r>
        <w:rPr>
          <w:rFonts w:hint="eastAsia"/>
          <w:color w:val="auto"/>
          <w:highlight w:val="none"/>
        </w:rPr>
        <w:t>服务，</w:t>
      </w:r>
      <w:r>
        <w:rPr>
          <w:rFonts w:hint="eastAsia"/>
          <w:b/>
          <w:bCs/>
          <w:color w:val="auto"/>
          <w:highlight w:val="none"/>
        </w:rPr>
        <w:t>最后报价以政府采购云平台中递交的最后报价为准。</w:t>
      </w:r>
    </w:p>
    <w:p>
      <w:pPr>
        <w:pStyle w:val="35"/>
        <w:pageBreakBefore w:val="0"/>
        <w:numPr>
          <w:ilvl w:val="0"/>
          <w:numId w:val="15"/>
        </w:numPr>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如果我方成为本项目的成交供应商，我方将严格履行合同规定的责任和义务，否则将承担由此产生的一切责任。</w:t>
      </w:r>
    </w:p>
    <w:p>
      <w:pPr>
        <w:pStyle w:val="35"/>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三、我方已知晓全部磋商文件的内容，包括修改文件（如有）以及全部相关资料和有关附件，并对上述文件均无异议。</w:t>
      </w:r>
    </w:p>
    <w:p>
      <w:pPr>
        <w:pStyle w:val="35"/>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四、响应文件有效期为从递交响应文件截止之日起</w:t>
      </w:r>
      <w:r>
        <w:rPr>
          <w:color w:val="auto"/>
          <w:highlight w:val="none"/>
        </w:rPr>
        <w:t>120天。</w:t>
      </w:r>
    </w:p>
    <w:p>
      <w:pPr>
        <w:pStyle w:val="35"/>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五、我方愿意提供贵中心可能另外要求的，与本项目有关的文件资料，并保证我方已提供和将要提供的文件资料是真实、准确的，并对此承担一切法律后果。</w:t>
      </w: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r>
        <w:rPr>
          <w:rFonts w:hint="eastAsia"/>
          <w:color w:val="auto"/>
          <w:highlight w:val="none"/>
          <w:lang w:val="en-US" w:eastAsia="zh-CN"/>
        </w:rPr>
        <w:t>六、我单位联系方式：</w:t>
      </w: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r>
        <w:rPr>
          <w:rFonts w:hint="eastAsia"/>
          <w:color w:val="auto"/>
          <w:highlight w:val="none"/>
          <w:lang w:val="en-US" w:eastAsia="zh-CN"/>
        </w:rPr>
        <w:t>地    址：XXXX</w:t>
      </w: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r>
        <w:rPr>
          <w:rFonts w:hint="eastAsia"/>
          <w:color w:val="auto"/>
          <w:highlight w:val="none"/>
          <w:lang w:val="en-US" w:eastAsia="zh-CN"/>
        </w:rPr>
        <w:t>传    真：XXXX</w:t>
      </w: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r>
        <w:rPr>
          <w:rFonts w:hint="eastAsia"/>
          <w:color w:val="auto"/>
          <w:highlight w:val="none"/>
          <w:lang w:val="en-US" w:eastAsia="zh-CN"/>
        </w:rPr>
        <w:t>邮政编码：XXXX</w:t>
      </w:r>
    </w:p>
    <w:p>
      <w:pPr>
        <w:pStyle w:val="35"/>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val="en-US" w:eastAsia="zh-CN"/>
        </w:rPr>
      </w:pPr>
      <w:r>
        <w:rPr>
          <w:rFonts w:hint="eastAsia"/>
          <w:color w:val="auto"/>
          <w:highlight w:val="none"/>
          <w:lang w:val="en-US" w:eastAsia="zh-CN"/>
        </w:rPr>
        <w:t>供应商名称：XXXXXXXXXX</w:t>
      </w:r>
    </w:p>
    <w:p>
      <w:pPr>
        <w:pStyle w:val="35"/>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val="en-US" w:eastAsia="zh-CN"/>
        </w:rPr>
      </w:pPr>
      <w:r>
        <w:rPr>
          <w:rFonts w:hint="eastAsia"/>
          <w:color w:val="auto"/>
          <w:highlight w:val="none"/>
          <w:lang w:val="en-US" w:eastAsia="zh-CN"/>
        </w:rPr>
        <w:t>日      期：XX年XX月XX日</w:t>
      </w: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p>
    <w:p>
      <w:pPr>
        <w:pStyle w:val="35"/>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lang w:val="en-US" w:eastAsia="zh-CN"/>
        </w:rPr>
      </w:pPr>
    </w:p>
    <w:p>
      <w:pPr>
        <w:pStyle w:val="5"/>
        <w:pageBreakBefore w:val="0"/>
        <w:numPr>
          <w:ilvl w:val="2"/>
          <w:numId w:val="0"/>
        </w:numPr>
        <w:tabs>
          <w:tab w:val="left" w:pos="709"/>
        </w:tabs>
        <w:kinsoku/>
        <w:wordWrap/>
        <w:overflowPunct/>
        <w:topLinePunct w:val="0"/>
        <w:bidi w:val="0"/>
        <w:adjustRightInd w:val="0"/>
        <w:snapToGrid w:val="0"/>
        <w:spacing w:afterAutospacing="0" w:line="360" w:lineRule="auto"/>
        <w:ind w:leftChars="0" w:firstLine="482" w:firstLineChars="200"/>
        <w:rPr>
          <w:color w:val="auto"/>
          <w:highlight w:val="none"/>
        </w:rPr>
      </w:pPr>
      <w:bookmarkStart w:id="83" w:name="_Toc13762"/>
      <w:r>
        <w:rPr>
          <w:rFonts w:hint="eastAsia" w:ascii="宋体" w:hAnsi="宋体" w:eastAsia="宋体"/>
          <w:color w:val="auto"/>
          <w:highlight w:val="none"/>
          <w:lang w:val="en-US" w:eastAsia="zh-CN"/>
        </w:rPr>
        <w:t>3.1.3声明</w:t>
      </w:r>
      <w:bookmarkEnd w:id="83"/>
    </w:p>
    <w:p>
      <w:pPr>
        <w:pStyle w:val="38"/>
        <w:pageBreakBefore w:val="0"/>
        <w:kinsoku/>
        <w:wordWrap/>
        <w:overflowPunct/>
        <w:topLinePunct w:val="0"/>
        <w:bidi w:val="0"/>
        <w:adjustRightInd w:val="0"/>
        <w:snapToGrid w:val="0"/>
        <w:spacing w:afterAutospacing="0" w:line="360" w:lineRule="auto"/>
        <w:ind w:firstLine="482" w:firstLineChars="200"/>
        <w:rPr>
          <w:b/>
          <w:color w:val="auto"/>
          <w:highlight w:val="none"/>
        </w:rPr>
      </w:pPr>
      <w:r>
        <w:rPr>
          <w:rFonts w:hint="eastAsia"/>
          <w:b/>
          <w:color w:val="auto"/>
          <w:highlight w:val="none"/>
        </w:rPr>
        <w:t>致：成都市温江区公共资源交易服务中心</w:t>
      </w:r>
    </w:p>
    <w:p>
      <w:pPr>
        <w:pStyle w:val="41"/>
        <w:pageBreakBefore w:val="0"/>
        <w:kinsoku/>
        <w:wordWrap/>
        <w:overflowPunct/>
        <w:topLinePunct w:val="0"/>
        <w:bidi w:val="0"/>
        <w:adjustRightInd w:val="0"/>
        <w:snapToGrid w:val="0"/>
        <w:spacing w:afterAutospacing="0" w:line="360" w:lineRule="auto"/>
        <w:ind w:firstLine="560" w:firstLineChars="200"/>
        <w:rPr>
          <w:color w:val="auto"/>
          <w:highlight w:val="none"/>
        </w:rPr>
      </w:pPr>
      <w:r>
        <w:rPr>
          <w:rFonts w:hint="eastAsia" w:ascii="宋体" w:hAnsi="宋体"/>
          <w:color w:val="auto"/>
          <w:sz w:val="28"/>
          <w:highlight w:val="none"/>
        </w:rPr>
        <w:t>我单位作为</w:t>
      </w:r>
      <w:r>
        <w:rPr>
          <w:rFonts w:hint="eastAsia" w:ascii="宋体" w:hAnsi="宋体"/>
          <w:b/>
          <w:bCs/>
          <w:color w:val="auto"/>
          <w:sz w:val="28"/>
          <w:highlight w:val="none"/>
          <w:u w:val="single"/>
          <w:lang w:eastAsia="zh-CN"/>
        </w:rPr>
        <w:t>成都市温江区第二中学校多功能报告厅音视频系统建设改造项目</w:t>
      </w:r>
      <w:r>
        <w:rPr>
          <w:rFonts w:hint="eastAsia" w:ascii="宋体" w:hAnsi="宋体"/>
          <w:b/>
          <w:bCs/>
          <w:color w:val="auto"/>
          <w:sz w:val="28"/>
          <w:highlight w:val="none"/>
          <w:u w:val="single"/>
        </w:rPr>
        <w:t>”（项目编号：</w:t>
      </w:r>
      <w:r>
        <w:rPr>
          <w:rFonts w:hint="eastAsia" w:ascii="宋体" w:hAnsi="宋体"/>
          <w:b/>
          <w:bCs/>
          <w:color w:val="auto"/>
          <w:sz w:val="28"/>
          <w:highlight w:val="none"/>
          <w:u w:val="single"/>
          <w:lang w:eastAsia="zh-CN"/>
        </w:rPr>
        <w:t>温江政采（2021）A0062号</w:t>
      </w:r>
      <w:r>
        <w:rPr>
          <w:rFonts w:hint="eastAsia" w:ascii="宋体" w:hAnsi="宋体"/>
          <w:b/>
          <w:bCs/>
          <w:color w:val="auto"/>
          <w:sz w:val="28"/>
          <w:highlight w:val="none"/>
          <w:u w:val="single"/>
        </w:rPr>
        <w:t>）</w:t>
      </w:r>
      <w:r>
        <w:rPr>
          <w:rFonts w:hint="eastAsia" w:ascii="宋体" w:hAnsi="宋体"/>
          <w:color w:val="auto"/>
          <w:sz w:val="28"/>
          <w:highlight w:val="none"/>
        </w:rPr>
        <w:t>的竞争性磋商的供应商，在此郑重声明：</w:t>
      </w:r>
    </w:p>
    <w:p>
      <w:pPr>
        <w:pStyle w:val="41"/>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一、我</w:t>
      </w:r>
      <w:r>
        <w:rPr>
          <w:rFonts w:hint="eastAsia" w:ascii="宋体" w:hAnsi="宋体"/>
          <w:color w:val="auto"/>
          <w:sz w:val="28"/>
          <w:highlight w:val="none"/>
        </w:rPr>
        <w:t>单位</w:t>
      </w:r>
      <w:r>
        <w:rPr>
          <w:rFonts w:hint="eastAsia" w:ascii="宋体" w:hAnsi="宋体"/>
          <w:color w:val="auto"/>
          <w:sz w:val="28"/>
          <w:szCs w:val="28"/>
          <w:highlight w:val="none"/>
        </w:rPr>
        <w:t>参加政府采购活动前三年内，在经营活动中</w:t>
      </w:r>
      <w:r>
        <w:rPr>
          <w:rFonts w:hint="eastAsia" w:ascii="宋体" w:hAnsi="宋体"/>
          <w:b/>
          <w:color w:val="auto"/>
          <w:sz w:val="28"/>
          <w:szCs w:val="28"/>
          <w:highlight w:val="none"/>
          <w:u w:val="single"/>
        </w:rPr>
        <w:t>（说明：填写“无”或“有”</w:t>
      </w:r>
      <w:r>
        <w:rPr>
          <w:rFonts w:hint="eastAsia" w:ascii="宋体" w:hAnsi="宋体"/>
          <w:color w:val="auto"/>
          <w:sz w:val="28"/>
          <w:szCs w:val="28"/>
          <w:highlight w:val="none"/>
          <w:u w:val="single"/>
        </w:rPr>
        <w:t>）</w:t>
      </w:r>
      <w:r>
        <w:rPr>
          <w:rFonts w:hint="eastAsia" w:ascii="宋体" w:hAnsi="宋体"/>
          <w:color w:val="auto"/>
          <w:sz w:val="28"/>
          <w:szCs w:val="28"/>
          <w:highlight w:val="none"/>
        </w:rPr>
        <w:t>重大违法记录。</w:t>
      </w:r>
    </w:p>
    <w:p>
      <w:pPr>
        <w:pStyle w:val="41"/>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二、我</w:t>
      </w:r>
      <w:r>
        <w:rPr>
          <w:rFonts w:hint="eastAsia" w:ascii="宋体" w:hAnsi="宋体"/>
          <w:color w:val="auto"/>
          <w:sz w:val="28"/>
          <w:highlight w:val="none"/>
        </w:rPr>
        <w:t>单位</w:t>
      </w:r>
      <w:r>
        <w:rPr>
          <w:rFonts w:hint="eastAsia" w:ascii="宋体" w:hAnsi="宋体"/>
          <w:b/>
          <w:color w:val="auto"/>
          <w:sz w:val="28"/>
          <w:szCs w:val="28"/>
          <w:highlight w:val="none"/>
          <w:u w:val="single"/>
        </w:rPr>
        <w:t>（说明：填写“具有”或“不具有”</w:t>
      </w:r>
      <w:r>
        <w:rPr>
          <w:rFonts w:hint="eastAsia" w:ascii="宋体" w:hAnsi="宋体"/>
          <w:color w:val="auto"/>
          <w:sz w:val="28"/>
          <w:szCs w:val="28"/>
          <w:highlight w:val="none"/>
          <w:u w:val="single"/>
        </w:rPr>
        <w:t>）</w:t>
      </w:r>
      <w:r>
        <w:rPr>
          <w:rFonts w:hint="eastAsia" w:ascii="宋体" w:hAnsi="宋体"/>
          <w:color w:val="auto"/>
          <w:sz w:val="28"/>
          <w:szCs w:val="28"/>
          <w:highlight w:val="none"/>
        </w:rPr>
        <w:t>良好的商业信誉。</w:t>
      </w:r>
    </w:p>
    <w:p>
      <w:pPr>
        <w:pStyle w:val="41"/>
        <w:pageBreakBefore w:val="0"/>
        <w:kinsoku/>
        <w:wordWrap/>
        <w:overflowPunct/>
        <w:topLinePunct w:val="0"/>
        <w:bidi w:val="0"/>
        <w:adjustRightInd w:val="0"/>
        <w:snapToGrid w:val="0"/>
        <w:spacing w:afterAutospacing="0" w:line="360" w:lineRule="auto"/>
        <w:ind w:firstLine="560" w:firstLineChars="200"/>
        <w:rPr>
          <w:rFonts w:ascii="宋体" w:hAnsi="宋体"/>
          <w:b/>
          <w:color w:val="auto"/>
          <w:sz w:val="28"/>
          <w:szCs w:val="28"/>
          <w:highlight w:val="none"/>
        </w:rPr>
      </w:pPr>
      <w:r>
        <w:rPr>
          <w:rFonts w:hint="eastAsia" w:ascii="宋体" w:hAnsi="宋体"/>
          <w:color w:val="auto"/>
          <w:sz w:val="28"/>
          <w:szCs w:val="28"/>
          <w:highlight w:val="none"/>
        </w:rPr>
        <w:t>三、与我</w:t>
      </w:r>
      <w:r>
        <w:rPr>
          <w:rFonts w:hint="eastAsia" w:ascii="宋体" w:hAnsi="宋体"/>
          <w:color w:val="auto"/>
          <w:sz w:val="28"/>
          <w:highlight w:val="none"/>
        </w:rPr>
        <w:t>单位</w:t>
      </w:r>
      <w:r>
        <w:rPr>
          <w:rFonts w:hint="eastAsia" w:ascii="宋体" w:hAnsi="宋体"/>
          <w:color w:val="auto"/>
          <w:sz w:val="28"/>
          <w:szCs w:val="28"/>
          <w:highlight w:val="none"/>
        </w:rPr>
        <w:t>存在</w:t>
      </w:r>
      <w:r>
        <w:rPr>
          <w:rFonts w:hint="eastAsia" w:hAnsi="宋体"/>
          <w:color w:val="auto"/>
          <w:sz w:val="28"/>
          <w:szCs w:val="28"/>
          <w:highlight w:val="none"/>
        </w:rPr>
        <w:t>单位</w:t>
      </w:r>
      <w:r>
        <w:rPr>
          <w:rFonts w:hint="eastAsia" w:ascii="宋体" w:hAnsi="宋体"/>
          <w:color w:val="auto"/>
          <w:sz w:val="28"/>
          <w:highlight w:val="none"/>
        </w:rPr>
        <w:t>负责人</w:t>
      </w:r>
      <w:r>
        <w:rPr>
          <w:rFonts w:hint="eastAsia" w:hAnsi="宋体"/>
          <w:color w:val="auto"/>
          <w:sz w:val="28"/>
          <w:szCs w:val="28"/>
          <w:highlight w:val="none"/>
        </w:rPr>
        <w:t>为同一人、</w:t>
      </w:r>
      <w:r>
        <w:rPr>
          <w:rFonts w:hint="eastAsia" w:ascii="宋体" w:hAnsi="宋体"/>
          <w:color w:val="auto"/>
          <w:sz w:val="28"/>
          <w:szCs w:val="28"/>
          <w:highlight w:val="none"/>
        </w:rPr>
        <w:t>直接控股、管理关系的相关供应商：</w:t>
      </w:r>
      <w:r>
        <w:rPr>
          <w:rFonts w:hint="eastAsia" w:ascii="宋体" w:hAnsi="宋体"/>
          <w:b/>
          <w:color w:val="auto"/>
          <w:sz w:val="28"/>
          <w:szCs w:val="28"/>
          <w:highlight w:val="none"/>
          <w:u w:val="single"/>
        </w:rPr>
        <w:t>（说明：填写“无”或“（一）供应商名称１；（二）供应商名称２ ；（三）……”）</w:t>
      </w:r>
      <w:r>
        <w:rPr>
          <w:rFonts w:hint="eastAsia" w:ascii="宋体" w:hAnsi="宋体"/>
          <w:b/>
          <w:color w:val="auto"/>
          <w:sz w:val="28"/>
          <w:szCs w:val="28"/>
          <w:highlight w:val="none"/>
        </w:rPr>
        <w:t>。</w:t>
      </w:r>
    </w:p>
    <w:p>
      <w:pPr>
        <w:pStyle w:val="41"/>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四、在行贿犯罪信息查询期限内，我单位及我单位现任</w:t>
      </w:r>
      <w:r>
        <w:rPr>
          <w:rFonts w:hint="eastAsia" w:ascii="宋体" w:hAnsi="宋体"/>
          <w:color w:val="auto"/>
          <w:sz w:val="28"/>
          <w:highlight w:val="none"/>
        </w:rPr>
        <w:t>法定代表人、主要负责人</w:t>
      </w:r>
      <w:r>
        <w:rPr>
          <w:rFonts w:hint="eastAsia" w:ascii="宋体" w:hAnsi="宋体"/>
          <w:b/>
          <w:color w:val="auto"/>
          <w:sz w:val="28"/>
          <w:szCs w:val="28"/>
          <w:highlight w:val="none"/>
          <w:u w:val="single"/>
        </w:rPr>
        <w:t>（说明：填写“没有”或“有”）</w:t>
      </w:r>
      <w:r>
        <w:rPr>
          <w:rFonts w:hint="eastAsia" w:ascii="宋体" w:hAnsi="宋体"/>
          <w:color w:val="auto"/>
          <w:sz w:val="28"/>
          <w:szCs w:val="28"/>
          <w:highlight w:val="none"/>
        </w:rPr>
        <w:t>行贿犯罪记录。</w:t>
      </w:r>
    </w:p>
    <w:p>
      <w:pPr>
        <w:pStyle w:val="41"/>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五、我单位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u w:val="single"/>
        </w:rPr>
        <w:t>）</w:t>
      </w:r>
      <w:r>
        <w:rPr>
          <w:rFonts w:hint="eastAsia" w:ascii="宋体" w:hAnsi="宋体"/>
          <w:color w:val="auto"/>
          <w:sz w:val="28"/>
          <w:szCs w:val="28"/>
          <w:highlight w:val="none"/>
        </w:rPr>
        <w:t>失信被执行人、重大税收违法案件当事人名单。</w:t>
      </w:r>
    </w:p>
    <w:p>
      <w:pPr>
        <w:pStyle w:val="41"/>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u w:val="single"/>
        </w:rPr>
        <w:t>）</w:t>
      </w:r>
      <w:r>
        <w:rPr>
          <w:rFonts w:hint="eastAsia" w:ascii="宋体" w:hAnsi="宋体"/>
          <w:color w:val="auto"/>
          <w:sz w:val="28"/>
          <w:szCs w:val="28"/>
          <w:highlight w:val="none"/>
        </w:rPr>
        <w:t>政府采购严重违法失信行为记录名单。</w:t>
      </w:r>
    </w:p>
    <w:p>
      <w:pPr>
        <w:pStyle w:val="41"/>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六、我单位</w:t>
      </w:r>
      <w:r>
        <w:rPr>
          <w:rFonts w:hint="eastAsia" w:ascii="宋体" w:hAnsi="宋体"/>
          <w:b/>
          <w:color w:val="auto"/>
          <w:sz w:val="28"/>
          <w:szCs w:val="28"/>
          <w:highlight w:val="none"/>
          <w:u w:val="single"/>
        </w:rPr>
        <w:t>（说明：填写“未处于”或“处于”）</w:t>
      </w:r>
      <w:r>
        <w:rPr>
          <w:rFonts w:hint="eastAsia" w:ascii="宋体" w:hAnsi="宋体"/>
          <w:bCs/>
          <w:color w:val="auto"/>
          <w:sz w:val="28"/>
          <w:szCs w:val="28"/>
          <w:highlight w:val="none"/>
        </w:rPr>
        <w:t>被行政部门禁止参与政府采购活动的期限内</w:t>
      </w:r>
      <w:r>
        <w:rPr>
          <w:rFonts w:hint="eastAsia" w:ascii="宋体" w:hAnsi="宋体"/>
          <w:color w:val="auto"/>
          <w:sz w:val="28"/>
          <w:szCs w:val="28"/>
          <w:highlight w:val="none"/>
        </w:rPr>
        <w:t>。</w:t>
      </w:r>
    </w:p>
    <w:p>
      <w:pPr>
        <w:pStyle w:val="41"/>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特此声明。</w:t>
      </w: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none"/>
          <w:lang w:val="en-US" w:eastAsia="zh-CN" w:bidi="ar-SA"/>
        </w:rPr>
        <w:t xml:space="preserve"> </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pageBreakBefore w:val="0"/>
        <w:kinsoku/>
        <w:wordWrap w:val="0"/>
        <w:overflowPunct/>
        <w:topLinePunct w:val="0"/>
        <w:bidi w:val="0"/>
        <w:adjustRightInd w:val="0"/>
        <w:snapToGrid w:val="0"/>
        <w:spacing w:afterAutospacing="0" w:line="360" w:lineRule="auto"/>
        <w:ind w:firstLine="560" w:firstLineChars="200"/>
        <w:jc w:val="right"/>
        <w:rPr>
          <w:rFonts w:hint="eastAsia" w:cs="宋体"/>
          <w:color w:val="auto"/>
          <w:kern w:val="2"/>
          <w:sz w:val="28"/>
          <w:szCs w:val="22"/>
          <w:highlight w:val="none"/>
          <w:u w:val="none"/>
          <w:lang w:val="en-US"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r>
        <w:rPr>
          <w:rFonts w:hint="eastAsia" w:cs="宋体"/>
          <w:color w:val="auto"/>
          <w:kern w:val="2"/>
          <w:sz w:val="28"/>
          <w:szCs w:val="22"/>
          <w:highlight w:val="none"/>
          <w:u w:val="none"/>
          <w:lang w:val="en-US" w:eastAsia="zh-CN" w:bidi="ar-SA"/>
        </w:rPr>
        <w:t xml:space="preserve">  </w:t>
      </w:r>
    </w:p>
    <w:p>
      <w:pPr>
        <w:pStyle w:val="45"/>
        <w:pageBreakBefore w:val="0"/>
        <w:kinsoku/>
        <w:wordWrap/>
        <w:overflowPunct/>
        <w:topLinePunct w:val="0"/>
        <w:bidi w:val="0"/>
        <w:adjustRightInd w:val="0"/>
        <w:snapToGrid w:val="0"/>
        <w:spacing w:afterAutospacing="0" w:line="360" w:lineRule="auto"/>
        <w:ind w:firstLine="560" w:firstLineChars="200"/>
        <w:jc w:val="right"/>
        <w:rPr>
          <w:rFonts w:hint="eastAsia" w:cs="宋体"/>
          <w:color w:val="auto"/>
          <w:kern w:val="2"/>
          <w:sz w:val="28"/>
          <w:szCs w:val="22"/>
          <w:highlight w:val="none"/>
          <w:u w:val="none"/>
          <w:lang w:val="en-US" w:eastAsia="zh-CN" w:bidi="ar-SA"/>
        </w:rPr>
      </w:pPr>
    </w:p>
    <w:p>
      <w:pPr>
        <w:pStyle w:val="45"/>
        <w:pageBreakBefore w:val="0"/>
        <w:kinsoku/>
        <w:wordWrap/>
        <w:overflowPunct/>
        <w:topLinePunct w:val="0"/>
        <w:bidi w:val="0"/>
        <w:adjustRightInd w:val="0"/>
        <w:snapToGrid w:val="0"/>
        <w:spacing w:afterAutospacing="0" w:line="360" w:lineRule="auto"/>
        <w:ind w:firstLine="560" w:firstLineChars="200"/>
        <w:jc w:val="right"/>
        <w:rPr>
          <w:rFonts w:hint="eastAsia" w:cs="宋体"/>
          <w:color w:val="auto"/>
          <w:kern w:val="2"/>
          <w:sz w:val="28"/>
          <w:szCs w:val="22"/>
          <w:highlight w:val="none"/>
          <w:u w:val="none"/>
          <w:lang w:val="en-US" w:eastAsia="zh-CN" w:bidi="ar-SA"/>
        </w:rPr>
      </w:pPr>
    </w:p>
    <w:p>
      <w:pPr>
        <w:pStyle w:val="45"/>
        <w:pageBreakBefore w:val="0"/>
        <w:kinsoku/>
        <w:wordWrap/>
        <w:overflowPunct/>
        <w:topLinePunct w:val="0"/>
        <w:bidi w:val="0"/>
        <w:adjustRightInd w:val="0"/>
        <w:snapToGrid w:val="0"/>
        <w:spacing w:afterAutospacing="0" w:line="360" w:lineRule="auto"/>
        <w:ind w:firstLine="560" w:firstLineChars="200"/>
        <w:jc w:val="right"/>
        <w:rPr>
          <w:rFonts w:hint="default" w:cs="宋体"/>
          <w:color w:val="auto"/>
          <w:kern w:val="2"/>
          <w:sz w:val="28"/>
          <w:szCs w:val="22"/>
          <w:highlight w:val="none"/>
          <w:u w:val="none"/>
          <w:lang w:val="en-US" w:eastAsia="zh-CN" w:bidi="ar-SA"/>
        </w:rPr>
      </w:pPr>
    </w:p>
    <w:p>
      <w:pPr>
        <w:pStyle w:val="41"/>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rPr>
      </w:pPr>
      <w:r>
        <w:rPr>
          <w:rFonts w:hint="eastAsia" w:ascii="宋体" w:hAnsi="宋体"/>
          <w:bCs/>
          <w:color w:val="auto"/>
          <w:sz w:val="28"/>
          <w:szCs w:val="28"/>
          <w:highlight w:val="none"/>
        </w:rPr>
        <w:t>说明：</w:t>
      </w:r>
    </w:p>
    <w:p>
      <w:pPr>
        <w:pStyle w:val="41"/>
        <w:pageBreakBefore w:val="0"/>
        <w:kinsoku/>
        <w:wordWrap/>
        <w:overflowPunct/>
        <w:topLinePunct w:val="0"/>
        <w:bidi w:val="0"/>
        <w:adjustRightInd w:val="0"/>
        <w:snapToGrid w:val="0"/>
        <w:spacing w:afterAutospacing="0" w:line="360" w:lineRule="auto"/>
        <w:ind w:left="378" w:leftChars="135" w:firstLine="480" w:firstLineChars="200"/>
        <w:rPr>
          <w:rFonts w:ascii="宋体" w:hAnsi="宋体"/>
          <w:color w:val="auto"/>
          <w:sz w:val="24"/>
          <w:szCs w:val="24"/>
          <w:highlight w:val="none"/>
        </w:rPr>
      </w:pPr>
      <w:r>
        <w:rPr>
          <w:rFonts w:hint="eastAsia" w:ascii="宋体" w:hAnsi="宋体"/>
          <w:color w:val="auto"/>
          <w:sz w:val="24"/>
          <w:szCs w:val="24"/>
          <w:highlight w:val="none"/>
        </w:rPr>
        <w:t>1、对声明中第一条的说明：如供应商在参加政府采购活动前三年内，在经营活动中有重大违法记录的，应填写“有”，供应商</w:t>
      </w:r>
      <w:r>
        <w:rPr>
          <w:rFonts w:hint="eastAsia"/>
          <w:color w:val="auto"/>
          <w:sz w:val="24"/>
          <w:szCs w:val="24"/>
          <w:highlight w:val="none"/>
        </w:rPr>
        <w:t>将被认定为磋商无效或被取消成交资格；</w:t>
      </w:r>
    </w:p>
    <w:p>
      <w:pPr>
        <w:pStyle w:val="41"/>
        <w:pageBreakBefore w:val="0"/>
        <w:kinsoku/>
        <w:wordWrap/>
        <w:overflowPunct/>
        <w:topLinePunct w:val="0"/>
        <w:bidi w:val="0"/>
        <w:adjustRightInd w:val="0"/>
        <w:snapToGrid w:val="0"/>
        <w:spacing w:afterAutospacing="0" w:line="360" w:lineRule="auto"/>
        <w:ind w:left="378" w:leftChars="135" w:firstLine="480" w:firstLineChars="200"/>
        <w:rPr>
          <w:rFonts w:hAnsi="宋体"/>
          <w:color w:val="auto"/>
          <w:sz w:val="24"/>
          <w:szCs w:val="24"/>
          <w:highlight w:val="none"/>
        </w:rPr>
      </w:pPr>
      <w:r>
        <w:rPr>
          <w:rFonts w:hint="eastAsia" w:ascii="宋体" w:hAnsi="宋体"/>
          <w:color w:val="auto"/>
          <w:sz w:val="24"/>
          <w:szCs w:val="24"/>
          <w:highlight w:val="none"/>
        </w:rPr>
        <w:t>2、对声明中第三条的说明：单位负责人为同一人或者存在直接控股、管理关系的不同供应商，不得参加同一合同项下的政府采购活动</w:t>
      </w:r>
      <w:r>
        <w:rPr>
          <w:rFonts w:hint="eastAsia" w:hAnsi="宋体"/>
          <w:color w:val="auto"/>
          <w:sz w:val="24"/>
          <w:szCs w:val="24"/>
          <w:highlight w:val="none"/>
        </w:rPr>
        <w:t>；</w:t>
      </w:r>
    </w:p>
    <w:p>
      <w:pPr>
        <w:pStyle w:val="41"/>
        <w:pageBreakBefore w:val="0"/>
        <w:kinsoku/>
        <w:wordWrap/>
        <w:overflowPunct/>
        <w:topLinePunct w:val="0"/>
        <w:bidi w:val="0"/>
        <w:adjustRightInd w:val="0"/>
        <w:snapToGrid w:val="0"/>
        <w:spacing w:afterAutospacing="0" w:line="360" w:lineRule="auto"/>
        <w:ind w:left="378" w:leftChars="135" w:firstLine="480" w:firstLineChars="200"/>
        <w:rPr>
          <w:color w:val="auto"/>
          <w:sz w:val="24"/>
          <w:szCs w:val="24"/>
          <w:highlight w:val="none"/>
        </w:rPr>
      </w:pPr>
      <w:r>
        <w:rPr>
          <w:rFonts w:hint="eastAsia" w:ascii="宋体" w:hAnsi="宋体"/>
          <w:color w:val="auto"/>
          <w:sz w:val="24"/>
          <w:szCs w:val="24"/>
          <w:highlight w:val="none"/>
        </w:rPr>
        <w:t>3、对声明中第四条的说明：在行贿犯罪信息查询期限内，供应商根据中国裁判文书网（https://wenshu.court.gov.cn）查询结果，如果供应商</w:t>
      </w:r>
      <w:r>
        <w:rPr>
          <w:rFonts w:hint="eastAsia"/>
          <w:color w:val="auto"/>
          <w:sz w:val="24"/>
          <w:szCs w:val="24"/>
          <w:highlight w:val="none"/>
        </w:rPr>
        <w:t>及其现任法定代表人、主要负责人有行贿犯罪记录的，</w:t>
      </w:r>
      <w:r>
        <w:rPr>
          <w:rFonts w:hint="eastAsia" w:ascii="宋体" w:hAnsi="宋体"/>
          <w:color w:val="auto"/>
          <w:sz w:val="24"/>
          <w:szCs w:val="24"/>
          <w:highlight w:val="none"/>
        </w:rPr>
        <w:t>供应商</w:t>
      </w:r>
      <w:r>
        <w:rPr>
          <w:rFonts w:hint="eastAsia"/>
          <w:color w:val="auto"/>
          <w:sz w:val="24"/>
          <w:szCs w:val="24"/>
          <w:highlight w:val="none"/>
        </w:rPr>
        <w:t>应填写“有”，</w:t>
      </w:r>
      <w:r>
        <w:rPr>
          <w:rFonts w:hint="eastAsia" w:ascii="宋体" w:hAnsi="宋体"/>
          <w:color w:val="auto"/>
          <w:sz w:val="24"/>
          <w:szCs w:val="24"/>
          <w:highlight w:val="none"/>
        </w:rPr>
        <w:t>供应商</w:t>
      </w:r>
      <w:r>
        <w:rPr>
          <w:rFonts w:hint="eastAsia"/>
          <w:color w:val="auto"/>
          <w:sz w:val="24"/>
          <w:szCs w:val="24"/>
          <w:highlight w:val="none"/>
        </w:rPr>
        <w:t>将被认定为磋商无效或被取消成交资格。</w:t>
      </w:r>
    </w:p>
    <w:p>
      <w:pPr>
        <w:pStyle w:val="41"/>
        <w:pageBreakBefore w:val="0"/>
        <w:kinsoku/>
        <w:wordWrap/>
        <w:overflowPunct/>
        <w:topLinePunct w:val="0"/>
        <w:bidi w:val="0"/>
        <w:adjustRightInd w:val="0"/>
        <w:snapToGrid w:val="0"/>
        <w:spacing w:afterAutospacing="0" w:line="360" w:lineRule="auto"/>
        <w:ind w:left="378" w:leftChars="135" w:firstLine="480" w:firstLineChars="200"/>
        <w:rPr>
          <w:rFonts w:ascii="宋体" w:hAnsi="宋体"/>
          <w:color w:val="auto"/>
          <w:sz w:val="24"/>
          <w:szCs w:val="24"/>
          <w:highlight w:val="none"/>
        </w:rPr>
      </w:pPr>
      <w:r>
        <w:rPr>
          <w:rFonts w:hint="eastAsia" w:ascii="宋体" w:hAnsi="宋体"/>
          <w:color w:val="auto"/>
          <w:sz w:val="24"/>
          <w:szCs w:val="24"/>
          <w:highlight w:val="none"/>
        </w:rPr>
        <w:t>4、对声明中第五条的说明：供应商</w:t>
      </w:r>
      <w:r>
        <w:rPr>
          <w:rFonts w:ascii="宋体" w:hAnsi="宋体"/>
          <w:color w:val="auto"/>
          <w:sz w:val="24"/>
          <w:szCs w:val="24"/>
          <w:highlight w:val="none"/>
        </w:rPr>
        <w:t>如被列入失信被执行人、重大税收违法案件当事人名单，应填写“被列入”，</w:t>
      </w:r>
      <w:r>
        <w:rPr>
          <w:rFonts w:hint="eastAsia" w:ascii="宋体" w:hAnsi="宋体"/>
          <w:color w:val="auto"/>
          <w:sz w:val="24"/>
          <w:szCs w:val="24"/>
          <w:highlight w:val="none"/>
        </w:rPr>
        <w:t xml:space="preserve"> 供应商</w:t>
      </w:r>
      <w:r>
        <w:rPr>
          <w:rFonts w:ascii="宋体" w:hAnsi="宋体"/>
          <w:color w:val="auto"/>
          <w:sz w:val="24"/>
          <w:szCs w:val="24"/>
          <w:highlight w:val="none"/>
        </w:rPr>
        <w:t>将被认定</w:t>
      </w:r>
      <w:r>
        <w:rPr>
          <w:rFonts w:hint="eastAsia" w:ascii="宋体" w:hAnsi="宋体"/>
          <w:color w:val="auto"/>
          <w:sz w:val="24"/>
          <w:szCs w:val="24"/>
          <w:highlight w:val="none"/>
        </w:rPr>
        <w:t>磋商</w:t>
      </w:r>
      <w:r>
        <w:rPr>
          <w:rFonts w:ascii="宋体" w:hAnsi="宋体"/>
          <w:color w:val="auto"/>
          <w:sz w:val="24"/>
          <w:szCs w:val="24"/>
          <w:highlight w:val="none"/>
        </w:rPr>
        <w:t>无效或被取消</w:t>
      </w:r>
      <w:r>
        <w:rPr>
          <w:rFonts w:hint="eastAsia" w:ascii="宋体" w:hAnsi="宋体"/>
          <w:color w:val="auto"/>
          <w:sz w:val="24"/>
          <w:szCs w:val="24"/>
          <w:highlight w:val="none"/>
        </w:rPr>
        <w:t>成交</w:t>
      </w:r>
      <w:r>
        <w:rPr>
          <w:rFonts w:ascii="宋体" w:hAnsi="宋体"/>
          <w:color w:val="auto"/>
          <w:sz w:val="24"/>
          <w:szCs w:val="24"/>
          <w:highlight w:val="none"/>
        </w:rPr>
        <w:t>资格；</w:t>
      </w:r>
      <w:r>
        <w:rPr>
          <w:rFonts w:hint="eastAsia" w:ascii="宋体" w:hAnsi="宋体"/>
          <w:color w:val="auto"/>
          <w:sz w:val="24"/>
          <w:szCs w:val="24"/>
          <w:highlight w:val="none"/>
        </w:rPr>
        <w:t>供应商</w:t>
      </w:r>
      <w:r>
        <w:rPr>
          <w:rFonts w:ascii="宋体" w:hAnsi="宋体"/>
          <w:color w:val="auto"/>
          <w:sz w:val="24"/>
          <w:szCs w:val="24"/>
          <w:highlight w:val="none"/>
        </w:rPr>
        <w:t>如被列入政府采购严重违法失信行为记录名单，应填写“被列入”，</w:t>
      </w:r>
      <w:r>
        <w:rPr>
          <w:rFonts w:hint="eastAsia" w:ascii="宋体" w:hAnsi="宋体"/>
          <w:color w:val="auto"/>
          <w:sz w:val="24"/>
          <w:szCs w:val="24"/>
          <w:highlight w:val="none"/>
        </w:rPr>
        <w:t xml:space="preserve"> 供应商</w:t>
      </w:r>
      <w:r>
        <w:rPr>
          <w:rFonts w:ascii="宋体" w:hAnsi="宋体"/>
          <w:color w:val="auto"/>
          <w:sz w:val="24"/>
          <w:szCs w:val="24"/>
          <w:highlight w:val="none"/>
        </w:rPr>
        <w:t>将被认定</w:t>
      </w:r>
      <w:r>
        <w:rPr>
          <w:rFonts w:hint="eastAsia" w:ascii="宋体" w:hAnsi="宋体"/>
          <w:color w:val="auto"/>
          <w:sz w:val="24"/>
          <w:szCs w:val="24"/>
          <w:highlight w:val="none"/>
        </w:rPr>
        <w:t>磋商</w:t>
      </w:r>
      <w:r>
        <w:rPr>
          <w:rFonts w:ascii="宋体" w:hAnsi="宋体"/>
          <w:color w:val="auto"/>
          <w:sz w:val="24"/>
          <w:szCs w:val="24"/>
          <w:highlight w:val="none"/>
        </w:rPr>
        <w:t>无效或被取消</w:t>
      </w:r>
      <w:r>
        <w:rPr>
          <w:rFonts w:hint="eastAsia" w:ascii="宋体" w:hAnsi="宋体"/>
          <w:color w:val="auto"/>
          <w:sz w:val="24"/>
          <w:szCs w:val="24"/>
          <w:highlight w:val="none"/>
        </w:rPr>
        <w:t>成交</w:t>
      </w:r>
      <w:r>
        <w:rPr>
          <w:rFonts w:ascii="宋体" w:hAnsi="宋体"/>
          <w:color w:val="auto"/>
          <w:sz w:val="24"/>
          <w:szCs w:val="24"/>
          <w:highlight w:val="none"/>
        </w:rPr>
        <w:t>资格</w:t>
      </w:r>
      <w:r>
        <w:rPr>
          <w:rFonts w:hint="eastAsia" w:ascii="宋体" w:hAnsi="宋体"/>
          <w:color w:val="auto"/>
          <w:sz w:val="24"/>
          <w:szCs w:val="24"/>
          <w:highlight w:val="none"/>
        </w:rPr>
        <w:t>。</w:t>
      </w:r>
    </w:p>
    <w:p>
      <w:pPr>
        <w:pStyle w:val="41"/>
        <w:pageBreakBefore w:val="0"/>
        <w:kinsoku/>
        <w:wordWrap/>
        <w:overflowPunct/>
        <w:topLinePunct w:val="0"/>
        <w:bidi w:val="0"/>
        <w:adjustRightInd w:val="0"/>
        <w:snapToGrid w:val="0"/>
        <w:spacing w:afterAutospacing="0" w:line="360" w:lineRule="auto"/>
        <w:ind w:left="378" w:leftChars="135" w:firstLine="480" w:firstLineChars="200"/>
        <w:rPr>
          <w:color w:val="auto"/>
          <w:highlight w:val="none"/>
        </w:rPr>
      </w:pPr>
      <w:r>
        <w:rPr>
          <w:rFonts w:hint="eastAsia" w:ascii="宋体" w:hAnsi="宋体"/>
          <w:color w:val="auto"/>
          <w:sz w:val="24"/>
          <w:szCs w:val="24"/>
          <w:highlight w:val="none"/>
        </w:rPr>
        <w:t>5、对声明中第六条的说明：如供应商处于被行政部门禁止参加政府采购活动期限内的，该声明填“处于”，供应商将被认定磋商无效或被取消成交资格。</w:t>
      </w:r>
    </w:p>
    <w:p>
      <w:pPr>
        <w:pStyle w:val="5"/>
        <w:pageBreakBefore w:val="0"/>
        <w:numPr>
          <w:ilvl w:val="2"/>
          <w:numId w:val="0"/>
        </w:numPr>
        <w:tabs>
          <w:tab w:val="left" w:pos="709"/>
        </w:tabs>
        <w:kinsoku/>
        <w:wordWrap/>
        <w:overflowPunct/>
        <w:topLinePunct w:val="0"/>
        <w:bidi w:val="0"/>
        <w:adjustRightInd w:val="0"/>
        <w:snapToGrid w:val="0"/>
        <w:spacing w:afterAutospacing="0" w:line="360" w:lineRule="auto"/>
        <w:ind w:leftChars="0" w:firstLine="482" w:firstLineChars="200"/>
        <w:rPr>
          <w:rFonts w:hint="eastAsia" w:ascii="宋体" w:hAnsi="宋体" w:eastAsia="宋体" w:cs="Times New Roman"/>
          <w:b/>
          <w:bCs/>
          <w:color w:val="auto"/>
          <w:kern w:val="2"/>
          <w:sz w:val="24"/>
          <w:szCs w:val="28"/>
          <w:highlight w:val="none"/>
          <w:lang w:val="en-US" w:eastAsia="zh-CN" w:bidi="ar-SA"/>
        </w:rPr>
      </w:pPr>
      <w:r>
        <w:rPr>
          <w:color w:val="auto"/>
          <w:highlight w:val="none"/>
        </w:rPr>
        <w:br w:type="page"/>
      </w:r>
      <w:bookmarkStart w:id="84" w:name="_Toc5292"/>
      <w:r>
        <w:rPr>
          <w:rFonts w:hint="eastAsia" w:ascii="宋体" w:hAnsi="宋体" w:eastAsia="宋体" w:cs="Times New Roman"/>
          <w:b/>
          <w:bCs/>
          <w:color w:val="auto"/>
          <w:kern w:val="2"/>
          <w:sz w:val="24"/>
          <w:szCs w:val="28"/>
          <w:highlight w:val="none"/>
          <w:lang w:val="en-US" w:eastAsia="zh-CN" w:bidi="ar-SA"/>
        </w:rPr>
        <w:t>3.1.</w:t>
      </w:r>
      <w:r>
        <w:rPr>
          <w:rFonts w:hint="eastAsia" w:cs="Times New Roman"/>
          <w:b/>
          <w:bCs/>
          <w:color w:val="auto"/>
          <w:kern w:val="2"/>
          <w:sz w:val="24"/>
          <w:szCs w:val="28"/>
          <w:highlight w:val="none"/>
          <w:lang w:val="en-US" w:eastAsia="zh-CN" w:bidi="ar-SA"/>
        </w:rPr>
        <w:t>4</w:t>
      </w:r>
      <w:r>
        <w:rPr>
          <w:rFonts w:hint="eastAsia" w:ascii="宋体" w:hAnsi="宋体" w:eastAsia="宋体" w:cs="Times New Roman"/>
          <w:b/>
          <w:bCs/>
          <w:color w:val="auto"/>
          <w:kern w:val="2"/>
          <w:sz w:val="24"/>
          <w:szCs w:val="28"/>
          <w:highlight w:val="none"/>
          <w:lang w:val="en-US" w:eastAsia="zh-CN" w:bidi="ar-SA"/>
        </w:rPr>
        <w:t>法定代表人身份证明书</w:t>
      </w:r>
      <w:bookmarkEnd w:id="84"/>
    </w:p>
    <w:p>
      <w:pPr>
        <w:pStyle w:val="39"/>
        <w:bidi w:val="0"/>
        <w:rPr>
          <w:rFonts w:hint="default"/>
          <w:lang w:val="en-US" w:eastAsia="zh-CN"/>
        </w:rPr>
      </w:pPr>
    </w:p>
    <w:p>
      <w:pPr>
        <w:pStyle w:val="40"/>
        <w:rPr>
          <w:rFonts w:hint="default"/>
          <w:lang w:val="en-US" w:eastAsia="zh-CN"/>
        </w:rPr>
      </w:pPr>
    </w:p>
    <w:p>
      <w:pPr>
        <w:pageBreakBefore w:val="0"/>
        <w:tabs>
          <w:tab w:val="left" w:pos="6300"/>
        </w:tabs>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lang w:val="zh-CN"/>
        </w:rPr>
      </w:pPr>
      <w:r>
        <w:rPr>
          <w:rFonts w:hint="eastAsia" w:ascii="宋体" w:hAnsi="宋体"/>
          <w:color w:val="auto"/>
          <w:sz w:val="28"/>
          <w:szCs w:val="28"/>
          <w:highlight w:val="none"/>
          <w:u w:val="single"/>
          <w:lang w:val="zh-CN"/>
        </w:rPr>
        <w:t xml:space="preserve">  （</w:t>
      </w:r>
      <w:r>
        <w:rPr>
          <w:rFonts w:hint="eastAsia" w:ascii="宋体" w:hAnsi="宋体"/>
          <w:color w:val="auto"/>
          <w:sz w:val="28"/>
          <w:szCs w:val="28"/>
          <w:highlight w:val="none"/>
          <w:u w:val="single"/>
        </w:rPr>
        <w:t>法定代表人</w:t>
      </w:r>
      <w:r>
        <w:rPr>
          <w:rFonts w:hint="eastAsia" w:ascii="宋体" w:hAnsi="宋体"/>
          <w:color w:val="auto"/>
          <w:sz w:val="28"/>
          <w:szCs w:val="28"/>
          <w:highlight w:val="none"/>
          <w:u w:val="single"/>
          <w:lang w:val="zh-CN"/>
        </w:rPr>
        <w:t xml:space="preserve">姓名）       </w:t>
      </w:r>
      <w:r>
        <w:rPr>
          <w:rFonts w:hint="eastAsia" w:ascii="宋体" w:hAnsi="宋体"/>
          <w:color w:val="auto"/>
          <w:sz w:val="28"/>
          <w:szCs w:val="28"/>
          <w:highlight w:val="none"/>
          <w:lang w:val="zh-CN"/>
        </w:rPr>
        <w:t>在</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处任</w:t>
      </w:r>
      <w:r>
        <w:rPr>
          <w:rFonts w:hint="eastAsia" w:ascii="宋体" w:hAnsi="宋体"/>
          <w:color w:val="auto"/>
          <w:sz w:val="28"/>
          <w:szCs w:val="28"/>
          <w:highlight w:val="none"/>
          <w:u w:val="single"/>
          <w:lang w:val="zh-CN"/>
        </w:rPr>
        <w:t xml:space="preserve">       （职务名称）       </w:t>
      </w:r>
      <w:r>
        <w:rPr>
          <w:rFonts w:hint="eastAsia" w:ascii="宋体" w:hAnsi="宋体"/>
          <w:color w:val="auto"/>
          <w:sz w:val="28"/>
          <w:szCs w:val="28"/>
          <w:highlight w:val="none"/>
          <w:lang w:val="zh-CN"/>
        </w:rPr>
        <w:t>职务，是</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的</w:t>
      </w:r>
      <w:r>
        <w:rPr>
          <w:rFonts w:hint="eastAsia" w:ascii="宋体" w:hAnsi="宋体"/>
          <w:color w:val="auto"/>
          <w:sz w:val="28"/>
          <w:szCs w:val="28"/>
          <w:highlight w:val="none"/>
        </w:rPr>
        <w:t>法定代表人</w:t>
      </w:r>
      <w:r>
        <w:rPr>
          <w:rFonts w:hint="eastAsia" w:ascii="宋体" w:hAnsi="宋体"/>
          <w:color w:val="auto"/>
          <w:sz w:val="28"/>
          <w:szCs w:val="28"/>
          <w:highlight w:val="none"/>
          <w:lang w:val="zh-CN"/>
        </w:rPr>
        <w:t>。</w:t>
      </w:r>
    </w:p>
    <w:p>
      <w:pPr>
        <w:pageBreakBefore w:val="0"/>
        <w:tabs>
          <w:tab w:val="left" w:pos="6300"/>
        </w:tabs>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lang w:val="zh-CN"/>
        </w:rPr>
      </w:pPr>
      <w:r>
        <w:rPr>
          <w:rFonts w:hint="eastAsia" w:ascii="宋体" w:hAnsi="宋体"/>
          <w:color w:val="auto"/>
          <w:sz w:val="28"/>
          <w:szCs w:val="28"/>
          <w:highlight w:val="none"/>
          <w:lang w:val="zh-CN"/>
        </w:rPr>
        <w:t>特此证明。</w:t>
      </w:r>
    </w:p>
    <w:p>
      <w:pPr>
        <w:pageBreakBefore w:val="0"/>
        <w:tabs>
          <w:tab w:val="left" w:pos="6300"/>
        </w:tabs>
        <w:kinsoku/>
        <w:wordWrap/>
        <w:overflowPunct/>
        <w:topLinePunct w:val="0"/>
        <w:bidi w:val="0"/>
        <w:adjustRightInd w:val="0"/>
        <w:snapToGrid w:val="0"/>
        <w:spacing w:afterAutospacing="0" w:line="360" w:lineRule="auto"/>
        <w:ind w:firstLine="560" w:firstLineChars="200"/>
        <w:rPr>
          <w:rFonts w:ascii="宋体" w:hAnsi="宋体"/>
          <w:color w:val="auto"/>
          <w:sz w:val="28"/>
          <w:highlight w:val="none"/>
          <w:lang w:val="zh-CN"/>
        </w:rPr>
      </w:pPr>
    </w:p>
    <w:p>
      <w:pPr>
        <w:pageBreakBefore w:val="0"/>
        <w:tabs>
          <w:tab w:val="left" w:pos="6300"/>
        </w:tabs>
        <w:kinsoku/>
        <w:wordWrap/>
        <w:overflowPunct/>
        <w:topLinePunct w:val="0"/>
        <w:bidi w:val="0"/>
        <w:adjustRightInd w:val="0"/>
        <w:snapToGrid w:val="0"/>
        <w:spacing w:afterAutospacing="0" w:line="360" w:lineRule="auto"/>
        <w:ind w:firstLine="560" w:firstLineChars="200"/>
        <w:rPr>
          <w:rFonts w:ascii="宋体" w:hAnsi="宋体"/>
          <w:color w:val="auto"/>
          <w:sz w:val="28"/>
          <w:highlight w:val="none"/>
          <w:lang w:val="zh-CN"/>
        </w:rPr>
      </w:pPr>
    </w:p>
    <w:p>
      <w:pPr>
        <w:pageBreakBefore w:val="0"/>
        <w:tabs>
          <w:tab w:val="left" w:pos="6300"/>
        </w:tabs>
        <w:kinsoku/>
        <w:wordWrap/>
        <w:overflowPunct/>
        <w:topLinePunct w:val="0"/>
        <w:bidi w:val="0"/>
        <w:adjustRightInd w:val="0"/>
        <w:snapToGrid w:val="0"/>
        <w:spacing w:afterAutospacing="0" w:line="360" w:lineRule="auto"/>
        <w:ind w:firstLine="560" w:firstLineChars="200"/>
        <w:rPr>
          <w:rFonts w:ascii="宋体" w:hAnsi="宋体"/>
          <w:color w:val="auto"/>
          <w:sz w:val="28"/>
          <w:highlight w:val="none"/>
          <w:lang w:val="zh-CN"/>
        </w:rPr>
      </w:pPr>
    </w:p>
    <w:p>
      <w:pPr>
        <w:pageBreakBefore w:val="0"/>
        <w:tabs>
          <w:tab w:val="left" w:pos="6300"/>
        </w:tabs>
        <w:kinsoku/>
        <w:wordWrap/>
        <w:overflowPunct/>
        <w:topLinePunct w:val="0"/>
        <w:bidi w:val="0"/>
        <w:adjustRightInd w:val="0"/>
        <w:snapToGrid w:val="0"/>
        <w:spacing w:afterAutospacing="0" w:line="360" w:lineRule="auto"/>
        <w:ind w:firstLine="560" w:firstLineChars="200"/>
        <w:rPr>
          <w:rFonts w:ascii="宋体" w:hAnsi="宋体"/>
          <w:color w:val="auto"/>
          <w:sz w:val="28"/>
          <w:highlight w:val="none"/>
          <w:lang w:val="zh-CN"/>
        </w:rPr>
      </w:pPr>
    </w:p>
    <w:p>
      <w:pPr>
        <w:pageBreakBefore w:val="0"/>
        <w:tabs>
          <w:tab w:val="left" w:pos="6300"/>
        </w:tabs>
        <w:kinsoku/>
        <w:wordWrap/>
        <w:overflowPunct/>
        <w:topLinePunct w:val="0"/>
        <w:bidi w:val="0"/>
        <w:adjustRightInd w:val="0"/>
        <w:snapToGrid w:val="0"/>
        <w:spacing w:afterAutospacing="0" w:line="360" w:lineRule="auto"/>
        <w:ind w:firstLine="560" w:firstLineChars="200"/>
        <w:rPr>
          <w:rFonts w:ascii="宋体" w:hAnsi="宋体"/>
          <w:color w:val="auto"/>
          <w:sz w:val="28"/>
          <w:highlight w:val="none"/>
          <w:lang w:val="zh-CN"/>
        </w:rPr>
      </w:pP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none"/>
          <w:lang w:val="en-US" w:eastAsia="zh-CN" w:bidi="ar-SA"/>
        </w:rPr>
        <w:t xml:space="preserve"> </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pageBreakBefore w:val="0"/>
        <w:kinsoku/>
        <w:wordWrap w:val="0"/>
        <w:overflowPunct/>
        <w:topLinePunct w:val="0"/>
        <w:bidi w:val="0"/>
        <w:adjustRightInd w:val="0"/>
        <w:snapToGrid w:val="0"/>
        <w:spacing w:afterAutospacing="0" w:line="360" w:lineRule="auto"/>
        <w:ind w:firstLine="560" w:firstLineChars="200"/>
        <w:jc w:val="right"/>
        <w:rPr>
          <w:rFonts w:hint="default" w:ascii="宋体" w:hAnsi="宋体" w:eastAsia="宋体" w:cs="宋体"/>
          <w:color w:val="auto"/>
          <w:kern w:val="2"/>
          <w:sz w:val="28"/>
          <w:szCs w:val="22"/>
          <w:highlight w:val="none"/>
          <w:u w:val="single"/>
          <w:lang w:val="en-US"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r>
        <w:rPr>
          <w:rFonts w:hint="eastAsia" w:cs="宋体"/>
          <w:color w:val="auto"/>
          <w:kern w:val="2"/>
          <w:sz w:val="28"/>
          <w:szCs w:val="22"/>
          <w:highlight w:val="none"/>
          <w:u w:val="single"/>
          <w:lang w:val="en-US" w:eastAsia="zh-CN" w:bidi="ar-SA"/>
        </w:rPr>
        <w:t xml:space="preserve">  </w:t>
      </w:r>
    </w:p>
    <w:p>
      <w:pPr>
        <w:pageBreakBefore w:val="0"/>
        <w:tabs>
          <w:tab w:val="left" w:pos="6300"/>
        </w:tabs>
        <w:kinsoku/>
        <w:wordWrap/>
        <w:overflowPunct/>
        <w:topLinePunct w:val="0"/>
        <w:bidi w:val="0"/>
        <w:adjustRightInd w:val="0"/>
        <w:snapToGrid w:val="0"/>
        <w:spacing w:afterAutospacing="0" w:line="360" w:lineRule="auto"/>
        <w:ind w:firstLine="560" w:firstLineChars="200"/>
        <w:rPr>
          <w:rFonts w:hint="eastAsia" w:ascii="宋体" w:hAnsi="宋体" w:eastAsia="宋体" w:cs="宋体"/>
          <w:color w:val="auto"/>
          <w:kern w:val="2"/>
          <w:sz w:val="28"/>
          <w:szCs w:val="22"/>
          <w:highlight w:val="none"/>
          <w:u w:val="single"/>
          <w:lang w:val="zh-CN" w:eastAsia="zh-CN" w:bidi="ar-SA"/>
        </w:rPr>
      </w:pPr>
    </w:p>
    <w:p>
      <w:pPr>
        <w:pageBreakBefore w:val="0"/>
        <w:tabs>
          <w:tab w:val="left" w:pos="6300"/>
        </w:tabs>
        <w:kinsoku/>
        <w:wordWrap/>
        <w:overflowPunct/>
        <w:topLinePunct w:val="0"/>
        <w:bidi w:val="0"/>
        <w:adjustRightInd w:val="0"/>
        <w:snapToGrid w:val="0"/>
        <w:spacing w:afterAutospacing="0" w:line="360" w:lineRule="auto"/>
        <w:ind w:firstLine="560" w:firstLineChars="200"/>
        <w:rPr>
          <w:rFonts w:ascii="宋体" w:hAnsi="宋体"/>
          <w:color w:val="auto"/>
          <w:sz w:val="28"/>
          <w:highlight w:val="none"/>
          <w:lang w:val="zh-CN"/>
        </w:rPr>
      </w:pPr>
    </w:p>
    <w:p>
      <w:pPr>
        <w:pStyle w:val="54"/>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val="en-US" w:eastAsia="zh-CN"/>
        </w:rPr>
      </w:pPr>
    </w:p>
    <w:p>
      <w:pPr>
        <w:pStyle w:val="55"/>
        <w:pageBreakBefore w:val="0"/>
        <w:kinsoku/>
        <w:wordWrap/>
        <w:overflowPunct/>
        <w:topLinePunct w:val="0"/>
        <w:bidi w:val="0"/>
        <w:adjustRightInd w:val="0"/>
        <w:snapToGrid w:val="0"/>
        <w:spacing w:after="0" w:afterAutospacing="0" w:line="360" w:lineRule="auto"/>
        <w:ind w:firstLine="48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说明：上述证明文件在</w:t>
      </w:r>
      <w:r>
        <w:rPr>
          <w:rFonts w:hint="eastAsia" w:ascii="宋体" w:hAnsi="宋体"/>
          <w:b/>
          <w:color w:val="auto"/>
          <w:sz w:val="28"/>
          <w:szCs w:val="28"/>
          <w:highlight w:val="none"/>
          <w:lang w:val="en-US" w:eastAsia="zh-CN"/>
        </w:rPr>
        <w:t>响应</w:t>
      </w:r>
      <w:r>
        <w:rPr>
          <w:rFonts w:hint="eastAsia" w:ascii="宋体" w:hAnsi="宋体"/>
          <w:b/>
          <w:color w:val="auto"/>
          <w:sz w:val="28"/>
          <w:szCs w:val="28"/>
          <w:highlight w:val="none"/>
        </w:rPr>
        <w:t>文件中附有法定代表人身份证复印件（身份证两面均应复印）或护照复印件（供应商的法定代表人为外籍人士的，则提供护照复印件）时才能生效。</w:t>
      </w: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5"/>
        <w:pageBreakBefore w:val="0"/>
        <w:numPr>
          <w:ilvl w:val="2"/>
          <w:numId w:val="0"/>
        </w:numPr>
        <w:tabs>
          <w:tab w:val="left" w:pos="709"/>
        </w:tabs>
        <w:kinsoku/>
        <w:wordWrap/>
        <w:overflowPunct/>
        <w:topLinePunct w:val="0"/>
        <w:bidi w:val="0"/>
        <w:adjustRightInd w:val="0"/>
        <w:snapToGrid w:val="0"/>
        <w:spacing w:afterAutospacing="0" w:line="360" w:lineRule="auto"/>
        <w:ind w:leftChars="0" w:firstLine="482" w:firstLineChars="200"/>
        <w:rPr>
          <w:rFonts w:hint="eastAsia" w:ascii="宋体" w:hAnsi="宋体" w:eastAsia="宋体" w:cs="Times New Roman"/>
          <w:b/>
          <w:bCs/>
          <w:color w:val="auto"/>
          <w:kern w:val="2"/>
          <w:sz w:val="24"/>
          <w:szCs w:val="28"/>
          <w:highlight w:val="none"/>
          <w:lang w:val="en-US" w:eastAsia="zh-CN" w:bidi="ar-SA"/>
        </w:rPr>
      </w:pPr>
      <w:bookmarkStart w:id="85" w:name="_Toc7060"/>
      <w:r>
        <w:rPr>
          <w:rFonts w:hint="eastAsia" w:ascii="宋体" w:hAnsi="宋体" w:eastAsia="宋体" w:cs="Times New Roman"/>
          <w:b/>
          <w:bCs/>
          <w:color w:val="auto"/>
          <w:kern w:val="2"/>
          <w:sz w:val="24"/>
          <w:szCs w:val="28"/>
          <w:highlight w:val="none"/>
          <w:lang w:val="en-US" w:eastAsia="zh-CN" w:bidi="ar-SA"/>
        </w:rPr>
        <w:t>3.1.</w:t>
      </w:r>
      <w:r>
        <w:rPr>
          <w:rFonts w:hint="eastAsia" w:cs="Times New Roman"/>
          <w:b/>
          <w:bCs/>
          <w:color w:val="auto"/>
          <w:kern w:val="2"/>
          <w:sz w:val="24"/>
          <w:szCs w:val="28"/>
          <w:highlight w:val="none"/>
          <w:lang w:val="en-US" w:eastAsia="zh-CN" w:bidi="ar-SA"/>
        </w:rPr>
        <w:t>5</w:t>
      </w:r>
      <w:r>
        <w:rPr>
          <w:rFonts w:hint="eastAsia" w:ascii="宋体" w:hAnsi="宋体" w:eastAsia="宋体" w:cs="Times New Roman"/>
          <w:b/>
          <w:bCs/>
          <w:color w:val="auto"/>
          <w:kern w:val="2"/>
          <w:sz w:val="24"/>
          <w:szCs w:val="28"/>
          <w:highlight w:val="none"/>
          <w:lang w:val="en-US" w:eastAsia="zh-CN" w:bidi="ar-SA"/>
        </w:rPr>
        <w:t>供应商基本情况表</w:t>
      </w:r>
      <w:bookmarkEnd w:id="85"/>
    </w:p>
    <w:p>
      <w:pPr>
        <w:rPr>
          <w:rFonts w:hint="eastAsia"/>
          <w:lang w:val="en-US" w:eastAsia="zh-CN"/>
        </w:rPr>
      </w:pPr>
    </w:p>
    <w:tbl>
      <w:tblPr>
        <w:tblStyle w:val="20"/>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供应商名称</w:t>
            </w:r>
          </w:p>
        </w:tc>
        <w:tc>
          <w:tcPr>
            <w:tcW w:w="7006" w:type="dxa"/>
            <w:gridSpan w:val="8"/>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注册地址</w:t>
            </w:r>
          </w:p>
        </w:tc>
        <w:tc>
          <w:tcPr>
            <w:tcW w:w="3449" w:type="dxa"/>
            <w:gridSpan w:val="4"/>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318"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邮政编码</w:t>
            </w:r>
          </w:p>
        </w:tc>
        <w:tc>
          <w:tcPr>
            <w:tcW w:w="2239" w:type="dxa"/>
            <w:gridSpan w:val="3"/>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vMerge w:val="restart"/>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联系方式</w:t>
            </w:r>
          </w:p>
        </w:tc>
        <w:tc>
          <w:tcPr>
            <w:tcW w:w="978"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联系人</w:t>
            </w:r>
          </w:p>
        </w:tc>
        <w:tc>
          <w:tcPr>
            <w:tcW w:w="2463"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326"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电话</w:t>
            </w:r>
          </w:p>
        </w:tc>
        <w:tc>
          <w:tcPr>
            <w:tcW w:w="2239" w:type="dxa"/>
            <w:gridSpan w:val="3"/>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16" w:type="dxa"/>
            <w:vMerge w:val="continue"/>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978"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传真</w:t>
            </w:r>
          </w:p>
        </w:tc>
        <w:tc>
          <w:tcPr>
            <w:tcW w:w="2463"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326"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网址</w:t>
            </w:r>
          </w:p>
        </w:tc>
        <w:tc>
          <w:tcPr>
            <w:tcW w:w="2239" w:type="dxa"/>
            <w:gridSpan w:val="3"/>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单位性质</w:t>
            </w:r>
          </w:p>
        </w:tc>
        <w:tc>
          <w:tcPr>
            <w:tcW w:w="7006" w:type="dxa"/>
            <w:gridSpan w:val="8"/>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法定代表人</w:t>
            </w:r>
          </w:p>
        </w:tc>
        <w:tc>
          <w:tcPr>
            <w:tcW w:w="978"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姓名</w:t>
            </w:r>
          </w:p>
        </w:tc>
        <w:tc>
          <w:tcPr>
            <w:tcW w:w="1215"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248"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技术职称</w:t>
            </w:r>
          </w:p>
        </w:tc>
        <w:tc>
          <w:tcPr>
            <w:tcW w:w="1326"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172"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电话</w:t>
            </w:r>
          </w:p>
        </w:tc>
        <w:tc>
          <w:tcPr>
            <w:tcW w:w="1067"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trPr>
        <w:tc>
          <w:tcPr>
            <w:tcW w:w="1516" w:type="dxa"/>
            <w:tcBorders>
              <w:bottom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技术负责人</w:t>
            </w:r>
          </w:p>
        </w:tc>
        <w:tc>
          <w:tcPr>
            <w:tcW w:w="978" w:type="dxa"/>
            <w:tcBorders>
              <w:bottom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姓名</w:t>
            </w:r>
          </w:p>
        </w:tc>
        <w:tc>
          <w:tcPr>
            <w:tcW w:w="1215" w:type="dxa"/>
            <w:tcBorders>
              <w:bottom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248" w:type="dxa"/>
            <w:tcBorders>
              <w:bottom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技术职称</w:t>
            </w:r>
          </w:p>
        </w:tc>
        <w:tc>
          <w:tcPr>
            <w:tcW w:w="1326" w:type="dxa"/>
            <w:gridSpan w:val="2"/>
            <w:tcBorders>
              <w:bottom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172" w:type="dxa"/>
            <w:gridSpan w:val="2"/>
            <w:tcBorders>
              <w:bottom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电话</w:t>
            </w:r>
          </w:p>
        </w:tc>
        <w:tc>
          <w:tcPr>
            <w:tcW w:w="1067" w:type="dxa"/>
            <w:tcBorders>
              <w:bottom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1516" w:type="dxa"/>
            <w:tcBorders>
              <w:top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财务负责人</w:t>
            </w:r>
          </w:p>
        </w:tc>
        <w:tc>
          <w:tcPr>
            <w:tcW w:w="978" w:type="dxa"/>
            <w:tcBorders>
              <w:top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姓名</w:t>
            </w:r>
          </w:p>
        </w:tc>
        <w:tc>
          <w:tcPr>
            <w:tcW w:w="1215" w:type="dxa"/>
            <w:tcBorders>
              <w:top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248" w:type="dxa"/>
            <w:tcBorders>
              <w:top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技术职称</w:t>
            </w:r>
          </w:p>
        </w:tc>
        <w:tc>
          <w:tcPr>
            <w:tcW w:w="1326" w:type="dxa"/>
            <w:gridSpan w:val="2"/>
            <w:tcBorders>
              <w:top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172" w:type="dxa"/>
            <w:gridSpan w:val="2"/>
            <w:tcBorders>
              <w:top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电话</w:t>
            </w:r>
          </w:p>
        </w:tc>
        <w:tc>
          <w:tcPr>
            <w:tcW w:w="1067" w:type="dxa"/>
            <w:tcBorders>
              <w:top w:val="single" w:color="auto" w:sz="4" w:space="0"/>
            </w:tcBorders>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成立时间</w:t>
            </w:r>
          </w:p>
        </w:tc>
        <w:tc>
          <w:tcPr>
            <w:tcW w:w="2193"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4813" w:type="dxa"/>
            <w:gridSpan w:val="6"/>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企业资质等级</w:t>
            </w:r>
          </w:p>
        </w:tc>
        <w:tc>
          <w:tcPr>
            <w:tcW w:w="2193"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248" w:type="dxa"/>
            <w:vMerge w:val="restart"/>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其中</w:t>
            </w:r>
          </w:p>
        </w:tc>
        <w:tc>
          <w:tcPr>
            <w:tcW w:w="1486" w:type="dxa"/>
            <w:gridSpan w:val="3"/>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项目经理</w:t>
            </w:r>
          </w:p>
        </w:tc>
        <w:tc>
          <w:tcPr>
            <w:tcW w:w="2079"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营业执照号</w:t>
            </w:r>
          </w:p>
        </w:tc>
        <w:tc>
          <w:tcPr>
            <w:tcW w:w="2193"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248" w:type="dxa"/>
            <w:vMerge w:val="continue"/>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486" w:type="dxa"/>
            <w:gridSpan w:val="3"/>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高级职称人员</w:t>
            </w:r>
          </w:p>
        </w:tc>
        <w:tc>
          <w:tcPr>
            <w:tcW w:w="2079"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注册资金</w:t>
            </w:r>
          </w:p>
        </w:tc>
        <w:tc>
          <w:tcPr>
            <w:tcW w:w="2193"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248" w:type="dxa"/>
            <w:vMerge w:val="continue"/>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486" w:type="dxa"/>
            <w:gridSpan w:val="3"/>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中级职称人员</w:t>
            </w:r>
          </w:p>
        </w:tc>
        <w:tc>
          <w:tcPr>
            <w:tcW w:w="2079"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开户银行</w:t>
            </w:r>
          </w:p>
        </w:tc>
        <w:tc>
          <w:tcPr>
            <w:tcW w:w="2193"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248" w:type="dxa"/>
            <w:vMerge w:val="continue"/>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486" w:type="dxa"/>
            <w:gridSpan w:val="3"/>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初级职称人员</w:t>
            </w:r>
          </w:p>
        </w:tc>
        <w:tc>
          <w:tcPr>
            <w:tcW w:w="2079"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16" w:type="dxa"/>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账号</w:t>
            </w:r>
          </w:p>
        </w:tc>
        <w:tc>
          <w:tcPr>
            <w:tcW w:w="2193"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248" w:type="dxa"/>
            <w:vMerge w:val="continue"/>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c>
          <w:tcPr>
            <w:tcW w:w="1486" w:type="dxa"/>
            <w:gridSpan w:val="3"/>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技工</w:t>
            </w:r>
          </w:p>
        </w:tc>
        <w:tc>
          <w:tcPr>
            <w:tcW w:w="2079" w:type="dxa"/>
            <w:gridSpan w:val="2"/>
            <w:noWrap w:val="0"/>
            <w:vAlign w:val="bottom"/>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16" w:type="dxa"/>
            <w:noWrap w:val="0"/>
            <w:vAlign w:val="center"/>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经营范围</w:t>
            </w:r>
          </w:p>
        </w:tc>
        <w:tc>
          <w:tcPr>
            <w:tcW w:w="7006" w:type="dxa"/>
            <w:gridSpan w:val="8"/>
            <w:noWrap w:val="0"/>
            <w:vAlign w:val="center"/>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bCs/>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16" w:type="dxa"/>
            <w:noWrap w:val="0"/>
            <w:vAlign w:val="center"/>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r>
              <w:rPr>
                <w:rFonts w:hint="eastAsia" w:ascii="宋体" w:hAnsi="宋体"/>
                <w:color w:val="auto"/>
                <w:szCs w:val="21"/>
                <w:highlight w:val="none"/>
              </w:rPr>
              <w:t>备注</w:t>
            </w:r>
          </w:p>
        </w:tc>
        <w:tc>
          <w:tcPr>
            <w:tcW w:w="7006" w:type="dxa"/>
            <w:gridSpan w:val="8"/>
            <w:noWrap w:val="0"/>
            <w:vAlign w:val="center"/>
          </w:tcPr>
          <w:p>
            <w:pPr>
              <w:pStyle w:val="57"/>
              <w:keepNext w:val="0"/>
              <w:keepLines w:val="0"/>
              <w:pageBreakBefore w:val="0"/>
              <w:widowControl w:val="0"/>
              <w:kinsoku/>
              <w:wordWrap/>
              <w:overflowPunct/>
              <w:topLinePunct w:val="0"/>
              <w:autoSpaceDE w:val="0"/>
              <w:autoSpaceDN w:val="0"/>
              <w:bidi w:val="0"/>
              <w:adjustRightInd w:val="0"/>
              <w:snapToGrid w:val="0"/>
              <w:spacing w:afterAutospacing="0" w:line="360" w:lineRule="auto"/>
              <w:ind w:firstLine="0" w:firstLineChars="0"/>
              <w:jc w:val="center"/>
              <w:textAlignment w:val="center"/>
              <w:rPr>
                <w:rFonts w:ascii="宋体" w:hAnsi="宋体"/>
                <w:color w:val="auto"/>
                <w:szCs w:val="21"/>
                <w:highlight w:val="none"/>
              </w:rPr>
            </w:pPr>
          </w:p>
        </w:tc>
      </w:tr>
    </w:tbl>
    <w:p>
      <w:pPr>
        <w:pStyle w:val="57"/>
        <w:pageBreakBefore w:val="0"/>
        <w:kinsoku/>
        <w:wordWrap/>
        <w:overflowPunct/>
        <w:topLinePunct w:val="0"/>
        <w:bidi w:val="0"/>
        <w:adjustRightInd w:val="0"/>
        <w:snapToGrid w:val="0"/>
        <w:spacing w:afterAutospacing="0" w:line="360" w:lineRule="auto"/>
        <w:ind w:firstLine="560" w:firstLineChars="200"/>
        <w:rPr>
          <w:rFonts w:ascii="宋体" w:hAnsi="宋体"/>
          <w:bCs/>
          <w:color w:val="auto"/>
          <w:sz w:val="28"/>
          <w:szCs w:val="28"/>
          <w:highlight w:val="none"/>
        </w:rPr>
      </w:pP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none"/>
          <w:lang w:val="zh-CN" w:eastAsia="zh-CN" w:bidi="ar-SA"/>
        </w:rPr>
      </w:pP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none"/>
          <w:lang w:val="zh-CN" w:eastAsia="zh-CN" w:bidi="ar-SA"/>
        </w:rPr>
      </w:pP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bidi w:val="0"/>
        <w:jc w:val="right"/>
        <w:rPr>
          <w:rFonts w:hint="default"/>
          <w:sz w:val="28"/>
          <w:szCs w:val="28"/>
          <w:lang w:val="en-US" w:eastAsia="zh-CN"/>
        </w:rPr>
      </w:pPr>
      <w:bookmarkStart w:id="86" w:name="_Toc3511"/>
      <w:bookmarkStart w:id="87" w:name="_Toc18064"/>
      <w:r>
        <w:rPr>
          <w:rFonts w:hint="eastAsia"/>
          <w:sz w:val="28"/>
          <w:szCs w:val="28"/>
          <w:lang w:val="zh-CN" w:eastAsia="zh-CN"/>
        </w:rPr>
        <w:t>日      期：</w:t>
      </w:r>
      <w:r>
        <w:rPr>
          <w:rFonts w:hint="eastAsia"/>
          <w:sz w:val="28"/>
          <w:szCs w:val="28"/>
          <w:u w:val="single"/>
          <w:lang w:val="zh-CN" w:eastAsia="zh-CN"/>
        </w:rPr>
        <w:t>　　年</w:t>
      </w:r>
      <w:r>
        <w:rPr>
          <w:rFonts w:hint="eastAsia"/>
          <w:sz w:val="28"/>
          <w:szCs w:val="28"/>
          <w:u w:val="single"/>
          <w:lang w:val="en-US" w:eastAsia="zh-CN"/>
        </w:rPr>
        <w:t xml:space="preserve"> </w:t>
      </w:r>
      <w:r>
        <w:rPr>
          <w:rFonts w:hint="eastAsia"/>
          <w:sz w:val="28"/>
          <w:szCs w:val="28"/>
          <w:u w:val="single"/>
          <w:lang w:val="zh-CN" w:eastAsia="zh-CN"/>
        </w:rPr>
        <w:t>　　月　　</w:t>
      </w:r>
      <w:r>
        <w:rPr>
          <w:rFonts w:hint="eastAsia"/>
          <w:sz w:val="28"/>
          <w:szCs w:val="28"/>
          <w:u w:val="single"/>
          <w:lang w:val="en-US" w:eastAsia="zh-CN"/>
        </w:rPr>
        <w:t xml:space="preserve"> </w:t>
      </w:r>
      <w:r>
        <w:rPr>
          <w:rFonts w:hint="eastAsia"/>
          <w:sz w:val="28"/>
          <w:szCs w:val="28"/>
          <w:u w:val="single"/>
          <w:lang w:val="zh-CN" w:eastAsia="zh-CN"/>
        </w:rPr>
        <w:t>日</w:t>
      </w:r>
      <w:bookmarkEnd w:id="86"/>
      <w:bookmarkEnd w:id="87"/>
      <w:r>
        <w:rPr>
          <w:rFonts w:hint="eastAsia"/>
          <w:sz w:val="28"/>
          <w:szCs w:val="28"/>
          <w:u w:val="single"/>
          <w:lang w:val="en-US" w:eastAsia="zh-CN"/>
        </w:rPr>
        <w:t xml:space="preserve"> </w:t>
      </w:r>
      <w:r>
        <w:rPr>
          <w:rFonts w:hint="eastAsia"/>
          <w:sz w:val="28"/>
          <w:szCs w:val="28"/>
          <w:lang w:val="en-US" w:eastAsia="zh-CN"/>
        </w:rPr>
        <w:t xml:space="preserve"> </w:t>
      </w:r>
    </w:p>
    <w:p>
      <w:pPr>
        <w:bidi w:val="0"/>
        <w:rPr>
          <w:rFonts w:hint="eastAsia"/>
          <w:lang w:val="en-US" w:eastAsia="zh-CN"/>
        </w:rPr>
      </w:pPr>
    </w:p>
    <w:p>
      <w:pPr>
        <w:pStyle w:val="5"/>
        <w:pageBreakBefore w:val="0"/>
        <w:numPr>
          <w:ilvl w:val="2"/>
          <w:numId w:val="0"/>
        </w:numPr>
        <w:tabs>
          <w:tab w:val="left" w:pos="709"/>
        </w:tabs>
        <w:kinsoku/>
        <w:wordWrap/>
        <w:overflowPunct/>
        <w:topLinePunct w:val="0"/>
        <w:bidi w:val="0"/>
        <w:adjustRightInd w:val="0"/>
        <w:snapToGrid w:val="0"/>
        <w:spacing w:afterAutospacing="0" w:line="360" w:lineRule="auto"/>
        <w:ind w:leftChars="0" w:firstLine="482" w:firstLineChars="200"/>
        <w:rPr>
          <w:rFonts w:hint="eastAsia" w:ascii="宋体" w:hAnsi="宋体" w:eastAsia="宋体" w:cs="Times New Roman"/>
          <w:b/>
          <w:bCs/>
          <w:color w:val="auto"/>
          <w:kern w:val="2"/>
          <w:sz w:val="24"/>
          <w:szCs w:val="28"/>
          <w:highlight w:val="none"/>
          <w:lang w:val="en-US" w:eastAsia="zh-CN" w:bidi="ar-SA"/>
        </w:rPr>
      </w:pPr>
      <w:bookmarkStart w:id="88" w:name="_Toc5271"/>
      <w:r>
        <w:rPr>
          <w:rFonts w:hint="eastAsia" w:ascii="宋体" w:hAnsi="宋体" w:eastAsia="宋体" w:cs="Times New Roman"/>
          <w:b/>
          <w:bCs/>
          <w:color w:val="auto"/>
          <w:kern w:val="2"/>
          <w:sz w:val="24"/>
          <w:szCs w:val="28"/>
          <w:highlight w:val="none"/>
          <w:lang w:val="en-US" w:eastAsia="zh-CN" w:bidi="ar-SA"/>
        </w:rPr>
        <w:t>3.1.</w:t>
      </w:r>
      <w:r>
        <w:rPr>
          <w:rFonts w:hint="eastAsia" w:cs="Times New Roman"/>
          <w:b/>
          <w:bCs/>
          <w:color w:val="auto"/>
          <w:kern w:val="2"/>
          <w:sz w:val="24"/>
          <w:szCs w:val="28"/>
          <w:highlight w:val="none"/>
          <w:lang w:val="en-US" w:eastAsia="zh-CN" w:bidi="ar-SA"/>
        </w:rPr>
        <w:t>6</w:t>
      </w:r>
      <w:r>
        <w:rPr>
          <w:rFonts w:hint="eastAsia" w:ascii="宋体" w:hAnsi="宋体" w:eastAsia="宋体" w:cs="Times New Roman"/>
          <w:b/>
          <w:bCs/>
          <w:color w:val="auto"/>
          <w:kern w:val="2"/>
          <w:sz w:val="24"/>
          <w:szCs w:val="28"/>
          <w:highlight w:val="none"/>
          <w:lang w:val="en-US" w:eastAsia="zh-CN" w:bidi="ar-SA"/>
        </w:rPr>
        <w:t>供应商应提供的相关资格证明材料</w:t>
      </w:r>
      <w:bookmarkEnd w:id="88"/>
    </w:p>
    <w:p>
      <w:pPr>
        <w:pStyle w:val="26"/>
        <w:pageBreakBefore w:val="0"/>
        <w:kinsoku/>
        <w:wordWrap/>
        <w:overflowPunct/>
        <w:topLinePunct w:val="0"/>
        <w:bidi w:val="0"/>
        <w:adjustRightInd w:val="0"/>
        <w:snapToGrid w:val="0"/>
        <w:spacing w:afterAutospacing="0" w:line="360" w:lineRule="auto"/>
        <w:ind w:firstLine="480" w:firstLineChars="200"/>
        <w:rPr>
          <w:rFonts w:hint="eastAsia"/>
          <w:b w:val="0"/>
          <w:bCs w:val="0"/>
          <w:color w:val="auto"/>
          <w:kern w:val="10"/>
          <w:sz w:val="24"/>
          <w:szCs w:val="20"/>
          <w:highlight w:val="none"/>
          <w:lang w:eastAsia="zh-CN"/>
        </w:rPr>
      </w:pP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（一）</w:t>
      </w:r>
      <w:r>
        <w:rPr>
          <w:rFonts w:hint="eastAsia" w:ascii="宋体" w:hAnsi="宋体"/>
          <w:b w:val="0"/>
          <w:bCs w:val="0"/>
          <w:color w:val="auto"/>
          <w:kern w:val="10"/>
          <w:sz w:val="24"/>
          <w:szCs w:val="20"/>
          <w:highlight w:val="none"/>
        </w:rPr>
        <w:t>营业执照复印件（正本或副本）或法人证书复印件（正本或副本）；</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（二）</w:t>
      </w:r>
      <w:r>
        <w:rPr>
          <w:rFonts w:hint="eastAsia" w:ascii="宋体" w:hAnsi="宋体"/>
          <w:b w:val="0"/>
          <w:bCs w:val="0"/>
          <w:color w:val="auto"/>
          <w:kern w:val="10"/>
          <w:sz w:val="24"/>
          <w:szCs w:val="20"/>
          <w:highlight w:val="none"/>
        </w:rPr>
        <w:t>2019或2020会计年度资产负债表复印件（说明：</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成立时间至递交</w:t>
      </w:r>
      <w:r>
        <w:rPr>
          <w:rFonts w:hint="eastAsia"/>
          <w:b w:val="0"/>
          <w:bCs w:val="0"/>
          <w:color w:val="auto"/>
          <w:kern w:val="10"/>
          <w:sz w:val="24"/>
          <w:szCs w:val="20"/>
          <w:highlight w:val="none"/>
          <w:lang w:eastAsia="zh-CN"/>
        </w:rPr>
        <w:t>响应</w:t>
      </w:r>
      <w:r>
        <w:rPr>
          <w:rFonts w:hint="eastAsia" w:ascii="宋体" w:hAnsi="宋体"/>
          <w:b w:val="0"/>
          <w:bCs w:val="0"/>
          <w:color w:val="auto"/>
          <w:kern w:val="10"/>
          <w:sz w:val="24"/>
          <w:szCs w:val="20"/>
          <w:highlight w:val="none"/>
        </w:rPr>
        <w:t>文件截止时间止不足一年的，提供成立后任意时段的资产负债表复印件）；</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（三）供应商</w:t>
      </w:r>
      <w:r>
        <w:rPr>
          <w:rFonts w:hint="eastAsia" w:ascii="宋体" w:hAnsi="宋体"/>
          <w:b w:val="0"/>
          <w:bCs w:val="0"/>
          <w:color w:val="auto"/>
          <w:kern w:val="10"/>
          <w:sz w:val="24"/>
          <w:szCs w:val="20"/>
          <w:highlight w:val="none"/>
        </w:rPr>
        <w:t>缴纳2020或2021年任意时段的税收的银行电子回单或者行政部门出具的纳税证明或完税证明复印件；</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（四）</w:t>
      </w:r>
      <w:r>
        <w:rPr>
          <w:rFonts w:hint="eastAsia" w:ascii="宋体" w:hAnsi="宋体"/>
          <w:b w:val="0"/>
          <w:bCs w:val="0"/>
          <w:color w:val="auto"/>
          <w:kern w:val="10"/>
          <w:sz w:val="24"/>
          <w:szCs w:val="20"/>
          <w:highlight w:val="none"/>
        </w:rPr>
        <w:t>采购人对</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履行合同所必须的设备和专业技术能力无其他特殊要求，</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具有有效的营业执照或法人证书即可，可不提供其他证明材料；</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b w:val="0"/>
          <w:bCs w:val="0"/>
          <w:color w:val="auto"/>
          <w:kern w:val="10"/>
          <w:sz w:val="24"/>
          <w:szCs w:val="20"/>
          <w:highlight w:val="none"/>
        </w:rPr>
      </w:pPr>
      <w:r>
        <w:rPr>
          <w:rFonts w:hint="eastAsia"/>
          <w:b w:val="0"/>
          <w:bCs w:val="0"/>
          <w:color w:val="auto"/>
          <w:kern w:val="10"/>
          <w:sz w:val="24"/>
          <w:szCs w:val="20"/>
          <w:highlight w:val="none"/>
          <w:lang w:eastAsia="zh-CN"/>
        </w:rPr>
        <w:t>（五）供应商</w:t>
      </w:r>
      <w:r>
        <w:rPr>
          <w:rFonts w:hint="eastAsia" w:ascii="宋体" w:hAnsi="宋体"/>
          <w:b w:val="0"/>
          <w:bCs w:val="0"/>
          <w:color w:val="auto"/>
          <w:kern w:val="10"/>
          <w:sz w:val="24"/>
          <w:szCs w:val="20"/>
          <w:highlight w:val="none"/>
        </w:rPr>
        <w:t>缴纳2020或2021年任意时段的社保的银行电子回单或行政部门出具的社保缴纳证明材料复印件；</w:t>
      </w:r>
    </w:p>
    <w:p>
      <w:pPr>
        <w:pStyle w:val="26"/>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b w:val="0"/>
          <w:bCs w:val="0"/>
          <w:color w:val="auto"/>
          <w:kern w:val="10"/>
          <w:sz w:val="24"/>
          <w:szCs w:val="20"/>
          <w:highlight w:val="none"/>
          <w:lang w:eastAsia="zh-CN"/>
        </w:rPr>
      </w:pPr>
      <w:r>
        <w:rPr>
          <w:rFonts w:hint="eastAsia"/>
          <w:b w:val="0"/>
          <w:bCs w:val="0"/>
          <w:color w:val="auto"/>
          <w:kern w:val="10"/>
          <w:sz w:val="24"/>
          <w:szCs w:val="20"/>
          <w:highlight w:val="none"/>
          <w:lang w:eastAsia="zh-CN"/>
        </w:rPr>
        <w:t>（六）</w:t>
      </w:r>
      <w:r>
        <w:rPr>
          <w:rFonts w:hint="eastAsia" w:ascii="宋体" w:hAnsi="宋体"/>
          <w:b w:val="0"/>
          <w:bCs w:val="0"/>
          <w:color w:val="auto"/>
          <w:kern w:val="10"/>
          <w:sz w:val="24"/>
          <w:szCs w:val="20"/>
          <w:highlight w:val="none"/>
        </w:rPr>
        <w:t>采购人对法律、行政法规规定的其他条件无其他特殊要求，</w:t>
      </w:r>
      <w:r>
        <w:rPr>
          <w:rFonts w:hint="eastAsia"/>
          <w:b w:val="0"/>
          <w:bCs w:val="0"/>
          <w:color w:val="auto"/>
          <w:kern w:val="10"/>
          <w:sz w:val="24"/>
          <w:szCs w:val="20"/>
          <w:highlight w:val="none"/>
          <w:lang w:eastAsia="zh-CN"/>
        </w:rPr>
        <w:t>供应商</w:t>
      </w:r>
      <w:r>
        <w:rPr>
          <w:rFonts w:hint="eastAsia" w:ascii="宋体" w:hAnsi="宋体"/>
          <w:b w:val="0"/>
          <w:bCs w:val="0"/>
          <w:color w:val="auto"/>
          <w:kern w:val="10"/>
          <w:sz w:val="24"/>
          <w:szCs w:val="20"/>
          <w:highlight w:val="none"/>
        </w:rPr>
        <w:t>具有有效的营业执照或法人证书即可，可不提供其他证明材料</w:t>
      </w:r>
      <w:r>
        <w:rPr>
          <w:rFonts w:hint="eastAsia"/>
          <w:b w:val="0"/>
          <w:bCs w:val="0"/>
          <w:color w:val="auto"/>
          <w:kern w:val="10"/>
          <w:sz w:val="24"/>
          <w:szCs w:val="20"/>
          <w:highlight w:val="none"/>
          <w:lang w:eastAsia="zh-CN"/>
        </w:rPr>
        <w:t>；</w:t>
      </w: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4"/>
        <w:rPr>
          <w:rFonts w:hint="eastAsia"/>
          <w:lang w:val="en-US" w:eastAsia="zh-CN"/>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5"/>
        <w:pageBreakBefore w:val="0"/>
        <w:kinsoku/>
        <w:wordWrap/>
        <w:overflowPunct/>
        <w:topLinePunct w:val="0"/>
        <w:bidi w:val="0"/>
        <w:adjustRightInd w:val="0"/>
        <w:snapToGrid w:val="0"/>
        <w:spacing w:after="0" w:afterAutospacing="0" w:line="360" w:lineRule="auto"/>
        <w:ind w:firstLine="562" w:firstLineChars="200"/>
        <w:rPr>
          <w:rFonts w:hint="eastAsia" w:ascii="宋体" w:hAnsi="宋体" w:eastAsia="宋体" w:cs="Times New Roman"/>
          <w:b/>
          <w:bCs/>
          <w:color w:val="auto"/>
          <w:kern w:val="2"/>
          <w:sz w:val="28"/>
          <w:szCs w:val="28"/>
          <w:highlight w:val="none"/>
          <w:lang w:val="en-US" w:eastAsia="zh-CN" w:bidi="ar-SA"/>
        </w:rPr>
      </w:pPr>
    </w:p>
    <w:p>
      <w:pPr>
        <w:pStyle w:val="54"/>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val="en-US" w:eastAsia="zh-CN"/>
        </w:rPr>
      </w:pPr>
    </w:p>
    <w:p>
      <w:pPr>
        <w:pStyle w:val="4"/>
        <w:keepNext/>
        <w:keepLines/>
        <w:pageBreakBefore w:val="0"/>
        <w:widowControl w:val="0"/>
        <w:numPr>
          <w:ilvl w:val="1"/>
          <w:numId w:val="0"/>
        </w:numPr>
        <w:kinsoku/>
        <w:wordWrap/>
        <w:overflowPunct/>
        <w:topLinePunct w:val="0"/>
        <w:autoSpaceDE/>
        <w:autoSpaceDN/>
        <w:bidi w:val="0"/>
        <w:adjustRightInd/>
        <w:snapToGrid/>
        <w:textAlignment w:val="auto"/>
        <w:rPr>
          <w:rFonts w:hint="eastAsia"/>
          <w:lang w:val="en-US" w:eastAsia="zh-CN"/>
        </w:rPr>
      </w:pPr>
      <w:bookmarkStart w:id="89" w:name="_Toc22087"/>
      <w:r>
        <w:rPr>
          <w:rFonts w:hint="eastAsia"/>
          <w:lang w:val="en-US" w:eastAsia="zh-CN"/>
        </w:rPr>
        <w:t>3.2技术、服务性响应文件格式</w:t>
      </w:r>
      <w:bookmarkEnd w:id="89"/>
    </w:p>
    <w:p>
      <w:pPr>
        <w:pStyle w:val="5"/>
        <w:pageBreakBefore w:val="0"/>
        <w:numPr>
          <w:ilvl w:val="2"/>
          <w:numId w:val="0"/>
        </w:numPr>
        <w:tabs>
          <w:tab w:val="left" w:pos="709"/>
        </w:tabs>
        <w:kinsoku/>
        <w:wordWrap/>
        <w:overflowPunct/>
        <w:topLinePunct w:val="0"/>
        <w:bidi w:val="0"/>
        <w:adjustRightInd w:val="0"/>
        <w:snapToGrid w:val="0"/>
        <w:spacing w:afterAutospacing="0" w:line="360" w:lineRule="auto"/>
        <w:ind w:leftChars="0" w:firstLine="482" w:firstLineChars="200"/>
        <w:jc w:val="left"/>
        <w:rPr>
          <w:color w:val="auto"/>
          <w:highlight w:val="none"/>
        </w:rPr>
      </w:pPr>
      <w:bookmarkStart w:id="90" w:name="_Toc18747"/>
      <w:r>
        <w:rPr>
          <w:rFonts w:hint="eastAsia"/>
          <w:color w:val="auto"/>
          <w:highlight w:val="none"/>
          <w:lang w:val="en-US" w:eastAsia="zh-CN"/>
        </w:rPr>
        <w:t>3.2.1</w:t>
      </w:r>
      <w:r>
        <w:rPr>
          <w:rFonts w:hint="eastAsia"/>
          <w:color w:val="auto"/>
          <w:highlight w:val="none"/>
        </w:rPr>
        <w:t>技术、服务性响应文件封面格式</w:t>
      </w:r>
      <w:bookmarkEnd w:id="90"/>
    </w:p>
    <w:p>
      <w:pPr>
        <w:pageBreakBefore w:val="0"/>
        <w:kinsoku/>
        <w:wordWrap/>
        <w:overflowPunct/>
        <w:topLinePunct w:val="0"/>
        <w:bidi w:val="0"/>
        <w:adjustRightInd w:val="0"/>
        <w:snapToGrid w:val="0"/>
        <w:spacing w:afterAutospacing="0" w:line="360" w:lineRule="auto"/>
        <w:ind w:firstLine="2232" w:firstLineChars="200"/>
        <w:jc w:val="center"/>
        <w:rPr>
          <w:rFonts w:ascii="宋体" w:hAnsi="宋体"/>
          <w:color w:val="auto"/>
          <w:spacing w:val="78"/>
          <w:sz w:val="96"/>
          <w:szCs w:val="120"/>
          <w:highlight w:val="none"/>
        </w:rPr>
      </w:pPr>
    </w:p>
    <w:p>
      <w:pPr>
        <w:pageBreakBefore w:val="0"/>
        <w:kinsoku/>
        <w:wordWrap/>
        <w:overflowPunct/>
        <w:topLinePunct w:val="0"/>
        <w:bidi w:val="0"/>
        <w:adjustRightInd w:val="0"/>
        <w:snapToGrid w:val="0"/>
        <w:spacing w:afterAutospacing="0" w:line="360" w:lineRule="auto"/>
        <w:ind w:firstLine="2232" w:firstLineChars="200"/>
        <w:jc w:val="center"/>
        <w:rPr>
          <w:rFonts w:ascii="宋体" w:hAnsi="宋体"/>
          <w:color w:val="auto"/>
          <w:spacing w:val="78"/>
          <w:sz w:val="96"/>
          <w:szCs w:val="120"/>
          <w:highlight w:val="none"/>
        </w:rPr>
      </w:pPr>
    </w:p>
    <w:p>
      <w:pPr>
        <w:pageBreakBefore w:val="0"/>
        <w:kinsoku/>
        <w:wordWrap/>
        <w:overflowPunct/>
        <w:topLinePunct w:val="0"/>
        <w:bidi w:val="0"/>
        <w:adjustRightInd w:val="0"/>
        <w:snapToGrid w:val="0"/>
        <w:spacing w:afterAutospacing="0" w:line="360" w:lineRule="auto"/>
        <w:ind w:firstLine="1432" w:firstLineChars="200"/>
        <w:jc w:val="center"/>
        <w:rPr>
          <w:rFonts w:ascii="宋体" w:hAnsi="宋体"/>
          <w:color w:val="auto"/>
          <w:spacing w:val="78"/>
          <w:sz w:val="96"/>
          <w:szCs w:val="120"/>
          <w:highlight w:val="none"/>
        </w:rPr>
      </w:pPr>
      <w:r>
        <w:rPr>
          <w:rFonts w:hint="eastAsia" w:ascii="宋体" w:hAnsi="宋体"/>
          <w:color w:val="auto"/>
          <w:spacing w:val="78"/>
          <w:sz w:val="56"/>
          <w:szCs w:val="120"/>
          <w:highlight w:val="none"/>
        </w:rPr>
        <w:t>技术、服务性响应文件</w:t>
      </w: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720" w:firstLineChars="200"/>
        <w:jc w:val="center"/>
        <w:rPr>
          <w:rFonts w:ascii="宋体" w:hAnsi="宋体"/>
          <w:bCs/>
          <w:color w:val="auto"/>
          <w:sz w:val="36"/>
          <w:highlight w:val="none"/>
        </w:rPr>
      </w:pPr>
    </w:p>
    <w:p>
      <w:pPr>
        <w:pageBreakBefore w:val="0"/>
        <w:kinsoku/>
        <w:wordWrap/>
        <w:overflowPunct/>
        <w:topLinePunct w:val="0"/>
        <w:bidi w:val="0"/>
        <w:adjustRightInd w:val="0"/>
        <w:snapToGrid w:val="0"/>
        <w:spacing w:afterAutospacing="0" w:line="360" w:lineRule="auto"/>
        <w:ind w:firstLine="720" w:firstLineChars="200"/>
        <w:jc w:val="both"/>
        <w:rPr>
          <w:rFonts w:ascii="宋体" w:hAnsi="宋体"/>
          <w:bCs/>
          <w:color w:val="auto"/>
          <w:sz w:val="36"/>
          <w:highlight w:val="none"/>
        </w:rPr>
      </w:pP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成都市温江区第二中学校多功能报告厅音视频系统</w:t>
      </w:r>
    </w:p>
    <w:p>
      <w:pPr>
        <w:pageBreakBefore w:val="0"/>
        <w:kinsoku/>
        <w:wordWrap/>
        <w:overflowPunct/>
        <w:topLinePunct w:val="0"/>
        <w:bidi w:val="0"/>
        <w:adjustRightInd w:val="0"/>
        <w:snapToGrid w:val="0"/>
        <w:spacing w:afterAutospacing="0" w:line="360" w:lineRule="auto"/>
        <w:ind w:right="-832" w:rightChars="-297" w:firstLine="1968" w:firstLineChars="700"/>
        <w:rPr>
          <w:rFonts w:hint="eastAsia" w:ascii="宋体" w:hAnsi="宋体" w:eastAsia="宋体"/>
          <w:b/>
          <w:color w:val="auto"/>
          <w:sz w:val="28"/>
          <w:highlight w:val="none"/>
          <w:u w:val="single"/>
          <w:lang w:eastAsia="zh-CN"/>
        </w:rPr>
      </w:pPr>
      <w:r>
        <w:rPr>
          <w:rFonts w:hint="eastAsia"/>
          <w:b/>
          <w:color w:val="auto"/>
          <w:sz w:val="28"/>
          <w:highlight w:val="none"/>
          <w:u w:val="single"/>
          <w:lang w:eastAsia="zh-CN"/>
        </w:rPr>
        <w:t>建设改造项目</w:t>
      </w: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cs="Times New Roman"/>
          <w:b/>
          <w:bCs/>
          <w:color w:val="auto"/>
          <w:kern w:val="2"/>
          <w:sz w:val="28"/>
          <w:szCs w:val="28"/>
          <w:highlight w:val="none"/>
          <w:u w:val="single"/>
          <w:lang w:val="en-US" w:eastAsia="zh-CN" w:bidi="ar-SA"/>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温江政采（2021）A0062号</w:t>
      </w:r>
    </w:p>
    <w:p/>
    <w:p>
      <w:pPr>
        <w:bidi w:val="0"/>
      </w:pP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none"/>
          <w:lang w:val="en-US" w:eastAsia="zh-CN" w:bidi="ar-SA"/>
        </w:rPr>
        <w:t xml:space="preserve"> </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pageBreakBefore w:val="0"/>
        <w:kinsoku/>
        <w:wordWrap w:val="0"/>
        <w:overflowPunct/>
        <w:topLinePunct w:val="0"/>
        <w:bidi w:val="0"/>
        <w:adjustRightInd w:val="0"/>
        <w:snapToGrid w:val="0"/>
        <w:spacing w:afterAutospacing="0" w:line="360" w:lineRule="auto"/>
        <w:ind w:firstLine="560" w:firstLineChars="200"/>
        <w:jc w:val="right"/>
        <w:rPr>
          <w:rFonts w:hint="default" w:ascii="宋体" w:hAnsi="宋体" w:eastAsia="宋体" w:cs="宋体"/>
          <w:color w:val="auto"/>
          <w:kern w:val="2"/>
          <w:sz w:val="28"/>
          <w:szCs w:val="22"/>
          <w:highlight w:val="none"/>
          <w:u w:val="single"/>
          <w:lang w:val="en-US"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r>
        <w:rPr>
          <w:rFonts w:hint="eastAsia" w:cs="宋体"/>
          <w:color w:val="auto"/>
          <w:kern w:val="2"/>
          <w:sz w:val="28"/>
          <w:szCs w:val="22"/>
          <w:highlight w:val="none"/>
          <w:u w:val="single"/>
          <w:lang w:val="en-US" w:eastAsia="zh-CN" w:bidi="ar-SA"/>
        </w:rPr>
        <w:t xml:space="preserve">  </w:t>
      </w:r>
    </w:p>
    <w:p>
      <w:pPr>
        <w:bidi w:val="0"/>
      </w:pPr>
    </w:p>
    <w:p>
      <w:pPr>
        <w:pStyle w:val="5"/>
        <w:pageBreakBefore w:val="0"/>
        <w:numPr>
          <w:ilvl w:val="2"/>
          <w:numId w:val="0"/>
        </w:numPr>
        <w:tabs>
          <w:tab w:val="left" w:pos="709"/>
        </w:tabs>
        <w:kinsoku/>
        <w:wordWrap/>
        <w:overflowPunct/>
        <w:topLinePunct w:val="0"/>
        <w:bidi w:val="0"/>
        <w:adjustRightInd w:val="0"/>
        <w:snapToGrid w:val="0"/>
        <w:spacing w:afterAutospacing="0" w:line="360" w:lineRule="auto"/>
        <w:ind w:leftChars="0" w:firstLine="482" w:firstLineChars="200"/>
        <w:jc w:val="left"/>
        <w:rPr>
          <w:rFonts w:hint="eastAsia" w:ascii="宋体" w:hAnsi="宋体" w:eastAsia="宋体"/>
          <w:color w:val="auto"/>
          <w:highlight w:val="none"/>
          <w:lang w:val="en-US" w:eastAsia="zh-CN"/>
        </w:rPr>
      </w:pPr>
      <w:bookmarkStart w:id="91" w:name="_Toc19911"/>
      <w:r>
        <w:rPr>
          <w:rFonts w:hint="eastAsia" w:ascii="宋体" w:hAnsi="宋体" w:eastAsia="宋体"/>
          <w:color w:val="auto"/>
          <w:highlight w:val="none"/>
          <w:lang w:val="en-US" w:eastAsia="zh-CN"/>
        </w:rPr>
        <w:t>3.2.2报价表</w:t>
      </w:r>
      <w:bookmarkEnd w:id="91"/>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成都市温江区第二中学校多功能报告厅音视频系统建设改造项目</w:t>
      </w: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cs="Times New Roman"/>
          <w:b/>
          <w:bCs/>
          <w:color w:val="auto"/>
          <w:kern w:val="2"/>
          <w:sz w:val="28"/>
          <w:szCs w:val="28"/>
          <w:highlight w:val="none"/>
          <w:u w:val="single"/>
          <w:lang w:val="en-US" w:eastAsia="zh-CN" w:bidi="ar-SA"/>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温江政采（2021）A0062号</w:t>
      </w:r>
    </w:p>
    <w:p>
      <w:pPr>
        <w:pStyle w:val="45"/>
        <w:pageBreakBefore w:val="0"/>
        <w:kinsoku/>
        <w:wordWrap/>
        <w:overflowPunct/>
        <w:topLinePunct w:val="0"/>
        <w:bidi w:val="0"/>
        <w:adjustRightInd w:val="0"/>
        <w:snapToGrid w:val="0"/>
        <w:spacing w:afterAutospacing="0" w:line="360" w:lineRule="auto"/>
        <w:ind w:left="0" w:leftChars="0" w:firstLine="562" w:firstLineChars="200"/>
        <w:rPr>
          <w:rFonts w:hint="default" w:ascii="宋体" w:hAnsi="宋体"/>
          <w:b/>
          <w:color w:val="auto"/>
          <w:sz w:val="28"/>
          <w:highlight w:val="none"/>
          <w:u w:val="single"/>
          <w:lang w:val="en-US" w:eastAsia="zh-CN"/>
        </w:rPr>
      </w:pPr>
    </w:p>
    <w:p>
      <w:pPr>
        <w:pStyle w:val="45"/>
        <w:pageBreakBefore w:val="0"/>
        <w:kinsoku/>
        <w:wordWrap/>
        <w:overflowPunct/>
        <w:topLinePunct w:val="0"/>
        <w:bidi w:val="0"/>
        <w:adjustRightInd w:val="0"/>
        <w:snapToGrid w:val="0"/>
        <w:spacing w:afterAutospacing="0" w:line="360" w:lineRule="auto"/>
        <w:ind w:left="0" w:leftChars="0" w:firstLine="562" w:firstLineChars="200"/>
        <w:rPr>
          <w:rFonts w:hint="default" w:ascii="宋体" w:hAnsi="宋体"/>
          <w:b/>
          <w:color w:val="auto"/>
          <w:sz w:val="28"/>
          <w:highlight w:val="none"/>
          <w:u w:val="single"/>
          <w:lang w:val="en-US" w:eastAsia="zh-CN"/>
        </w:rPr>
      </w:pPr>
    </w:p>
    <w:tbl>
      <w:tblPr>
        <w:tblStyle w:val="2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pageBreakBefore w:val="0"/>
              <w:tabs>
                <w:tab w:val="left" w:pos="1134"/>
              </w:tabs>
              <w:kinsoku/>
              <w:wordWrap/>
              <w:overflowPunct/>
              <w:topLinePunct w:val="0"/>
              <w:bidi w:val="0"/>
              <w:adjustRightInd w:val="0"/>
              <w:snapToGrid w:val="0"/>
              <w:spacing w:afterAutospacing="0" w:line="360" w:lineRule="auto"/>
              <w:ind w:firstLine="560" w:firstLineChars="200"/>
              <w:jc w:val="center"/>
              <w:rPr>
                <w:rFonts w:ascii="宋体" w:hAnsi="宋体"/>
                <w:color w:val="auto"/>
                <w:kern w:val="0"/>
                <w:sz w:val="28"/>
                <w:szCs w:val="28"/>
                <w:highlight w:val="none"/>
              </w:rPr>
            </w:pPr>
            <w:r>
              <w:rPr>
                <w:rFonts w:hint="eastAsia" w:ascii="宋体" w:hAnsi="宋体"/>
                <w:color w:val="auto"/>
                <w:kern w:val="0"/>
                <w:sz w:val="28"/>
                <w:szCs w:val="28"/>
                <w:highlight w:val="none"/>
              </w:rPr>
              <w:t>报价（</w:t>
            </w:r>
            <w:r>
              <w:rPr>
                <w:rFonts w:hint="eastAsia"/>
                <w:color w:val="auto"/>
                <w:kern w:val="0"/>
                <w:sz w:val="28"/>
                <w:szCs w:val="28"/>
                <w:highlight w:val="none"/>
                <w:lang w:val="en-US" w:eastAsia="zh-CN"/>
              </w:rPr>
              <w:t>总价、万</w:t>
            </w:r>
            <w:r>
              <w:rPr>
                <w:rFonts w:hint="eastAsia" w:ascii="宋体" w:hAnsi="宋体"/>
                <w:color w:val="auto"/>
                <w:kern w:val="0"/>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pageBreakBefore w:val="0"/>
              <w:tabs>
                <w:tab w:val="left" w:pos="1134"/>
              </w:tabs>
              <w:kinsoku/>
              <w:wordWrap/>
              <w:overflowPunct/>
              <w:topLinePunct w:val="0"/>
              <w:bidi w:val="0"/>
              <w:adjustRightInd w:val="0"/>
              <w:snapToGrid w:val="0"/>
              <w:spacing w:afterAutospacing="0" w:line="360" w:lineRule="auto"/>
              <w:ind w:firstLine="560" w:firstLineChars="200"/>
              <w:rPr>
                <w:rFonts w:ascii="宋体" w:hAnsi="宋体"/>
                <w:color w:val="auto"/>
                <w:kern w:val="0"/>
                <w:sz w:val="28"/>
                <w:szCs w:val="28"/>
                <w:highlight w:val="none"/>
              </w:rPr>
            </w:pPr>
          </w:p>
        </w:tc>
      </w:tr>
    </w:tbl>
    <w:p>
      <w:pPr>
        <w:bidi w:val="0"/>
        <w:rPr>
          <w:rFonts w:hint="eastAsia"/>
          <w:lang w:val="zh-CN" w:eastAsia="zh-CN"/>
        </w:rPr>
      </w:pPr>
    </w:p>
    <w:p>
      <w:pPr>
        <w:bidi w:val="0"/>
      </w:pPr>
    </w:p>
    <w:p>
      <w:pPr>
        <w:bidi w:val="0"/>
      </w:pPr>
    </w:p>
    <w:p>
      <w:pPr>
        <w:pStyle w:val="2"/>
      </w:pPr>
    </w:p>
    <w:p/>
    <w:p>
      <w:pPr>
        <w:bidi w:val="0"/>
      </w:pPr>
    </w:p>
    <w:p>
      <w:pPr>
        <w:bidi w:val="0"/>
      </w:pPr>
    </w:p>
    <w:p>
      <w:pPr>
        <w:pStyle w:val="29"/>
        <w:pageBreakBefore w:val="0"/>
        <w:kinsoku/>
        <w:wordWrap/>
        <w:overflowPunct/>
        <w:topLinePunct w:val="0"/>
        <w:bidi w:val="0"/>
        <w:adjustRightInd w:val="0"/>
        <w:snapToGrid w:val="0"/>
        <w:spacing w:afterAutospacing="0" w:line="360" w:lineRule="auto"/>
        <w:ind w:firstLine="562" w:firstLineChars="200"/>
        <w:rPr>
          <w:rFonts w:hint="eastAsia"/>
          <w:b/>
          <w:color w:val="auto"/>
          <w:sz w:val="28"/>
          <w:highlight w:val="none"/>
        </w:rPr>
      </w:pPr>
      <w:r>
        <w:rPr>
          <w:rFonts w:hint="eastAsia"/>
          <w:b/>
          <w:color w:val="auto"/>
          <w:sz w:val="28"/>
          <w:highlight w:val="none"/>
        </w:rPr>
        <w:t>说明：</w:t>
      </w:r>
    </w:p>
    <w:p>
      <w:pPr>
        <w:pStyle w:val="29"/>
        <w:pageBreakBefore w:val="0"/>
        <w:kinsoku/>
        <w:wordWrap/>
        <w:overflowPunct/>
        <w:topLinePunct w:val="0"/>
        <w:bidi w:val="0"/>
        <w:adjustRightInd w:val="0"/>
        <w:snapToGrid w:val="0"/>
        <w:spacing w:afterAutospacing="0" w:line="360" w:lineRule="auto"/>
        <w:ind w:firstLine="562" w:firstLineChars="200"/>
        <w:rPr>
          <w:b/>
          <w:color w:val="auto"/>
          <w:sz w:val="28"/>
          <w:highlight w:val="none"/>
        </w:rPr>
      </w:pPr>
      <w:r>
        <w:rPr>
          <w:rFonts w:hint="eastAsia"/>
          <w:b/>
          <w:color w:val="auto"/>
          <w:sz w:val="28"/>
          <w:highlight w:val="none"/>
        </w:rPr>
        <w:t>1、报价应是包括磋商文件规定的全部响应内容的报价。</w:t>
      </w:r>
    </w:p>
    <w:p>
      <w:pPr>
        <w:pageBreakBefore w:val="0"/>
        <w:tabs>
          <w:tab w:val="left" w:pos="1134"/>
        </w:tabs>
        <w:kinsoku/>
        <w:wordWrap/>
        <w:overflowPunct/>
        <w:topLinePunct w:val="0"/>
        <w:bidi w:val="0"/>
        <w:adjustRightInd w:val="0"/>
        <w:snapToGrid w:val="0"/>
        <w:spacing w:afterAutospacing="0" w:line="360" w:lineRule="auto"/>
        <w:ind w:firstLine="562" w:firstLineChars="200"/>
        <w:rPr>
          <w:rFonts w:ascii="宋体" w:hAnsi="宋体"/>
          <w:b/>
          <w:bCs/>
          <w:color w:val="auto"/>
          <w:sz w:val="28"/>
          <w:highlight w:val="none"/>
        </w:rPr>
      </w:pPr>
      <w:r>
        <w:rPr>
          <w:rFonts w:hint="eastAsia" w:ascii="宋体" w:hAnsi="宋体"/>
          <w:b/>
          <w:color w:val="auto"/>
          <w:sz w:val="28"/>
          <w:szCs w:val="28"/>
          <w:highlight w:val="none"/>
        </w:rPr>
        <w:t>2、报价以供应商在政府采购云平台开标一览表中填写的报价为准。</w:t>
      </w:r>
    </w:p>
    <w:p>
      <w:pPr>
        <w:pStyle w:val="29"/>
        <w:pageBreakBefore w:val="0"/>
        <w:kinsoku/>
        <w:wordWrap/>
        <w:overflowPunct/>
        <w:topLinePunct w:val="0"/>
        <w:bidi w:val="0"/>
        <w:adjustRightInd w:val="0"/>
        <w:snapToGrid w:val="0"/>
        <w:spacing w:afterAutospacing="0" w:line="360" w:lineRule="auto"/>
        <w:ind w:firstLine="562" w:firstLineChars="200"/>
        <w:rPr>
          <w:b/>
          <w:color w:val="auto"/>
          <w:sz w:val="28"/>
          <w:highlight w:val="none"/>
        </w:rPr>
      </w:pPr>
    </w:p>
    <w:p>
      <w:pPr>
        <w:pStyle w:val="5"/>
        <w:keepNext/>
        <w:keepLines/>
        <w:pageBreakBefore w:val="0"/>
        <w:widowControl w:val="0"/>
        <w:numPr>
          <w:ilvl w:val="2"/>
          <w:numId w:val="0"/>
        </w:numPr>
        <w:kinsoku/>
        <w:wordWrap/>
        <w:overflowPunct/>
        <w:topLinePunct w:val="0"/>
        <w:autoSpaceDE/>
        <w:autoSpaceDN/>
        <w:bidi w:val="0"/>
        <w:adjustRightInd/>
        <w:snapToGrid/>
        <w:ind w:leftChars="0" w:firstLine="482" w:firstLineChars="200"/>
        <w:textAlignment w:val="auto"/>
        <w:rPr>
          <w:color w:val="auto"/>
          <w:highlight w:val="none"/>
        </w:rPr>
      </w:pPr>
      <w:r>
        <w:rPr>
          <w:color w:val="auto"/>
          <w:highlight w:val="none"/>
        </w:rPr>
        <w:br w:type="page"/>
      </w:r>
      <w:bookmarkStart w:id="92" w:name="_Toc22426"/>
      <w:r>
        <w:rPr>
          <w:rFonts w:hint="eastAsia" w:ascii="宋体" w:hAnsi="宋体" w:eastAsia="宋体" w:cs="Times New Roman"/>
          <w:b/>
          <w:bCs/>
          <w:color w:val="auto"/>
          <w:kern w:val="2"/>
          <w:sz w:val="24"/>
          <w:szCs w:val="28"/>
          <w:highlight w:val="none"/>
          <w:lang w:val="en-US" w:eastAsia="zh-CN" w:bidi="ar-SA"/>
        </w:rPr>
        <w:t>3.2.3分项报价表</w:t>
      </w:r>
      <w:bookmarkEnd w:id="92"/>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成都市温江区第二中学校多功能报告厅音视频系统建设改造项目</w:t>
      </w: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cs="Times New Roman"/>
          <w:b/>
          <w:bCs/>
          <w:color w:val="auto"/>
          <w:kern w:val="2"/>
          <w:sz w:val="28"/>
          <w:szCs w:val="28"/>
          <w:highlight w:val="none"/>
          <w:u w:val="single"/>
          <w:lang w:val="en-US" w:eastAsia="zh-CN" w:bidi="ar-SA"/>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温江政采（2021）A0062号</w:t>
      </w:r>
    </w:p>
    <w:p>
      <w:pPr>
        <w:pageBreakBefore w:val="0"/>
        <w:numPr>
          <w:ilvl w:val="0"/>
          <w:numId w:val="0"/>
        </w:numPr>
        <w:tabs>
          <w:tab w:val="left" w:pos="630"/>
          <w:tab w:val="left" w:pos="7560"/>
        </w:tabs>
        <w:kinsoku/>
        <w:wordWrap/>
        <w:overflowPunct/>
        <w:topLinePunct w:val="0"/>
        <w:bidi w:val="0"/>
        <w:adjustRightInd w:val="0"/>
        <w:snapToGrid w:val="0"/>
        <w:spacing w:afterAutospacing="0" w:line="360" w:lineRule="auto"/>
        <w:ind w:leftChars="0" w:firstLine="562" w:firstLineChars="200"/>
        <w:rPr>
          <w:rFonts w:hint="eastAsia"/>
          <w:b/>
          <w:color w:val="auto"/>
          <w:sz w:val="28"/>
          <w:highlight w:val="none"/>
          <w:lang w:val="en-US" w:eastAsia="zh-CN"/>
        </w:rPr>
      </w:pPr>
    </w:p>
    <w:p>
      <w:pPr>
        <w:pageBreakBefore w:val="0"/>
        <w:numPr>
          <w:ilvl w:val="0"/>
          <w:numId w:val="0"/>
        </w:numPr>
        <w:tabs>
          <w:tab w:val="left" w:pos="630"/>
          <w:tab w:val="left" w:pos="7560"/>
        </w:tabs>
        <w:kinsoku/>
        <w:wordWrap/>
        <w:overflowPunct/>
        <w:topLinePunct w:val="0"/>
        <w:bidi w:val="0"/>
        <w:adjustRightInd w:val="0"/>
        <w:snapToGrid w:val="0"/>
        <w:spacing w:afterAutospacing="0" w:line="360" w:lineRule="auto"/>
        <w:ind w:leftChars="0" w:firstLine="562" w:firstLineChars="200"/>
        <w:rPr>
          <w:rFonts w:ascii="宋体" w:hAnsi="宋体"/>
          <w:b/>
          <w:color w:val="auto"/>
          <w:sz w:val="28"/>
          <w:highlight w:val="none"/>
        </w:rPr>
      </w:pPr>
      <w:r>
        <w:rPr>
          <w:rFonts w:hint="eastAsia"/>
          <w:b/>
          <w:color w:val="auto"/>
          <w:sz w:val="28"/>
          <w:highlight w:val="none"/>
          <w:lang w:val="en-US" w:eastAsia="zh-CN"/>
        </w:rPr>
        <w:t>一、</w:t>
      </w:r>
      <w:r>
        <w:rPr>
          <w:rFonts w:hint="eastAsia" w:ascii="宋体" w:hAnsi="宋体"/>
          <w:b/>
          <w:color w:val="auto"/>
          <w:sz w:val="28"/>
          <w:highlight w:val="none"/>
        </w:rPr>
        <w:t>分项报价明细表（说明：</w:t>
      </w:r>
      <w:r>
        <w:rPr>
          <w:rFonts w:hint="eastAsia" w:ascii="宋体" w:hAnsi="宋体"/>
          <w:b/>
          <w:color w:val="auto"/>
          <w:sz w:val="28"/>
          <w:szCs w:val="28"/>
          <w:highlight w:val="none"/>
          <w:lang w:eastAsia="zh-CN"/>
        </w:rPr>
        <w:t>供应商</w:t>
      </w:r>
      <w:r>
        <w:rPr>
          <w:rFonts w:hint="eastAsia" w:ascii="宋体" w:hAnsi="宋体"/>
          <w:b/>
          <w:color w:val="auto"/>
          <w:sz w:val="28"/>
          <w:highlight w:val="none"/>
        </w:rPr>
        <w:t>应根据其报价的构成提供详细的分项价格明细表。）</w:t>
      </w:r>
    </w:p>
    <w:tbl>
      <w:tblPr>
        <w:tblStyle w:val="20"/>
        <w:tblW w:w="5565"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701"/>
        <w:gridCol w:w="708"/>
        <w:gridCol w:w="708"/>
        <w:gridCol w:w="817"/>
        <w:gridCol w:w="969"/>
        <w:gridCol w:w="951"/>
        <w:gridCol w:w="1066"/>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7"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
                <w:bCs/>
                <w:color w:val="auto"/>
                <w:szCs w:val="21"/>
                <w:highlight w:val="none"/>
              </w:rPr>
            </w:pPr>
            <w:r>
              <w:rPr>
                <w:rFonts w:ascii="宋体" w:hAnsi="宋体"/>
                <w:b/>
                <w:bCs/>
                <w:color w:val="auto"/>
                <w:szCs w:val="21"/>
                <w:highlight w:val="none"/>
              </w:rPr>
              <w:t>序号</w:t>
            </w:r>
          </w:p>
        </w:tc>
        <w:tc>
          <w:tcPr>
            <w:tcW w:w="2170"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
                <w:bCs/>
                <w:color w:val="auto"/>
                <w:szCs w:val="21"/>
                <w:highlight w:val="none"/>
              </w:rPr>
            </w:pPr>
            <w:r>
              <w:rPr>
                <w:rFonts w:ascii="宋体" w:hAnsi="宋体"/>
                <w:b/>
                <w:bCs/>
                <w:color w:val="auto"/>
                <w:szCs w:val="21"/>
                <w:highlight w:val="none"/>
              </w:rPr>
              <w:t>货物名称</w:t>
            </w:r>
          </w:p>
        </w:tc>
        <w:tc>
          <w:tcPr>
            <w:tcW w:w="790"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
                <w:bCs/>
                <w:color w:val="auto"/>
                <w:szCs w:val="21"/>
                <w:highlight w:val="none"/>
              </w:rPr>
            </w:pPr>
            <w:r>
              <w:rPr>
                <w:rFonts w:ascii="宋体" w:hAnsi="宋体"/>
                <w:b/>
                <w:bCs/>
                <w:color w:val="auto"/>
                <w:szCs w:val="21"/>
                <w:highlight w:val="none"/>
              </w:rPr>
              <w:t>品牌</w:t>
            </w:r>
          </w:p>
        </w:tc>
        <w:tc>
          <w:tcPr>
            <w:tcW w:w="790"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
                <w:bCs/>
                <w:color w:val="auto"/>
                <w:szCs w:val="21"/>
                <w:highlight w:val="none"/>
              </w:rPr>
            </w:pPr>
            <w:r>
              <w:rPr>
                <w:rFonts w:ascii="宋体" w:hAnsi="宋体"/>
                <w:b/>
                <w:bCs/>
                <w:color w:val="auto"/>
                <w:szCs w:val="21"/>
                <w:highlight w:val="none"/>
              </w:rPr>
              <w:t>规格型号</w:t>
            </w:r>
          </w:p>
        </w:tc>
        <w:tc>
          <w:tcPr>
            <w:tcW w:w="942"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
                <w:bCs/>
                <w:color w:val="auto"/>
                <w:szCs w:val="21"/>
                <w:highlight w:val="none"/>
              </w:rPr>
            </w:pPr>
            <w:r>
              <w:rPr>
                <w:rFonts w:ascii="宋体" w:hAnsi="宋体"/>
                <w:b/>
                <w:bCs/>
                <w:color w:val="auto"/>
                <w:szCs w:val="21"/>
                <w:highlight w:val="none"/>
              </w:rPr>
              <w:t>制造商</w:t>
            </w:r>
          </w:p>
        </w:tc>
        <w:tc>
          <w:tcPr>
            <w:tcW w:w="1152"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
                <w:bCs/>
                <w:color w:val="auto"/>
                <w:szCs w:val="21"/>
                <w:highlight w:val="none"/>
              </w:rPr>
            </w:pPr>
            <w:r>
              <w:rPr>
                <w:rFonts w:ascii="宋体" w:hAnsi="宋体"/>
                <w:b/>
                <w:bCs/>
                <w:color w:val="auto"/>
                <w:szCs w:val="21"/>
                <w:highlight w:val="none"/>
              </w:rPr>
              <w:t>进口或国产</w:t>
            </w:r>
          </w:p>
        </w:tc>
        <w:tc>
          <w:tcPr>
            <w:tcW w:w="1127"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
                <w:bCs/>
                <w:color w:val="auto"/>
                <w:szCs w:val="21"/>
                <w:highlight w:val="none"/>
              </w:rPr>
            </w:pPr>
            <w:r>
              <w:rPr>
                <w:rFonts w:ascii="宋体" w:hAnsi="宋体"/>
                <w:b/>
                <w:bCs/>
                <w:color w:val="auto"/>
                <w:szCs w:val="21"/>
                <w:highlight w:val="none"/>
              </w:rPr>
              <w:t>数量</w:t>
            </w:r>
          </w:p>
        </w:tc>
        <w:tc>
          <w:tcPr>
            <w:tcW w:w="1288"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
                <w:bCs/>
                <w:color w:val="auto"/>
                <w:szCs w:val="21"/>
                <w:highlight w:val="none"/>
              </w:rPr>
            </w:pPr>
            <w:r>
              <w:rPr>
                <w:rFonts w:ascii="宋体" w:hAnsi="宋体"/>
                <w:b/>
                <w:bCs/>
                <w:color w:val="auto"/>
                <w:szCs w:val="21"/>
                <w:highlight w:val="none"/>
              </w:rPr>
              <w:t>单价</w:t>
            </w:r>
          </w:p>
        </w:tc>
        <w:tc>
          <w:tcPr>
            <w:tcW w:w="1450"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Cs/>
                <w:color w:val="auto"/>
                <w:szCs w:val="21"/>
                <w:highlight w:val="none"/>
              </w:rPr>
            </w:pPr>
            <w:r>
              <w:rPr>
                <w:rFonts w:ascii="宋体" w:hAnsi="宋体"/>
                <w:b/>
                <w:bCs/>
                <w:color w:val="auto"/>
                <w:szCs w:val="21"/>
                <w:highlight w:val="none"/>
              </w:rPr>
              <w:t>总价</w:t>
            </w:r>
            <w:r>
              <w:rPr>
                <w:rFonts w:hint="eastAsia" w:ascii="宋体" w:hAnsi="宋体"/>
                <w:b/>
                <w:bCs/>
                <w:color w:val="auto"/>
                <w:szCs w:val="21"/>
                <w:highlight w:val="none"/>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87"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217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rPr>
                <w:rFonts w:ascii="宋体" w:hAnsi="宋体"/>
                <w:bCs/>
                <w:color w:val="auto"/>
                <w:szCs w:val="21"/>
                <w:highlight w:val="none"/>
              </w:rPr>
            </w:pPr>
          </w:p>
        </w:tc>
        <w:tc>
          <w:tcPr>
            <w:tcW w:w="79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79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942"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152"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127"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288"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45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87"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217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rPr>
                <w:rFonts w:ascii="宋体" w:hAnsi="宋体"/>
                <w:bCs/>
                <w:color w:val="auto"/>
                <w:szCs w:val="21"/>
                <w:highlight w:val="none"/>
              </w:rPr>
            </w:pPr>
          </w:p>
        </w:tc>
        <w:tc>
          <w:tcPr>
            <w:tcW w:w="79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79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942"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152"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127"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288"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45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87"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217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rPr>
                <w:rFonts w:ascii="宋体" w:hAnsi="宋体"/>
                <w:bCs/>
                <w:color w:val="auto"/>
                <w:szCs w:val="21"/>
                <w:highlight w:val="none"/>
              </w:rPr>
            </w:pPr>
          </w:p>
        </w:tc>
        <w:tc>
          <w:tcPr>
            <w:tcW w:w="79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79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942"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152"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127"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288"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45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87"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hint="eastAsia" w:ascii="宋体" w:hAnsi="宋体" w:eastAsia="宋体"/>
                <w:bCs/>
                <w:color w:val="auto"/>
                <w:szCs w:val="21"/>
                <w:highlight w:val="none"/>
                <w:lang w:eastAsia="zh-CN"/>
              </w:rPr>
            </w:pPr>
            <w:r>
              <w:rPr>
                <w:rFonts w:hint="eastAsia"/>
                <w:bCs/>
                <w:color w:val="auto"/>
                <w:szCs w:val="21"/>
                <w:highlight w:val="none"/>
                <w:lang w:eastAsia="zh-CN"/>
              </w:rPr>
              <w:t>……</w:t>
            </w:r>
          </w:p>
        </w:tc>
        <w:tc>
          <w:tcPr>
            <w:tcW w:w="217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rPr>
                <w:rFonts w:ascii="宋体" w:hAnsi="宋体"/>
                <w:bCs/>
                <w:color w:val="auto"/>
                <w:szCs w:val="21"/>
                <w:highlight w:val="none"/>
              </w:rPr>
            </w:pPr>
          </w:p>
        </w:tc>
        <w:tc>
          <w:tcPr>
            <w:tcW w:w="79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79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942"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152"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127"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288"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c>
          <w:tcPr>
            <w:tcW w:w="1450" w:type="dxa"/>
            <w:tcBorders>
              <w:top w:val="single" w:color="auto" w:sz="2" w:space="0"/>
              <w:left w:val="single" w:color="auto" w:sz="2" w:space="0"/>
              <w:bottom w:val="single" w:color="auto" w:sz="4"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left="0" w:leftChars="0" w:firstLine="560" w:firstLineChars="200"/>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9046" w:type="dxa"/>
            <w:gridSpan w:val="8"/>
            <w:tcBorders>
              <w:top w:val="single" w:color="auto" w:sz="4" w:space="0"/>
              <w:left w:val="single" w:color="auto" w:sz="2" w:space="0"/>
              <w:bottom w:val="single" w:color="auto" w:sz="2" w:space="0"/>
              <w:right w:val="single" w:color="auto" w:sz="2" w:space="0"/>
            </w:tcBorders>
            <w:vAlign w:val="center"/>
          </w:tcPr>
          <w:p>
            <w:pPr>
              <w:pStyle w:val="12"/>
              <w:pageBreakBefore w:val="0"/>
              <w:kinsoku/>
              <w:wordWrap/>
              <w:overflowPunct/>
              <w:topLinePunct w:val="0"/>
              <w:bidi w:val="0"/>
              <w:adjustRightInd w:val="0"/>
              <w:snapToGrid w:val="0"/>
              <w:spacing w:after="0" w:afterAutospacing="0" w:line="360" w:lineRule="auto"/>
              <w:ind w:firstLine="562" w:firstLineChars="200"/>
              <w:jc w:val="center"/>
              <w:rPr>
                <w:rFonts w:ascii="宋体" w:hAnsi="宋体"/>
                <w:b/>
                <w:bCs/>
                <w:color w:val="auto"/>
                <w:szCs w:val="21"/>
                <w:highlight w:val="none"/>
              </w:rPr>
            </w:pPr>
            <w:r>
              <w:rPr>
                <w:rFonts w:ascii="宋体" w:hAnsi="宋体"/>
                <w:b/>
                <w:bCs/>
                <w:color w:val="auto"/>
                <w:szCs w:val="21"/>
                <w:highlight w:val="none"/>
              </w:rPr>
              <w:t>报价</w:t>
            </w:r>
            <w:r>
              <w:rPr>
                <w:rFonts w:hint="eastAsia" w:ascii="宋体" w:hAnsi="宋体"/>
                <w:b/>
                <w:bCs/>
                <w:color w:val="auto"/>
                <w:szCs w:val="21"/>
                <w:highlight w:val="none"/>
              </w:rPr>
              <w:t>（总</w:t>
            </w:r>
            <w:r>
              <w:rPr>
                <w:rFonts w:ascii="宋体" w:hAnsi="宋体"/>
                <w:b/>
                <w:bCs/>
                <w:color w:val="auto"/>
                <w:szCs w:val="21"/>
                <w:highlight w:val="none"/>
              </w:rPr>
              <w:t>价合计</w:t>
            </w:r>
            <w:r>
              <w:rPr>
                <w:rFonts w:hint="eastAsia" w:ascii="宋体" w:hAnsi="宋体"/>
                <w:b/>
                <w:bCs/>
                <w:color w:val="auto"/>
                <w:szCs w:val="21"/>
                <w:highlight w:val="none"/>
              </w:rPr>
              <w:t>）</w:t>
            </w:r>
          </w:p>
        </w:tc>
        <w:tc>
          <w:tcPr>
            <w:tcW w:w="1450" w:type="dxa"/>
            <w:tcBorders>
              <w:top w:val="single" w:color="auto" w:sz="4"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leftChars="0" w:firstLine="0" w:firstLineChars="0"/>
              <w:jc w:val="center"/>
              <w:textAlignment w:val="auto"/>
              <w:rPr>
                <w:rFonts w:ascii="宋体" w:hAnsi="宋体"/>
                <w:b/>
                <w:bCs/>
                <w:color w:val="auto"/>
                <w:szCs w:val="21"/>
                <w:highlight w:val="none"/>
                <w:u w:val="single"/>
              </w:rPr>
            </w:pPr>
            <w:r>
              <w:rPr>
                <w:rFonts w:hint="eastAsia" w:ascii="宋体" w:hAnsi="宋体"/>
                <w:b/>
                <w:bCs/>
                <w:color w:val="auto"/>
                <w:szCs w:val="21"/>
                <w:highlight w:val="none"/>
                <w:u w:val="single"/>
              </w:rPr>
              <w:t>XX</w:t>
            </w:r>
            <w:r>
              <w:rPr>
                <w:rFonts w:hint="eastAsia"/>
                <w:b/>
                <w:bCs/>
                <w:color w:val="auto"/>
                <w:szCs w:val="21"/>
                <w:highlight w:val="none"/>
                <w:u w:val="single"/>
                <w:lang w:val="en-US" w:eastAsia="zh-CN"/>
              </w:rPr>
              <w:t>万</w:t>
            </w:r>
            <w:r>
              <w:rPr>
                <w:rFonts w:hint="eastAsia" w:ascii="宋体" w:hAnsi="宋体"/>
                <w:b/>
                <w:bCs/>
                <w:color w:val="auto"/>
                <w:szCs w:val="21"/>
                <w:highlight w:val="none"/>
              </w:rPr>
              <w:t>元</w:t>
            </w:r>
          </w:p>
        </w:tc>
      </w:tr>
    </w:tbl>
    <w:p>
      <w:pPr>
        <w:pageBreakBefore w:val="0"/>
        <w:kinsoku/>
        <w:wordWrap/>
        <w:overflowPunct/>
        <w:topLinePunct w:val="0"/>
        <w:bidi w:val="0"/>
        <w:adjustRightInd w:val="0"/>
        <w:snapToGrid w:val="0"/>
        <w:spacing w:afterAutospacing="0"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说明：1、进口产品是指通过中国海关报关验放进入中国境内且产自关境外的产品。2、分项报价明细表格式中要求填写品牌、规格型号、制造商、进口或国产的，</w:t>
      </w:r>
      <w:r>
        <w:rPr>
          <w:rFonts w:hint="eastAsia" w:ascii="宋体" w:hAnsi="宋体"/>
          <w:b/>
          <w:color w:val="auto"/>
          <w:sz w:val="28"/>
          <w:szCs w:val="28"/>
          <w:highlight w:val="none"/>
          <w:lang w:eastAsia="zh-CN"/>
        </w:rPr>
        <w:t>供应商</w:t>
      </w:r>
      <w:r>
        <w:rPr>
          <w:rFonts w:hint="eastAsia" w:ascii="宋体" w:hAnsi="宋体"/>
          <w:b/>
          <w:color w:val="auto"/>
          <w:sz w:val="28"/>
          <w:szCs w:val="28"/>
          <w:highlight w:val="none"/>
        </w:rPr>
        <w:t>必须载明其</w:t>
      </w:r>
      <w:r>
        <w:rPr>
          <w:rFonts w:hint="eastAsia" w:ascii="宋体" w:hAnsi="宋体"/>
          <w:b/>
          <w:color w:val="auto"/>
          <w:sz w:val="28"/>
          <w:szCs w:val="28"/>
          <w:highlight w:val="none"/>
          <w:lang w:eastAsia="zh-CN"/>
        </w:rPr>
        <w:t>所</w:t>
      </w:r>
      <w:r>
        <w:rPr>
          <w:rFonts w:hint="eastAsia" w:ascii="宋体" w:hAnsi="宋体"/>
          <w:b/>
          <w:color w:val="auto"/>
          <w:sz w:val="28"/>
          <w:szCs w:val="28"/>
          <w:highlight w:val="none"/>
        </w:rPr>
        <w:t>标产品的品牌、规格型号、制造商、进口或国产。</w:t>
      </w:r>
    </w:p>
    <w:p>
      <w:pPr>
        <w:pageBreakBefore w:val="0"/>
        <w:numPr>
          <w:ilvl w:val="0"/>
          <w:numId w:val="0"/>
        </w:numPr>
        <w:tabs>
          <w:tab w:val="left" w:pos="630"/>
          <w:tab w:val="left" w:pos="3414"/>
          <w:tab w:val="left" w:pos="7560"/>
        </w:tabs>
        <w:kinsoku/>
        <w:wordWrap/>
        <w:overflowPunct/>
        <w:topLinePunct w:val="0"/>
        <w:bidi w:val="0"/>
        <w:adjustRightInd w:val="0"/>
        <w:snapToGrid w:val="0"/>
        <w:spacing w:afterAutospacing="0" w:line="360" w:lineRule="auto"/>
        <w:ind w:leftChars="0" w:firstLine="562" w:firstLineChars="200"/>
        <w:rPr>
          <w:rFonts w:ascii="宋体" w:hAnsi="宋体"/>
          <w:b/>
          <w:color w:val="auto"/>
          <w:sz w:val="28"/>
          <w:highlight w:val="none"/>
        </w:rPr>
      </w:pPr>
      <w:r>
        <w:rPr>
          <w:rFonts w:hint="eastAsia"/>
          <w:b/>
          <w:color w:val="auto"/>
          <w:sz w:val="28"/>
          <w:szCs w:val="28"/>
          <w:highlight w:val="none"/>
          <w:lang w:val="en-US" w:eastAsia="zh-CN"/>
        </w:rPr>
        <w:t>二、</w:t>
      </w:r>
      <w:r>
        <w:rPr>
          <w:rFonts w:hint="eastAsia" w:ascii="宋体" w:hAnsi="宋体"/>
          <w:b/>
          <w:color w:val="auto"/>
          <w:sz w:val="28"/>
          <w:szCs w:val="28"/>
          <w:highlight w:val="none"/>
          <w:lang w:eastAsia="zh-CN"/>
        </w:rPr>
        <w:t>供应商所</w:t>
      </w:r>
      <w:r>
        <w:rPr>
          <w:rFonts w:hint="eastAsia" w:ascii="宋体" w:hAnsi="宋体"/>
          <w:b/>
          <w:color w:val="auto"/>
          <w:sz w:val="28"/>
          <w:highlight w:val="none"/>
        </w:rPr>
        <w:t>投产品中为监狱企业制造的货物清单及价格（说明：</w:t>
      </w:r>
      <w:r>
        <w:rPr>
          <w:rFonts w:ascii="宋体" w:hAnsi="宋体"/>
          <w:b/>
          <w:color w:val="auto"/>
          <w:sz w:val="28"/>
          <w:highlight w:val="none"/>
        </w:rPr>
        <w:t>1、提供由省级以上监狱管理局、戒毒管理局（含新疆生产建设兵团）出具的</w:t>
      </w:r>
      <w:r>
        <w:rPr>
          <w:rFonts w:hint="eastAsia" w:ascii="宋体" w:hAnsi="宋体"/>
          <w:b/>
          <w:color w:val="auto"/>
          <w:sz w:val="28"/>
          <w:highlight w:val="none"/>
        </w:rPr>
        <w:t>制造</w:t>
      </w:r>
      <w:r>
        <w:rPr>
          <w:rFonts w:ascii="宋体" w:hAnsi="宋体"/>
          <w:b/>
          <w:color w:val="auto"/>
          <w:sz w:val="28"/>
          <w:highlight w:val="none"/>
        </w:rPr>
        <w:t>商属于监狱企业的证明文件复印件；2、如未提供</w:t>
      </w:r>
      <w:r>
        <w:rPr>
          <w:rFonts w:hint="eastAsia" w:ascii="宋体" w:hAnsi="宋体"/>
          <w:b/>
          <w:color w:val="auto"/>
          <w:sz w:val="28"/>
          <w:highlight w:val="none"/>
        </w:rPr>
        <w:t>货物</w:t>
      </w:r>
      <w:r>
        <w:rPr>
          <w:rFonts w:ascii="宋体" w:hAnsi="宋体"/>
          <w:b/>
          <w:color w:val="auto"/>
          <w:sz w:val="28"/>
          <w:highlight w:val="none"/>
        </w:rPr>
        <w:t>清单及价格以及相关证明材料复印件，则不能享受对监狱企业</w:t>
      </w:r>
      <w:r>
        <w:rPr>
          <w:rFonts w:hint="eastAsia" w:ascii="宋体" w:hAnsi="宋体"/>
          <w:b/>
          <w:color w:val="auto"/>
          <w:sz w:val="28"/>
          <w:highlight w:val="none"/>
        </w:rPr>
        <w:t>制造的货物</w:t>
      </w:r>
      <w:r>
        <w:rPr>
          <w:rFonts w:ascii="宋体" w:hAnsi="宋体"/>
          <w:b/>
          <w:color w:val="auto"/>
          <w:sz w:val="28"/>
          <w:highlight w:val="none"/>
        </w:rPr>
        <w:t>的价格扣除，但不影响</w:t>
      </w:r>
      <w:r>
        <w:rPr>
          <w:rFonts w:hint="eastAsia" w:ascii="宋体" w:hAnsi="宋体"/>
          <w:b/>
          <w:color w:val="auto"/>
          <w:sz w:val="28"/>
          <w:highlight w:val="none"/>
          <w:lang w:eastAsia="zh-CN"/>
        </w:rPr>
        <w:t>响应</w:t>
      </w:r>
      <w:r>
        <w:rPr>
          <w:rFonts w:ascii="宋体" w:hAnsi="宋体"/>
          <w:b/>
          <w:color w:val="auto"/>
          <w:sz w:val="28"/>
          <w:highlight w:val="none"/>
        </w:rPr>
        <w:t>文件的有效性。）</w:t>
      </w:r>
    </w:p>
    <w:tbl>
      <w:tblPr>
        <w:tblStyle w:val="20"/>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left"/>
              <w:textAlignment w:val="auto"/>
              <w:rPr>
                <w:rFonts w:ascii="宋体" w:hAnsi="宋体"/>
                <w:b/>
                <w:color w:val="auto"/>
                <w:highlight w:val="none"/>
              </w:rPr>
            </w:pPr>
            <w:r>
              <w:rPr>
                <w:rFonts w:hint="eastAsia" w:ascii="宋体" w:hAnsi="宋体"/>
                <w:b/>
                <w:color w:val="auto"/>
                <w:highlight w:val="none"/>
              </w:rPr>
              <w:t>序号</w:t>
            </w:r>
          </w:p>
        </w:tc>
        <w:tc>
          <w:tcPr>
            <w:tcW w:w="1720"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left"/>
              <w:textAlignment w:val="auto"/>
              <w:rPr>
                <w:rFonts w:ascii="宋体" w:hAnsi="宋体"/>
                <w:b/>
                <w:color w:val="auto"/>
                <w:highlight w:val="none"/>
              </w:rPr>
            </w:pPr>
            <w:r>
              <w:rPr>
                <w:rFonts w:hint="eastAsia" w:ascii="宋体" w:hAnsi="宋体"/>
                <w:b/>
                <w:color w:val="auto"/>
                <w:highlight w:val="none"/>
              </w:rPr>
              <w:t>货物名称</w:t>
            </w:r>
          </w:p>
        </w:tc>
        <w:tc>
          <w:tcPr>
            <w:tcW w:w="694"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left"/>
              <w:textAlignment w:val="auto"/>
              <w:rPr>
                <w:rFonts w:ascii="宋体" w:hAnsi="宋体"/>
                <w:b/>
                <w:color w:val="auto"/>
                <w:highlight w:val="none"/>
              </w:rPr>
            </w:pPr>
            <w:r>
              <w:rPr>
                <w:rFonts w:hint="eastAsia" w:ascii="宋体" w:hAnsi="宋体"/>
                <w:b/>
                <w:color w:val="auto"/>
                <w:highlight w:val="none"/>
              </w:rPr>
              <w:t>品牌</w:t>
            </w: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left"/>
              <w:textAlignment w:val="auto"/>
              <w:rPr>
                <w:rFonts w:ascii="宋体" w:hAnsi="宋体"/>
                <w:b/>
                <w:color w:val="auto"/>
                <w:highlight w:val="none"/>
              </w:rPr>
            </w:pPr>
            <w:r>
              <w:rPr>
                <w:rFonts w:hint="eastAsia" w:ascii="宋体" w:hAnsi="宋体"/>
                <w:b/>
                <w:color w:val="auto"/>
                <w:highlight w:val="none"/>
              </w:rPr>
              <w:t>规格型号</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left"/>
              <w:textAlignment w:val="auto"/>
              <w:rPr>
                <w:rFonts w:ascii="宋体" w:hAnsi="宋体"/>
                <w:b/>
                <w:color w:val="auto"/>
                <w:highlight w:val="none"/>
              </w:rPr>
            </w:pPr>
            <w:r>
              <w:rPr>
                <w:rFonts w:hint="eastAsia" w:ascii="宋体" w:hAnsi="宋体"/>
                <w:b/>
                <w:color w:val="auto"/>
                <w:highlight w:val="none"/>
              </w:rPr>
              <w:t>制造商</w:t>
            </w:r>
          </w:p>
        </w:tc>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left"/>
              <w:textAlignment w:val="auto"/>
              <w:rPr>
                <w:rFonts w:ascii="宋体" w:hAnsi="宋体"/>
                <w:b/>
                <w:color w:val="auto"/>
                <w:highlight w:val="none"/>
              </w:rPr>
            </w:pPr>
            <w:r>
              <w:rPr>
                <w:rFonts w:hint="eastAsia" w:ascii="宋体" w:hAnsi="宋体"/>
                <w:b/>
                <w:color w:val="auto"/>
                <w:highlight w:val="none"/>
              </w:rPr>
              <w:t>数量</w:t>
            </w:r>
          </w:p>
        </w:tc>
        <w:tc>
          <w:tcPr>
            <w:tcW w:w="992"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left"/>
              <w:textAlignment w:val="auto"/>
              <w:rPr>
                <w:rFonts w:ascii="宋体" w:hAnsi="宋体"/>
                <w:b/>
                <w:color w:val="auto"/>
                <w:highlight w:val="none"/>
              </w:rPr>
            </w:pPr>
            <w:r>
              <w:rPr>
                <w:rFonts w:hint="eastAsia" w:ascii="宋体" w:hAnsi="宋体"/>
                <w:b/>
                <w:color w:val="auto"/>
                <w:highlight w:val="none"/>
              </w:rPr>
              <w:t>单价</w:t>
            </w:r>
          </w:p>
        </w:tc>
        <w:tc>
          <w:tcPr>
            <w:tcW w:w="1406"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left"/>
              <w:textAlignment w:val="auto"/>
              <w:rPr>
                <w:rFonts w:ascii="宋体" w:hAnsi="宋体"/>
                <w:b/>
                <w:color w:val="auto"/>
                <w:highlight w:val="none"/>
              </w:rPr>
            </w:pPr>
            <w:r>
              <w:rPr>
                <w:rFonts w:hint="eastAsia" w:ascii="宋体" w:hAnsi="宋体"/>
                <w:b/>
                <w:color w:val="auto"/>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720"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694"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253"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17"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851"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992" w:type="dxa"/>
            <w:gridSpan w:val="2"/>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06"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hint="eastAsia" w:ascii="宋体" w:hAnsi="宋体" w:eastAsia="宋体"/>
                <w:color w:val="auto"/>
                <w:highlight w:val="none"/>
                <w:lang w:eastAsia="zh-CN"/>
              </w:rPr>
            </w:pPr>
            <w:r>
              <w:rPr>
                <w:rFonts w:hint="eastAsia"/>
                <w:color w:val="auto"/>
                <w:highlight w:val="none"/>
                <w:lang w:eastAsia="zh-CN"/>
              </w:rPr>
              <w:t>……</w:t>
            </w:r>
          </w:p>
        </w:tc>
        <w:tc>
          <w:tcPr>
            <w:tcW w:w="1720"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694"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253"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17"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851"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992" w:type="dxa"/>
            <w:gridSpan w:val="2"/>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06"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75" w:type="dxa"/>
            <w:gridSpan w:val="7"/>
            <w:vAlign w:val="center"/>
          </w:tcPr>
          <w:p>
            <w:pPr>
              <w:pageBreakBefore w:val="0"/>
              <w:kinsoku/>
              <w:wordWrap/>
              <w:overflowPunct/>
              <w:topLinePunct w:val="0"/>
              <w:bidi w:val="0"/>
              <w:adjustRightInd w:val="0"/>
              <w:snapToGrid w:val="0"/>
              <w:spacing w:afterAutospacing="0" w:line="360" w:lineRule="auto"/>
              <w:ind w:firstLine="562" w:firstLineChars="200"/>
              <w:jc w:val="center"/>
              <w:rPr>
                <w:rFonts w:ascii="宋体" w:hAnsi="宋体"/>
                <w:color w:val="auto"/>
                <w:highlight w:val="none"/>
              </w:rPr>
            </w:pPr>
            <w:r>
              <w:rPr>
                <w:rFonts w:hint="eastAsia" w:ascii="宋体" w:hAnsi="宋体" w:cs="宋体"/>
                <w:b/>
                <w:color w:val="auto"/>
                <w:highlight w:val="none"/>
              </w:rPr>
              <w:t>监狱企业制造的货物</w:t>
            </w:r>
            <w:r>
              <w:rPr>
                <w:rFonts w:hint="eastAsia" w:ascii="宋体" w:hAnsi="宋体"/>
                <w:b/>
                <w:color w:val="auto"/>
                <w:highlight w:val="none"/>
              </w:rPr>
              <w:t>总价合计</w:t>
            </w:r>
          </w:p>
        </w:tc>
        <w:tc>
          <w:tcPr>
            <w:tcW w:w="1418" w:type="dxa"/>
            <w:gridSpan w:val="2"/>
            <w:vAlign w:val="center"/>
          </w:tcPr>
          <w:p>
            <w:pPr>
              <w:pageBreakBefore w:val="0"/>
              <w:kinsoku/>
              <w:wordWrap/>
              <w:overflowPunct/>
              <w:topLinePunct w:val="0"/>
              <w:bidi w:val="0"/>
              <w:adjustRightInd w:val="0"/>
              <w:snapToGrid w:val="0"/>
              <w:spacing w:afterAutospacing="0" w:line="360" w:lineRule="auto"/>
              <w:ind w:firstLine="560" w:firstLineChars="200"/>
              <w:rPr>
                <w:rFonts w:ascii="宋体" w:hAnsi="宋体"/>
                <w:color w:val="auto"/>
                <w:highlight w:val="none"/>
              </w:rPr>
            </w:pPr>
            <w:r>
              <w:rPr>
                <w:rFonts w:hint="eastAsia" w:ascii="宋体" w:hAnsi="宋体"/>
                <w:color w:val="auto"/>
                <w:highlight w:val="none"/>
              </w:rPr>
              <w:t>￥</w:t>
            </w:r>
          </w:p>
        </w:tc>
      </w:tr>
    </w:tbl>
    <w:p>
      <w:pPr>
        <w:pageBreakBefore w:val="0"/>
        <w:numPr>
          <w:ilvl w:val="0"/>
          <w:numId w:val="0"/>
        </w:numPr>
        <w:tabs>
          <w:tab w:val="left" w:pos="630"/>
          <w:tab w:val="left" w:pos="7560"/>
        </w:tabs>
        <w:kinsoku/>
        <w:wordWrap/>
        <w:overflowPunct/>
        <w:topLinePunct w:val="0"/>
        <w:bidi w:val="0"/>
        <w:adjustRightInd w:val="0"/>
        <w:snapToGrid w:val="0"/>
        <w:spacing w:afterAutospacing="0" w:line="360" w:lineRule="auto"/>
        <w:ind w:leftChars="0" w:firstLine="562" w:firstLineChars="200"/>
        <w:rPr>
          <w:rFonts w:ascii="宋体" w:hAnsi="宋体"/>
          <w:b/>
          <w:color w:val="auto"/>
          <w:sz w:val="28"/>
          <w:highlight w:val="none"/>
        </w:rPr>
      </w:pPr>
      <w:r>
        <w:rPr>
          <w:rFonts w:hint="eastAsia"/>
          <w:b/>
          <w:color w:val="auto"/>
          <w:sz w:val="28"/>
          <w:szCs w:val="28"/>
          <w:highlight w:val="none"/>
          <w:lang w:val="en-US" w:eastAsia="zh-CN"/>
        </w:rPr>
        <w:t>三、</w:t>
      </w:r>
      <w:r>
        <w:rPr>
          <w:rFonts w:hint="eastAsia" w:ascii="宋体" w:hAnsi="宋体"/>
          <w:b/>
          <w:color w:val="auto"/>
          <w:sz w:val="28"/>
          <w:szCs w:val="28"/>
          <w:highlight w:val="none"/>
          <w:lang w:eastAsia="zh-CN"/>
        </w:rPr>
        <w:t>供应商所</w:t>
      </w:r>
      <w:r>
        <w:rPr>
          <w:rFonts w:hint="eastAsia" w:ascii="宋体" w:hAnsi="宋体"/>
          <w:b/>
          <w:color w:val="auto"/>
          <w:sz w:val="28"/>
          <w:highlight w:val="none"/>
        </w:rPr>
        <w:t>投产品中为残疾人福利性单位制造的货物清单及价格（说明：如未提供则不能享受对残疾人福利性单位制造的货物的价格扣除）</w:t>
      </w:r>
    </w:p>
    <w:tbl>
      <w:tblPr>
        <w:tblStyle w:val="20"/>
        <w:tblW w:w="10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highlight w:val="none"/>
              </w:rPr>
            </w:pPr>
            <w:r>
              <w:rPr>
                <w:rFonts w:hint="eastAsia" w:ascii="宋体" w:hAnsi="宋体"/>
                <w:b/>
                <w:color w:val="auto"/>
                <w:highlight w:val="none"/>
              </w:rPr>
              <w:t>序号</w:t>
            </w:r>
          </w:p>
        </w:tc>
        <w:tc>
          <w:tcPr>
            <w:tcW w:w="1720"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highlight w:val="none"/>
              </w:rPr>
            </w:pPr>
            <w:r>
              <w:rPr>
                <w:rFonts w:hint="eastAsia" w:ascii="宋体" w:hAnsi="宋体"/>
                <w:b/>
                <w:color w:val="auto"/>
                <w:highlight w:val="none"/>
              </w:rPr>
              <w:t>货物名称</w:t>
            </w:r>
          </w:p>
        </w:tc>
        <w:tc>
          <w:tcPr>
            <w:tcW w:w="1418" w:type="dxa"/>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highlight w:val="none"/>
              </w:rPr>
            </w:pPr>
            <w:r>
              <w:rPr>
                <w:rFonts w:hint="eastAsia" w:ascii="宋体" w:hAnsi="宋体"/>
                <w:b/>
                <w:color w:val="auto"/>
                <w:highlight w:val="none"/>
              </w:rPr>
              <w:t>品牌</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highlight w:val="none"/>
              </w:rPr>
            </w:pPr>
            <w:r>
              <w:rPr>
                <w:rFonts w:hint="eastAsia" w:ascii="宋体" w:hAnsi="宋体"/>
                <w:b/>
                <w:color w:val="auto"/>
                <w:highlight w:val="none"/>
              </w:rPr>
              <w:t>规格型号</w:t>
            </w: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highlight w:val="none"/>
              </w:rPr>
            </w:pPr>
            <w:r>
              <w:rPr>
                <w:rFonts w:hint="eastAsia" w:ascii="宋体" w:hAnsi="宋体"/>
                <w:b/>
                <w:color w:val="auto"/>
                <w:highlight w:val="none"/>
              </w:rPr>
              <w:t>制造商</w:t>
            </w:r>
          </w:p>
        </w:tc>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highlight w:val="none"/>
              </w:rPr>
            </w:pPr>
            <w:r>
              <w:rPr>
                <w:rFonts w:hint="eastAsia" w:ascii="宋体" w:hAnsi="宋体"/>
                <w:b/>
                <w:color w:val="auto"/>
                <w:highlight w:val="none"/>
              </w:rPr>
              <w:t>数量</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highlight w:val="none"/>
              </w:rPr>
            </w:pPr>
            <w:r>
              <w:rPr>
                <w:rFonts w:hint="eastAsia" w:ascii="宋体" w:hAnsi="宋体"/>
                <w:b/>
                <w:color w:val="auto"/>
                <w:highlight w:val="none"/>
              </w:rPr>
              <w:t>单价</w:t>
            </w:r>
          </w:p>
        </w:tc>
        <w:tc>
          <w:tcPr>
            <w:tcW w:w="1346" w:type="dxa"/>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highlight w:val="none"/>
              </w:rPr>
            </w:pPr>
            <w:r>
              <w:rPr>
                <w:rFonts w:hint="eastAsia" w:ascii="宋体" w:hAnsi="宋体"/>
                <w:b/>
                <w:color w:val="auto"/>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720"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18" w:type="dxa"/>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18"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17"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851"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992"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346"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hint="eastAsia" w:ascii="宋体" w:hAnsi="宋体" w:eastAsia="宋体"/>
                <w:color w:val="auto"/>
                <w:highlight w:val="none"/>
                <w:lang w:eastAsia="zh-CN"/>
              </w:rPr>
            </w:pPr>
            <w:r>
              <w:rPr>
                <w:rFonts w:hint="eastAsia"/>
                <w:color w:val="auto"/>
                <w:highlight w:val="none"/>
                <w:lang w:eastAsia="zh-CN"/>
              </w:rPr>
              <w:t>……</w:t>
            </w:r>
          </w:p>
        </w:tc>
        <w:tc>
          <w:tcPr>
            <w:tcW w:w="1720"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18" w:type="dxa"/>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18"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417"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851"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992"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c>
          <w:tcPr>
            <w:tcW w:w="1346" w:type="dxa"/>
            <w:vAlign w:val="center"/>
          </w:tcPr>
          <w:p>
            <w:pPr>
              <w:pageBreakBefore w:val="0"/>
              <w:kinsoku/>
              <w:wordWrap/>
              <w:overflowPunct/>
              <w:topLinePunct w:val="0"/>
              <w:bidi w:val="0"/>
              <w:adjustRightInd w:val="0"/>
              <w:snapToGrid w:val="0"/>
              <w:spacing w:afterAutospacing="0" w:line="360" w:lineRule="auto"/>
              <w:ind w:firstLine="560" w:firstLineChars="200"/>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76" w:type="dxa"/>
            <w:gridSpan w:val="7"/>
          </w:tcPr>
          <w:p>
            <w:pPr>
              <w:pageBreakBefore w:val="0"/>
              <w:kinsoku/>
              <w:wordWrap/>
              <w:overflowPunct/>
              <w:topLinePunct w:val="0"/>
              <w:bidi w:val="0"/>
              <w:adjustRightInd w:val="0"/>
              <w:snapToGrid w:val="0"/>
              <w:spacing w:afterAutospacing="0" w:line="360" w:lineRule="auto"/>
              <w:ind w:firstLine="562" w:firstLineChars="200"/>
              <w:jc w:val="center"/>
              <w:rPr>
                <w:rFonts w:ascii="宋体" w:hAnsi="宋体"/>
                <w:color w:val="auto"/>
                <w:highlight w:val="none"/>
              </w:rPr>
            </w:pPr>
            <w:r>
              <w:rPr>
                <w:rFonts w:hint="eastAsia" w:ascii="宋体" w:hAnsi="宋体" w:cs="宋体"/>
                <w:b/>
                <w:color w:val="auto"/>
                <w:highlight w:val="none"/>
              </w:rPr>
              <w:t>残疾人福利性单位制造的货物</w:t>
            </w:r>
            <w:r>
              <w:rPr>
                <w:rFonts w:hint="eastAsia" w:ascii="宋体" w:hAnsi="宋体"/>
                <w:b/>
                <w:color w:val="auto"/>
                <w:highlight w:val="none"/>
              </w:rPr>
              <w:t>总价合计</w:t>
            </w:r>
          </w:p>
        </w:tc>
        <w:tc>
          <w:tcPr>
            <w:tcW w:w="1346" w:type="dxa"/>
            <w:vAlign w:val="center"/>
          </w:tcPr>
          <w:p>
            <w:pPr>
              <w:pageBreakBefore w:val="0"/>
              <w:kinsoku/>
              <w:wordWrap/>
              <w:overflowPunct/>
              <w:topLinePunct w:val="0"/>
              <w:bidi w:val="0"/>
              <w:adjustRightInd w:val="0"/>
              <w:snapToGrid w:val="0"/>
              <w:spacing w:afterAutospacing="0" w:line="360" w:lineRule="auto"/>
              <w:ind w:firstLine="560" w:firstLineChars="200"/>
              <w:rPr>
                <w:rFonts w:ascii="宋体" w:hAnsi="宋体"/>
                <w:color w:val="auto"/>
                <w:highlight w:val="none"/>
              </w:rPr>
            </w:pPr>
            <w:r>
              <w:rPr>
                <w:rFonts w:hint="eastAsia" w:ascii="宋体" w:hAnsi="宋体"/>
                <w:color w:val="auto"/>
                <w:highlight w:val="none"/>
              </w:rPr>
              <w:t>￥</w:t>
            </w:r>
          </w:p>
        </w:tc>
      </w:tr>
    </w:tbl>
    <w:p>
      <w:pPr>
        <w:pStyle w:val="43"/>
        <w:pageBreakBefore w:val="0"/>
        <w:kinsoku/>
        <w:wordWrap/>
        <w:overflowPunct/>
        <w:topLinePunct w:val="0"/>
        <w:bidi w:val="0"/>
        <w:adjustRightInd w:val="0"/>
        <w:snapToGrid w:val="0"/>
        <w:spacing w:afterAutospacing="0" w:line="360" w:lineRule="auto"/>
        <w:ind w:firstLine="560" w:firstLineChars="200"/>
        <w:rPr>
          <w:rFonts w:hint="eastAsia" w:ascii="宋体" w:hAnsi="宋体" w:eastAsia="宋体" w:cs="宋体"/>
          <w:color w:val="auto"/>
          <w:kern w:val="2"/>
          <w:sz w:val="28"/>
          <w:szCs w:val="22"/>
          <w:highlight w:val="none"/>
          <w:u w:val="none"/>
          <w:lang w:val="zh-CN" w:eastAsia="zh-CN" w:bidi="ar-SA"/>
        </w:rPr>
      </w:pPr>
    </w:p>
    <w:p>
      <w:pPr>
        <w:pStyle w:val="43"/>
        <w:pageBreakBefore w:val="0"/>
        <w:kinsoku/>
        <w:wordWrap/>
        <w:overflowPunct/>
        <w:topLinePunct w:val="0"/>
        <w:bidi w:val="0"/>
        <w:adjustRightInd w:val="0"/>
        <w:snapToGrid w:val="0"/>
        <w:spacing w:afterAutospacing="0" w:line="360" w:lineRule="auto"/>
        <w:ind w:firstLine="560" w:firstLineChars="200"/>
        <w:rPr>
          <w:rFonts w:hint="eastAsia" w:ascii="宋体" w:hAnsi="宋体" w:eastAsia="宋体" w:cs="宋体"/>
          <w:color w:val="auto"/>
          <w:kern w:val="2"/>
          <w:sz w:val="28"/>
          <w:szCs w:val="22"/>
          <w:highlight w:val="none"/>
          <w:u w:val="none"/>
          <w:lang w:val="zh-CN" w:eastAsia="zh-CN" w:bidi="ar-SA"/>
        </w:rPr>
      </w:pP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pageBreakBefore w:val="0"/>
        <w:kinsoku/>
        <w:wordWrap w:val="0"/>
        <w:overflowPunct/>
        <w:topLinePunct w:val="0"/>
        <w:bidi w:val="0"/>
        <w:adjustRightInd w:val="0"/>
        <w:snapToGrid w:val="0"/>
        <w:spacing w:afterAutospacing="0" w:line="360" w:lineRule="auto"/>
        <w:ind w:firstLine="560" w:firstLineChars="200"/>
        <w:jc w:val="right"/>
        <w:rPr>
          <w:rFonts w:hint="default" w:ascii="宋体" w:hAnsi="宋体" w:eastAsia="宋体" w:cs="宋体"/>
          <w:color w:val="auto"/>
          <w:kern w:val="2"/>
          <w:sz w:val="28"/>
          <w:szCs w:val="22"/>
          <w:highlight w:val="none"/>
          <w:u w:val="single"/>
          <w:lang w:val="en-US"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r>
        <w:rPr>
          <w:rFonts w:hint="eastAsia" w:cs="宋体"/>
          <w:color w:val="auto"/>
          <w:kern w:val="2"/>
          <w:sz w:val="28"/>
          <w:szCs w:val="22"/>
          <w:highlight w:val="none"/>
          <w:u w:val="single"/>
          <w:lang w:val="en-US" w:eastAsia="zh-CN" w:bidi="ar-SA"/>
        </w:rPr>
        <w:t xml:space="preserve">  </w:t>
      </w:r>
    </w:p>
    <w:p>
      <w:pPr>
        <w:pStyle w:val="8"/>
        <w:pageBreakBefore w:val="0"/>
        <w:kinsoku/>
        <w:wordWrap/>
        <w:overflowPunct/>
        <w:topLinePunct w:val="0"/>
        <w:bidi w:val="0"/>
        <w:adjustRightInd w:val="0"/>
        <w:snapToGrid w:val="0"/>
        <w:spacing w:afterAutospacing="0" w:line="360" w:lineRule="auto"/>
        <w:ind w:firstLine="560" w:firstLineChars="200"/>
        <w:rPr>
          <w:rFonts w:ascii="宋体" w:hAnsi="宋体"/>
          <w:bCs/>
          <w:color w:val="auto"/>
          <w:sz w:val="28"/>
          <w:highlight w:val="none"/>
        </w:rPr>
      </w:pPr>
    </w:p>
    <w:p>
      <w:pPr>
        <w:pageBreakBefore w:val="0"/>
        <w:kinsoku/>
        <w:wordWrap/>
        <w:overflowPunct/>
        <w:topLinePunct w:val="0"/>
        <w:bidi w:val="0"/>
        <w:adjustRightInd w:val="0"/>
        <w:snapToGrid w:val="0"/>
        <w:spacing w:afterAutospacing="0" w:line="360" w:lineRule="auto"/>
        <w:ind w:firstLine="562" w:firstLineChars="200"/>
        <w:rPr>
          <w:rFonts w:hint="eastAsia" w:ascii="宋体" w:hAnsi="宋体"/>
          <w:b/>
          <w:color w:val="auto"/>
          <w:sz w:val="28"/>
          <w:szCs w:val="28"/>
          <w:highlight w:val="none"/>
        </w:rPr>
      </w:pPr>
    </w:p>
    <w:p>
      <w:pPr>
        <w:pageBreakBefore w:val="0"/>
        <w:kinsoku/>
        <w:wordWrap/>
        <w:overflowPunct/>
        <w:topLinePunct w:val="0"/>
        <w:bidi w:val="0"/>
        <w:adjustRightInd w:val="0"/>
        <w:snapToGrid w:val="0"/>
        <w:spacing w:afterAutospacing="0" w:line="360" w:lineRule="auto"/>
        <w:ind w:firstLine="562" w:firstLineChars="200"/>
        <w:rPr>
          <w:rFonts w:hint="eastAsia" w:ascii="宋体" w:hAnsi="宋体"/>
          <w:b/>
          <w:color w:val="auto"/>
          <w:sz w:val="28"/>
          <w:szCs w:val="28"/>
          <w:highlight w:val="none"/>
        </w:rPr>
      </w:pPr>
    </w:p>
    <w:p>
      <w:pPr>
        <w:pStyle w:val="62"/>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rPr>
      </w:pPr>
    </w:p>
    <w:p>
      <w:pPr>
        <w:pStyle w:val="62"/>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rPr>
      </w:pPr>
    </w:p>
    <w:p>
      <w:pPr>
        <w:pStyle w:val="62"/>
        <w:pageBreakBefore w:val="0"/>
        <w:kinsoku/>
        <w:wordWrap/>
        <w:overflowPunct/>
        <w:topLinePunct w:val="0"/>
        <w:bidi w:val="0"/>
        <w:adjustRightInd w:val="0"/>
        <w:snapToGrid w:val="0"/>
        <w:spacing w:afterAutospacing="0" w:line="360" w:lineRule="auto"/>
        <w:ind w:left="0" w:leftChars="0" w:firstLine="480" w:firstLineChars="200"/>
        <w:rPr>
          <w:rFonts w:hint="eastAsia"/>
          <w:color w:val="auto"/>
          <w:highlight w:val="none"/>
        </w:rPr>
      </w:pPr>
    </w:p>
    <w:p>
      <w:pPr>
        <w:pStyle w:val="5"/>
        <w:keepNext/>
        <w:keepLines/>
        <w:pageBreakBefore w:val="0"/>
        <w:widowControl w:val="0"/>
        <w:numPr>
          <w:ilvl w:val="2"/>
          <w:numId w:val="0"/>
        </w:numPr>
        <w:kinsoku/>
        <w:wordWrap/>
        <w:overflowPunct/>
        <w:topLinePunct w:val="0"/>
        <w:autoSpaceDE/>
        <w:autoSpaceDN/>
        <w:bidi w:val="0"/>
        <w:adjustRightInd/>
        <w:snapToGrid/>
        <w:ind w:leftChars="0" w:firstLine="482" w:firstLineChars="200"/>
        <w:textAlignment w:val="auto"/>
        <w:rPr>
          <w:rFonts w:hint="eastAsia" w:ascii="宋体" w:hAnsi="宋体"/>
          <w:b/>
          <w:color w:val="auto"/>
          <w:spacing w:val="6"/>
          <w:sz w:val="28"/>
          <w:szCs w:val="28"/>
          <w:highlight w:val="none"/>
        </w:rPr>
      </w:pPr>
      <w:bookmarkStart w:id="93" w:name="_Toc9386"/>
      <w:r>
        <w:rPr>
          <w:rFonts w:hint="eastAsia"/>
          <w:lang w:val="en-US" w:eastAsia="zh-CN"/>
        </w:rPr>
        <w:t>3.2.4中小企业声明函</w:t>
      </w:r>
      <w:bookmarkEnd w:id="93"/>
    </w:p>
    <w:p>
      <w:pPr>
        <w:pageBreakBefore w:val="0"/>
        <w:kinsoku/>
        <w:wordWrap/>
        <w:overflowPunct/>
        <w:topLinePunct w:val="0"/>
        <w:bidi w:val="0"/>
        <w:adjustRightInd w:val="0"/>
        <w:snapToGrid w:val="0"/>
        <w:spacing w:afterAutospacing="0" w:line="360" w:lineRule="auto"/>
        <w:ind w:firstLine="586" w:firstLineChars="200"/>
        <w:jc w:val="center"/>
        <w:rPr>
          <w:rFonts w:hint="eastAsia" w:ascii="宋体" w:hAnsi="宋体" w:eastAsia="宋体" w:cs="Times New Roman"/>
          <w:b/>
          <w:bCs/>
          <w:color w:val="auto"/>
          <w:kern w:val="44"/>
          <w:sz w:val="28"/>
          <w:szCs w:val="28"/>
          <w:highlight w:val="none"/>
          <w:lang w:val="en-US" w:eastAsia="zh-CN" w:bidi="ar-SA"/>
        </w:rPr>
      </w:pPr>
      <w:r>
        <w:rPr>
          <w:rFonts w:hint="eastAsia" w:ascii="宋体" w:hAnsi="宋体"/>
          <w:b/>
          <w:color w:val="auto"/>
          <w:spacing w:val="6"/>
          <w:sz w:val="28"/>
          <w:szCs w:val="28"/>
          <w:highlight w:val="none"/>
        </w:rPr>
        <w:t>中小企业声明函</w:t>
      </w:r>
    </w:p>
    <w:p>
      <w:pPr>
        <w:keepNext w:val="0"/>
        <w:keepLines w:val="0"/>
        <w:pageBreakBefore w:val="0"/>
        <w:kinsoku/>
        <w:wordWrap/>
        <w:overflowPunct/>
        <w:topLinePunct w:val="0"/>
        <w:autoSpaceDE/>
        <w:autoSpaceDN/>
        <w:bidi w:val="0"/>
        <w:adjustRightInd w:val="0"/>
        <w:snapToGrid w:val="0"/>
        <w:spacing w:afterAutospacing="0" w:line="500" w:lineRule="exact"/>
        <w:ind w:firstLine="560" w:firstLineChars="200"/>
        <w:textAlignment w:val="auto"/>
        <w:rPr>
          <w:rFonts w:ascii="宋体" w:hAnsi="宋体"/>
          <w:color w:val="auto"/>
          <w:sz w:val="28"/>
          <w:szCs w:val="28"/>
          <w:highlight w:val="none"/>
        </w:rPr>
      </w:pPr>
      <w:r>
        <w:rPr>
          <w:rFonts w:hint="eastAsia" w:ascii="宋体" w:hAnsi="宋体"/>
          <w:color w:val="auto"/>
          <w:sz w:val="28"/>
          <w:szCs w:val="28"/>
          <w:highlight w:val="none"/>
        </w:rPr>
        <w:t>本公司郑重声明，根据《政府采购促进中小企业发展管理办法》（财库﹝2020﹞46 号）的规定，本公司参加</w:t>
      </w:r>
      <w:r>
        <w:rPr>
          <w:rFonts w:hint="eastAsia"/>
          <w:b/>
          <w:color w:val="auto"/>
          <w:sz w:val="28"/>
          <w:szCs w:val="28"/>
          <w:highlight w:val="none"/>
          <w:u w:val="single"/>
          <w:lang w:val="en-US" w:eastAsia="zh-CN"/>
        </w:rPr>
        <w:t>成都市温江区第二中学校多功能报告厅音视频系统建设改造项目</w:t>
      </w:r>
      <w:r>
        <w:rPr>
          <w:rFonts w:hint="eastAsia" w:ascii="宋体" w:hAnsi="宋体"/>
          <w:b/>
          <w:bCs/>
          <w:color w:val="auto"/>
          <w:sz w:val="28"/>
          <w:szCs w:val="28"/>
          <w:highlight w:val="none"/>
          <w:u w:val="single"/>
        </w:rPr>
        <w:t>（项目编号：</w:t>
      </w:r>
      <w:r>
        <w:rPr>
          <w:rFonts w:hint="eastAsia"/>
          <w:b/>
          <w:bCs/>
          <w:color w:val="auto"/>
          <w:sz w:val="28"/>
          <w:szCs w:val="28"/>
          <w:highlight w:val="none"/>
          <w:u w:val="single"/>
          <w:lang w:eastAsia="zh-CN"/>
        </w:rPr>
        <w:t>温江政采（2021）A0062号</w:t>
      </w:r>
      <w:r>
        <w:rPr>
          <w:rFonts w:hint="eastAsia" w:ascii="宋体" w:hAnsi="宋体"/>
          <w:b/>
          <w:bCs/>
          <w:color w:val="auto"/>
          <w:sz w:val="28"/>
          <w:szCs w:val="28"/>
          <w:highlight w:val="none"/>
          <w:u w:val="single"/>
        </w:rPr>
        <w:t>）</w:t>
      </w:r>
      <w:r>
        <w:rPr>
          <w:rFonts w:hint="eastAsia" w:ascii="宋体" w:hAnsi="宋体"/>
          <w:color w:val="auto"/>
          <w:sz w:val="28"/>
          <w:szCs w:val="28"/>
          <w:highlight w:val="none"/>
        </w:rPr>
        <w:t>采购活动，</w:t>
      </w:r>
      <w:r>
        <w:rPr>
          <w:rFonts w:hint="eastAsia" w:ascii="宋体" w:hAnsi="宋体"/>
          <w:b/>
          <w:color w:val="auto"/>
          <w:sz w:val="28"/>
          <w:szCs w:val="28"/>
          <w:highlight w:val="none"/>
        </w:rPr>
        <w:t>提供的货物全部由符合政策要求的中小企业制造。</w:t>
      </w:r>
      <w:r>
        <w:rPr>
          <w:rFonts w:hint="eastAsia" w:ascii="宋体" w:hAnsi="宋体"/>
          <w:color w:val="auto"/>
          <w:sz w:val="28"/>
          <w:szCs w:val="28"/>
          <w:highlight w:val="none"/>
        </w:rPr>
        <w:t>相关企业的具体情况如下：</w:t>
      </w:r>
    </w:p>
    <w:p>
      <w:pPr>
        <w:keepNext w:val="0"/>
        <w:keepLines w:val="0"/>
        <w:pageBreakBefore w:val="0"/>
        <w:kinsoku/>
        <w:wordWrap/>
        <w:overflowPunct/>
        <w:topLinePunct w:val="0"/>
        <w:autoSpaceDE/>
        <w:autoSpaceDN/>
        <w:bidi w:val="0"/>
        <w:adjustRightInd w:val="0"/>
        <w:snapToGrid w:val="0"/>
        <w:spacing w:afterAutospacing="0" w:line="500" w:lineRule="exact"/>
        <w:ind w:firstLine="560" w:firstLineChars="200"/>
        <w:textAlignment w:val="auto"/>
        <w:rPr>
          <w:rFonts w:ascii="宋体" w:hAnsi="宋体"/>
          <w:color w:val="auto"/>
          <w:sz w:val="28"/>
          <w:szCs w:val="28"/>
          <w:highlight w:val="none"/>
        </w:rPr>
      </w:pPr>
      <w:r>
        <w:rPr>
          <w:rFonts w:hint="eastAsia" w:ascii="宋体" w:hAnsi="宋体"/>
          <w:color w:val="auto"/>
          <w:sz w:val="28"/>
          <w:szCs w:val="28"/>
          <w:highlight w:val="none"/>
        </w:rPr>
        <w:t xml:space="preserve"> 1. </w:t>
      </w:r>
      <w:r>
        <w:rPr>
          <w:rFonts w:hint="eastAsia" w:ascii="宋体" w:hAnsi="宋体"/>
          <w:color w:val="auto"/>
          <w:sz w:val="28"/>
          <w:szCs w:val="28"/>
          <w:highlight w:val="none"/>
          <w:u w:val="single"/>
        </w:rPr>
        <w:t>___XXXX____</w:t>
      </w:r>
      <w:r>
        <w:rPr>
          <w:rFonts w:hint="eastAsia" w:ascii="宋体" w:hAnsi="宋体"/>
          <w:b/>
          <w:bCs/>
          <w:color w:val="auto"/>
          <w:sz w:val="28"/>
          <w:szCs w:val="28"/>
          <w:highlight w:val="none"/>
        </w:rPr>
        <w:t>（标的名称</w:t>
      </w:r>
      <w:r>
        <w:rPr>
          <w:rFonts w:hint="eastAsia" w:ascii="宋体" w:hAnsi="宋体"/>
          <w:color w:val="auto"/>
          <w:sz w:val="28"/>
          <w:szCs w:val="28"/>
          <w:highlight w:val="none"/>
        </w:rPr>
        <w:t>），属于</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（采购文件中明确的所属行业）行业；制造商为</w:t>
      </w:r>
      <w:r>
        <w:rPr>
          <w:rFonts w:hint="eastAsia" w:ascii="宋体" w:hAnsi="宋体"/>
          <w:color w:val="auto"/>
          <w:sz w:val="28"/>
          <w:szCs w:val="28"/>
          <w:highlight w:val="none"/>
          <w:u w:val="single"/>
        </w:rPr>
        <w:t>___XXXX__</w:t>
      </w:r>
      <w:r>
        <w:rPr>
          <w:rFonts w:hint="eastAsia" w:ascii="宋体" w:hAnsi="宋体"/>
          <w:color w:val="auto"/>
          <w:sz w:val="28"/>
          <w:szCs w:val="28"/>
          <w:highlight w:val="none"/>
        </w:rPr>
        <w:t>（企业名称），从业人员</w:t>
      </w:r>
      <w:r>
        <w:rPr>
          <w:rFonts w:hint="eastAsia" w:ascii="宋体" w:hAnsi="宋体"/>
          <w:color w:val="auto"/>
          <w:sz w:val="28"/>
          <w:szCs w:val="28"/>
          <w:highlight w:val="none"/>
          <w:u w:val="single"/>
        </w:rPr>
        <w:t>___XXXX___</w:t>
      </w:r>
      <w:r>
        <w:rPr>
          <w:rFonts w:hint="eastAsia" w:ascii="宋体" w:hAnsi="宋体"/>
          <w:color w:val="auto"/>
          <w:sz w:val="28"/>
          <w:szCs w:val="28"/>
          <w:highlight w:val="none"/>
        </w:rPr>
        <w:t>人，营业收入为</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万元，资产总额为</w:t>
      </w:r>
      <w:r>
        <w:rPr>
          <w:rFonts w:hint="eastAsia" w:ascii="宋体" w:hAnsi="宋体"/>
          <w:color w:val="auto"/>
          <w:sz w:val="28"/>
          <w:szCs w:val="28"/>
          <w:highlight w:val="none"/>
          <w:u w:val="single"/>
        </w:rPr>
        <w:t>___XXXX___</w:t>
      </w:r>
      <w:r>
        <w:rPr>
          <w:rFonts w:hint="eastAsia" w:ascii="宋体" w:hAnsi="宋体"/>
          <w:color w:val="auto"/>
          <w:sz w:val="28"/>
          <w:szCs w:val="28"/>
          <w:highlight w:val="none"/>
        </w:rPr>
        <w:t>万元</w:t>
      </w:r>
      <w:r>
        <w:rPr>
          <w:rFonts w:hint="eastAsia" w:ascii="宋体" w:hAnsi="宋体"/>
          <w:color w:val="auto"/>
          <w:sz w:val="28"/>
          <w:szCs w:val="28"/>
          <w:highlight w:val="none"/>
          <w:vertAlign w:val="superscript"/>
        </w:rPr>
        <w:t>1</w:t>
      </w:r>
      <w:r>
        <w:rPr>
          <w:rFonts w:hint="eastAsia" w:ascii="宋体" w:hAnsi="宋体"/>
          <w:color w:val="auto"/>
          <w:sz w:val="28"/>
          <w:szCs w:val="28"/>
          <w:highlight w:val="none"/>
        </w:rPr>
        <w:t>，属于</w:t>
      </w:r>
      <w:r>
        <w:rPr>
          <w:rFonts w:hint="eastAsia" w:ascii="宋体" w:hAnsi="宋体"/>
          <w:color w:val="auto"/>
          <w:sz w:val="28"/>
          <w:szCs w:val="28"/>
          <w:highlight w:val="none"/>
          <w:u w:val="single"/>
        </w:rPr>
        <w:t>___XXXX__</w:t>
      </w:r>
      <w:r>
        <w:rPr>
          <w:rFonts w:hint="eastAsia" w:ascii="宋体" w:hAnsi="宋体"/>
          <w:color w:val="auto"/>
          <w:sz w:val="28"/>
          <w:szCs w:val="28"/>
          <w:highlight w:val="none"/>
        </w:rPr>
        <w:t>（中型企业、小型企业、微型企业）。</w:t>
      </w:r>
    </w:p>
    <w:p>
      <w:pPr>
        <w:keepNext w:val="0"/>
        <w:keepLines w:val="0"/>
        <w:pageBreakBefore w:val="0"/>
        <w:kinsoku/>
        <w:wordWrap/>
        <w:overflowPunct/>
        <w:topLinePunct w:val="0"/>
        <w:autoSpaceDE/>
        <w:autoSpaceDN/>
        <w:bidi w:val="0"/>
        <w:adjustRightInd w:val="0"/>
        <w:snapToGrid w:val="0"/>
        <w:spacing w:afterAutospacing="0" w:line="500" w:lineRule="exact"/>
        <w:ind w:firstLine="560" w:firstLineChars="200"/>
        <w:textAlignment w:val="auto"/>
        <w:rPr>
          <w:rFonts w:ascii="宋体" w:hAnsi="宋体"/>
          <w:color w:val="auto"/>
          <w:sz w:val="28"/>
          <w:szCs w:val="28"/>
          <w:highlight w:val="none"/>
        </w:rPr>
      </w:pPr>
      <w:r>
        <w:rPr>
          <w:rFonts w:hint="eastAsia" w:ascii="宋体" w:hAnsi="宋体"/>
          <w:color w:val="auto"/>
          <w:sz w:val="28"/>
          <w:szCs w:val="28"/>
          <w:highlight w:val="none"/>
        </w:rPr>
        <w:t xml:space="preserve">2. </w:t>
      </w:r>
      <w:r>
        <w:rPr>
          <w:rFonts w:hint="eastAsia" w:ascii="宋体" w:hAnsi="宋体"/>
          <w:color w:val="auto"/>
          <w:sz w:val="28"/>
          <w:szCs w:val="28"/>
          <w:highlight w:val="none"/>
          <w:u w:val="single"/>
        </w:rPr>
        <w:t>___XXXX____</w:t>
      </w:r>
      <w:r>
        <w:rPr>
          <w:rFonts w:hint="eastAsia" w:ascii="宋体" w:hAnsi="宋体"/>
          <w:b/>
          <w:bCs/>
          <w:color w:val="auto"/>
          <w:sz w:val="28"/>
          <w:szCs w:val="28"/>
          <w:highlight w:val="none"/>
        </w:rPr>
        <w:t>（标的名称）</w:t>
      </w:r>
      <w:r>
        <w:rPr>
          <w:rFonts w:hint="eastAsia" w:ascii="宋体" w:hAnsi="宋体"/>
          <w:color w:val="auto"/>
          <w:sz w:val="28"/>
          <w:szCs w:val="28"/>
          <w:highlight w:val="none"/>
        </w:rPr>
        <w:t>，属于</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（采购文件中明确的所属行业）行业；制造商为</w:t>
      </w:r>
      <w:r>
        <w:rPr>
          <w:rFonts w:hint="eastAsia" w:ascii="宋体" w:hAnsi="宋体"/>
          <w:color w:val="auto"/>
          <w:sz w:val="28"/>
          <w:szCs w:val="28"/>
          <w:highlight w:val="none"/>
          <w:u w:val="single"/>
        </w:rPr>
        <w:t>___XXXX__</w:t>
      </w:r>
      <w:r>
        <w:rPr>
          <w:rFonts w:hint="eastAsia" w:ascii="宋体" w:hAnsi="宋体"/>
          <w:color w:val="auto"/>
          <w:sz w:val="28"/>
          <w:szCs w:val="28"/>
          <w:highlight w:val="none"/>
        </w:rPr>
        <w:t>（企业名称），从业人员</w:t>
      </w:r>
      <w:r>
        <w:rPr>
          <w:rFonts w:hint="eastAsia" w:ascii="宋体" w:hAnsi="宋体"/>
          <w:color w:val="auto"/>
          <w:sz w:val="28"/>
          <w:szCs w:val="28"/>
          <w:highlight w:val="none"/>
          <w:u w:val="single"/>
        </w:rPr>
        <w:t>___XXXX___</w:t>
      </w:r>
      <w:r>
        <w:rPr>
          <w:rFonts w:hint="eastAsia" w:ascii="宋体" w:hAnsi="宋体"/>
          <w:color w:val="auto"/>
          <w:sz w:val="28"/>
          <w:szCs w:val="28"/>
          <w:highlight w:val="none"/>
        </w:rPr>
        <w:t>人，营业收入为</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万元，资产总额为</w:t>
      </w:r>
      <w:r>
        <w:rPr>
          <w:rFonts w:hint="eastAsia" w:ascii="宋体" w:hAnsi="宋体"/>
          <w:color w:val="auto"/>
          <w:sz w:val="28"/>
          <w:szCs w:val="28"/>
          <w:highlight w:val="none"/>
          <w:u w:val="single"/>
        </w:rPr>
        <w:t>___XXXX___</w:t>
      </w:r>
      <w:r>
        <w:rPr>
          <w:rFonts w:hint="eastAsia" w:ascii="宋体" w:hAnsi="宋体"/>
          <w:color w:val="auto"/>
          <w:sz w:val="28"/>
          <w:szCs w:val="28"/>
          <w:highlight w:val="none"/>
        </w:rPr>
        <w:t>万元</w:t>
      </w:r>
      <w:r>
        <w:rPr>
          <w:rFonts w:hint="eastAsia" w:ascii="宋体" w:hAnsi="宋体"/>
          <w:color w:val="auto"/>
          <w:sz w:val="28"/>
          <w:szCs w:val="28"/>
          <w:highlight w:val="none"/>
          <w:vertAlign w:val="superscript"/>
        </w:rPr>
        <w:t>1</w:t>
      </w:r>
      <w:r>
        <w:rPr>
          <w:rFonts w:hint="eastAsia" w:ascii="宋体" w:hAnsi="宋体"/>
          <w:color w:val="auto"/>
          <w:sz w:val="28"/>
          <w:szCs w:val="28"/>
          <w:highlight w:val="none"/>
        </w:rPr>
        <w:t>，属于</w:t>
      </w:r>
      <w:r>
        <w:rPr>
          <w:rFonts w:hint="eastAsia" w:ascii="宋体" w:hAnsi="宋体"/>
          <w:color w:val="auto"/>
          <w:sz w:val="28"/>
          <w:szCs w:val="28"/>
          <w:highlight w:val="none"/>
          <w:u w:val="single"/>
        </w:rPr>
        <w:t>___XXXX__</w:t>
      </w:r>
      <w:r>
        <w:rPr>
          <w:rFonts w:hint="eastAsia" w:ascii="宋体" w:hAnsi="宋体"/>
          <w:color w:val="auto"/>
          <w:sz w:val="28"/>
          <w:szCs w:val="28"/>
          <w:highlight w:val="none"/>
        </w:rPr>
        <w:t>（中型企业、小型企业、微型企业）。</w:t>
      </w:r>
    </w:p>
    <w:p>
      <w:pPr>
        <w:keepNext w:val="0"/>
        <w:keepLines w:val="0"/>
        <w:pageBreakBefore w:val="0"/>
        <w:kinsoku/>
        <w:wordWrap/>
        <w:overflowPunct/>
        <w:topLinePunct w:val="0"/>
        <w:autoSpaceDE/>
        <w:autoSpaceDN/>
        <w:bidi w:val="0"/>
        <w:adjustRightInd w:val="0"/>
        <w:snapToGrid w:val="0"/>
        <w:spacing w:afterAutospacing="0" w:line="500" w:lineRule="exact"/>
        <w:ind w:firstLine="560" w:firstLineChars="200"/>
        <w:textAlignment w:val="auto"/>
        <w:rPr>
          <w:rFonts w:ascii="宋体" w:hAnsi="宋体"/>
          <w:color w:val="auto"/>
          <w:sz w:val="28"/>
          <w:szCs w:val="28"/>
          <w:highlight w:val="none"/>
        </w:rPr>
      </w:pPr>
      <w:r>
        <w:rPr>
          <w:rFonts w:hint="eastAsia" w:ascii="宋体" w:hAnsi="宋体"/>
          <w:color w:val="auto"/>
          <w:sz w:val="28"/>
          <w:szCs w:val="28"/>
          <w:highlight w:val="none"/>
        </w:rPr>
        <w:t>…………</w:t>
      </w:r>
    </w:p>
    <w:p>
      <w:pPr>
        <w:keepNext w:val="0"/>
        <w:keepLines w:val="0"/>
        <w:pageBreakBefore w:val="0"/>
        <w:kinsoku/>
        <w:wordWrap/>
        <w:overflowPunct/>
        <w:topLinePunct w:val="0"/>
        <w:autoSpaceDE/>
        <w:autoSpaceDN/>
        <w:bidi w:val="0"/>
        <w:adjustRightInd w:val="0"/>
        <w:snapToGrid w:val="0"/>
        <w:spacing w:afterAutospacing="0" w:line="500" w:lineRule="exact"/>
        <w:ind w:firstLine="560" w:firstLineChars="200"/>
        <w:textAlignment w:val="auto"/>
        <w:rPr>
          <w:rFonts w:ascii="宋体" w:hAnsi="宋体"/>
          <w:color w:val="auto"/>
          <w:sz w:val="28"/>
          <w:szCs w:val="28"/>
          <w:highlight w:val="none"/>
        </w:rPr>
      </w:pPr>
      <w:r>
        <w:rPr>
          <w:rFonts w:hint="eastAsia" w:ascii="宋体" w:hAnsi="宋体"/>
          <w:color w:val="auto"/>
          <w:sz w:val="28"/>
          <w:szCs w:val="28"/>
          <w:highlight w:val="none"/>
        </w:rPr>
        <w:t>以上企业，不属于大企业的分支机构，不存在控股股东 为大企业的情形，也不存在与大企业的负责人为同一人的情形。</w:t>
      </w:r>
    </w:p>
    <w:p>
      <w:pPr>
        <w:keepNext w:val="0"/>
        <w:keepLines w:val="0"/>
        <w:pageBreakBefore w:val="0"/>
        <w:kinsoku/>
        <w:wordWrap/>
        <w:overflowPunct/>
        <w:topLinePunct w:val="0"/>
        <w:autoSpaceDE/>
        <w:autoSpaceDN/>
        <w:bidi w:val="0"/>
        <w:adjustRightInd w:val="0"/>
        <w:snapToGrid w:val="0"/>
        <w:spacing w:afterAutospacing="0" w:line="500" w:lineRule="exact"/>
        <w:ind w:firstLine="560" w:firstLineChars="200"/>
        <w:textAlignment w:val="auto"/>
        <w:rPr>
          <w:rFonts w:hint="eastAsia"/>
          <w:color w:val="auto"/>
          <w:szCs w:val="24"/>
          <w:highlight w:val="none"/>
        </w:rPr>
      </w:pPr>
      <w:r>
        <w:rPr>
          <w:rFonts w:hint="eastAsia" w:ascii="宋体" w:hAnsi="宋体"/>
          <w:color w:val="auto"/>
          <w:sz w:val="28"/>
          <w:szCs w:val="28"/>
          <w:highlight w:val="none"/>
        </w:rPr>
        <w:t>本企业对上述声明内容的真实性负责。如有虚假，将依法承担相应责任。</w:t>
      </w:r>
    </w:p>
    <w:p>
      <w:pPr>
        <w:pStyle w:val="43"/>
        <w:keepNext w:val="0"/>
        <w:keepLines w:val="0"/>
        <w:pageBreakBefore w:val="0"/>
        <w:kinsoku/>
        <w:wordWrap/>
        <w:overflowPunct/>
        <w:topLinePunct w:val="0"/>
        <w:autoSpaceDE/>
        <w:autoSpaceDN/>
        <w:bidi w:val="0"/>
        <w:adjustRightInd w:val="0"/>
        <w:snapToGrid w:val="0"/>
        <w:spacing w:afterAutospacing="0" w:line="500" w:lineRule="exact"/>
        <w:ind w:firstLine="560" w:firstLineChars="200"/>
        <w:jc w:val="right"/>
        <w:textAlignment w:val="auto"/>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none"/>
          <w:lang w:val="en-US" w:eastAsia="zh-CN" w:bidi="ar-SA"/>
        </w:rPr>
        <w:t xml:space="preserve"> </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keepNext w:val="0"/>
        <w:keepLines w:val="0"/>
        <w:pageBreakBefore w:val="0"/>
        <w:kinsoku/>
        <w:wordWrap/>
        <w:overflowPunct/>
        <w:topLinePunct w:val="0"/>
        <w:autoSpaceDE/>
        <w:autoSpaceDN/>
        <w:bidi w:val="0"/>
        <w:adjustRightInd w:val="0"/>
        <w:snapToGrid w:val="0"/>
        <w:spacing w:afterAutospacing="0" w:line="500" w:lineRule="exact"/>
        <w:ind w:firstLine="560" w:firstLineChars="200"/>
        <w:jc w:val="right"/>
        <w:textAlignment w:val="auto"/>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w:t>
      </w:r>
      <w:r>
        <w:rPr>
          <w:rFonts w:hint="eastAsia"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月　</w:t>
      </w:r>
      <w:r>
        <w:rPr>
          <w:rFonts w:hint="eastAsia"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日</w:t>
      </w:r>
    </w:p>
    <w:p>
      <w:pPr>
        <w:pStyle w:val="47"/>
        <w:keepNext w:val="0"/>
        <w:keepLines w:val="0"/>
        <w:pageBreakBefore w:val="0"/>
        <w:kinsoku/>
        <w:wordWrap/>
        <w:overflowPunct/>
        <w:topLinePunct w:val="0"/>
        <w:autoSpaceDE/>
        <w:autoSpaceDN/>
        <w:bidi w:val="0"/>
        <w:adjustRightInd w:val="0"/>
        <w:snapToGrid w:val="0"/>
        <w:spacing w:afterAutospacing="0" w:line="500" w:lineRule="exact"/>
        <w:ind w:firstLine="482" w:firstLineChars="200"/>
        <w:textAlignment w:val="auto"/>
        <w:rPr>
          <w:rFonts w:hint="eastAsia"/>
          <w:b/>
          <w:bCs/>
          <w:color w:val="auto"/>
          <w:sz w:val="24"/>
          <w:szCs w:val="24"/>
          <w:highlight w:val="none"/>
        </w:rPr>
      </w:pPr>
      <w:r>
        <w:rPr>
          <w:rFonts w:hint="eastAsia"/>
          <w:b/>
          <w:bCs/>
          <w:color w:val="auto"/>
          <w:sz w:val="24"/>
          <w:szCs w:val="24"/>
          <w:highlight w:val="none"/>
        </w:rPr>
        <w:t>说明：1. 如未提供中小企业声明函或提供的中小企业声明函不符合磋商文件要求</w:t>
      </w:r>
      <w:r>
        <w:rPr>
          <w:rFonts w:hint="eastAsia"/>
          <w:b/>
          <w:bCs/>
          <w:color w:val="auto"/>
          <w:sz w:val="24"/>
          <w:szCs w:val="24"/>
          <w:highlight w:val="none"/>
          <w:lang w:eastAsia="zh-CN"/>
        </w:rPr>
        <w:t>的，</w:t>
      </w:r>
      <w:r>
        <w:rPr>
          <w:rFonts w:hint="eastAsia"/>
          <w:b/>
          <w:bCs/>
          <w:color w:val="auto"/>
          <w:sz w:val="24"/>
          <w:szCs w:val="24"/>
          <w:highlight w:val="none"/>
        </w:rPr>
        <w:t>不能享受</w:t>
      </w:r>
      <w:r>
        <w:rPr>
          <w:rFonts w:hint="eastAsia"/>
          <w:b/>
          <w:bCs/>
          <w:color w:val="auto"/>
          <w:sz w:val="24"/>
          <w:szCs w:val="24"/>
          <w:highlight w:val="none"/>
          <w:lang w:eastAsia="zh-CN"/>
        </w:rPr>
        <w:t>磋商</w:t>
      </w:r>
      <w:r>
        <w:rPr>
          <w:rFonts w:hint="eastAsia"/>
          <w:b/>
          <w:bCs/>
          <w:color w:val="auto"/>
          <w:sz w:val="24"/>
          <w:szCs w:val="24"/>
          <w:highlight w:val="none"/>
        </w:rPr>
        <w:t>文件规定的价格扣除，但不影响供应商响应文件的有效性;</w:t>
      </w:r>
    </w:p>
    <w:p>
      <w:pPr>
        <w:pStyle w:val="47"/>
        <w:keepNext w:val="0"/>
        <w:keepLines w:val="0"/>
        <w:pageBreakBefore w:val="0"/>
        <w:kinsoku/>
        <w:wordWrap/>
        <w:overflowPunct/>
        <w:topLinePunct w:val="0"/>
        <w:autoSpaceDE/>
        <w:autoSpaceDN/>
        <w:bidi w:val="0"/>
        <w:adjustRightInd w:val="0"/>
        <w:snapToGrid w:val="0"/>
        <w:spacing w:afterAutospacing="0" w:line="500" w:lineRule="exact"/>
        <w:ind w:firstLine="482" w:firstLineChars="200"/>
        <w:textAlignment w:val="auto"/>
        <w:rPr>
          <w:rFonts w:hint="eastAsia"/>
          <w:color w:val="auto"/>
          <w:highlight w:val="none"/>
          <w:lang w:eastAsia="zh-CN"/>
        </w:rPr>
      </w:pPr>
      <w:r>
        <w:rPr>
          <w:rFonts w:hint="eastAsia"/>
          <w:b/>
          <w:bCs/>
          <w:color w:val="auto"/>
          <w:sz w:val="24"/>
          <w:szCs w:val="24"/>
          <w:highlight w:val="none"/>
        </w:rPr>
        <w:t>2.从业人员、营业收入、资产总额填报上一年度数据，无上一年度数据的新成立企业可不填报</w:t>
      </w:r>
      <w:r>
        <w:rPr>
          <w:rFonts w:hint="eastAsia"/>
          <w:color w:val="auto"/>
          <w:sz w:val="24"/>
          <w:szCs w:val="24"/>
          <w:highlight w:val="none"/>
        </w:rPr>
        <w:t>。</w:t>
      </w:r>
    </w:p>
    <w:p>
      <w:pPr>
        <w:pStyle w:val="5"/>
        <w:keepNext/>
        <w:keepLines/>
        <w:pageBreakBefore w:val="0"/>
        <w:widowControl w:val="0"/>
        <w:numPr>
          <w:ilvl w:val="2"/>
          <w:numId w:val="0"/>
        </w:numPr>
        <w:kinsoku/>
        <w:wordWrap/>
        <w:overflowPunct/>
        <w:topLinePunct w:val="0"/>
        <w:autoSpaceDE/>
        <w:autoSpaceDN/>
        <w:bidi w:val="0"/>
        <w:adjustRightInd/>
        <w:snapToGrid/>
        <w:ind w:firstLine="482" w:firstLineChars="200"/>
        <w:textAlignment w:val="auto"/>
      </w:pPr>
      <w:bookmarkStart w:id="94" w:name="_Toc11021"/>
      <w:r>
        <w:rPr>
          <w:rFonts w:hint="eastAsia"/>
          <w:lang w:val="en-US" w:eastAsia="zh-CN"/>
        </w:rPr>
        <w:t>3.2.5残疾人福利性单位声明函</w:t>
      </w:r>
      <w:bookmarkEnd w:id="94"/>
    </w:p>
    <w:p>
      <w:pPr>
        <w:pStyle w:val="51"/>
        <w:pageBreakBefore w:val="0"/>
        <w:kinsoku/>
        <w:wordWrap/>
        <w:overflowPunct/>
        <w:topLinePunct w:val="0"/>
        <w:bidi w:val="0"/>
        <w:adjustRightInd w:val="0"/>
        <w:snapToGrid w:val="0"/>
        <w:spacing w:afterAutospacing="0" w:line="360" w:lineRule="auto"/>
        <w:ind w:firstLine="626" w:firstLineChars="200"/>
        <w:rPr>
          <w:rFonts w:ascii="仿宋_GB2312" w:eastAsia="仿宋_GB2312"/>
          <w:b/>
          <w:color w:val="auto"/>
          <w:spacing w:val="6"/>
          <w:sz w:val="30"/>
          <w:szCs w:val="30"/>
          <w:highlight w:val="none"/>
        </w:rPr>
      </w:pPr>
    </w:p>
    <w:p>
      <w:pPr>
        <w:pageBreakBefore w:val="0"/>
        <w:kinsoku/>
        <w:wordWrap/>
        <w:overflowPunct/>
        <w:topLinePunct w:val="0"/>
        <w:bidi w:val="0"/>
        <w:adjustRightInd w:val="0"/>
        <w:snapToGrid w:val="0"/>
        <w:spacing w:afterAutospacing="0" w:line="360" w:lineRule="auto"/>
        <w:ind w:firstLine="562" w:firstLineChars="200"/>
        <w:jc w:val="center"/>
        <w:rPr>
          <w:b/>
          <w:color w:val="auto"/>
          <w:sz w:val="28"/>
          <w:szCs w:val="28"/>
          <w:highlight w:val="none"/>
        </w:rPr>
      </w:pPr>
      <w:r>
        <w:rPr>
          <w:rFonts w:hint="eastAsia"/>
          <w:b/>
          <w:color w:val="auto"/>
          <w:sz w:val="28"/>
          <w:szCs w:val="28"/>
          <w:highlight w:val="none"/>
        </w:rPr>
        <w:t>残疾人福利性单位声明函</w:t>
      </w:r>
    </w:p>
    <w:p>
      <w:pPr>
        <w:pageBreakBefore w:val="0"/>
        <w:kinsoku/>
        <w:wordWrap/>
        <w:overflowPunct/>
        <w:topLinePunct w:val="0"/>
        <w:bidi w:val="0"/>
        <w:adjustRightInd w:val="0"/>
        <w:snapToGrid w:val="0"/>
        <w:spacing w:afterAutospacing="0"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bCs/>
          <w:color w:val="auto"/>
          <w:sz w:val="28"/>
          <w:szCs w:val="28"/>
          <w:highlight w:val="none"/>
          <w:u w:val="single"/>
          <w:lang w:val="en-US" w:eastAsia="zh-CN"/>
        </w:rPr>
        <w:t>xxxx</w:t>
      </w:r>
      <w:r>
        <w:rPr>
          <w:rFonts w:hint="eastAsia" w:ascii="宋体" w:hAnsi="宋体"/>
          <w:color w:val="auto"/>
          <w:spacing w:val="6"/>
          <w:sz w:val="28"/>
          <w:szCs w:val="28"/>
          <w:highlight w:val="none"/>
          <w:u w:val="none"/>
        </w:rPr>
        <w:t>的</w:t>
      </w:r>
      <w:r>
        <w:rPr>
          <w:rFonts w:hint="eastAsia" w:ascii="宋体" w:hAnsi="宋体"/>
          <w:b/>
          <w:bCs/>
          <w:color w:val="auto"/>
          <w:sz w:val="28"/>
          <w:szCs w:val="28"/>
          <w:highlight w:val="none"/>
          <w:u w:val="single"/>
          <w:lang w:val="en-US" w:eastAsia="zh-CN"/>
        </w:rPr>
        <w:t>xxxxx</w:t>
      </w:r>
      <w:r>
        <w:rPr>
          <w:rFonts w:hint="eastAsia" w:ascii="宋体" w:hAnsi="宋体"/>
          <w:color w:val="auto"/>
          <w:spacing w:val="6"/>
          <w:sz w:val="28"/>
          <w:szCs w:val="28"/>
          <w:highlight w:val="none"/>
        </w:rPr>
        <w:t>采购活动提供本单位制造的货物，或者提供其他残疾人福利性单位制造的货物（不包括使用非残疾人福利性单位注册商标的货物）。</w:t>
      </w:r>
    </w:p>
    <w:p>
      <w:pPr>
        <w:pageBreakBefore w:val="0"/>
        <w:kinsoku/>
        <w:wordWrap/>
        <w:overflowPunct/>
        <w:topLinePunct w:val="0"/>
        <w:bidi w:val="0"/>
        <w:adjustRightInd w:val="0"/>
        <w:snapToGrid w:val="0"/>
        <w:spacing w:afterAutospacing="0"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本单位对上述声明的真实性负责。如有虚假，将依法承担相应责任。</w:t>
      </w:r>
    </w:p>
    <w:p>
      <w:pPr>
        <w:pageBreakBefore w:val="0"/>
        <w:kinsoku/>
        <w:wordWrap/>
        <w:overflowPunct/>
        <w:topLinePunct w:val="0"/>
        <w:bidi w:val="0"/>
        <w:adjustRightInd w:val="0"/>
        <w:snapToGrid w:val="0"/>
        <w:spacing w:afterAutospacing="0" w:line="360" w:lineRule="auto"/>
        <w:ind w:firstLine="584" w:firstLineChars="200"/>
        <w:rPr>
          <w:rFonts w:ascii="宋体" w:hAnsi="宋体"/>
          <w:color w:val="auto"/>
          <w:spacing w:val="6"/>
          <w:sz w:val="28"/>
          <w:szCs w:val="28"/>
          <w:highlight w:val="none"/>
        </w:rPr>
      </w:pPr>
    </w:p>
    <w:p>
      <w:pPr>
        <w:pageBreakBefore w:val="0"/>
        <w:kinsoku/>
        <w:wordWrap/>
        <w:overflowPunct/>
        <w:topLinePunct w:val="0"/>
        <w:bidi w:val="0"/>
        <w:adjustRightInd w:val="0"/>
        <w:snapToGrid w:val="0"/>
        <w:spacing w:afterAutospacing="0" w:line="360" w:lineRule="auto"/>
        <w:ind w:firstLine="584" w:firstLineChars="200"/>
        <w:rPr>
          <w:rFonts w:ascii="宋体" w:hAnsi="宋体"/>
          <w:color w:val="auto"/>
          <w:spacing w:val="6"/>
          <w:sz w:val="28"/>
          <w:szCs w:val="28"/>
          <w:highlight w:val="none"/>
        </w:rPr>
      </w:pPr>
    </w:p>
    <w:p>
      <w:pPr>
        <w:pageBreakBefore w:val="0"/>
        <w:kinsoku/>
        <w:wordWrap/>
        <w:overflowPunct/>
        <w:topLinePunct w:val="0"/>
        <w:bidi w:val="0"/>
        <w:adjustRightInd w:val="0"/>
        <w:snapToGrid w:val="0"/>
        <w:spacing w:afterAutospacing="0" w:line="360" w:lineRule="auto"/>
        <w:ind w:firstLine="584" w:firstLineChars="200"/>
        <w:jc w:val="right"/>
        <w:rPr>
          <w:rFonts w:ascii="宋体" w:hAnsi="宋体"/>
          <w:color w:val="auto"/>
          <w:spacing w:val="6"/>
          <w:sz w:val="28"/>
          <w:szCs w:val="28"/>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Style w:val="52"/>
        <w:pageBreakBefore w:val="0"/>
        <w:kinsoku/>
        <w:wordWrap/>
        <w:overflowPunct/>
        <w:topLinePunct w:val="0"/>
        <w:bidi w:val="0"/>
        <w:adjustRightInd w:val="0"/>
        <w:snapToGrid w:val="0"/>
        <w:spacing w:after="0" w:afterAutospacing="0" w:line="360" w:lineRule="auto"/>
        <w:ind w:left="0" w:leftChars="0" w:right="63" w:firstLine="624" w:firstLineChars="200"/>
        <w:jc w:val="right"/>
        <w:rPr>
          <w:rFonts w:ascii="仿宋_GB2312" w:eastAsia="仿宋_GB2312"/>
          <w:color w:val="auto"/>
          <w:spacing w:val="6"/>
          <w:sz w:val="30"/>
          <w:szCs w:val="30"/>
          <w:highlight w:val="none"/>
        </w:rPr>
      </w:pP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pageBreakBefore w:val="0"/>
        <w:kinsoku/>
        <w:wordWrap w:val="0"/>
        <w:overflowPunct/>
        <w:topLinePunct w:val="0"/>
        <w:bidi w:val="0"/>
        <w:adjustRightInd w:val="0"/>
        <w:snapToGrid w:val="0"/>
        <w:spacing w:afterAutospacing="0" w:line="360" w:lineRule="auto"/>
        <w:ind w:firstLine="560" w:firstLineChars="200"/>
        <w:jc w:val="right"/>
        <w:rPr>
          <w:rFonts w:hint="default" w:ascii="宋体" w:hAnsi="宋体" w:eastAsia="宋体" w:cs="宋体"/>
          <w:color w:val="auto"/>
          <w:kern w:val="2"/>
          <w:sz w:val="28"/>
          <w:szCs w:val="22"/>
          <w:highlight w:val="none"/>
          <w:u w:val="single"/>
          <w:lang w:val="en-US"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r>
        <w:rPr>
          <w:rFonts w:hint="eastAsia" w:cs="宋体"/>
          <w:color w:val="auto"/>
          <w:kern w:val="2"/>
          <w:sz w:val="28"/>
          <w:szCs w:val="22"/>
          <w:highlight w:val="none"/>
          <w:u w:val="single"/>
          <w:lang w:val="en-US" w:eastAsia="zh-CN" w:bidi="ar-SA"/>
        </w:rPr>
        <w:t xml:space="preserve">  </w:t>
      </w:r>
    </w:p>
    <w:p>
      <w:pPr>
        <w:pStyle w:val="51"/>
        <w:pageBreakBefore w:val="0"/>
        <w:kinsoku/>
        <w:wordWrap/>
        <w:overflowPunct/>
        <w:topLinePunct w:val="0"/>
        <w:bidi w:val="0"/>
        <w:adjustRightInd w:val="0"/>
        <w:snapToGrid w:val="0"/>
        <w:spacing w:afterAutospacing="0" w:line="360" w:lineRule="auto"/>
        <w:ind w:firstLine="586" w:firstLineChars="200"/>
        <w:rPr>
          <w:rFonts w:ascii="宋体" w:hAnsi="宋体"/>
          <w:b/>
          <w:color w:val="auto"/>
          <w:spacing w:val="6"/>
          <w:sz w:val="28"/>
          <w:szCs w:val="28"/>
          <w:highlight w:val="none"/>
        </w:rPr>
      </w:pPr>
    </w:p>
    <w:p>
      <w:pPr>
        <w:pageBreakBefore w:val="0"/>
        <w:kinsoku/>
        <w:wordWrap/>
        <w:overflowPunct/>
        <w:topLinePunct w:val="0"/>
        <w:bidi w:val="0"/>
        <w:adjustRightInd w:val="0"/>
        <w:snapToGrid w:val="0"/>
        <w:spacing w:afterAutospacing="0"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说明</w:t>
      </w:r>
      <w:r>
        <w:rPr>
          <w:rFonts w:ascii="宋体" w:hAnsi="宋体"/>
          <w:b/>
          <w:color w:val="auto"/>
          <w:sz w:val="28"/>
          <w:szCs w:val="28"/>
          <w:highlight w:val="none"/>
        </w:rPr>
        <w:t>：</w:t>
      </w:r>
      <w:r>
        <w:rPr>
          <w:rFonts w:hint="eastAsia" w:ascii="宋体" w:hAnsi="宋体"/>
          <w:b/>
          <w:color w:val="auto"/>
          <w:sz w:val="28"/>
          <w:szCs w:val="28"/>
          <w:highlight w:val="none"/>
        </w:rPr>
        <w:t>如未提供残疾人福利性单位声明函或提供的残疾人福利性单位声明函不符合磋商文件要求的，不能享受</w:t>
      </w: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文件规定的价格扣除，但不影响</w:t>
      </w:r>
      <w:r>
        <w:rPr>
          <w:rFonts w:hint="eastAsia" w:ascii="宋体" w:hAnsi="宋体"/>
          <w:b/>
          <w:color w:val="auto"/>
          <w:sz w:val="28"/>
          <w:szCs w:val="28"/>
          <w:highlight w:val="none"/>
          <w:lang w:eastAsia="zh-CN"/>
        </w:rPr>
        <w:t>供应商响应</w:t>
      </w:r>
      <w:r>
        <w:rPr>
          <w:rFonts w:hint="eastAsia" w:ascii="宋体" w:hAnsi="宋体"/>
          <w:b/>
          <w:color w:val="auto"/>
          <w:sz w:val="28"/>
          <w:szCs w:val="28"/>
          <w:highlight w:val="none"/>
        </w:rPr>
        <w:t>文件的有效性。</w:t>
      </w:r>
    </w:p>
    <w:p>
      <w:pPr>
        <w:bidi w:val="0"/>
        <w:rPr>
          <w:rFonts w:hint="eastAsia"/>
        </w:rPr>
      </w:pPr>
    </w:p>
    <w:p>
      <w:pPr>
        <w:pStyle w:val="2"/>
        <w:rPr>
          <w:rFonts w:hint="eastAsia"/>
        </w:rPr>
      </w:pPr>
    </w:p>
    <w:p>
      <w:pPr>
        <w:rPr>
          <w:rFonts w:hint="eastAsia"/>
        </w:rPr>
      </w:pPr>
    </w:p>
    <w:p>
      <w:pPr>
        <w:pStyle w:val="5"/>
        <w:keepNext/>
        <w:keepLines/>
        <w:pageBreakBefore w:val="0"/>
        <w:widowControl w:val="0"/>
        <w:numPr>
          <w:ilvl w:val="2"/>
          <w:numId w:val="0"/>
        </w:numPr>
        <w:kinsoku/>
        <w:wordWrap/>
        <w:overflowPunct/>
        <w:topLinePunct w:val="0"/>
        <w:autoSpaceDE/>
        <w:autoSpaceDN/>
        <w:bidi w:val="0"/>
        <w:adjustRightInd/>
        <w:snapToGrid/>
        <w:ind w:leftChars="0" w:firstLine="482" w:firstLineChars="200"/>
        <w:textAlignment w:val="auto"/>
        <w:rPr>
          <w:rFonts w:hint="eastAsia"/>
          <w:lang w:val="en-US" w:eastAsia="zh-CN"/>
        </w:rPr>
      </w:pPr>
      <w:bookmarkStart w:id="95" w:name="_Toc1947"/>
      <w:r>
        <w:rPr>
          <w:rFonts w:hint="eastAsia"/>
          <w:lang w:val="en-US" w:eastAsia="zh-CN"/>
        </w:rPr>
        <w:t>3.2.6所投产品技术性能、技术参数和配置的详细描述</w:t>
      </w:r>
      <w:bookmarkEnd w:id="95"/>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b/>
          <w:color w:val="auto"/>
          <w:sz w:val="28"/>
          <w:highlight w:val="none"/>
        </w:rPr>
      </w:pP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成都市温江区第二中学校多功能报告厅音视频系统建设改造项目</w:t>
      </w: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cs="Times New Roman"/>
          <w:b/>
          <w:bCs/>
          <w:color w:val="auto"/>
          <w:kern w:val="2"/>
          <w:sz w:val="28"/>
          <w:szCs w:val="28"/>
          <w:highlight w:val="none"/>
          <w:u w:val="single"/>
          <w:lang w:val="en-US" w:eastAsia="zh-CN" w:bidi="ar-SA"/>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温江政采（2021）A0062号</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pPr>
    </w:p>
    <w:p>
      <w:pPr>
        <w:pStyle w:val="2"/>
      </w:pPr>
    </w:p>
    <w:p/>
    <w:p>
      <w:pPr>
        <w:pStyle w:val="2"/>
      </w:pPr>
    </w:p>
    <w:p/>
    <w:p>
      <w:pPr>
        <w:pStyle w:val="2"/>
      </w:pPr>
    </w:p>
    <w:p/>
    <w:p>
      <w:pPr>
        <w:bidi w:val="0"/>
      </w:pPr>
    </w:p>
    <w:p>
      <w:pPr>
        <w:bidi w:val="0"/>
      </w:pPr>
    </w:p>
    <w:p>
      <w:pPr>
        <w:bidi w:val="0"/>
      </w:pP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none"/>
          <w:lang w:val="en-US" w:eastAsia="zh-CN" w:bidi="ar-SA"/>
        </w:rPr>
        <w:t xml:space="preserve"> </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pageBreakBefore w:val="0"/>
        <w:kinsoku/>
        <w:wordWrap w:val="0"/>
        <w:overflowPunct/>
        <w:topLinePunct w:val="0"/>
        <w:bidi w:val="0"/>
        <w:adjustRightInd w:val="0"/>
        <w:snapToGrid w:val="0"/>
        <w:spacing w:afterAutospacing="0" w:line="360" w:lineRule="auto"/>
        <w:ind w:firstLine="560" w:firstLineChars="200"/>
        <w:jc w:val="right"/>
        <w:rPr>
          <w:rFonts w:hint="default" w:ascii="宋体" w:hAnsi="宋体" w:eastAsia="宋体" w:cs="宋体"/>
          <w:color w:val="auto"/>
          <w:kern w:val="2"/>
          <w:sz w:val="28"/>
          <w:szCs w:val="22"/>
          <w:highlight w:val="none"/>
          <w:u w:val="single"/>
          <w:lang w:val="en-US"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r>
        <w:rPr>
          <w:rFonts w:hint="eastAsia" w:cs="宋体"/>
          <w:color w:val="auto"/>
          <w:kern w:val="2"/>
          <w:sz w:val="28"/>
          <w:szCs w:val="22"/>
          <w:highlight w:val="none"/>
          <w:u w:val="single"/>
          <w:lang w:val="en-US" w:eastAsia="zh-CN" w:bidi="ar-SA"/>
        </w:rPr>
        <w:t xml:space="preserve"> </w:t>
      </w:r>
      <w:r>
        <w:rPr>
          <w:rFonts w:hint="eastAsia" w:cs="宋体"/>
          <w:color w:val="auto"/>
          <w:kern w:val="2"/>
          <w:sz w:val="28"/>
          <w:szCs w:val="22"/>
          <w:highlight w:val="none"/>
          <w:u w:val="none"/>
          <w:lang w:val="en-US" w:eastAsia="zh-CN" w:bidi="ar-SA"/>
        </w:rPr>
        <w:t xml:space="preserve"> </w:t>
      </w:r>
    </w:p>
    <w:p>
      <w:pPr>
        <w:bidi w:val="0"/>
      </w:pPr>
    </w:p>
    <w:p>
      <w:pPr>
        <w:bidi w:val="0"/>
      </w:pPr>
    </w:p>
    <w:p>
      <w:pPr>
        <w:bidi w:val="0"/>
      </w:pPr>
    </w:p>
    <w:p>
      <w:pPr>
        <w:bidi w:val="0"/>
      </w:pPr>
    </w:p>
    <w:p>
      <w:pPr>
        <w:pStyle w:val="5"/>
        <w:keepNext/>
        <w:keepLines/>
        <w:pageBreakBefore w:val="0"/>
        <w:widowControl w:val="0"/>
        <w:numPr>
          <w:ilvl w:val="2"/>
          <w:numId w:val="0"/>
        </w:numPr>
        <w:kinsoku/>
        <w:wordWrap/>
        <w:overflowPunct/>
        <w:topLinePunct w:val="0"/>
        <w:autoSpaceDE/>
        <w:autoSpaceDN/>
        <w:bidi w:val="0"/>
        <w:adjustRightInd/>
        <w:snapToGrid/>
        <w:ind w:leftChars="0" w:firstLine="482" w:firstLineChars="200"/>
        <w:textAlignment w:val="auto"/>
        <w:rPr>
          <w:rFonts w:hint="eastAsia"/>
          <w:sz w:val="24"/>
          <w:szCs w:val="24"/>
          <w:lang w:val="en-US" w:eastAsia="zh-CN"/>
        </w:rPr>
      </w:pPr>
      <w:bookmarkStart w:id="96" w:name="_Toc14720"/>
      <w:r>
        <w:rPr>
          <w:rFonts w:hint="eastAsia"/>
          <w:sz w:val="24"/>
          <w:szCs w:val="24"/>
          <w:lang w:val="en-US" w:eastAsia="zh-CN"/>
        </w:rPr>
        <w:t>3.2.7售后服务方案</w:t>
      </w:r>
      <w:bookmarkEnd w:id="96"/>
    </w:p>
    <w:p>
      <w:pPr>
        <w:rPr>
          <w:rFonts w:hint="default"/>
          <w:lang w:val="en-US" w:eastAsia="zh-CN"/>
        </w:rPr>
      </w:pP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成都市温江区第二中学校多功能报告厅音视频系统建设改造项目</w:t>
      </w: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cs="Times New Roman"/>
          <w:b/>
          <w:bCs/>
          <w:color w:val="auto"/>
          <w:kern w:val="2"/>
          <w:sz w:val="28"/>
          <w:szCs w:val="28"/>
          <w:highlight w:val="none"/>
          <w:u w:val="single"/>
          <w:lang w:val="en-US" w:eastAsia="zh-CN" w:bidi="ar-SA"/>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温江政采（2021）A0062号</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rPr>
          <w:rFonts w:hint="eastAsia"/>
        </w:rPr>
      </w:pPr>
    </w:p>
    <w:p>
      <w:pPr>
        <w:bidi w:val="0"/>
        <w:rPr>
          <w:rFonts w:hint="eastAsia"/>
        </w:rPr>
      </w:pPr>
    </w:p>
    <w:p>
      <w:pPr>
        <w:bidi w:val="0"/>
        <w:rPr>
          <w:rFonts w:hint="eastAsia"/>
        </w:rPr>
      </w:pPr>
    </w:p>
    <w:p>
      <w:pPr>
        <w:pStyle w:val="43"/>
        <w:pageBreakBefore w:val="0"/>
        <w:kinsoku/>
        <w:wordWrap/>
        <w:overflowPunct/>
        <w:topLinePunct w:val="0"/>
        <w:bidi w:val="0"/>
        <w:adjustRightInd w:val="0"/>
        <w:snapToGrid w:val="0"/>
        <w:spacing w:afterAutospacing="0" w:line="360" w:lineRule="auto"/>
        <w:ind w:left="0" w:leftChars="0"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pageBreakBefore w:val="0"/>
        <w:kinsoku/>
        <w:wordWrap w:val="0"/>
        <w:overflowPunct/>
        <w:topLinePunct w:val="0"/>
        <w:bidi w:val="0"/>
        <w:adjustRightInd w:val="0"/>
        <w:snapToGrid w:val="0"/>
        <w:spacing w:afterAutospacing="0" w:line="360" w:lineRule="auto"/>
        <w:ind w:firstLine="560" w:firstLineChars="200"/>
        <w:jc w:val="right"/>
        <w:rPr>
          <w:rFonts w:hint="default" w:ascii="宋体" w:hAnsi="宋体" w:eastAsia="宋体" w:cs="宋体"/>
          <w:color w:val="auto"/>
          <w:kern w:val="2"/>
          <w:sz w:val="28"/>
          <w:szCs w:val="22"/>
          <w:highlight w:val="none"/>
          <w:u w:val="single"/>
          <w:lang w:val="en-US"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r>
        <w:rPr>
          <w:rFonts w:hint="eastAsia" w:cs="宋体"/>
          <w:color w:val="auto"/>
          <w:kern w:val="2"/>
          <w:sz w:val="28"/>
          <w:szCs w:val="22"/>
          <w:highlight w:val="none"/>
          <w:u w:val="single"/>
          <w:lang w:val="en-US" w:eastAsia="zh-CN" w:bidi="ar-SA"/>
        </w:rPr>
        <w:t xml:space="preserve">  </w:t>
      </w:r>
    </w:p>
    <w:p>
      <w:pPr>
        <w:pStyle w:val="5"/>
        <w:keepNext/>
        <w:keepLines/>
        <w:pageBreakBefore w:val="0"/>
        <w:widowControl w:val="0"/>
        <w:numPr>
          <w:ilvl w:val="2"/>
          <w:numId w:val="0"/>
        </w:numPr>
        <w:kinsoku/>
        <w:wordWrap/>
        <w:overflowPunct/>
        <w:topLinePunct w:val="0"/>
        <w:autoSpaceDE/>
        <w:autoSpaceDN/>
        <w:bidi w:val="0"/>
        <w:adjustRightInd/>
        <w:snapToGrid/>
        <w:ind w:leftChars="200"/>
        <w:textAlignment w:val="auto"/>
        <w:rPr>
          <w:rFonts w:hint="eastAsia"/>
          <w:sz w:val="24"/>
          <w:szCs w:val="24"/>
          <w:lang w:val="en-US" w:eastAsia="zh-CN"/>
        </w:rPr>
      </w:pPr>
      <w:bookmarkStart w:id="97" w:name="_Toc18710"/>
      <w:r>
        <w:rPr>
          <w:rFonts w:hint="eastAsia"/>
          <w:sz w:val="24"/>
          <w:szCs w:val="24"/>
          <w:lang w:val="en-US" w:eastAsia="zh-CN"/>
        </w:rPr>
        <w:t>3.2.8项目实施方案</w:t>
      </w:r>
      <w:bookmarkEnd w:id="97"/>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成都市温江区第二中学校多功能报告厅音视频系统建设改造项目</w:t>
      </w: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cs="Times New Roman"/>
          <w:b/>
          <w:bCs/>
          <w:color w:val="auto"/>
          <w:kern w:val="2"/>
          <w:sz w:val="28"/>
          <w:szCs w:val="28"/>
          <w:highlight w:val="none"/>
          <w:u w:val="single"/>
          <w:lang w:val="en-US" w:eastAsia="zh-CN" w:bidi="ar-SA"/>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温江政采（2021）A0062号</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pPr>
    </w:p>
    <w:p/>
    <w:p>
      <w:pPr>
        <w:pStyle w:val="2"/>
      </w:pPr>
    </w:p>
    <w:p/>
    <w:p>
      <w:pPr>
        <w:pStyle w:val="2"/>
      </w:pPr>
    </w:p>
    <w:p/>
    <w:p>
      <w:pPr>
        <w:pStyle w:val="2"/>
      </w:pPr>
    </w:p>
    <w:p>
      <w:pPr>
        <w:bidi w:val="0"/>
      </w:pPr>
    </w:p>
    <w:p>
      <w:pPr>
        <w:bidi w:val="0"/>
      </w:pPr>
    </w:p>
    <w:p>
      <w:pPr>
        <w:bidi w:val="0"/>
        <w:jc w:val="right"/>
      </w:pPr>
    </w:p>
    <w:p>
      <w:pPr>
        <w:pStyle w:val="43"/>
        <w:pageBreakBefore w:val="0"/>
        <w:kinsoku/>
        <w:wordWrap/>
        <w:overflowPunct/>
        <w:topLinePunct w:val="0"/>
        <w:bidi w:val="0"/>
        <w:adjustRightInd w:val="0"/>
        <w:snapToGrid w:val="0"/>
        <w:spacing w:afterAutospacing="0" w:line="360" w:lineRule="auto"/>
        <w:ind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none"/>
          <w:lang w:val="en-US" w:eastAsia="zh-CN" w:bidi="ar-SA"/>
        </w:rPr>
        <w:t xml:space="preserve"> </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pageBreakBefore w:val="0"/>
        <w:kinsoku/>
        <w:wordWrap w:val="0"/>
        <w:overflowPunct/>
        <w:topLinePunct w:val="0"/>
        <w:bidi w:val="0"/>
        <w:adjustRightInd w:val="0"/>
        <w:snapToGrid w:val="0"/>
        <w:spacing w:afterAutospacing="0" w:line="360" w:lineRule="auto"/>
        <w:ind w:firstLine="560" w:firstLineChars="200"/>
        <w:jc w:val="right"/>
        <w:rPr>
          <w:rFonts w:hint="eastAsia" w:cs="宋体"/>
          <w:color w:val="auto"/>
          <w:kern w:val="2"/>
          <w:sz w:val="28"/>
          <w:szCs w:val="22"/>
          <w:highlight w:val="none"/>
          <w:u w:val="single"/>
          <w:lang w:val="en-US"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r>
        <w:rPr>
          <w:rFonts w:hint="eastAsia" w:cs="宋体"/>
          <w:color w:val="auto"/>
          <w:kern w:val="2"/>
          <w:sz w:val="28"/>
          <w:szCs w:val="22"/>
          <w:highlight w:val="none"/>
          <w:u w:val="single"/>
          <w:lang w:val="en-US" w:eastAsia="zh-CN" w:bidi="ar-SA"/>
        </w:rPr>
        <w:t xml:space="preserve">  </w:t>
      </w:r>
    </w:p>
    <w:p>
      <w:pPr>
        <w:pStyle w:val="45"/>
        <w:pageBreakBefore w:val="0"/>
        <w:kinsoku/>
        <w:wordWrap/>
        <w:overflowPunct/>
        <w:topLinePunct w:val="0"/>
        <w:bidi w:val="0"/>
        <w:adjustRightInd w:val="0"/>
        <w:snapToGrid w:val="0"/>
        <w:spacing w:afterAutospacing="0" w:line="360" w:lineRule="auto"/>
        <w:ind w:firstLine="560" w:firstLineChars="200"/>
        <w:jc w:val="right"/>
        <w:rPr>
          <w:rFonts w:hint="eastAsia" w:cs="宋体"/>
          <w:color w:val="auto"/>
          <w:kern w:val="2"/>
          <w:sz w:val="28"/>
          <w:szCs w:val="22"/>
          <w:highlight w:val="none"/>
          <w:u w:val="single"/>
          <w:lang w:val="en-US" w:eastAsia="zh-CN" w:bidi="ar-SA"/>
        </w:rPr>
      </w:pPr>
    </w:p>
    <w:p>
      <w:pPr>
        <w:pStyle w:val="45"/>
        <w:pageBreakBefore w:val="0"/>
        <w:kinsoku/>
        <w:wordWrap/>
        <w:overflowPunct/>
        <w:topLinePunct w:val="0"/>
        <w:bidi w:val="0"/>
        <w:adjustRightInd w:val="0"/>
        <w:snapToGrid w:val="0"/>
        <w:spacing w:afterAutospacing="0" w:line="360" w:lineRule="auto"/>
        <w:ind w:firstLine="560" w:firstLineChars="200"/>
        <w:jc w:val="right"/>
        <w:rPr>
          <w:rFonts w:hint="eastAsia" w:cs="宋体"/>
          <w:color w:val="auto"/>
          <w:kern w:val="2"/>
          <w:sz w:val="28"/>
          <w:szCs w:val="22"/>
          <w:highlight w:val="none"/>
          <w:u w:val="single"/>
          <w:lang w:val="en-US" w:eastAsia="zh-CN" w:bidi="ar-SA"/>
        </w:rPr>
      </w:pPr>
    </w:p>
    <w:bookmarkEnd w:id="76"/>
    <w:p>
      <w:pPr>
        <w:pStyle w:val="5"/>
        <w:keepNext/>
        <w:keepLines/>
        <w:pageBreakBefore w:val="0"/>
        <w:widowControl w:val="0"/>
        <w:numPr>
          <w:ilvl w:val="2"/>
          <w:numId w:val="0"/>
        </w:numPr>
        <w:kinsoku/>
        <w:wordWrap/>
        <w:overflowPunct/>
        <w:topLinePunct w:val="0"/>
        <w:autoSpaceDE/>
        <w:autoSpaceDN/>
        <w:bidi w:val="0"/>
        <w:adjustRightInd w:val="0"/>
        <w:snapToGrid w:val="0"/>
        <w:ind w:leftChars="0" w:firstLine="482" w:firstLineChars="200"/>
        <w:textAlignment w:val="auto"/>
        <w:rPr>
          <w:rFonts w:hint="eastAsia"/>
          <w:sz w:val="24"/>
          <w:szCs w:val="24"/>
          <w:lang w:val="en-US" w:eastAsia="zh-CN"/>
        </w:rPr>
      </w:pPr>
      <w:bookmarkStart w:id="98" w:name="_Toc30388"/>
      <w:r>
        <w:rPr>
          <w:rFonts w:hint="eastAsia"/>
          <w:sz w:val="24"/>
          <w:szCs w:val="24"/>
          <w:lang w:val="en-US" w:eastAsia="zh-CN"/>
        </w:rPr>
        <w:t>3.2.9承诺函</w:t>
      </w:r>
      <w:bookmarkEnd w:id="98"/>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b/>
          <w:color w:val="auto"/>
          <w:sz w:val="28"/>
          <w:highlight w:val="none"/>
          <w:u w:val="single"/>
          <w:lang w:eastAsia="zh-CN"/>
        </w:rPr>
      </w:pPr>
      <w:r>
        <w:rPr>
          <w:rFonts w:hint="eastAsia" w:ascii="宋体" w:hAnsi="宋体"/>
          <w:b/>
          <w:color w:val="auto"/>
          <w:sz w:val="28"/>
          <w:highlight w:val="none"/>
        </w:rPr>
        <w:t>项目名称：</w:t>
      </w:r>
      <w:r>
        <w:rPr>
          <w:rFonts w:hint="eastAsia"/>
          <w:b/>
          <w:color w:val="auto"/>
          <w:sz w:val="28"/>
          <w:highlight w:val="none"/>
          <w:u w:val="single"/>
          <w:lang w:eastAsia="zh-CN"/>
        </w:rPr>
        <w:t>成都市温江区第二中学校多功能报告厅音视频系统建设改造项目</w:t>
      </w:r>
    </w:p>
    <w:p>
      <w:pPr>
        <w:pageBreakBefore w:val="0"/>
        <w:kinsoku/>
        <w:wordWrap/>
        <w:overflowPunct/>
        <w:topLinePunct w:val="0"/>
        <w:bidi w:val="0"/>
        <w:adjustRightInd w:val="0"/>
        <w:snapToGrid w:val="0"/>
        <w:spacing w:afterAutospacing="0" w:line="360" w:lineRule="auto"/>
        <w:ind w:right="-832" w:rightChars="-297" w:firstLine="562" w:firstLineChars="200"/>
        <w:rPr>
          <w:rFonts w:hint="eastAsia" w:ascii="宋体" w:hAnsi="宋体" w:eastAsia="宋体" w:cs="Times New Roman"/>
          <w:b/>
          <w:bCs/>
          <w:color w:val="auto"/>
          <w:kern w:val="2"/>
          <w:sz w:val="28"/>
          <w:szCs w:val="28"/>
          <w:highlight w:val="none"/>
          <w:u w:val="single"/>
          <w:lang w:val="en-US" w:eastAsia="zh-CN" w:bidi="ar-SA"/>
        </w:rPr>
      </w:pPr>
      <w:r>
        <w:rPr>
          <w:rFonts w:hint="eastAsia" w:ascii="宋体" w:hAnsi="宋体"/>
          <w:b/>
          <w:color w:val="auto"/>
          <w:sz w:val="28"/>
          <w:highlight w:val="none"/>
        </w:rPr>
        <w:t>项目编号：</w:t>
      </w:r>
      <w:r>
        <w:rPr>
          <w:rFonts w:hint="eastAsia"/>
          <w:b/>
          <w:color w:val="auto"/>
          <w:sz w:val="28"/>
          <w:highlight w:val="none"/>
          <w:u w:val="single"/>
          <w:lang w:eastAsia="zh-CN"/>
        </w:rPr>
        <w:t>温江政采（2021）A0062号</w:t>
      </w:r>
    </w:p>
    <w:p>
      <w:pPr>
        <w:pageBreakBefore w:val="0"/>
        <w:kinsoku/>
        <w:wordWrap/>
        <w:overflowPunct/>
        <w:topLinePunct w:val="0"/>
        <w:bidi w:val="0"/>
        <w:adjustRightInd w:val="0"/>
        <w:snapToGrid w:val="0"/>
        <w:spacing w:afterAutospacing="0" w:line="360" w:lineRule="auto"/>
        <w:ind w:firstLine="560" w:firstLineChars="200"/>
        <w:rPr>
          <w:rFonts w:hint="eastAsia" w:ascii="宋体" w:hAnsi="宋体"/>
          <w:color w:val="auto"/>
          <w:sz w:val="28"/>
          <w:highlight w:val="none"/>
        </w:rPr>
      </w:pPr>
    </w:p>
    <w:p>
      <w:pPr>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highlight w:val="none"/>
        </w:rPr>
      </w:pPr>
      <w:r>
        <w:rPr>
          <w:rFonts w:hint="eastAsia" w:ascii="宋体" w:hAnsi="宋体"/>
          <w:color w:val="auto"/>
          <w:sz w:val="28"/>
          <w:highlight w:val="none"/>
        </w:rPr>
        <w:t>我公司作为参加本项目的</w:t>
      </w:r>
      <w:r>
        <w:rPr>
          <w:rFonts w:hint="eastAsia"/>
          <w:color w:val="auto"/>
          <w:sz w:val="28"/>
          <w:highlight w:val="none"/>
          <w:lang w:eastAsia="zh-CN"/>
        </w:rPr>
        <w:t>供应商</w:t>
      </w:r>
      <w:r>
        <w:rPr>
          <w:rFonts w:hint="eastAsia" w:ascii="宋体" w:hAnsi="宋体"/>
          <w:color w:val="auto"/>
          <w:sz w:val="28"/>
          <w:highlight w:val="none"/>
        </w:rPr>
        <w:t>，在此郑重承诺：</w:t>
      </w:r>
    </w:p>
    <w:p>
      <w:pPr>
        <w:pStyle w:val="31"/>
        <w:pageBreakBefore w:val="0"/>
        <w:numPr>
          <w:ilvl w:val="0"/>
          <w:numId w:val="16"/>
        </w:numPr>
        <w:tabs>
          <w:tab w:val="left" w:pos="1134"/>
        </w:tabs>
        <w:kinsoku/>
        <w:wordWrap/>
        <w:overflowPunct/>
        <w:topLinePunct w:val="0"/>
        <w:bidi w:val="0"/>
        <w:adjustRightInd w:val="0"/>
        <w:snapToGrid w:val="0"/>
        <w:spacing w:afterAutospacing="0"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rPr>
        <w:t>为本项目提供的所有产品、辅材中</w:t>
      </w:r>
      <w:r>
        <w:rPr>
          <w:rFonts w:cs="宋体" w:asciiTheme="minorEastAsia" w:hAnsiTheme="minorEastAsia"/>
          <w:color w:val="auto"/>
          <w:sz w:val="28"/>
          <w:szCs w:val="28"/>
          <w:highlight w:val="none"/>
        </w:rPr>
        <w:t>属于《国家强制性产品认证目录》范围内产品的，均通过国家强制性产品认证并取得认证证书。</w:t>
      </w:r>
    </w:p>
    <w:p>
      <w:pPr>
        <w:pStyle w:val="31"/>
        <w:pageBreakBefore w:val="0"/>
        <w:numPr>
          <w:ilvl w:val="0"/>
          <w:numId w:val="16"/>
        </w:numPr>
        <w:tabs>
          <w:tab w:val="left" w:pos="1134"/>
        </w:tabs>
        <w:kinsoku/>
        <w:wordWrap/>
        <w:overflowPunct/>
        <w:topLinePunct w:val="0"/>
        <w:bidi w:val="0"/>
        <w:adjustRightInd w:val="0"/>
        <w:snapToGrid w:val="0"/>
        <w:spacing w:afterAutospacing="0" w:line="360" w:lineRule="auto"/>
        <w:ind w:left="0" w:firstLine="560" w:firstLineChars="200"/>
        <w:rPr>
          <w:rFonts w:ascii="宋体" w:hAnsi="宋体"/>
          <w:b/>
          <w:color w:val="auto"/>
          <w:sz w:val="28"/>
          <w:szCs w:val="28"/>
          <w:highlight w:val="none"/>
        </w:rPr>
      </w:pPr>
      <w:r>
        <w:rPr>
          <w:rFonts w:hint="eastAsia"/>
          <w:color w:val="auto"/>
          <w:sz w:val="28"/>
          <w:szCs w:val="28"/>
          <w:highlight w:val="none"/>
        </w:rPr>
        <w:t>为本项目提供的所有产品、辅材符合现行的强制性国家相关标准、行业标准。</w:t>
      </w:r>
    </w:p>
    <w:p>
      <w:pPr>
        <w:pStyle w:val="31"/>
        <w:pageBreakBefore w:val="0"/>
        <w:numPr>
          <w:ilvl w:val="0"/>
          <w:numId w:val="16"/>
        </w:numPr>
        <w:tabs>
          <w:tab w:val="left" w:pos="1134"/>
        </w:tabs>
        <w:kinsoku/>
        <w:wordWrap/>
        <w:overflowPunct/>
        <w:topLinePunct w:val="0"/>
        <w:bidi w:val="0"/>
        <w:adjustRightInd w:val="0"/>
        <w:snapToGrid w:val="0"/>
        <w:spacing w:afterAutospacing="0"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lang w:val="zh-CN"/>
        </w:rPr>
        <w:t>为本项目提供的所有产品中属于节能产品政府采购品目清单中的政府强制采购产品的，均具有国家确定的认证机构出具的有效期内的节能产品认证证书。</w:t>
      </w:r>
    </w:p>
    <w:p>
      <w:pPr>
        <w:pStyle w:val="31"/>
        <w:pageBreakBefore w:val="0"/>
        <w:numPr>
          <w:ilvl w:val="0"/>
          <w:numId w:val="16"/>
        </w:numPr>
        <w:tabs>
          <w:tab w:val="left" w:pos="1134"/>
        </w:tabs>
        <w:kinsoku/>
        <w:wordWrap/>
        <w:overflowPunct/>
        <w:topLinePunct w:val="0"/>
        <w:bidi w:val="0"/>
        <w:adjustRightInd w:val="0"/>
        <w:snapToGrid w:val="0"/>
        <w:spacing w:afterAutospacing="0" w:line="360" w:lineRule="auto"/>
        <w:ind w:left="0" w:firstLine="560" w:firstLineChars="200"/>
        <w:rPr>
          <w:rFonts w:ascii="宋体" w:hAnsi="宋体"/>
          <w:color w:val="auto"/>
          <w:sz w:val="28"/>
          <w:szCs w:val="28"/>
          <w:highlight w:val="none"/>
        </w:rPr>
      </w:pPr>
      <w:r>
        <w:rPr>
          <w:rFonts w:hint="eastAsia" w:ascii="宋体" w:hAnsi="宋体" w:eastAsia="宋体"/>
          <w:color w:val="auto"/>
          <w:sz w:val="28"/>
          <w:szCs w:val="28"/>
          <w:highlight w:val="none"/>
          <w:lang w:val="zh-CN"/>
        </w:rPr>
        <w:t>为本项目实施涉及的商品包装和快递包装，均符合财政部等三部门联合印发商品包装和快递包装政府采购需求标准（试行）（财办库[2020]123号）的要求。</w:t>
      </w:r>
    </w:p>
    <w:p>
      <w:pPr>
        <w:pageBreakBefore w:val="0"/>
        <w:kinsoku/>
        <w:wordWrap/>
        <w:overflowPunct/>
        <w:topLinePunct w:val="0"/>
        <w:bidi w:val="0"/>
        <w:adjustRightInd w:val="0"/>
        <w:snapToGrid w:val="0"/>
        <w:spacing w:afterAutospacing="0" w:line="360" w:lineRule="auto"/>
        <w:ind w:firstLine="560" w:firstLineChars="200"/>
        <w:rPr>
          <w:rFonts w:hint="eastAsia" w:ascii="宋体" w:hAnsi="宋体"/>
          <w:color w:val="auto"/>
          <w:sz w:val="28"/>
          <w:szCs w:val="28"/>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r>
        <w:rPr>
          <w:rFonts w:hint="eastAsia" w:ascii="宋体" w:hAnsi="宋体"/>
          <w:color w:val="auto"/>
          <w:sz w:val="28"/>
          <w:szCs w:val="28"/>
          <w:highlight w:val="none"/>
        </w:rPr>
        <w:t>特此承诺。</w:t>
      </w:r>
    </w:p>
    <w:p>
      <w:pPr>
        <w:pageBreakBefore w:val="0"/>
        <w:kinsoku/>
        <w:wordWrap/>
        <w:overflowPunct/>
        <w:topLinePunct w:val="0"/>
        <w:bidi w:val="0"/>
        <w:adjustRightInd w:val="0"/>
        <w:snapToGrid w:val="0"/>
        <w:spacing w:afterAutospacing="0" w:line="360" w:lineRule="auto"/>
        <w:ind w:firstLine="560" w:firstLineChars="200"/>
        <w:rPr>
          <w:rFonts w:ascii="宋体" w:hAnsi="宋体"/>
          <w:color w:val="auto"/>
          <w:sz w:val="28"/>
          <w:szCs w:val="28"/>
          <w:highlight w:val="none"/>
        </w:rPr>
      </w:pPr>
    </w:p>
    <w:p>
      <w:pPr>
        <w:pStyle w:val="43"/>
        <w:pageBreakBefore w:val="0"/>
        <w:kinsoku/>
        <w:wordWrap/>
        <w:overflowPunct/>
        <w:topLinePunct w:val="0"/>
        <w:bidi w:val="0"/>
        <w:adjustRightInd w:val="0"/>
        <w:snapToGrid w:val="0"/>
        <w:spacing w:afterAutospacing="0" w:line="360" w:lineRule="auto"/>
        <w:ind w:left="0" w:leftChars="0" w:firstLine="560" w:firstLineChars="200"/>
        <w:jc w:val="right"/>
        <w:rPr>
          <w:rFonts w:hint="eastAsia" w:ascii="宋体" w:hAnsi="宋体" w:eastAsia="宋体" w:cs="宋体"/>
          <w:color w:val="auto"/>
          <w:kern w:val="2"/>
          <w:sz w:val="28"/>
          <w:szCs w:val="22"/>
          <w:highlight w:val="none"/>
          <w:u w:val="single"/>
          <w:lang w:val="zh-CN" w:eastAsia="zh-CN" w:bidi="ar-SA"/>
        </w:rPr>
      </w:pPr>
      <w:r>
        <w:rPr>
          <w:rFonts w:hint="eastAsia" w:ascii="宋体" w:hAnsi="宋体" w:eastAsia="宋体" w:cs="宋体"/>
          <w:color w:val="auto"/>
          <w:kern w:val="2"/>
          <w:sz w:val="28"/>
          <w:szCs w:val="22"/>
          <w:highlight w:val="none"/>
          <w:u w:val="none"/>
          <w:lang w:val="zh-CN" w:eastAsia="zh-CN" w:bidi="ar-SA"/>
        </w:rPr>
        <w:t>供应商名称：</w:t>
      </w:r>
      <w:r>
        <w:rPr>
          <w:rFonts w:hint="eastAsia" w:hAnsi="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ab/>
      </w:r>
      <w:r>
        <w:rPr>
          <w:rFonts w:hint="eastAsia" w:ascii="宋体" w:hAnsi="宋体" w:eastAsia="宋体" w:cs="宋体"/>
          <w:color w:val="auto"/>
          <w:kern w:val="2"/>
          <w:sz w:val="28"/>
          <w:szCs w:val="22"/>
          <w:highlight w:val="none"/>
          <w:u w:val="single"/>
          <w:lang w:val="zh-CN" w:eastAsia="zh-CN" w:bidi="ar-SA"/>
        </w:rPr>
        <w:t xml:space="preserve">  </w:t>
      </w:r>
      <w:r>
        <w:rPr>
          <w:rFonts w:hint="eastAsia" w:hAnsi="宋体" w:eastAsia="宋体" w:cs="宋体"/>
          <w:color w:val="auto"/>
          <w:kern w:val="2"/>
          <w:sz w:val="28"/>
          <w:szCs w:val="22"/>
          <w:highlight w:val="none"/>
          <w:u w:val="single"/>
          <w:lang w:val="en-US" w:eastAsia="zh-CN" w:bidi="ar-SA"/>
        </w:rPr>
        <w:t xml:space="preserve">    </w:t>
      </w:r>
      <w:r>
        <w:rPr>
          <w:rFonts w:hint="eastAsia" w:ascii="宋体" w:hAnsi="宋体" w:eastAsia="宋体" w:cs="宋体"/>
          <w:color w:val="auto"/>
          <w:kern w:val="2"/>
          <w:sz w:val="28"/>
          <w:szCs w:val="22"/>
          <w:highlight w:val="none"/>
          <w:u w:val="single"/>
          <w:lang w:val="zh-CN" w:eastAsia="zh-CN" w:bidi="ar-SA"/>
        </w:rPr>
        <w:t xml:space="preserve">        </w:t>
      </w:r>
    </w:p>
    <w:p>
      <w:pPr>
        <w:pStyle w:val="45"/>
        <w:pageBreakBefore w:val="0"/>
        <w:kinsoku/>
        <w:wordWrap w:val="0"/>
        <w:overflowPunct/>
        <w:topLinePunct w:val="0"/>
        <w:bidi w:val="0"/>
        <w:adjustRightInd w:val="0"/>
        <w:snapToGrid w:val="0"/>
        <w:spacing w:afterAutospacing="0" w:line="360" w:lineRule="auto"/>
        <w:ind w:firstLine="560" w:firstLineChars="200"/>
        <w:jc w:val="right"/>
        <w:rPr>
          <w:rFonts w:hint="default" w:ascii="宋体" w:hAnsi="宋体" w:eastAsia="宋体" w:cs="宋体"/>
          <w:color w:val="auto"/>
          <w:kern w:val="2"/>
          <w:sz w:val="28"/>
          <w:szCs w:val="22"/>
          <w:highlight w:val="none"/>
          <w:u w:val="single"/>
          <w:lang w:val="en-US" w:eastAsia="zh-CN" w:bidi="ar-SA"/>
        </w:rPr>
      </w:pPr>
      <w:r>
        <w:rPr>
          <w:rFonts w:hint="eastAsia" w:ascii="宋体" w:hAnsi="宋体" w:eastAsia="宋体" w:cs="宋体"/>
          <w:color w:val="auto"/>
          <w:kern w:val="2"/>
          <w:sz w:val="28"/>
          <w:szCs w:val="22"/>
          <w:highlight w:val="none"/>
          <w:u w:val="none"/>
          <w:lang w:val="zh-CN" w:eastAsia="zh-CN" w:bidi="ar-SA"/>
        </w:rPr>
        <w:t>日      期：</w:t>
      </w:r>
      <w:r>
        <w:rPr>
          <w:rFonts w:hint="eastAsia" w:ascii="宋体" w:hAnsi="宋体" w:eastAsia="宋体" w:cs="宋体"/>
          <w:color w:val="auto"/>
          <w:kern w:val="2"/>
          <w:sz w:val="28"/>
          <w:szCs w:val="22"/>
          <w:highlight w:val="none"/>
          <w:u w:val="single"/>
          <w:lang w:val="zh-CN" w:eastAsia="zh-CN" w:bidi="ar-SA"/>
        </w:rPr>
        <w:t>　　年　　月　　日</w:t>
      </w:r>
      <w:r>
        <w:rPr>
          <w:rFonts w:hint="eastAsia" w:cs="宋体"/>
          <w:color w:val="auto"/>
          <w:kern w:val="2"/>
          <w:sz w:val="28"/>
          <w:szCs w:val="22"/>
          <w:highlight w:val="none"/>
          <w:u w:val="single"/>
          <w:lang w:val="en-US" w:eastAsia="zh-CN" w:bidi="ar-SA"/>
        </w:rPr>
        <w:t xml:space="preserve">  </w:t>
      </w:r>
    </w:p>
    <w:p>
      <w:pPr>
        <w:bidi w:val="0"/>
      </w:pPr>
    </w:p>
    <w:p>
      <w:pPr>
        <w:pStyle w:val="3"/>
        <w:bidi w:val="0"/>
        <w:rPr>
          <w:rFonts w:hint="eastAsia"/>
          <w:lang w:val="en-US" w:eastAsia="zh-CN"/>
        </w:rPr>
      </w:pPr>
      <w:bookmarkStart w:id="99" w:name="_Toc13353"/>
      <w:r>
        <w:rPr>
          <w:rFonts w:hint="eastAsia"/>
          <w:lang w:val="en-US" w:eastAsia="zh-CN"/>
        </w:rPr>
        <w:t>第4章技术、服务、商务及其他要求</w:t>
      </w:r>
      <w:bookmarkEnd w:id="99"/>
    </w:p>
    <w:bookmarkEnd w:id="75"/>
    <w:p>
      <w:pPr>
        <w:pStyle w:val="4"/>
        <w:keepNext/>
        <w:keepLines/>
        <w:pageBreakBefore w:val="0"/>
        <w:widowControl w:val="0"/>
        <w:numPr>
          <w:ilvl w:val="1"/>
          <w:numId w:val="0"/>
        </w:numPr>
        <w:kinsoku/>
        <w:wordWrap/>
        <w:overflowPunct/>
        <w:topLinePunct w:val="0"/>
        <w:autoSpaceDE/>
        <w:autoSpaceDN/>
        <w:bidi w:val="0"/>
        <w:adjustRightInd w:val="0"/>
        <w:snapToGrid w:val="0"/>
        <w:spacing w:before="0" w:beforeLines="0" w:after="0" w:afterLines="0" w:afterAutospacing="0" w:line="360" w:lineRule="auto"/>
        <w:jc w:val="both"/>
        <w:textAlignment w:val="auto"/>
        <w:rPr>
          <w:rFonts w:hint="default"/>
          <w:color w:val="auto"/>
          <w:sz w:val="28"/>
          <w:szCs w:val="28"/>
          <w:highlight w:val="none"/>
          <w:lang w:val="en-US" w:eastAsia="zh-CN"/>
        </w:rPr>
      </w:pPr>
      <w:bookmarkStart w:id="100" w:name="_Toc75528705"/>
      <w:bookmarkStart w:id="101" w:name="_Toc22154"/>
      <w:r>
        <w:rPr>
          <w:rFonts w:hint="eastAsia"/>
          <w:color w:val="auto"/>
          <w:highlight w:val="none"/>
          <w:lang w:val="en-US" w:eastAsia="zh-CN"/>
        </w:rPr>
        <w:t>4.1</w:t>
      </w:r>
      <w:bookmarkEnd w:id="100"/>
      <w:r>
        <w:rPr>
          <w:rFonts w:hint="eastAsia"/>
          <w:color w:val="auto"/>
          <w:highlight w:val="none"/>
          <w:lang w:val="en-US" w:eastAsia="zh-CN"/>
        </w:rPr>
        <w:t>技术、服务要求</w:t>
      </w:r>
      <w:bookmarkEnd w:id="101"/>
    </w:p>
    <w:p>
      <w:pPr>
        <w:pStyle w:val="5"/>
        <w:numPr>
          <w:ilvl w:val="2"/>
          <w:numId w:val="0"/>
        </w:numPr>
        <w:bidi w:val="0"/>
        <w:ind w:leftChars="200"/>
        <w:rPr>
          <w:rFonts w:hint="default"/>
          <w:sz w:val="24"/>
          <w:szCs w:val="24"/>
          <w:lang w:val="en-US" w:eastAsia="zh-CN"/>
        </w:rPr>
      </w:pPr>
      <w:bookmarkStart w:id="102" w:name="_Toc5653"/>
      <w:r>
        <w:rPr>
          <w:rFonts w:hint="eastAsia"/>
          <w:sz w:val="24"/>
          <w:szCs w:val="24"/>
          <w:lang w:val="en-US" w:eastAsia="zh-CN"/>
        </w:rPr>
        <w:t>4.1.1项目概况</w:t>
      </w:r>
      <w:bookmarkEnd w:id="102"/>
    </w:p>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jc w:val="left"/>
        <w:textAlignment w:val="auto"/>
        <w:rPr>
          <w:rFonts w:hint="eastAsia" w:ascii="宋体" w:hAnsi="宋体" w:eastAsia="宋体" w:cstheme="minorBidi"/>
          <w:sz w:val="28"/>
          <w:szCs w:val="28"/>
        </w:rPr>
      </w:pPr>
      <w:bookmarkStart w:id="103" w:name="_Toc32021"/>
      <w:bookmarkStart w:id="104" w:name="_Toc8181"/>
      <w:r>
        <w:rPr>
          <w:rFonts w:hint="eastAsia"/>
          <w:sz w:val="28"/>
          <w:szCs w:val="28"/>
          <w:lang w:val="en-US" w:eastAsia="zh-CN"/>
        </w:rPr>
        <w:t>名称：</w:t>
      </w:r>
      <w:bookmarkEnd w:id="103"/>
      <w:bookmarkEnd w:id="104"/>
      <w:r>
        <w:rPr>
          <w:rFonts w:ascii="宋体" w:hAnsi="宋体" w:eastAsia="宋体" w:cstheme="minorBidi"/>
          <w:sz w:val="24"/>
          <w:szCs w:val="24"/>
        </w:rPr>
        <w:t xml:space="preserve"> </w:t>
      </w:r>
      <w:r>
        <w:rPr>
          <w:rFonts w:hint="eastAsia" w:ascii="宋体" w:hAnsi="宋体" w:eastAsia="宋体" w:cstheme="minorBidi"/>
          <w:sz w:val="28"/>
          <w:szCs w:val="28"/>
        </w:rPr>
        <w:t>成都市温江区第二中学校多功能报告厅音视频系统</w:t>
      </w:r>
    </w:p>
    <w:p>
      <w:pPr>
        <w:numPr>
          <w:ilvl w:val="0"/>
          <w:numId w:val="0"/>
        </w:numPr>
        <w:spacing w:line="360" w:lineRule="auto"/>
        <w:ind w:firstLine="1960" w:firstLineChars="700"/>
        <w:jc w:val="left"/>
        <w:rPr>
          <w:rFonts w:ascii="宋体" w:hAnsi="宋体" w:eastAsia="宋体" w:cstheme="minorBidi"/>
          <w:sz w:val="28"/>
          <w:szCs w:val="28"/>
        </w:rPr>
      </w:pPr>
      <w:r>
        <w:rPr>
          <w:rFonts w:hint="eastAsia" w:ascii="宋体" w:hAnsi="宋体" w:eastAsia="宋体" w:cstheme="minorBidi"/>
          <w:sz w:val="28"/>
          <w:szCs w:val="28"/>
        </w:rPr>
        <w:t>建设改造项目</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bookmarkStart w:id="105" w:name="_Toc27511"/>
      <w:bookmarkStart w:id="106" w:name="_Toc9678"/>
      <w:r>
        <w:rPr>
          <w:rFonts w:hint="eastAsia"/>
          <w:sz w:val="28"/>
          <w:szCs w:val="28"/>
          <w:lang w:val="en-US" w:eastAsia="zh-CN"/>
        </w:rPr>
        <w:t>二、数量：一批</w:t>
      </w:r>
      <w:bookmarkEnd w:id="105"/>
      <w:bookmarkEnd w:id="106"/>
      <w:r>
        <w:rPr>
          <w:rFonts w:hint="eastAsia"/>
          <w:sz w:val="28"/>
          <w:szCs w:val="28"/>
          <w:lang w:val="en-US" w:eastAsia="zh-CN"/>
        </w:rPr>
        <w:t xml:space="preserve"> </w:t>
      </w:r>
    </w:p>
    <w:p>
      <w:pPr>
        <w:rPr>
          <w:rFonts w:hint="default"/>
          <w:sz w:val="28"/>
          <w:szCs w:val="28"/>
          <w:highlight w:val="yellow"/>
          <w:lang w:val="en-US" w:eastAsia="zh-CN"/>
        </w:rPr>
      </w:pPr>
      <w:bookmarkStart w:id="107" w:name="_Toc17651"/>
      <w:bookmarkStart w:id="108" w:name="_Toc15698"/>
      <w:r>
        <w:rPr>
          <w:rFonts w:hint="eastAsia"/>
          <w:sz w:val="28"/>
          <w:szCs w:val="28"/>
          <w:highlight w:val="none"/>
          <w:lang w:val="en-US" w:eastAsia="zh-CN"/>
        </w:rPr>
        <w:t>三、用途的简要说明：</w:t>
      </w:r>
      <w:bookmarkEnd w:id="107"/>
      <w:bookmarkEnd w:id="108"/>
      <w:bookmarkStart w:id="109" w:name="_Toc75528706"/>
      <w:r>
        <w:rPr>
          <w:rFonts w:hint="eastAsia" w:ascii="Times New Roman" w:hAnsi="Times New Roman" w:eastAsia="宋体"/>
          <w:sz w:val="28"/>
          <w:szCs w:val="28"/>
          <w:highlight w:val="none"/>
        </w:rPr>
        <w:t>多功能演出舞台使用功能需求是校园文化建设是重要组成部分，</w:t>
      </w:r>
      <w:r>
        <w:rPr>
          <w:rFonts w:hint="eastAsia" w:ascii="Times New Roman" w:hAnsi="Times New Roman"/>
          <w:sz w:val="28"/>
          <w:szCs w:val="28"/>
          <w:highlight w:val="none"/>
          <w:lang w:val="en-US" w:eastAsia="zh-CN"/>
        </w:rPr>
        <w:t>可以</w:t>
      </w:r>
      <w:r>
        <w:rPr>
          <w:rFonts w:hint="eastAsia" w:ascii="Times New Roman" w:hAnsi="Times New Roman" w:eastAsia="宋体"/>
          <w:sz w:val="28"/>
          <w:szCs w:val="28"/>
          <w:highlight w:val="none"/>
        </w:rPr>
        <w:t>提</w:t>
      </w:r>
      <w:r>
        <w:rPr>
          <w:rFonts w:hint="eastAsia" w:ascii="Times New Roman" w:hAnsi="Times New Roman" w:eastAsia="宋体"/>
          <w:sz w:val="28"/>
          <w:szCs w:val="28"/>
        </w:rPr>
        <w:t>高学生自我表现能力</w:t>
      </w:r>
      <w:r>
        <w:rPr>
          <w:rFonts w:hint="eastAsia" w:ascii="Times New Roman" w:hAnsi="Times New Roman"/>
          <w:sz w:val="28"/>
          <w:szCs w:val="28"/>
          <w:lang w:eastAsia="zh-CN"/>
        </w:rPr>
        <w:t>、</w:t>
      </w:r>
      <w:r>
        <w:rPr>
          <w:rFonts w:hint="eastAsia" w:ascii="Times New Roman" w:hAnsi="Times New Roman" w:eastAsia="宋体"/>
          <w:sz w:val="28"/>
          <w:szCs w:val="28"/>
        </w:rPr>
        <w:t>学习的兴趣、效率和能动性</w:t>
      </w:r>
      <w:r>
        <w:rPr>
          <w:rFonts w:hint="eastAsia" w:ascii="Times New Roman" w:hAnsi="Times New Roman"/>
          <w:sz w:val="28"/>
          <w:szCs w:val="28"/>
          <w:lang w:eastAsia="zh-CN"/>
        </w:rPr>
        <w:t>。</w:t>
      </w:r>
    </w:p>
    <w:p>
      <w:pPr>
        <w:pStyle w:val="5"/>
        <w:numPr>
          <w:ilvl w:val="2"/>
          <w:numId w:val="0"/>
        </w:numPr>
        <w:bidi w:val="0"/>
        <w:ind w:leftChars="200"/>
        <w:rPr>
          <w:rFonts w:hint="eastAsia"/>
          <w:sz w:val="24"/>
          <w:szCs w:val="24"/>
          <w:lang w:val="en-US" w:eastAsia="zh-CN"/>
        </w:rPr>
      </w:pPr>
      <w:bookmarkStart w:id="110" w:name="_Toc32414"/>
      <w:r>
        <w:rPr>
          <w:rFonts w:hint="eastAsia"/>
          <w:sz w:val="24"/>
          <w:szCs w:val="24"/>
          <w:lang w:val="en-US" w:eastAsia="zh-CN"/>
        </w:rPr>
        <w:t>4.1.2</w:t>
      </w:r>
      <w:bookmarkEnd w:id="109"/>
      <w:r>
        <w:rPr>
          <w:rFonts w:hint="eastAsia"/>
          <w:sz w:val="24"/>
          <w:szCs w:val="24"/>
          <w:lang w:val="en-US" w:eastAsia="zh-CN"/>
        </w:rPr>
        <w:t>技术参数及要求</w:t>
      </w:r>
      <w:bookmarkEnd w:id="110"/>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b/>
          <w:bCs/>
          <w:sz w:val="28"/>
          <w:szCs w:val="28"/>
          <w:lang w:val="en-US" w:eastAsia="zh-CN"/>
        </w:rPr>
      </w:pPr>
      <w:bookmarkStart w:id="111" w:name="_Toc32420"/>
      <w:bookmarkStart w:id="112" w:name="_Toc14821"/>
      <w:r>
        <w:rPr>
          <w:rFonts w:hint="eastAsia"/>
          <w:sz w:val="28"/>
          <w:szCs w:val="28"/>
          <w:lang w:val="en-US" w:eastAsia="zh-CN"/>
        </w:rPr>
        <w:t>详见附件</w:t>
      </w:r>
      <w:bookmarkEnd w:id="111"/>
      <w:bookmarkEnd w:id="112"/>
      <w:r>
        <w:rPr>
          <w:rFonts w:hint="eastAsia"/>
          <w:b/>
          <w:bCs/>
          <w:sz w:val="28"/>
          <w:szCs w:val="28"/>
          <w:lang w:val="en-US" w:eastAsia="zh-CN"/>
        </w:rPr>
        <w:t>《成都市温江二中多功能报告厅音视频系统建设项目技术方案》</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left="0" w:leftChars="0" w:firstLine="0" w:firstLineChars="0"/>
        <w:textAlignment w:val="auto"/>
        <w:outlineLvl w:val="1"/>
        <w:rPr>
          <w:rFonts w:hint="eastAsia" w:cs="Times New Roman"/>
          <w:b/>
          <w:bCs/>
          <w:iCs/>
          <w:color w:val="auto"/>
          <w:kern w:val="0"/>
          <w:sz w:val="28"/>
          <w:szCs w:val="28"/>
          <w:highlight w:val="none"/>
          <w:lang w:val="en-US" w:eastAsia="zh-CN" w:bidi="ar-SA"/>
        </w:rPr>
      </w:pPr>
      <w:bookmarkStart w:id="113" w:name="_Toc15864"/>
      <w:r>
        <w:rPr>
          <w:rFonts w:hint="eastAsia" w:cs="Times New Roman"/>
          <w:b/>
          <w:bCs/>
          <w:iCs/>
          <w:color w:val="auto"/>
          <w:kern w:val="0"/>
          <w:sz w:val="28"/>
          <w:szCs w:val="28"/>
          <w:highlight w:val="none"/>
          <w:lang w:val="en-US" w:eastAsia="zh-CN" w:bidi="ar-SA"/>
        </w:rPr>
        <w:t>4.2商务要求</w:t>
      </w:r>
      <w:bookmarkEnd w:id="113"/>
    </w:p>
    <w:p>
      <w:pPr>
        <w:pStyle w:val="5"/>
        <w:numPr>
          <w:ilvl w:val="2"/>
          <w:numId w:val="0"/>
        </w:numPr>
        <w:bidi w:val="0"/>
        <w:ind w:leftChars="200"/>
        <w:rPr>
          <w:rFonts w:hint="default"/>
          <w:sz w:val="24"/>
          <w:szCs w:val="24"/>
          <w:lang w:val="en-US" w:eastAsia="zh-CN"/>
        </w:rPr>
      </w:pPr>
      <w:bookmarkStart w:id="114" w:name="_Toc2489"/>
      <w:r>
        <w:rPr>
          <w:rFonts w:hint="eastAsia"/>
          <w:sz w:val="24"/>
          <w:szCs w:val="24"/>
          <w:lang w:val="en-US" w:eastAsia="zh-CN"/>
        </w:rPr>
        <w:t>4.2.1履约时间、地点及方式</w:t>
      </w:r>
      <w:bookmarkEnd w:id="114"/>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签订合同30个日历日内</w:t>
      </w:r>
      <w:r>
        <w:rPr>
          <w:rFonts w:hint="eastAsia" w:asciiTheme="minorEastAsia" w:hAnsiTheme="minorEastAsia" w:eastAsiaTheme="minorEastAsia"/>
          <w:szCs w:val="21"/>
          <w:highlight w:val="none"/>
          <w:lang w:eastAsia="zh-CN"/>
        </w:rPr>
        <w:t>，</w:t>
      </w:r>
      <w:r>
        <w:rPr>
          <w:rFonts w:hint="eastAsia" w:asciiTheme="minorEastAsia" w:hAnsiTheme="minorEastAsia" w:eastAsiaTheme="minorEastAsia"/>
          <w:szCs w:val="21"/>
          <w:highlight w:val="none"/>
        </w:rPr>
        <w:t>按甲方指定的方式送到学校</w:t>
      </w:r>
      <w:r>
        <w:rPr>
          <w:rFonts w:hint="eastAsia" w:asciiTheme="minorEastAsia" w:hAnsiTheme="minorEastAsia" w:eastAsiaTheme="minorEastAsia"/>
          <w:sz w:val="28"/>
          <w:szCs w:val="28"/>
          <w:highlight w:val="none"/>
          <w:lang w:eastAsia="zh-CN"/>
        </w:rPr>
        <w:t>。</w:t>
      </w:r>
      <w:r>
        <w:rPr>
          <w:rFonts w:hint="eastAsia" w:ascii="Times New Roman" w:hAnsi="Times New Roman" w:eastAsia="宋体"/>
          <w:sz w:val="28"/>
          <w:szCs w:val="28"/>
          <w:highlight w:val="none"/>
        </w:rPr>
        <w:t>货物到达生产现场后，卖方接到买方通知后7日内到达现场组织安装、调试，达到正常运行要求，保证买方正常使用。</w:t>
      </w:r>
    </w:p>
    <w:p>
      <w:pPr>
        <w:pStyle w:val="5"/>
        <w:pageBreakBefore w:val="0"/>
        <w:widowControl w:val="0"/>
        <w:numPr>
          <w:ilvl w:val="2"/>
          <w:numId w:val="0"/>
        </w:numPr>
        <w:kinsoku/>
        <w:wordWrap/>
        <w:overflowPunct/>
        <w:topLinePunct w:val="0"/>
        <w:autoSpaceDE/>
        <w:autoSpaceDN/>
        <w:bidi w:val="0"/>
        <w:adjustRightInd w:val="0"/>
        <w:snapToGrid w:val="0"/>
        <w:spacing w:line="360" w:lineRule="auto"/>
        <w:ind w:leftChars="0" w:firstLine="482" w:firstLineChars="200"/>
        <w:textAlignment w:val="auto"/>
        <w:rPr>
          <w:rFonts w:hint="eastAsia"/>
          <w:sz w:val="24"/>
          <w:szCs w:val="24"/>
          <w:lang w:val="en-US" w:eastAsia="zh-CN"/>
        </w:rPr>
      </w:pPr>
      <w:bookmarkStart w:id="115" w:name="_Toc27384"/>
      <w:r>
        <w:rPr>
          <w:rFonts w:hint="eastAsia"/>
          <w:sz w:val="24"/>
          <w:szCs w:val="24"/>
          <w:lang w:val="en-US" w:eastAsia="zh-CN"/>
        </w:rPr>
        <w:t>4.2.2履约验收</w:t>
      </w:r>
      <w:bookmarkEnd w:id="115"/>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jc w:val="left"/>
        <w:textAlignment w:val="auto"/>
        <w:rPr>
          <w:rFonts w:hint="eastAsia" w:ascii="Times New Roman" w:hAnsi="Times New Roman" w:cs="Times New Roman"/>
          <w:color w:val="000000"/>
          <w:kern w:val="0"/>
          <w:sz w:val="28"/>
          <w:szCs w:val="28"/>
          <w:highlight w:val="none"/>
          <w:shd w:val="clear" w:color="auto" w:fill="FFFFFF"/>
          <w:lang w:val="en-US" w:eastAsia="zh-CN" w:bidi="ar-SA"/>
        </w:rPr>
      </w:pPr>
      <w:r>
        <w:rPr>
          <w:rFonts w:hint="eastAsia" w:ascii="Times New Roman" w:hAnsi="Times New Roman" w:cs="Times New Roman"/>
          <w:color w:val="000000"/>
          <w:kern w:val="0"/>
          <w:sz w:val="28"/>
          <w:szCs w:val="28"/>
          <w:highlight w:val="none"/>
          <w:shd w:val="clear" w:color="auto" w:fill="FFFFFF"/>
          <w:lang w:val="en-US" w:eastAsia="zh-CN" w:bidi="ar-SA"/>
        </w:rPr>
        <w:t>设备安装完成后，供应商需提前来校：（1）对设备使用人员进行操作应用、安全防护等方面的技能培训。（2）对教师进行产品培训，提供示范课支持，并提供相关教学指导。</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jc w:val="left"/>
        <w:textAlignment w:val="auto"/>
        <w:rPr>
          <w:rFonts w:hint="default"/>
          <w:b/>
          <w:bCs/>
          <w:highlight w:val="none"/>
          <w:lang w:val="en-US" w:eastAsia="zh-CN"/>
        </w:rPr>
      </w:pPr>
      <w:r>
        <w:rPr>
          <w:rFonts w:hint="eastAsia" w:ascii="Times New Roman" w:hAnsi="Times New Roman" w:cs="Times New Roman"/>
          <w:color w:val="000000"/>
          <w:kern w:val="0"/>
          <w:sz w:val="28"/>
          <w:szCs w:val="28"/>
          <w:highlight w:val="none"/>
          <w:shd w:val="clear" w:color="auto" w:fill="FFFFFF"/>
          <w:lang w:val="en-US" w:eastAsia="zh-CN" w:bidi="ar-SA"/>
        </w:rPr>
        <w:t>设备经过试运行后，未发现任何问题，</w:t>
      </w:r>
      <w:r>
        <w:rPr>
          <w:rFonts w:hint="eastAsia" w:ascii="宋体" w:hAnsi="宋体" w:eastAsia="宋体"/>
          <w:sz w:val="28"/>
          <w:szCs w:val="28"/>
          <w:highlight w:val="none"/>
        </w:rPr>
        <w:t>按照《财政部关于进一步加强政府采购需求和履约验收管理的指导意见》（财库〔2016〕205 号）</w:t>
      </w:r>
      <w:r>
        <w:rPr>
          <w:rFonts w:hint="eastAsia" w:ascii="宋体" w:hAnsi="宋体" w:eastAsia="宋体" w:cs="宋体"/>
          <w:color w:val="000000"/>
          <w:kern w:val="0"/>
          <w:sz w:val="28"/>
          <w:szCs w:val="28"/>
          <w:highlight w:val="none"/>
          <w:shd w:val="clear" w:color="auto" w:fill="FFFFFF"/>
          <w:lang w:val="en-US" w:eastAsia="zh-CN" w:bidi="ar-SA"/>
        </w:rPr>
        <w:t>进行最终验收。</w:t>
      </w:r>
      <w:r>
        <w:rPr>
          <w:rFonts w:hint="eastAsia" w:cs="宋体"/>
          <w:b/>
          <w:bCs/>
          <w:color w:val="000000"/>
          <w:kern w:val="2"/>
          <w:sz w:val="28"/>
          <w:szCs w:val="28"/>
          <w:highlight w:val="none"/>
          <w:shd w:val="clear" w:color="auto" w:fill="FFFFFF"/>
          <w:lang w:val="en-US" w:eastAsia="zh-CN"/>
        </w:rPr>
        <w:t>其余详见附件《</w:t>
      </w:r>
      <w:r>
        <w:rPr>
          <w:rFonts w:hint="eastAsia" w:ascii="宋体" w:hAnsi="宋体" w:eastAsia="宋体" w:cstheme="minorBidi"/>
          <w:b/>
          <w:bCs/>
          <w:sz w:val="28"/>
          <w:szCs w:val="28"/>
          <w:highlight w:val="none"/>
        </w:rPr>
        <w:t>成都市温江区第二中学校多功能报告厅音视频系统建设改造项目</w:t>
      </w:r>
      <w:r>
        <w:rPr>
          <w:rFonts w:hint="eastAsia" w:cs="宋体"/>
          <w:b/>
          <w:bCs/>
          <w:color w:val="000000"/>
          <w:kern w:val="2"/>
          <w:sz w:val="28"/>
          <w:szCs w:val="28"/>
          <w:highlight w:val="none"/>
          <w:shd w:val="clear" w:color="auto" w:fill="FFFFFF"/>
          <w:lang w:val="en-US" w:eastAsia="zh-CN"/>
        </w:rPr>
        <w:t>技术方案》</w:t>
      </w:r>
    </w:p>
    <w:p>
      <w:pPr>
        <w:pStyle w:val="5"/>
        <w:numPr>
          <w:ilvl w:val="2"/>
          <w:numId w:val="0"/>
        </w:numPr>
        <w:bidi w:val="0"/>
        <w:ind w:leftChars="200"/>
        <w:rPr>
          <w:rFonts w:hint="default"/>
          <w:highlight w:val="none"/>
          <w:lang w:val="en-US"/>
        </w:rPr>
      </w:pPr>
      <w:bookmarkStart w:id="116" w:name="_Toc5097"/>
      <w:r>
        <w:rPr>
          <w:rFonts w:hint="eastAsia"/>
          <w:highlight w:val="none"/>
          <w:lang w:val="en-US" w:eastAsia="zh-CN"/>
        </w:rPr>
        <w:t>4.2.3</w:t>
      </w:r>
      <w:r>
        <w:rPr>
          <w:rFonts w:hint="default"/>
          <w:highlight w:val="none"/>
          <w:lang w:val="en-US" w:eastAsia="zh-CN"/>
        </w:rPr>
        <w:t>售后服务</w:t>
      </w:r>
      <w:r>
        <w:rPr>
          <w:rFonts w:hint="eastAsia"/>
          <w:highlight w:val="none"/>
          <w:lang w:val="en-US" w:eastAsia="zh-CN"/>
        </w:rPr>
        <w:t>的</w:t>
      </w:r>
      <w:r>
        <w:rPr>
          <w:rFonts w:hint="default"/>
          <w:highlight w:val="none"/>
          <w:lang w:val="en-US" w:eastAsia="zh-CN"/>
        </w:rPr>
        <w:t>要求</w:t>
      </w:r>
      <w:bookmarkEnd w:id="116"/>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auto"/>
        <w:ind w:left="0" w:leftChars="0" w:firstLine="400" w:firstLineChars="0"/>
        <w:textAlignment w:val="auto"/>
        <w:rPr>
          <w:rFonts w:ascii="宋体" w:hAnsi="宋体" w:eastAsia="宋体"/>
          <w:sz w:val="28"/>
          <w:szCs w:val="28"/>
          <w:highlight w:val="none"/>
        </w:rPr>
      </w:pPr>
      <w:r>
        <w:rPr>
          <w:rFonts w:hint="default" w:ascii="宋体" w:hAnsi="宋体" w:eastAsia="宋体" w:cs="Times New Roman"/>
          <w:b w:val="0"/>
          <w:bCs w:val="0"/>
          <w:iCs/>
          <w:color w:val="auto"/>
          <w:kern w:val="0"/>
          <w:sz w:val="28"/>
          <w:szCs w:val="28"/>
          <w:highlight w:val="none"/>
          <w:lang w:val="en-US" w:eastAsia="zh-CN" w:bidi="ar-SA"/>
        </w:rPr>
        <w:t>验收合格后</w:t>
      </w:r>
      <w:r>
        <w:rPr>
          <w:rFonts w:hint="eastAsia" w:cs="Times New Roman"/>
          <w:b w:val="0"/>
          <w:bCs w:val="0"/>
          <w:iCs/>
          <w:color w:val="auto"/>
          <w:kern w:val="0"/>
          <w:sz w:val="28"/>
          <w:szCs w:val="28"/>
          <w:highlight w:val="none"/>
          <w:lang w:val="en-US" w:eastAsia="zh-CN" w:bidi="ar-SA"/>
        </w:rPr>
        <w:t>三</w:t>
      </w:r>
      <w:r>
        <w:rPr>
          <w:rFonts w:hint="default" w:ascii="宋体" w:hAnsi="宋体" w:eastAsia="宋体" w:cs="Times New Roman"/>
          <w:b w:val="0"/>
          <w:bCs w:val="0"/>
          <w:iCs/>
          <w:color w:val="auto"/>
          <w:kern w:val="0"/>
          <w:sz w:val="28"/>
          <w:szCs w:val="28"/>
          <w:highlight w:val="none"/>
          <w:lang w:val="en-US" w:eastAsia="zh-CN" w:bidi="ar-SA"/>
        </w:rPr>
        <w:t>年为质保期，</w:t>
      </w:r>
      <w:r>
        <w:rPr>
          <w:rFonts w:hint="eastAsia" w:ascii="Times New Roman" w:hAnsi="Times New Roman" w:eastAsia="宋体"/>
          <w:sz w:val="28"/>
          <w:szCs w:val="28"/>
        </w:rPr>
        <w:t>质保期内因产品质量问题，需提供 7×24 免费上门保修服务。需要提供技术支持的能力，具有电话咨询服务、远程技术服务、现场技术支持等。</w:t>
      </w:r>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auto"/>
        <w:ind w:left="0" w:leftChars="0" w:firstLine="400" w:firstLineChars="0"/>
        <w:textAlignment w:val="auto"/>
        <w:rPr>
          <w:rFonts w:hint="eastAsia" w:eastAsia="宋体"/>
          <w:sz w:val="28"/>
          <w:szCs w:val="28"/>
          <w:highlight w:val="none"/>
          <w:lang w:eastAsia="zh-CN"/>
        </w:rPr>
      </w:pPr>
      <w:r>
        <w:rPr>
          <w:rFonts w:hint="eastAsia" w:ascii="宋体" w:hAnsi="宋体" w:eastAsia="宋体"/>
          <w:sz w:val="28"/>
          <w:szCs w:val="28"/>
        </w:rPr>
        <w:t>质保期内硬件维修、更换和软件故障排除、系统恢复、软件升级等所需的一切免</w:t>
      </w:r>
      <w:r>
        <w:rPr>
          <w:rFonts w:hint="eastAsia" w:ascii="宋体" w:hAnsi="宋体" w:eastAsia="宋体"/>
          <w:sz w:val="28"/>
          <w:szCs w:val="28"/>
          <w:highlight w:val="none"/>
        </w:rPr>
        <w:t>费，提供本地化的系统软件升级支持与一定数量的备品备件。</w:t>
      </w:r>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auto"/>
        <w:ind w:left="0" w:leftChars="0" w:firstLine="400" w:firstLineChars="0"/>
        <w:textAlignment w:val="auto"/>
        <w:rPr>
          <w:rFonts w:hint="eastAsia"/>
          <w:sz w:val="28"/>
          <w:szCs w:val="28"/>
          <w:lang w:eastAsia="zh-CN"/>
        </w:rPr>
      </w:pPr>
      <w:r>
        <w:rPr>
          <w:rFonts w:hint="eastAsia" w:ascii="Times New Roman" w:hAnsi="Times New Roman" w:eastAsia="宋体"/>
          <w:sz w:val="28"/>
          <w:szCs w:val="28"/>
          <w:highlight w:val="none"/>
        </w:rPr>
        <w:t>维修、维护应在30分钟内响应、4小时内到场、12小时内解决。同一产品、同一质量问题连续三次维修仍无法正常使用的须更换同品牌、同型号的新产品，并对产品质量实行“三包”</w:t>
      </w:r>
    </w:p>
    <w:p>
      <w:pPr>
        <w:pStyle w:val="19"/>
        <w:numPr>
          <w:ilvl w:val="0"/>
          <w:numId w:val="18"/>
        </w:numPr>
        <w:ind w:left="0" w:leftChars="0" w:firstLine="400" w:firstLineChars="0"/>
        <w:rPr>
          <w:rFonts w:hint="eastAsia" w:ascii="Times New Roman" w:hAnsi="Times New Roman" w:eastAsia="宋体"/>
          <w:sz w:val="28"/>
          <w:szCs w:val="28"/>
          <w:highlight w:val="none"/>
        </w:rPr>
      </w:pPr>
      <w:r>
        <w:rPr>
          <w:rFonts w:hint="eastAsia" w:ascii="宋体" w:hAnsi="宋体" w:eastAsia="宋体"/>
          <w:sz w:val="28"/>
          <w:szCs w:val="28"/>
        </w:rPr>
        <w:t>巡检服务 质保期内，公司方面技术人员每三个月定期对所供的设备进行上门巡检服务，确保系统</w:t>
      </w:r>
      <w:r>
        <w:rPr>
          <w:rFonts w:hint="eastAsia" w:ascii="宋体" w:hAnsi="宋体"/>
          <w:sz w:val="28"/>
          <w:szCs w:val="28"/>
          <w:lang w:val="en-US" w:eastAsia="zh-CN"/>
        </w:rPr>
        <w:t>顺利运行。</w:t>
      </w:r>
    </w:p>
    <w:p>
      <w:pPr>
        <w:pStyle w:val="19"/>
        <w:numPr>
          <w:ilvl w:val="0"/>
          <w:numId w:val="18"/>
        </w:numPr>
        <w:ind w:left="0" w:leftChars="0" w:firstLine="400" w:firstLineChars="0"/>
        <w:rPr>
          <w:rFonts w:hint="eastAsia"/>
          <w:sz w:val="28"/>
          <w:szCs w:val="28"/>
          <w:lang w:eastAsia="zh-CN"/>
        </w:rPr>
      </w:pPr>
      <w:r>
        <w:rPr>
          <w:rFonts w:hint="eastAsia" w:ascii="Times New Roman" w:hAnsi="Times New Roman" w:eastAsia="宋体"/>
          <w:sz w:val="28"/>
          <w:szCs w:val="28"/>
          <w:highlight w:val="none"/>
        </w:rPr>
        <w:t>质保期外，提供产品的更换、维修只收取配件成本费用，不再收取人工技术费用。</w:t>
      </w:r>
    </w:p>
    <w:p>
      <w:pPr>
        <w:pStyle w:val="5"/>
        <w:numPr>
          <w:ilvl w:val="2"/>
          <w:numId w:val="0"/>
        </w:numPr>
        <w:bidi w:val="0"/>
        <w:ind w:leftChars="200"/>
        <w:rPr>
          <w:rFonts w:hint="eastAsia"/>
          <w:lang w:val="en-US" w:eastAsia="zh-CN"/>
        </w:rPr>
      </w:pPr>
      <w:bookmarkStart w:id="117" w:name="_Toc9340"/>
      <w:r>
        <w:rPr>
          <w:rFonts w:hint="eastAsia"/>
          <w:lang w:val="en-US" w:eastAsia="zh-CN"/>
        </w:rPr>
        <w:t>4.2.4合同价款支付方式和条件</w:t>
      </w:r>
      <w:bookmarkEnd w:id="117"/>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8"/>
          <w:szCs w:val="28"/>
          <w:highlight w:val="none"/>
          <w:lang w:eastAsia="zh-CN"/>
        </w:rPr>
      </w:pPr>
      <w:bookmarkStart w:id="118" w:name="_Toc28334880"/>
      <w:r>
        <w:rPr>
          <w:rFonts w:hint="eastAsia" w:cs="宋体"/>
          <w:sz w:val="28"/>
          <w:szCs w:val="28"/>
          <w:highlight w:val="none"/>
          <w:lang w:val="en-US" w:eastAsia="zh-CN"/>
        </w:rPr>
        <w:t>一、</w:t>
      </w:r>
      <w:r>
        <w:rPr>
          <w:rFonts w:hint="eastAsia" w:ascii="宋体" w:hAnsi="宋体" w:eastAsia="宋体" w:cs="宋体"/>
          <w:sz w:val="28"/>
          <w:szCs w:val="28"/>
          <w:highlight w:val="none"/>
          <w:lang w:eastAsia="zh-CN"/>
        </w:rPr>
        <w:t>合同价款含运输、送货、安装、调试、培训、售后服务等所有费用。合同签订后全部产品送货到校，</w:t>
      </w:r>
      <w:r>
        <w:rPr>
          <w:rFonts w:hint="eastAsia" w:ascii="宋体" w:hAnsi="宋体" w:eastAsia="宋体" w:cs="宋体"/>
          <w:sz w:val="28"/>
          <w:szCs w:val="28"/>
          <w:highlight w:val="none"/>
          <w:lang w:val="en-US" w:eastAsia="zh-CN"/>
        </w:rPr>
        <w:t>签收</w:t>
      </w:r>
      <w:r>
        <w:rPr>
          <w:rFonts w:hint="eastAsia" w:ascii="宋体" w:hAnsi="宋体" w:eastAsia="宋体" w:cs="宋体"/>
          <w:sz w:val="28"/>
          <w:szCs w:val="28"/>
          <w:highlight w:val="none"/>
          <w:lang w:eastAsia="zh-CN"/>
        </w:rPr>
        <w:t>并安装调试完毕且能正常使用后，支付第一笔采购款（202</w:t>
      </w: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lang w:eastAsia="zh-CN"/>
        </w:rPr>
        <w:t>年支付</w:t>
      </w:r>
      <w:r>
        <w:rPr>
          <w:rFonts w:hint="eastAsia" w:ascii="宋体" w:hAnsi="宋体" w:eastAsia="宋体" w:cs="宋体"/>
          <w:sz w:val="28"/>
          <w:szCs w:val="28"/>
          <w:highlight w:val="none"/>
          <w:lang w:val="en-US" w:eastAsia="zh-CN"/>
        </w:rPr>
        <w:t>64.2</w:t>
      </w:r>
      <w:r>
        <w:rPr>
          <w:rFonts w:hint="eastAsia" w:ascii="宋体" w:hAnsi="宋体" w:eastAsia="宋体" w:cs="宋体"/>
          <w:sz w:val="28"/>
          <w:szCs w:val="28"/>
          <w:highlight w:val="none"/>
          <w:lang w:eastAsia="zh-CN"/>
        </w:rPr>
        <w:t>万元），验收合格后支付余款（202</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lang w:eastAsia="zh-CN"/>
        </w:rPr>
        <w:t>年支付）。</w:t>
      </w:r>
    </w:p>
    <w:p>
      <w:pPr>
        <w:numPr>
          <w:ilvl w:val="0"/>
          <w:numId w:val="9"/>
        </w:numPr>
        <w:spacing w:line="360" w:lineRule="auto"/>
        <w:ind w:firstLine="495"/>
        <w:rPr>
          <w:rFonts w:hint="eastAsia" w:ascii="宋体" w:hAnsi="宋体" w:eastAsia="宋体" w:cs="Times New Roman"/>
          <w:color w:val="auto"/>
          <w:kern w:val="10"/>
          <w:sz w:val="28"/>
          <w:szCs w:val="28"/>
          <w:highlight w:val="none"/>
          <w:lang w:val="en-US" w:eastAsia="zh-CN" w:bidi="ar-SA"/>
        </w:rPr>
      </w:pPr>
      <w:r>
        <w:rPr>
          <w:rFonts w:hint="eastAsia" w:cs="Times New Roman"/>
          <w:color w:val="auto"/>
          <w:kern w:val="10"/>
          <w:sz w:val="28"/>
          <w:szCs w:val="28"/>
          <w:highlight w:val="none"/>
          <w:lang w:val="en-US" w:eastAsia="zh-CN" w:bidi="ar-SA"/>
        </w:rPr>
        <w:t>本项目</w:t>
      </w:r>
      <w:r>
        <w:rPr>
          <w:rFonts w:hint="eastAsia" w:ascii="宋体" w:hAnsi="宋体" w:eastAsia="宋体" w:cs="Times New Roman"/>
          <w:color w:val="auto"/>
          <w:kern w:val="10"/>
          <w:sz w:val="28"/>
          <w:szCs w:val="28"/>
          <w:highlight w:val="none"/>
          <w:lang w:val="en-US" w:eastAsia="zh-CN" w:bidi="ar-SA"/>
        </w:rPr>
        <w:t>履约保证金金额为</w:t>
      </w:r>
      <w:r>
        <w:rPr>
          <w:rFonts w:hint="eastAsia" w:cs="Times New Roman"/>
          <w:color w:val="auto"/>
          <w:kern w:val="10"/>
          <w:sz w:val="28"/>
          <w:szCs w:val="28"/>
          <w:highlight w:val="none"/>
          <w:lang w:val="en-US" w:eastAsia="zh-CN" w:bidi="ar-SA"/>
        </w:rPr>
        <w:t>合同总价</w:t>
      </w:r>
      <w:r>
        <w:rPr>
          <w:rFonts w:hint="eastAsia" w:ascii="宋体" w:hAnsi="宋体" w:eastAsia="宋体" w:cs="Times New Roman"/>
          <w:color w:val="auto"/>
          <w:kern w:val="10"/>
          <w:sz w:val="28"/>
          <w:szCs w:val="28"/>
          <w:highlight w:val="none"/>
          <w:lang w:val="en-US" w:eastAsia="zh-CN" w:bidi="ar-SA"/>
        </w:rPr>
        <w:t>的</w:t>
      </w:r>
      <w:r>
        <w:rPr>
          <w:rFonts w:hint="eastAsia" w:cs="Times New Roman"/>
          <w:color w:val="auto"/>
          <w:kern w:val="10"/>
          <w:sz w:val="28"/>
          <w:szCs w:val="28"/>
          <w:highlight w:val="none"/>
          <w:lang w:val="en-US" w:eastAsia="zh-CN" w:bidi="ar-SA"/>
        </w:rPr>
        <w:t>5</w:t>
      </w:r>
      <w:r>
        <w:rPr>
          <w:rFonts w:hint="eastAsia" w:ascii="宋体" w:hAnsi="宋体" w:eastAsia="宋体" w:cs="Times New Roman"/>
          <w:color w:val="auto"/>
          <w:kern w:val="10"/>
          <w:sz w:val="28"/>
          <w:szCs w:val="28"/>
          <w:highlight w:val="none"/>
          <w:lang w:val="en-US" w:eastAsia="zh-CN" w:bidi="ar-SA"/>
        </w:rPr>
        <w:t>%。</w:t>
      </w:r>
      <w:r>
        <w:rPr>
          <w:rFonts w:hint="eastAsia" w:cs="Times New Roman"/>
          <w:color w:val="auto"/>
          <w:kern w:val="10"/>
          <w:sz w:val="28"/>
          <w:szCs w:val="28"/>
          <w:highlight w:val="none"/>
          <w:lang w:val="en-US" w:eastAsia="zh-CN" w:bidi="ar-SA"/>
        </w:rPr>
        <w:t>成交供应商</w:t>
      </w:r>
      <w:r>
        <w:rPr>
          <w:rFonts w:hint="eastAsia" w:ascii="宋体" w:hAnsi="宋体" w:eastAsia="宋体" w:cs="Times New Roman"/>
          <w:color w:val="auto"/>
          <w:kern w:val="10"/>
          <w:sz w:val="28"/>
          <w:szCs w:val="28"/>
          <w:highlight w:val="none"/>
          <w:lang w:val="en-US" w:eastAsia="zh-CN" w:bidi="ar-SA"/>
        </w:rPr>
        <w:t>应在</w:t>
      </w:r>
      <w:r>
        <w:rPr>
          <w:rFonts w:hint="eastAsia" w:cs="Times New Roman"/>
          <w:color w:val="auto"/>
          <w:kern w:val="10"/>
          <w:sz w:val="28"/>
          <w:szCs w:val="28"/>
          <w:highlight w:val="none"/>
          <w:lang w:val="en-US" w:eastAsia="zh-CN" w:bidi="ar-SA"/>
        </w:rPr>
        <w:t>签订合同后10个工作日内</w:t>
      </w:r>
      <w:r>
        <w:rPr>
          <w:rFonts w:hint="eastAsia" w:ascii="宋体" w:hAnsi="宋体" w:eastAsia="宋体" w:cs="Times New Roman"/>
          <w:color w:val="auto"/>
          <w:kern w:val="10"/>
          <w:sz w:val="28"/>
          <w:szCs w:val="28"/>
          <w:highlight w:val="none"/>
          <w:lang w:val="en-US" w:eastAsia="zh-CN" w:bidi="ar-SA"/>
        </w:rPr>
        <w:t>，以支票、汇票、本票或者金融机构出具的保函等非现金形式向采购人交纳规定金额的履约保证金。履约保证金在质保期满后无息退还。</w:t>
      </w:r>
    </w:p>
    <w:p>
      <w:pPr>
        <w:pStyle w:val="4"/>
        <w:pageBreakBefore w:val="0"/>
        <w:numPr>
          <w:ilvl w:val="1"/>
          <w:numId w:val="0"/>
        </w:numPr>
        <w:kinsoku/>
        <w:wordWrap/>
        <w:overflowPunct/>
        <w:topLinePunct w:val="0"/>
        <w:bidi w:val="0"/>
        <w:adjustRightInd w:val="0"/>
        <w:snapToGrid w:val="0"/>
        <w:spacing w:before="0" w:beforeLines="0" w:after="0" w:afterLines="0" w:afterAutospacing="0" w:line="360" w:lineRule="auto"/>
        <w:jc w:val="both"/>
        <w:rPr>
          <w:rFonts w:hint="eastAsia"/>
          <w:color w:val="auto"/>
          <w:highlight w:val="none"/>
          <w:lang w:val="en-US" w:eastAsia="zh-CN"/>
        </w:rPr>
      </w:pPr>
      <w:bookmarkStart w:id="119" w:name="_Toc15422"/>
      <w:r>
        <w:rPr>
          <w:rFonts w:hint="eastAsia"/>
          <w:color w:val="auto"/>
          <w:highlight w:val="none"/>
          <w:lang w:val="en-US" w:eastAsia="zh-CN"/>
        </w:rPr>
        <w:t>4.3★最高限价</w:t>
      </w:r>
      <w:bookmarkEnd w:id="118"/>
      <w:bookmarkEnd w:id="119"/>
    </w:p>
    <w:p>
      <w:pPr>
        <w:bidi w:val="0"/>
        <w:rPr>
          <w:rFonts w:hint="eastAsia"/>
          <w:b/>
          <w:color w:val="auto"/>
          <w:highlight w:val="none"/>
          <w:lang w:val="zh-CN"/>
        </w:rPr>
      </w:pPr>
      <w:bookmarkStart w:id="120" w:name="_Toc32635"/>
      <w:bookmarkStart w:id="121" w:name="_Toc18874"/>
      <w:bookmarkStart w:id="122" w:name="_Toc58943342"/>
      <w:bookmarkStart w:id="123" w:name="_Toc77688492"/>
      <w:r>
        <w:rPr>
          <w:rFonts w:hint="eastAsia"/>
          <w:b/>
          <w:color w:val="auto"/>
          <w:highlight w:val="none"/>
          <w:lang w:val="zh-CN"/>
        </w:rPr>
        <w:t>本项目最高限价为</w:t>
      </w:r>
      <w:r>
        <w:rPr>
          <w:rFonts w:hint="eastAsia"/>
          <w:b/>
          <w:color w:val="auto"/>
          <w:highlight w:val="none"/>
          <w:lang w:val="en-US" w:eastAsia="zh-CN"/>
        </w:rPr>
        <w:t>人民币166.76万</w:t>
      </w:r>
      <w:r>
        <w:rPr>
          <w:rFonts w:hint="eastAsia"/>
          <w:b/>
          <w:color w:val="auto"/>
          <w:highlight w:val="none"/>
          <w:lang w:val="zh-CN"/>
        </w:rPr>
        <w:t>元。供应商最后报价高于各包最高限价的，则其响应文件按无效响应文件处理。</w:t>
      </w:r>
      <w:bookmarkEnd w:id="120"/>
      <w:bookmarkEnd w:id="121"/>
    </w:p>
    <w:p>
      <w:pPr>
        <w:pStyle w:val="4"/>
        <w:pageBreakBefore w:val="0"/>
        <w:numPr>
          <w:ilvl w:val="1"/>
          <w:numId w:val="0"/>
        </w:numPr>
        <w:kinsoku/>
        <w:wordWrap/>
        <w:overflowPunct/>
        <w:topLinePunct w:val="0"/>
        <w:bidi w:val="0"/>
        <w:adjustRightInd w:val="0"/>
        <w:snapToGrid w:val="0"/>
        <w:spacing w:before="0" w:beforeLines="0" w:after="0" w:afterLines="0" w:afterAutospacing="0" w:line="360" w:lineRule="auto"/>
        <w:jc w:val="both"/>
        <w:rPr>
          <w:color w:val="auto"/>
          <w:highlight w:val="none"/>
        </w:rPr>
      </w:pPr>
      <w:bookmarkStart w:id="124" w:name="_Toc5496"/>
      <w:r>
        <w:rPr>
          <w:rFonts w:hint="eastAsia"/>
          <w:color w:val="auto"/>
          <w:highlight w:val="none"/>
          <w:lang w:val="en-US" w:eastAsia="zh-CN"/>
        </w:rPr>
        <w:t>4.4</w:t>
      </w:r>
      <w:r>
        <w:rPr>
          <w:rFonts w:hint="eastAsia"/>
          <w:color w:val="auto"/>
          <w:highlight w:val="none"/>
        </w:rPr>
        <w:t>其他要求</w:t>
      </w:r>
      <w:bookmarkEnd w:id="122"/>
      <w:bookmarkEnd w:id="123"/>
      <w:bookmarkEnd w:id="124"/>
    </w:p>
    <w:p>
      <w:pPr>
        <w:pStyle w:val="32"/>
        <w:pageBreakBefore w:val="0"/>
        <w:numPr>
          <w:ilvl w:val="0"/>
          <w:numId w:val="19"/>
        </w:numPr>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在评审过程中，磋商小组认为供应商最后报价明显低于其他通过符合性审查供应商的最后报价，有可能影响服务质量或者不能诚信履约的，磋商小组应当要求其在合理的时间内提供书面说明，必要时提交相关证明材料。供应商提交的书面说明、相关证明材料（如涉及），应当加盖供应商（法定名称）电子签章，在磋商小组要求的时间内通过政府采购云平台进行递交，否则无效。如因断电、断网、系统故障或其他不可抗力等因素，导致系统无法使用的，由供应商按磋商小组的要求进行澄清或者说明。供应商不能证明其报价合理性的，磋商小组应当将其响应文件作为无效处理。</w:t>
      </w:r>
    </w:p>
    <w:p>
      <w:pPr>
        <w:pStyle w:val="32"/>
        <w:pageBreakBefore w:val="0"/>
        <w:numPr>
          <w:ilvl w:val="0"/>
          <w:numId w:val="19"/>
        </w:numPr>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为本项目提供的所有产品、辅材中属于《国家强制性产品认证目录》范围内产品的，均通过国家强制性产品认证并取得认证证书。</w:t>
      </w:r>
      <w:r>
        <w:rPr>
          <w:rFonts w:hint="eastAsia" w:ascii="宋体" w:hAnsi="宋体" w:eastAsia="宋体" w:cs="宋体"/>
          <w:b/>
          <w:bCs w:val="0"/>
          <w:color w:val="auto"/>
          <w:sz w:val="24"/>
          <w:szCs w:val="24"/>
          <w:highlight w:val="none"/>
        </w:rPr>
        <w:t>（说明：</w:t>
      </w:r>
      <w:r>
        <w:rPr>
          <w:rFonts w:hint="eastAsia" w:cs="宋体"/>
          <w:b/>
          <w:bCs w:val="0"/>
          <w:color w:val="auto"/>
          <w:sz w:val="24"/>
          <w:szCs w:val="24"/>
          <w:highlight w:val="none"/>
          <w:lang w:val="en-US" w:eastAsia="zh-CN"/>
        </w:rPr>
        <w:t>供应商</w:t>
      </w:r>
      <w:r>
        <w:rPr>
          <w:rFonts w:hint="eastAsia" w:ascii="宋体" w:hAnsi="宋体" w:eastAsia="宋体" w:cs="宋体"/>
          <w:b/>
          <w:bCs w:val="0"/>
          <w:color w:val="auto"/>
          <w:sz w:val="24"/>
          <w:szCs w:val="24"/>
          <w:highlight w:val="none"/>
        </w:rPr>
        <w:t>应按</w:t>
      </w:r>
      <w:r>
        <w:rPr>
          <w:rFonts w:hint="eastAsia" w:cs="宋体"/>
          <w:b/>
          <w:bCs w:val="0"/>
          <w:color w:val="auto"/>
          <w:sz w:val="24"/>
          <w:szCs w:val="24"/>
          <w:highlight w:val="none"/>
          <w:lang w:val="en-US" w:eastAsia="zh-CN"/>
        </w:rPr>
        <w:t>磋商</w:t>
      </w:r>
      <w:r>
        <w:rPr>
          <w:rFonts w:hint="eastAsia" w:ascii="宋体" w:hAnsi="宋体" w:eastAsia="宋体" w:cs="宋体"/>
          <w:b/>
          <w:bCs w:val="0"/>
          <w:color w:val="auto"/>
          <w:sz w:val="24"/>
          <w:szCs w:val="24"/>
          <w:highlight w:val="none"/>
        </w:rPr>
        <w:t>文</w:t>
      </w:r>
      <w:r>
        <w:rPr>
          <w:rFonts w:hint="eastAsia" w:cs="宋体"/>
          <w:b/>
          <w:bCs w:val="0"/>
          <w:color w:val="auto"/>
          <w:sz w:val="24"/>
          <w:szCs w:val="24"/>
          <w:highlight w:val="none"/>
          <w:lang w:val="en-US" w:eastAsia="zh-CN"/>
        </w:rPr>
        <w:t>件第3章响应文件格式中</w:t>
      </w:r>
      <w:r>
        <w:rPr>
          <w:rFonts w:hint="eastAsia" w:ascii="宋体" w:hAnsi="宋体" w:eastAsia="宋体" w:cs="宋体"/>
          <w:b/>
          <w:bCs w:val="0"/>
          <w:color w:val="auto"/>
          <w:sz w:val="24"/>
          <w:szCs w:val="24"/>
          <w:highlight w:val="none"/>
        </w:rPr>
        <w:t>承诺函的格式及要求提供承诺函。）</w:t>
      </w:r>
    </w:p>
    <w:p>
      <w:pPr>
        <w:pStyle w:val="32"/>
        <w:pageBreakBefore w:val="0"/>
        <w:numPr>
          <w:ilvl w:val="0"/>
          <w:numId w:val="19"/>
        </w:numPr>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宋体"/>
          <w:b/>
          <w:bCs w:val="0"/>
          <w:color w:val="auto"/>
          <w:sz w:val="24"/>
          <w:szCs w:val="24"/>
          <w:highlight w:val="none"/>
        </w:rPr>
      </w:pPr>
      <w:r>
        <w:rPr>
          <w:rFonts w:hint="eastAsia" w:ascii="宋体" w:hAnsi="宋体" w:eastAsia="宋体" w:cs="宋体"/>
          <w:b w:val="0"/>
          <w:bCs/>
          <w:color w:val="auto"/>
          <w:sz w:val="24"/>
          <w:szCs w:val="24"/>
          <w:highlight w:val="none"/>
        </w:rPr>
        <w:t>★</w:t>
      </w:r>
      <w:r>
        <w:rPr>
          <w:rFonts w:hint="eastAsia"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为本项目提供的所有产品、辅材符合现行的强制性国家相关标准、行业标准。</w:t>
      </w:r>
      <w:r>
        <w:rPr>
          <w:rFonts w:hint="eastAsia" w:ascii="宋体" w:hAnsi="宋体" w:eastAsia="宋体" w:cs="宋体"/>
          <w:b/>
          <w:bCs w:val="0"/>
          <w:color w:val="auto"/>
          <w:sz w:val="24"/>
          <w:szCs w:val="24"/>
          <w:highlight w:val="none"/>
        </w:rPr>
        <w:t>（说明：供应商按第3章响应文件格式 承诺函的格式及要求提供承诺</w:t>
      </w:r>
      <w:r>
        <w:rPr>
          <w:rFonts w:hint="eastAsia"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w:t>
      </w:r>
    </w:p>
    <w:p>
      <w:pPr>
        <w:pStyle w:val="32"/>
        <w:pageBreakBefore w:val="0"/>
        <w:numPr>
          <w:ilvl w:val="0"/>
          <w:numId w:val="19"/>
        </w:numPr>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宋体"/>
          <w:b/>
          <w:bCs w:val="0"/>
          <w:color w:val="auto"/>
          <w:sz w:val="24"/>
          <w:szCs w:val="24"/>
          <w:highlight w:val="none"/>
        </w:rPr>
      </w:pPr>
      <w:r>
        <w:rPr>
          <w:rFonts w:hint="eastAsia" w:ascii="宋体" w:hAnsi="宋体" w:eastAsia="宋体" w:cs="宋体"/>
          <w:b w:val="0"/>
          <w:bCs/>
          <w:color w:val="auto"/>
          <w:sz w:val="24"/>
          <w:szCs w:val="24"/>
          <w:highlight w:val="none"/>
        </w:rPr>
        <w:t>★</w:t>
      </w:r>
      <w:r>
        <w:rPr>
          <w:rFonts w:hint="eastAsia" w:cs="宋体"/>
          <w:b w:val="0"/>
          <w:bCs/>
          <w:color w:val="auto"/>
          <w:sz w:val="24"/>
          <w:szCs w:val="24"/>
          <w:highlight w:val="none"/>
          <w:lang w:val="en-US" w:eastAsia="zh-CN"/>
        </w:rPr>
        <w:t>供应商</w:t>
      </w:r>
      <w:r>
        <w:rPr>
          <w:rFonts w:hint="eastAsia" w:ascii="宋体" w:hAnsi="宋体" w:eastAsia="宋体" w:cs="宋体"/>
          <w:b w:val="0"/>
          <w:bCs/>
          <w:color w:val="auto"/>
          <w:sz w:val="24"/>
          <w:szCs w:val="24"/>
          <w:highlight w:val="none"/>
        </w:rPr>
        <w:t>为本项目提供的所有产品中属于节能产品政府采购品目清单中的政府强制采购产品的，均应具有国家确定的认证机构出具的有效期内的节能产品认证证书。</w:t>
      </w:r>
      <w:r>
        <w:rPr>
          <w:rFonts w:hint="eastAsia" w:ascii="宋体" w:hAnsi="宋体" w:eastAsia="宋体" w:cs="宋体"/>
          <w:b/>
          <w:bCs w:val="0"/>
          <w:color w:val="auto"/>
          <w:sz w:val="24"/>
          <w:szCs w:val="24"/>
          <w:highlight w:val="none"/>
        </w:rPr>
        <w:t>（说明：供应商按第3章响应文件格式 承诺函的格式及要求提供承诺</w:t>
      </w:r>
      <w:r>
        <w:rPr>
          <w:rFonts w:hint="eastAsia"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w:t>
      </w:r>
    </w:p>
    <w:p>
      <w:pPr>
        <w:pStyle w:val="32"/>
        <w:pageBreakBefore w:val="0"/>
        <w:numPr>
          <w:ilvl w:val="0"/>
          <w:numId w:val="19"/>
        </w:numPr>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宋体"/>
          <w:b/>
          <w:bCs w:val="0"/>
          <w:color w:val="auto"/>
          <w:sz w:val="24"/>
          <w:szCs w:val="24"/>
          <w:highlight w:val="none"/>
        </w:rPr>
      </w:pPr>
      <w:r>
        <w:rPr>
          <w:rFonts w:hint="eastAsia" w:ascii="宋体" w:hAnsi="宋体" w:eastAsia="宋体" w:cs="宋体"/>
          <w:b w:val="0"/>
          <w:bCs/>
          <w:color w:val="auto"/>
          <w:sz w:val="24"/>
          <w:szCs w:val="24"/>
          <w:highlight w:val="none"/>
        </w:rPr>
        <w:t>★为本项目实施涉及的商品包装和快递包装，均符合财政部等三部门联合印发商品包装和快递包装政府采购需求标准（试行）（财办库[2020]123号）的要求。</w:t>
      </w:r>
      <w:r>
        <w:rPr>
          <w:rFonts w:hint="eastAsia" w:ascii="宋体" w:hAnsi="宋体" w:eastAsia="宋体" w:cs="宋体"/>
          <w:b/>
          <w:bCs w:val="0"/>
          <w:color w:val="auto"/>
          <w:sz w:val="24"/>
          <w:szCs w:val="24"/>
          <w:highlight w:val="none"/>
        </w:rPr>
        <w:t>（说明：供应商按第3章响应文件格式 承诺函的格式及要求提供承诺</w:t>
      </w:r>
      <w:r>
        <w:rPr>
          <w:rFonts w:hint="eastAsia"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w:t>
      </w:r>
    </w:p>
    <w:p>
      <w:pPr>
        <w:pStyle w:val="32"/>
        <w:pageBreakBefore w:val="0"/>
        <w:numPr>
          <w:ilvl w:val="0"/>
          <w:numId w:val="19"/>
        </w:numPr>
        <w:tabs>
          <w:tab w:val="left" w:pos="1134"/>
        </w:tabs>
        <w:kinsoku/>
        <w:wordWrap/>
        <w:overflowPunct/>
        <w:topLinePunct w:val="0"/>
        <w:bidi w:val="0"/>
        <w:adjustRightInd w:val="0"/>
        <w:snapToGrid w:val="0"/>
        <w:spacing w:afterAutospacing="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供应商针对本项目提供项目</w:t>
      </w:r>
      <w:r>
        <w:rPr>
          <w:rFonts w:hint="eastAsia" w:cs="宋体"/>
          <w:b w:val="0"/>
          <w:bCs/>
          <w:color w:val="auto"/>
          <w:sz w:val="24"/>
          <w:szCs w:val="24"/>
          <w:highlight w:val="none"/>
          <w:lang w:val="en-US" w:eastAsia="zh-CN"/>
        </w:rPr>
        <w:t>实施</w:t>
      </w:r>
      <w:r>
        <w:rPr>
          <w:rFonts w:hint="eastAsia" w:ascii="宋体" w:hAnsi="宋体" w:eastAsia="宋体" w:cs="宋体"/>
          <w:b w:val="0"/>
          <w:bCs/>
          <w:color w:val="auto"/>
          <w:sz w:val="24"/>
          <w:szCs w:val="24"/>
          <w:highlight w:val="none"/>
        </w:rPr>
        <w:t>方案：（内容包含</w:t>
      </w:r>
      <w:r>
        <w:rPr>
          <w:rFonts w:hint="eastAsia" w:ascii="宋体" w:hAnsi="宋体" w:eastAsia="宋体" w:cs="宋体"/>
          <w:color w:val="auto"/>
          <w:sz w:val="24"/>
          <w:szCs w:val="24"/>
          <w:highlight w:val="none"/>
        </w:rPr>
        <w:t>①</w:t>
      </w:r>
      <w:r>
        <w:rPr>
          <w:rFonts w:hint="eastAsia"/>
          <w:sz w:val="24"/>
          <w:szCs w:val="24"/>
          <w:highlight w:val="none"/>
          <w:lang w:val="en-US" w:eastAsia="zh-CN"/>
        </w:rPr>
        <w:t>施工质量</w:t>
      </w:r>
      <w:r>
        <w:rPr>
          <w:rFonts w:hint="eastAsia" w:ascii="宋体" w:hAnsi="宋体" w:eastAsia="宋体" w:cs="宋体"/>
          <w:color w:val="auto"/>
          <w:sz w:val="24"/>
          <w:szCs w:val="24"/>
          <w:highlight w:val="none"/>
        </w:rPr>
        <w:t>、②</w:t>
      </w:r>
      <w:r>
        <w:rPr>
          <w:rFonts w:hint="eastAsia"/>
          <w:sz w:val="24"/>
          <w:szCs w:val="24"/>
          <w:highlight w:val="none"/>
          <w:lang w:val="en-US" w:eastAsia="zh-CN"/>
        </w:rPr>
        <w:t>施工组织</w:t>
      </w:r>
      <w:r>
        <w:rPr>
          <w:rFonts w:hint="eastAsia" w:ascii="宋体" w:hAnsi="宋体" w:eastAsia="宋体" w:cs="宋体"/>
          <w:color w:val="auto"/>
          <w:sz w:val="24"/>
          <w:szCs w:val="24"/>
          <w:highlight w:val="none"/>
        </w:rPr>
        <w:t>、③</w:t>
      </w:r>
      <w:r>
        <w:rPr>
          <w:rFonts w:hint="eastAsia"/>
          <w:sz w:val="24"/>
          <w:szCs w:val="24"/>
          <w:highlight w:val="none"/>
          <w:lang w:val="en-US" w:eastAsia="zh-CN"/>
        </w:rPr>
        <w:t>进度计划</w:t>
      </w:r>
      <w:r>
        <w:rPr>
          <w:rFonts w:hint="eastAsia" w:ascii="宋体" w:hAnsi="宋体" w:eastAsia="宋体" w:cs="宋体"/>
          <w:color w:val="auto"/>
          <w:sz w:val="24"/>
          <w:szCs w:val="24"/>
          <w:highlight w:val="none"/>
        </w:rPr>
        <w:t>、④</w:t>
      </w:r>
      <w:r>
        <w:rPr>
          <w:rFonts w:hint="eastAsia"/>
          <w:sz w:val="24"/>
          <w:szCs w:val="24"/>
          <w:highlight w:val="none"/>
          <w:lang w:val="en-US" w:eastAsia="zh-CN"/>
        </w:rPr>
        <w:t>实施流程、⑤验收方案、⑥培训方案</w:t>
      </w:r>
      <w:r>
        <w:rPr>
          <w:rFonts w:hint="eastAsia" w:ascii="宋体" w:hAnsi="宋体" w:eastAsia="宋体" w:cs="宋体"/>
          <w:b w:val="0"/>
          <w:bCs/>
          <w:color w:val="auto"/>
          <w:sz w:val="24"/>
          <w:szCs w:val="24"/>
          <w:highlight w:val="none"/>
        </w:rPr>
        <w:t>）</w:t>
      </w:r>
      <w:r>
        <w:rPr>
          <w:rFonts w:hint="eastAsia" w:cs="宋体"/>
          <w:b w:val="0"/>
          <w:bCs/>
          <w:color w:val="auto"/>
          <w:sz w:val="24"/>
          <w:szCs w:val="24"/>
          <w:highlight w:val="none"/>
          <w:lang w:eastAsia="zh-CN"/>
        </w:rPr>
        <w:t>。</w:t>
      </w:r>
    </w:p>
    <w:p>
      <w:pPr>
        <w:pStyle w:val="32"/>
        <w:pageBreakBefore w:val="0"/>
        <w:numPr>
          <w:ilvl w:val="0"/>
          <w:numId w:val="19"/>
        </w:numPr>
        <w:tabs>
          <w:tab w:val="left" w:pos="1134"/>
        </w:tabs>
        <w:kinsoku/>
        <w:wordWrap/>
        <w:overflowPunct/>
        <w:topLinePunct w:val="0"/>
        <w:bidi w:val="0"/>
        <w:adjustRightInd w:val="0"/>
        <w:snapToGrid w:val="0"/>
        <w:spacing w:afterAutospacing="0" w:line="360" w:lineRule="auto"/>
        <w:ind w:firstLine="480" w:firstLineChars="200"/>
        <w:rPr>
          <w:rFonts w:hint="eastAsia" w:cs="宋体"/>
          <w:sz w:val="24"/>
          <w:szCs w:val="24"/>
          <w:highlight w:val="none"/>
          <w:lang w:eastAsia="zh-CN"/>
        </w:rPr>
      </w:pPr>
      <w:r>
        <w:rPr>
          <w:rFonts w:hint="eastAsia" w:ascii="宋体" w:hAnsi="宋体" w:eastAsia="宋体" w:cs="宋体"/>
          <w:b w:val="0"/>
          <w:bCs/>
          <w:color w:val="auto"/>
          <w:sz w:val="24"/>
          <w:szCs w:val="24"/>
          <w:highlight w:val="none"/>
        </w:rPr>
        <w:t>供应商针对本项目提供售后服务方案：（</w:t>
      </w:r>
      <w:r>
        <w:rPr>
          <w:rFonts w:hint="eastAsia"/>
          <w:sz w:val="24"/>
          <w:szCs w:val="24"/>
          <w:highlight w:val="none"/>
        </w:rPr>
        <w:t>内容包</w:t>
      </w:r>
      <w:r>
        <w:rPr>
          <w:rFonts w:hint="eastAsia"/>
          <w:sz w:val="24"/>
          <w:szCs w:val="24"/>
          <w:highlight w:val="none"/>
          <w:lang w:eastAsia="zh-CN"/>
        </w:rPr>
        <w:t>含</w:t>
      </w:r>
      <w:r>
        <w:rPr>
          <w:rFonts w:hint="eastAsia"/>
          <w:sz w:val="24"/>
          <w:szCs w:val="24"/>
        </w:rPr>
        <w:t>①</w:t>
      </w:r>
      <w:r>
        <w:rPr>
          <w:rFonts w:hint="eastAsia" w:ascii="宋体" w:hAnsi="宋体" w:eastAsia="宋体" w:cs="宋体"/>
          <w:color w:val="000000"/>
          <w:kern w:val="0"/>
          <w:sz w:val="24"/>
          <w:szCs w:val="24"/>
        </w:rPr>
        <w:t>质量保证期限及范围</w:t>
      </w:r>
      <w:r>
        <w:rPr>
          <w:rFonts w:hint="eastAsia"/>
          <w:sz w:val="24"/>
          <w:szCs w:val="24"/>
        </w:rPr>
        <w:t>、②</w:t>
      </w:r>
      <w:r>
        <w:rPr>
          <w:rFonts w:hint="eastAsia" w:ascii="宋体" w:hAnsi="宋体" w:eastAsia="宋体" w:cs="宋体"/>
          <w:color w:val="000000"/>
          <w:kern w:val="0"/>
          <w:sz w:val="24"/>
          <w:szCs w:val="24"/>
        </w:rPr>
        <w:t>服务响应时间</w:t>
      </w:r>
      <w:r>
        <w:rPr>
          <w:rFonts w:hint="eastAsia"/>
          <w:sz w:val="24"/>
          <w:szCs w:val="24"/>
        </w:rPr>
        <w:t>、③</w:t>
      </w:r>
      <w:r>
        <w:rPr>
          <w:rFonts w:hint="eastAsia" w:ascii="宋体" w:hAnsi="宋体" w:eastAsia="宋体" w:cs="宋体"/>
          <w:color w:val="000000"/>
          <w:kern w:val="0"/>
          <w:sz w:val="24"/>
          <w:szCs w:val="24"/>
        </w:rPr>
        <w:t>售后服务电话</w:t>
      </w:r>
      <w:r>
        <w:rPr>
          <w:rFonts w:hint="eastAsia"/>
          <w:sz w:val="24"/>
          <w:szCs w:val="24"/>
        </w:rPr>
        <w:t>、④</w:t>
      </w:r>
      <w:r>
        <w:rPr>
          <w:rFonts w:hint="eastAsia" w:ascii="宋体" w:hAnsi="宋体" w:eastAsia="宋体" w:cs="宋体"/>
          <w:color w:val="000000"/>
          <w:kern w:val="0"/>
          <w:sz w:val="24"/>
          <w:szCs w:val="24"/>
        </w:rPr>
        <w:t>现场服务支持能力</w:t>
      </w:r>
      <w:r>
        <w:rPr>
          <w:rFonts w:hint="eastAsia" w:cs="宋体"/>
          <w:color w:val="000000"/>
          <w:kern w:val="0"/>
          <w:sz w:val="24"/>
          <w:szCs w:val="24"/>
          <w:lang w:eastAsia="zh-CN"/>
        </w:rPr>
        <w:t>、</w:t>
      </w:r>
      <w:r>
        <w:rPr>
          <w:rFonts w:hint="eastAsia" w:cs="宋体"/>
          <w:color w:val="000000"/>
          <w:kern w:val="0"/>
          <w:sz w:val="24"/>
          <w:szCs w:val="24"/>
          <w:lang w:val="en-US" w:eastAsia="zh-CN"/>
        </w:rPr>
        <w:t>⑤</w:t>
      </w:r>
      <w:r>
        <w:rPr>
          <w:rFonts w:hint="eastAsia" w:ascii="宋体" w:hAnsi="宋体" w:eastAsia="宋体" w:cs="宋体"/>
          <w:color w:val="000000"/>
          <w:kern w:val="0"/>
          <w:sz w:val="24"/>
          <w:szCs w:val="24"/>
        </w:rPr>
        <w:t>售后巡检</w:t>
      </w:r>
      <w:r>
        <w:rPr>
          <w:rFonts w:hint="eastAsia" w:cs="宋体"/>
          <w:color w:val="000000"/>
          <w:kern w:val="0"/>
          <w:sz w:val="24"/>
          <w:szCs w:val="24"/>
          <w:lang w:eastAsia="zh-CN"/>
        </w:rPr>
        <w:t>、</w:t>
      </w:r>
      <w:r>
        <w:rPr>
          <w:rFonts w:hint="eastAsia" w:cs="宋体"/>
          <w:color w:val="000000"/>
          <w:kern w:val="0"/>
          <w:sz w:val="24"/>
          <w:szCs w:val="24"/>
          <w:lang w:val="en-US" w:eastAsia="zh-CN"/>
        </w:rPr>
        <w:t>⑥</w:t>
      </w:r>
      <w:r>
        <w:rPr>
          <w:rFonts w:hint="eastAsia" w:ascii="宋体" w:hAnsi="宋体" w:eastAsia="宋体" w:cs="宋体"/>
          <w:color w:val="000000"/>
          <w:kern w:val="0"/>
          <w:sz w:val="24"/>
          <w:szCs w:val="24"/>
        </w:rPr>
        <w:t>维修团队人员配置</w:t>
      </w:r>
      <w:r>
        <w:rPr>
          <w:rFonts w:hint="eastAsia" w:ascii="宋体" w:hAnsi="宋体" w:eastAsia="宋体" w:cs="宋体"/>
          <w:b w:val="0"/>
          <w:bCs/>
          <w:color w:val="auto"/>
          <w:sz w:val="24"/>
          <w:szCs w:val="24"/>
          <w:highlight w:val="none"/>
        </w:rPr>
        <w:t>）</w:t>
      </w:r>
      <w:r>
        <w:rPr>
          <w:rFonts w:hint="eastAsia" w:cs="宋体"/>
          <w:b w:val="0"/>
          <w:bCs/>
          <w:color w:val="auto"/>
          <w:sz w:val="24"/>
          <w:szCs w:val="24"/>
          <w:highlight w:val="none"/>
          <w:lang w:eastAsia="zh-CN"/>
        </w:rPr>
        <w:t>。</w:t>
      </w:r>
    </w:p>
    <w:p>
      <w:pPr>
        <w:pStyle w:val="32"/>
        <w:pageBreakBefore w:val="0"/>
        <w:numPr>
          <w:ilvl w:val="0"/>
          <w:numId w:val="19"/>
        </w:numPr>
        <w:tabs>
          <w:tab w:val="left" w:pos="1134"/>
        </w:tabs>
        <w:kinsoku/>
        <w:wordWrap/>
        <w:overflowPunct/>
        <w:topLinePunct w:val="0"/>
        <w:bidi w:val="0"/>
        <w:adjustRightInd w:val="0"/>
        <w:snapToGrid w:val="0"/>
        <w:spacing w:afterAutospacing="0" w:line="360" w:lineRule="auto"/>
        <w:ind w:firstLine="480" w:firstLineChars="200"/>
        <w:rPr>
          <w:rFonts w:hint="eastAsia" w:cs="宋体"/>
          <w:sz w:val="24"/>
          <w:szCs w:val="24"/>
          <w:highlight w:val="none"/>
          <w:lang w:eastAsia="zh-CN"/>
        </w:rPr>
      </w:pPr>
      <w:r>
        <w:rPr>
          <w:rFonts w:hint="eastAsia"/>
          <w:sz w:val="24"/>
          <w:szCs w:val="24"/>
          <w:highlight w:val="none"/>
          <w:lang w:val="en-US" w:eastAsia="zh-CN"/>
        </w:rPr>
        <w:t>供应商</w:t>
      </w:r>
      <w:r>
        <w:rPr>
          <w:rFonts w:hint="eastAsia"/>
          <w:b/>
          <w:bCs/>
          <w:sz w:val="24"/>
          <w:szCs w:val="24"/>
          <w:highlight w:val="none"/>
          <w:lang w:val="en-US" w:eastAsia="zh-CN"/>
        </w:rPr>
        <w:t>承诺中标后签订合同前，向采购人提供</w:t>
      </w:r>
      <w:r>
        <w:rPr>
          <w:rFonts w:hint="eastAsia"/>
          <w:b w:val="0"/>
          <w:bCs w:val="0"/>
          <w:sz w:val="24"/>
          <w:szCs w:val="24"/>
          <w:highlight w:val="none"/>
          <w:lang w:val="en-US" w:eastAsia="zh-CN"/>
        </w:rPr>
        <w:t>本项目的核心产品的厂商售后服务承诺函原件</w:t>
      </w:r>
    </w:p>
    <w:p>
      <w:pPr>
        <w:pStyle w:val="32"/>
        <w:pageBreakBefore w:val="0"/>
        <w:numPr>
          <w:ilvl w:val="0"/>
          <w:numId w:val="19"/>
        </w:numPr>
        <w:tabs>
          <w:tab w:val="left" w:pos="1134"/>
        </w:tabs>
        <w:kinsoku/>
        <w:wordWrap/>
        <w:overflowPunct/>
        <w:topLinePunct w:val="0"/>
        <w:bidi w:val="0"/>
        <w:adjustRightInd w:val="0"/>
        <w:snapToGrid w:val="0"/>
        <w:spacing w:afterAutospacing="0" w:line="360" w:lineRule="auto"/>
        <w:ind w:firstLine="480" w:firstLineChars="200"/>
        <w:rPr>
          <w:rFonts w:hint="eastAsia" w:cs="宋体"/>
          <w:sz w:val="24"/>
          <w:szCs w:val="24"/>
          <w:highlight w:val="none"/>
          <w:lang w:eastAsia="zh-CN"/>
        </w:rPr>
      </w:pPr>
      <w:r>
        <w:rPr>
          <w:rFonts w:hint="eastAsia" w:cs="宋体"/>
          <w:sz w:val="24"/>
          <w:szCs w:val="24"/>
          <w:highlight w:val="none"/>
          <w:lang w:val="en-US" w:eastAsia="zh-CN"/>
        </w:rPr>
        <w:t>供应商所投</w:t>
      </w:r>
      <w:r>
        <w:rPr>
          <w:rFonts w:hint="eastAsia" w:ascii="宋体" w:hAnsi="宋体" w:eastAsia="宋体" w:cs="宋体"/>
          <w:sz w:val="24"/>
          <w:szCs w:val="24"/>
          <w:highlight w:val="none"/>
        </w:rPr>
        <w:t>音响制造商具有质量管理体系认证、职业健康安全管理体系认证、环境管理体系认证证书</w:t>
      </w:r>
      <w:r>
        <w:rPr>
          <w:rFonts w:hint="eastAsia" w:cs="宋体"/>
          <w:sz w:val="24"/>
          <w:szCs w:val="24"/>
          <w:highlight w:val="none"/>
          <w:lang w:eastAsia="zh-CN"/>
        </w:rPr>
        <w:t>。</w:t>
      </w:r>
    </w:p>
    <w:p>
      <w:pPr>
        <w:pStyle w:val="32"/>
        <w:pageBreakBefore w:val="0"/>
        <w:numPr>
          <w:ilvl w:val="0"/>
          <w:numId w:val="20"/>
        </w:numPr>
        <w:tabs>
          <w:tab w:val="left" w:pos="1134"/>
        </w:tabs>
        <w:kinsoku/>
        <w:wordWrap/>
        <w:overflowPunct/>
        <w:topLinePunct w:val="0"/>
        <w:bidi w:val="0"/>
        <w:adjustRightInd w:val="0"/>
        <w:snapToGrid w:val="0"/>
        <w:spacing w:afterAutospacing="0" w:line="360" w:lineRule="auto"/>
        <w:ind w:left="0" w:leftChars="0" w:firstLine="420"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val="en-US" w:eastAsia="zh-CN"/>
        </w:rPr>
        <w:t>所投LED显示屏具有</w:t>
      </w:r>
      <w:r>
        <w:rPr>
          <w:rFonts w:hint="eastAsia" w:ascii="宋体" w:hAnsi="宋体" w:eastAsia="宋体" w:cs="宋体"/>
          <w:sz w:val="24"/>
          <w:szCs w:val="24"/>
          <w:highlight w:val="none"/>
        </w:rPr>
        <w:t>计算机信息显示</w:t>
      </w:r>
      <w:r>
        <w:rPr>
          <w:rFonts w:hint="eastAsia" w:ascii="宋体" w:hAnsi="宋体" w:eastAsia="宋体" w:cs="宋体"/>
          <w:sz w:val="24"/>
          <w:szCs w:val="24"/>
          <w:highlight w:val="none"/>
          <w:lang w:val="en-US" w:eastAsia="zh-CN"/>
        </w:rPr>
        <w:t>相关的</w:t>
      </w:r>
      <w:r>
        <w:rPr>
          <w:rFonts w:hint="eastAsia" w:ascii="宋体" w:hAnsi="宋体" w:eastAsia="宋体" w:cs="宋体"/>
          <w:sz w:val="24"/>
          <w:szCs w:val="24"/>
          <w:highlight w:val="none"/>
        </w:rPr>
        <w:t>软件著作权登记证书、LED显示屏智能控制系统</w:t>
      </w:r>
      <w:r>
        <w:rPr>
          <w:rFonts w:hint="eastAsia" w:ascii="宋体" w:hAnsi="宋体" w:eastAsia="宋体" w:cs="宋体"/>
          <w:sz w:val="24"/>
          <w:szCs w:val="24"/>
          <w:highlight w:val="none"/>
          <w:lang w:val="en-US" w:eastAsia="zh-CN"/>
        </w:rPr>
        <w:t>相关的</w:t>
      </w:r>
      <w:r>
        <w:rPr>
          <w:rFonts w:hint="eastAsia" w:ascii="宋体" w:hAnsi="宋体" w:eastAsia="宋体" w:cs="宋体"/>
          <w:sz w:val="24"/>
          <w:szCs w:val="24"/>
          <w:highlight w:val="none"/>
        </w:rPr>
        <w:t>著作权登记证书</w:t>
      </w:r>
      <w:r>
        <w:rPr>
          <w:rFonts w:hint="eastAsia" w:cs="宋体"/>
          <w:sz w:val="24"/>
          <w:szCs w:val="24"/>
          <w:highlight w:val="none"/>
          <w:lang w:eastAsia="zh-CN"/>
        </w:rPr>
        <w:t>。</w:t>
      </w:r>
    </w:p>
    <w:p>
      <w:pPr>
        <w:pStyle w:val="32"/>
        <w:pageBreakBefore w:val="0"/>
        <w:numPr>
          <w:ilvl w:val="0"/>
          <w:numId w:val="20"/>
        </w:numPr>
        <w:tabs>
          <w:tab w:val="left" w:pos="1134"/>
        </w:tabs>
        <w:kinsoku/>
        <w:wordWrap/>
        <w:overflowPunct/>
        <w:topLinePunct w:val="0"/>
        <w:bidi w:val="0"/>
        <w:adjustRightInd w:val="0"/>
        <w:snapToGrid w:val="0"/>
        <w:spacing w:afterAutospacing="0" w:line="360" w:lineRule="auto"/>
        <w:ind w:left="0" w:leftChars="0" w:firstLine="420" w:firstLineChars="0"/>
        <w:rPr>
          <w:rFonts w:hint="eastAsia" w:ascii="宋体" w:hAnsi="宋体" w:eastAsia="宋体" w:cs="宋体"/>
          <w:b w:val="0"/>
          <w:bCs/>
          <w:color w:val="auto"/>
          <w:sz w:val="24"/>
          <w:szCs w:val="24"/>
          <w:highlight w:val="none"/>
          <w:lang w:val="en-US" w:eastAsia="zh-CN"/>
        </w:rPr>
      </w:pPr>
      <w:r>
        <w:rPr>
          <w:rFonts w:hint="eastAsia" w:cs="宋体"/>
          <w:sz w:val="24"/>
          <w:szCs w:val="24"/>
          <w:highlight w:val="none"/>
          <w:lang w:val="en-US" w:eastAsia="zh-CN"/>
        </w:rPr>
        <w:t>供应商所投</w:t>
      </w:r>
      <w:r>
        <w:rPr>
          <w:rFonts w:hint="eastAsia" w:ascii="宋体" w:hAnsi="宋体" w:eastAsia="宋体" w:cs="宋体"/>
          <w:sz w:val="24"/>
          <w:szCs w:val="24"/>
          <w:highlight w:val="none"/>
          <w:lang w:val="en-US" w:eastAsia="zh-CN"/>
        </w:rPr>
        <w:t>LED生产厂家具有</w:t>
      </w:r>
      <w:r>
        <w:rPr>
          <w:rFonts w:hint="eastAsia" w:ascii="宋体" w:hAnsi="宋体" w:eastAsia="宋体" w:cs="宋体"/>
          <w:color w:val="000000"/>
          <w:kern w:val="0"/>
          <w:sz w:val="24"/>
          <w:szCs w:val="24"/>
          <w:highlight w:val="none"/>
        </w:rPr>
        <w:t>质量管理体系认证、环境管理体系认证证书</w:t>
      </w:r>
      <w:r>
        <w:rPr>
          <w:rFonts w:hint="eastAsia" w:cs="宋体"/>
          <w:color w:val="000000"/>
          <w:kern w:val="0"/>
          <w:sz w:val="24"/>
          <w:szCs w:val="24"/>
          <w:highlight w:val="none"/>
          <w:lang w:eastAsia="zh-CN"/>
        </w:rPr>
        <w:t>。</w:t>
      </w:r>
    </w:p>
    <w:p>
      <w:pPr>
        <w:pStyle w:val="4"/>
        <w:pageBreakBefore w:val="0"/>
        <w:numPr>
          <w:ilvl w:val="1"/>
          <w:numId w:val="0"/>
        </w:numPr>
        <w:kinsoku/>
        <w:wordWrap/>
        <w:overflowPunct/>
        <w:topLinePunct w:val="0"/>
        <w:bidi w:val="0"/>
        <w:adjustRightInd w:val="0"/>
        <w:snapToGrid w:val="0"/>
        <w:spacing w:before="0" w:beforeLines="0" w:after="0" w:afterLines="0" w:afterAutospacing="0" w:line="360" w:lineRule="auto"/>
        <w:jc w:val="both"/>
        <w:rPr>
          <w:color w:val="auto"/>
          <w:highlight w:val="none"/>
        </w:rPr>
      </w:pPr>
      <w:bookmarkStart w:id="125" w:name="_Toc58943343"/>
      <w:bookmarkStart w:id="126" w:name="_Toc77688493"/>
      <w:bookmarkStart w:id="127" w:name="_Toc29048"/>
      <w:r>
        <w:rPr>
          <w:rFonts w:hint="eastAsia"/>
          <w:color w:val="auto"/>
          <w:highlight w:val="none"/>
          <w:lang w:val="en-US" w:eastAsia="zh-CN"/>
        </w:rPr>
        <w:t>4.5</w:t>
      </w:r>
      <w:r>
        <w:rPr>
          <w:rFonts w:hint="eastAsia"/>
          <w:color w:val="auto"/>
          <w:highlight w:val="none"/>
        </w:rPr>
        <w:t>满足采购需求的实质性要求</w:t>
      </w:r>
      <w:bookmarkEnd w:id="125"/>
      <w:bookmarkEnd w:id="126"/>
      <w:bookmarkEnd w:id="127"/>
    </w:p>
    <w:p>
      <w:pPr>
        <w:pageBreakBefore w:val="0"/>
        <w:kinsoku/>
        <w:wordWrap/>
        <w:overflowPunct/>
        <w:topLinePunct w:val="0"/>
        <w:bidi w:val="0"/>
        <w:adjustRightInd w:val="0"/>
        <w:snapToGrid w:val="0"/>
        <w:spacing w:afterAutospacing="0" w:line="360" w:lineRule="auto"/>
        <w:ind w:firstLine="562" w:firstLineChars="200"/>
        <w:rPr>
          <w:rFonts w:hint="eastAsia" w:ascii="宋体" w:hAnsi="宋体"/>
          <w:b/>
          <w:color w:val="auto"/>
          <w:sz w:val="28"/>
          <w:szCs w:val="28"/>
          <w:highlight w:val="none"/>
        </w:rPr>
      </w:pPr>
      <w:r>
        <w:rPr>
          <w:rFonts w:hint="eastAsia" w:ascii="宋体" w:hAnsi="宋体"/>
          <w:b/>
          <w:color w:val="auto"/>
          <w:sz w:val="28"/>
          <w:szCs w:val="28"/>
          <w:highlight w:val="none"/>
        </w:rPr>
        <w:t>技术、服务、商务及其他要求中加★号的要求为满足采购需求的</w:t>
      </w:r>
      <w:r>
        <w:rPr>
          <w:rFonts w:ascii="宋体" w:hAnsi="宋体"/>
          <w:b/>
          <w:color w:val="auto"/>
          <w:sz w:val="28"/>
          <w:szCs w:val="28"/>
          <w:highlight w:val="none"/>
        </w:rPr>
        <w:t>的</w:t>
      </w:r>
      <w:r>
        <w:rPr>
          <w:rFonts w:hint="eastAsia" w:ascii="宋体" w:hAnsi="宋体"/>
          <w:b/>
          <w:color w:val="auto"/>
          <w:sz w:val="28"/>
          <w:szCs w:val="28"/>
          <w:highlight w:val="none"/>
        </w:rPr>
        <w:t>实质性要求，不允许作</w:t>
      </w:r>
      <w:r>
        <w:rPr>
          <w:rFonts w:ascii="宋体" w:hAnsi="宋体"/>
          <w:b/>
          <w:color w:val="auto"/>
          <w:sz w:val="28"/>
          <w:szCs w:val="28"/>
          <w:highlight w:val="none"/>
        </w:rPr>
        <w:t>实质性变动</w:t>
      </w:r>
      <w:r>
        <w:rPr>
          <w:rFonts w:hint="eastAsia" w:ascii="宋体" w:hAnsi="宋体"/>
          <w:b/>
          <w:color w:val="auto"/>
          <w:sz w:val="28"/>
          <w:szCs w:val="28"/>
          <w:highlight w:val="none"/>
        </w:rPr>
        <w:t>，若未响应或者负偏离，响应文件无效。</w:t>
      </w:r>
    </w:p>
    <w:p>
      <w:pPr>
        <w:pStyle w:val="2"/>
        <w:rPr>
          <w:rFonts w:hint="eastAsia" w:ascii="宋体" w:hAnsi="宋体"/>
          <w:b/>
          <w:color w:val="auto"/>
          <w:sz w:val="28"/>
          <w:szCs w:val="28"/>
          <w:highlight w:val="none"/>
        </w:rPr>
      </w:pPr>
    </w:p>
    <w:p>
      <w:pPr>
        <w:rPr>
          <w:rFonts w:hint="eastAsia" w:ascii="宋体" w:hAnsi="宋体"/>
          <w:b/>
          <w:color w:val="auto"/>
          <w:sz w:val="28"/>
          <w:szCs w:val="28"/>
          <w:highlight w:val="none"/>
        </w:rPr>
      </w:pPr>
    </w:p>
    <w:p>
      <w:pPr>
        <w:pStyle w:val="2"/>
        <w:rPr>
          <w:rFonts w:hint="eastAsia" w:ascii="宋体" w:hAnsi="宋体"/>
          <w:b/>
          <w:color w:val="auto"/>
          <w:sz w:val="28"/>
          <w:szCs w:val="28"/>
          <w:highlight w:val="none"/>
        </w:rPr>
      </w:pPr>
    </w:p>
    <w:p>
      <w:pPr>
        <w:rPr>
          <w:rFonts w:hint="eastAsia" w:ascii="宋体" w:hAnsi="宋体"/>
          <w:b/>
          <w:color w:val="auto"/>
          <w:sz w:val="28"/>
          <w:szCs w:val="28"/>
          <w:highlight w:val="none"/>
        </w:rPr>
      </w:pPr>
    </w:p>
    <w:p>
      <w:pPr>
        <w:pStyle w:val="2"/>
        <w:rPr>
          <w:rFonts w:hint="eastAsia" w:ascii="宋体" w:hAnsi="宋体"/>
          <w:b/>
          <w:color w:val="auto"/>
          <w:sz w:val="28"/>
          <w:szCs w:val="28"/>
          <w:highlight w:val="none"/>
        </w:rPr>
      </w:pPr>
    </w:p>
    <w:p>
      <w:pPr>
        <w:rPr>
          <w:rFonts w:hint="eastAsia" w:ascii="宋体" w:hAnsi="宋体"/>
          <w:b/>
          <w:color w:val="auto"/>
          <w:sz w:val="28"/>
          <w:szCs w:val="28"/>
          <w:highlight w:val="none"/>
        </w:rPr>
      </w:pPr>
    </w:p>
    <w:p>
      <w:pPr>
        <w:pStyle w:val="2"/>
        <w:rPr>
          <w:rFonts w:hint="eastAsia" w:ascii="宋体" w:hAnsi="宋体"/>
          <w:b/>
          <w:color w:val="auto"/>
          <w:sz w:val="28"/>
          <w:szCs w:val="28"/>
          <w:highlight w:val="none"/>
        </w:rPr>
      </w:pPr>
    </w:p>
    <w:p>
      <w:pPr>
        <w:rPr>
          <w:rFonts w:hint="eastAsia" w:ascii="宋体" w:hAnsi="宋体"/>
          <w:b/>
          <w:color w:val="auto"/>
          <w:sz w:val="28"/>
          <w:szCs w:val="28"/>
          <w:highlight w:val="none"/>
        </w:rPr>
      </w:pPr>
    </w:p>
    <w:p>
      <w:pPr>
        <w:pStyle w:val="2"/>
        <w:rPr>
          <w:rFonts w:hint="eastAsia" w:ascii="宋体" w:hAnsi="宋体"/>
          <w:b/>
          <w:color w:val="auto"/>
          <w:sz w:val="28"/>
          <w:szCs w:val="28"/>
          <w:highlight w:val="none"/>
        </w:rPr>
      </w:pPr>
    </w:p>
    <w:p>
      <w:pPr>
        <w:rPr>
          <w:rFonts w:hint="eastAsia" w:ascii="宋体" w:hAnsi="宋体"/>
          <w:b/>
          <w:color w:val="auto"/>
          <w:sz w:val="28"/>
          <w:szCs w:val="28"/>
          <w:highlight w:val="none"/>
        </w:rPr>
      </w:pPr>
    </w:p>
    <w:p>
      <w:pPr>
        <w:pStyle w:val="2"/>
        <w:rPr>
          <w:rFonts w:hint="eastAsia" w:ascii="宋体" w:hAnsi="宋体"/>
          <w:b/>
          <w:color w:val="auto"/>
          <w:sz w:val="28"/>
          <w:szCs w:val="28"/>
          <w:highlight w:val="none"/>
        </w:rPr>
      </w:pPr>
    </w:p>
    <w:p>
      <w:pPr>
        <w:rPr>
          <w:rFonts w:hint="eastAsia" w:ascii="宋体" w:hAnsi="宋体"/>
          <w:b/>
          <w:color w:val="auto"/>
          <w:sz w:val="28"/>
          <w:szCs w:val="28"/>
          <w:highlight w:val="none"/>
        </w:rPr>
      </w:pPr>
    </w:p>
    <w:p>
      <w:pPr>
        <w:pStyle w:val="2"/>
        <w:rPr>
          <w:rFonts w:hint="eastAsia" w:ascii="宋体" w:hAnsi="宋体"/>
          <w:b/>
          <w:color w:val="auto"/>
          <w:sz w:val="28"/>
          <w:szCs w:val="28"/>
          <w:highlight w:val="none"/>
        </w:rPr>
      </w:pPr>
    </w:p>
    <w:p>
      <w:pPr>
        <w:rPr>
          <w:rFonts w:hint="eastAsia"/>
        </w:rPr>
      </w:pPr>
    </w:p>
    <w:p>
      <w:pPr>
        <w:pStyle w:val="3"/>
        <w:bidi w:val="0"/>
        <w:jc w:val="left"/>
        <w:rPr>
          <w:rFonts w:hint="eastAsia"/>
          <w:lang w:val="en-US" w:eastAsia="zh-CN"/>
        </w:rPr>
      </w:pPr>
      <w:bookmarkStart w:id="128" w:name="_Toc2780"/>
      <w:bookmarkStart w:id="129" w:name="_Toc6159"/>
      <w:bookmarkStart w:id="130" w:name="_Toc20861"/>
      <w:r>
        <w:rPr>
          <w:rFonts w:hint="eastAsia"/>
          <w:lang w:val="en-US" w:eastAsia="zh-CN"/>
        </w:rPr>
        <w:t>附件：</w:t>
      </w:r>
      <w:bookmarkEnd w:id="128"/>
      <w:bookmarkEnd w:id="129"/>
      <w:bookmarkEnd w:id="130"/>
    </w:p>
    <w:p>
      <w:pPr>
        <w:pageBreakBefore w:val="0"/>
        <w:kinsoku/>
        <w:wordWrap/>
        <w:overflowPunct/>
        <w:topLinePunct w:val="0"/>
        <w:bidi w:val="0"/>
        <w:adjustRightInd w:val="0"/>
        <w:snapToGrid w:val="0"/>
        <w:spacing w:afterAutospacing="0" w:line="360" w:lineRule="auto"/>
        <w:ind w:firstLine="880" w:firstLineChars="200"/>
        <w:jc w:val="both"/>
        <w:rPr>
          <w:rFonts w:ascii="方正小标宋简体" w:eastAsia="方正小标宋简体"/>
          <w:color w:val="auto"/>
          <w:sz w:val="44"/>
          <w:szCs w:val="44"/>
          <w:highlight w:val="none"/>
        </w:rPr>
      </w:pPr>
      <w:bookmarkStart w:id="131" w:name="_Ref22834"/>
      <w:bookmarkStart w:id="132" w:name="_Toc68029866"/>
    </w:p>
    <w:bookmarkEnd w:id="131"/>
    <w:p>
      <w:pPr>
        <w:spacing w:line="700" w:lineRule="exact"/>
        <w:ind w:firstLine="402" w:firstLineChars="100"/>
        <w:jc w:val="center"/>
        <w:rPr>
          <w:rFonts w:ascii="宋体" w:hAnsi="宋体" w:eastAsia="宋体"/>
          <w:b/>
          <w:bCs/>
          <w:sz w:val="40"/>
          <w:szCs w:val="40"/>
        </w:rPr>
      </w:pPr>
      <w:r>
        <w:rPr>
          <w:rFonts w:hint="eastAsia" w:ascii="宋体" w:hAnsi="宋体" w:eastAsia="宋体"/>
          <w:b/>
          <w:bCs/>
          <w:sz w:val="40"/>
          <w:szCs w:val="40"/>
        </w:rPr>
        <w:t>成都市温江区第二中学校</w:t>
      </w:r>
    </w:p>
    <w:p>
      <w:pPr>
        <w:keepNext w:val="0"/>
        <w:keepLines w:val="0"/>
        <w:pageBreakBefore w:val="0"/>
        <w:widowControl w:val="0"/>
        <w:kinsoku/>
        <w:wordWrap/>
        <w:overflowPunct/>
        <w:topLinePunct w:val="0"/>
        <w:autoSpaceDE/>
        <w:autoSpaceDN/>
        <w:bidi w:val="0"/>
        <w:adjustRightInd w:val="0"/>
        <w:snapToGrid w:val="0"/>
        <w:spacing w:before="130"/>
        <w:ind w:left="0" w:right="0" w:firstLine="0" w:firstLineChars="0"/>
        <w:jc w:val="center"/>
        <w:textAlignment w:val="auto"/>
        <w:rPr>
          <w:rFonts w:ascii="宋体" w:hAnsi="宋体" w:eastAsia="宋体" w:cs="宋体"/>
          <w:b/>
          <w:bCs/>
          <w:sz w:val="40"/>
          <w:szCs w:val="40"/>
          <w14:textOutline w14:w="7282" w14:cap="sq" w14:cmpd="sng">
            <w14:solidFill>
              <w14:srgbClr w14:val="000000"/>
            </w14:solidFill>
            <w14:prstDash w14:val="solid"/>
            <w14:bevel/>
          </w14:textOutline>
        </w:rPr>
      </w:pPr>
      <w:r>
        <w:rPr>
          <w:rFonts w:hint="eastAsia" w:ascii="宋体" w:hAnsi="宋体" w:eastAsia="宋体"/>
          <w:b/>
          <w:bCs/>
          <w:sz w:val="40"/>
          <w:szCs w:val="40"/>
        </w:rPr>
        <w:t>多功能报告厅音视频系统建设改造项目</w:t>
      </w:r>
    </w:p>
    <w:p>
      <w:pPr>
        <w:spacing w:line="245" w:lineRule="auto"/>
        <w:rPr>
          <w:rFonts w:ascii="宋体"/>
          <w:sz w:val="21"/>
        </w:rPr>
      </w:pPr>
    </w:p>
    <w:p>
      <w:pPr>
        <w:spacing w:line="245" w:lineRule="auto"/>
        <w:rPr>
          <w:rFonts w:ascii="宋体"/>
          <w:sz w:val="21"/>
        </w:rPr>
      </w:pPr>
      <w:r>
        <mc:AlternateContent>
          <mc:Choice Requires="wps">
            <w:drawing>
              <wp:anchor distT="0" distB="0" distL="114300" distR="114300" simplePos="0" relativeHeight="251660288" behindDoc="0" locked="0" layoutInCell="0" allowOverlap="1">
                <wp:simplePos x="0" y="0"/>
                <wp:positionH relativeFrom="page">
                  <wp:posOffset>2863850</wp:posOffset>
                </wp:positionH>
                <wp:positionV relativeFrom="page">
                  <wp:posOffset>3977640</wp:posOffset>
                </wp:positionV>
                <wp:extent cx="1130935" cy="47948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30935" cy="479488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spacing w:before="20" w:line="197" w:lineRule="auto"/>
                              <w:ind w:firstLine="0" w:firstLineChars="0"/>
                              <w:textAlignment w:val="auto"/>
                              <w:rPr>
                                <w:rFonts w:ascii="宋体" w:hAnsi="宋体" w:eastAsia="宋体" w:cs="宋体"/>
                                <w:sz w:val="52"/>
                                <w:szCs w:val="52"/>
                              </w:rPr>
                            </w:pPr>
                            <w:r>
                              <w:rPr>
                                <w:rFonts w:ascii="宋体" w:hAnsi="宋体" w:eastAsia="宋体" w:cs="宋体"/>
                                <w:sz w:val="52"/>
                                <w:szCs w:val="52"/>
                                <w14:textOutline w14:w="9461" w14:cap="sq" w14:cmpd="sng">
                                  <w14:solidFill>
                                    <w14:srgbClr w14:val="000000"/>
                                  </w14:solidFill>
                                  <w14:prstDash w14:val="solid"/>
                                  <w14:bevel/>
                                </w14:textOutline>
                              </w:rPr>
                              <w:t>技</w:t>
                            </w:r>
                            <w:r>
                              <w:rPr>
                                <w:rFonts w:ascii="宋体" w:hAnsi="宋体" w:eastAsia="宋体" w:cs="宋体"/>
                                <w:spacing w:val="31"/>
                                <w:sz w:val="52"/>
                                <w:szCs w:val="52"/>
                              </w:rPr>
                              <w:t xml:space="preserve">    </w:t>
                            </w:r>
                            <w:r>
                              <w:rPr>
                                <w:rFonts w:ascii="宋体" w:hAnsi="宋体" w:eastAsia="宋体" w:cs="宋体"/>
                                <w:sz w:val="52"/>
                                <w:szCs w:val="52"/>
                                <w14:textOutline w14:w="9461" w14:cap="sq" w14:cmpd="sng">
                                  <w14:solidFill>
                                    <w14:srgbClr w14:val="000000"/>
                                  </w14:solidFill>
                                  <w14:prstDash w14:val="solid"/>
                                  <w14:bevel/>
                                </w14:textOutline>
                              </w:rPr>
                              <w:t>术</w:t>
                            </w:r>
                            <w:r>
                              <w:rPr>
                                <w:rFonts w:ascii="宋体" w:hAnsi="宋体" w:eastAsia="宋体" w:cs="宋体"/>
                                <w:spacing w:val="32"/>
                                <w:sz w:val="52"/>
                                <w:szCs w:val="52"/>
                              </w:rPr>
                              <w:t xml:space="preserve">    </w:t>
                            </w:r>
                            <w:r>
                              <w:rPr>
                                <w:rFonts w:ascii="宋体" w:hAnsi="宋体" w:eastAsia="宋体" w:cs="宋体"/>
                                <w:sz w:val="52"/>
                                <w:szCs w:val="52"/>
                                <w14:textOutline w14:w="9461" w14:cap="sq" w14:cmpd="sng">
                                  <w14:solidFill>
                                    <w14:srgbClr w14:val="000000"/>
                                  </w14:solidFill>
                                  <w14:prstDash w14:val="solid"/>
                                  <w14:bevel/>
                                </w14:textOutline>
                              </w:rPr>
                              <w:t>方</w:t>
                            </w:r>
                            <w:r>
                              <w:rPr>
                                <w:rFonts w:ascii="宋体" w:hAnsi="宋体" w:eastAsia="宋体" w:cs="宋体"/>
                                <w:spacing w:val="31"/>
                                <w:sz w:val="52"/>
                                <w:szCs w:val="52"/>
                              </w:rPr>
                              <w:t xml:space="preserve">    </w:t>
                            </w:r>
                            <w:r>
                              <w:rPr>
                                <w:rFonts w:ascii="宋体" w:hAnsi="宋体" w:eastAsia="宋体" w:cs="宋体"/>
                                <w:sz w:val="52"/>
                                <w:szCs w:val="52"/>
                                <w14:textOutline w14:w="9461" w14:cap="sq" w14:cmpd="sng">
                                  <w14:solidFill>
                                    <w14:srgbClr w14:val="000000"/>
                                  </w14:solidFill>
                                  <w14:prstDash w14:val="solid"/>
                                  <w14:bevel/>
                                </w14:textOutline>
                              </w:rPr>
                              <w:t>案</w:t>
                            </w:r>
                          </w:p>
                        </w:txbxContent>
                      </wps:txbx>
                      <wps:bodyPr vert="eaVert" lIns="0" tIns="0" rIns="0" bIns="0" upright="1"/>
                    </wps:wsp>
                  </a:graphicData>
                </a:graphic>
              </wp:anchor>
            </w:drawing>
          </mc:Choice>
          <mc:Fallback>
            <w:pict>
              <v:shape id="_x0000_s1026" o:spid="_x0000_s1026" o:spt="202" type="#_x0000_t202" style="position:absolute;left:0pt;margin-left:225.5pt;margin-top:313.2pt;height:377.55pt;width:89.05pt;mso-position-horizontal-relative:page;mso-position-vertical-relative:page;z-index:251660288;mso-width-relative:page;mso-height-relative:page;" filled="f" stroked="f" coordsize="21600,21600" o:allowincell="f" o:gfxdata="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XDAQ3ZAAAADAEAAA8AAAAAAAAAAQAgAAAAIgAAAGRycy9kb3du&#10;cmV2LnhtbFBLAQIUABQAAAAIAIdO4kAD0NGJxQEAAIEDAAAOAAAAAAAAAAEAIAAAACgBAABkcnMv&#10;ZTJvRG9jLnhtbFBLBQYAAAAABgAGAFkBAABfBQAAAAA=&#10;">
                <v:fill on="f" focussize="0,0"/>
                <v:stroke on="f"/>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before="20" w:line="197" w:lineRule="auto"/>
                        <w:ind w:firstLine="0" w:firstLineChars="0"/>
                        <w:textAlignment w:val="auto"/>
                        <w:rPr>
                          <w:rFonts w:ascii="宋体" w:hAnsi="宋体" w:eastAsia="宋体" w:cs="宋体"/>
                          <w:sz w:val="52"/>
                          <w:szCs w:val="52"/>
                        </w:rPr>
                      </w:pPr>
                      <w:r>
                        <w:rPr>
                          <w:rFonts w:ascii="宋体" w:hAnsi="宋体" w:eastAsia="宋体" w:cs="宋体"/>
                          <w:sz w:val="52"/>
                          <w:szCs w:val="52"/>
                          <w14:textOutline w14:w="9461" w14:cap="sq" w14:cmpd="sng">
                            <w14:solidFill>
                              <w14:srgbClr w14:val="000000"/>
                            </w14:solidFill>
                            <w14:prstDash w14:val="solid"/>
                            <w14:bevel/>
                          </w14:textOutline>
                        </w:rPr>
                        <w:t>技</w:t>
                      </w:r>
                      <w:r>
                        <w:rPr>
                          <w:rFonts w:ascii="宋体" w:hAnsi="宋体" w:eastAsia="宋体" w:cs="宋体"/>
                          <w:spacing w:val="31"/>
                          <w:sz w:val="52"/>
                          <w:szCs w:val="52"/>
                        </w:rPr>
                        <w:t xml:space="preserve">    </w:t>
                      </w:r>
                      <w:r>
                        <w:rPr>
                          <w:rFonts w:ascii="宋体" w:hAnsi="宋体" w:eastAsia="宋体" w:cs="宋体"/>
                          <w:sz w:val="52"/>
                          <w:szCs w:val="52"/>
                          <w14:textOutline w14:w="9461" w14:cap="sq" w14:cmpd="sng">
                            <w14:solidFill>
                              <w14:srgbClr w14:val="000000"/>
                            </w14:solidFill>
                            <w14:prstDash w14:val="solid"/>
                            <w14:bevel/>
                          </w14:textOutline>
                        </w:rPr>
                        <w:t>术</w:t>
                      </w:r>
                      <w:r>
                        <w:rPr>
                          <w:rFonts w:ascii="宋体" w:hAnsi="宋体" w:eastAsia="宋体" w:cs="宋体"/>
                          <w:spacing w:val="32"/>
                          <w:sz w:val="52"/>
                          <w:szCs w:val="52"/>
                        </w:rPr>
                        <w:t xml:space="preserve">    </w:t>
                      </w:r>
                      <w:r>
                        <w:rPr>
                          <w:rFonts w:ascii="宋体" w:hAnsi="宋体" w:eastAsia="宋体" w:cs="宋体"/>
                          <w:sz w:val="52"/>
                          <w:szCs w:val="52"/>
                          <w14:textOutline w14:w="9461" w14:cap="sq" w14:cmpd="sng">
                            <w14:solidFill>
                              <w14:srgbClr w14:val="000000"/>
                            </w14:solidFill>
                            <w14:prstDash w14:val="solid"/>
                            <w14:bevel/>
                          </w14:textOutline>
                        </w:rPr>
                        <w:t>方</w:t>
                      </w:r>
                      <w:r>
                        <w:rPr>
                          <w:rFonts w:ascii="宋体" w:hAnsi="宋体" w:eastAsia="宋体" w:cs="宋体"/>
                          <w:spacing w:val="31"/>
                          <w:sz w:val="52"/>
                          <w:szCs w:val="52"/>
                        </w:rPr>
                        <w:t xml:space="preserve">    </w:t>
                      </w:r>
                      <w:r>
                        <w:rPr>
                          <w:rFonts w:ascii="宋体" w:hAnsi="宋体" w:eastAsia="宋体" w:cs="宋体"/>
                          <w:sz w:val="52"/>
                          <w:szCs w:val="52"/>
                          <w14:textOutline w14:w="9461" w14:cap="sq" w14:cmpd="sng">
                            <w14:solidFill>
                              <w14:srgbClr w14:val="000000"/>
                            </w14:solidFill>
                            <w14:prstDash w14:val="solid"/>
                            <w14:bevel/>
                          </w14:textOutline>
                        </w:rPr>
                        <w:t>案</w:t>
                      </w:r>
                    </w:p>
                  </w:txbxContent>
                </v:textbox>
              </v:shape>
            </w:pict>
          </mc:Fallback>
        </mc:AlternateContent>
      </w: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Style w:val="3"/>
        <w:keepNext/>
        <w:keepLines/>
        <w:pageBreakBefore w:val="0"/>
        <w:widowControl w:val="0"/>
        <w:numPr>
          <w:ilvl w:val="0"/>
          <w:numId w:val="21"/>
        </w:numPr>
        <w:kinsoku/>
        <w:wordWrap/>
        <w:overflowPunct/>
        <w:topLinePunct w:val="0"/>
        <w:autoSpaceDE/>
        <w:autoSpaceDN/>
        <w:bidi w:val="0"/>
        <w:adjustRightInd w:val="0"/>
        <w:snapToGrid w:val="0"/>
        <w:spacing w:before="0" w:after="0" w:afterAutospacing="0" w:line="360" w:lineRule="auto"/>
        <w:ind w:left="0" w:firstLine="0" w:firstLineChars="0"/>
        <w:jc w:val="center"/>
        <w:textAlignment w:val="auto"/>
        <w:rPr>
          <w:rFonts w:asciiTheme="majorEastAsia" w:hAnsiTheme="majorEastAsia" w:eastAsiaTheme="majorEastAsia"/>
          <w:color w:val="auto"/>
          <w:sz w:val="36"/>
          <w:szCs w:val="36"/>
          <w:highlight w:val="none"/>
        </w:rPr>
      </w:pPr>
      <w:bookmarkStart w:id="133" w:name="_Toc6275"/>
      <w:bookmarkStart w:id="134" w:name="_Toc3162"/>
      <w:bookmarkStart w:id="135" w:name="_Toc1154"/>
      <w:bookmarkStart w:id="136" w:name="_Toc18738"/>
      <w:bookmarkStart w:id="137" w:name="_Toc68623109"/>
      <w:bookmarkStart w:id="138" w:name="_Toc8251"/>
      <w:r>
        <w:rPr>
          <w:rFonts w:hint="eastAsia" w:asciiTheme="majorEastAsia" w:hAnsiTheme="majorEastAsia" w:eastAsiaTheme="majorEastAsia"/>
          <w:color w:val="auto"/>
          <w:sz w:val="36"/>
          <w:szCs w:val="36"/>
          <w:highlight w:val="none"/>
        </w:rPr>
        <w:t>项目简介</w:t>
      </w:r>
      <w:bookmarkEnd w:id="132"/>
      <w:bookmarkEnd w:id="133"/>
      <w:bookmarkEnd w:id="134"/>
      <w:bookmarkEnd w:id="135"/>
      <w:bookmarkEnd w:id="136"/>
      <w:bookmarkEnd w:id="137"/>
      <w:bookmarkEnd w:id="138"/>
    </w:p>
    <w:p>
      <w:pPr>
        <w:pStyle w:val="4"/>
        <w:keepNext/>
        <w:keepLines/>
        <w:pageBreakBefore w:val="0"/>
        <w:widowControl w:val="0"/>
        <w:numPr>
          <w:ilvl w:val="1"/>
          <w:numId w:val="21"/>
        </w:numPr>
        <w:kinsoku/>
        <w:wordWrap/>
        <w:overflowPunct/>
        <w:topLinePunct w:val="0"/>
        <w:autoSpaceDE/>
        <w:autoSpaceDN/>
        <w:bidi w:val="0"/>
        <w:adjustRightInd w:val="0"/>
        <w:snapToGrid w:val="0"/>
        <w:spacing w:before="0" w:beforeLines="0" w:after="0" w:afterLines="0" w:afterAutospacing="0" w:line="360" w:lineRule="auto"/>
        <w:ind w:left="0" w:firstLine="0" w:firstLineChars="0"/>
        <w:textAlignment w:val="auto"/>
        <w:rPr>
          <w:rFonts w:asciiTheme="majorEastAsia" w:hAnsiTheme="majorEastAsia" w:eastAsiaTheme="majorEastAsia"/>
          <w:color w:val="auto"/>
          <w:highlight w:val="none"/>
        </w:rPr>
      </w:pPr>
      <w:bookmarkStart w:id="139" w:name="_Toc520877158"/>
      <w:bookmarkStart w:id="140" w:name="_Toc501361372"/>
      <w:bookmarkStart w:id="141" w:name="_Toc524"/>
      <w:bookmarkStart w:id="142" w:name="_Toc501360927"/>
      <w:bookmarkStart w:id="143" w:name="_Toc4336"/>
      <w:bookmarkStart w:id="144" w:name="_Toc17845"/>
      <w:bookmarkStart w:id="145" w:name="_Toc30365"/>
      <w:bookmarkStart w:id="146" w:name="_Toc28607"/>
      <w:bookmarkStart w:id="147" w:name="_Toc68623110"/>
      <w:bookmarkStart w:id="148" w:name="_Toc68029867"/>
      <w:r>
        <w:rPr>
          <w:rFonts w:asciiTheme="majorEastAsia" w:hAnsiTheme="majorEastAsia" w:eastAsiaTheme="majorEastAsia"/>
          <w:color w:val="auto"/>
          <w:highlight w:val="none"/>
        </w:rPr>
        <w:t>项目名称</w:t>
      </w:r>
      <w:bookmarkEnd w:id="139"/>
      <w:bookmarkEnd w:id="140"/>
      <w:bookmarkEnd w:id="141"/>
      <w:bookmarkEnd w:id="142"/>
      <w:bookmarkEnd w:id="143"/>
      <w:bookmarkEnd w:id="144"/>
      <w:bookmarkEnd w:id="145"/>
      <w:bookmarkEnd w:id="146"/>
      <w:bookmarkEnd w:id="147"/>
      <w:bookmarkEnd w:id="148"/>
    </w:p>
    <w:p>
      <w:pPr>
        <w:pageBreakBefore w:val="0"/>
        <w:wordWrap/>
        <w:overflowPunct/>
        <w:topLinePunct w:val="0"/>
        <w:bidi w:val="0"/>
        <w:adjustRightInd w:val="0"/>
        <w:snapToGrid w:val="0"/>
        <w:spacing w:before="78" w:line="360" w:lineRule="auto"/>
        <w:ind w:firstLine="480" w:firstLineChars="200"/>
        <w:rPr>
          <w:rFonts w:ascii="宋体" w:hAnsi="宋体" w:eastAsia="宋体" w:cs="宋体"/>
          <w:sz w:val="24"/>
          <w:szCs w:val="24"/>
        </w:rPr>
      </w:pPr>
      <w:bookmarkStart w:id="149" w:name="_Toc501361373"/>
      <w:bookmarkStart w:id="150" w:name="_Toc520877159"/>
      <w:bookmarkStart w:id="151" w:name="_Toc501360928"/>
      <w:bookmarkStart w:id="152" w:name="_Toc68029868"/>
      <w:bookmarkStart w:id="153" w:name="_Toc68623111"/>
      <w:bookmarkStart w:id="154" w:name="_Toc18793"/>
      <w:bookmarkStart w:id="155" w:name="_Toc29112"/>
      <w:r>
        <w:rPr>
          <w:rFonts w:hint="eastAsia" w:ascii="宋体" w:hAnsi="宋体" w:eastAsia="宋体" w:cstheme="minorBidi"/>
          <w:sz w:val="24"/>
          <w:szCs w:val="24"/>
        </w:rPr>
        <w:t>成都市温江区第二中学校多功能报告厅音视频系统建设改造项目</w:t>
      </w:r>
    </w:p>
    <w:p>
      <w:pPr>
        <w:pStyle w:val="4"/>
        <w:keepNext/>
        <w:keepLines/>
        <w:pageBreakBefore w:val="0"/>
        <w:widowControl w:val="0"/>
        <w:numPr>
          <w:ilvl w:val="1"/>
          <w:numId w:val="21"/>
        </w:numPr>
        <w:kinsoku/>
        <w:wordWrap/>
        <w:overflowPunct/>
        <w:topLinePunct w:val="0"/>
        <w:autoSpaceDE/>
        <w:autoSpaceDN/>
        <w:bidi w:val="0"/>
        <w:adjustRightInd w:val="0"/>
        <w:snapToGrid w:val="0"/>
        <w:spacing w:before="0" w:beforeLines="0" w:after="0" w:afterLines="0" w:afterAutospacing="0" w:line="360" w:lineRule="auto"/>
        <w:ind w:left="0" w:firstLine="0" w:firstLineChars="0"/>
        <w:textAlignment w:val="auto"/>
        <w:rPr>
          <w:rFonts w:asciiTheme="majorEastAsia" w:hAnsiTheme="majorEastAsia" w:eastAsiaTheme="majorEastAsia"/>
          <w:color w:val="auto"/>
          <w:highlight w:val="none"/>
        </w:rPr>
      </w:pPr>
      <w:bookmarkStart w:id="156" w:name="_Toc23518"/>
      <w:bookmarkStart w:id="157" w:name="_Toc8153"/>
      <w:bookmarkStart w:id="158" w:name="_Toc23879"/>
      <w:r>
        <w:rPr>
          <w:rFonts w:asciiTheme="majorEastAsia" w:hAnsiTheme="majorEastAsia" w:eastAsiaTheme="majorEastAsia"/>
          <w:color w:val="auto"/>
          <w:highlight w:val="none"/>
        </w:rPr>
        <w:t>项目</w:t>
      </w:r>
      <w:bookmarkEnd w:id="149"/>
      <w:bookmarkEnd w:id="150"/>
      <w:bookmarkEnd w:id="151"/>
      <w:r>
        <w:rPr>
          <w:rFonts w:hint="eastAsia" w:asciiTheme="majorEastAsia" w:hAnsiTheme="majorEastAsia" w:eastAsiaTheme="majorEastAsia"/>
          <w:color w:val="auto"/>
          <w:highlight w:val="none"/>
        </w:rPr>
        <w:t>建设单位</w:t>
      </w:r>
      <w:bookmarkEnd w:id="152"/>
      <w:bookmarkEnd w:id="153"/>
      <w:bookmarkEnd w:id="154"/>
      <w:bookmarkEnd w:id="155"/>
      <w:bookmarkEnd w:id="156"/>
      <w:bookmarkEnd w:id="157"/>
      <w:bookmarkEnd w:id="158"/>
    </w:p>
    <w:p>
      <w:pPr>
        <w:keepNext w:val="0"/>
        <w:keepLines w:val="0"/>
        <w:pageBreakBefore w:val="0"/>
        <w:widowControl w:val="0"/>
        <w:numPr>
          <w:ilvl w:val="0"/>
          <w:numId w:val="22"/>
        </w:numPr>
        <w:kinsoku/>
        <w:wordWrap/>
        <w:overflowPunct/>
        <w:topLinePunct w:val="0"/>
        <w:autoSpaceDE/>
        <w:autoSpaceDN/>
        <w:bidi w:val="0"/>
        <w:adjustRightInd w:val="0"/>
        <w:snapToGrid w:val="0"/>
        <w:spacing w:afterAutospacing="0" w:line="360" w:lineRule="auto"/>
        <w:ind w:left="0" w:firstLine="560" w:firstLineChars="200"/>
        <w:jc w:val="left"/>
        <w:textAlignment w:val="auto"/>
        <w:rPr>
          <w:rFonts w:ascii="楷体_GB2312" w:hAnsi="Times New Roman" w:eastAsia="楷体_GB2312"/>
          <w:color w:val="auto"/>
          <w:highlight w:val="none"/>
        </w:rPr>
      </w:pPr>
      <w:r>
        <w:rPr>
          <w:rFonts w:hint="eastAsia" w:ascii="楷体_GB2312" w:hAnsi="Times New Roman" w:eastAsia="楷体_GB2312"/>
          <w:color w:val="auto"/>
          <w:highlight w:val="none"/>
        </w:rPr>
        <w:t>单位名称</w:t>
      </w:r>
    </w:p>
    <w:p>
      <w:pPr>
        <w:pStyle w:val="72"/>
        <w:ind w:firstLine="480"/>
        <w:rPr>
          <w:rFonts w:ascii="宋体" w:hAnsi="宋体" w:eastAsia="宋体"/>
          <w:sz w:val="24"/>
          <w:szCs w:val="24"/>
        </w:rPr>
      </w:pPr>
      <w:r>
        <w:rPr>
          <w:rFonts w:hint="eastAsia" w:ascii="宋体" w:hAnsi="宋体" w:eastAsia="宋体"/>
          <w:sz w:val="24"/>
          <w:szCs w:val="24"/>
        </w:rPr>
        <w:t>成都市温江区第二中学校</w:t>
      </w:r>
    </w:p>
    <w:p>
      <w:pPr>
        <w:keepNext w:val="0"/>
        <w:keepLines w:val="0"/>
        <w:pageBreakBefore w:val="0"/>
        <w:widowControl w:val="0"/>
        <w:numPr>
          <w:ilvl w:val="0"/>
          <w:numId w:val="22"/>
        </w:numPr>
        <w:kinsoku/>
        <w:wordWrap/>
        <w:overflowPunct/>
        <w:topLinePunct w:val="0"/>
        <w:autoSpaceDE/>
        <w:autoSpaceDN/>
        <w:bidi w:val="0"/>
        <w:adjustRightInd w:val="0"/>
        <w:snapToGrid w:val="0"/>
        <w:spacing w:afterAutospacing="0" w:line="360" w:lineRule="auto"/>
        <w:ind w:left="0" w:firstLine="560" w:firstLineChars="200"/>
        <w:jc w:val="left"/>
        <w:textAlignment w:val="auto"/>
        <w:rPr>
          <w:rFonts w:ascii="楷体_GB2312" w:hAnsi="Times New Roman" w:eastAsia="楷体_GB2312"/>
          <w:color w:val="auto"/>
          <w:highlight w:val="none"/>
        </w:rPr>
      </w:pPr>
      <w:r>
        <w:rPr>
          <w:rFonts w:hint="eastAsia" w:ascii="楷体_GB2312" w:hAnsi="Times New Roman" w:eastAsia="楷体_GB2312"/>
          <w:color w:val="auto"/>
          <w:highlight w:val="none"/>
        </w:rPr>
        <w:t>单位职能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2" w:right="77" w:firstLine="480" w:firstLineChars="200"/>
        <w:textAlignment w:val="baseline"/>
        <w:rPr>
          <w:rFonts w:asciiTheme="minorEastAsia" w:hAnsiTheme="minorEastAsia" w:eastAsiaTheme="minorEastAsia"/>
          <w:color w:val="auto"/>
          <w:kern w:val="0"/>
          <w:sz w:val="24"/>
          <w:szCs w:val="24"/>
          <w:highlight w:val="none"/>
        </w:rPr>
      </w:pPr>
      <w:r>
        <w:rPr>
          <w:rFonts w:hint="eastAsia" w:ascii="宋体" w:hAnsi="宋体" w:eastAsia="宋体"/>
          <w:sz w:val="24"/>
          <w:szCs w:val="24"/>
        </w:rPr>
        <w:t>为实现中等学校“十三五”发展目标，以优秀的师资队伍，推动教育教学改革，培养各项素质过硬的学生。集产、教、学、研、用多项功能的教学培育基地。</w:t>
      </w:r>
    </w:p>
    <w:p>
      <w:pPr>
        <w:pStyle w:val="4"/>
        <w:keepNext/>
        <w:keepLines/>
        <w:pageBreakBefore w:val="0"/>
        <w:widowControl w:val="0"/>
        <w:numPr>
          <w:ilvl w:val="1"/>
          <w:numId w:val="21"/>
        </w:numPr>
        <w:kinsoku/>
        <w:wordWrap/>
        <w:overflowPunct/>
        <w:topLinePunct w:val="0"/>
        <w:autoSpaceDE/>
        <w:autoSpaceDN/>
        <w:bidi w:val="0"/>
        <w:adjustRightInd w:val="0"/>
        <w:snapToGrid w:val="0"/>
        <w:spacing w:before="0" w:beforeLines="0" w:after="0" w:afterLines="0" w:afterAutospacing="0" w:line="360" w:lineRule="auto"/>
        <w:ind w:left="0" w:firstLine="0" w:firstLineChars="0"/>
        <w:textAlignment w:val="auto"/>
        <w:rPr>
          <w:rFonts w:asciiTheme="majorEastAsia" w:hAnsiTheme="majorEastAsia" w:eastAsiaTheme="majorEastAsia"/>
          <w:color w:val="auto"/>
          <w:highlight w:val="none"/>
        </w:rPr>
      </w:pPr>
      <w:bookmarkStart w:id="159" w:name="_Toc997"/>
      <w:bookmarkStart w:id="160" w:name="_Toc68029869"/>
      <w:bookmarkStart w:id="161" w:name="_Toc68623112"/>
      <w:bookmarkStart w:id="162" w:name="_Toc14190"/>
      <w:bookmarkStart w:id="163" w:name="_Toc10369"/>
      <w:bookmarkStart w:id="164" w:name="_Toc8343"/>
      <w:bookmarkStart w:id="165" w:name="_Toc520877161"/>
      <w:bookmarkStart w:id="166" w:name="_Toc9209"/>
      <w:r>
        <w:rPr>
          <w:rFonts w:asciiTheme="majorEastAsia" w:hAnsiTheme="majorEastAsia" w:eastAsiaTheme="majorEastAsia"/>
          <w:color w:val="auto"/>
          <w:highlight w:val="none"/>
        </w:rPr>
        <w:t>方案编制单位</w:t>
      </w:r>
      <w:bookmarkEnd w:id="159"/>
      <w:bookmarkEnd w:id="160"/>
      <w:bookmarkEnd w:id="161"/>
      <w:bookmarkEnd w:id="162"/>
      <w:bookmarkEnd w:id="163"/>
      <w:bookmarkEnd w:id="164"/>
      <w:bookmarkEnd w:id="165"/>
      <w:bookmarkEnd w:id="166"/>
    </w:p>
    <w:p>
      <w:pPr>
        <w:keepNext w:val="0"/>
        <w:keepLines w:val="0"/>
        <w:pageBreakBefore w:val="0"/>
        <w:widowControl w:val="0"/>
        <w:numPr>
          <w:ilvl w:val="0"/>
          <w:numId w:val="22"/>
        </w:numPr>
        <w:kinsoku/>
        <w:wordWrap/>
        <w:overflowPunct/>
        <w:topLinePunct w:val="0"/>
        <w:autoSpaceDE/>
        <w:autoSpaceDN/>
        <w:bidi w:val="0"/>
        <w:adjustRightInd w:val="0"/>
        <w:snapToGrid w:val="0"/>
        <w:spacing w:afterAutospacing="0" w:line="360" w:lineRule="auto"/>
        <w:ind w:left="0" w:firstLine="560" w:firstLineChars="200"/>
        <w:jc w:val="left"/>
        <w:textAlignment w:val="auto"/>
        <w:rPr>
          <w:rFonts w:ascii="楷体_GB2312" w:hAnsi="Times New Roman" w:eastAsia="楷体_GB2312"/>
          <w:color w:val="auto"/>
          <w:highlight w:val="none"/>
        </w:rPr>
      </w:pPr>
      <w:r>
        <w:rPr>
          <w:rFonts w:hint="eastAsia" w:ascii="楷体_GB2312" w:hAnsi="Times New Roman" w:eastAsia="楷体_GB2312"/>
          <w:color w:val="auto"/>
          <w:highlight w:val="none"/>
        </w:rPr>
        <w:t>单位名称</w:t>
      </w:r>
    </w:p>
    <w:p>
      <w:pPr>
        <w:pStyle w:val="72"/>
        <w:ind w:firstLine="480"/>
        <w:rPr>
          <w:rFonts w:ascii="宋体" w:hAnsi="宋体" w:eastAsia="宋体"/>
          <w:sz w:val="24"/>
          <w:szCs w:val="24"/>
        </w:rPr>
      </w:pPr>
      <w:bookmarkStart w:id="167" w:name="_Toc2994"/>
      <w:bookmarkStart w:id="168" w:name="_Toc68029870"/>
      <w:bookmarkStart w:id="169" w:name="_Toc520877162"/>
      <w:bookmarkStart w:id="170" w:name="_Toc68623113"/>
      <w:bookmarkStart w:id="171" w:name="_Toc27613"/>
      <w:bookmarkStart w:id="172" w:name="_Toc501360930"/>
      <w:bookmarkStart w:id="173" w:name="_Toc501361375"/>
      <w:bookmarkStart w:id="174" w:name="_Toc30911"/>
      <w:r>
        <w:rPr>
          <w:rFonts w:hint="eastAsia" w:ascii="宋体" w:hAnsi="宋体" w:eastAsia="宋体"/>
          <w:sz w:val="24"/>
          <w:szCs w:val="24"/>
        </w:rPr>
        <w:t>成都市温江区第二中学校</w:t>
      </w:r>
    </w:p>
    <w:p>
      <w:pPr>
        <w:pStyle w:val="4"/>
        <w:keepNext/>
        <w:keepLines/>
        <w:pageBreakBefore w:val="0"/>
        <w:widowControl w:val="0"/>
        <w:numPr>
          <w:ilvl w:val="1"/>
          <w:numId w:val="21"/>
        </w:numPr>
        <w:kinsoku/>
        <w:wordWrap/>
        <w:overflowPunct/>
        <w:topLinePunct w:val="0"/>
        <w:autoSpaceDE/>
        <w:autoSpaceDN/>
        <w:bidi w:val="0"/>
        <w:adjustRightInd w:val="0"/>
        <w:snapToGrid w:val="0"/>
        <w:spacing w:before="0" w:beforeLines="0" w:after="0" w:afterLines="0" w:afterAutospacing="0" w:line="360" w:lineRule="auto"/>
        <w:ind w:left="0" w:firstLine="0" w:firstLineChars="0"/>
        <w:textAlignment w:val="auto"/>
        <w:rPr>
          <w:rFonts w:asciiTheme="majorEastAsia" w:hAnsiTheme="majorEastAsia" w:eastAsiaTheme="majorEastAsia"/>
          <w:color w:val="auto"/>
          <w:highlight w:val="none"/>
        </w:rPr>
      </w:pPr>
      <w:bookmarkStart w:id="175" w:name="_Toc18823"/>
      <w:bookmarkStart w:id="176" w:name="_Toc21648"/>
      <w:r>
        <w:rPr>
          <w:rFonts w:asciiTheme="majorEastAsia" w:hAnsiTheme="majorEastAsia" w:eastAsiaTheme="majorEastAsia"/>
          <w:color w:val="auto"/>
          <w:highlight w:val="none"/>
        </w:rPr>
        <w:t>项目建设相关依据文件</w:t>
      </w:r>
      <w:bookmarkEnd w:id="167"/>
      <w:bookmarkEnd w:id="168"/>
      <w:bookmarkEnd w:id="169"/>
      <w:bookmarkEnd w:id="170"/>
      <w:bookmarkEnd w:id="171"/>
      <w:bookmarkEnd w:id="172"/>
      <w:bookmarkEnd w:id="173"/>
      <w:bookmarkEnd w:id="174"/>
      <w:bookmarkEnd w:id="175"/>
      <w:bookmarkEnd w:id="176"/>
    </w:p>
    <w:p>
      <w:pPr>
        <w:pStyle w:val="5"/>
        <w:keepNext/>
        <w:keepLines/>
        <w:pageBreakBefore w:val="0"/>
        <w:widowControl w:val="0"/>
        <w:numPr>
          <w:ilvl w:val="2"/>
          <w:numId w:val="0"/>
        </w:numPr>
        <w:kinsoku/>
        <w:wordWrap/>
        <w:overflowPunct/>
        <w:topLinePunct w:val="0"/>
        <w:autoSpaceDE/>
        <w:autoSpaceDN/>
        <w:bidi w:val="0"/>
        <w:adjustRightInd w:val="0"/>
        <w:snapToGrid w:val="0"/>
        <w:spacing w:afterAutospacing="0" w:line="360" w:lineRule="auto"/>
        <w:textAlignment w:val="auto"/>
        <w:rPr>
          <w:rFonts w:asciiTheme="majorEastAsia" w:hAnsiTheme="majorEastAsia" w:eastAsiaTheme="majorEastAsia"/>
          <w:color w:val="auto"/>
          <w:w w:val="100"/>
          <w:sz w:val="24"/>
          <w:highlight w:val="none"/>
        </w:rPr>
      </w:pPr>
      <w:bookmarkStart w:id="177" w:name="_Toc501360931"/>
      <w:bookmarkStart w:id="178" w:name="_Toc3012"/>
      <w:bookmarkStart w:id="179" w:name="_Toc501361376"/>
      <w:bookmarkStart w:id="180" w:name="_Toc520877163"/>
      <w:bookmarkStart w:id="181" w:name="_Toc28383"/>
      <w:bookmarkStart w:id="182" w:name="_Toc3602"/>
      <w:bookmarkStart w:id="183" w:name="_Toc68623114"/>
      <w:bookmarkStart w:id="184" w:name="_Toc20254"/>
      <w:bookmarkStart w:id="185" w:name="_Toc68029871"/>
      <w:bookmarkStart w:id="186" w:name="_Toc17548"/>
      <w:r>
        <w:rPr>
          <w:rFonts w:hint="eastAsia" w:asciiTheme="majorEastAsia" w:hAnsiTheme="majorEastAsia" w:eastAsiaTheme="majorEastAsia"/>
          <w:color w:val="auto"/>
          <w:w w:val="100"/>
          <w:sz w:val="24"/>
          <w:highlight w:val="none"/>
          <w:lang w:val="en-US" w:eastAsia="zh-CN"/>
        </w:rPr>
        <w:t>1.4.1</w:t>
      </w:r>
      <w:r>
        <w:rPr>
          <w:rFonts w:asciiTheme="majorEastAsia" w:hAnsiTheme="majorEastAsia" w:eastAsiaTheme="majorEastAsia"/>
          <w:color w:val="auto"/>
          <w:w w:val="100"/>
          <w:sz w:val="24"/>
          <w:highlight w:val="none"/>
        </w:rPr>
        <w:t>政策文件</w:t>
      </w:r>
      <w:bookmarkEnd w:id="177"/>
      <w:bookmarkEnd w:id="178"/>
      <w:bookmarkEnd w:id="179"/>
      <w:bookmarkEnd w:id="180"/>
      <w:bookmarkEnd w:id="181"/>
      <w:bookmarkEnd w:id="182"/>
      <w:bookmarkEnd w:id="183"/>
      <w:bookmarkEnd w:id="184"/>
      <w:bookmarkEnd w:id="185"/>
      <w:bookmarkEnd w:id="186"/>
    </w:p>
    <w:p>
      <w:pPr>
        <w:pStyle w:val="31"/>
        <w:keepNext w:val="0"/>
        <w:keepLines w:val="0"/>
        <w:pageBreakBefore w:val="0"/>
        <w:widowControl w:val="0"/>
        <w:numPr>
          <w:ilvl w:val="0"/>
          <w:numId w:val="0"/>
        </w:numPr>
        <w:kinsoku/>
        <w:wordWrap/>
        <w:overflowPunct/>
        <w:topLinePunct w:val="0"/>
        <w:autoSpaceDE/>
        <w:autoSpaceDN/>
        <w:bidi w:val="0"/>
        <w:adjustRightInd w:val="0"/>
        <w:snapToGrid w:val="0"/>
        <w:ind w:firstLine="460" w:firstLineChars="200"/>
        <w:textAlignment w:val="auto"/>
        <w:rPr>
          <w:rFonts w:ascii="宋体" w:hAnsi="宋体" w:eastAsia="宋体"/>
          <w:sz w:val="23"/>
          <w:szCs w:val="23"/>
        </w:rPr>
      </w:pPr>
      <w:r>
        <w:rPr>
          <w:rFonts w:hint="eastAsia" w:ascii="宋体" w:hAnsi="宋体" w:eastAsia="宋体"/>
          <w:sz w:val="23"/>
          <w:szCs w:val="23"/>
        </w:rPr>
        <w:t>《教育部关于印发《教育信息化“十三五”规划》的通知》 教技〔2016〕2号</w:t>
      </w:r>
    </w:p>
    <w:p>
      <w:pPr>
        <w:pStyle w:val="31"/>
        <w:numPr>
          <w:ilvl w:val="0"/>
          <w:numId w:val="0"/>
        </w:numPr>
        <w:ind w:left="420" w:leftChars="0"/>
        <w:rPr>
          <w:rFonts w:ascii="宋体" w:hAnsi="宋体" w:eastAsia="宋体"/>
          <w:sz w:val="23"/>
          <w:szCs w:val="23"/>
        </w:rPr>
      </w:pPr>
      <w:r>
        <w:rPr>
          <w:rFonts w:hint="eastAsia" w:ascii="宋体" w:hAnsi="宋体" w:eastAsia="宋体"/>
          <w:sz w:val="23"/>
          <w:szCs w:val="23"/>
        </w:rPr>
        <w:t>《国家中长期教育改革和发展规划纲要(2010-2020年) 》</w:t>
      </w:r>
    </w:p>
    <w:p>
      <w:pPr>
        <w:pStyle w:val="5"/>
        <w:pageBreakBefore w:val="0"/>
        <w:numPr>
          <w:ilvl w:val="2"/>
          <w:numId w:val="0"/>
        </w:numPr>
        <w:kinsoku/>
        <w:wordWrap/>
        <w:overflowPunct/>
        <w:topLinePunct w:val="0"/>
        <w:bidi w:val="0"/>
        <w:adjustRightInd w:val="0"/>
        <w:snapToGrid w:val="0"/>
        <w:spacing w:afterAutospacing="0" w:line="360" w:lineRule="auto"/>
        <w:rPr>
          <w:rFonts w:asciiTheme="majorEastAsia" w:hAnsiTheme="majorEastAsia" w:eastAsiaTheme="majorEastAsia"/>
          <w:color w:val="auto"/>
          <w:highlight w:val="none"/>
        </w:rPr>
      </w:pPr>
      <w:bookmarkStart w:id="187" w:name="_Toc19376"/>
      <w:bookmarkStart w:id="188" w:name="_Toc520877164"/>
      <w:bookmarkStart w:id="189" w:name="_Toc501361377"/>
      <w:bookmarkStart w:id="190" w:name="_Toc501360932"/>
      <w:bookmarkStart w:id="191" w:name="_Toc68623115"/>
      <w:bookmarkStart w:id="192" w:name="_Toc29691"/>
      <w:bookmarkStart w:id="193" w:name="_Toc68029872"/>
      <w:bookmarkStart w:id="194" w:name="_Toc12942"/>
      <w:bookmarkStart w:id="195" w:name="_Toc608"/>
      <w:bookmarkStart w:id="196" w:name="_Toc1152"/>
      <w:r>
        <w:rPr>
          <w:rFonts w:hint="eastAsia" w:asciiTheme="majorEastAsia" w:hAnsiTheme="majorEastAsia" w:eastAsiaTheme="majorEastAsia"/>
          <w:color w:val="auto"/>
          <w:highlight w:val="none"/>
          <w:lang w:val="en-US" w:eastAsia="zh-CN"/>
        </w:rPr>
        <w:t>1.4.2</w:t>
      </w:r>
      <w:r>
        <w:rPr>
          <w:rFonts w:asciiTheme="majorEastAsia" w:hAnsiTheme="majorEastAsia" w:eastAsiaTheme="majorEastAsia"/>
          <w:color w:val="auto"/>
          <w:highlight w:val="none"/>
        </w:rPr>
        <w:t>标准规范</w:t>
      </w:r>
      <w:bookmarkEnd w:id="187"/>
      <w:bookmarkEnd w:id="188"/>
      <w:bookmarkEnd w:id="189"/>
      <w:bookmarkEnd w:id="190"/>
      <w:bookmarkEnd w:id="191"/>
      <w:bookmarkEnd w:id="192"/>
      <w:bookmarkEnd w:id="193"/>
      <w:bookmarkEnd w:id="194"/>
      <w:bookmarkEnd w:id="195"/>
      <w:bookmarkEnd w:id="196"/>
    </w:p>
    <w:p>
      <w:pPr>
        <w:pStyle w:val="31"/>
        <w:numPr>
          <w:ilvl w:val="0"/>
          <w:numId w:val="23"/>
        </w:numPr>
        <w:spacing w:line="360" w:lineRule="auto"/>
        <w:ind w:left="902" w:firstLineChars="0"/>
        <w:rPr>
          <w:rFonts w:ascii="宋体" w:hAnsi="宋体" w:eastAsia="宋体"/>
          <w:sz w:val="24"/>
          <w:szCs w:val="24"/>
        </w:rPr>
      </w:pPr>
      <w:bookmarkStart w:id="197" w:name="_Toc2895"/>
      <w:bookmarkStart w:id="198" w:name="_Toc68029873"/>
      <w:bookmarkStart w:id="199" w:name="_Toc8912"/>
      <w:bookmarkStart w:id="200" w:name="_Toc501360933"/>
      <w:bookmarkStart w:id="201" w:name="_Toc68623116"/>
      <w:bookmarkStart w:id="202" w:name="_Toc501361378"/>
      <w:bookmarkStart w:id="203" w:name="_Toc520877165"/>
      <w:r>
        <w:rPr>
          <w:rFonts w:hint="eastAsia" w:ascii="宋体" w:hAnsi="宋体" w:eastAsia="宋体"/>
          <w:sz w:val="24"/>
          <w:szCs w:val="24"/>
        </w:rPr>
        <w:t>建设单位设计文件和基本要求</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《建筑设计防火规范》GB50016—2014</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《民用建筑电气设计规范》JGJ 16-2016</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《智能建筑设计标准》GB/T50314-2006</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《建筑与建筑群综合布线系统工程设计规范》GB/T50311-2000</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《电气装置安装工程施工及验收规范》GB50254-2016</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《会议系统电及音频的性能要求》GBT15381-1994</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《厅堂扩声系统声学特性指标》GYJ125</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《建筑照明设计标准》GB 50034-2013</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《会议系统电及音频的性能要求》GBT15381-94</w:t>
      </w:r>
    </w:p>
    <w:p>
      <w:pPr>
        <w:pStyle w:val="31"/>
        <w:numPr>
          <w:ilvl w:val="0"/>
          <w:numId w:val="23"/>
        </w:numPr>
        <w:spacing w:line="360" w:lineRule="auto"/>
        <w:ind w:left="902" w:firstLineChars="0"/>
        <w:rPr>
          <w:rFonts w:ascii="宋体" w:hAnsi="宋体" w:eastAsia="宋体"/>
          <w:sz w:val="24"/>
          <w:szCs w:val="24"/>
        </w:rPr>
      </w:pPr>
      <w:r>
        <w:rPr>
          <w:rFonts w:hint="eastAsia" w:ascii="宋体" w:hAnsi="宋体" w:eastAsia="宋体"/>
          <w:sz w:val="24"/>
          <w:szCs w:val="24"/>
        </w:rPr>
        <w:t>《会议电视会场系统工程设计规范》GB50635-2010</w:t>
      </w:r>
    </w:p>
    <w:p>
      <w:pPr>
        <w:pStyle w:val="4"/>
        <w:keepNext/>
        <w:keepLines/>
        <w:pageBreakBefore w:val="0"/>
        <w:widowControl w:val="0"/>
        <w:numPr>
          <w:ilvl w:val="1"/>
          <w:numId w:val="21"/>
        </w:numPr>
        <w:kinsoku/>
        <w:wordWrap/>
        <w:overflowPunct/>
        <w:topLinePunct w:val="0"/>
        <w:autoSpaceDE/>
        <w:autoSpaceDN/>
        <w:bidi w:val="0"/>
        <w:adjustRightInd w:val="0"/>
        <w:snapToGrid w:val="0"/>
        <w:spacing w:before="0" w:beforeLines="0" w:after="0" w:afterLines="0" w:afterAutospacing="0" w:line="360" w:lineRule="auto"/>
        <w:ind w:left="0" w:firstLine="0" w:firstLineChars="0"/>
        <w:textAlignment w:val="auto"/>
        <w:rPr>
          <w:rFonts w:asciiTheme="majorEastAsia" w:hAnsiTheme="majorEastAsia" w:eastAsiaTheme="majorEastAsia"/>
          <w:color w:val="auto"/>
          <w:highlight w:val="none"/>
        </w:rPr>
      </w:pPr>
      <w:bookmarkStart w:id="204" w:name="_Toc8107"/>
      <w:bookmarkStart w:id="205" w:name="_Toc6356"/>
      <w:bookmarkStart w:id="206" w:name="_Toc21568"/>
      <w:r>
        <w:rPr>
          <w:rFonts w:asciiTheme="majorEastAsia" w:hAnsiTheme="majorEastAsia" w:eastAsiaTheme="majorEastAsia"/>
          <w:color w:val="auto"/>
          <w:highlight w:val="none"/>
        </w:rPr>
        <w:t>项目概述</w:t>
      </w:r>
      <w:bookmarkEnd w:id="197"/>
      <w:bookmarkEnd w:id="198"/>
      <w:bookmarkEnd w:id="199"/>
      <w:bookmarkEnd w:id="200"/>
      <w:bookmarkEnd w:id="201"/>
      <w:bookmarkEnd w:id="202"/>
      <w:bookmarkEnd w:id="203"/>
      <w:bookmarkEnd w:id="204"/>
      <w:bookmarkEnd w:id="205"/>
      <w:bookmarkEnd w:id="206"/>
    </w:p>
    <w:p>
      <w:pPr>
        <w:pStyle w:val="5"/>
        <w:keepNext/>
        <w:keepLines/>
        <w:pageBreakBefore w:val="0"/>
        <w:widowControl w:val="0"/>
        <w:numPr>
          <w:ilvl w:val="2"/>
          <w:numId w:val="0"/>
        </w:numPr>
        <w:kinsoku/>
        <w:wordWrap/>
        <w:overflowPunct/>
        <w:topLinePunct w:val="0"/>
        <w:autoSpaceDE/>
        <w:autoSpaceDN/>
        <w:bidi w:val="0"/>
        <w:adjustRightInd w:val="0"/>
        <w:snapToGrid w:val="0"/>
        <w:spacing w:afterAutospacing="0" w:line="360" w:lineRule="auto"/>
        <w:ind w:right="0" w:rightChars="0"/>
        <w:textAlignment w:val="auto"/>
        <w:rPr>
          <w:rFonts w:asciiTheme="majorEastAsia" w:hAnsiTheme="majorEastAsia" w:eastAsiaTheme="majorEastAsia"/>
          <w:color w:val="auto"/>
          <w:highlight w:val="none"/>
        </w:rPr>
      </w:pPr>
      <w:bookmarkStart w:id="207" w:name="_Toc12866"/>
      <w:bookmarkStart w:id="208" w:name="_Toc16838"/>
      <w:bookmarkStart w:id="209" w:name="_Toc68623118"/>
      <w:bookmarkStart w:id="210" w:name="_Toc68029875"/>
      <w:bookmarkStart w:id="211" w:name="_Toc14023"/>
      <w:bookmarkStart w:id="212" w:name="_Toc23615"/>
      <w:bookmarkStart w:id="213" w:name="_Toc9858"/>
      <w:r>
        <w:rPr>
          <w:rFonts w:hint="eastAsia" w:asciiTheme="majorEastAsia" w:hAnsiTheme="majorEastAsia" w:eastAsiaTheme="majorEastAsia"/>
          <w:color w:val="auto"/>
          <w:highlight w:val="none"/>
          <w:lang w:val="en-US" w:eastAsia="zh-CN"/>
        </w:rPr>
        <w:t>1.5.1</w:t>
      </w:r>
      <w:r>
        <w:rPr>
          <w:rFonts w:asciiTheme="majorEastAsia" w:hAnsiTheme="majorEastAsia" w:eastAsiaTheme="majorEastAsia"/>
          <w:color w:val="auto"/>
          <w:highlight w:val="none"/>
        </w:rPr>
        <w:t>建设</w:t>
      </w:r>
      <w:bookmarkEnd w:id="207"/>
      <w:bookmarkEnd w:id="208"/>
      <w:bookmarkEnd w:id="209"/>
      <w:bookmarkEnd w:id="210"/>
      <w:r>
        <w:rPr>
          <w:rFonts w:hint="eastAsia" w:asciiTheme="majorEastAsia" w:hAnsiTheme="majorEastAsia" w:eastAsiaTheme="majorEastAsia"/>
          <w:color w:val="auto"/>
          <w:highlight w:val="none"/>
          <w:lang w:val="en-US" w:eastAsia="zh-CN"/>
        </w:rPr>
        <w:t>目标</w:t>
      </w:r>
      <w:bookmarkEnd w:id="211"/>
      <w:bookmarkEnd w:id="212"/>
      <w:bookmarkEnd w:id="213"/>
    </w:p>
    <w:p>
      <w:pPr>
        <w:pStyle w:val="73"/>
        <w:ind w:right="-76" w:rightChars="-27" w:firstLine="480"/>
        <w:rPr>
          <w:rFonts w:ascii="宋体" w:hAnsi="宋体" w:eastAsia="宋体"/>
          <w:color w:val="0C0C0C"/>
          <w:sz w:val="24"/>
          <w:szCs w:val="24"/>
        </w:rPr>
      </w:pPr>
      <w:bookmarkStart w:id="214" w:name="_Toc452556631"/>
      <w:bookmarkStart w:id="215" w:name="_Toc68623119"/>
      <w:bookmarkStart w:id="216" w:name="_Toc10113"/>
      <w:bookmarkStart w:id="217" w:name="_Toc11519"/>
      <w:bookmarkStart w:id="218" w:name="_Toc68029876"/>
      <w:r>
        <w:rPr>
          <w:rFonts w:hint="eastAsia" w:ascii="宋体" w:hAnsi="宋体" w:eastAsia="宋体"/>
          <w:color w:val="0C0C0C"/>
          <w:kern w:val="2"/>
          <w:sz w:val="24"/>
          <w:szCs w:val="24"/>
        </w:rPr>
        <w:t>校园舞台是学校学术报告和演出的重要场所，我国也是有着几千年历史文化底蕴的泱泱大国,博大精深的传统文化应不断渗入院校的校园文化建设中。校园文化是学校的灵魂,也是传统文化展示的舞台,把优秀传统文化融人校园文化建设中,让传统文化鲜活校园,让传统文化赋予校园文化建设独特的魅力，根据学校校园文化发展需求和提高校园文化建设需要，多功能演出舞台使用功能需求是校园文化建设是重要组成部分，以提高学生自我表现能力，就会大大提高了学生学习的兴趣、效率和能动性，舞台效果成功的展现等应运而生，</w:t>
      </w:r>
      <w:bookmarkEnd w:id="214"/>
      <w:r>
        <w:rPr>
          <w:rFonts w:hint="eastAsia" w:ascii="宋体" w:hAnsi="宋体" w:eastAsia="宋体"/>
          <w:color w:val="0C0C0C"/>
          <w:kern w:val="2"/>
          <w:sz w:val="24"/>
          <w:szCs w:val="24"/>
        </w:rPr>
        <w:t>原有多功能厅已经远远不能满足现有使用需求，现</w:t>
      </w:r>
      <w:r>
        <w:rPr>
          <w:rFonts w:hint="eastAsia" w:ascii="宋体" w:hAnsi="宋体" w:eastAsia="宋体"/>
          <w:color w:val="0C0C0C"/>
          <w:sz w:val="24"/>
          <w:szCs w:val="24"/>
        </w:rPr>
        <w:t>通过对现有</w:t>
      </w:r>
      <w:r>
        <w:rPr>
          <w:rFonts w:hint="eastAsia" w:ascii="宋体" w:hAnsi="宋体" w:eastAsia="宋体"/>
          <w:color w:val="0C0C0C"/>
          <w:kern w:val="2"/>
          <w:sz w:val="24"/>
          <w:szCs w:val="24"/>
        </w:rPr>
        <w:t>多功能厅舞台灯光音视频系统建设以便</w:t>
      </w:r>
      <w:r>
        <w:rPr>
          <w:rFonts w:hint="eastAsia" w:ascii="宋体" w:hAnsi="宋体" w:eastAsia="宋体"/>
          <w:color w:val="0C0C0C"/>
          <w:sz w:val="24"/>
          <w:szCs w:val="24"/>
        </w:rPr>
        <w:t>为师生的学习生活提供更好的场所。</w:t>
      </w:r>
    </w:p>
    <w:p>
      <w:pPr>
        <w:pStyle w:val="5"/>
        <w:pageBreakBefore w:val="0"/>
        <w:widowControl w:val="0"/>
        <w:numPr>
          <w:ilvl w:val="2"/>
          <w:numId w:val="0"/>
        </w:numPr>
        <w:kinsoku/>
        <w:wordWrap/>
        <w:overflowPunct/>
        <w:topLinePunct w:val="0"/>
        <w:autoSpaceDE/>
        <w:autoSpaceDN/>
        <w:bidi w:val="0"/>
        <w:adjustRightInd w:val="0"/>
        <w:snapToGrid w:val="0"/>
        <w:spacing w:afterAutospacing="0" w:line="360" w:lineRule="auto"/>
        <w:ind w:right="0" w:rightChars="0"/>
        <w:textAlignment w:val="auto"/>
        <w:rPr>
          <w:rFonts w:hint="eastAsia" w:asciiTheme="majorEastAsia" w:hAnsiTheme="majorEastAsia" w:eastAsiaTheme="majorEastAsia"/>
          <w:b/>
          <w:bCs/>
          <w:color w:val="auto"/>
          <w:highlight w:val="none"/>
          <w:lang w:eastAsia="zh-CN"/>
        </w:rPr>
      </w:pPr>
      <w:bookmarkStart w:id="219" w:name="_Toc2409"/>
      <w:bookmarkStart w:id="220" w:name="_Toc21900"/>
      <w:bookmarkStart w:id="221" w:name="_Toc23298"/>
      <w:r>
        <w:rPr>
          <w:rFonts w:hint="eastAsia" w:asciiTheme="majorEastAsia" w:hAnsiTheme="majorEastAsia" w:eastAsiaTheme="majorEastAsia"/>
          <w:b/>
          <w:bCs/>
          <w:color w:val="auto"/>
          <w:highlight w:val="none"/>
          <w:lang w:val="en-US" w:eastAsia="zh-CN"/>
        </w:rPr>
        <w:t>1.5.2</w:t>
      </w:r>
      <w:r>
        <w:rPr>
          <w:rFonts w:asciiTheme="majorEastAsia" w:hAnsiTheme="majorEastAsia" w:eastAsiaTheme="majorEastAsia"/>
          <w:b/>
          <w:bCs/>
          <w:color w:val="auto"/>
          <w:highlight w:val="none"/>
        </w:rPr>
        <w:t>建设</w:t>
      </w:r>
      <w:bookmarkEnd w:id="215"/>
      <w:bookmarkEnd w:id="216"/>
      <w:bookmarkEnd w:id="217"/>
      <w:bookmarkEnd w:id="218"/>
      <w:bookmarkEnd w:id="219"/>
      <w:r>
        <w:rPr>
          <w:rFonts w:hint="eastAsia" w:asciiTheme="majorEastAsia" w:hAnsiTheme="majorEastAsia" w:eastAsiaTheme="majorEastAsia"/>
          <w:b/>
          <w:bCs/>
          <w:color w:val="auto"/>
          <w:highlight w:val="none"/>
          <w:lang w:val="en-US" w:eastAsia="zh-CN"/>
        </w:rPr>
        <w:t>规模</w:t>
      </w:r>
      <w:bookmarkEnd w:id="220"/>
      <w:bookmarkEnd w:id="221"/>
    </w:p>
    <w:p>
      <w:pPr>
        <w:spacing w:line="360" w:lineRule="auto"/>
        <w:ind w:firstLine="480" w:firstLineChars="200"/>
        <w:rPr>
          <w:rFonts w:ascii="宋体" w:hAnsi="宋体" w:eastAsia="宋体"/>
          <w:sz w:val="24"/>
          <w:szCs w:val="24"/>
        </w:rPr>
      </w:pPr>
      <w:r>
        <w:rPr>
          <w:rFonts w:hint="eastAsia" w:ascii="宋体" w:hAnsi="宋体" w:eastAsia="宋体"/>
          <w:sz w:val="24"/>
          <w:szCs w:val="24"/>
        </w:rPr>
        <w:t>舞台表演区面积：</w:t>
      </w:r>
      <w:r>
        <w:rPr>
          <w:rFonts w:ascii="宋体" w:hAnsi="宋体" w:eastAsia="宋体"/>
          <w:sz w:val="24"/>
          <w:szCs w:val="24"/>
        </w:rPr>
        <w:t>375</w:t>
      </w:r>
      <w:r>
        <w:rPr>
          <w:rFonts w:hint="eastAsia" w:ascii="宋体" w:hAnsi="宋体" w:eastAsia="宋体"/>
          <w:sz w:val="24"/>
          <w:szCs w:val="24"/>
        </w:rPr>
        <w:t>平米；观众区使用面积：</w:t>
      </w:r>
      <w:r>
        <w:rPr>
          <w:rFonts w:ascii="宋体" w:hAnsi="宋体" w:eastAsia="宋体"/>
          <w:sz w:val="24"/>
          <w:szCs w:val="24"/>
        </w:rPr>
        <w:t>1030</w:t>
      </w:r>
      <w:r>
        <w:rPr>
          <w:rFonts w:hint="eastAsia" w:ascii="宋体" w:hAnsi="宋体" w:eastAsia="宋体"/>
          <w:sz w:val="24"/>
          <w:szCs w:val="24"/>
        </w:rPr>
        <w:t>平米；观众席位：</w:t>
      </w:r>
      <w:r>
        <w:rPr>
          <w:rFonts w:ascii="宋体" w:hAnsi="宋体" w:eastAsia="宋体"/>
          <w:sz w:val="24"/>
          <w:szCs w:val="24"/>
        </w:rPr>
        <w:t>378</w:t>
      </w:r>
      <w:r>
        <w:rPr>
          <w:rFonts w:hint="eastAsia" w:ascii="宋体" w:hAnsi="宋体" w:eastAsia="宋体"/>
          <w:sz w:val="24"/>
          <w:szCs w:val="24"/>
        </w:rPr>
        <w:t>席。</w:t>
      </w:r>
    </w:p>
    <w:p>
      <w:pPr>
        <w:pStyle w:val="5"/>
        <w:pageBreakBefore w:val="0"/>
        <w:widowControl w:val="0"/>
        <w:numPr>
          <w:ilvl w:val="2"/>
          <w:numId w:val="0"/>
        </w:numPr>
        <w:kinsoku/>
        <w:wordWrap/>
        <w:overflowPunct/>
        <w:topLinePunct w:val="0"/>
        <w:autoSpaceDE/>
        <w:autoSpaceDN/>
        <w:bidi w:val="0"/>
        <w:adjustRightInd w:val="0"/>
        <w:snapToGrid w:val="0"/>
        <w:spacing w:afterAutospacing="0" w:line="360" w:lineRule="auto"/>
        <w:ind w:right="0" w:rightChars="0"/>
        <w:textAlignment w:val="auto"/>
        <w:rPr>
          <w:rFonts w:hint="default" w:asciiTheme="majorEastAsia" w:hAnsiTheme="majorEastAsia" w:eastAsiaTheme="majorEastAsia"/>
          <w:b/>
          <w:bCs/>
          <w:color w:val="auto"/>
          <w:highlight w:val="none"/>
          <w:lang w:val="en-US" w:eastAsia="zh-CN"/>
        </w:rPr>
      </w:pPr>
      <w:bookmarkStart w:id="222" w:name="_Toc21182"/>
      <w:bookmarkStart w:id="223" w:name="_Toc2449"/>
      <w:r>
        <w:rPr>
          <w:rFonts w:hint="eastAsia" w:asciiTheme="majorEastAsia" w:hAnsiTheme="majorEastAsia" w:eastAsiaTheme="majorEastAsia"/>
          <w:b/>
          <w:bCs/>
          <w:color w:val="auto"/>
          <w:highlight w:val="none"/>
          <w:lang w:val="en-US" w:eastAsia="zh-CN"/>
        </w:rPr>
        <w:t>1.5.3</w:t>
      </w:r>
      <w:r>
        <w:rPr>
          <w:rFonts w:asciiTheme="majorEastAsia" w:hAnsiTheme="majorEastAsia" w:eastAsiaTheme="majorEastAsia"/>
          <w:b/>
          <w:bCs/>
          <w:color w:val="auto"/>
          <w:highlight w:val="none"/>
        </w:rPr>
        <w:t>建设</w:t>
      </w:r>
      <w:r>
        <w:rPr>
          <w:rFonts w:hint="eastAsia" w:asciiTheme="majorEastAsia" w:hAnsiTheme="majorEastAsia" w:eastAsiaTheme="majorEastAsia"/>
          <w:b/>
          <w:bCs/>
          <w:color w:val="auto"/>
          <w:highlight w:val="none"/>
          <w:lang w:val="en-US" w:eastAsia="zh-CN"/>
        </w:rPr>
        <w:t>内容</w:t>
      </w:r>
      <w:bookmarkEnd w:id="222"/>
      <w:bookmarkEnd w:id="223"/>
    </w:p>
    <w:p>
      <w:pPr>
        <w:spacing w:line="360" w:lineRule="auto"/>
        <w:ind w:firstLine="480" w:firstLineChars="200"/>
        <w:rPr>
          <w:rFonts w:ascii="宋体" w:hAnsi="宋体" w:eastAsia="宋体"/>
          <w:sz w:val="24"/>
          <w:szCs w:val="24"/>
          <w:highlight w:val="none"/>
        </w:rPr>
      </w:pPr>
      <w:r>
        <w:rPr>
          <w:rFonts w:hint="eastAsia" w:ascii="宋体" w:hAnsi="宋体" w:eastAsia="宋体"/>
          <w:sz w:val="24"/>
          <w:szCs w:val="24"/>
        </w:rPr>
        <w:t>校园文化建设在教育部门领导的支持下已形成了良好的基础环境，以下是本次项目建设情况说明：温江区第二中学校多功能报告厅建设后可实现校园大舞台活动以特色引领校园文化建设、以发展学生为根本目的创建校园大舞台丰富校园文化生活，努力构建高雅的校园文化环境，活跃校园文化营造文化氛围，文化艺术活动对于丰富学校文化生活展现学生风采，陶冶学生情操有着重要作用</w:t>
      </w:r>
      <w:r>
        <w:rPr>
          <w:rFonts w:hint="eastAsia" w:ascii="宋体" w:hAnsi="宋体" w:eastAsia="宋体"/>
          <w:sz w:val="24"/>
          <w:szCs w:val="24"/>
          <w:highlight w:val="none"/>
        </w:rPr>
        <w:t>。本次建设系统</w:t>
      </w:r>
      <w:r>
        <w:rPr>
          <w:rFonts w:hint="eastAsia"/>
          <w:sz w:val="24"/>
          <w:szCs w:val="24"/>
          <w:highlight w:val="none"/>
          <w:lang w:eastAsia="zh-CN"/>
        </w:rPr>
        <w:t>：</w:t>
      </w:r>
      <w:r>
        <w:rPr>
          <w:rFonts w:hint="eastAsia" w:ascii="宋体" w:hAnsi="宋体" w:eastAsia="宋体"/>
          <w:sz w:val="24"/>
          <w:szCs w:val="24"/>
          <w:highlight w:val="none"/>
          <w:u w:val="single"/>
        </w:rPr>
        <w:t>舞台音响系统，舞台舞美系统，舞台灯光系统，LED视频系统，</w:t>
      </w:r>
      <w:r>
        <w:rPr>
          <w:rFonts w:hint="eastAsia" w:ascii="宋体" w:hAnsi="宋体" w:eastAsia="宋体"/>
          <w:sz w:val="24"/>
          <w:szCs w:val="24"/>
          <w:highlight w:val="none"/>
        </w:rPr>
        <w:t>总共由4个系统组成。</w:t>
      </w:r>
    </w:p>
    <w:p>
      <w:pPr>
        <w:pStyle w:val="5"/>
        <w:pageBreakBefore w:val="0"/>
        <w:widowControl w:val="0"/>
        <w:numPr>
          <w:ilvl w:val="2"/>
          <w:numId w:val="0"/>
        </w:numPr>
        <w:kinsoku/>
        <w:wordWrap/>
        <w:overflowPunct/>
        <w:topLinePunct w:val="0"/>
        <w:autoSpaceDE/>
        <w:autoSpaceDN/>
        <w:bidi w:val="0"/>
        <w:adjustRightInd w:val="0"/>
        <w:snapToGrid w:val="0"/>
        <w:spacing w:afterAutospacing="0" w:line="360" w:lineRule="auto"/>
        <w:ind w:right="0" w:rightChars="0"/>
        <w:textAlignment w:val="auto"/>
        <w:rPr>
          <w:rFonts w:hint="default" w:asciiTheme="majorEastAsia" w:hAnsiTheme="majorEastAsia" w:eastAsiaTheme="majorEastAsia"/>
          <w:b/>
          <w:bCs/>
          <w:color w:val="auto"/>
          <w:highlight w:val="none"/>
          <w:lang w:val="en-US" w:eastAsia="zh-CN"/>
        </w:rPr>
      </w:pPr>
      <w:bookmarkStart w:id="224" w:name="_Toc32077"/>
      <w:bookmarkStart w:id="225" w:name="_Toc28690"/>
      <w:r>
        <w:rPr>
          <w:rFonts w:hint="eastAsia" w:asciiTheme="majorEastAsia" w:hAnsiTheme="majorEastAsia" w:eastAsiaTheme="majorEastAsia"/>
          <w:b/>
          <w:bCs/>
          <w:color w:val="auto"/>
          <w:highlight w:val="none"/>
          <w:lang w:val="en-US" w:eastAsia="zh-CN"/>
        </w:rPr>
        <w:t>1.5.4</w:t>
      </w:r>
      <w:r>
        <w:rPr>
          <w:rFonts w:asciiTheme="majorEastAsia" w:hAnsiTheme="majorEastAsia" w:eastAsiaTheme="majorEastAsia"/>
          <w:b/>
          <w:bCs/>
          <w:color w:val="auto"/>
          <w:highlight w:val="none"/>
        </w:rPr>
        <w:t>建设</w:t>
      </w:r>
      <w:r>
        <w:rPr>
          <w:rFonts w:hint="eastAsia" w:asciiTheme="majorEastAsia" w:hAnsiTheme="majorEastAsia" w:eastAsiaTheme="majorEastAsia"/>
          <w:b/>
          <w:bCs/>
          <w:color w:val="auto"/>
          <w:highlight w:val="none"/>
          <w:lang w:val="en-US" w:eastAsia="zh-CN"/>
        </w:rPr>
        <w:t>周期</w:t>
      </w:r>
      <w:bookmarkEnd w:id="224"/>
      <w:bookmarkEnd w:id="225"/>
    </w:p>
    <w:p>
      <w:pPr>
        <w:pStyle w:val="72"/>
        <w:ind w:firstLine="48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项目预计总工期</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0</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日历日</w:t>
      </w:r>
      <w:r>
        <w:rPr>
          <w:rFonts w:hint="eastAsia" w:ascii="宋体" w:hAnsi="宋体" w:eastAsia="宋体" w:cs="Times New Roman"/>
          <w:color w:val="000000" w:themeColor="text1"/>
          <w:sz w:val="24"/>
          <w:szCs w:val="24"/>
          <w:highlight w:val="none"/>
          <w14:textFill>
            <w14:solidFill>
              <w14:schemeClr w14:val="tx1"/>
            </w14:solidFill>
          </w14:textFill>
        </w:rPr>
        <w:t>。视频部分预计工期</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w:t>
      </w:r>
      <w:r>
        <w:rPr>
          <w:rFonts w:ascii="宋体" w:hAnsi="宋体" w:eastAsia="宋体" w:cs="Times New Roman"/>
          <w:color w:val="000000" w:themeColor="text1"/>
          <w:sz w:val="24"/>
          <w:szCs w:val="24"/>
          <w:highlight w:val="none"/>
          <w14:textFill>
            <w14:solidFill>
              <w14:schemeClr w14:val="tx1"/>
            </w14:solidFill>
          </w14:textFill>
        </w:rPr>
        <w:t>0</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日历日</w:t>
      </w:r>
      <w:r>
        <w:rPr>
          <w:rFonts w:hint="eastAsia" w:ascii="宋体" w:hAnsi="宋体" w:eastAsia="宋体" w:cs="Times New Roman"/>
          <w:color w:val="000000" w:themeColor="text1"/>
          <w:sz w:val="24"/>
          <w:szCs w:val="24"/>
          <w:highlight w:val="none"/>
          <w14:textFill>
            <w14:solidFill>
              <w14:schemeClr w14:val="tx1"/>
            </w14:solidFill>
          </w14:textFill>
        </w:rPr>
        <w:t>：综合布线5</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日历日</w:t>
      </w:r>
      <w:r>
        <w:rPr>
          <w:rFonts w:hint="eastAsia" w:ascii="宋体" w:hAnsi="宋体" w:eastAsia="宋体" w:cs="Times New Roman"/>
          <w:color w:val="000000" w:themeColor="text1"/>
          <w:sz w:val="24"/>
          <w:szCs w:val="24"/>
          <w:highlight w:val="none"/>
          <w14:textFill>
            <w14:solidFill>
              <w14:schemeClr w14:val="tx1"/>
            </w14:solidFill>
          </w14:textFill>
        </w:rPr>
        <w:t>，钢结构及配套基础</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5日历日</w:t>
      </w:r>
      <w:r>
        <w:rPr>
          <w:rFonts w:hint="eastAsia" w:ascii="宋体" w:hAnsi="宋体" w:eastAsia="宋体" w:cs="Times New Roman"/>
          <w:color w:val="000000" w:themeColor="text1"/>
          <w:sz w:val="24"/>
          <w:szCs w:val="24"/>
          <w:highlight w:val="none"/>
          <w14:textFill>
            <w14:solidFill>
              <w14:schemeClr w14:val="tx1"/>
            </w14:solidFill>
          </w14:textFill>
        </w:rPr>
        <w:t>，安装及调试</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10日历日</w:t>
      </w:r>
      <w:r>
        <w:rPr>
          <w:rFonts w:hint="eastAsia" w:ascii="宋体" w:hAnsi="宋体" w:eastAsia="宋体" w:cs="Times New Roman"/>
          <w:color w:val="000000" w:themeColor="text1"/>
          <w:sz w:val="24"/>
          <w:szCs w:val="24"/>
          <w:highlight w:val="none"/>
          <w14:textFill>
            <w14:solidFill>
              <w14:schemeClr w14:val="tx1"/>
            </w14:solidFill>
          </w14:textFill>
        </w:rPr>
        <w:t>。其间，各工序与其他系统可以平行施工。</w:t>
      </w:r>
    </w:p>
    <w:p>
      <w:pPr>
        <w:pStyle w:val="5"/>
        <w:pageBreakBefore w:val="0"/>
        <w:widowControl w:val="0"/>
        <w:numPr>
          <w:ilvl w:val="2"/>
          <w:numId w:val="0"/>
        </w:numPr>
        <w:kinsoku/>
        <w:wordWrap/>
        <w:overflowPunct/>
        <w:topLinePunct w:val="0"/>
        <w:autoSpaceDE/>
        <w:autoSpaceDN/>
        <w:bidi w:val="0"/>
        <w:adjustRightInd w:val="0"/>
        <w:snapToGrid w:val="0"/>
        <w:spacing w:afterAutospacing="0" w:line="360" w:lineRule="auto"/>
        <w:ind w:right="0" w:rightChars="0"/>
        <w:textAlignment w:val="auto"/>
        <w:rPr>
          <w:rFonts w:hint="default" w:asciiTheme="majorEastAsia" w:hAnsiTheme="majorEastAsia" w:eastAsiaTheme="majorEastAsia"/>
          <w:b/>
          <w:bCs/>
          <w:color w:val="auto"/>
          <w:highlight w:val="none"/>
          <w:lang w:val="en-US" w:eastAsia="zh-CN"/>
        </w:rPr>
      </w:pPr>
      <w:bookmarkStart w:id="226" w:name="_Toc16091"/>
      <w:bookmarkStart w:id="227" w:name="_Toc23088"/>
      <w:r>
        <w:rPr>
          <w:rFonts w:hint="eastAsia" w:asciiTheme="majorEastAsia" w:hAnsiTheme="majorEastAsia" w:eastAsiaTheme="majorEastAsia"/>
          <w:b/>
          <w:bCs/>
          <w:color w:val="auto"/>
          <w:highlight w:val="none"/>
          <w:lang w:val="en-US" w:eastAsia="zh-CN"/>
        </w:rPr>
        <w:t>1.5.5项目总投资</w:t>
      </w:r>
      <w:bookmarkEnd w:id="226"/>
      <w:bookmarkEnd w:id="227"/>
    </w:p>
    <w:p>
      <w:pPr>
        <w:pStyle w:val="72"/>
        <w:ind w:firstLine="48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本项目总投资为1</w:t>
      </w:r>
      <w:r>
        <w:rPr>
          <w:rFonts w:ascii="宋体" w:hAnsi="宋体" w:eastAsia="宋体"/>
          <w:color w:val="000000" w:themeColor="text1"/>
          <w:sz w:val="24"/>
          <w:szCs w:val="24"/>
          <w14:textFill>
            <w14:solidFill>
              <w14:schemeClr w14:val="tx1"/>
            </w14:solidFill>
          </w14:textFill>
        </w:rPr>
        <w:t>66.76</w:t>
      </w:r>
      <w:r>
        <w:rPr>
          <w:rFonts w:hint="eastAsia" w:ascii="宋体" w:hAnsi="宋体" w:eastAsia="宋体"/>
          <w:color w:val="000000" w:themeColor="text1"/>
          <w:sz w:val="24"/>
          <w:szCs w:val="24"/>
          <w14:textFill>
            <w14:solidFill>
              <w14:schemeClr w14:val="tx1"/>
            </w14:solidFill>
          </w14:textFill>
        </w:rPr>
        <w:t>万元</w:t>
      </w:r>
    </w:p>
    <w:p>
      <w:pPr>
        <w:spacing w:line="331" w:lineRule="auto"/>
        <w:rPr>
          <w:rFonts w:ascii="宋体"/>
          <w:sz w:val="21"/>
        </w:rPr>
        <w:sectPr>
          <w:footerReference r:id="rId8" w:type="default"/>
          <w:pgSz w:w="11906" w:h="16839"/>
          <w:pgMar w:top="1431" w:right="1785" w:bottom="1739" w:left="1785" w:header="0" w:footer="1604" w:gutter="0"/>
          <w:pgNumType w:fmt="decimal"/>
          <w:cols w:space="425" w:num="1"/>
        </w:sectPr>
      </w:pPr>
    </w:p>
    <w:p>
      <w:pPr>
        <w:tabs>
          <w:tab w:val="center" w:pos="4168"/>
        </w:tabs>
        <w:bidi w:val="0"/>
        <w:jc w:val="left"/>
        <w:rPr>
          <w:rFonts w:hint="eastAsia" w:eastAsia="宋体"/>
          <w:lang w:eastAsia="zh-CN"/>
        </w:rPr>
        <w:sectPr>
          <w:type w:val="continuous"/>
          <w:pgSz w:w="11906" w:h="16839"/>
          <w:pgMar w:top="1431" w:right="1785" w:bottom="1739" w:left="1785" w:header="0" w:footer="1604" w:gutter="0"/>
          <w:pgNumType w:fmt="decimal"/>
          <w:cols w:space="425" w:num="1"/>
        </w:sectPr>
      </w:pPr>
      <w:bookmarkStart w:id="228" w:name="_bookmark13"/>
      <w:bookmarkEnd w:id="228"/>
      <w:bookmarkStart w:id="229" w:name="_Toc68623123"/>
      <w:bookmarkStart w:id="230" w:name="_Toc25607"/>
      <w:bookmarkStart w:id="231" w:name="_Toc11423"/>
      <w:bookmarkStart w:id="232" w:name="_Toc68029880"/>
    </w:p>
    <w:p>
      <w:pPr>
        <w:pStyle w:val="3"/>
        <w:keepNext/>
        <w:keepLines/>
        <w:pageBreakBefore w:val="0"/>
        <w:widowControl w:val="0"/>
        <w:numPr>
          <w:ilvl w:val="0"/>
          <w:numId w:val="21"/>
        </w:numPr>
        <w:kinsoku/>
        <w:wordWrap/>
        <w:overflowPunct/>
        <w:topLinePunct w:val="0"/>
        <w:autoSpaceDE/>
        <w:autoSpaceDN/>
        <w:bidi w:val="0"/>
        <w:adjustRightInd w:val="0"/>
        <w:snapToGrid w:val="0"/>
        <w:spacing w:before="0" w:after="0"/>
        <w:ind w:left="0" w:firstLine="0" w:firstLineChars="0"/>
        <w:jc w:val="center"/>
        <w:textAlignment w:val="auto"/>
        <w:rPr>
          <w:sz w:val="36"/>
          <w:szCs w:val="36"/>
        </w:rPr>
      </w:pPr>
      <w:bookmarkStart w:id="233" w:name="_Toc9824"/>
      <w:bookmarkStart w:id="234" w:name="_Toc19252"/>
      <w:bookmarkStart w:id="235" w:name="_Toc32617"/>
      <w:r>
        <w:rPr>
          <w:rFonts w:hint="eastAsia"/>
          <w:sz w:val="36"/>
          <w:szCs w:val="36"/>
        </w:rPr>
        <w:t>需求分析</w:t>
      </w:r>
      <w:bookmarkEnd w:id="229"/>
      <w:bookmarkEnd w:id="230"/>
      <w:bookmarkEnd w:id="231"/>
      <w:bookmarkEnd w:id="232"/>
      <w:bookmarkEnd w:id="233"/>
      <w:bookmarkEnd w:id="234"/>
      <w:bookmarkEnd w:id="235"/>
    </w:p>
    <w:p>
      <w:pPr>
        <w:pStyle w:val="4"/>
        <w:keepNext/>
        <w:keepLines/>
        <w:pageBreakBefore w:val="0"/>
        <w:widowControl w:val="0"/>
        <w:numPr>
          <w:ilvl w:val="1"/>
          <w:numId w:val="0"/>
        </w:numPr>
        <w:kinsoku/>
        <w:wordWrap/>
        <w:overflowPunct/>
        <w:topLinePunct w:val="0"/>
        <w:autoSpaceDE/>
        <w:autoSpaceDN/>
        <w:bidi w:val="0"/>
        <w:adjustRightInd w:val="0"/>
        <w:snapToGrid w:val="0"/>
        <w:spacing w:before="0" w:beforeLines="0" w:after="0" w:afterLines="0"/>
        <w:ind w:leftChars="0"/>
        <w:textAlignment w:val="auto"/>
        <w:rPr>
          <w:rFonts w:hint="default" w:ascii="宋体" w:eastAsia="宋体"/>
          <w:sz w:val="28"/>
          <w:szCs w:val="28"/>
          <w:lang w:val="en-US" w:eastAsia="zh-CN"/>
        </w:rPr>
      </w:pPr>
      <w:bookmarkStart w:id="236" w:name="_Toc23453"/>
      <w:bookmarkStart w:id="237" w:name="_Toc14307"/>
      <w:bookmarkStart w:id="238" w:name="_Toc4937"/>
      <w:bookmarkStart w:id="239" w:name="_Toc68623135"/>
      <w:bookmarkStart w:id="240" w:name="_Toc26230"/>
      <w:bookmarkStart w:id="241" w:name="_Toc12312"/>
      <w:bookmarkStart w:id="242" w:name="_Toc68029885"/>
      <w:r>
        <w:rPr>
          <w:sz w:val="28"/>
          <w:szCs w:val="28"/>
        </w:rPr>
        <w:t xml:space="preserve">2.1 </w:t>
      </w:r>
      <w:bookmarkEnd w:id="236"/>
      <w:r>
        <w:rPr>
          <w:rFonts w:hint="eastAsia"/>
          <w:sz w:val="28"/>
          <w:szCs w:val="28"/>
          <w:lang w:val="en-US" w:eastAsia="zh-CN"/>
        </w:rPr>
        <w:t>业务需求</w:t>
      </w:r>
      <w:bookmarkEnd w:id="237"/>
      <w:bookmarkEnd w:id="23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智慧校园建设是我校一项基础性、长期性和经常性的工作，是学校建设和人才培养的重要组成部分，其建设水平是学校整体办学水平、学校形象和地位的重要标志。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立足于上述宏观和长远的高校发展趋势，本项目的主要业务需求是通过校园舞台文艺演出需要，保障师生在此能够正常地开展大型舞台歌舞演练及相关活动。通过构建本次项目可以最大程度地满足各业务部门的系统使用需求。保障我校科研、教学，及学校的各项设备应用的可靠性、连续性，也是本次项目建设目的和需求。</w:t>
      </w:r>
    </w:p>
    <w:p>
      <w:pPr>
        <w:pStyle w:val="4"/>
        <w:pageBreakBefore w:val="0"/>
        <w:widowControl w:val="0"/>
        <w:numPr>
          <w:ilvl w:val="1"/>
          <w:numId w:val="0"/>
        </w:numPr>
        <w:kinsoku/>
        <w:wordWrap/>
        <w:overflowPunct/>
        <w:topLinePunct w:val="0"/>
        <w:autoSpaceDE/>
        <w:autoSpaceDN/>
        <w:bidi w:val="0"/>
        <w:adjustRightInd w:val="0"/>
        <w:snapToGrid w:val="0"/>
        <w:spacing w:before="0" w:after="0" w:line="360" w:lineRule="auto"/>
        <w:textAlignment w:val="auto"/>
        <w:rPr>
          <w:rFonts w:hint="eastAsia" w:eastAsia="宋体"/>
          <w:sz w:val="28"/>
          <w:szCs w:val="28"/>
          <w:lang w:eastAsia="zh-CN"/>
        </w:rPr>
      </w:pPr>
      <w:bookmarkStart w:id="243" w:name="_bookmark16"/>
      <w:bookmarkEnd w:id="243"/>
      <w:bookmarkStart w:id="244" w:name="_Toc6021"/>
      <w:bookmarkStart w:id="245" w:name="_Toc8210"/>
      <w:bookmarkStart w:id="246" w:name="_Toc26493"/>
      <w:r>
        <w:rPr>
          <w:rFonts w:hint="eastAsia"/>
          <w:sz w:val="28"/>
          <w:szCs w:val="28"/>
        </w:rPr>
        <w:t xml:space="preserve">2.2 </w:t>
      </w:r>
      <w:bookmarkEnd w:id="244"/>
      <w:r>
        <w:rPr>
          <w:rFonts w:hint="eastAsia"/>
          <w:sz w:val="28"/>
          <w:szCs w:val="28"/>
          <w:lang w:val="en-US" w:eastAsia="zh-CN"/>
        </w:rPr>
        <w:t>功能需求</w:t>
      </w:r>
      <w:bookmarkEnd w:id="245"/>
      <w:bookmarkEnd w:id="246"/>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sz w:val="24"/>
          <w:szCs w:val="24"/>
        </w:rPr>
      </w:pPr>
      <w:bookmarkStart w:id="247" w:name="_bookmark17"/>
      <w:bookmarkEnd w:id="247"/>
      <w:bookmarkStart w:id="248" w:name="_Toc31382"/>
      <w:r>
        <w:rPr>
          <w:rFonts w:hint="eastAsia" w:ascii="宋体" w:hAnsi="宋体" w:eastAsia="宋体"/>
          <w:sz w:val="24"/>
          <w:szCs w:val="24"/>
        </w:rPr>
        <w:t>本次通过对多功能报告厅音视频系统现代化的建设，可以促进学生自主探索、创新学习的能力，并且可以开阔学生的视野，在教师、学生之间建立起艺术交流场所。另外多功能厅舞台可以让学校对学生提供文艺特长展示平台，以便对其他高校之间的交流以供同学和老师观摩共同学习。</w:t>
      </w:r>
    </w:p>
    <w:p>
      <w:pPr>
        <w:pStyle w:val="4"/>
        <w:pageBreakBefore w:val="0"/>
        <w:widowControl w:val="0"/>
        <w:numPr>
          <w:ilvl w:val="1"/>
          <w:numId w:val="0"/>
        </w:numPr>
        <w:kinsoku/>
        <w:wordWrap/>
        <w:overflowPunct/>
        <w:topLinePunct w:val="0"/>
        <w:autoSpaceDE/>
        <w:autoSpaceDN/>
        <w:bidi w:val="0"/>
        <w:adjustRightInd w:val="0"/>
        <w:snapToGrid w:val="0"/>
        <w:spacing w:line="360" w:lineRule="auto"/>
        <w:ind w:left="0"/>
        <w:textAlignment w:val="auto"/>
        <w:rPr>
          <w:rFonts w:hint="eastAsia" w:ascii="宋体" w:eastAsia="宋体"/>
          <w:sz w:val="21"/>
          <w:lang w:eastAsia="zh-CN"/>
        </w:rPr>
      </w:pPr>
      <w:bookmarkStart w:id="249" w:name="_Toc18967"/>
      <w:bookmarkStart w:id="250" w:name="_Toc21649"/>
      <w:r>
        <w:t xml:space="preserve">2.3 </w:t>
      </w:r>
      <w:bookmarkEnd w:id="248"/>
      <w:r>
        <w:rPr>
          <w:rFonts w:hint="eastAsia"/>
          <w:lang w:val="en-US" w:eastAsia="zh-CN"/>
        </w:rPr>
        <w:t>性能需求</w:t>
      </w:r>
      <w:bookmarkEnd w:id="249"/>
      <w:bookmarkEnd w:id="25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sz w:val="24"/>
          <w:szCs w:val="24"/>
        </w:rPr>
      </w:pPr>
      <w:bookmarkStart w:id="251" w:name="_Toc12916"/>
      <w:r>
        <w:rPr>
          <w:rFonts w:hint="eastAsia" w:ascii="宋体" w:hAnsi="宋体" w:eastAsia="宋体"/>
          <w:sz w:val="24"/>
          <w:szCs w:val="24"/>
        </w:rPr>
        <w:t>本次设计均考虑未来舞台系统的建设发展，设计舞台系统均采用长寿命免维护节能的LED光源灯具，还考虑技术路线的总体实施成本。因此，具体要系统结构设计上充分考虑整体性、稳定性、灵活性、可扩展性和开放性的要求，系统实现要充分考虑安全性、可管理性、可用性、易用性。系统安全性以及稳定性来保证舞台演出能顺利进行。</w:t>
      </w:r>
    </w:p>
    <w:bookmarkEnd w:id="251"/>
    <w:p>
      <w:pPr>
        <w:pStyle w:val="4"/>
        <w:pageBreakBefore w:val="0"/>
        <w:widowControl w:val="0"/>
        <w:numPr>
          <w:ilvl w:val="1"/>
          <w:numId w:val="0"/>
        </w:numPr>
        <w:kinsoku/>
        <w:wordWrap/>
        <w:overflowPunct/>
        <w:topLinePunct w:val="0"/>
        <w:autoSpaceDE/>
        <w:autoSpaceDN/>
        <w:bidi w:val="0"/>
        <w:adjustRightInd w:val="0"/>
        <w:snapToGrid w:val="0"/>
        <w:ind w:right="0"/>
        <w:textAlignment w:val="auto"/>
        <w:rPr>
          <w:rFonts w:hint="default" w:ascii="宋体" w:eastAsia="宋体"/>
          <w:sz w:val="21"/>
          <w:lang w:val="en-US" w:eastAsia="zh-CN"/>
        </w:rPr>
      </w:pPr>
      <w:bookmarkStart w:id="252" w:name="_bookmark20"/>
      <w:bookmarkEnd w:id="252"/>
      <w:bookmarkStart w:id="253" w:name="_Toc29721"/>
      <w:bookmarkStart w:id="254" w:name="_Toc26212"/>
      <w:bookmarkStart w:id="255" w:name="_Toc6300"/>
      <w:r>
        <w:t xml:space="preserve">2.4 </w:t>
      </w:r>
      <w:bookmarkEnd w:id="253"/>
      <w:r>
        <w:rPr>
          <w:rFonts w:hint="eastAsia"/>
          <w:lang w:val="en-US" w:eastAsia="zh-CN"/>
        </w:rPr>
        <w:t>安全需求</w:t>
      </w:r>
      <w:bookmarkEnd w:id="254"/>
      <w:bookmarkEnd w:id="25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本项目安全需求分为以下几个方面：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（1）系统安全：确保系统持续稳定的运行；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（2）控制台均采用数字式。具备程序数据备份功能：建立完善的数据备份和恢复机制；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（3）操作安全：系统中应配备在线操作说明和帮助文档，重要操作要有安全提示和日志记录；</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sectPr>
          <w:footerReference r:id="rId9" w:type="default"/>
          <w:pgSz w:w="11906" w:h="16839"/>
          <w:pgMar w:top="1426" w:right="1785" w:bottom="1739" w:left="1785" w:header="0" w:footer="1601" w:gutter="0"/>
          <w:pgNumType w:fmt="decimal"/>
          <w:cols w:space="720" w:num="1"/>
        </w:sectPr>
      </w:pPr>
      <w:r>
        <w:rPr>
          <w:rFonts w:hint="eastAsia" w:ascii="宋体" w:hAnsi="宋体" w:eastAsia="宋体"/>
          <w:sz w:val="24"/>
          <w:szCs w:val="24"/>
        </w:rPr>
        <w:t>（4）角色安全：系统用户的角色和权限分配功能要严格有效，确保每个角色只能在被分配权限范围类进行操作。</w:t>
      </w:r>
    </w:p>
    <w:p>
      <w:pPr>
        <w:pStyle w:val="3"/>
        <w:keepNext/>
        <w:keepLines/>
        <w:pageBreakBefore w:val="0"/>
        <w:widowControl w:val="0"/>
        <w:numPr>
          <w:ilvl w:val="0"/>
          <w:numId w:val="21"/>
        </w:numPr>
        <w:kinsoku/>
        <w:wordWrap/>
        <w:overflowPunct/>
        <w:topLinePunct w:val="0"/>
        <w:autoSpaceDE/>
        <w:autoSpaceDN/>
        <w:bidi w:val="0"/>
        <w:adjustRightInd w:val="0"/>
        <w:snapToGrid w:val="0"/>
        <w:spacing w:before="0" w:after="0" w:afterAutospacing="0" w:line="360" w:lineRule="auto"/>
        <w:ind w:left="0" w:firstLine="723" w:firstLineChars="200"/>
        <w:jc w:val="center"/>
        <w:textAlignment w:val="auto"/>
        <w:rPr>
          <w:rFonts w:asciiTheme="majorEastAsia" w:hAnsiTheme="majorEastAsia" w:eastAsiaTheme="majorEastAsia"/>
          <w:color w:val="auto"/>
          <w:sz w:val="36"/>
          <w:szCs w:val="36"/>
          <w:highlight w:val="none"/>
        </w:rPr>
      </w:pPr>
      <w:bookmarkStart w:id="256" w:name="_Toc10424"/>
      <w:bookmarkStart w:id="257" w:name="_Toc32684"/>
      <w:bookmarkStart w:id="258" w:name="_Toc20034"/>
      <w:r>
        <w:rPr>
          <w:rFonts w:hint="eastAsia" w:asciiTheme="majorEastAsia" w:hAnsiTheme="majorEastAsia" w:eastAsiaTheme="majorEastAsia"/>
          <w:color w:val="auto"/>
          <w:sz w:val="36"/>
          <w:szCs w:val="36"/>
          <w:highlight w:val="none"/>
        </w:rPr>
        <w:t>方案设计</w:t>
      </w:r>
      <w:bookmarkEnd w:id="239"/>
      <w:bookmarkEnd w:id="240"/>
      <w:bookmarkEnd w:id="241"/>
      <w:bookmarkEnd w:id="242"/>
      <w:bookmarkEnd w:id="256"/>
      <w:bookmarkEnd w:id="257"/>
      <w:bookmarkEnd w:id="258"/>
    </w:p>
    <w:p>
      <w:pPr>
        <w:pStyle w:val="4"/>
        <w:pageBreakBefore w:val="0"/>
        <w:widowControl w:val="0"/>
        <w:numPr>
          <w:ilvl w:val="1"/>
          <w:numId w:val="0"/>
        </w:numPr>
        <w:kinsoku/>
        <w:wordWrap/>
        <w:overflowPunct/>
        <w:topLinePunct w:val="0"/>
        <w:autoSpaceDE/>
        <w:autoSpaceDN/>
        <w:bidi w:val="0"/>
        <w:adjustRightInd w:val="0"/>
        <w:snapToGrid w:val="0"/>
        <w:spacing w:line="360" w:lineRule="auto"/>
        <w:ind w:right="0"/>
        <w:textAlignment w:val="auto"/>
      </w:pPr>
      <w:bookmarkStart w:id="259" w:name="_Toc32029"/>
      <w:bookmarkStart w:id="260" w:name="_Toc29052"/>
      <w:bookmarkStart w:id="261" w:name="_Toc8890"/>
      <w:r>
        <w:t>3.1 总体设计</w:t>
      </w:r>
      <w:bookmarkEnd w:id="259"/>
      <w:bookmarkEnd w:id="260"/>
      <w:bookmarkEnd w:id="261"/>
    </w:p>
    <w:p>
      <w:pPr>
        <w:pStyle w:val="5"/>
        <w:pageBreakBefore w:val="0"/>
        <w:widowControl w:val="0"/>
        <w:numPr>
          <w:ilvl w:val="2"/>
          <w:numId w:val="0"/>
        </w:numPr>
        <w:kinsoku/>
        <w:wordWrap/>
        <w:overflowPunct/>
        <w:topLinePunct w:val="0"/>
        <w:autoSpaceDE/>
        <w:autoSpaceDN/>
        <w:bidi w:val="0"/>
        <w:adjustRightInd w:val="0"/>
        <w:snapToGrid w:val="0"/>
        <w:spacing w:line="360" w:lineRule="auto"/>
        <w:ind w:leftChars="0" w:firstLine="482" w:firstLineChars="200"/>
        <w:textAlignment w:val="auto"/>
        <w:rPr>
          <w:rFonts w:hint="eastAsia"/>
          <w:lang w:val="en-US" w:eastAsia="zh-CN"/>
        </w:rPr>
      </w:pPr>
      <w:bookmarkStart w:id="262" w:name="_Toc9940"/>
      <w:bookmarkStart w:id="263" w:name="_Toc9532"/>
      <w:r>
        <w:rPr>
          <w:rFonts w:hint="eastAsia"/>
          <w:lang w:val="en-US" w:eastAsia="zh-CN"/>
        </w:rPr>
        <w:t>3.1.1设计思路及原则</w:t>
      </w:r>
      <w:bookmarkEnd w:id="262"/>
      <w:bookmarkEnd w:id="263"/>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sz w:val="24"/>
          <w:szCs w:val="24"/>
          <w:lang w:val="en-US" w:eastAsia="zh-CN"/>
        </w:rPr>
      </w:pPr>
      <w:r>
        <w:rPr>
          <w:rFonts w:hint="eastAsia"/>
          <w:sz w:val="24"/>
          <w:szCs w:val="24"/>
          <w:lang w:val="en-US" w:eastAsia="zh-CN"/>
        </w:rPr>
        <w:t>一、设计思路</w:t>
      </w:r>
    </w:p>
    <w:p>
      <w:pPr>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bookmarkStart w:id="264" w:name="_bookmark23"/>
      <w:bookmarkEnd w:id="264"/>
      <w:bookmarkStart w:id="265" w:name="_Toc9162"/>
      <w:r>
        <w:rPr>
          <w:rFonts w:hint="eastAsia" w:ascii="宋体" w:hAnsi="宋体" w:eastAsia="宋体"/>
          <w:sz w:val="24"/>
          <w:szCs w:val="24"/>
        </w:rPr>
        <w:t>学校的多功能厅，主要能满足单位会议、学术报告、演讲和文艺汇演的需要，建设系统为：舞台音响系统，舞台舞美系统，舞台灯光系统，LED视频系统</w:t>
      </w:r>
    </w:p>
    <w:bookmarkEnd w:id="265"/>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sz w:val="24"/>
          <w:szCs w:val="24"/>
          <w:lang w:val="en-US" w:eastAsia="zh-CN"/>
        </w:rPr>
      </w:pPr>
      <w:r>
        <w:rPr>
          <w:rFonts w:hint="eastAsia"/>
          <w:sz w:val="24"/>
          <w:szCs w:val="24"/>
          <w:lang w:val="en-US" w:eastAsia="zh-CN"/>
        </w:rPr>
        <w:t>原则</w:t>
      </w:r>
      <w:bookmarkStart w:id="266" w:name="_bookmark24"/>
      <w:bookmarkEnd w:id="266"/>
      <w:bookmarkStart w:id="267" w:name="_Toc28486"/>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rPr>
          <w:rFonts w:ascii="宋体" w:hAnsi="宋体" w:eastAsia="宋体"/>
          <w:sz w:val="24"/>
          <w:szCs w:val="24"/>
        </w:rPr>
      </w:pPr>
      <w:r>
        <w:rPr>
          <w:rFonts w:hint="eastAsia" w:ascii="宋体" w:hAnsi="宋体" w:eastAsia="宋体"/>
          <w:sz w:val="24"/>
          <w:szCs w:val="24"/>
        </w:rPr>
        <w:t>1.先进型性原则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采用的系统结构应该是先进的、开放的体系结构，和系统使用当中的科学性。整个系统能体现当今会议技术的发展水平。</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2.实用性原则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能够最大限度的满足实际工作的要求，把满足多功能使用作为第一要素进行考虑，采用集中管理控制的模式，在满足功能需求的基础上操作方便、维护简单、管理简便。</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3.可扩充性、可维护性原则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要为系统以后的升级预留空间，系统维护是整个系统生命周期中所占比例最大的，要充分考虑结构设计的合理、规范对系统的维护可以在很短时间内完成。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4.经济性原则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在保证系统先进、可靠和高性能价格比的前提下，通过优化设计达到最经济性的目标。</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 xml:space="preserve">安全性原则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防火，安全规范，高空坠物</w:t>
      </w:r>
    </w:p>
    <w:p>
      <w:pPr>
        <w:pStyle w:val="5"/>
        <w:pageBreakBefore w:val="0"/>
        <w:widowControl w:val="0"/>
        <w:numPr>
          <w:ilvl w:val="2"/>
          <w:numId w:val="0"/>
        </w:numPr>
        <w:kinsoku/>
        <w:wordWrap/>
        <w:overflowPunct/>
        <w:topLinePunct w:val="0"/>
        <w:autoSpaceDE/>
        <w:autoSpaceDN/>
        <w:bidi w:val="0"/>
        <w:adjustRightInd w:val="0"/>
        <w:snapToGrid w:val="0"/>
        <w:spacing w:line="360" w:lineRule="auto"/>
        <w:ind w:leftChars="0" w:firstLine="482" w:firstLineChars="200"/>
        <w:textAlignment w:val="auto"/>
        <w:rPr>
          <w:rFonts w:ascii="宋体"/>
          <w:b/>
          <w:bCs/>
          <w:sz w:val="21"/>
        </w:rPr>
      </w:pPr>
      <w:bookmarkStart w:id="268" w:name="_Toc26590"/>
      <w:bookmarkStart w:id="269" w:name="_Toc21961"/>
      <w:r>
        <w:rPr>
          <w:rFonts w:hint="eastAsia"/>
          <w:b/>
          <w:bCs/>
          <w:lang w:val="en-US" w:eastAsia="zh-CN"/>
        </w:rPr>
        <w:t>3</w:t>
      </w:r>
      <w:r>
        <w:rPr>
          <w:b/>
          <w:bCs/>
        </w:rPr>
        <w:t>.</w:t>
      </w:r>
      <w:r>
        <w:rPr>
          <w:rFonts w:hint="eastAsia"/>
          <w:b/>
          <w:bCs/>
          <w:lang w:val="en-US" w:eastAsia="zh-CN"/>
        </w:rPr>
        <w:t>1.2</w:t>
      </w:r>
      <w:r>
        <w:rPr>
          <w:b/>
          <w:bCs/>
        </w:rPr>
        <w:t xml:space="preserve"> </w:t>
      </w:r>
      <w:bookmarkEnd w:id="267"/>
      <w:r>
        <w:rPr>
          <w:rFonts w:ascii="宋体" w:hAnsi="宋体" w:eastAsia="宋体"/>
          <w:b/>
          <w:bCs/>
          <w:sz w:val="24"/>
          <w:szCs w:val="24"/>
        </w:rPr>
        <w:t>设计对象及范围</w:t>
      </w:r>
      <w:bookmarkEnd w:id="268"/>
      <w:bookmarkEnd w:id="269"/>
    </w:p>
    <w:p>
      <w:pPr>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ascii="宋体" w:hAnsi="宋体" w:eastAsia="宋体"/>
          <w:b/>
          <w:sz w:val="24"/>
          <w:szCs w:val="24"/>
        </w:rPr>
      </w:pPr>
      <w:bookmarkStart w:id="270" w:name="_bookmark25"/>
      <w:bookmarkEnd w:id="270"/>
      <w:bookmarkStart w:id="271" w:name="_Toc3321"/>
      <w:r>
        <w:rPr>
          <w:rFonts w:hint="eastAsia" w:ascii="宋体" w:hAnsi="宋体" w:eastAsia="宋体"/>
          <w:b/>
          <w:sz w:val="24"/>
          <w:szCs w:val="24"/>
          <w:lang w:val="en-US" w:eastAsia="zh-CN"/>
        </w:rPr>
        <w:t>一、</w:t>
      </w:r>
      <w:r>
        <w:rPr>
          <w:rFonts w:hint="eastAsia" w:ascii="宋体" w:hAnsi="宋体" w:eastAsia="宋体"/>
          <w:b/>
          <w:sz w:val="24"/>
          <w:szCs w:val="24"/>
        </w:rPr>
        <w:t>项目的建设任务</w:t>
      </w:r>
    </w:p>
    <w:p>
      <w:pPr>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建设一套满足建设单位校内业务和文化娱乐的多功能厅，并具有一定的先进性。</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eastAsia="宋体"/>
          <w:b/>
          <w:sz w:val="24"/>
          <w:szCs w:val="24"/>
        </w:rPr>
      </w:pPr>
      <w:r>
        <w:rPr>
          <w:rFonts w:hint="eastAsia" w:ascii="宋体" w:hAnsi="宋体" w:eastAsia="宋体"/>
          <w:b/>
          <w:sz w:val="24"/>
          <w:szCs w:val="24"/>
          <w:lang w:val="en-US" w:eastAsia="zh-CN"/>
        </w:rPr>
        <w:t>二、</w:t>
      </w:r>
      <w:r>
        <w:rPr>
          <w:rFonts w:hint="eastAsia" w:ascii="宋体" w:hAnsi="宋体" w:eastAsia="宋体"/>
          <w:b/>
          <w:sz w:val="24"/>
          <w:szCs w:val="24"/>
        </w:rPr>
        <w:t>设计边界</w:t>
      </w:r>
    </w:p>
    <w:p>
      <w:pPr>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整间多功能厅的舞台专业系统部分。</w:t>
      </w:r>
    </w:p>
    <w:bookmarkEnd w:id="271"/>
    <w:p>
      <w:pPr>
        <w:pStyle w:val="5"/>
        <w:pageBreakBefore w:val="0"/>
        <w:widowControl w:val="0"/>
        <w:numPr>
          <w:ilvl w:val="2"/>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ascii="宋体" w:hAnsi="宋体" w:eastAsia="宋体"/>
          <w:b/>
          <w:bCs/>
          <w:sz w:val="24"/>
          <w:szCs w:val="24"/>
        </w:rPr>
      </w:pPr>
      <w:bookmarkStart w:id="272" w:name="_bookmark26"/>
      <w:bookmarkEnd w:id="272"/>
      <w:bookmarkStart w:id="273" w:name="_Toc11992"/>
      <w:bookmarkStart w:id="274" w:name="_Toc23045"/>
      <w:bookmarkStart w:id="275" w:name="_Toc6089"/>
      <w:r>
        <w:rPr>
          <w:b/>
          <w:bCs/>
        </w:rPr>
        <w:t>3.</w:t>
      </w:r>
      <w:r>
        <w:rPr>
          <w:rFonts w:hint="eastAsia"/>
          <w:b/>
          <w:bCs/>
          <w:lang w:val="en-US" w:eastAsia="zh-CN"/>
        </w:rPr>
        <w:t>1</w:t>
      </w:r>
      <w:r>
        <w:rPr>
          <w:b/>
          <w:bCs/>
        </w:rPr>
        <w:t>.</w:t>
      </w:r>
      <w:r>
        <w:rPr>
          <w:rFonts w:hint="eastAsia"/>
          <w:b/>
          <w:bCs/>
          <w:lang w:val="en-US" w:eastAsia="zh-CN"/>
        </w:rPr>
        <w:t>3</w:t>
      </w:r>
      <w:r>
        <w:rPr>
          <w:b/>
          <w:bCs/>
        </w:rPr>
        <w:t xml:space="preserve"> </w:t>
      </w:r>
      <w:bookmarkEnd w:id="273"/>
      <w:r>
        <w:rPr>
          <w:rFonts w:hint="eastAsia" w:ascii="宋体" w:hAnsi="宋体" w:eastAsia="宋体"/>
          <w:b/>
          <w:bCs/>
          <w:sz w:val="24"/>
          <w:szCs w:val="24"/>
        </w:rPr>
        <w:t>总体</w:t>
      </w:r>
      <w:r>
        <w:rPr>
          <w:rFonts w:ascii="宋体" w:hAnsi="宋体" w:eastAsia="宋体"/>
          <w:b/>
          <w:bCs/>
          <w:sz w:val="24"/>
          <w:szCs w:val="24"/>
        </w:rPr>
        <w:t>设计</w:t>
      </w:r>
      <w:r>
        <w:rPr>
          <w:rFonts w:hint="eastAsia" w:ascii="宋体" w:hAnsi="宋体" w:eastAsia="宋体"/>
          <w:b/>
          <w:bCs/>
          <w:sz w:val="24"/>
          <w:szCs w:val="24"/>
        </w:rPr>
        <w:t>方案</w:t>
      </w:r>
      <w:bookmarkEnd w:id="274"/>
      <w:bookmarkEnd w:id="275"/>
    </w:p>
    <w:p>
      <w:pPr>
        <w:bidi w:val="0"/>
        <w:rPr>
          <w:b/>
          <w:bCs/>
          <w:sz w:val="24"/>
          <w:szCs w:val="24"/>
        </w:rPr>
      </w:pPr>
      <w:bookmarkStart w:id="276" w:name="_Toc489526130"/>
      <w:r>
        <w:rPr>
          <w:rFonts w:hint="eastAsia"/>
          <w:b/>
          <w:bCs/>
          <w:sz w:val="24"/>
          <w:szCs w:val="24"/>
          <w:lang w:eastAsia="zh-CN"/>
        </w:rPr>
        <w:t>（</w:t>
      </w:r>
      <w:r>
        <w:rPr>
          <w:rFonts w:hint="eastAsia"/>
          <w:b/>
          <w:bCs/>
          <w:sz w:val="24"/>
          <w:szCs w:val="24"/>
          <w:lang w:val="en-US" w:eastAsia="zh-CN"/>
        </w:rPr>
        <w:t>一</w:t>
      </w:r>
      <w:r>
        <w:rPr>
          <w:rFonts w:hint="eastAsia"/>
          <w:b/>
          <w:bCs/>
          <w:sz w:val="24"/>
          <w:szCs w:val="24"/>
          <w:lang w:eastAsia="zh-CN"/>
        </w:rPr>
        <w:t>）</w:t>
      </w:r>
      <w:r>
        <w:rPr>
          <w:rFonts w:hint="eastAsia"/>
          <w:b/>
          <w:bCs/>
          <w:sz w:val="24"/>
          <w:szCs w:val="24"/>
        </w:rPr>
        <w:t>概述</w:t>
      </w:r>
      <w:bookmarkEnd w:id="276"/>
    </w:p>
    <w:p>
      <w:pPr>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多功能厅是学术交流报告和演出的重要场所，需具有足够的声、光设备和便于会议和演出节目。系统包括：视频系统、音频系统、灯光系统、地线、供电系统等等。</w:t>
      </w:r>
    </w:p>
    <w:p>
      <w:pPr>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 xml:space="preserve"> 音视频</w:t>
      </w:r>
      <w:r>
        <w:rPr>
          <w:rFonts w:ascii="宋体" w:hAnsi="宋体" w:eastAsia="宋体"/>
          <w:sz w:val="24"/>
          <w:szCs w:val="24"/>
        </w:rPr>
        <w:t>系统包括多功能厅的音</w:t>
      </w:r>
      <w:r>
        <w:rPr>
          <w:rFonts w:hint="eastAsia" w:ascii="宋体" w:hAnsi="宋体" w:eastAsia="宋体"/>
          <w:sz w:val="24"/>
          <w:szCs w:val="24"/>
        </w:rPr>
        <w:t>视频</w:t>
      </w:r>
      <w:r>
        <w:rPr>
          <w:rFonts w:ascii="宋体" w:hAnsi="宋体" w:eastAsia="宋体"/>
          <w:sz w:val="24"/>
          <w:szCs w:val="24"/>
        </w:rPr>
        <w:t>系统、灯光系统</w:t>
      </w:r>
      <w:r>
        <w:rPr>
          <w:rFonts w:hint="eastAsia" w:ascii="宋体" w:hAnsi="宋体" w:eastAsia="宋体"/>
          <w:sz w:val="24"/>
          <w:szCs w:val="24"/>
        </w:rPr>
        <w:t>、大屏</w:t>
      </w:r>
      <w:r>
        <w:rPr>
          <w:rFonts w:ascii="宋体" w:hAnsi="宋体" w:eastAsia="宋体"/>
          <w:sz w:val="24"/>
          <w:szCs w:val="24"/>
        </w:rPr>
        <w:t>显示系统建设。</w:t>
      </w:r>
    </w:p>
    <w:p>
      <w:pPr>
        <w:bidi w:val="0"/>
        <w:rPr>
          <w:b/>
          <w:bCs/>
          <w:sz w:val="24"/>
          <w:szCs w:val="24"/>
        </w:rPr>
      </w:pPr>
      <w:bookmarkStart w:id="277" w:name="_Toc489526132"/>
      <w:r>
        <w:rPr>
          <w:rFonts w:hint="eastAsia"/>
          <w:b/>
          <w:bCs/>
          <w:sz w:val="24"/>
          <w:szCs w:val="24"/>
          <w:lang w:eastAsia="zh-CN"/>
        </w:rPr>
        <w:t>（</w:t>
      </w:r>
      <w:r>
        <w:rPr>
          <w:rFonts w:hint="eastAsia"/>
          <w:b/>
          <w:bCs/>
          <w:sz w:val="24"/>
          <w:szCs w:val="24"/>
          <w:lang w:val="en-US" w:eastAsia="zh-CN"/>
        </w:rPr>
        <w:t>二</w:t>
      </w:r>
      <w:r>
        <w:rPr>
          <w:rFonts w:hint="eastAsia"/>
          <w:b/>
          <w:bCs/>
          <w:sz w:val="24"/>
          <w:szCs w:val="24"/>
          <w:lang w:eastAsia="zh-CN"/>
        </w:rPr>
        <w:t>）</w:t>
      </w:r>
      <w:r>
        <w:rPr>
          <w:rFonts w:hint="eastAsia"/>
          <w:b/>
          <w:bCs/>
          <w:sz w:val="24"/>
          <w:szCs w:val="24"/>
        </w:rPr>
        <w:t>音视频系统方案</w:t>
      </w:r>
      <w:bookmarkEnd w:id="277"/>
    </w:p>
    <w:p>
      <w:pPr>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目前</w:t>
      </w:r>
      <w:r>
        <w:rPr>
          <w:rFonts w:ascii="宋体" w:hAnsi="宋体" w:eastAsia="宋体"/>
          <w:sz w:val="24"/>
          <w:szCs w:val="24"/>
        </w:rPr>
        <w:t>多功能厅的音频系统</w:t>
      </w:r>
      <w:r>
        <w:rPr>
          <w:rFonts w:hint="eastAsia" w:ascii="宋体" w:hAnsi="宋体" w:eastAsia="宋体"/>
          <w:sz w:val="24"/>
          <w:szCs w:val="24"/>
        </w:rPr>
        <w:t>设计</w:t>
      </w:r>
      <w:r>
        <w:rPr>
          <w:rFonts w:ascii="宋体" w:hAnsi="宋体" w:eastAsia="宋体"/>
          <w:sz w:val="24"/>
          <w:szCs w:val="24"/>
        </w:rPr>
        <w:t>较为简单</w:t>
      </w:r>
      <w:r>
        <w:rPr>
          <w:rFonts w:hint="eastAsia" w:ascii="宋体" w:hAnsi="宋体" w:eastAsia="宋体"/>
          <w:sz w:val="24"/>
          <w:szCs w:val="24"/>
        </w:rPr>
        <w:t>，</w:t>
      </w:r>
      <w:r>
        <w:rPr>
          <w:rFonts w:ascii="宋体" w:hAnsi="宋体" w:eastAsia="宋体"/>
          <w:sz w:val="24"/>
          <w:szCs w:val="24"/>
        </w:rPr>
        <w:t>大型活动</w:t>
      </w:r>
      <w:r>
        <w:rPr>
          <w:rFonts w:hint="eastAsia" w:ascii="宋体" w:hAnsi="宋体" w:eastAsia="宋体"/>
          <w:sz w:val="24"/>
          <w:szCs w:val="24"/>
        </w:rPr>
        <w:t>无法</w:t>
      </w:r>
      <w:r>
        <w:rPr>
          <w:rFonts w:ascii="宋体" w:hAnsi="宋体" w:eastAsia="宋体"/>
          <w:sz w:val="24"/>
          <w:szCs w:val="24"/>
        </w:rPr>
        <w:t>正常满足使用，本次建设</w:t>
      </w:r>
      <w:r>
        <w:rPr>
          <w:rFonts w:hint="eastAsia" w:ascii="宋体" w:hAnsi="宋体" w:eastAsia="宋体"/>
          <w:sz w:val="24"/>
          <w:szCs w:val="24"/>
        </w:rPr>
        <w:t>线性阵列全频扬声器</w:t>
      </w:r>
      <w:r>
        <w:rPr>
          <w:rFonts w:ascii="宋体" w:hAnsi="宋体" w:eastAsia="宋体"/>
          <w:sz w:val="24"/>
          <w:szCs w:val="24"/>
        </w:rPr>
        <w:t>8</w:t>
      </w:r>
      <w:r>
        <w:rPr>
          <w:rFonts w:hint="eastAsia" w:ascii="宋体" w:hAnsi="宋体" w:eastAsia="宋体"/>
          <w:sz w:val="24"/>
          <w:szCs w:val="24"/>
        </w:rPr>
        <w:t>只、有源次低音箱2只，次低音功率放大器</w:t>
      </w:r>
      <w:r>
        <w:rPr>
          <w:rFonts w:ascii="宋体" w:hAnsi="宋体" w:eastAsia="宋体"/>
          <w:sz w:val="24"/>
          <w:szCs w:val="24"/>
        </w:rPr>
        <w:t>5</w:t>
      </w:r>
      <w:r>
        <w:rPr>
          <w:rFonts w:hint="eastAsia" w:ascii="宋体" w:hAnsi="宋体" w:eastAsia="宋体"/>
          <w:sz w:val="24"/>
          <w:szCs w:val="24"/>
        </w:rPr>
        <w:t>只，台唇和返听音箱各</w:t>
      </w:r>
      <w:r>
        <w:rPr>
          <w:rFonts w:ascii="宋体" w:hAnsi="宋体" w:eastAsia="宋体"/>
          <w:sz w:val="24"/>
          <w:szCs w:val="24"/>
        </w:rPr>
        <w:t>4</w:t>
      </w:r>
      <w:r>
        <w:rPr>
          <w:rFonts w:hint="eastAsia" w:ascii="宋体" w:hAnsi="宋体" w:eastAsia="宋体"/>
          <w:sz w:val="24"/>
          <w:szCs w:val="24"/>
        </w:rPr>
        <w:t>只。调音台1台，</w:t>
      </w:r>
      <w:r>
        <w:rPr>
          <w:rFonts w:hint="eastAsia" w:ascii="宋体" w:hAnsi="宋体" w:eastAsia="宋体"/>
          <w:color w:val="000000" w:themeColor="text1"/>
          <w:sz w:val="24"/>
          <w:szCs w:val="24"/>
          <w14:textFill>
            <w14:solidFill>
              <w14:schemeClr w14:val="tx1"/>
            </w14:solidFill>
          </w14:textFill>
        </w:rPr>
        <w:t>同时</w:t>
      </w:r>
      <w:r>
        <w:rPr>
          <w:rFonts w:ascii="宋体" w:hAnsi="宋体" w:eastAsia="宋体"/>
          <w:color w:val="000000" w:themeColor="text1"/>
          <w:sz w:val="24"/>
          <w:szCs w:val="24"/>
          <w14:textFill>
            <w14:solidFill>
              <w14:schemeClr w14:val="tx1"/>
            </w14:solidFill>
          </w14:textFill>
        </w:rPr>
        <w:t>配备4</w:t>
      </w:r>
      <w:r>
        <w:rPr>
          <w:rFonts w:hint="eastAsia" w:ascii="宋体" w:hAnsi="宋体" w:eastAsia="宋体"/>
          <w:color w:val="000000" w:themeColor="text1"/>
          <w:sz w:val="24"/>
          <w:szCs w:val="24"/>
          <w14:textFill>
            <w14:solidFill>
              <w14:schemeClr w14:val="tx1"/>
            </w14:solidFill>
          </w14:textFill>
        </w:rPr>
        <w:t>套无线手持话筒、</w:t>
      </w:r>
      <w:r>
        <w:rPr>
          <w:rFonts w:ascii="宋体" w:hAnsi="宋体" w:eastAsia="宋体"/>
          <w:color w:val="000000" w:themeColor="text1"/>
          <w:sz w:val="24"/>
          <w:szCs w:val="24"/>
          <w14:textFill>
            <w14:solidFill>
              <w14:schemeClr w14:val="tx1"/>
            </w14:solidFill>
          </w14:textFill>
        </w:rPr>
        <w:t>4</w:t>
      </w:r>
      <w:r>
        <w:rPr>
          <w:rFonts w:hint="eastAsia" w:ascii="宋体" w:hAnsi="宋体" w:eastAsia="宋体"/>
          <w:color w:val="000000" w:themeColor="text1"/>
          <w:sz w:val="24"/>
          <w:szCs w:val="24"/>
          <w14:textFill>
            <w14:solidFill>
              <w14:schemeClr w14:val="tx1"/>
            </w14:solidFill>
          </w14:textFill>
        </w:rPr>
        <w:t>套无线头戴话筒、</w:t>
      </w:r>
      <w:r>
        <w:rPr>
          <w:rFonts w:ascii="宋体" w:hAnsi="宋体" w:eastAsia="宋体"/>
          <w:color w:val="000000" w:themeColor="text1"/>
          <w:sz w:val="24"/>
          <w:szCs w:val="24"/>
          <w14:textFill>
            <w14:solidFill>
              <w14:schemeClr w14:val="tx1"/>
            </w14:solidFill>
          </w14:textFill>
        </w:rPr>
        <w:t>4</w:t>
      </w:r>
      <w:r>
        <w:rPr>
          <w:rFonts w:hint="eastAsia" w:ascii="宋体" w:hAnsi="宋体" w:eastAsia="宋体"/>
          <w:color w:val="000000" w:themeColor="text1"/>
          <w:sz w:val="24"/>
          <w:szCs w:val="24"/>
          <w14:textFill>
            <w14:solidFill>
              <w14:schemeClr w14:val="tx1"/>
            </w14:solidFill>
          </w14:textFill>
        </w:rPr>
        <w:t>套合唱话筒</w:t>
      </w:r>
      <w:r>
        <w:rPr>
          <w:rFonts w:ascii="宋体" w:hAnsi="宋体" w:eastAsia="宋体"/>
          <w:sz w:val="24"/>
          <w:szCs w:val="24"/>
        </w:rPr>
        <w:t>能够满足</w:t>
      </w:r>
      <w:r>
        <w:rPr>
          <w:rFonts w:hint="eastAsia" w:ascii="宋体" w:hAnsi="宋体" w:eastAsia="宋体"/>
          <w:sz w:val="24"/>
          <w:szCs w:val="24"/>
        </w:rPr>
        <w:t>整个</w:t>
      </w:r>
      <w:r>
        <w:rPr>
          <w:rFonts w:ascii="宋体" w:hAnsi="宋体" w:eastAsia="宋体"/>
          <w:sz w:val="24"/>
          <w:szCs w:val="24"/>
        </w:rPr>
        <w:t>多功能厅</w:t>
      </w:r>
      <w:r>
        <w:rPr>
          <w:rFonts w:hint="eastAsia" w:ascii="宋体" w:hAnsi="宋体" w:eastAsia="宋体"/>
          <w:sz w:val="24"/>
          <w:szCs w:val="24"/>
        </w:rPr>
        <w:t>扩声</w:t>
      </w:r>
      <w:r>
        <w:rPr>
          <w:rFonts w:ascii="宋体" w:hAnsi="宋体" w:eastAsia="宋体"/>
          <w:sz w:val="24"/>
          <w:szCs w:val="24"/>
        </w:rPr>
        <w:t>、发言及舞台演出音频的使用</w:t>
      </w:r>
      <w:r>
        <w:rPr>
          <w:rFonts w:hint="eastAsia" w:ascii="宋体" w:hAnsi="宋体" w:eastAsia="宋体"/>
          <w:sz w:val="24"/>
          <w:szCs w:val="24"/>
        </w:rPr>
        <w:t>需求</w:t>
      </w:r>
      <w:r>
        <w:rPr>
          <w:rFonts w:ascii="宋体" w:hAnsi="宋体" w:eastAsia="宋体"/>
          <w:sz w:val="24"/>
          <w:szCs w:val="24"/>
        </w:rPr>
        <w:t>。</w:t>
      </w:r>
    </w:p>
    <w:p>
      <w:pPr>
        <w:bidi w:val="0"/>
        <w:rPr>
          <w:b/>
          <w:bCs/>
          <w:sz w:val="24"/>
          <w:szCs w:val="24"/>
        </w:rPr>
      </w:pPr>
      <w:r>
        <w:rPr>
          <w:rFonts w:hint="eastAsia"/>
          <w:b/>
          <w:bCs/>
          <w:sz w:val="24"/>
          <w:szCs w:val="24"/>
          <w:lang w:eastAsia="zh-CN"/>
        </w:rPr>
        <w:t>（</w:t>
      </w:r>
      <w:r>
        <w:rPr>
          <w:rFonts w:hint="eastAsia"/>
          <w:b/>
          <w:bCs/>
          <w:sz w:val="24"/>
          <w:szCs w:val="24"/>
          <w:lang w:val="en-US" w:eastAsia="zh-CN"/>
        </w:rPr>
        <w:t>1</w:t>
      </w:r>
      <w:r>
        <w:rPr>
          <w:rFonts w:hint="eastAsia"/>
          <w:b/>
          <w:bCs/>
          <w:sz w:val="24"/>
          <w:szCs w:val="24"/>
          <w:lang w:eastAsia="zh-CN"/>
        </w:rPr>
        <w:t>）</w:t>
      </w:r>
      <w:r>
        <w:rPr>
          <w:rFonts w:hint="eastAsia"/>
          <w:b/>
          <w:bCs/>
          <w:sz w:val="24"/>
          <w:szCs w:val="24"/>
        </w:rPr>
        <w:t>扬声器</w:t>
      </w:r>
    </w:p>
    <w:p>
      <w:pPr>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线性阵列全频扬声器、返送扬声器、超低音扬声器，</w:t>
      </w:r>
      <w:r>
        <w:rPr>
          <w:rFonts w:ascii="宋体" w:hAnsi="宋体" w:eastAsia="宋体"/>
          <w:sz w:val="24"/>
          <w:szCs w:val="24"/>
        </w:rPr>
        <w:t>用于音源的播放。</w:t>
      </w:r>
    </w:p>
    <w:p>
      <w:pPr>
        <w:bidi w:val="0"/>
        <w:rPr>
          <w:b/>
          <w:bCs/>
          <w:sz w:val="24"/>
          <w:szCs w:val="24"/>
        </w:rPr>
      </w:pPr>
      <w:r>
        <w:rPr>
          <w:rFonts w:hint="eastAsia"/>
          <w:b/>
          <w:bCs/>
          <w:sz w:val="24"/>
          <w:szCs w:val="24"/>
          <w:lang w:eastAsia="zh-CN"/>
        </w:rPr>
        <w:t>（</w:t>
      </w:r>
      <w:r>
        <w:rPr>
          <w:rFonts w:hint="eastAsia"/>
          <w:b/>
          <w:bCs/>
          <w:sz w:val="24"/>
          <w:szCs w:val="24"/>
          <w:lang w:val="en-US" w:eastAsia="zh-CN"/>
        </w:rPr>
        <w:t>2</w:t>
      </w:r>
      <w:r>
        <w:rPr>
          <w:rFonts w:hint="eastAsia"/>
          <w:b/>
          <w:bCs/>
          <w:sz w:val="24"/>
          <w:szCs w:val="24"/>
          <w:lang w:eastAsia="zh-CN"/>
        </w:rPr>
        <w:t>）</w:t>
      </w:r>
      <w:r>
        <w:rPr>
          <w:rFonts w:hint="eastAsia"/>
          <w:b/>
          <w:bCs/>
          <w:sz w:val="24"/>
          <w:szCs w:val="24"/>
        </w:rPr>
        <w:t>音频处理</w:t>
      </w:r>
      <w:r>
        <w:rPr>
          <w:b/>
          <w:bCs/>
          <w:sz w:val="24"/>
          <w:szCs w:val="24"/>
        </w:rPr>
        <w:t>设备</w:t>
      </w:r>
    </w:p>
    <w:p>
      <w:pPr>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sz w:val="24"/>
          <w:szCs w:val="24"/>
        </w:rPr>
      </w:pPr>
      <w:r>
        <w:rPr>
          <w:rFonts w:hint="eastAsia" w:ascii="宋体" w:hAnsi="宋体" w:eastAsia="宋体"/>
          <w:sz w:val="24"/>
          <w:szCs w:val="24"/>
        </w:rPr>
        <w:t>数字调音台、具备专业效果器、反馈抑制器、网络数字音频处理平台，</w:t>
      </w:r>
      <w:r>
        <w:rPr>
          <w:rFonts w:ascii="宋体" w:hAnsi="宋体" w:eastAsia="宋体"/>
          <w:sz w:val="24"/>
          <w:szCs w:val="24"/>
        </w:rPr>
        <w:t>以满足音频</w:t>
      </w:r>
      <w:r>
        <w:rPr>
          <w:rFonts w:hint="eastAsia" w:ascii="宋体" w:hAnsi="宋体" w:eastAsia="宋体"/>
          <w:sz w:val="24"/>
          <w:szCs w:val="24"/>
        </w:rPr>
        <w:t>的</w:t>
      </w:r>
      <w:r>
        <w:rPr>
          <w:rFonts w:ascii="宋体" w:hAnsi="宋体" w:eastAsia="宋体"/>
          <w:sz w:val="24"/>
          <w:szCs w:val="24"/>
        </w:rPr>
        <w:t>处理和反馈</w:t>
      </w:r>
      <w:r>
        <w:rPr>
          <w:rFonts w:hint="eastAsia" w:ascii="宋体" w:hAnsi="宋体" w:eastAsia="宋体"/>
          <w:sz w:val="24"/>
          <w:szCs w:val="24"/>
        </w:rPr>
        <w:t>。</w:t>
      </w:r>
    </w:p>
    <w:p>
      <w:pPr>
        <w:bidi w:val="0"/>
        <w:rPr>
          <w:b/>
          <w:bCs/>
          <w:sz w:val="24"/>
          <w:szCs w:val="24"/>
        </w:rPr>
      </w:pPr>
      <w:r>
        <w:rPr>
          <w:rFonts w:hint="eastAsia"/>
          <w:b/>
          <w:bCs/>
          <w:sz w:val="24"/>
          <w:szCs w:val="24"/>
          <w:lang w:eastAsia="zh-CN"/>
        </w:rPr>
        <w:t>（</w:t>
      </w:r>
      <w:r>
        <w:rPr>
          <w:rFonts w:hint="eastAsia"/>
          <w:b/>
          <w:bCs/>
          <w:sz w:val="24"/>
          <w:szCs w:val="24"/>
          <w:lang w:val="en-US" w:eastAsia="zh-CN"/>
        </w:rPr>
        <w:t>3</w:t>
      </w:r>
      <w:r>
        <w:rPr>
          <w:rFonts w:hint="eastAsia"/>
          <w:b/>
          <w:bCs/>
          <w:sz w:val="24"/>
          <w:szCs w:val="24"/>
          <w:lang w:eastAsia="zh-CN"/>
        </w:rPr>
        <w:t>）</w:t>
      </w:r>
      <w:r>
        <w:rPr>
          <w:rFonts w:hint="eastAsia"/>
          <w:b/>
          <w:bCs/>
          <w:sz w:val="24"/>
          <w:szCs w:val="24"/>
        </w:rPr>
        <w:t>话筒</w:t>
      </w:r>
    </w:p>
    <w:p>
      <w:pPr>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同时</w:t>
      </w:r>
      <w:r>
        <w:rPr>
          <w:rFonts w:ascii="宋体" w:hAnsi="宋体" w:eastAsia="宋体"/>
          <w:color w:val="000000" w:themeColor="text1"/>
          <w:sz w:val="24"/>
          <w:szCs w:val="24"/>
          <w14:textFill>
            <w14:solidFill>
              <w14:schemeClr w14:val="tx1"/>
            </w14:solidFill>
          </w14:textFill>
        </w:rPr>
        <w:t>配备4</w:t>
      </w:r>
      <w:r>
        <w:rPr>
          <w:rFonts w:hint="eastAsia" w:ascii="宋体" w:hAnsi="宋体" w:eastAsia="宋体"/>
          <w:color w:val="000000" w:themeColor="text1"/>
          <w:sz w:val="24"/>
          <w:szCs w:val="24"/>
          <w14:textFill>
            <w14:solidFill>
              <w14:schemeClr w14:val="tx1"/>
            </w14:solidFill>
          </w14:textFill>
        </w:rPr>
        <w:t>套无线手持话筒、</w:t>
      </w:r>
      <w:r>
        <w:rPr>
          <w:rFonts w:ascii="宋体" w:hAnsi="宋体" w:eastAsia="宋体"/>
          <w:color w:val="000000" w:themeColor="text1"/>
          <w:sz w:val="24"/>
          <w:szCs w:val="24"/>
          <w14:textFill>
            <w14:solidFill>
              <w14:schemeClr w14:val="tx1"/>
            </w14:solidFill>
          </w14:textFill>
        </w:rPr>
        <w:t>4</w:t>
      </w:r>
      <w:r>
        <w:rPr>
          <w:rFonts w:hint="eastAsia" w:ascii="宋体" w:hAnsi="宋体" w:eastAsia="宋体"/>
          <w:color w:val="000000" w:themeColor="text1"/>
          <w:sz w:val="24"/>
          <w:szCs w:val="24"/>
          <w14:textFill>
            <w14:solidFill>
              <w14:schemeClr w14:val="tx1"/>
            </w14:solidFill>
          </w14:textFill>
        </w:rPr>
        <w:t>套无线头戴话筒、同时</w:t>
      </w:r>
      <w:r>
        <w:rPr>
          <w:rFonts w:ascii="宋体" w:hAnsi="宋体" w:eastAsia="宋体"/>
          <w:color w:val="000000" w:themeColor="text1"/>
          <w:sz w:val="24"/>
          <w:szCs w:val="24"/>
          <w14:textFill>
            <w14:solidFill>
              <w14:schemeClr w14:val="tx1"/>
            </w14:solidFill>
          </w14:textFill>
        </w:rPr>
        <w:t>配备4</w:t>
      </w:r>
      <w:r>
        <w:rPr>
          <w:rFonts w:hint="eastAsia" w:ascii="宋体" w:hAnsi="宋体" w:eastAsia="宋体"/>
          <w:color w:val="000000" w:themeColor="text1"/>
          <w:sz w:val="24"/>
          <w:szCs w:val="24"/>
          <w14:textFill>
            <w14:solidFill>
              <w14:schemeClr w14:val="tx1"/>
            </w14:solidFill>
          </w14:textFill>
        </w:rPr>
        <w:t>套合唱话筒、满足演出和会议及学术报告需求。</w:t>
      </w:r>
    </w:p>
    <w:p>
      <w:pPr>
        <w:bidi w:val="0"/>
        <w:rPr>
          <w:b/>
          <w:bCs/>
          <w:sz w:val="24"/>
          <w:szCs w:val="24"/>
        </w:rPr>
      </w:pPr>
      <w:bookmarkStart w:id="278" w:name="_Toc489526133"/>
      <w:r>
        <w:rPr>
          <w:rFonts w:hint="eastAsia"/>
          <w:b/>
          <w:bCs/>
          <w:sz w:val="24"/>
          <w:szCs w:val="24"/>
          <w:lang w:eastAsia="zh-CN"/>
        </w:rPr>
        <w:t>（</w:t>
      </w:r>
      <w:r>
        <w:rPr>
          <w:rFonts w:hint="eastAsia"/>
          <w:b/>
          <w:bCs/>
          <w:sz w:val="24"/>
          <w:szCs w:val="24"/>
          <w:lang w:val="en-US" w:eastAsia="zh-CN"/>
        </w:rPr>
        <w:t>三</w:t>
      </w:r>
      <w:r>
        <w:rPr>
          <w:rFonts w:hint="eastAsia"/>
          <w:b/>
          <w:bCs/>
          <w:sz w:val="24"/>
          <w:szCs w:val="24"/>
          <w:lang w:eastAsia="zh-CN"/>
        </w:rPr>
        <w:t>）</w:t>
      </w:r>
      <w:r>
        <w:rPr>
          <w:rFonts w:hint="eastAsia"/>
          <w:b/>
          <w:bCs/>
          <w:sz w:val="24"/>
          <w:szCs w:val="24"/>
        </w:rPr>
        <w:t>视频显示系统方案</w:t>
      </w:r>
      <w:bookmarkEnd w:id="278"/>
    </w:p>
    <w:p>
      <w:pPr>
        <w:bidi w:val="0"/>
        <w:rPr>
          <w:b/>
          <w:bCs/>
          <w:sz w:val="24"/>
          <w:szCs w:val="24"/>
        </w:rPr>
      </w:pPr>
      <w:r>
        <w:rPr>
          <w:rFonts w:hint="eastAsia"/>
          <w:b/>
          <w:bCs/>
          <w:sz w:val="24"/>
          <w:szCs w:val="24"/>
          <w:lang w:eastAsia="zh-CN"/>
        </w:rPr>
        <w:t>（</w:t>
      </w:r>
      <w:r>
        <w:rPr>
          <w:rFonts w:hint="eastAsia"/>
          <w:b/>
          <w:bCs/>
          <w:sz w:val="24"/>
          <w:szCs w:val="24"/>
          <w:lang w:val="en-US" w:eastAsia="zh-CN"/>
        </w:rPr>
        <w:t>1</w:t>
      </w:r>
      <w:r>
        <w:rPr>
          <w:rFonts w:hint="eastAsia"/>
          <w:b/>
          <w:bCs/>
          <w:sz w:val="24"/>
          <w:szCs w:val="24"/>
          <w:lang w:eastAsia="zh-CN"/>
        </w:rPr>
        <w:t>）</w:t>
      </w:r>
      <w:r>
        <w:rPr>
          <w:rFonts w:hint="eastAsia"/>
          <w:b/>
          <w:bCs/>
          <w:sz w:val="24"/>
          <w:szCs w:val="24"/>
        </w:rPr>
        <w:t>系统组成</w:t>
      </w:r>
    </w:p>
    <w:p>
      <w:pPr>
        <w:pStyle w:val="74"/>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sz w:val="24"/>
        </w:rPr>
      </w:pPr>
      <w:r>
        <w:rPr>
          <w:rFonts w:hint="eastAsia"/>
          <w:sz w:val="24"/>
        </w:rPr>
        <w:t>本项目系统由：显示大屏，信息传输，播放控制系统，供配电和钢架结构组成</w:t>
      </w:r>
    </w:p>
    <w:p>
      <w:pPr>
        <w:pStyle w:val="74"/>
        <w:ind w:firstLine="420"/>
        <w:rPr>
          <w:sz w:val="24"/>
        </w:rPr>
      </w:pPr>
    </w:p>
    <w:p>
      <w:pPr>
        <w:pStyle w:val="74"/>
        <w:ind w:firstLine="420"/>
        <w:rPr>
          <w:sz w:val="24"/>
        </w:rPr>
      </w:pPr>
    </w:p>
    <w:p>
      <w:pPr>
        <w:pStyle w:val="74"/>
        <w:ind w:firstLine="420"/>
        <w:rPr>
          <w:sz w:val="24"/>
        </w:rPr>
      </w:pPr>
    </w:p>
    <w:p>
      <w:pPr>
        <w:pStyle w:val="74"/>
        <w:ind w:firstLine="420"/>
        <w:rPr>
          <w:sz w:val="24"/>
        </w:rPr>
      </w:pPr>
    </w:p>
    <w:p>
      <w:pPr>
        <w:pStyle w:val="74"/>
        <w:ind w:firstLine="420"/>
        <w:rPr>
          <w:sz w:val="24"/>
        </w:rPr>
      </w:pPr>
    </w:p>
    <w:p>
      <w:pPr>
        <w:numPr>
          <w:ilvl w:val="0"/>
          <w:numId w:val="25"/>
        </w:numPr>
        <w:bidi w:val="0"/>
        <w:rPr>
          <w:rFonts w:hint="eastAsia"/>
          <w:b/>
          <w:bCs/>
          <w:sz w:val="24"/>
          <w:szCs w:val="24"/>
        </w:rPr>
      </w:pPr>
      <w:bookmarkStart w:id="279" w:name="_bookmark27"/>
      <w:bookmarkEnd w:id="279"/>
      <w:r>
        <w:rPr>
          <w:rFonts w:hint="eastAsia"/>
          <w:b/>
          <w:bCs/>
          <w:sz w:val="24"/>
          <w:szCs w:val="24"/>
        </w:rPr>
        <w:t>系统拓扑</w:t>
      </w:r>
    </w:p>
    <w:p>
      <w:pPr>
        <w:bidi w:val="0"/>
      </w:pPr>
      <w:r>
        <w:drawing>
          <wp:anchor distT="0" distB="0" distL="0" distR="0" simplePos="0" relativeHeight="251659264" behindDoc="0" locked="0" layoutInCell="1" allowOverlap="1">
            <wp:simplePos x="0" y="0"/>
            <wp:positionH relativeFrom="column">
              <wp:posOffset>-28575</wp:posOffset>
            </wp:positionH>
            <wp:positionV relativeFrom="paragraph">
              <wp:posOffset>60325</wp:posOffset>
            </wp:positionV>
            <wp:extent cx="5344795" cy="3938905"/>
            <wp:effectExtent l="0" t="0" r="8255" b="4445"/>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3" cstate="print"/>
                    <a:stretch>
                      <a:fillRect/>
                    </a:stretch>
                  </pic:blipFill>
                  <pic:spPr>
                    <a:xfrm>
                      <a:off x="0" y="0"/>
                      <a:ext cx="5350216" cy="3942490"/>
                    </a:xfrm>
                    <a:prstGeom prst="rect">
                      <a:avLst/>
                    </a:prstGeom>
                  </pic:spPr>
                </pic:pic>
              </a:graphicData>
            </a:graphic>
          </wp:anchor>
        </w:drawing>
      </w:r>
    </w:p>
    <w:p>
      <w:pPr>
        <w:bidi w:val="0"/>
        <w:rPr>
          <w:b/>
          <w:bCs/>
          <w:sz w:val="24"/>
          <w:szCs w:val="24"/>
        </w:rPr>
      </w:pPr>
      <w:bookmarkStart w:id="280" w:name="_bookmark28"/>
      <w:bookmarkEnd w:id="280"/>
      <w:bookmarkStart w:id="281" w:name="_Toc516687921"/>
      <w:r>
        <w:rPr>
          <w:rFonts w:hint="eastAsia"/>
          <w:b/>
          <w:bCs/>
          <w:sz w:val="24"/>
          <w:szCs w:val="24"/>
          <w:lang w:eastAsia="zh-CN"/>
        </w:rPr>
        <w:t>（</w:t>
      </w:r>
      <w:r>
        <w:rPr>
          <w:rFonts w:hint="eastAsia"/>
          <w:b/>
          <w:bCs/>
          <w:sz w:val="24"/>
          <w:szCs w:val="24"/>
          <w:lang w:val="en-US" w:eastAsia="zh-CN"/>
        </w:rPr>
        <w:t>3</w:t>
      </w:r>
      <w:r>
        <w:rPr>
          <w:rFonts w:hint="eastAsia"/>
          <w:b/>
          <w:bCs/>
          <w:sz w:val="24"/>
          <w:szCs w:val="24"/>
          <w:lang w:eastAsia="zh-CN"/>
        </w:rPr>
        <w:t>）</w:t>
      </w:r>
      <w:r>
        <w:rPr>
          <w:rFonts w:hint="eastAsia"/>
          <w:b/>
          <w:bCs/>
          <w:sz w:val="24"/>
          <w:szCs w:val="24"/>
        </w:rPr>
        <w:t>实施方案</w:t>
      </w:r>
      <w:bookmarkEnd w:id="281"/>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报告厅</w:t>
      </w:r>
      <w:r>
        <w:rPr>
          <w:rFonts w:ascii="宋体" w:hAnsi="宋体" w:eastAsia="宋体" w:cs="Times New Roman"/>
          <w:color w:val="000000" w:themeColor="text1"/>
          <w:sz w:val="24"/>
          <w:szCs w:val="24"/>
          <w14:textFill>
            <w14:solidFill>
              <w14:schemeClr w14:val="tx1"/>
            </w14:solidFill>
          </w14:textFill>
        </w:rPr>
        <w:t>LED显示屏系统工程，包括整个LED显示大屏幕</w:t>
      </w:r>
      <w:r>
        <w:rPr>
          <w:rFonts w:hint="eastAsia" w:ascii="宋体" w:hAnsi="宋体" w:eastAsia="宋体" w:cs="Times New Roman"/>
          <w:color w:val="000000" w:themeColor="text1"/>
          <w:sz w:val="24"/>
          <w:szCs w:val="24"/>
          <w14:textFill>
            <w14:solidFill>
              <w14:schemeClr w14:val="tx1"/>
            </w14:solidFill>
          </w14:textFill>
        </w:rPr>
        <w:t>、钢架结构</w:t>
      </w:r>
      <w:r>
        <w:rPr>
          <w:rFonts w:ascii="宋体" w:hAnsi="宋体" w:eastAsia="宋体" w:cs="Times New Roman"/>
          <w:color w:val="000000" w:themeColor="text1"/>
          <w:sz w:val="24"/>
          <w:szCs w:val="24"/>
          <w14:textFill>
            <w14:solidFill>
              <w14:schemeClr w14:val="tx1"/>
            </w14:solidFill>
          </w14:textFill>
        </w:rPr>
        <w:t>、综合布线、</w:t>
      </w:r>
      <w:r>
        <w:rPr>
          <w:rFonts w:hint="eastAsia" w:ascii="宋体" w:hAnsi="宋体" w:eastAsia="宋体" w:cs="Times New Roman"/>
          <w:color w:val="000000" w:themeColor="text1"/>
          <w:sz w:val="24"/>
          <w:szCs w:val="24"/>
          <w14:textFill>
            <w14:solidFill>
              <w14:schemeClr w14:val="tx1"/>
            </w14:solidFill>
          </w14:textFill>
        </w:rPr>
        <w:t>供配电</w:t>
      </w:r>
      <w:r>
        <w:rPr>
          <w:rFonts w:ascii="宋体" w:hAnsi="宋体" w:eastAsia="宋体" w:cs="Times New Roman"/>
          <w:color w:val="000000" w:themeColor="text1"/>
          <w:sz w:val="24"/>
          <w:szCs w:val="24"/>
          <w14:textFill>
            <w14:solidFill>
              <w14:schemeClr w14:val="tx1"/>
            </w14:solidFill>
          </w14:textFill>
        </w:rPr>
        <w:t>等4个子系统的管道预留预埋、线路敷设、设备安装、调试、培训等。</w:t>
      </w:r>
    </w:p>
    <w:p>
      <w:pPr>
        <w:bidi w:val="0"/>
        <w:rPr>
          <w:b/>
          <w:bCs/>
          <w:sz w:val="24"/>
          <w:szCs w:val="24"/>
        </w:rPr>
      </w:pPr>
      <w:r>
        <w:rPr>
          <w:rFonts w:hint="eastAsia"/>
          <w:b/>
          <w:bCs/>
          <w:sz w:val="24"/>
          <w:szCs w:val="24"/>
        </w:rPr>
        <w:t>播放显示功能</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可以直接接入播放有线电视节目信号、多媒体播放设备信号、播控系统信号和数字高清（HDTV）电视等多种制式和类型的电视节目；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可方便地接入现场的摄像机信号，实现各类比赛节目的现场直播功能；画面可达到清晰、无闪烁地显示视频图像；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播放录像机、影碟机（TV、VCD、DVD、LD）等视频节目，满足文化活动的基本需求；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可以播放AVI、MOV、MPG、DAT、VOB等多种格式的文件；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支持多媒体电脑的多种格式文件的播放；</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◆支持无线控制，3</w:t>
      </w:r>
      <w:r>
        <w:rPr>
          <w:rFonts w:ascii="宋体" w:hAnsi="宋体" w:eastAsia="宋体" w:cs="Times New Roman"/>
          <w:sz w:val="24"/>
          <w:szCs w:val="24"/>
        </w:rPr>
        <w:t>6/90/108</w:t>
      </w:r>
      <w:r>
        <w:rPr>
          <w:rFonts w:hint="eastAsia" w:ascii="宋体" w:hAnsi="宋体" w:eastAsia="宋体" w:cs="Times New Roman"/>
          <w:sz w:val="24"/>
          <w:szCs w:val="24"/>
        </w:rPr>
        <w:t>信号的任意窗口形状播放控制。</w:t>
      </w:r>
    </w:p>
    <w:p>
      <w:pPr>
        <w:bidi w:val="0"/>
        <w:rPr>
          <w:b/>
          <w:bCs/>
          <w:sz w:val="24"/>
          <w:szCs w:val="24"/>
        </w:rPr>
      </w:pPr>
      <w:r>
        <w:rPr>
          <w:rFonts w:hint="eastAsia"/>
          <w:b/>
          <w:bCs/>
          <w:sz w:val="24"/>
          <w:szCs w:val="24"/>
        </w:rPr>
        <w:t>信息发布功能</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可以显示各种计算机信息、图形、图画及二、三维动画等，具有丰富的播放方式，显示滚动信息、通知、标语口号等，存储数据信息容量大；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有多种中文字体和字型可供选择，还可以输入英文、法文、德文、希腊文、俄文及日文等诸多的外文；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播出系统具有多媒体软件，可灵活输入及播出多种信息；可播放文本信息，播放形式可滚点、滚行、引入引出模式、可上移、左移，消息可循环播出。字体、字号可任意选择、可设置播放速度，另外多条消息可同时播出、或与动画、图像同时播出。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可进行日期、时间显示或字符串、表达式显示；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用于国家政策、法规及服务承诺的宣传；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xml:space="preserve">◆ 天气预报的播放； </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其它公众信息的发布。</w:t>
      </w:r>
    </w:p>
    <w:p>
      <w:pPr>
        <w:bidi w:val="0"/>
        <w:rPr>
          <w:b/>
          <w:bCs/>
          <w:sz w:val="24"/>
          <w:szCs w:val="24"/>
        </w:rPr>
      </w:pPr>
      <w:r>
        <w:rPr>
          <w:rFonts w:hint="eastAsia"/>
          <w:b/>
          <w:bCs/>
          <w:sz w:val="24"/>
          <w:szCs w:val="24"/>
        </w:rPr>
        <w:t>工程主要内容</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LED显示屏系统线路敷设、设备安装及调试</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钢架结构设计及安装</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播控系统安装调试</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系统培训</w:t>
      </w:r>
    </w:p>
    <w:p>
      <w:pPr>
        <w:pStyle w:val="72"/>
        <w:pageBreakBefore w:val="0"/>
        <w:widowControl w:val="0"/>
        <w:kinsoku/>
        <w:wordWrap/>
        <w:overflowPunct/>
        <w:topLinePunct w:val="0"/>
        <w:autoSpaceDE/>
        <w:autoSpaceDN/>
        <w:bidi w:val="0"/>
        <w:adjustRightInd w:val="0"/>
        <w:snapToGrid w:val="0"/>
        <w:spacing w:line="360" w:lineRule="auto"/>
        <w:ind w:left="0" w:firstLine="480"/>
        <w:textAlignment w:val="auto"/>
        <w:rPr>
          <w:rFonts w:ascii="宋体" w:hAnsi="宋体" w:eastAsia="宋体" w:cs="Times New Roman"/>
          <w:sz w:val="24"/>
          <w:szCs w:val="24"/>
        </w:rPr>
      </w:pPr>
      <w:r>
        <w:rPr>
          <w:rFonts w:hint="eastAsia" w:ascii="宋体" w:hAnsi="宋体" w:eastAsia="宋体" w:cs="Times New Roman"/>
          <w:sz w:val="24"/>
          <w:szCs w:val="24"/>
        </w:rPr>
        <w:t>● 验收交付</w:t>
      </w:r>
    </w:p>
    <w:p>
      <w:pPr>
        <w:bidi w:val="0"/>
        <w:rPr>
          <w:b/>
          <w:bCs/>
          <w:sz w:val="24"/>
          <w:szCs w:val="24"/>
        </w:rPr>
      </w:pPr>
      <w:r>
        <w:rPr>
          <w:rFonts w:hint="eastAsia"/>
          <w:b/>
          <w:bCs/>
          <w:sz w:val="24"/>
          <w:szCs w:val="24"/>
        </w:rPr>
        <w:t>其他工作</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（1）</w:t>
      </w:r>
      <w:r>
        <w:rPr>
          <w:rFonts w:hint="eastAsia" w:ascii="宋体" w:hAnsi="宋体" w:eastAsia="宋体"/>
          <w:sz w:val="24"/>
          <w:szCs w:val="24"/>
        </w:rPr>
        <w:tab/>
      </w:r>
      <w:r>
        <w:rPr>
          <w:rFonts w:hint="eastAsia" w:ascii="宋体" w:hAnsi="宋体" w:eastAsia="宋体"/>
          <w:sz w:val="24"/>
          <w:szCs w:val="24"/>
        </w:rPr>
        <w:t>本项目总体说明：本项目为交钥匙项目，零配件均包含在主体设备中，不再单列。其预算中包含但不限于安全文明施工费、规费、机械费、人工费、总包配合费、材料设备费、安装费、税金、安装所需附件比如线缆配件、穿墙打洞及恢复、桥架开孔、固线器、专用绑扎带、线标、线卡、出桥架的 PVC 管（或线槽）、桥架支架、吊架、软管、锁扣、进机柜所需管槽，以及舞台机械配套辅料，转运等。</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（2）</w:t>
      </w:r>
      <w:r>
        <w:rPr>
          <w:rFonts w:hint="eastAsia" w:ascii="宋体" w:hAnsi="宋体" w:eastAsia="宋体"/>
          <w:sz w:val="24"/>
          <w:szCs w:val="24"/>
        </w:rPr>
        <w:tab/>
      </w:r>
      <w:r>
        <w:rPr>
          <w:rFonts w:hint="eastAsia" w:ascii="宋体" w:hAnsi="宋体" w:eastAsia="宋体"/>
          <w:sz w:val="24"/>
          <w:szCs w:val="24"/>
        </w:rPr>
        <w:t>材料设备的性能参数详见技术参数要求。</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rPr>
        <w:tab/>
      </w:r>
      <w:r>
        <w:rPr>
          <w:rFonts w:hint="eastAsia" w:ascii="宋体" w:hAnsi="宋体" w:eastAsia="宋体"/>
          <w:sz w:val="24"/>
          <w:szCs w:val="24"/>
        </w:rPr>
        <w:t>供货渠道：所有产品均提供其产品品质和一切售后服务保障。</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（4）</w:t>
      </w:r>
      <w:r>
        <w:rPr>
          <w:rFonts w:hint="eastAsia" w:ascii="宋体" w:hAnsi="宋体" w:eastAsia="宋体"/>
          <w:sz w:val="24"/>
          <w:szCs w:val="24"/>
        </w:rPr>
        <w:tab/>
      </w:r>
      <w:r>
        <w:rPr>
          <w:rFonts w:hint="eastAsia" w:ascii="宋体" w:hAnsi="宋体" w:eastAsia="宋体"/>
          <w:sz w:val="24"/>
          <w:szCs w:val="24"/>
        </w:rPr>
        <w:t>产品要求：产品必须为非定制、非 OEM 的市场成熟度较高产品。</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（5）</w:t>
      </w:r>
      <w:r>
        <w:rPr>
          <w:rFonts w:hint="eastAsia" w:ascii="宋体" w:hAnsi="宋体" w:eastAsia="宋体"/>
          <w:sz w:val="24"/>
          <w:szCs w:val="24"/>
        </w:rPr>
        <w:tab/>
      </w:r>
      <w:r>
        <w:rPr>
          <w:rFonts w:hint="eastAsia" w:ascii="宋体" w:hAnsi="宋体" w:eastAsia="宋体"/>
          <w:sz w:val="24"/>
          <w:szCs w:val="24"/>
        </w:rPr>
        <w:t>验收要求：按国家和行业相关标准执行。</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（6）</w:t>
      </w:r>
      <w:r>
        <w:rPr>
          <w:rFonts w:hint="eastAsia" w:ascii="宋体" w:hAnsi="宋体" w:eastAsia="宋体"/>
          <w:sz w:val="24"/>
          <w:szCs w:val="24"/>
        </w:rPr>
        <w:tab/>
      </w:r>
      <w:r>
        <w:rPr>
          <w:rFonts w:hint="eastAsia" w:ascii="宋体" w:hAnsi="宋体" w:eastAsia="宋体"/>
          <w:sz w:val="24"/>
          <w:szCs w:val="24"/>
        </w:rPr>
        <w:t>所有设备、材料必须是全新并符合指定技术要求，若设备验收时发现设备性能或功能上不符合，将被视为性能不合格，有权拒收并要求赔偿。</w:t>
      </w:r>
    </w:p>
    <w:p>
      <w:pPr>
        <w:bidi w:val="0"/>
        <w:rPr>
          <w:b/>
          <w:bCs/>
          <w:sz w:val="24"/>
          <w:szCs w:val="24"/>
        </w:rPr>
      </w:pPr>
      <w:bookmarkStart w:id="282" w:name="_Toc489526134"/>
      <w:r>
        <w:rPr>
          <w:rFonts w:hint="eastAsia"/>
          <w:b/>
          <w:bCs/>
          <w:sz w:val="24"/>
          <w:szCs w:val="24"/>
          <w:lang w:eastAsia="zh-CN"/>
        </w:rPr>
        <w:t>（</w:t>
      </w:r>
      <w:r>
        <w:rPr>
          <w:rFonts w:hint="eastAsia"/>
          <w:b/>
          <w:bCs/>
          <w:sz w:val="24"/>
          <w:szCs w:val="24"/>
          <w:lang w:val="en-US" w:eastAsia="zh-CN"/>
        </w:rPr>
        <w:t>四</w:t>
      </w:r>
      <w:r>
        <w:rPr>
          <w:rFonts w:hint="eastAsia"/>
          <w:b/>
          <w:bCs/>
          <w:sz w:val="24"/>
          <w:szCs w:val="24"/>
          <w:lang w:eastAsia="zh-CN"/>
        </w:rPr>
        <w:t>）</w:t>
      </w:r>
      <w:r>
        <w:rPr>
          <w:rFonts w:hint="eastAsia"/>
          <w:b/>
          <w:bCs/>
          <w:sz w:val="24"/>
          <w:szCs w:val="24"/>
        </w:rPr>
        <w:t>灯光系统方案</w:t>
      </w:r>
      <w:bookmarkEnd w:id="282"/>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舞台</w:t>
      </w:r>
      <w:r>
        <w:rPr>
          <w:rFonts w:ascii="宋体" w:hAnsi="宋体" w:eastAsia="宋体"/>
          <w:sz w:val="24"/>
          <w:szCs w:val="24"/>
        </w:rPr>
        <w:t>灯光系统，本次建设</w:t>
      </w:r>
      <w:r>
        <w:rPr>
          <w:rFonts w:hint="eastAsia" w:ascii="宋体" w:hAnsi="宋体" w:eastAsia="宋体"/>
          <w:sz w:val="24"/>
          <w:szCs w:val="24"/>
        </w:rPr>
        <w:t>均配置</w:t>
      </w:r>
      <w:r>
        <w:rPr>
          <w:rFonts w:ascii="宋体" w:hAnsi="宋体" w:eastAsia="宋体"/>
          <w:sz w:val="24"/>
          <w:szCs w:val="24"/>
        </w:rPr>
        <w:t>全新的</w:t>
      </w:r>
      <w:r>
        <w:rPr>
          <w:rFonts w:hint="eastAsia" w:ascii="宋体" w:hAnsi="宋体" w:eastAsia="宋体"/>
          <w:sz w:val="24"/>
          <w:szCs w:val="24"/>
        </w:rPr>
        <w:t>LED光源</w:t>
      </w:r>
      <w:r>
        <w:rPr>
          <w:rFonts w:ascii="宋体" w:hAnsi="宋体" w:eastAsia="宋体"/>
          <w:sz w:val="24"/>
          <w:szCs w:val="24"/>
        </w:rPr>
        <w:t>灯</w:t>
      </w:r>
      <w:r>
        <w:rPr>
          <w:rFonts w:hint="eastAsia" w:ascii="宋体" w:hAnsi="宋体" w:eastAsia="宋体"/>
          <w:sz w:val="24"/>
          <w:szCs w:val="24"/>
        </w:rPr>
        <w:t>灯具，</w:t>
      </w:r>
      <w:r>
        <w:rPr>
          <w:rFonts w:ascii="宋体" w:hAnsi="宋体" w:eastAsia="宋体"/>
          <w:sz w:val="24"/>
          <w:szCs w:val="24"/>
        </w:rPr>
        <w:t>包含：</w:t>
      </w:r>
      <w:r>
        <w:rPr>
          <w:rFonts w:hint="eastAsia" w:ascii="宋体" w:hAnsi="宋体" w:eastAsia="宋体"/>
          <w:sz w:val="24"/>
          <w:szCs w:val="24"/>
        </w:rPr>
        <w:t>LED面光灯、效果灯、摇头灯、LED会议灯具、数字灯光控制台等</w:t>
      </w:r>
    </w:p>
    <w:p>
      <w:pPr>
        <w:bidi w:val="0"/>
        <w:rPr>
          <w:sz w:val="24"/>
          <w:szCs w:val="24"/>
        </w:rPr>
      </w:pPr>
      <w:r>
        <w:rPr>
          <w:rFonts w:hint="eastAsia"/>
          <w:b/>
          <w:bCs/>
          <w:sz w:val="24"/>
          <w:szCs w:val="24"/>
        </w:rPr>
        <w:t>舞台</w:t>
      </w:r>
      <w:r>
        <w:rPr>
          <w:b/>
          <w:bCs/>
          <w:sz w:val="24"/>
          <w:szCs w:val="24"/>
        </w:rPr>
        <w:t>灯光</w:t>
      </w:r>
      <w:r>
        <w:rPr>
          <w:rFonts w:hint="eastAsia"/>
          <w:b/>
          <w:bCs/>
          <w:sz w:val="24"/>
          <w:szCs w:val="24"/>
        </w:rPr>
        <w:t>布局</w:t>
      </w:r>
    </w:p>
    <w:p>
      <w:pPr>
        <w:pageBreakBefore w:val="0"/>
        <w:widowControl w:val="0"/>
        <w:kinsoku/>
        <w:wordWrap/>
        <w:overflowPunct/>
        <w:topLinePunct w:val="0"/>
        <w:autoSpaceDE/>
        <w:autoSpaceDN/>
        <w:bidi w:val="0"/>
        <w:adjustRightInd w:val="0"/>
        <w:snapToGrid w:val="0"/>
        <w:spacing w:line="360" w:lineRule="auto"/>
        <w:ind w:left="0"/>
        <w:textAlignment w:val="auto"/>
        <w:rPr>
          <w:rFonts w:ascii="宋体" w:hAnsi="宋体" w:eastAsia="宋体"/>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ascii="宋体" w:hAnsi="宋体" w:eastAsia="宋体"/>
          <w:sz w:val="24"/>
          <w:szCs w:val="24"/>
        </w:rPr>
        <w:t>舞台顶部灯位</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顶光（分为会议用顶光及演出用顶光）、逆光通常在舞台吊杆中纵深每隔1.5m左右设置一道灯光专用吊杆，电源从舞台天棚下垂,吊杆中部设有容纳电缆的线筐，灯具吊挂在吊杆的下边，其作用是对向舞台纵深延展的表演区空间进行必要的照明。</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舞台侧光灯位</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侧光（分为固定侧光和流动侧光）的作用是从舞台的侧面造成光源的方向感，可以作为照射演员面部的辅助照明，并可加强布景层次，对人物和舞台空间环境进行造型渲染，满足电视节目录制及摄像的照度需求。</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ascii="宋体" w:hAnsi="宋体" w:eastAsia="宋体"/>
          <w:sz w:val="24"/>
          <w:szCs w:val="24"/>
        </w:rPr>
        <w:t>左右侧均布置舞台面光灯位</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LED面光主要用于照亮舞台前部表演区，布置于观众区顶部：，对舞台上的表演者起到正面照明的作用，配合耳光、顶光和逆光供人物造型用或使舞台上的物体呈现立体效果。面光灯设计为1道，分别以不同角度投射舞台前区，以保证面光投射光线、光斑、照度一致。按装于舞台向观众区6米位置，投射于舞台距离10-12米，角度45-55度之间。</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rFonts w:hint="eastAsia" w:ascii="宋体" w:hAnsi="宋体" w:eastAsia="宋体"/>
          <w:sz w:val="24"/>
          <w:szCs w:val="24"/>
        </w:rPr>
        <w:t>舞台追光灯位</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追光灯主要是为了根据剧情需要，在演出中追踪演员形体动作而设置的特殊灯具。追光灯放在观众席后侧，追踪主持人或演员，突出感强，并可变色，频闪，光斑大小可调，操作非常灵便。</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按装于舞台向观众区后区左右各一台位，投射于有效距离30-50米。</w:t>
      </w:r>
    </w:p>
    <w:p>
      <w:pPr>
        <w:bidi w:val="0"/>
        <w:rPr>
          <w:b/>
          <w:bCs/>
          <w:sz w:val="24"/>
          <w:szCs w:val="24"/>
        </w:rPr>
      </w:pPr>
      <w:r>
        <w:rPr>
          <w:rFonts w:hint="eastAsia"/>
          <w:b/>
          <w:bCs/>
          <w:sz w:val="24"/>
          <w:szCs w:val="24"/>
          <w:lang w:eastAsia="zh-CN"/>
        </w:rPr>
        <w:t>（</w:t>
      </w:r>
      <w:r>
        <w:rPr>
          <w:rFonts w:hint="eastAsia"/>
          <w:b/>
          <w:bCs/>
          <w:sz w:val="24"/>
          <w:szCs w:val="24"/>
          <w:lang w:val="en-US" w:eastAsia="zh-CN"/>
        </w:rPr>
        <w:t>五</w:t>
      </w:r>
      <w:r>
        <w:rPr>
          <w:rFonts w:hint="eastAsia"/>
          <w:b/>
          <w:bCs/>
          <w:sz w:val="24"/>
          <w:szCs w:val="24"/>
          <w:lang w:eastAsia="zh-CN"/>
        </w:rPr>
        <w:t>）</w:t>
      </w:r>
      <w:r>
        <w:rPr>
          <w:rFonts w:hint="eastAsia"/>
          <w:b/>
          <w:bCs/>
          <w:sz w:val="24"/>
          <w:szCs w:val="24"/>
        </w:rPr>
        <w:t>舞台机械吊杆系统方案</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舞台机械，是满足灯光吊挂及幕布系统吊挂而设置的，是视觉载体，助演载体甚或参演角色，辅助舞台创意的艺术呈现是解释文化的工具和媒介，统属于演艺领域和科技领域是舞台艺术和自然科学相结合的产物，满足舞台机械设计的</w:t>
      </w:r>
      <w:r>
        <w:rPr>
          <w:rFonts w:ascii="宋体" w:hAnsi="宋体" w:eastAsia="宋体"/>
          <w:sz w:val="24"/>
          <w:szCs w:val="24"/>
        </w:rPr>
        <w:t>基本要求</w:t>
      </w:r>
    </w:p>
    <w:p>
      <w:pPr>
        <w:pageBreakBefore w:val="0"/>
        <w:widowControl w:val="0"/>
        <w:kinsoku/>
        <w:wordWrap/>
        <w:overflowPunct/>
        <w:topLinePunct w:val="0"/>
        <w:autoSpaceDE/>
        <w:autoSpaceDN/>
        <w:bidi w:val="0"/>
        <w:adjustRightInd w:val="0"/>
        <w:snapToGrid w:val="0"/>
        <w:spacing w:line="360" w:lineRule="auto"/>
        <w:ind w:left="0" w:firstLine="560" w:firstLineChars="200"/>
        <w:textAlignment w:val="auto"/>
        <w:rPr>
          <w:rFonts w:ascii="宋体" w:hAnsi="宋体" w:eastAsia="宋体"/>
          <w:sz w:val="24"/>
          <w:szCs w:val="24"/>
        </w:rPr>
      </w:pPr>
      <w:r>
        <w:fldChar w:fldCharType="begin"/>
      </w:r>
      <w:r>
        <w:instrText xml:space="preserve"> HYPERLINK "http://www.jscxwt.net/" \t "http://www.jscxwt.net/ac/_blank" </w:instrText>
      </w:r>
      <w:r>
        <w:fldChar w:fldCharType="separate"/>
      </w:r>
      <w:r>
        <w:rPr>
          <w:rFonts w:ascii="宋体" w:hAnsi="宋体" w:eastAsia="宋体"/>
          <w:sz w:val="24"/>
          <w:szCs w:val="24"/>
        </w:rPr>
        <w:t>舞台机械</w:t>
      </w:r>
      <w:r>
        <w:rPr>
          <w:rFonts w:ascii="宋体" w:hAnsi="宋体" w:eastAsia="宋体"/>
          <w:sz w:val="24"/>
          <w:szCs w:val="24"/>
        </w:rPr>
        <w:fldChar w:fldCharType="end"/>
      </w:r>
      <w:r>
        <w:rPr>
          <w:rFonts w:ascii="宋体" w:hAnsi="宋体" w:eastAsia="宋体"/>
          <w:sz w:val="24"/>
          <w:szCs w:val="24"/>
        </w:rPr>
        <w:t>设计前必须考虑舞台机械使用地的各种气候条件：温度、湿度。大气温度为-25~40度，相对湿度为5%~100% 。</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工作环境条件为温度：0~40度，相对湿度≤80% 。</w:t>
      </w:r>
    </w:p>
    <w:p>
      <w:pPr>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ascii="宋体" w:hAnsi="宋体" w:eastAsia="宋体"/>
          <w:b/>
          <w:sz w:val="24"/>
          <w:szCs w:val="24"/>
        </w:rPr>
      </w:pPr>
      <w:r>
        <w:rPr>
          <w:rFonts w:ascii="宋体" w:hAnsi="宋体" w:eastAsia="宋体"/>
          <w:b/>
          <w:sz w:val="24"/>
          <w:szCs w:val="24"/>
        </w:rPr>
        <w:t>设计原则</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舞台机械的零部件尽可能标准化和通用化</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所有的材料必须是全新的，材料质量应符合有关标准：</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舞台机械的设计应考虑一般维修工作的简单和快捷：同进要考虑运动零部件的润滑：钢丝绳、链条等</w:t>
      </w:r>
      <w:r>
        <w:rPr>
          <w:rFonts w:hint="eastAsia" w:ascii="宋体" w:hAnsi="宋体" w:eastAsia="宋体"/>
          <w:sz w:val="24"/>
          <w:szCs w:val="24"/>
        </w:rPr>
        <w:t>零件</w:t>
      </w:r>
      <w:r>
        <w:rPr>
          <w:rFonts w:ascii="宋体" w:hAnsi="宋体" w:eastAsia="宋体"/>
          <w:sz w:val="24"/>
          <w:szCs w:val="24"/>
        </w:rPr>
        <w:t>的调整和检查；</w:t>
      </w:r>
    </w:p>
    <w:p>
      <w:pPr>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ascii="宋体" w:hAnsi="宋体" w:eastAsia="宋体"/>
          <w:b/>
          <w:sz w:val="24"/>
          <w:szCs w:val="24"/>
        </w:rPr>
      </w:pPr>
      <w:r>
        <w:rPr>
          <w:rFonts w:ascii="宋体" w:hAnsi="宋体" w:eastAsia="宋体"/>
          <w:b/>
          <w:sz w:val="24"/>
          <w:szCs w:val="24"/>
        </w:rPr>
        <w:t>安全设计</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所有机械、电气控制系统应具有故障自动保护功能；</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所有从正常通道上能接触到的设备的移动或旋转的零部件均应设防护装置；</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所有设备应满足相应的安全标准和操作规程，符合安全卫生要求；</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所有电线、电缆应为耐火型，阻燃型或低烟雾型。</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所有运行设备均设置紧急停车系统；</w:t>
      </w:r>
    </w:p>
    <w:p>
      <w:pPr>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ascii="宋体" w:hAnsi="宋体" w:eastAsia="宋体"/>
          <w:b/>
          <w:sz w:val="24"/>
          <w:szCs w:val="24"/>
        </w:rPr>
      </w:pPr>
      <w:r>
        <w:rPr>
          <w:rFonts w:ascii="宋体" w:hAnsi="宋体" w:eastAsia="宋体"/>
          <w:b/>
          <w:sz w:val="24"/>
          <w:szCs w:val="24"/>
        </w:rPr>
        <w:t>安全</w:t>
      </w:r>
      <w:r>
        <w:rPr>
          <w:rFonts w:hint="eastAsia" w:ascii="宋体" w:hAnsi="宋体" w:eastAsia="宋体"/>
          <w:b/>
          <w:sz w:val="24"/>
          <w:szCs w:val="24"/>
        </w:rPr>
        <w:t>系数</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通用机械零件：所有通用机械零件在初略计算时的安全系数应大于或等于5。安全系统数定义为所用材料的极限应力于最大工作应力之比。最大工作应力应考虑最大负荷</w:t>
      </w:r>
      <w:r>
        <w:rPr>
          <w:rFonts w:hint="eastAsia" w:ascii="宋体" w:hAnsi="宋体" w:eastAsia="宋体"/>
          <w:sz w:val="24"/>
          <w:szCs w:val="24"/>
        </w:rPr>
        <w:t>，及</w:t>
      </w:r>
      <w:r>
        <w:rPr>
          <w:rFonts w:ascii="宋体" w:hAnsi="宋体" w:eastAsia="宋体"/>
          <w:sz w:val="24"/>
          <w:szCs w:val="24"/>
        </w:rPr>
        <w:t>动负荷（紧急制动、碰撞等）产生的应力。</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钢丝绳：用于起吊或悬挂重物的钢丝绳的安全系数应等于或大于10。安全系数定义为钢丝绳的破断拉力与最大工作载荷、加减速时产生的动载荷以及因设备运转、钢丝转向等产生的附加载荷。钢丝绳的安全系数为用于起吊或悬挂重物的钢丝绳的安全系数应等于或大于6。</w:t>
      </w:r>
    </w:p>
    <w:p>
      <w:pPr>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ascii="宋体" w:hAnsi="宋体" w:eastAsia="宋体"/>
          <w:b/>
          <w:bCs/>
          <w:sz w:val="24"/>
          <w:szCs w:val="24"/>
        </w:rPr>
      </w:pPr>
      <w:r>
        <w:rPr>
          <w:rFonts w:ascii="宋体" w:hAnsi="宋体" w:eastAsia="宋体"/>
          <w:b/>
          <w:bCs/>
          <w:sz w:val="24"/>
          <w:szCs w:val="24"/>
        </w:rPr>
        <w:t>安全装置与备用系统</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各类设备必须具有超程保护。</w:t>
      </w:r>
    </w:p>
    <w:p>
      <w:pPr>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ascii="宋体" w:hAnsi="宋体" w:eastAsia="宋体"/>
          <w:sz w:val="24"/>
          <w:szCs w:val="24"/>
        </w:rPr>
        <w:t>灯光渡桥配备超载检测装置，吊重达到1.2倍额定重量时将停止吊杆的运行。</w:t>
      </w:r>
    </w:p>
    <w:p>
      <w:pPr>
        <w:spacing w:line="290" w:lineRule="auto"/>
        <w:rPr>
          <w:rFonts w:ascii="宋体"/>
          <w:sz w:val="21"/>
        </w:rPr>
      </w:pPr>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firstLine="0" w:firstLineChars="0"/>
        <w:jc w:val="center"/>
        <w:textAlignment w:val="auto"/>
        <w:rPr>
          <w:rFonts w:ascii="宋体" w:hAnsi="宋体" w:eastAsia="宋体"/>
          <w:sz w:val="40"/>
          <w:szCs w:val="40"/>
        </w:rPr>
      </w:pPr>
      <w:bookmarkStart w:id="283" w:name="_Toc501360962"/>
      <w:bookmarkStart w:id="284" w:name="_Toc11165"/>
      <w:bookmarkStart w:id="285" w:name="_Toc6746"/>
      <w:bookmarkStart w:id="286" w:name="_Toc80106672"/>
      <w:bookmarkStart w:id="287" w:name="_Toc520877196"/>
      <w:bookmarkStart w:id="288" w:name="_Toc501361407"/>
      <w:r>
        <w:rPr>
          <w:rFonts w:hint="eastAsia" w:ascii="宋体" w:hAnsi="宋体" w:eastAsia="宋体"/>
          <w:sz w:val="40"/>
          <w:szCs w:val="40"/>
        </w:rPr>
        <w:t>第四章  人员培训</w:t>
      </w:r>
      <w:bookmarkEnd w:id="283"/>
      <w:bookmarkEnd w:id="284"/>
      <w:bookmarkEnd w:id="285"/>
      <w:bookmarkEnd w:id="286"/>
      <w:bookmarkEnd w:id="287"/>
      <w:bookmarkEnd w:id="288"/>
    </w:p>
    <w:p>
      <w:pPr>
        <w:bidi w:val="0"/>
        <w:rPr>
          <w:b/>
          <w:bCs/>
          <w:sz w:val="24"/>
          <w:szCs w:val="24"/>
        </w:rPr>
      </w:pPr>
      <w:bookmarkStart w:id="289" w:name="_Toc496156111"/>
      <w:bookmarkStart w:id="290" w:name="_Toc437782375"/>
      <w:r>
        <w:rPr>
          <w:rFonts w:hint="eastAsia"/>
          <w:b/>
          <w:bCs/>
          <w:sz w:val="24"/>
          <w:szCs w:val="24"/>
          <w:lang w:val="en-US" w:eastAsia="zh-CN"/>
        </w:rPr>
        <w:t>一、</w:t>
      </w:r>
      <w:r>
        <w:rPr>
          <w:rFonts w:hint="eastAsia"/>
          <w:b/>
          <w:bCs/>
          <w:sz w:val="24"/>
          <w:szCs w:val="24"/>
        </w:rPr>
        <w:t>培训目标</w:t>
      </w:r>
      <w:bookmarkEnd w:id="289"/>
      <w:bookmarkEnd w:id="290"/>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培训的目标是使每个参加培训的人员明知整个系统的构成和原理，熟悉系统的功能，能够熟练的操作系统并能排除常见故障。</w:t>
      </w:r>
    </w:p>
    <w:p>
      <w:pPr>
        <w:bidi w:val="0"/>
        <w:rPr>
          <w:b/>
          <w:bCs/>
          <w:sz w:val="24"/>
          <w:szCs w:val="24"/>
        </w:rPr>
      </w:pPr>
      <w:bookmarkStart w:id="291" w:name="_Toc437782376"/>
      <w:bookmarkStart w:id="292" w:name="_Toc496156112"/>
      <w:r>
        <w:rPr>
          <w:rFonts w:hint="eastAsia"/>
          <w:b/>
          <w:bCs/>
          <w:sz w:val="24"/>
          <w:szCs w:val="24"/>
          <w:lang w:val="en-US" w:eastAsia="zh-CN"/>
        </w:rPr>
        <w:t>二、</w:t>
      </w:r>
      <w:r>
        <w:rPr>
          <w:b/>
          <w:bCs/>
          <w:sz w:val="24"/>
          <w:szCs w:val="24"/>
        </w:rPr>
        <w:t>培训的内容</w:t>
      </w:r>
      <w:bookmarkEnd w:id="291"/>
      <w:bookmarkEnd w:id="292"/>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培训前，将该系统有关人员发放培训手册，手册内容包括基本操作、设置，故障排除，维护说明等项目。</w:t>
      </w:r>
    </w:p>
    <w:p>
      <w:pPr>
        <w:pStyle w:val="72"/>
        <w:pageBreakBefore w:val="0"/>
        <w:widowControl w:val="0"/>
        <w:numPr>
          <w:ilvl w:val="0"/>
          <w:numId w:val="26"/>
        </w:numPr>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sz w:val="24"/>
          <w:szCs w:val="24"/>
        </w:rPr>
      </w:pPr>
      <w:r>
        <w:rPr>
          <w:rFonts w:hint="eastAsia" w:ascii="宋体" w:hAnsi="宋体" w:eastAsia="宋体"/>
          <w:sz w:val="24"/>
          <w:szCs w:val="24"/>
        </w:rPr>
        <w:t>培训包括以下内容</w:t>
      </w:r>
    </w:p>
    <w:p>
      <w:pPr>
        <w:pStyle w:val="72"/>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Chars="0"/>
        <w:textAlignment w:val="auto"/>
        <w:rPr>
          <w:rFonts w:hint="eastAsia" w:ascii="宋体" w:hAnsi="宋体" w:eastAsia="宋体"/>
          <w:sz w:val="24"/>
          <w:szCs w:val="24"/>
        </w:rPr>
      </w:pPr>
      <w:r>
        <w:rPr>
          <w:rFonts w:hint="eastAsia" w:ascii="宋体" w:hAnsi="宋体" w:eastAsia="宋体"/>
          <w:sz w:val="24"/>
          <w:szCs w:val="24"/>
        </w:rPr>
        <w:t>系统硬件（软件）组成及功能特点；</w:t>
      </w:r>
    </w:p>
    <w:p>
      <w:pPr>
        <w:pStyle w:val="72"/>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Chars="0"/>
        <w:textAlignment w:val="auto"/>
        <w:rPr>
          <w:rFonts w:ascii="宋体" w:hAnsi="宋体" w:eastAsia="宋体"/>
          <w:sz w:val="24"/>
          <w:szCs w:val="24"/>
        </w:rPr>
      </w:pPr>
      <w:r>
        <w:rPr>
          <w:rFonts w:hint="eastAsia" w:ascii="宋体" w:hAnsi="宋体" w:eastAsia="宋体"/>
          <w:sz w:val="24"/>
          <w:szCs w:val="24"/>
        </w:rPr>
        <w:t>系统运行过程中的维护；</w:t>
      </w:r>
    </w:p>
    <w:p>
      <w:pPr>
        <w:pStyle w:val="72"/>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Chars="0"/>
        <w:textAlignment w:val="auto"/>
        <w:rPr>
          <w:rFonts w:ascii="宋体" w:hAnsi="宋体" w:eastAsia="宋体"/>
          <w:sz w:val="24"/>
          <w:szCs w:val="24"/>
        </w:rPr>
      </w:pPr>
      <w:r>
        <w:rPr>
          <w:rFonts w:hint="eastAsia" w:ascii="宋体" w:hAnsi="宋体" w:eastAsia="宋体"/>
          <w:sz w:val="24"/>
          <w:szCs w:val="24"/>
        </w:rPr>
        <w:t>疑难问题解答。</w:t>
      </w:r>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lang w:val="en-US" w:eastAsia="zh-CN"/>
        </w:rPr>
        <w:t>二</w:t>
      </w:r>
      <w:r>
        <w:rPr>
          <w:rFonts w:hint="eastAsia" w:ascii="宋体" w:hAnsi="宋体" w:eastAsia="宋体"/>
          <w:sz w:val="24"/>
          <w:szCs w:val="24"/>
          <w:lang w:eastAsia="zh-CN"/>
        </w:rPr>
        <w:t>）</w:t>
      </w:r>
      <w:r>
        <w:rPr>
          <w:rFonts w:ascii="宋体" w:hAnsi="宋体" w:eastAsia="宋体"/>
          <w:sz w:val="24"/>
          <w:szCs w:val="24"/>
        </w:rPr>
        <w:t>系统管理人员的培训</w:t>
      </w:r>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lang w:val="en-US" w:eastAsia="zh-CN"/>
        </w:rPr>
        <w:t>1</w:t>
      </w:r>
      <w:r>
        <w:rPr>
          <w:rFonts w:hint="eastAsia" w:ascii="宋体" w:hAnsi="宋体" w:eastAsia="宋体"/>
          <w:sz w:val="24"/>
          <w:szCs w:val="24"/>
          <w:lang w:eastAsia="zh-CN"/>
        </w:rPr>
        <w:t>）</w:t>
      </w:r>
      <w:r>
        <w:rPr>
          <w:rFonts w:hint="eastAsia" w:ascii="宋体" w:hAnsi="宋体" w:eastAsia="宋体"/>
          <w:sz w:val="24"/>
          <w:szCs w:val="24"/>
        </w:rPr>
        <w:t>对整个系统的运行和原理有充分的了解，理解设计意图和思想；</w:t>
      </w:r>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lang w:val="en-US" w:eastAsia="zh-CN"/>
        </w:rPr>
        <w:t>2</w:t>
      </w:r>
      <w:r>
        <w:rPr>
          <w:rFonts w:hint="eastAsia" w:ascii="宋体" w:hAnsi="宋体" w:eastAsia="宋体"/>
          <w:sz w:val="24"/>
          <w:szCs w:val="24"/>
          <w:lang w:eastAsia="zh-CN"/>
        </w:rPr>
        <w:t>）</w:t>
      </w:r>
      <w:r>
        <w:rPr>
          <w:rFonts w:hint="eastAsia" w:ascii="宋体" w:hAnsi="宋体" w:eastAsia="宋体"/>
          <w:sz w:val="24"/>
          <w:szCs w:val="24"/>
        </w:rPr>
        <w:t>学习国内目前的管理规范和维护体系。</w:t>
      </w:r>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lang w:val="en-US" w:eastAsia="zh-CN"/>
        </w:rPr>
        <w:t>三</w:t>
      </w:r>
      <w:r>
        <w:rPr>
          <w:rFonts w:hint="eastAsia" w:ascii="宋体" w:hAnsi="宋体" w:eastAsia="宋体"/>
          <w:sz w:val="24"/>
          <w:szCs w:val="24"/>
          <w:lang w:eastAsia="zh-CN"/>
        </w:rPr>
        <w:t>）</w:t>
      </w:r>
      <w:r>
        <w:rPr>
          <w:rFonts w:ascii="宋体" w:hAnsi="宋体" w:eastAsia="宋体"/>
          <w:sz w:val="24"/>
          <w:szCs w:val="24"/>
        </w:rPr>
        <w:t>系统工程维护人员</w:t>
      </w:r>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lang w:val="en-US" w:eastAsia="zh-CN"/>
        </w:rPr>
        <w:t>1</w:t>
      </w:r>
      <w:r>
        <w:rPr>
          <w:rFonts w:hint="eastAsia" w:ascii="宋体" w:hAnsi="宋体" w:eastAsia="宋体"/>
          <w:sz w:val="24"/>
          <w:szCs w:val="24"/>
          <w:lang w:eastAsia="zh-CN"/>
        </w:rPr>
        <w:t>）</w:t>
      </w:r>
      <w:r>
        <w:rPr>
          <w:rFonts w:hint="eastAsia" w:ascii="宋体" w:hAnsi="宋体" w:eastAsia="宋体"/>
          <w:sz w:val="24"/>
          <w:szCs w:val="24"/>
        </w:rPr>
        <w:t>清楚的了解各种设备的性能和参数；</w:t>
      </w:r>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lang w:val="en-US" w:eastAsia="zh-CN"/>
        </w:rPr>
        <w:t>2</w:t>
      </w:r>
      <w:r>
        <w:rPr>
          <w:rFonts w:hint="eastAsia" w:ascii="宋体" w:hAnsi="宋体" w:eastAsia="宋体"/>
          <w:sz w:val="24"/>
          <w:szCs w:val="24"/>
          <w:lang w:eastAsia="zh-CN"/>
        </w:rPr>
        <w:t>）</w:t>
      </w:r>
      <w:r>
        <w:rPr>
          <w:rFonts w:hint="eastAsia" w:ascii="宋体" w:hAnsi="宋体" w:eastAsia="宋体"/>
          <w:sz w:val="24"/>
          <w:szCs w:val="24"/>
        </w:rPr>
        <w:t>学习整个系统的安装、调试和维护。</w:t>
      </w:r>
    </w:p>
    <w:p>
      <w:pPr>
        <w:bidi w:val="0"/>
        <w:rPr>
          <w:rFonts w:hint="eastAsia"/>
          <w:b/>
          <w:bCs/>
          <w:sz w:val="24"/>
          <w:szCs w:val="24"/>
          <w:lang w:val="en-US" w:eastAsia="zh-CN"/>
        </w:rPr>
      </w:pPr>
      <w:bookmarkStart w:id="293" w:name="_Toc496156113"/>
      <w:bookmarkStart w:id="294" w:name="_Toc437782377"/>
      <w:r>
        <w:rPr>
          <w:rFonts w:hint="eastAsia"/>
          <w:b/>
          <w:bCs/>
          <w:sz w:val="24"/>
          <w:szCs w:val="24"/>
          <w:lang w:val="en-US" w:eastAsia="zh-CN"/>
        </w:rPr>
        <w:t>三、</w:t>
      </w:r>
      <w:r>
        <w:rPr>
          <w:rFonts w:hint="eastAsia"/>
          <w:b/>
          <w:bCs/>
          <w:sz w:val="24"/>
          <w:szCs w:val="24"/>
        </w:rPr>
        <w:t>培训的</w:t>
      </w:r>
      <w:bookmarkEnd w:id="293"/>
      <w:bookmarkEnd w:id="294"/>
      <w:r>
        <w:rPr>
          <w:rFonts w:hint="eastAsia"/>
          <w:b/>
          <w:bCs/>
          <w:sz w:val="24"/>
          <w:szCs w:val="24"/>
          <w:lang w:val="en-US" w:eastAsia="zh-CN"/>
        </w:rPr>
        <w:t>安排</w:t>
      </w:r>
    </w:p>
    <w:p>
      <w:pPr>
        <w:rPr>
          <w:rFonts w:ascii="宋体" w:hAnsi="宋体" w:eastAsia="宋体"/>
          <w:color w:val="000000" w:themeColor="text1"/>
          <w:sz w:val="24"/>
          <w:szCs w:val="24"/>
          <w:highlight w:val="none"/>
          <w14:textFill>
            <w14:solidFill>
              <w14:schemeClr w14:val="tx1"/>
            </w14:solidFill>
          </w14:textFill>
        </w:rPr>
      </w:pPr>
      <w:r>
        <w:rPr>
          <w:rFonts w:hint="eastAsia"/>
          <w:sz w:val="24"/>
          <w:szCs w:val="24"/>
          <w:highlight w:val="none"/>
          <w:lang w:val="en-US" w:eastAsia="zh-CN"/>
        </w:rPr>
        <w:t>培训时间和地点：根据用户条件和时间制定。</w:t>
      </w:r>
      <w:r>
        <w:rPr>
          <w:rFonts w:hint="eastAsia" w:ascii="宋体" w:hAnsi="宋体" w:eastAsia="宋体"/>
          <w:color w:val="000000" w:themeColor="text1"/>
          <w:sz w:val="24"/>
          <w:szCs w:val="24"/>
          <w:highlight w:val="none"/>
          <w14:textFill>
            <w14:solidFill>
              <w14:schemeClr w14:val="tx1"/>
            </w14:solidFill>
          </w14:textFill>
        </w:rPr>
        <w:t>培训累计时间大约3天左右，根据实际情况可调整。</w:t>
      </w:r>
    </w:p>
    <w:p>
      <w:pPr>
        <w:keepNext w:val="0"/>
        <w:keepLines w:val="0"/>
        <w:pageBreakBefore w:val="0"/>
        <w:widowControl w:val="0"/>
        <w:numPr>
          <w:ilvl w:val="0"/>
          <w:numId w:val="28"/>
        </w:numPr>
        <w:kinsoku/>
        <w:wordWrap/>
        <w:overflowPunct/>
        <w:topLinePunct w:val="0"/>
        <w:autoSpaceDE/>
        <w:autoSpaceDN/>
        <w:bidi w:val="0"/>
        <w:adjustRightInd w:val="0"/>
        <w:snapToGrid w:val="0"/>
        <w:ind w:left="0"/>
        <w:textAlignment w:val="auto"/>
        <w:rPr>
          <w:sz w:val="24"/>
          <w:szCs w:val="24"/>
        </w:rPr>
      </w:pPr>
      <w:bookmarkStart w:id="295" w:name="_Toc496156114"/>
      <w:bookmarkStart w:id="296" w:name="_Toc437782378"/>
      <w:r>
        <w:rPr>
          <w:rFonts w:hint="eastAsia"/>
          <w:sz w:val="24"/>
          <w:szCs w:val="24"/>
        </w:rPr>
        <w:t>使用的培训设施</w:t>
      </w:r>
      <w:bookmarkEnd w:id="295"/>
      <w:bookmarkEnd w:id="296"/>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lang w:val="en-US" w:eastAsia="zh-CN"/>
        </w:rPr>
        <w:t>1</w:t>
      </w:r>
      <w:r>
        <w:rPr>
          <w:rFonts w:hint="eastAsia" w:ascii="宋体" w:hAnsi="宋体" w:eastAsia="宋体"/>
          <w:sz w:val="24"/>
          <w:szCs w:val="24"/>
          <w:lang w:eastAsia="zh-CN"/>
        </w:rPr>
        <w:t>）</w:t>
      </w:r>
      <w:r>
        <w:rPr>
          <w:rFonts w:hint="eastAsia" w:ascii="宋体" w:hAnsi="宋体" w:eastAsia="宋体"/>
          <w:sz w:val="24"/>
          <w:szCs w:val="24"/>
        </w:rPr>
        <w:t>培训设施主要包括工程中的工具、现场的设备和仪器。</w:t>
      </w:r>
      <w:bookmarkStart w:id="297" w:name="_Toc496156115"/>
      <w:bookmarkStart w:id="298" w:name="_Toc437782379"/>
    </w:p>
    <w:p>
      <w:pPr>
        <w:pStyle w:val="72"/>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培训的材料和文件</w:t>
      </w:r>
      <w:bookmarkEnd w:id="297"/>
      <w:bookmarkEnd w:id="298"/>
    </w:p>
    <w:p>
      <w:pPr>
        <w:pStyle w:val="72"/>
        <w:pageBreakBefore w:val="0"/>
        <w:widowControl w:val="0"/>
        <w:numPr>
          <w:ilvl w:val="0"/>
          <w:numId w:val="29"/>
        </w:numPr>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工程系统使用说明书；</w:t>
      </w:r>
    </w:p>
    <w:p>
      <w:pPr>
        <w:pStyle w:val="72"/>
        <w:pageBreakBefore w:val="0"/>
        <w:widowControl w:val="0"/>
        <w:numPr>
          <w:ilvl w:val="0"/>
          <w:numId w:val="29"/>
        </w:numPr>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系统设备安装手册；</w:t>
      </w:r>
    </w:p>
    <w:p>
      <w:pPr>
        <w:pStyle w:val="72"/>
        <w:pageBreakBefore w:val="0"/>
        <w:widowControl w:val="0"/>
        <w:numPr>
          <w:ilvl w:val="0"/>
          <w:numId w:val="29"/>
        </w:numPr>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方案设计；</w:t>
      </w:r>
    </w:p>
    <w:p>
      <w:pPr>
        <w:pStyle w:val="72"/>
        <w:pageBreakBefore w:val="0"/>
        <w:widowControl w:val="0"/>
        <w:numPr>
          <w:ilvl w:val="0"/>
          <w:numId w:val="29"/>
        </w:numPr>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pPr>
      <w:r>
        <w:rPr>
          <w:rFonts w:hint="eastAsia" w:ascii="宋体" w:hAnsi="宋体" w:eastAsia="宋体"/>
          <w:sz w:val="24"/>
          <w:szCs w:val="24"/>
        </w:rPr>
        <w:t>施工图纸；</w:t>
      </w:r>
    </w:p>
    <w:p>
      <w:pPr>
        <w:pStyle w:val="72"/>
        <w:pageBreakBefore w:val="0"/>
        <w:widowControl w:val="0"/>
        <w:numPr>
          <w:ilvl w:val="0"/>
          <w:numId w:val="29"/>
        </w:numPr>
        <w:kinsoku/>
        <w:wordWrap/>
        <w:overflowPunct/>
        <w:topLinePunct w:val="0"/>
        <w:autoSpaceDE/>
        <w:autoSpaceDN/>
        <w:bidi w:val="0"/>
        <w:adjustRightInd w:val="0"/>
        <w:snapToGrid w:val="0"/>
        <w:spacing w:line="360" w:lineRule="auto"/>
        <w:ind w:left="0" w:firstLine="480" w:firstLineChars="200"/>
        <w:textAlignment w:val="auto"/>
        <w:rPr>
          <w:rFonts w:ascii="宋体" w:hAnsi="宋体" w:eastAsia="宋体"/>
          <w:sz w:val="24"/>
          <w:szCs w:val="24"/>
        </w:rPr>
        <w:sectPr>
          <w:footerReference r:id="rId10" w:type="default"/>
          <w:pgSz w:w="11906" w:h="16839"/>
          <w:pgMar w:top="1426" w:right="1733" w:bottom="1739" w:left="1785" w:header="0" w:footer="1604" w:gutter="0"/>
          <w:pgNumType w:fmt="decimal"/>
          <w:cols w:space="720" w:num="1"/>
        </w:sectPr>
      </w:pPr>
      <w:r>
        <w:rPr>
          <w:rFonts w:hint="eastAsia" w:ascii="宋体" w:hAnsi="宋体" w:eastAsia="宋体"/>
          <w:sz w:val="24"/>
          <w:szCs w:val="24"/>
        </w:rPr>
        <w:t>系统维护手册。</w:t>
      </w:r>
    </w:p>
    <w:p>
      <w:pPr>
        <w:pStyle w:val="3"/>
        <w:keepNext/>
        <w:keepLines/>
        <w:pageBreakBefore w:val="0"/>
        <w:widowControl w:val="0"/>
        <w:kinsoku/>
        <w:wordWrap/>
        <w:overflowPunct/>
        <w:topLinePunct w:val="0"/>
        <w:autoSpaceDE/>
        <w:autoSpaceDN/>
        <w:bidi w:val="0"/>
        <w:adjustRightInd w:val="0"/>
        <w:snapToGrid w:val="0"/>
        <w:spacing w:before="0" w:after="0" w:line="360" w:lineRule="auto"/>
        <w:ind w:left="0" w:firstLine="0" w:firstLineChars="0"/>
        <w:jc w:val="center"/>
        <w:textAlignment w:val="auto"/>
        <w:rPr>
          <w:rFonts w:hint="default" w:ascii="宋体" w:hAnsi="宋体" w:eastAsia="宋体"/>
          <w:sz w:val="40"/>
          <w:szCs w:val="40"/>
          <w:lang w:val="en-US" w:eastAsia="zh-CN"/>
        </w:rPr>
      </w:pPr>
      <w:bookmarkStart w:id="299" w:name="_Toc1580"/>
      <w:bookmarkStart w:id="300" w:name="_Toc20310"/>
      <w:r>
        <w:rPr>
          <w:rFonts w:hint="eastAsia" w:ascii="宋体" w:hAnsi="宋体" w:eastAsia="宋体"/>
          <w:sz w:val="40"/>
          <w:szCs w:val="40"/>
        </w:rPr>
        <w:t>第</w:t>
      </w:r>
      <w:r>
        <w:rPr>
          <w:rFonts w:hint="eastAsia"/>
          <w:sz w:val="40"/>
          <w:szCs w:val="40"/>
          <w:lang w:val="en-US" w:eastAsia="zh-CN"/>
        </w:rPr>
        <w:t>五</w:t>
      </w:r>
      <w:r>
        <w:rPr>
          <w:rFonts w:hint="eastAsia" w:ascii="宋体" w:hAnsi="宋体" w:eastAsia="宋体"/>
          <w:sz w:val="40"/>
          <w:szCs w:val="40"/>
        </w:rPr>
        <w:t xml:space="preserve">章  </w:t>
      </w:r>
      <w:r>
        <w:rPr>
          <w:rFonts w:hint="eastAsia"/>
          <w:sz w:val="40"/>
          <w:szCs w:val="40"/>
          <w:lang w:val="en-US" w:eastAsia="zh-CN"/>
        </w:rPr>
        <w:t>设备清单</w:t>
      </w:r>
      <w:bookmarkEnd w:id="299"/>
      <w:bookmarkEnd w:id="300"/>
    </w:p>
    <w:p>
      <w:pPr>
        <w:spacing w:line="236" w:lineRule="auto"/>
        <w:ind w:firstLine="12635"/>
        <w:rPr>
          <w:rFonts w:ascii="宋体" w:hAnsi="宋体" w:eastAsia="宋体" w:cs="宋体"/>
          <w:color w:val="63BEFE"/>
          <w:spacing w:val="3"/>
          <w:sz w:val="13"/>
          <w:szCs w:val="13"/>
          <w14:textFill>
            <w14:solidFill>
              <w14:srgbClr w14:val="63BEFE">
                <w14:alpha w14:val="39999"/>
              </w14:srgbClr>
            </w14:solidFill>
          </w14:textFill>
        </w:rPr>
      </w:pPr>
    </w:p>
    <w:tbl>
      <w:tblPr>
        <w:tblStyle w:val="20"/>
        <w:tblW w:w="5155" w:type="pct"/>
        <w:tblInd w:w="-431" w:type="dxa"/>
        <w:tblLayout w:type="fixed"/>
        <w:tblCellMar>
          <w:top w:w="0" w:type="dxa"/>
          <w:left w:w="108" w:type="dxa"/>
          <w:bottom w:w="0" w:type="dxa"/>
          <w:right w:w="108" w:type="dxa"/>
        </w:tblCellMar>
      </w:tblPr>
      <w:tblGrid>
        <w:gridCol w:w="992"/>
        <w:gridCol w:w="4"/>
        <w:gridCol w:w="2"/>
        <w:gridCol w:w="1349"/>
        <w:gridCol w:w="6391"/>
        <w:gridCol w:w="997"/>
        <w:gridCol w:w="997"/>
        <w:gridCol w:w="1262"/>
        <w:gridCol w:w="1325"/>
        <w:gridCol w:w="997"/>
      </w:tblGrid>
      <w:tr>
        <w:tblPrEx>
          <w:tblCellMar>
            <w:top w:w="0" w:type="dxa"/>
            <w:left w:w="108" w:type="dxa"/>
            <w:bottom w:w="0" w:type="dxa"/>
            <w:right w:w="108" w:type="dxa"/>
          </w:tblCellMar>
        </w:tblPrEx>
        <w:trPr>
          <w:trHeight w:val="510" w:hRule="atLeast"/>
        </w:trPr>
        <w:tc>
          <w:tcPr>
            <w:tcW w:w="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序号</w:t>
            </w:r>
          </w:p>
        </w:tc>
        <w:tc>
          <w:tcPr>
            <w:tcW w:w="13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名称</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 xml:space="preserve">技术参数 </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数量</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单位</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预算单价（元）</w:t>
            </w: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预算总价（元）</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备注</w:t>
            </w:r>
          </w:p>
        </w:tc>
      </w:tr>
      <w:tr>
        <w:tblPrEx>
          <w:tblCellMar>
            <w:top w:w="0" w:type="dxa"/>
            <w:left w:w="108" w:type="dxa"/>
            <w:bottom w:w="0" w:type="dxa"/>
            <w:right w:w="108" w:type="dxa"/>
          </w:tblCellMar>
        </w:tblPrEx>
        <w:trPr>
          <w:trHeight w:val="510" w:hRule="atLeast"/>
        </w:trPr>
        <w:tc>
          <w:tcPr>
            <w:tcW w:w="14316"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一、舞台灯光系统</w:t>
            </w:r>
          </w:p>
        </w:tc>
      </w:tr>
      <w:tr>
        <w:trPr>
          <w:trHeight w:val="510" w:hRule="atLeast"/>
        </w:trPr>
        <w:tc>
          <w:tcPr>
            <w:tcW w:w="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13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LED面光灯</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1.光源：≥300W灯珠</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2.总功率：≥350W</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3.光源寿命：≥50000小时</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4.显色指数：Ra≥95 </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5.色温: 3200K/5600K（常规）/  双色温/RGBW（可订制）</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6.控制通道：（3200K/5600K）2CH/全彩6CH</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7.控制面板：LCD液晶显示屏+按键</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8.光学：15°-60°DMX调焦，24K无闪烁光源管理系统</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 xml:space="preserve">9.控制模式：DMX512控制/手动模式                         </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13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效果灯</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1.电源：AC110V~240V/50-60Hz</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2.光源：54×3W高亮LED（R12、G14、B14、W14）162W</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3.控制模式：DMX512、主/从、声控（数码显示）</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4.控制通道：8通道</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5.光角度：25度（标准）/15度/35度/45度/60度可选</w:t>
            </w:r>
          </w:p>
          <w:p>
            <w:pPr>
              <w:keepNext w:val="0"/>
              <w:keepLines w:val="0"/>
              <w:pageBreakBefore w:val="0"/>
              <w:widowControl/>
              <w:kinsoku/>
              <w:wordWrap/>
              <w:overflowPunct/>
              <w:topLinePunct w:val="0"/>
              <w:autoSpaceDE/>
              <w:autoSpaceDN/>
              <w:bidi w:val="0"/>
              <w:adjustRightInd w:val="0"/>
              <w:snapToGrid w:val="0"/>
              <w:ind w:left="0" w:leftChars="0"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6.消耗功率：180W</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3</w:t>
            </w:r>
          </w:p>
        </w:tc>
        <w:tc>
          <w:tcPr>
            <w:tcW w:w="13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电脑摇头灯</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▲1.总功率：≥500W</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2.灯泡：≥440W</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3.镜头组合：0-5°透镜式镜头组合</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4.控制方式：</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16个国际标准DMX512控制</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▲5.X轴：540°16Bit(精准扫描）,Y轴：270°16Bit（精准扫描）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6.颜色盘：1个色盘，14色片+白光，可半色效果</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    </w:t>
            </w:r>
            <w:r>
              <w:rPr>
                <w:rFonts w:hint="eastAsia" w:cs="宋体"/>
                <w:color w:val="000000"/>
                <w:kern w:val="0"/>
                <w:sz w:val="22"/>
                <w:lang w:val="en-US" w:eastAsia="zh-CN"/>
              </w:rPr>
              <w:t xml:space="preserve">  </w:t>
            </w:r>
            <w:r>
              <w:rPr>
                <w:rFonts w:hint="eastAsia" w:ascii="宋体" w:hAnsi="宋体" w:eastAsia="宋体" w:cs="宋体"/>
                <w:color w:val="000000"/>
                <w:kern w:val="0"/>
                <w:sz w:val="22"/>
              </w:rPr>
              <w:t xml:space="preserve">    1个六彩镜盘（七彩缤纷彩虹效果）</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7.图案盘：1个固定图案盘：13个图案(含有4个玻璃图案）+白光</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8.棱镜组：1个可旋转双层8+16棱镜</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       </w:t>
            </w:r>
            <w:r>
              <w:rPr>
                <w:rFonts w:hint="eastAsia" w:cs="宋体"/>
                <w:color w:val="000000"/>
                <w:kern w:val="0"/>
                <w:sz w:val="22"/>
                <w:lang w:val="en-US" w:eastAsia="zh-CN"/>
              </w:rPr>
              <w:t xml:space="preserve">  </w:t>
            </w:r>
            <w:r>
              <w:rPr>
                <w:rFonts w:hint="eastAsia" w:ascii="宋体" w:hAnsi="宋体" w:eastAsia="宋体" w:cs="宋体"/>
                <w:color w:val="000000"/>
                <w:kern w:val="0"/>
                <w:sz w:val="22"/>
              </w:rPr>
              <w:t xml:space="preserve"> 1个可旋转三层8+16+24棱镜</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9.频闪：双铡刀频闪频率最高可达13次每秒,并可选择随机频闪及脉冲频闪</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10.调光：0%-100%线性调光</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11.雾化：线性雾化染色功能，调焦功能</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13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LED平板灯</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1.电压：AC110～240V  50Hz/60Hz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2.光源：600颗(3000K色温) ×0.5W高显色MD/LED</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3.通道：≥2</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4.总功率：≥300W</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5</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5</w:t>
            </w:r>
          </w:p>
        </w:tc>
        <w:tc>
          <w:tcPr>
            <w:tcW w:w="13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电脑灯光控制台</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numPr>
                <w:ilvl w:val="0"/>
                <w:numId w:val="30"/>
              </w:numPr>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DMX512/1990标准，≥1024个DMX控制通道，两路光电隔离信号输出。</w:t>
            </w:r>
          </w:p>
          <w:p>
            <w:pPr>
              <w:keepNext w:val="0"/>
              <w:keepLines w:val="0"/>
              <w:pageBreakBefore w:val="0"/>
              <w:widowControl/>
              <w:numPr>
                <w:ilvl w:val="0"/>
                <w:numId w:val="0"/>
              </w:numPr>
              <w:kinsoku/>
              <w:wordWrap/>
              <w:overflowPunct/>
              <w:topLinePunct w:val="0"/>
              <w:autoSpaceDE/>
              <w:autoSpaceDN/>
              <w:bidi w:val="0"/>
              <w:adjustRightInd w:val="0"/>
              <w:snapToGrid w:val="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2.控制≥100台电脑灯或100路调光。</w:t>
            </w:r>
          </w:p>
          <w:p>
            <w:pPr>
              <w:keepNext w:val="0"/>
              <w:keepLines w:val="0"/>
              <w:pageBreakBefore w:val="0"/>
              <w:widowControl/>
              <w:numPr>
                <w:ilvl w:val="0"/>
                <w:numId w:val="0"/>
              </w:numPr>
              <w:kinsoku/>
              <w:wordWrap/>
              <w:overflowPunct/>
              <w:topLinePunct w:val="0"/>
              <w:autoSpaceDE/>
              <w:autoSpaceDN/>
              <w:bidi w:val="0"/>
              <w:adjustRightInd w:val="0"/>
              <w:snapToGrid w:val="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3.Art-net网络端口，带内置模拟器功能，可直接在电脑进行灯光模拟。</w:t>
            </w:r>
          </w:p>
          <w:p>
            <w:pPr>
              <w:keepNext w:val="0"/>
              <w:keepLines w:val="0"/>
              <w:pageBreakBefore w:val="0"/>
              <w:widowControl/>
              <w:numPr>
                <w:ilvl w:val="255"/>
                <w:numId w:val="0"/>
              </w:numPr>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4.RDM双向信号输出，可直接在控台设置灯的地址码</w:t>
            </w:r>
          </w:p>
          <w:p>
            <w:pPr>
              <w:keepNext w:val="0"/>
              <w:keepLines w:val="0"/>
              <w:pageBreakBefore w:val="0"/>
              <w:widowControl/>
              <w:numPr>
                <w:ilvl w:val="255"/>
                <w:numId w:val="0"/>
              </w:numPr>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5.使用珍珠灯库（R20格式灯库），且控台上可自行编写灯库。</w:t>
            </w:r>
          </w:p>
          <w:p>
            <w:pPr>
              <w:keepNext w:val="0"/>
              <w:keepLines w:val="0"/>
              <w:pageBreakBefore w:val="0"/>
              <w:widowControl/>
              <w:numPr>
                <w:ilvl w:val="255"/>
                <w:numId w:val="0"/>
              </w:numPr>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6.带背光的LCD显示屏，面板可选中文。</w:t>
            </w:r>
          </w:p>
          <w:p>
            <w:pPr>
              <w:keepNext w:val="0"/>
              <w:keepLines w:val="0"/>
              <w:pageBreakBefore w:val="0"/>
              <w:widowControl/>
              <w:numPr>
                <w:ilvl w:val="255"/>
                <w:numId w:val="0"/>
              </w:numPr>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7.内置图形轨迹发生器，内置图形≥200，方便用户对电脑灯进行图形轨迹控制，如画圆、螺旋、彩虹、追逐等多种效果。</w:t>
            </w:r>
          </w:p>
          <w:p>
            <w:pPr>
              <w:keepNext w:val="0"/>
              <w:keepLines w:val="0"/>
              <w:pageBreakBefore w:val="0"/>
              <w:widowControl/>
              <w:numPr>
                <w:ilvl w:val="255"/>
                <w:numId w:val="0"/>
              </w:numPr>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8.图形参数（如：振幅、速度、间隔、波浪、方向）均可独立设置。</w:t>
            </w:r>
          </w:p>
          <w:p>
            <w:pPr>
              <w:keepNext w:val="0"/>
              <w:keepLines w:val="0"/>
              <w:pageBreakBefore w:val="0"/>
              <w:widowControl/>
              <w:numPr>
                <w:ilvl w:val="0"/>
                <w:numId w:val="31"/>
              </w:numPr>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每个场景可保存图形数量≥5个；同时可运行图形数量≥10个。</w:t>
            </w:r>
          </w:p>
          <w:p>
            <w:pPr>
              <w:keepNext w:val="0"/>
              <w:keepLines w:val="0"/>
              <w:pageBreakBefore w:val="0"/>
              <w:widowControl/>
              <w:numPr>
                <w:ilvl w:val="0"/>
                <w:numId w:val="0"/>
              </w:numPr>
              <w:kinsoku/>
              <w:wordWrap/>
              <w:overflowPunct/>
              <w:topLinePunct w:val="0"/>
              <w:autoSpaceDE/>
              <w:autoSpaceDN/>
              <w:bidi w:val="0"/>
              <w:adjustRightInd w:val="0"/>
              <w:snapToGrid w:val="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10.有节目录制功能，可储存≥80个节目。</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11.有内置时间码和外置MIDI触发功能。</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6</w:t>
            </w:r>
          </w:p>
        </w:tc>
        <w:tc>
          <w:tcPr>
            <w:tcW w:w="13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LED背景会议灯</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1.输入功率:220V  ≥350W</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2.功率因素：PFC≥0.98</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▲3.光源类型: 两颗及以上150w、4合一全彩LED光源、平均寿命≥ 20000 小时</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▲4.出光角度：电动变焦（43～66度线性调节）</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5.效果:LED光源0-100% 线性调光</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6.0-25Hz的频闪，内置宏命令</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▲7.标准模式: 19 通道,精简模式: 14 通道</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Pan/Tilt 解析度: 16 bit</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8.Dimmer 解析度: 16 bit</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▲9.摇头参数角度:- PAN = 540°- TILT = 210°</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 xml:space="preserve">10.在非控台操作的情况下，如果因被意外触碰而偏移的情况下，灯具可以自动回复到原有位置。                                                                       </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7</w:t>
            </w:r>
          </w:p>
        </w:tc>
        <w:tc>
          <w:tcPr>
            <w:tcW w:w="135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24路电源直通柜</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1.供电： 三相五线、双相或单相交流电，加接地线，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2.单相电压200-240VAC，频率50Hz/60Hz。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3.输出回路：24</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4.额定</w:t>
            </w:r>
            <w:r>
              <w:rPr>
                <w:rFonts w:hint="eastAsia" w:ascii="宋体" w:hAnsi="宋体" w:eastAsia="宋体" w:cs="宋体"/>
                <w:color w:val="000000"/>
                <w:kern w:val="0"/>
                <w:sz w:val="22"/>
                <w:highlight w:val="none"/>
              </w:rPr>
              <w:t>功率：</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3KW（每路）</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8</w:t>
            </w:r>
          </w:p>
        </w:tc>
        <w:tc>
          <w:tcPr>
            <w:tcW w:w="135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信号放大器</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 xml:space="preserve">1.1路非隔离的直通输出4 路光隔离输出。                                                               2.各输入输出接口之间的电气隔离电压：≥1000V ,                                                         3.电源：AC220V，50-60Hz                                                                            </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6</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9</w:t>
            </w:r>
          </w:p>
        </w:tc>
        <w:tc>
          <w:tcPr>
            <w:tcW w:w="135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2联控制台</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1.2工位；</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2.材质：≥1.2mm优质冷轧钢板；表面处理：静电喷塑；颜色：灰色</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35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专业灯钩</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r>
              <w:rPr>
                <w:rFonts w:hint="eastAsia"/>
                <w:highlight w:val="none"/>
              </w:rPr>
              <w:t xml:space="preserve"> </w:t>
            </w:r>
            <w:r>
              <w:rPr>
                <w:rFonts w:hint="eastAsia" w:ascii="宋体" w:hAnsi="宋体" w:eastAsia="宋体" w:cs="宋体"/>
                <w:color w:val="000000"/>
                <w:kern w:val="0"/>
                <w:sz w:val="22"/>
                <w:highlight w:val="none"/>
              </w:rPr>
              <w:t>采用高轻度铝合金压铸，外表面静电喷涂</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98</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11</w:t>
            </w:r>
          </w:p>
        </w:tc>
        <w:tc>
          <w:tcPr>
            <w:tcW w:w="135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灯具保险绳</w:t>
            </w:r>
          </w:p>
        </w:tc>
        <w:tc>
          <w:tcPr>
            <w:tcW w:w="6391" w:type="dxa"/>
            <w:tcBorders>
              <w:top w:val="single" w:color="auto" w:sz="4" w:space="0"/>
              <w:left w:val="nil"/>
              <w:bottom w:val="single" w:color="auto" w:sz="4" w:space="0"/>
              <w:right w:val="single" w:color="auto" w:sz="4" w:space="0"/>
            </w:tcBorders>
            <w:shd w:val="clear" w:color="auto" w:fill="auto"/>
            <w:vAlign w:val="center"/>
          </w:tcPr>
          <w:p>
            <w:pPr>
              <w:ind w:left="0" w:leftChars="0" w:firstLine="0" w:firstLineChars="0"/>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r>
              <w:rPr>
                <w:rFonts w:hint="eastAsia"/>
                <w:highlight w:val="none"/>
              </w:rPr>
              <w:t xml:space="preserve"> </w:t>
            </w:r>
            <w:r>
              <w:rPr>
                <w:rFonts w:hint="eastAsia" w:ascii="宋体" w:hAnsi="宋体" w:eastAsia="宋体" w:cs="宋体"/>
                <w:color w:val="000000"/>
                <w:kern w:val="0"/>
                <w:sz w:val="22"/>
                <w:highlight w:val="none"/>
              </w:rPr>
              <w:t>优质钢丝+硅胶皮，不生锈、耐摩擦、承重大</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74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根</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12</w:t>
            </w:r>
          </w:p>
        </w:tc>
        <w:tc>
          <w:tcPr>
            <w:tcW w:w="135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信号线</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w:t>
            </w:r>
            <w:r>
              <w:rPr>
                <w:rFonts w:hint="eastAsia" w:ascii="宋体" w:hAnsi="宋体" w:eastAsia="宋体" w:cs="宋体"/>
                <w:color w:val="000000"/>
                <w:kern w:val="0"/>
                <w:sz w:val="22"/>
                <w:highlight w:val="none"/>
              </w:rPr>
              <w:t>.</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128网带屏蔽</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300</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13</w:t>
            </w:r>
          </w:p>
        </w:tc>
        <w:tc>
          <w:tcPr>
            <w:tcW w:w="135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电缆线1</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2*2.5阻燃舞台灯光专用线</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2000</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14</w:t>
            </w:r>
          </w:p>
        </w:tc>
        <w:tc>
          <w:tcPr>
            <w:tcW w:w="1351"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升降电源转接箱</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1.满足</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12组电源接口和2组信号接口使用需求</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9</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15</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舞台背景电源信息盒</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1.满足</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8组电源接口和2组信号接口使用需求</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16</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电缆线2</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3*4阻燃舞台灯光专用线</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200</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9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17</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桥架 200*100</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1.使用冷轧钢板，表面做镀锌处理</w:t>
            </w:r>
            <w:r>
              <w:rPr>
                <w:rFonts w:hint="eastAsia" w:ascii="宋体" w:hAnsi="宋体" w:eastAsia="宋体" w:cs="宋体"/>
                <w:color w:val="000000"/>
                <w:kern w:val="0"/>
                <w:sz w:val="22"/>
                <w:highlight w:val="none"/>
              </w:rPr>
              <w:t>，宽度200mm高度100mm，</w:t>
            </w:r>
            <w:r>
              <w:rPr>
                <w:rFonts w:hint="eastAsia" w:ascii="宋体" w:hAnsi="宋体" w:eastAsia="宋体" w:cs="宋体"/>
                <w:color w:val="000000"/>
                <w:kern w:val="0"/>
                <w:sz w:val="22"/>
              </w:rPr>
              <w:t>桥架支架、防火隔板、防火堵洞等满足设计、规范及招标技术要求</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18</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辅材</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1.插件.接线端子.金属套管</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批</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1199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小计：</w:t>
            </w: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14316"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二、舞台音响系统</w:t>
            </w:r>
          </w:p>
        </w:tc>
      </w:tr>
      <w:tr>
        <w:tblPrEx>
          <w:tblCellMar>
            <w:top w:w="0" w:type="dxa"/>
            <w:left w:w="108" w:type="dxa"/>
            <w:bottom w:w="0" w:type="dxa"/>
            <w:right w:w="108" w:type="dxa"/>
          </w:tblCellMar>
        </w:tblPrEx>
        <w:trPr>
          <w:trHeight w:val="63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线性阵列全频音箱(左右）</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▲1.频率响应:  ≥60-18kHz（±3dB）/50-20kHz（-10dB）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2.灵敏度: ≥104dB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3.标称阻抗： ≥8Ohm</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4.额定功率: ≥600W(AES)</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5.低音单元: ≥2×10〞</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▲6.高音单元:≥ 1×3〞采用植入相位塞式高音号角</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7.标称覆盖角: ≥90°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▲8.垂直耦合范围并采用对称相位板: ≥ 0°-10°</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9.最大声压级：≥132dB SPL，138dB SPL peak</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8</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线性阵列超次低频箱</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▲1.频率响应: ≥40-260Hz（±3dB）/35-300Hz（-10dB）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2.灵敏度: ≥102dB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3.标称阻抗: ≥8 Ohm</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▲4.额定功率: ≥600W(AES)</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5.低音单元: ≥1×18〞</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6.最大声压级：≥130dB SPL,136dB SPL peak</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3</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线性阵列次低音功率放大器</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1.输出功率: 8欧姆立体声≥1100W ；4欧姆立体声≥1700W</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▲2.频响: ≥20Hz～20KHz,-0.5dB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3.具有系统保护内置：短路、过热、电涌、低电压、高频、开关机静音、失真限制等保护设置</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4.总谐失真≤0.01%</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5.阻尼系数≥550</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6.标称灵敏度 0.775 V</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7.标称电压增益 ×89</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eastAsia="宋体" w:cs="Calibri"/>
                <w:color w:val="000000"/>
                <w:kern w:val="0"/>
                <w:sz w:val="22"/>
                <w:lang w:eastAsia="zh-CN"/>
              </w:rPr>
            </w:pPr>
            <w:r>
              <w:rPr>
                <w:rFonts w:hint="eastAsia" w:ascii="宋体" w:hAnsi="宋体" w:eastAsia="宋体" w:cs="宋体"/>
                <w:color w:val="000000"/>
                <w:kern w:val="0"/>
                <w:sz w:val="22"/>
              </w:rPr>
              <w:t>8.输入阻抗 20K</w:t>
            </w:r>
            <w:r>
              <w:rPr>
                <w:rFonts w:eastAsia="宋体" w:cs="Calibri"/>
                <w:color w:val="000000"/>
                <w:kern w:val="0"/>
                <w:sz w:val="22"/>
              </w:rPr>
              <w:t>Ω</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9.信噪比≥100 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10.具有温控制冷风扇</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5</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舞台返听音响</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▲1.频率响应：35 Hz～20 kHz (±3 dB)/27 Hz～22 kHz(-10 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2.灵敏度：100 dB SPL</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3.标称阻抗 8 Ohm</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4.额定功率：≥400 W ( AES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5.低音单元：1×15”（LF）</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6.高音单元：1×3”（HF）</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7.标称覆盖角：90°(H) ×60° (V)</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8.最大声压级：127 dB SPL；133 dB SPL peak</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5</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台唇音箱</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▲1.频率响应: 70-20kHz（±3dB）/60-22kHz(-10dB)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2.灵敏度: ≥96dB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3.标称阻抗: 8 Ohm</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4.额定功率:≥200W(AES)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5.低音单元:1×8〞（LF）</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6.高音单元: 1×1.4〞（HF）</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7.标称覆盖角:90°(H)×70°(V)  (可旋转）</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8.最大声压级: 119dB SPL,125dB SPL peak</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6</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台唇功放</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yellow"/>
                <w:lang w:eastAsia="zh-CN"/>
              </w:rPr>
            </w:pPr>
            <w:r>
              <w:rPr>
                <w:rFonts w:hint="eastAsia" w:ascii="宋体" w:hAnsi="宋体" w:eastAsia="宋体" w:cs="宋体"/>
                <w:color w:val="000000"/>
                <w:kern w:val="0"/>
                <w:sz w:val="22"/>
              </w:rPr>
              <w:t xml:space="preserve">1.输出功率: </w:t>
            </w:r>
            <w:r>
              <w:rPr>
                <w:rFonts w:hint="eastAsia" w:ascii="宋体" w:hAnsi="宋体" w:eastAsia="宋体" w:cs="宋体"/>
                <w:color w:val="000000"/>
                <w:kern w:val="0"/>
                <w:sz w:val="22"/>
                <w:highlight w:val="none"/>
              </w:rPr>
              <w:t>8欧姆立体声</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 xml:space="preserve"> 600W；4欧姆立体声</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900W</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▲2.频响:  20Hz～20KHz,-0.5dB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3.具有系统保护内置：短路、过热、电涌、低电压、高频、开关机静音、失真限制等保护设置</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4.总谐失真≤0.01%</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5.阻尼系数≥550</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6.标称灵敏度0.775 V</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7.标称电压增益×89</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eastAsia="宋体" w:cs="Calibri"/>
                <w:color w:val="000000"/>
                <w:kern w:val="0"/>
                <w:sz w:val="22"/>
                <w:lang w:eastAsia="zh-CN"/>
              </w:rPr>
            </w:pPr>
            <w:r>
              <w:rPr>
                <w:rFonts w:hint="eastAsia" w:ascii="宋体" w:hAnsi="宋体" w:eastAsia="宋体" w:cs="宋体"/>
                <w:color w:val="000000"/>
                <w:kern w:val="0"/>
                <w:sz w:val="22"/>
              </w:rPr>
              <w:t>8.输入阻抗20K</w:t>
            </w:r>
            <w:r>
              <w:rPr>
                <w:rFonts w:eastAsia="宋体" w:cs="Calibri"/>
                <w:color w:val="000000"/>
                <w:kern w:val="0"/>
                <w:sz w:val="22"/>
              </w:rPr>
              <w:t>Ω</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9.信噪比≥100 dB</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7</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数字调音台</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1.≥40通道数字调音台，配有可供完全编程的高端话放及16个混音母线，并可设置子编组</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2.≥16个模拟XLR输出及6个备用线路输入输出端，2个耳机接口及一个带有内置或外置话筒的对讲区</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3.≥32通道，全部带有插入点</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4.≥16混音总线，全部带有插入点</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8</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数字接口箱</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1.</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48双向音频通道通过CAT5电缆（ 48千赫）</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2.</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24个双向音频通道通过CAT5电缆（ 96千赫）</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3.单电缆双工互连音频和采样时钟</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4.以太网物理层的音频数据传输</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5.以太网的TCP / IP协议兼容的辅助数据信道</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9</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音频处理器</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1.模拟输入 ≥4x XLR 平衡式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2.模拟输出 ≥4x XLR 平衡式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3.THD+N 失真 ≥0.001% at 1kHz 0dBu</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4.S/N信噪比≥110dBA</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5.频响≥ 20Hz – 20kHz; -0.5dBu at 20Hz and 20kHz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6.AD &amp; DA 转换 ≥24bit，96kHz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7.输入≥30段均衡的滤波器和≥3个全通滤波器，输出上≥7段均衡滤波器</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监听耳机</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1.动态半封闭式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2.频率响应15~25,000Hz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3.音感度91dB/mW</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4.阻抗55 Ohm</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11</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有源监听音箱</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 ≥5"两分频全频有源监听音箱</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2.两路低音反射式双功放，≥5"锥形低音单元和≥ 1"半球形高音单元。</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3. ≥54Hz - 30kHz 频率响应。</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12</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无线手持式话筒</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1.自动频率选择</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2.自动发射机设置</w:t>
            </w:r>
          </w:p>
          <w:p>
            <w:pPr>
              <w:pStyle w:val="2"/>
              <w:keepNext w:val="0"/>
              <w:keepLines w:val="0"/>
              <w:pageBreakBefore w:val="0"/>
              <w:kinsoku/>
              <w:wordWrap/>
              <w:overflowPunct/>
              <w:topLinePunct w:val="0"/>
              <w:autoSpaceDE/>
              <w:autoSpaceDN/>
              <w:bidi w:val="0"/>
              <w:adjustRightInd w:val="0"/>
              <w:snapToGrid w:val="0"/>
              <w:spacing w:after="0"/>
              <w:ind w:left="0" w:leftChars="0" w:firstLine="0" w:firstLineChars="0"/>
              <w:textAlignment w:val="auto"/>
              <w:rPr>
                <w:rFonts w:hint="eastAsia"/>
                <w:highlight w:val="none"/>
                <w:lang w:eastAsia="zh-CN"/>
              </w:rPr>
            </w:pPr>
            <w:r>
              <w:rPr>
                <w:rFonts w:hint="eastAsia" w:ascii="宋体" w:hAnsi="宋体" w:eastAsia="宋体" w:cs="宋体"/>
                <w:sz w:val="24"/>
                <w:szCs w:val="24"/>
                <w:highlight w:val="none"/>
                <w:lang w:val="en-US" w:eastAsia="zh-CN"/>
              </w:rPr>
              <w:t>3.</w:t>
            </w:r>
            <w:r>
              <w:rPr>
                <w:rFonts w:ascii="宋体" w:hAnsi="宋体" w:eastAsia="宋体" w:cs="宋体"/>
                <w:sz w:val="24"/>
                <w:szCs w:val="24"/>
                <w:highlight w:val="none"/>
              </w:rPr>
              <w:t>每个频段≥12个兼容频率</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4.可拆卸式1/4波长天线</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5.发射机和接收机均配备多功能背光LCD显示屏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 xml:space="preserve">6.可选频率: 960个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7.可用频率：470-752MHz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8.频率响应：45Hz-15Khz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9.发射机射频输出功率：≤30mw</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13</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无线头戴式话筒</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1.自动频率选择</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2.自动发射机设置</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3.每个频段≥12个兼容频率</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4.可拆卸式1/4波长天线</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5.发射机和接收机均配备多功能背光LCD显示屏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6.可选频率: 960个</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7.可用频率：470-752MHz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8.频率响应：45Hz-15Khz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 xml:space="preserve">9.发射机射频输出功率：≤30mw </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14</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合唱话筒</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1.频率范围 20～20000Hz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2.灵敏度 -36dB(16mV/Pa)±2dB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3.输出阻抗 200</w:t>
            </w:r>
            <w:r>
              <w:rPr>
                <w:rFonts w:eastAsia="宋体" w:cs="Calibri"/>
                <w:color w:val="000000"/>
                <w:kern w:val="0"/>
                <w:sz w:val="22"/>
              </w:rPr>
              <w:t>Ω</w:t>
            </w:r>
            <w:r>
              <w:rPr>
                <w:rFonts w:hint="eastAsia" w:ascii="宋体" w:hAnsi="宋体" w:eastAsia="宋体" w:cs="宋体"/>
                <w:color w:val="000000"/>
                <w:kern w:val="0"/>
                <w:sz w:val="22"/>
              </w:rPr>
              <w:t>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4.最大声压级 124dB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5.等效噪声级 20dB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6.信噪比≥74dB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7.供电 N95电源盒供电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8.传声器尺寸 </w:t>
            </w:r>
            <w:r>
              <w:rPr>
                <w:rFonts w:eastAsia="宋体" w:cs="Calibri"/>
                <w:color w:val="000000"/>
                <w:kern w:val="0"/>
                <w:sz w:val="22"/>
              </w:rPr>
              <w:t>Φ</w:t>
            </w:r>
            <w:r>
              <w:rPr>
                <w:rFonts w:hint="eastAsia" w:ascii="宋体" w:hAnsi="宋体" w:eastAsia="宋体" w:cs="宋体"/>
                <w:color w:val="000000"/>
                <w:kern w:val="0"/>
                <w:sz w:val="22"/>
              </w:rPr>
              <w:t>53×230mm    </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15</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无线会议话筒</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1.鹅颈式会议话筒；</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2.指向性:心形≥120°单一指向；</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3.收音头:静电型电容式；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4.频率响应:≥70Hz～16KHz；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5.输出阻抗:≥100</w:t>
            </w:r>
            <w:r>
              <w:rPr>
                <w:rFonts w:eastAsia="宋体" w:cs="Calibri"/>
                <w:color w:val="000000"/>
                <w:kern w:val="0"/>
                <w:sz w:val="22"/>
              </w:rPr>
              <w:t>Ω</w:t>
            </w:r>
            <w:r>
              <w:rPr>
                <w:rFonts w:hint="eastAsia" w:ascii="宋体" w:hAnsi="宋体" w:eastAsia="宋体" w:cs="宋体"/>
                <w:color w:val="000000"/>
                <w:kern w:val="0"/>
                <w:sz w:val="22"/>
              </w:rPr>
              <w:t>平衡；</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6.开通灵敏度:≥-37dB；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7.最大声压级:≥134dB SPL,1 kHz at 1% T.H.D.；</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8.讯噪比:≥66dB；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9.动态范围:≥106dB；</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10.供电要求:9V～52Vdc幻象电源,耗电≤2mA；</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16</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电源时序器</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1.通道数量：</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8通道</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2.非时序输出辅助通道：万能插座</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3.输入最大电流容量：</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63A(AC220V)</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4.每通道最大输出电流容量：</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30A/60s或10Arms</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5.时序控制每步时间间隔：</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1sec</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17</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话筒支架</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1.三角型落地式话筒支架，压铸底座，使其稳重而坚固耐用</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18</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线阵音箱吊架</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1.音箱吊挂使用，安全系数≥3倍承重。</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19</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手动葫芦</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r>
              <w:rPr>
                <w:rFonts w:hint="eastAsia" w:cs="宋体"/>
                <w:color w:val="000000"/>
                <w:kern w:val="0"/>
                <w:sz w:val="22"/>
                <w:highlight w:val="none"/>
                <w:lang w:val="en-US" w:eastAsia="zh-CN"/>
              </w:rPr>
              <w:t>≥</w:t>
            </w:r>
            <w:r>
              <w:rPr>
                <w:rFonts w:hint="eastAsia" w:ascii="宋体" w:hAnsi="宋体" w:eastAsia="宋体" w:cs="宋体"/>
                <w:color w:val="000000"/>
                <w:kern w:val="0"/>
                <w:sz w:val="22"/>
                <w:highlight w:val="none"/>
              </w:rPr>
              <w:t>1.5吨，</w:t>
            </w:r>
            <w:r>
              <w:rPr>
                <w:rFonts w:hint="eastAsia" w:cs="宋体"/>
                <w:color w:val="000000"/>
                <w:kern w:val="0"/>
                <w:sz w:val="22"/>
                <w:highlight w:val="none"/>
                <w:lang w:val="en-US" w:eastAsia="zh-CN"/>
              </w:rPr>
              <w:t>行程≥</w:t>
            </w:r>
            <w:r>
              <w:rPr>
                <w:rFonts w:hint="eastAsia" w:ascii="宋体" w:hAnsi="宋体" w:eastAsia="宋体" w:cs="宋体"/>
                <w:color w:val="000000"/>
                <w:kern w:val="0"/>
                <w:sz w:val="22"/>
                <w:highlight w:val="none"/>
              </w:rPr>
              <w:t>9米</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20</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音响线</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1.专业音箱线，≥2*2.0mm²</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1000</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21</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话筒线</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highlight w:val="none"/>
              </w:rPr>
              <w:t>1.专业带屏敝层话筒、信号线</w:t>
            </w:r>
            <w:r>
              <w:rPr>
                <w:rFonts w:hint="eastAsia" w:cs="宋体"/>
                <w:color w:val="000000"/>
                <w:kern w:val="0"/>
                <w:sz w:val="22"/>
                <w:highlight w:val="none"/>
                <w:lang w:eastAsia="zh-CN"/>
              </w:rPr>
              <w:t>，</w:t>
            </w:r>
            <w:r>
              <w:rPr>
                <w:rFonts w:hint="eastAsia" w:ascii="宋体" w:hAnsi="宋体" w:eastAsia="宋体" w:cs="宋体"/>
                <w:color w:val="000000"/>
                <w:kern w:val="0"/>
                <w:sz w:val="22"/>
                <w:highlight w:val="none"/>
              </w:rPr>
              <w:t>≥3*0.5mm²</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800</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22</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多媒体信息</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地面插盒</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1.所有地面信息插座</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8</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23</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卡侬头</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1.公母一套</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50</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24</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大二芯</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1.黄铜、镀镍</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30</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25</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PVC线管</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1.直径≥25mm</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500</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1199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小计：</w:t>
            </w: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90" w:hRule="atLeast"/>
        </w:trPr>
        <w:tc>
          <w:tcPr>
            <w:tcW w:w="14316"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三、舞台舞美系统</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电动面光吊杆</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1.吊点数：≥6吊点</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2.杆体长度：≥18.0m</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3.标定行程：据现场情况而定</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 xml:space="preserve">4.额定载荷：≥6.0kN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 xml:space="preserve">5.额定速度：≥0.25m/s                                                                                                                                                                                                                                           6.电机功率：≥4kw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 xml:space="preserve">7.安全措施：相序保护、上下限位保护、防冲顶保护                                                                                                                                                              </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固定顶光吊杆</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1.吊点数：≥6吊点</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 xml:space="preserve">2.H型杆体长度：≥18.0m                                                                                                                                                                                                                                </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3</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固定灯光侧杆</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highlight w:val="none"/>
                <w:lang w:eastAsia="zh-CN"/>
              </w:rPr>
            </w:pPr>
            <w:r>
              <w:rPr>
                <w:rFonts w:hint="eastAsia" w:ascii="宋体" w:hAnsi="宋体" w:eastAsia="宋体" w:cs="宋体"/>
                <w:color w:val="000000"/>
                <w:kern w:val="0"/>
                <w:sz w:val="22"/>
                <w:highlight w:val="none"/>
              </w:rPr>
              <w:t>1.吊点数：≥5吊点</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 xml:space="preserve">2.杆体长度：≥12.0m                                                                                                                                                       </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4</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舞台机械控制和电气系统</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1、吊杆控制方式：采用按钮式模拟控制。垂直方向点动控制，即松开按钮时在当前位置停止，可实现单控、集控等功能。</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2、控制路数:≥</w:t>
            </w:r>
            <w:r>
              <w:rPr>
                <w:rFonts w:hint="eastAsia" w:ascii="宋体" w:hAnsi="宋体" w:eastAsia="宋体" w:cs="宋体"/>
                <w:color w:val="000000"/>
                <w:kern w:val="0"/>
                <w:sz w:val="22"/>
                <w:highlight w:val="none"/>
              </w:rPr>
              <w:t>8路,</w:t>
            </w:r>
            <w:r>
              <w:rPr>
                <w:rFonts w:hint="eastAsia" w:ascii="宋体" w:hAnsi="宋体" w:eastAsia="宋体" w:cs="宋体"/>
                <w:color w:val="000000"/>
                <w:kern w:val="0"/>
                <w:sz w:val="22"/>
              </w:rPr>
              <w:t>操作台除了具有对舞台所有机械设备进行控制与操作的功能，每路独立三极保护；舞台机械设备供电电源为50HZ，三相380V AC，单相220V AC，电压波动范围为-10%+10%，断路器具有短路、过载、热保护功能。</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3、吊杆在其有效行程范围内实现上升、下降、停止功能。</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4、吊杆在上升或下降过程中触碰到行程开关时吊杆立即自动停止</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5</w:t>
            </w:r>
          </w:p>
        </w:tc>
        <w:tc>
          <w:tcPr>
            <w:tcW w:w="13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栅顶钢架、吊杆机基础结构</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1.国标钢材舞台上空加固结构，马道，结构基础，电机安装点                                         </w:t>
            </w:r>
            <w:r>
              <w:rPr>
                <w:rFonts w:hint="eastAsia" w:ascii="宋体" w:hAnsi="宋体" w:eastAsia="宋体" w:cs="宋体"/>
                <w:color w:val="000000"/>
                <w:kern w:val="0"/>
                <w:sz w:val="22"/>
                <w:highlight w:val="none"/>
              </w:rPr>
              <w:t xml:space="preserve">2.采用≥M14高强度螺栓与屋面网架下炫紧固连接，   </w:t>
            </w:r>
            <w:r>
              <w:rPr>
                <w:rFonts w:hint="eastAsia" w:ascii="宋体" w:hAnsi="宋体" w:eastAsia="宋体" w:cs="宋体"/>
                <w:color w:val="000000"/>
                <w:kern w:val="0"/>
                <w:sz w:val="22"/>
              </w:rPr>
              <w:t xml:space="preserve">                                   3.定制加工连接件与高强度螺栓连接，                                        4.根据舞台系统设备需求现场制</w:t>
            </w:r>
            <w:r>
              <w:rPr>
                <w:rFonts w:hint="eastAsia" w:ascii="宋体" w:hAnsi="宋体" w:eastAsia="宋体" w:cs="宋体"/>
                <w:color w:val="000000"/>
                <w:kern w:val="0"/>
                <w:sz w:val="22"/>
                <w:highlight w:val="none"/>
              </w:rPr>
              <w:t>作，采用≥8号槽钢与</w:t>
            </w:r>
            <w:r>
              <w:rPr>
                <w:rFonts w:hint="eastAsia" w:ascii="宋体" w:hAnsi="宋体" w:eastAsia="宋体" w:cs="宋体"/>
                <w:color w:val="000000"/>
                <w:kern w:val="0"/>
                <w:sz w:val="22"/>
              </w:rPr>
              <w:t>加工好的连接件焊接完成栅顶结构层</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5.实施前需根据现场情况，制定单独的施工方案、签订安全承诺书并提供专业人员的相关从业资格、从业证书</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项</w:t>
            </w:r>
          </w:p>
        </w:tc>
        <w:tc>
          <w:tcPr>
            <w:tcW w:w="12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6</w:t>
            </w:r>
          </w:p>
        </w:tc>
        <w:tc>
          <w:tcPr>
            <w:tcW w:w="1355"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大幕含衬里</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1.幕布色彩无色差，打折比例均匀，垂感好；</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2.舞台幕布满足吸声要求，满足透光要求；                                                                                                                                                                             3.250-350g/㎡</w:t>
            </w:r>
          </w:p>
        </w:tc>
        <w:tc>
          <w:tcPr>
            <w:tcW w:w="9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120</w:t>
            </w:r>
          </w:p>
        </w:tc>
        <w:tc>
          <w:tcPr>
            <w:tcW w:w="9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7</w:t>
            </w:r>
          </w:p>
        </w:tc>
        <w:tc>
          <w:tcPr>
            <w:tcW w:w="1355"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检修架</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highlight w:val="none"/>
              </w:rPr>
            </w:pPr>
            <w:r>
              <w:rPr>
                <w:rFonts w:hint="eastAsia" w:ascii="宋体" w:hAnsi="宋体" w:eastAsia="宋体" w:cs="宋体"/>
                <w:color w:val="000000"/>
                <w:kern w:val="0"/>
                <w:sz w:val="22"/>
                <w:highlight w:val="none"/>
              </w:rPr>
              <w:t>1、主体：铁质、移动脚手架、承重2</w:t>
            </w:r>
            <w:r>
              <w:rPr>
                <w:rFonts w:ascii="宋体" w:hAnsi="宋体" w:eastAsia="宋体" w:cs="宋体"/>
                <w:color w:val="000000"/>
                <w:kern w:val="0"/>
                <w:sz w:val="22"/>
                <w:highlight w:val="none"/>
              </w:rPr>
              <w:t>00KG</w:t>
            </w:r>
            <w:r>
              <w:rPr>
                <w:rFonts w:hint="eastAsia" w:ascii="宋体" w:hAnsi="宋体" w:eastAsia="宋体" w:cs="宋体"/>
                <w:color w:val="000000"/>
                <w:kern w:val="0"/>
                <w:sz w:val="22"/>
                <w:highlight w:val="none"/>
              </w:rPr>
              <w:t>以上</w:t>
            </w:r>
          </w:p>
        </w:tc>
        <w:tc>
          <w:tcPr>
            <w:tcW w:w="9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8</w:t>
            </w:r>
          </w:p>
        </w:tc>
        <w:tc>
          <w:tcPr>
            <w:tcW w:w="1355"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礼堂椅</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1.材料采用高密度冷发泡PU定型海绵。座框架采用传统木框钉架采用新型工艺：热轧钢板（厚度≥ 1.5mm），经模具冲压焊接组合成型、内置多层实木垫板 ，具有久坐不变形的优点。</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2.背内板采用优质夹板经模具压注成型。外型成弧型。扶手面采用橡木,厚度为18-22mm。</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rPr>
            </w:pPr>
            <w:r>
              <w:rPr>
                <w:rFonts w:hint="eastAsia" w:ascii="宋体" w:hAnsi="宋体" w:eastAsia="宋体" w:cs="宋体"/>
                <w:color w:val="000000"/>
                <w:kern w:val="0"/>
                <w:sz w:val="22"/>
              </w:rPr>
              <w:t>3.面料：座背面料采用专用布料</w:t>
            </w:r>
            <w:r>
              <w:rPr>
                <w:rFonts w:hint="eastAsia" w:ascii="宋体" w:hAnsi="宋体" w:eastAsia="宋体" w:cs="宋体"/>
                <w:color w:val="000000"/>
                <w:kern w:val="0"/>
                <w:sz w:val="22"/>
                <w:lang w:eastAsia="zh-CN"/>
              </w:rPr>
              <w:t>，</w:t>
            </w:r>
            <w:r>
              <w:rPr>
                <w:rFonts w:hint="eastAsia" w:ascii="宋体" w:hAnsi="宋体" w:eastAsia="宋体" w:cs="宋体"/>
                <w:color w:val="000000"/>
                <w:kern w:val="0"/>
                <w:sz w:val="22"/>
              </w:rPr>
              <w:t>抗污，防褪色。</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4.</w:t>
            </w:r>
            <w:r>
              <w:rPr>
                <w:rFonts w:hint="eastAsia" w:ascii="宋体" w:hAnsi="宋体" w:eastAsia="宋体" w:cs="宋体"/>
                <w:color w:val="000000"/>
                <w:kern w:val="0"/>
                <w:sz w:val="22"/>
              </w:rPr>
              <w:t>脚架采用铝合金经模具一体压铸成型，无毛剌，无焊接，经表面防静电喷漆、抛光处理，脚架外观尺寸：≥510×332×50mm，脚架高度≥510mm、扶手长度≥305mm；非传统单腿落地固定方式，启用实用稳固、牢靠双腿站脚落地脚架</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rPr>
            </w:pPr>
            <w:r>
              <w:rPr>
                <w:rFonts w:hint="eastAsia" w:cs="宋体"/>
                <w:color w:val="000000"/>
                <w:kern w:val="0"/>
                <w:sz w:val="22"/>
                <w:lang w:val="en-US" w:eastAsia="zh-CN"/>
              </w:rPr>
              <w:t>5.</w:t>
            </w:r>
            <w:r>
              <w:rPr>
                <w:rFonts w:hint="eastAsia" w:ascii="宋体" w:hAnsi="宋体" w:eastAsia="宋体" w:cs="宋体"/>
                <w:color w:val="000000"/>
                <w:kern w:val="0"/>
                <w:sz w:val="22"/>
              </w:rPr>
              <w:t>侧板：采用优质中纤板经模具冲压成型：外观尺寸宽≥405mm长度≥348mm贴海绵+面料</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6.</w:t>
            </w:r>
            <w:r>
              <w:rPr>
                <w:rFonts w:hint="eastAsia" w:ascii="宋体" w:hAnsi="宋体" w:eastAsia="宋体" w:cs="宋体"/>
                <w:color w:val="000000"/>
                <w:kern w:val="0"/>
                <w:sz w:val="22"/>
              </w:rPr>
              <w:t>座椅外形：设计符合人体工程学原理，舒适度好</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cs="宋体"/>
                <w:color w:val="000000"/>
                <w:kern w:val="0"/>
                <w:sz w:val="22"/>
                <w:lang w:val="en-US" w:eastAsia="zh-CN"/>
              </w:rPr>
              <w:t>7</w:t>
            </w:r>
            <w:r>
              <w:rPr>
                <w:rFonts w:hint="eastAsia" w:ascii="宋体" w:hAnsi="宋体" w:eastAsia="宋体" w:cs="宋体"/>
                <w:color w:val="000000"/>
                <w:kern w:val="0"/>
                <w:sz w:val="22"/>
              </w:rPr>
              <w:t>.写字板后置</w:t>
            </w:r>
          </w:p>
        </w:tc>
        <w:tc>
          <w:tcPr>
            <w:tcW w:w="9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378</w:t>
            </w:r>
          </w:p>
        </w:tc>
        <w:tc>
          <w:tcPr>
            <w:tcW w:w="9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位</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9</w:t>
            </w:r>
          </w:p>
        </w:tc>
        <w:tc>
          <w:tcPr>
            <w:tcW w:w="1355"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钢材运输及安装调试</w:t>
            </w:r>
          </w:p>
        </w:tc>
        <w:tc>
          <w:tcPr>
            <w:tcW w:w="63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1.钢材运费、脚手架等费用</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2.含施工辅材，接插件选用国产优质产品；</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3.设备的固定安装符合施工要求，安装美观，整体走线符合施工工艺要求</w:t>
            </w:r>
          </w:p>
        </w:tc>
        <w:tc>
          <w:tcPr>
            <w:tcW w:w="9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项</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1199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小计：</w:t>
            </w: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CellMar>
            <w:top w:w="0" w:type="dxa"/>
            <w:left w:w="108" w:type="dxa"/>
            <w:bottom w:w="0" w:type="dxa"/>
            <w:right w:w="108" w:type="dxa"/>
          </w:tblCellMar>
        </w:tblPrEx>
        <w:trPr>
          <w:trHeight w:val="510" w:hRule="atLeast"/>
        </w:trPr>
        <w:tc>
          <w:tcPr>
            <w:tcW w:w="14316" w:type="dxa"/>
            <w:gridSpan w:val="10"/>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四、室内LED显示系统</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1355" w:type="dxa"/>
            <w:gridSpan w:val="3"/>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ascii="宋体" w:hAnsi="宋体" w:eastAsia="宋体" w:cs="宋体"/>
                <w:color w:val="000000"/>
                <w:kern w:val="0"/>
                <w:sz w:val="22"/>
                <w:highlight w:val="none"/>
              </w:rPr>
              <w:t>LED显示单元</w:t>
            </w:r>
          </w:p>
        </w:tc>
        <w:tc>
          <w:tcPr>
            <w:tcW w:w="6391"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▲1.像素点间距：≤2.5mm</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2.像素密度：≥160000点/㎡</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rPr>
            </w:pPr>
            <w:r>
              <w:rPr>
                <w:rFonts w:hint="eastAsia" w:ascii="宋体" w:hAnsi="宋体" w:eastAsia="宋体" w:cs="宋体"/>
                <w:color w:val="000000"/>
                <w:kern w:val="0"/>
                <w:sz w:val="22"/>
              </w:rPr>
              <w:t>3.显示屏面积：9.92m*4m=39.68m²</w:t>
            </w:r>
          </w:p>
          <w:p>
            <w:pPr>
              <w:keepNext w:val="0"/>
              <w:keepLines w:val="0"/>
              <w:pageBreakBefore w:val="0"/>
              <w:widowControl/>
              <w:kinsoku/>
              <w:wordWrap/>
              <w:overflowPunct/>
              <w:topLinePunct w:val="0"/>
              <w:autoSpaceDE/>
              <w:autoSpaceDN/>
              <w:bidi w:val="0"/>
              <w:adjustRightInd w:val="0"/>
              <w:snapToGrid w:val="0"/>
              <w:ind w:firstLine="1540" w:firstLineChars="70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1.92m*3.04m=5.83m²</w:t>
            </w:r>
            <w:r>
              <w:rPr>
                <w:rFonts w:hint="eastAsia" w:ascii="宋体" w:hAnsi="宋体" w:eastAsia="宋体" w:cs="宋体"/>
                <w:color w:val="000000"/>
                <w:kern w:val="0"/>
                <w:sz w:val="22"/>
                <w:lang w:eastAsia="zh-CN"/>
              </w:rPr>
              <w:t>（</w:t>
            </w:r>
            <w:r>
              <w:rPr>
                <w:rFonts w:hint="eastAsia" w:ascii="宋体" w:hAnsi="宋体" w:eastAsia="宋体" w:cs="宋体"/>
                <w:color w:val="000000"/>
                <w:kern w:val="0"/>
                <w:sz w:val="22"/>
                <w:lang w:val="en-US" w:eastAsia="zh-CN"/>
              </w:rPr>
              <w:t>左副屏</w:t>
            </w:r>
            <w:r>
              <w:rPr>
                <w:rFonts w:hint="eastAsia" w:ascii="宋体" w:hAnsi="宋体" w:eastAsia="宋体" w:cs="宋体"/>
                <w:color w:val="000000"/>
                <w:kern w:val="0"/>
                <w:sz w:val="22"/>
                <w:lang w:eastAsia="zh-CN"/>
              </w:rPr>
              <w:t>）；</w:t>
            </w:r>
          </w:p>
          <w:p>
            <w:pPr>
              <w:pStyle w:val="2"/>
              <w:rPr>
                <w:rFonts w:hint="eastAsia"/>
                <w:lang w:eastAsia="zh-CN"/>
              </w:rPr>
            </w:pP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1.92m*3.04m=5.83m²</w:t>
            </w:r>
            <w:r>
              <w:rPr>
                <w:rFonts w:hint="eastAsia" w:ascii="宋体" w:hAnsi="宋体" w:eastAsia="宋体" w:cs="宋体"/>
                <w:color w:val="000000"/>
                <w:kern w:val="0"/>
                <w:sz w:val="22"/>
                <w:lang w:eastAsia="zh-CN"/>
              </w:rPr>
              <w:t>（</w:t>
            </w:r>
            <w:r>
              <w:rPr>
                <w:rFonts w:hint="eastAsia" w:ascii="宋体" w:hAnsi="宋体" w:eastAsia="宋体" w:cs="宋体"/>
                <w:color w:val="000000"/>
                <w:kern w:val="0"/>
                <w:sz w:val="22"/>
                <w:lang w:val="en-US" w:eastAsia="zh-CN"/>
              </w:rPr>
              <w:t>右副屏</w:t>
            </w:r>
            <w:r>
              <w:rPr>
                <w:rFonts w:hint="eastAsia" w:ascii="宋体" w:hAnsi="宋体" w:eastAsia="宋体" w:cs="宋体"/>
                <w:color w:val="000000"/>
                <w:kern w:val="0"/>
                <w:sz w:val="22"/>
                <w:lang w:eastAsia="zh-CN"/>
              </w:rPr>
              <w:t>）</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ascii="宋体" w:hAnsi="宋体" w:eastAsia="宋体" w:cs="宋体"/>
                <w:color w:val="000000"/>
                <w:kern w:val="0"/>
                <w:sz w:val="22"/>
              </w:rPr>
              <w:t>4</w:t>
            </w:r>
            <w:r>
              <w:rPr>
                <w:rFonts w:hint="eastAsia" w:ascii="宋体" w:hAnsi="宋体" w:eastAsia="宋体" w:cs="宋体"/>
                <w:color w:val="000000"/>
                <w:kern w:val="0"/>
                <w:sz w:val="22"/>
              </w:rPr>
              <w:t>.单元板分辨率：≥宽128点×高64点</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ascii="宋体" w:hAnsi="宋体" w:eastAsia="宋体" w:cs="宋体"/>
                <w:color w:val="000000"/>
                <w:kern w:val="0"/>
                <w:sz w:val="22"/>
              </w:rPr>
              <w:t>5</w:t>
            </w:r>
            <w:r>
              <w:rPr>
                <w:rFonts w:hint="eastAsia" w:ascii="宋体" w:hAnsi="宋体" w:eastAsia="宋体" w:cs="宋体"/>
                <w:color w:val="000000"/>
                <w:kern w:val="0"/>
                <w:sz w:val="22"/>
              </w:rPr>
              <w:t>.单元板尺寸：320mm×160mm</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ascii="宋体" w:hAnsi="宋体" w:eastAsia="宋体" w:cs="宋体"/>
                <w:color w:val="000000"/>
                <w:kern w:val="0"/>
                <w:sz w:val="22"/>
              </w:rPr>
              <w:t>6</w:t>
            </w:r>
            <w:r>
              <w:rPr>
                <w:rFonts w:hint="eastAsia" w:ascii="宋体" w:hAnsi="宋体" w:eastAsia="宋体" w:cs="宋体"/>
                <w:color w:val="000000"/>
                <w:kern w:val="0"/>
                <w:sz w:val="22"/>
              </w:rPr>
              <w:t>.换帧频率：≥60 帧/秒</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w:t>
            </w:r>
            <w:r>
              <w:rPr>
                <w:rFonts w:ascii="宋体" w:hAnsi="宋体" w:eastAsia="宋体" w:cs="宋体"/>
                <w:color w:val="000000"/>
                <w:kern w:val="0"/>
                <w:sz w:val="22"/>
              </w:rPr>
              <w:t>7</w:t>
            </w:r>
            <w:r>
              <w:rPr>
                <w:rFonts w:hint="eastAsia" w:ascii="宋体" w:hAnsi="宋体" w:eastAsia="宋体" w:cs="宋体"/>
                <w:color w:val="000000"/>
                <w:kern w:val="0"/>
                <w:sz w:val="22"/>
              </w:rPr>
              <w:t>.刷新频率：≥3840Hz</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w:t>
            </w:r>
            <w:r>
              <w:rPr>
                <w:rFonts w:ascii="宋体" w:hAnsi="宋体" w:eastAsia="宋体" w:cs="宋体"/>
                <w:color w:val="000000"/>
                <w:kern w:val="0"/>
                <w:sz w:val="22"/>
              </w:rPr>
              <w:t>8</w:t>
            </w:r>
            <w:r>
              <w:rPr>
                <w:rFonts w:hint="eastAsia" w:ascii="宋体" w:hAnsi="宋体" w:eastAsia="宋体" w:cs="宋体"/>
                <w:color w:val="000000"/>
                <w:kern w:val="0"/>
                <w:sz w:val="22"/>
              </w:rPr>
              <w:t xml:space="preserve">.亮度：≥600cd/㎡                                                                                                                                                                                                                                                                                                                 </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kern w:val="0"/>
                <w:sz w:val="22"/>
                <w:lang w:val="en-US" w:eastAsia="zh-CN"/>
              </w:rPr>
            </w:pPr>
            <w:r>
              <w:rPr>
                <w:rFonts w:hint="eastAsia" w:cs="宋体"/>
                <w:color w:val="000000"/>
                <w:kern w:val="0"/>
                <w:sz w:val="22"/>
                <w:highlight w:val="none"/>
                <w:lang w:val="en-US" w:eastAsia="zh-CN"/>
              </w:rPr>
              <w:t>51.34</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2</w:t>
            </w:r>
          </w:p>
        </w:tc>
        <w:tc>
          <w:tcPr>
            <w:tcW w:w="1355" w:type="dxa"/>
            <w:gridSpan w:val="3"/>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开关电源</w:t>
            </w:r>
          </w:p>
        </w:tc>
        <w:tc>
          <w:tcPr>
            <w:tcW w:w="6391"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1.额定输出电压：5V 40A</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2.输入电压：200-240V</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3.电源功率：≥100W</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255</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3</w:t>
            </w:r>
          </w:p>
        </w:tc>
        <w:tc>
          <w:tcPr>
            <w:tcW w:w="1355" w:type="dxa"/>
            <w:gridSpan w:val="3"/>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highlight w:val="none"/>
              </w:rPr>
              <w:t>视频处理器</w:t>
            </w:r>
          </w:p>
        </w:tc>
        <w:tc>
          <w:tcPr>
            <w:tcW w:w="6391"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▲1.像素≥4096*2160；支持HDMI、DVI、SDI等数字接口，多路信号间无缝切换；支持拼接、广播级缩放，画面显示≥7</w:t>
            </w:r>
            <w:r>
              <w:rPr>
                <w:rFonts w:hint="eastAsia" w:ascii="宋体" w:hAnsi="宋体" w:eastAsia="宋体" w:cs="宋体"/>
                <w:color w:val="000000"/>
                <w:kern w:val="0"/>
                <w:sz w:val="22"/>
                <w:lang w:val="en-US" w:eastAsia="zh-CN"/>
              </w:rPr>
              <w:t>个</w:t>
            </w:r>
            <w:r>
              <w:rPr>
                <w:rFonts w:hint="eastAsia" w:ascii="宋体" w:hAnsi="宋体" w:eastAsia="宋体" w:cs="宋体"/>
                <w:color w:val="000000"/>
                <w:kern w:val="0"/>
                <w:sz w:val="22"/>
              </w:rPr>
              <w:t>。</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2.包括1路HDMI 2.0、4路DVI、2路SDI等数字信号接口，</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3.分辨率≥4096*2160@60Hz，支持分辨率任意设置；</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4.带载</w:t>
            </w:r>
            <w:r>
              <w:rPr>
                <w:rFonts w:hint="eastAsia" w:ascii="宋体" w:hAnsi="宋体" w:eastAsia="宋体" w:cs="宋体"/>
                <w:color w:val="000000"/>
                <w:kern w:val="0"/>
                <w:sz w:val="22"/>
                <w:lang w:val="en-US" w:eastAsia="zh-CN"/>
              </w:rPr>
              <w:t>不大于</w:t>
            </w:r>
            <w:r>
              <w:rPr>
                <w:rFonts w:hint="eastAsia" w:ascii="宋体" w:hAnsi="宋体" w:eastAsia="宋体" w:cs="宋体"/>
                <w:color w:val="000000"/>
                <w:kern w:val="0"/>
                <w:sz w:val="22"/>
              </w:rPr>
              <w:t>1040万像素；</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w:t>
            </w:r>
            <w:r>
              <w:rPr>
                <w:rFonts w:ascii="宋体" w:hAnsi="宋体" w:eastAsia="宋体" w:cs="宋体"/>
                <w:color w:val="000000"/>
                <w:kern w:val="0"/>
                <w:sz w:val="22"/>
              </w:rPr>
              <w:t>5</w:t>
            </w:r>
            <w:r>
              <w:rPr>
                <w:rFonts w:hint="eastAsia" w:ascii="宋体" w:hAnsi="宋体" w:eastAsia="宋体" w:cs="宋体"/>
                <w:color w:val="000000"/>
                <w:kern w:val="0"/>
                <w:sz w:val="22"/>
              </w:rPr>
              <w:t>.控制软件：</w:t>
            </w:r>
            <w:r>
              <w:rPr>
                <w:rFonts w:hint="eastAsia" w:ascii="宋体" w:hAnsi="宋体" w:eastAsia="宋体" w:cs="宋体"/>
                <w:color w:val="000000"/>
                <w:kern w:val="0"/>
                <w:sz w:val="22"/>
                <w:lang w:val="en-US" w:eastAsia="zh-CN"/>
              </w:rPr>
              <w:t>支持</w:t>
            </w:r>
            <w:r>
              <w:rPr>
                <w:rFonts w:hint="eastAsia" w:ascii="宋体" w:hAnsi="宋体" w:eastAsia="宋体" w:cs="宋体"/>
                <w:color w:val="000000"/>
                <w:kern w:val="0"/>
                <w:sz w:val="22"/>
              </w:rPr>
              <w:t>多显示屏，多屏独立编辑，数据库显示，表格输入，网络功能，后台播放，定时播放、多窗口多任务同时播放</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4</w:t>
            </w:r>
          </w:p>
        </w:tc>
        <w:tc>
          <w:tcPr>
            <w:tcW w:w="1355" w:type="dxa"/>
            <w:gridSpan w:val="3"/>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接收系统</w:t>
            </w:r>
          </w:p>
        </w:tc>
        <w:tc>
          <w:tcPr>
            <w:tcW w:w="6391"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1.支持高精度色度、亮度一体化逐点校正，支持所有常规芯片、PWM芯片，自带不低于16个HUB75接口，支持所有1~64扫任意模组，支持任意抽点，支持数据偏移</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86</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张</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5</w:t>
            </w:r>
          </w:p>
        </w:tc>
        <w:tc>
          <w:tcPr>
            <w:tcW w:w="1355" w:type="dxa"/>
            <w:gridSpan w:val="3"/>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钢架结构及屏体外装饰</w:t>
            </w:r>
          </w:p>
        </w:tc>
        <w:tc>
          <w:tcPr>
            <w:tcW w:w="6391" w:type="dxa"/>
            <w:tcBorders>
              <w:top w:val="single" w:color="auto" w:sz="4" w:space="0"/>
              <w:left w:val="nil"/>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1.显示屏支撑钢架结构，现场进行定制；结构焊接喷漆；</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2.保持支架、屏体整体颜色相匹配，并预留有散热及检修孔；</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3.包边选用铝塑板包边。</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4.安装完成后提供第三方检测机构安全检测证明；</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51.34</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6</w:t>
            </w:r>
          </w:p>
        </w:tc>
        <w:tc>
          <w:tcPr>
            <w:tcW w:w="1355" w:type="dxa"/>
            <w:gridSpan w:val="3"/>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highlight w:val="none"/>
              </w:rPr>
              <w:t>移动操作终端</w:t>
            </w:r>
          </w:p>
        </w:tc>
        <w:tc>
          <w:tcPr>
            <w:tcW w:w="6391" w:type="dxa"/>
            <w:tcBorders>
              <w:top w:val="single" w:color="auto" w:sz="4" w:space="0"/>
              <w:left w:val="nil"/>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sz w:val="20"/>
                <w:szCs w:val="20"/>
                <w:lang w:eastAsia="zh-CN"/>
              </w:rPr>
            </w:pPr>
            <w:r>
              <w:rPr>
                <w:rFonts w:hint="eastAsia"/>
                <w:sz w:val="20"/>
                <w:szCs w:val="20"/>
              </w:rPr>
              <w:t>1.处理器：≥I5-1135G7</w:t>
            </w:r>
            <w:r>
              <w:rPr>
                <w:rFonts w:hint="eastAsia"/>
                <w:sz w:val="20"/>
                <w:szCs w:val="20"/>
                <w:lang w:val="en-US" w:eastAsia="zh-CN"/>
              </w:rPr>
              <w:t>等主流芯片；</w:t>
            </w:r>
            <w:r>
              <w:rPr>
                <w:rFonts w:hint="eastAsia"/>
                <w:sz w:val="20"/>
                <w:szCs w:val="20"/>
              </w:rPr>
              <w:t xml:space="preserve"> 内存：≥8GB DDR4 非-ECC；硬盘：≥M.2 256GB 固态硬盘；显卡：≥2G；</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sz w:val="20"/>
                <w:szCs w:val="20"/>
                <w:lang w:eastAsia="zh-CN"/>
              </w:rPr>
            </w:pPr>
            <w:r>
              <w:rPr>
                <w:rFonts w:hint="eastAsia" w:ascii="宋体" w:hAnsi="宋体" w:eastAsia="宋体" w:cs="宋体"/>
                <w:color w:val="000000"/>
                <w:kern w:val="0"/>
                <w:sz w:val="22"/>
              </w:rPr>
              <w:t>▲</w:t>
            </w:r>
            <w:r>
              <w:rPr>
                <w:rFonts w:hint="eastAsia"/>
                <w:sz w:val="20"/>
                <w:szCs w:val="20"/>
              </w:rPr>
              <w:t>2.接口：≥2个USB Type C ；</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sz w:val="20"/>
                <w:szCs w:val="20"/>
                <w:lang w:eastAsia="zh-CN"/>
              </w:rPr>
            </w:pPr>
            <w:r>
              <w:rPr>
                <w:rFonts w:hint="eastAsia"/>
                <w:sz w:val="20"/>
                <w:szCs w:val="20"/>
              </w:rPr>
              <w:t>3.集成千兆以太网卡、802.11ac双频双天线WiFi+ 蓝牙组合无线网卡；集成全尺寸HDMI、RJ45接口；</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sz w:val="20"/>
                <w:szCs w:val="20"/>
                <w:lang w:eastAsia="zh-CN"/>
              </w:rPr>
            </w:pPr>
            <w:r>
              <w:rPr>
                <w:rFonts w:hint="eastAsia"/>
                <w:sz w:val="20"/>
                <w:szCs w:val="20"/>
              </w:rPr>
              <w:t>4.≥14.0”防眩光全高清（1920x1080）液晶屏幕；</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sz w:val="20"/>
                <w:szCs w:val="20"/>
                <w:lang w:eastAsia="zh-CN"/>
              </w:rPr>
            </w:pPr>
            <w:r>
              <w:rPr>
                <w:rFonts w:hint="eastAsia" w:ascii="宋体" w:hAnsi="宋体" w:eastAsia="宋体" w:cs="宋体"/>
                <w:color w:val="000000"/>
                <w:kern w:val="0"/>
                <w:sz w:val="22"/>
              </w:rPr>
              <w:t>▲</w:t>
            </w:r>
            <w:r>
              <w:rPr>
                <w:rFonts w:hint="eastAsia"/>
                <w:sz w:val="20"/>
                <w:szCs w:val="20"/>
              </w:rPr>
              <w:t>5.电池：支持快速充电TM电池；≥65W电源适配器；</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sz w:val="20"/>
                <w:szCs w:val="20"/>
              </w:rPr>
            </w:pPr>
            <w:r>
              <w:rPr>
                <w:rFonts w:hint="eastAsia"/>
                <w:sz w:val="20"/>
                <w:szCs w:val="20"/>
              </w:rPr>
              <w:t>6.预装正版操作系统；</w:t>
            </w:r>
          </w:p>
          <w:p>
            <w:pPr>
              <w:pStyle w:val="2"/>
              <w:ind w:left="0" w:leftChars="0" w:firstLine="0" w:firstLineChars="0"/>
            </w:pPr>
            <w:r>
              <w:rPr>
                <w:rFonts w:ascii="宋体" w:hAnsi="宋体" w:eastAsia="宋体" w:cs="宋体"/>
                <w:b/>
                <w:bCs/>
                <w:spacing w:val="-5"/>
                <w:sz w:val="24"/>
                <w:szCs w:val="24"/>
                <w:highlight w:val="none"/>
              </w:rPr>
              <w:t>★应具有国家确定的认证机构出具的在有效期内的节能产品认证证书。（说明：提供证书复印件加盖公章）</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7</w:t>
            </w:r>
          </w:p>
        </w:tc>
        <w:tc>
          <w:tcPr>
            <w:tcW w:w="1355" w:type="dxa"/>
            <w:gridSpan w:val="3"/>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highlight w:val="none"/>
              </w:rPr>
              <w:t>机柜</w:t>
            </w:r>
          </w:p>
        </w:tc>
        <w:tc>
          <w:tcPr>
            <w:tcW w:w="6391" w:type="dxa"/>
            <w:tcBorders>
              <w:top w:val="single" w:color="auto" w:sz="4" w:space="0"/>
              <w:left w:val="nil"/>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1.尺寸：≥1200*600*800mm</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2.钢化玻璃前门、配备弹力锁</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3.表面通过脱脂、磷化、静电喷塑</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8</w:t>
            </w:r>
          </w:p>
        </w:tc>
        <w:tc>
          <w:tcPr>
            <w:tcW w:w="1355" w:type="dxa"/>
            <w:gridSpan w:val="3"/>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配电柜</w:t>
            </w:r>
          </w:p>
        </w:tc>
        <w:tc>
          <w:tcPr>
            <w:tcW w:w="6391" w:type="dxa"/>
            <w:tcBorders>
              <w:top w:val="single" w:color="auto" w:sz="4" w:space="0"/>
              <w:left w:val="nil"/>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1.三相五线，支持远程启动.100KW.系统配电采用放射式和树干式结合的配电方式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2.配电系统有防雷、短路、断路、过流、过压、欠压以及漏电保护措施</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3.具备防水、防锈、防腐能力；并具备稳压、防雷功能；强行打开时，能自动报警</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4.柜内装有漏电保护开关、空气开关、熔断器、延时启动接触器、电源防雷器等，门上还装有旋钮开关和指示灯等</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5.配电柜输入电压为交流380V±10%，工频50HZ</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22"/>
                <w:lang w:eastAsia="zh-CN"/>
              </w:rPr>
            </w:pPr>
            <w:r>
              <w:rPr>
                <w:rFonts w:hint="eastAsia" w:cs="宋体"/>
                <w:color w:val="000000"/>
                <w:kern w:val="0"/>
                <w:sz w:val="22"/>
                <w:lang w:val="en-US" w:eastAsia="zh-CN"/>
              </w:rPr>
              <w:t>9</w:t>
            </w:r>
          </w:p>
        </w:tc>
        <w:tc>
          <w:tcPr>
            <w:tcW w:w="1355" w:type="dxa"/>
            <w:gridSpan w:val="3"/>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屏体内部线材</w:t>
            </w:r>
          </w:p>
        </w:tc>
        <w:tc>
          <w:tcPr>
            <w:tcW w:w="6391" w:type="dxa"/>
            <w:tcBorders>
              <w:top w:val="single" w:color="auto" w:sz="4" w:space="0"/>
              <w:left w:val="nil"/>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eastAsia="宋体" w:cs="宋体"/>
                <w:color w:val="000000"/>
                <w:kern w:val="0"/>
                <w:sz w:val="22"/>
              </w:rPr>
            </w:pPr>
            <w:r>
              <w:rPr>
                <w:rFonts w:hint="eastAsia" w:ascii="宋体" w:hAnsi="宋体" w:eastAsia="宋体" w:cs="宋体"/>
                <w:color w:val="000000"/>
                <w:kern w:val="0"/>
                <w:sz w:val="22"/>
              </w:rPr>
              <w:t>1.5V电源线、16P排线、超五类网线</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1</w:t>
            </w:r>
          </w:p>
        </w:tc>
        <w:tc>
          <w:tcPr>
            <w:tcW w:w="997" w:type="dxa"/>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项</w:t>
            </w:r>
          </w:p>
        </w:tc>
        <w:tc>
          <w:tcPr>
            <w:tcW w:w="1262"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1199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小计：</w:t>
            </w: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10" w:hRule="atLeast"/>
        </w:trPr>
        <w:tc>
          <w:tcPr>
            <w:tcW w:w="1199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r>
              <w:rPr>
                <w:rFonts w:hint="eastAsia" w:ascii="宋体" w:hAnsi="宋体" w:eastAsia="宋体" w:cs="宋体"/>
                <w:b/>
                <w:bCs/>
                <w:color w:val="000000"/>
                <w:kern w:val="0"/>
                <w:sz w:val="22"/>
              </w:rPr>
              <w:t>总计：</w:t>
            </w:r>
          </w:p>
        </w:tc>
        <w:tc>
          <w:tcPr>
            <w:tcW w:w="132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b/>
                <w:bCs/>
                <w:color w:val="000000"/>
                <w:kern w:val="0"/>
                <w:sz w:val="22"/>
              </w:rPr>
            </w:pP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eastAsia="宋体" w:cs="宋体"/>
                <w:color w:val="000000"/>
                <w:kern w:val="0"/>
                <w:sz w:val="22"/>
              </w:rPr>
            </w:pPr>
            <w:r>
              <w:rPr>
                <w:rFonts w:hint="eastAsia" w:ascii="宋体" w:hAnsi="宋体" w:eastAsia="宋体" w:cs="宋体"/>
                <w:color w:val="000000"/>
                <w:kern w:val="0"/>
                <w:sz w:val="22"/>
              </w:rPr>
              <w:t>　</w:t>
            </w:r>
          </w:p>
        </w:tc>
      </w:tr>
    </w:tbl>
    <w:p>
      <w:pPr>
        <w:rPr>
          <w:rFonts w:ascii="宋体" w:hAnsi="宋体" w:eastAsia="宋体"/>
          <w:sz w:val="24"/>
          <w:szCs w:val="24"/>
        </w:rPr>
      </w:pPr>
    </w:p>
    <w:p>
      <w:pPr>
        <w:spacing w:line="236" w:lineRule="auto"/>
        <w:ind w:firstLine="12635"/>
        <w:rPr>
          <w:rFonts w:ascii="宋体" w:hAnsi="宋体" w:eastAsia="宋体" w:cs="宋体"/>
          <w:color w:val="63BEFE"/>
          <w:spacing w:val="3"/>
          <w:sz w:val="13"/>
          <w:szCs w:val="13"/>
          <w14:textFill>
            <w14:solidFill>
              <w14:srgbClr w14:val="63BEFE">
                <w14:alpha w14:val="39999"/>
              </w14:srgbClr>
            </w14:solidFill>
          </w14:textFill>
        </w:rPr>
      </w:pPr>
    </w:p>
    <w:p>
      <w:pPr>
        <w:keepNext w:val="0"/>
        <w:keepLines w:val="0"/>
        <w:pageBreakBefore w:val="0"/>
        <w:widowControl w:val="0"/>
        <w:kinsoku/>
        <w:wordWrap/>
        <w:overflowPunct/>
        <w:topLinePunct w:val="0"/>
        <w:autoSpaceDE/>
        <w:autoSpaceDN/>
        <w:bidi w:val="0"/>
        <w:adjustRightInd w:val="0"/>
        <w:snapToGrid w:val="0"/>
        <w:spacing w:line="300" w:lineRule="atLeast"/>
        <w:textAlignment w:val="auto"/>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keepNext w:val="0"/>
        <w:keepLines w:val="0"/>
        <w:pageBreakBefore w:val="0"/>
        <w:widowControl w:val="0"/>
        <w:kinsoku/>
        <w:wordWrap/>
        <w:overflowPunct/>
        <w:topLinePunct w:val="0"/>
        <w:autoSpaceDE/>
        <w:autoSpaceDN/>
        <w:bidi w:val="0"/>
        <w:adjustRightInd w:val="0"/>
        <w:snapToGrid w:val="0"/>
        <w:spacing w:line="300" w:lineRule="atLeast"/>
        <w:textAlignment w:val="auto"/>
        <w:rPr>
          <w:rFonts w:ascii="宋体"/>
          <w:sz w:val="2"/>
          <w:highlight w:val="yellow"/>
        </w:rPr>
      </w:pPr>
    </w:p>
    <w:p>
      <w:pPr>
        <w:rPr>
          <w:rFonts w:ascii="宋体" w:hAnsi="宋体" w:eastAsia="宋体"/>
          <w:b/>
          <w:bCs/>
          <w:sz w:val="24"/>
          <w:szCs w:val="24"/>
        </w:rPr>
      </w:pPr>
      <w:r>
        <w:rPr>
          <w:rFonts w:hint="eastAsia" w:ascii="宋体" w:hAnsi="宋体" w:eastAsia="宋体"/>
          <w:b/>
          <w:bCs/>
          <w:sz w:val="24"/>
          <w:szCs w:val="24"/>
        </w:rPr>
        <w:t>附多功能厅图纸：</w:t>
      </w:r>
    </w:p>
    <w:p>
      <w:pPr>
        <w:rPr>
          <w:rFonts w:ascii="宋体"/>
          <w:sz w:val="21"/>
        </w:rPr>
      </w:pPr>
      <w:r>
        <w:rPr>
          <w:rFonts w:ascii="宋体" w:hAnsi="宋体" w:eastAsia="宋体"/>
          <w:sz w:val="24"/>
          <w:szCs w:val="24"/>
        </w:rPr>
        <w:drawing>
          <wp:inline distT="0" distB="0" distL="0" distR="0">
            <wp:extent cx="8055610" cy="43719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058531" cy="4373560"/>
                    </a:xfrm>
                    <a:prstGeom prst="rect">
                      <a:avLst/>
                    </a:prstGeom>
                    <a:noFill/>
                    <a:ln>
                      <a:noFill/>
                    </a:ln>
                  </pic:spPr>
                </pic:pic>
              </a:graphicData>
            </a:graphic>
          </wp:inline>
        </w:drawing>
      </w:r>
    </w:p>
    <w:p>
      <w:pPr>
        <w:bidi w:val="0"/>
      </w:pPr>
    </w:p>
    <w:p>
      <w:pPr>
        <w:pStyle w:val="5"/>
        <w:numPr>
          <w:ilvl w:val="2"/>
          <w:numId w:val="0"/>
        </w:numPr>
        <w:bidi w:val="0"/>
        <w:ind w:leftChars="200"/>
        <w:rPr>
          <w:rFonts w:ascii="宋体" w:hAnsi="宋体" w:eastAsia="宋体" w:cs="宋体"/>
          <w:spacing w:val="-2"/>
          <w:sz w:val="28"/>
          <w:szCs w:val="28"/>
          <w14:textOutline w14:w="5103" w14:cap="sq" w14:cmpd="sng">
            <w14:solidFill>
              <w14:srgbClr w14:val="000000"/>
            </w14:solidFill>
            <w14:prstDash w14:val="solid"/>
            <w14:bevel/>
          </w14:textOutline>
        </w:rPr>
        <w:sectPr>
          <w:pgSz w:w="16838" w:h="11905" w:orient="landscape"/>
          <w:pgMar w:top="1786" w:right="1429" w:bottom="1735" w:left="1740" w:header="0" w:footer="1604" w:gutter="0"/>
          <w:pgNumType w:fmt="decimal"/>
          <w:cols w:space="0" w:num="1"/>
          <w:rtlGutter w:val="0"/>
          <w:docGrid w:linePitch="0" w:charSpace="0"/>
        </w:sectPr>
      </w:pPr>
    </w:p>
    <w:p>
      <w:pPr>
        <w:pStyle w:val="3"/>
        <w:keepNext/>
        <w:keepLines/>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ascii="宋体" w:hAnsi="宋体" w:eastAsia="宋体"/>
          <w:sz w:val="40"/>
          <w:szCs w:val="40"/>
        </w:rPr>
      </w:pPr>
      <w:bookmarkStart w:id="301" w:name="_Toc29159"/>
      <w:bookmarkStart w:id="302" w:name="_Toc16508"/>
      <w:bookmarkStart w:id="303" w:name="_Toc80106682"/>
      <w:r>
        <w:rPr>
          <w:rFonts w:hint="eastAsia" w:ascii="宋体" w:hAnsi="宋体" w:eastAsia="宋体"/>
          <w:sz w:val="40"/>
          <w:szCs w:val="40"/>
        </w:rPr>
        <w:t>第</w:t>
      </w:r>
      <w:r>
        <w:rPr>
          <w:rFonts w:hint="eastAsia"/>
          <w:sz w:val="40"/>
          <w:szCs w:val="40"/>
          <w:lang w:val="en-US" w:eastAsia="zh-CN"/>
        </w:rPr>
        <w:t>六</w:t>
      </w:r>
      <w:r>
        <w:rPr>
          <w:rFonts w:hint="eastAsia" w:ascii="宋体" w:hAnsi="宋体" w:eastAsia="宋体"/>
          <w:sz w:val="40"/>
          <w:szCs w:val="40"/>
        </w:rPr>
        <w:t>章、其他要求</w:t>
      </w:r>
      <w:bookmarkEnd w:id="301"/>
      <w:bookmarkEnd w:id="302"/>
      <w:bookmarkEnd w:id="303"/>
    </w:p>
    <w:p>
      <w:pPr>
        <w:pStyle w:val="4"/>
        <w:numPr>
          <w:ilvl w:val="1"/>
          <w:numId w:val="0"/>
        </w:numPr>
        <w:spacing w:before="360" w:after="120" w:line="480" w:lineRule="auto"/>
        <w:ind w:leftChars="0"/>
        <w:rPr>
          <w:rFonts w:ascii="宋体" w:hAnsi="宋体" w:eastAsia="宋体"/>
          <w:sz w:val="24"/>
          <w:szCs w:val="24"/>
        </w:rPr>
      </w:pPr>
      <w:bookmarkStart w:id="304" w:name="_Toc80106683"/>
      <w:bookmarkStart w:id="305" w:name="_Toc23960"/>
      <w:bookmarkStart w:id="306" w:name="_Toc10830"/>
      <w:r>
        <w:rPr>
          <w:rFonts w:hint="eastAsia"/>
          <w:sz w:val="24"/>
          <w:szCs w:val="24"/>
          <w:lang w:val="en-US" w:eastAsia="zh-CN"/>
        </w:rPr>
        <w:t>6</w:t>
      </w:r>
      <w:r>
        <w:rPr>
          <w:rFonts w:ascii="宋体" w:hAnsi="宋体" w:eastAsia="宋体"/>
          <w:sz w:val="24"/>
          <w:szCs w:val="24"/>
        </w:rPr>
        <w:t xml:space="preserve">.1 </w:t>
      </w:r>
      <w:r>
        <w:rPr>
          <w:rFonts w:hint="eastAsia" w:ascii="宋体" w:hAnsi="宋体" w:eastAsia="宋体"/>
          <w:sz w:val="24"/>
          <w:szCs w:val="24"/>
        </w:rPr>
        <w:t>质量要求</w:t>
      </w:r>
      <w:bookmarkEnd w:id="304"/>
      <w:bookmarkEnd w:id="305"/>
      <w:bookmarkEnd w:id="306"/>
    </w:p>
    <w:p>
      <w:pPr>
        <w:spacing w:line="480" w:lineRule="auto"/>
        <w:ind w:firstLine="480" w:firstLineChars="200"/>
        <w:rPr>
          <w:rFonts w:ascii="宋体" w:hAnsi="宋体" w:eastAsia="宋体"/>
          <w:sz w:val="24"/>
          <w:szCs w:val="24"/>
        </w:rPr>
      </w:pPr>
      <w:r>
        <w:rPr>
          <w:rFonts w:hint="eastAsia" w:ascii="宋体" w:hAnsi="宋体" w:eastAsia="宋体"/>
          <w:sz w:val="24"/>
          <w:szCs w:val="24"/>
        </w:rPr>
        <w:t>对安装、服务过程制定质量措施，确保工程项目、产品质量满足合同规定要求。该质量体系将适用于项目实施的全过程。</w:t>
      </w:r>
    </w:p>
    <w:p>
      <w:pPr>
        <w:spacing w:line="480" w:lineRule="auto"/>
        <w:ind w:firstLine="480" w:firstLineChars="200"/>
        <w:rPr>
          <w:rFonts w:ascii="宋体" w:hAnsi="宋体" w:eastAsia="宋体"/>
          <w:sz w:val="24"/>
          <w:szCs w:val="24"/>
        </w:rPr>
      </w:pPr>
      <w:r>
        <w:rPr>
          <w:rFonts w:hint="eastAsia" w:ascii="宋体" w:hAnsi="宋体" w:eastAsia="宋体"/>
          <w:sz w:val="24"/>
          <w:szCs w:val="24"/>
        </w:rPr>
        <w:t>依据设计的材料清单审核进场材料材质、规格、数量。按照图纸的设计进行材料、设备的安装。项目辅材要有产品的品牌标识、产地、合格证及相关能证明该产品的资料。现场设备、材料的合格证书，产品说明书以及实施中发生的往来文件均以文档资料的形式妥 善保管，便于追溯。对于安装的设备、数量进行校对确认并做好记录。</w:t>
      </w:r>
    </w:p>
    <w:p>
      <w:pPr>
        <w:pStyle w:val="4"/>
        <w:numPr>
          <w:ilvl w:val="1"/>
          <w:numId w:val="0"/>
        </w:numPr>
        <w:spacing w:before="360" w:after="120" w:line="480" w:lineRule="auto"/>
        <w:ind w:leftChars="0"/>
        <w:rPr>
          <w:rFonts w:ascii="宋体" w:hAnsi="宋体" w:eastAsia="宋体"/>
          <w:sz w:val="24"/>
          <w:szCs w:val="24"/>
        </w:rPr>
      </w:pPr>
      <w:bookmarkStart w:id="307" w:name="_Toc80106684"/>
      <w:bookmarkStart w:id="308" w:name="_Toc32381"/>
      <w:bookmarkStart w:id="309" w:name="_Toc3860"/>
      <w:r>
        <w:rPr>
          <w:rFonts w:hint="eastAsia"/>
          <w:sz w:val="24"/>
          <w:szCs w:val="24"/>
          <w:lang w:val="en-US" w:eastAsia="zh-CN"/>
        </w:rPr>
        <w:t>6</w:t>
      </w:r>
      <w:r>
        <w:rPr>
          <w:rFonts w:ascii="宋体" w:hAnsi="宋体" w:eastAsia="宋体"/>
          <w:sz w:val="24"/>
          <w:szCs w:val="24"/>
        </w:rPr>
        <w:t xml:space="preserve">.2 </w:t>
      </w:r>
      <w:r>
        <w:rPr>
          <w:rFonts w:hint="eastAsia" w:ascii="宋体" w:hAnsi="宋体" w:eastAsia="宋体"/>
          <w:sz w:val="24"/>
          <w:szCs w:val="24"/>
        </w:rPr>
        <w:t>验收要求</w:t>
      </w:r>
      <w:bookmarkEnd w:id="307"/>
      <w:bookmarkEnd w:id="308"/>
      <w:bookmarkEnd w:id="309"/>
    </w:p>
    <w:p>
      <w:pPr>
        <w:spacing w:line="480" w:lineRule="auto"/>
        <w:ind w:firstLine="480" w:firstLineChars="200"/>
        <w:rPr>
          <w:rFonts w:ascii="宋体" w:hAnsi="宋体" w:eastAsia="宋体"/>
          <w:sz w:val="24"/>
          <w:szCs w:val="24"/>
        </w:rPr>
      </w:pPr>
      <w:r>
        <w:rPr>
          <w:rFonts w:hint="eastAsia" w:ascii="宋体" w:hAnsi="宋体" w:eastAsia="宋体"/>
          <w:sz w:val="24"/>
          <w:szCs w:val="24"/>
        </w:rPr>
        <w:t>产品到货验收。双方共同检查设备的完整性，保证各种设备处于正常运行状态。检查 系统设备的品牌、规格、型号、数量、技术参数等是否与合同一致，并共同依据方案要求 进行验收。涉及实施、安装、环境打造的项目，设计图（效果图）由用户确认后实施。</w:t>
      </w:r>
    </w:p>
    <w:p>
      <w:pPr>
        <w:spacing w:line="480" w:lineRule="auto"/>
        <w:ind w:firstLine="480" w:firstLineChars="200"/>
        <w:rPr>
          <w:rFonts w:ascii="宋体" w:hAnsi="宋体" w:eastAsia="宋体"/>
          <w:sz w:val="24"/>
          <w:szCs w:val="24"/>
        </w:rPr>
      </w:pPr>
      <w:r>
        <w:rPr>
          <w:rFonts w:hint="eastAsia" w:ascii="宋体" w:hAnsi="宋体" w:eastAsia="宋体"/>
          <w:sz w:val="24"/>
          <w:szCs w:val="24"/>
        </w:rPr>
        <w:t>实施方将对硬件及软件全部安装完成且连接完毕进行系统测试，严格按测试计划进行， 做好各项原始记录，并对系统测试给出具体的测试计划、测试的内容和方法。</w:t>
      </w:r>
    </w:p>
    <w:p>
      <w:pPr>
        <w:spacing w:line="480" w:lineRule="auto"/>
        <w:ind w:firstLine="480" w:firstLineChars="200"/>
        <w:rPr>
          <w:rFonts w:ascii="宋体" w:hAnsi="宋体" w:eastAsia="宋体"/>
          <w:sz w:val="24"/>
          <w:szCs w:val="24"/>
        </w:rPr>
      </w:pPr>
      <w:r>
        <w:rPr>
          <w:rFonts w:hint="eastAsia" w:ascii="宋体" w:hAnsi="宋体" w:eastAsia="宋体"/>
          <w:sz w:val="24"/>
          <w:szCs w:val="24"/>
        </w:rPr>
        <w:t>项目初验。项目实施完成后，将由双方共同拟定测试内容、测试指标、测试结果说明、 测试仪器及方法等内容报告给项目负责人审查通过，并为用户提供初验报告。初验通过后 系统进入试运行阶段。</w:t>
      </w:r>
    </w:p>
    <w:p>
      <w:pPr>
        <w:spacing w:line="480" w:lineRule="auto"/>
        <w:ind w:firstLine="480" w:firstLineChars="200"/>
        <w:rPr>
          <w:rFonts w:ascii="宋体" w:hAnsi="宋体" w:eastAsia="宋体"/>
          <w:sz w:val="24"/>
          <w:szCs w:val="24"/>
        </w:rPr>
      </w:pPr>
      <w:r>
        <w:rPr>
          <w:rFonts w:hint="eastAsia" w:ascii="宋体" w:hAnsi="宋体" w:eastAsia="宋体"/>
          <w:sz w:val="24"/>
          <w:szCs w:val="24"/>
        </w:rPr>
        <w:t>试运行。在试运行期间，实施方工程人员将观察记录产品的各项功能实施情况，若发 现问题，及时解决。</w:t>
      </w:r>
    </w:p>
    <w:p>
      <w:pPr>
        <w:spacing w:line="480" w:lineRule="auto"/>
        <w:ind w:firstLine="480" w:firstLineChars="200"/>
        <w:rPr>
          <w:rFonts w:ascii="宋体" w:hAnsi="宋体" w:eastAsia="宋体"/>
          <w:sz w:val="24"/>
          <w:szCs w:val="24"/>
        </w:rPr>
      </w:pPr>
      <w:r>
        <w:rPr>
          <w:rFonts w:hint="eastAsia" w:ascii="宋体" w:hAnsi="宋体" w:eastAsia="宋体"/>
          <w:sz w:val="24"/>
          <w:szCs w:val="24"/>
        </w:rPr>
        <w:t>项目最终验收。遵照合同要求，经过试运行后，进行最终验收。按照《财政部关于进 一步加强政府采购需求和履约验收管理的指导意见》（财库〔2016〕205 号）执行。</w:t>
      </w:r>
    </w:p>
    <w:p>
      <w:pPr>
        <w:pStyle w:val="4"/>
        <w:numPr>
          <w:ilvl w:val="1"/>
          <w:numId w:val="0"/>
        </w:numPr>
        <w:spacing w:before="360" w:after="120" w:line="480" w:lineRule="auto"/>
        <w:ind w:leftChars="0"/>
        <w:rPr>
          <w:rFonts w:ascii="宋体" w:hAnsi="宋体" w:eastAsia="宋体"/>
          <w:sz w:val="24"/>
          <w:szCs w:val="24"/>
        </w:rPr>
      </w:pPr>
      <w:bookmarkStart w:id="310" w:name="_Toc31783"/>
      <w:bookmarkStart w:id="311" w:name="_Toc80106685"/>
      <w:bookmarkStart w:id="312" w:name="_Toc12463"/>
      <w:r>
        <w:rPr>
          <w:rFonts w:hint="eastAsia"/>
          <w:sz w:val="24"/>
          <w:szCs w:val="24"/>
          <w:lang w:val="en-US" w:eastAsia="zh-CN"/>
        </w:rPr>
        <w:t>6</w:t>
      </w:r>
      <w:r>
        <w:rPr>
          <w:rFonts w:ascii="宋体" w:hAnsi="宋体" w:eastAsia="宋体"/>
          <w:sz w:val="24"/>
          <w:szCs w:val="24"/>
        </w:rPr>
        <w:t xml:space="preserve">.3 </w:t>
      </w:r>
      <w:r>
        <w:rPr>
          <w:rFonts w:hint="eastAsia" w:ascii="宋体" w:hAnsi="宋体" w:eastAsia="宋体"/>
          <w:sz w:val="24"/>
          <w:szCs w:val="24"/>
        </w:rPr>
        <w:t>验收文档</w:t>
      </w:r>
      <w:bookmarkEnd w:id="310"/>
      <w:bookmarkEnd w:id="311"/>
      <w:bookmarkEnd w:id="312"/>
    </w:p>
    <w:p>
      <w:pPr>
        <w:spacing w:line="480" w:lineRule="auto"/>
        <w:ind w:firstLine="480" w:firstLineChars="200"/>
        <w:rPr>
          <w:rFonts w:ascii="宋体" w:hAnsi="宋体" w:eastAsia="宋体"/>
          <w:sz w:val="24"/>
          <w:szCs w:val="24"/>
        </w:rPr>
      </w:pPr>
      <w:r>
        <w:rPr>
          <w:rFonts w:hint="eastAsia" w:ascii="宋体" w:hAnsi="宋体" w:eastAsia="宋体"/>
          <w:sz w:val="24"/>
          <w:szCs w:val="24"/>
        </w:rPr>
        <w:t>在正式验收前提供的相关文档。包括：1、项目验收申请报告；2、项目招投标书；3、 项目中标通知书；4、项目合同；5、项目实施相关方案、施工原始记录、设计图、施工图、 网络结构图等；6、项目设备签收单、学校初验单；7、项目实施变更资料；8、项目有关的 试检查报告、系统试运行报告；9、项目培训文档及培训签字表、系统运维手册；10、各设 备的使用说明书、保修卡（纸质和电子）；11、售后服务文件。</w:t>
      </w:r>
    </w:p>
    <w:p>
      <w:pPr>
        <w:sectPr>
          <w:pgSz w:w="11905" w:h="16838"/>
          <w:pgMar w:top="1429" w:right="1735" w:bottom="1740" w:left="1786" w:header="0" w:footer="1604" w:gutter="0"/>
          <w:pgNumType w:fmt="decimal"/>
          <w:cols w:space="0" w:num="1"/>
          <w:rtlGutter w:val="0"/>
          <w:docGrid w:linePitch="0" w:charSpace="0"/>
        </w:sectPr>
      </w:pPr>
    </w:p>
    <w:p>
      <w:pPr>
        <w:pStyle w:val="3"/>
        <w:bidi w:val="0"/>
        <w:rPr>
          <w:rFonts w:hint="eastAsia"/>
          <w:lang w:val="en-US" w:eastAsia="zh-CN"/>
        </w:rPr>
      </w:pPr>
      <w:bookmarkStart w:id="313" w:name="_Toc8903"/>
      <w:r>
        <w:rPr>
          <w:rFonts w:hint="eastAsia"/>
          <w:lang w:val="en-US" w:eastAsia="zh-CN"/>
        </w:rPr>
        <w:t>第5章 磋商办法</w:t>
      </w:r>
      <w:bookmarkEnd w:id="313"/>
    </w:p>
    <w:p>
      <w:pPr>
        <w:pStyle w:val="4"/>
        <w:numPr>
          <w:ilvl w:val="1"/>
          <w:numId w:val="0"/>
        </w:numPr>
        <w:bidi w:val="0"/>
        <w:rPr>
          <w:b/>
          <w:bCs/>
          <w:color w:val="auto"/>
          <w:highlight w:val="none"/>
        </w:rPr>
      </w:pPr>
      <w:bookmarkStart w:id="314" w:name="_Toc13221"/>
      <w:r>
        <w:rPr>
          <w:rStyle w:val="70"/>
          <w:rFonts w:hint="eastAsia"/>
          <w:b/>
          <w:bCs/>
          <w:iCs/>
        </w:rPr>
        <w:t>5.1总则</w:t>
      </w:r>
      <w:bookmarkEnd w:id="314"/>
    </w:p>
    <w:p>
      <w:pPr>
        <w:pageBreakBefore w:val="0"/>
        <w:numPr>
          <w:ilvl w:val="0"/>
          <w:numId w:val="32"/>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根据《中华人民共和国政府采购法》、《中华人民共和国政府采购法实施条例》和《政府采购竞争性磋商采购方式管理暂行办法》等法律及规范性文件，结合采购项目特点制定本办法。</w:t>
      </w:r>
    </w:p>
    <w:p>
      <w:pPr>
        <w:pageBreakBefore w:val="0"/>
        <w:numPr>
          <w:ilvl w:val="0"/>
          <w:numId w:val="32"/>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评审工作由</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公资交易中心负责组织，具体评审事务由采购人和</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公资交易中心依法组建的磋商小组负责。磋商小组由采购人代表和评审专家组成。</w:t>
      </w:r>
    </w:p>
    <w:p>
      <w:pPr>
        <w:pageBreakBefore w:val="0"/>
        <w:numPr>
          <w:ilvl w:val="0"/>
          <w:numId w:val="32"/>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评审工作应遵循公平、公正、科学及择优的原则，并以相同的评审程序和标准对待所有供应商。</w:t>
      </w:r>
    </w:p>
    <w:p>
      <w:pPr>
        <w:pageBreakBefore w:val="0"/>
        <w:numPr>
          <w:ilvl w:val="0"/>
          <w:numId w:val="32"/>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磋商小组按照磋商文件规定的磋商程序、评审方法和标准进行独立评审，并独立履行下列职责：</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从符合相应资格条件并通过符合性审查的供应商名单中确定不少于三家的供应商参加磋商；</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s="宋体"/>
          <w:color w:val="auto"/>
          <w:sz w:val="24"/>
          <w:szCs w:val="24"/>
          <w:highlight w:val="none"/>
        </w:rPr>
        <w:t>审查供应商的响应文件并作出评价</w:t>
      </w:r>
      <w:r>
        <w:rPr>
          <w:rFonts w:hint="eastAsia" w:ascii="宋体" w:hAnsi="宋体"/>
          <w:color w:val="auto"/>
          <w:sz w:val="24"/>
          <w:szCs w:val="24"/>
          <w:highlight w:val="none"/>
        </w:rPr>
        <w:t>；</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s="宋体"/>
          <w:color w:val="auto"/>
          <w:sz w:val="24"/>
          <w:szCs w:val="24"/>
          <w:highlight w:val="none"/>
        </w:rPr>
        <w:t>要求供应商解释或者澄清其响应文件</w:t>
      </w:r>
      <w:r>
        <w:rPr>
          <w:rFonts w:hint="eastAsia" w:ascii="宋体" w:hAnsi="宋体"/>
          <w:color w:val="auto"/>
          <w:sz w:val="24"/>
          <w:szCs w:val="24"/>
          <w:highlight w:val="none"/>
        </w:rPr>
        <w:t>；</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s="宋体"/>
          <w:color w:val="auto"/>
          <w:sz w:val="24"/>
          <w:szCs w:val="24"/>
          <w:highlight w:val="none"/>
        </w:rPr>
        <w:t>依法、客观、公平、公正开展供应商资格性审查、符合性审查、磋商和推荐成交候选供应商</w:t>
      </w:r>
      <w:r>
        <w:rPr>
          <w:rFonts w:hint="eastAsia" w:ascii="宋体" w:hAnsi="宋体"/>
          <w:color w:val="auto"/>
          <w:sz w:val="24"/>
          <w:szCs w:val="24"/>
          <w:highlight w:val="none"/>
        </w:rPr>
        <w:t>；</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s="宋体"/>
          <w:color w:val="auto"/>
          <w:sz w:val="24"/>
          <w:szCs w:val="24"/>
          <w:highlight w:val="none"/>
        </w:rPr>
        <w:t>编写评审报告</w:t>
      </w:r>
      <w:r>
        <w:rPr>
          <w:rFonts w:hint="eastAsia" w:ascii="宋体" w:hAnsi="宋体"/>
          <w:color w:val="auto"/>
          <w:sz w:val="24"/>
          <w:szCs w:val="24"/>
          <w:highlight w:val="none"/>
        </w:rPr>
        <w:t>；</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s="宋体"/>
          <w:color w:val="auto"/>
          <w:sz w:val="24"/>
          <w:szCs w:val="24"/>
          <w:highlight w:val="none"/>
        </w:rPr>
        <w:t>告知采购人、采购代理机构在评审过程中发现的供应商的违法违规行为</w:t>
      </w:r>
      <w:r>
        <w:rPr>
          <w:rFonts w:hint="eastAsia" w:ascii="宋体" w:hAnsi="宋体"/>
          <w:color w:val="auto"/>
          <w:sz w:val="24"/>
          <w:szCs w:val="24"/>
          <w:highlight w:val="none"/>
        </w:rPr>
        <w:t>；</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保守供应商的商业秘密；</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配合处理供应商质疑；</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配合处理供应商投诉；</w:t>
      </w:r>
    </w:p>
    <w:p>
      <w:pPr>
        <w:pageBreakBefore w:val="0"/>
        <w:numPr>
          <w:ilvl w:val="1"/>
          <w:numId w:val="33"/>
        </w:numPr>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s="宋体"/>
          <w:color w:val="auto"/>
          <w:sz w:val="24"/>
          <w:szCs w:val="24"/>
          <w:highlight w:val="none"/>
        </w:rPr>
        <w:t>其他需要履行的工作职责</w:t>
      </w:r>
      <w:r>
        <w:rPr>
          <w:rFonts w:hint="eastAsia" w:ascii="宋体" w:hAnsi="宋体"/>
          <w:color w:val="auto"/>
          <w:sz w:val="24"/>
          <w:szCs w:val="24"/>
          <w:highlight w:val="none"/>
        </w:rPr>
        <w:t>。</w:t>
      </w:r>
    </w:p>
    <w:p>
      <w:pPr>
        <w:pageBreakBefore w:val="0"/>
        <w:numPr>
          <w:ilvl w:val="0"/>
          <w:numId w:val="32"/>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评审过程独立、保密。供应商非法干预评审过程的行为将导致其响应文件作无效处理。</w:t>
      </w:r>
    </w:p>
    <w:p>
      <w:pPr>
        <w:pageBreakBefore w:val="0"/>
        <w:numPr>
          <w:ilvl w:val="0"/>
          <w:numId w:val="32"/>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磋商小组审查响应文件的响应性依据响应文件本身的内容，而不寻求外部的证据，磋商文件有明确约定的除外。</w:t>
      </w:r>
    </w:p>
    <w:p>
      <w:pPr>
        <w:pageBreakBefore w:val="0"/>
        <w:numPr>
          <w:ilvl w:val="0"/>
          <w:numId w:val="32"/>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磋商小组发现磋商文件表述不明确或需要说明的事项，可提请采购人和</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公资交易中心书面解释说明。</w:t>
      </w:r>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315" w:name="_Toc2061"/>
      <w:r>
        <w:rPr>
          <w:rFonts w:hint="eastAsia"/>
          <w:color w:val="auto"/>
          <w:highlight w:val="none"/>
        </w:rPr>
        <w:t>5.2</w:t>
      </w:r>
      <w:r>
        <w:rPr>
          <w:rFonts w:hint="eastAsia"/>
          <w:color w:val="auto"/>
          <w:highlight w:val="none"/>
          <w:lang w:eastAsia="zh-CN"/>
        </w:rPr>
        <w:t>评审</w:t>
      </w:r>
      <w:r>
        <w:rPr>
          <w:rFonts w:hint="eastAsia"/>
          <w:color w:val="auto"/>
          <w:highlight w:val="none"/>
        </w:rPr>
        <w:t>程序</w:t>
      </w:r>
      <w:bookmarkEnd w:id="315"/>
    </w:p>
    <w:p>
      <w:pPr>
        <w:pStyle w:val="5"/>
        <w:pageBreakBefore w:val="0"/>
        <w:numPr>
          <w:ilvl w:val="2"/>
          <w:numId w:val="0"/>
        </w:numPr>
        <w:kinsoku/>
        <w:wordWrap/>
        <w:overflowPunct/>
        <w:topLinePunct w:val="0"/>
        <w:bidi w:val="0"/>
        <w:adjustRightInd w:val="0"/>
        <w:snapToGrid w:val="0"/>
        <w:spacing w:afterAutospacing="0" w:line="360" w:lineRule="auto"/>
        <w:ind w:leftChars="0" w:firstLine="482" w:firstLineChars="200"/>
        <w:rPr>
          <w:rFonts w:hint="eastAsia"/>
          <w:color w:val="auto"/>
          <w:highlight w:val="none"/>
        </w:rPr>
      </w:pPr>
      <w:bookmarkStart w:id="316" w:name="_Toc123"/>
      <w:r>
        <w:rPr>
          <w:rFonts w:hint="eastAsia"/>
          <w:color w:val="auto"/>
          <w:highlight w:val="none"/>
        </w:rPr>
        <w:t>5.2.</w:t>
      </w:r>
      <w:r>
        <w:rPr>
          <w:rFonts w:hint="eastAsia"/>
          <w:color w:val="auto"/>
          <w:highlight w:val="none"/>
          <w:lang w:val="en-US" w:eastAsia="zh-CN"/>
        </w:rPr>
        <w:t>1</w:t>
      </w:r>
      <w:bookmarkStart w:id="317" w:name="_Toc287623646"/>
      <w:r>
        <w:rPr>
          <w:rFonts w:hint="eastAsia"/>
          <w:color w:val="auto"/>
          <w:highlight w:val="none"/>
        </w:rPr>
        <w:t>磋商小组</w:t>
      </w:r>
      <w:bookmarkEnd w:id="316"/>
      <w:bookmarkEnd w:id="317"/>
    </w:p>
    <w:p>
      <w:pPr>
        <w:pStyle w:val="11"/>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val="en-US" w:eastAsia="zh-CN"/>
        </w:rPr>
      </w:pPr>
      <w:r>
        <w:rPr>
          <w:rFonts w:hint="eastAsia" w:ascii="宋体" w:hAnsi="宋体" w:eastAsia="宋体" w:cs="宋体"/>
          <w:color w:val="auto"/>
          <w:kern w:val="2"/>
          <w:sz w:val="24"/>
          <w:szCs w:val="24"/>
          <w:highlight w:val="none"/>
          <w:lang w:val="en-US" w:eastAsia="zh-CN" w:bidi="ar-SA"/>
        </w:rPr>
        <w:t>磋商小组由采购人代表和根据采购项目情况确定的技术或经济或法律等有关专家3人以上的单数组成。磋商小组负责本项目的磋商和评审工作。</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18" w:name="_Toc22060"/>
      <w:r>
        <w:rPr>
          <w:rFonts w:hint="eastAsia"/>
          <w:color w:val="auto"/>
          <w:highlight w:val="none"/>
        </w:rPr>
        <w:t>5.2</w:t>
      </w:r>
      <w:r>
        <w:rPr>
          <w:rFonts w:hint="eastAsia"/>
          <w:color w:val="auto"/>
          <w:highlight w:val="none"/>
          <w:lang w:val="en-US" w:eastAsia="zh-CN"/>
        </w:rPr>
        <w:t>.2</w:t>
      </w:r>
      <w:r>
        <w:rPr>
          <w:rFonts w:hint="eastAsia"/>
          <w:color w:val="auto"/>
          <w:highlight w:val="none"/>
        </w:rPr>
        <w:t>资格性审查</w:t>
      </w:r>
      <w:bookmarkEnd w:id="318"/>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首次递交响应文件截止时间结束后，由磋商小组对递交响应文件的供应商进行资格性审查。磋商小组在资格性审查过程中，磋商小组成员对供应商资格是否符合规定存在争议的，应当以少数服从多数的原则处理，但不得违反政府采购法和磋商文件规定。</w:t>
      </w:r>
    </w:p>
    <w:p>
      <w:pPr>
        <w:pStyle w:val="26"/>
        <w:pageBreakBefore w:val="0"/>
        <w:kinsoku/>
        <w:wordWrap/>
        <w:overflowPunct/>
        <w:topLinePunct w:val="0"/>
        <w:bidi w:val="0"/>
        <w:adjustRightInd w:val="0"/>
        <w:snapToGrid w:val="0"/>
        <w:spacing w:afterAutospacing="0" w:line="360" w:lineRule="auto"/>
        <w:ind w:firstLine="480" w:firstLineChars="200"/>
        <w:rPr>
          <w:rFonts w:hint="eastAsia"/>
          <w:color w:val="auto"/>
          <w:highlight w:val="none"/>
          <w:lang w:eastAsia="zh-CN"/>
        </w:rPr>
      </w:pPr>
      <w:r>
        <w:rPr>
          <w:rFonts w:hint="eastAsia"/>
          <w:color w:val="auto"/>
          <w:highlight w:val="none"/>
        </w:rPr>
        <w:t>供应商资格审查的标准：</w:t>
      </w:r>
    </w:p>
    <w:tbl>
      <w:tblPr>
        <w:tblStyle w:val="20"/>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4"/>
        <w:gridCol w:w="1318"/>
        <w:gridCol w:w="5253"/>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sz w:val="20"/>
                <w:szCs w:val="28"/>
                <w:highlight w:val="none"/>
              </w:rPr>
            </w:pPr>
            <w:bookmarkStart w:id="319" w:name="EB5cc128059ea34597a198b05c7be3b1cb"/>
            <w:r>
              <w:rPr>
                <w:rFonts w:hint="eastAsia" w:ascii="宋体" w:hAnsi="宋体"/>
                <w:b/>
                <w:color w:val="auto"/>
                <w:sz w:val="20"/>
                <w:szCs w:val="28"/>
                <w:highlight w:val="none"/>
              </w:rPr>
              <w:t>序号</w:t>
            </w:r>
          </w:p>
        </w:tc>
        <w:tc>
          <w:tcPr>
            <w:tcW w:w="255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sz w:val="20"/>
                <w:szCs w:val="28"/>
                <w:highlight w:val="none"/>
              </w:rPr>
            </w:pPr>
            <w:r>
              <w:rPr>
                <w:rFonts w:hint="eastAsia" w:ascii="宋体" w:hAnsi="宋体"/>
                <w:b/>
                <w:color w:val="auto"/>
                <w:sz w:val="20"/>
                <w:szCs w:val="28"/>
                <w:highlight w:val="none"/>
              </w:rPr>
              <w:t>项     目</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sz w:val="20"/>
                <w:szCs w:val="28"/>
                <w:highlight w:val="none"/>
              </w:rPr>
            </w:pPr>
            <w:r>
              <w:rPr>
                <w:rFonts w:hint="eastAsia" w:ascii="宋体" w:hAnsi="宋体"/>
                <w:b/>
                <w:color w:val="auto"/>
                <w:sz w:val="20"/>
                <w:szCs w:val="28"/>
                <w:highlight w:val="none"/>
              </w:rPr>
              <w:t>通过条件</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sz w:val="20"/>
                <w:szCs w:val="28"/>
                <w:highlight w:val="none"/>
              </w:rPr>
            </w:pPr>
            <w:r>
              <w:rPr>
                <w:rFonts w:hint="eastAsia" w:ascii="宋体" w:hAnsi="宋体"/>
                <w:b/>
                <w:color w:val="auto"/>
                <w:sz w:val="20"/>
                <w:szCs w:val="28"/>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9" w:type="dxa"/>
            <w:noWrap w:val="0"/>
            <w:vAlign w:val="center"/>
          </w:tcPr>
          <w:p>
            <w:pPr>
              <w:pStyle w:val="31"/>
              <w:keepNext w:val="0"/>
              <w:keepLines w:val="0"/>
              <w:pageBreakBefore w:val="0"/>
              <w:widowControl w:val="0"/>
              <w:numPr>
                <w:ilvl w:val="0"/>
                <w:numId w:val="34"/>
              </w:numPr>
              <w:tabs>
                <w:tab w:val="left" w:pos="275"/>
              </w:tabs>
              <w:kinsoku/>
              <w:wordWrap/>
              <w:overflowPunct/>
              <w:topLinePunct w:val="0"/>
              <w:autoSpaceDE/>
              <w:autoSpaceDN/>
              <w:bidi w:val="0"/>
              <w:adjustRightInd w:val="0"/>
              <w:snapToGrid w:val="0"/>
              <w:spacing w:afterAutospacing="0" w:line="360" w:lineRule="auto"/>
              <w:ind w:left="0" w:firstLine="0" w:firstLineChars="0"/>
              <w:jc w:val="both"/>
              <w:textAlignment w:val="auto"/>
              <w:rPr>
                <w:rFonts w:ascii="宋体" w:hAnsi="宋体" w:eastAsia="宋体"/>
                <w:color w:val="auto"/>
                <w:sz w:val="20"/>
                <w:szCs w:val="28"/>
                <w:highlight w:val="none"/>
              </w:rPr>
            </w:pPr>
          </w:p>
        </w:tc>
        <w:tc>
          <w:tcPr>
            <w:tcW w:w="255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在中华人民共和国境内注册，并有效存续具有独立法人资格的供应商</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ascii="宋体" w:hAnsi="宋体"/>
                <w:color w:val="auto"/>
                <w:sz w:val="20"/>
                <w:szCs w:val="28"/>
                <w:highlight w:val="none"/>
              </w:rPr>
              <w:t>营业执照（正本或副本）复印件或法人证书（正本或副本）复印件</w:t>
            </w:r>
            <w:r>
              <w:rPr>
                <w:rFonts w:hint="eastAsia" w:ascii="宋体" w:hAnsi="宋体"/>
                <w:color w:val="auto"/>
                <w:sz w:val="20"/>
                <w:szCs w:val="28"/>
                <w:highlight w:val="none"/>
              </w:rPr>
              <w:t>【说明：①营业执照或法人证书载明有期限的，应在有效期限内；②在中华人民共和国境内注册，具有独立法人资格。】。</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9" w:type="dxa"/>
            <w:vMerge w:val="restart"/>
            <w:noWrap w:val="0"/>
            <w:vAlign w:val="center"/>
          </w:tcPr>
          <w:p>
            <w:pPr>
              <w:pStyle w:val="31"/>
              <w:keepNext w:val="0"/>
              <w:keepLines w:val="0"/>
              <w:pageBreakBefore w:val="0"/>
              <w:widowControl w:val="0"/>
              <w:numPr>
                <w:ilvl w:val="0"/>
                <w:numId w:val="34"/>
              </w:numPr>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restart"/>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color w:val="auto"/>
                <w:sz w:val="20"/>
                <w:highlight w:val="none"/>
              </w:rPr>
              <w:t>书面声明材料</w:t>
            </w: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具有良好的商业信誉</w:t>
            </w:r>
          </w:p>
        </w:tc>
        <w:tc>
          <w:tcPr>
            <w:tcW w:w="5253"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0"/>
                <w:highlight w:val="none"/>
              </w:rPr>
            </w:pPr>
            <w:r>
              <w:rPr>
                <w:rFonts w:ascii="宋体" w:hAnsi="宋体"/>
                <w:color w:val="auto"/>
                <w:sz w:val="20"/>
                <w:szCs w:val="20"/>
                <w:highlight w:val="none"/>
              </w:rPr>
              <w:t>供应商具有良好的商业信誉的书面声明材料</w:t>
            </w:r>
            <w:r>
              <w:rPr>
                <w:rFonts w:hint="eastAsia" w:ascii="宋体" w:hAnsi="宋体"/>
                <w:color w:val="auto"/>
                <w:sz w:val="20"/>
                <w:szCs w:val="20"/>
                <w:highlight w:val="none"/>
              </w:rPr>
              <w:t>【说明</w:t>
            </w:r>
            <w:r>
              <w:rPr>
                <w:rFonts w:hint="eastAsia"/>
                <w:color w:val="auto"/>
                <w:sz w:val="20"/>
                <w:szCs w:val="20"/>
                <w:highlight w:val="none"/>
                <w:lang w:eastAsia="zh-CN"/>
              </w:rPr>
              <w:t>：</w:t>
            </w:r>
            <w:r>
              <w:rPr>
                <w:rFonts w:hint="eastAsia" w:ascii="宋体" w:hAnsi="宋体"/>
                <w:color w:val="auto"/>
                <w:sz w:val="20"/>
                <w:szCs w:val="20"/>
                <w:highlight w:val="none"/>
              </w:rPr>
              <w:t>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color w:val="auto"/>
                <w:sz w:val="20"/>
                <w:szCs w:val="20"/>
                <w:highlight w:val="none"/>
                <w:lang w:eastAsia="zh-CN"/>
              </w:rPr>
              <w:t>；</w:t>
            </w:r>
            <w:r>
              <w:rPr>
                <w:rFonts w:hint="eastAsia" w:ascii="宋体" w:hAnsi="宋体"/>
                <w:color w:val="auto"/>
                <w:sz w:val="20"/>
                <w:szCs w:val="20"/>
                <w:highlight w:val="none"/>
              </w:rPr>
              <w:t>②供应商</w:t>
            </w:r>
            <w:r>
              <w:rPr>
                <w:rFonts w:ascii="宋体" w:hAnsi="宋体"/>
                <w:color w:val="auto"/>
                <w:sz w:val="20"/>
                <w:szCs w:val="20"/>
                <w:highlight w:val="none"/>
              </w:rPr>
              <w:t>具有良好的商业信誉</w:t>
            </w:r>
            <w:r>
              <w:rPr>
                <w:rFonts w:hint="eastAsia" w:ascii="宋体" w:hAnsi="宋体"/>
                <w:color w:val="auto"/>
                <w:sz w:val="20"/>
                <w:szCs w:val="20"/>
                <w:highlight w:val="none"/>
              </w:rPr>
              <w:t>。】。</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参加政府采购活动前三年内，在经营活动中没有重大违法记录</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0"/>
                <w:highlight w:val="none"/>
              </w:rPr>
            </w:pPr>
            <w:r>
              <w:rPr>
                <w:rFonts w:hint="eastAsia"/>
                <w:color w:val="auto"/>
                <w:sz w:val="20"/>
                <w:szCs w:val="28"/>
                <w:highlight w:val="none"/>
                <w:lang w:val="en-US" w:eastAsia="zh-CN"/>
              </w:rPr>
              <w:t>1.</w:t>
            </w:r>
            <w:r>
              <w:rPr>
                <w:rFonts w:ascii="宋体" w:hAnsi="宋体"/>
                <w:color w:val="auto"/>
                <w:sz w:val="20"/>
                <w:szCs w:val="28"/>
                <w:highlight w:val="none"/>
              </w:rPr>
              <w:t>供应商参加政府采购活动前三年内，在经营活动中没有重大违法记录的书面声</w:t>
            </w:r>
            <w:r>
              <w:rPr>
                <w:rFonts w:ascii="宋体" w:hAnsi="宋体"/>
                <w:color w:val="auto"/>
                <w:sz w:val="20"/>
                <w:szCs w:val="20"/>
                <w:highlight w:val="none"/>
              </w:rPr>
              <w:t>明材料</w:t>
            </w:r>
            <w:r>
              <w:rPr>
                <w:rFonts w:hint="eastAsia" w:ascii="宋体" w:hAnsi="宋体"/>
                <w:color w:val="auto"/>
                <w:sz w:val="20"/>
                <w:szCs w:val="20"/>
                <w:highlight w:val="none"/>
              </w:rPr>
              <w:t>【说明：①按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；②供应商参加政府采购活动前三年内，在经营活动中没有重大违法记录。】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0"/>
                <w:highlight w:val="none"/>
              </w:rPr>
            </w:pPr>
            <w:r>
              <w:rPr>
                <w:rFonts w:hint="eastAsia"/>
                <w:color w:val="auto"/>
                <w:sz w:val="20"/>
                <w:szCs w:val="20"/>
                <w:highlight w:val="none"/>
                <w:lang w:val="en-US" w:eastAsia="zh-CN"/>
              </w:rPr>
              <w:t>2.</w:t>
            </w:r>
            <w:r>
              <w:rPr>
                <w:rFonts w:hint="eastAsia"/>
                <w:color w:val="auto"/>
                <w:sz w:val="20"/>
                <w:szCs w:val="20"/>
                <w:highlight w:val="none"/>
                <w:lang w:eastAsia="zh-CN"/>
              </w:rPr>
              <w:t>磋商</w:t>
            </w:r>
            <w:r>
              <w:rPr>
                <w:rFonts w:hint="eastAsia" w:ascii="宋体" w:hAnsi="宋体"/>
                <w:color w:val="auto"/>
                <w:sz w:val="20"/>
                <w:szCs w:val="20"/>
                <w:highlight w:val="none"/>
              </w:rPr>
              <w:t>小组根据“信用中国”网站、“中国政府采购网”的查询结果，对供应商在参加政府采购活动前三年内，在经营活动中是否有重大违法记录进行审查【说明：供</w:t>
            </w:r>
            <w:r>
              <w:rPr>
                <w:rFonts w:hint="eastAsia" w:ascii="宋体" w:hAnsi="宋体"/>
                <w:color w:val="auto"/>
                <w:sz w:val="20"/>
                <w:szCs w:val="28"/>
                <w:highlight w:val="none"/>
              </w:rPr>
              <w:t>应商参加政府采购活动前三年内，在经营活动中没有重大违法记录】。</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709" w:type="dxa"/>
            <w:vMerge w:val="continue"/>
            <w:noWrap w:val="0"/>
            <w:vAlign w:val="center"/>
          </w:tcPr>
          <w:p>
            <w:pPr>
              <w:pStyle w:val="31"/>
              <w:keepNext w:val="0"/>
              <w:keepLines w:val="0"/>
              <w:pageBreakBefore w:val="0"/>
              <w:widowControl w:val="0"/>
              <w:numPr>
                <w:ilvl w:val="0"/>
                <w:numId w:val="34"/>
              </w:numPr>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未被列入失信被执行人、重大税收违法案件当事人名单、政府采购严重违法失信行为记录名单</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color w:val="auto"/>
                <w:sz w:val="20"/>
                <w:szCs w:val="28"/>
                <w:highlight w:val="none"/>
                <w:lang w:val="en-US" w:eastAsia="zh-CN"/>
              </w:rPr>
              <w:t>1.</w:t>
            </w:r>
            <w:r>
              <w:rPr>
                <w:rFonts w:ascii="宋体" w:hAnsi="宋体"/>
                <w:color w:val="auto"/>
                <w:sz w:val="20"/>
                <w:szCs w:val="28"/>
                <w:highlight w:val="none"/>
              </w:rPr>
              <w:t>供应商未被列入失信被执行人、重大税收违法案件当事人</w:t>
            </w:r>
            <w:r>
              <w:rPr>
                <w:rFonts w:ascii="宋体" w:hAnsi="宋体"/>
                <w:color w:val="auto"/>
                <w:sz w:val="20"/>
                <w:szCs w:val="20"/>
                <w:highlight w:val="none"/>
              </w:rPr>
              <w:t>名单、政府采购严重违法失信行为记录名单的书面声明材料【说明：</w:t>
            </w:r>
            <w:r>
              <w:rPr>
                <w:rFonts w:hint="eastAsia" w:ascii="宋体" w:hAnsi="宋体"/>
                <w:color w:val="auto"/>
                <w:sz w:val="20"/>
                <w:szCs w:val="20"/>
                <w:highlight w:val="none"/>
              </w:rPr>
              <w:t>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；②供应商未被列入失信被执行人、重大税收违法案件当事人名单</w:t>
            </w:r>
            <w:r>
              <w:rPr>
                <w:rFonts w:hint="eastAsia" w:ascii="宋体" w:hAnsi="宋体"/>
                <w:color w:val="auto"/>
                <w:sz w:val="20"/>
                <w:szCs w:val="28"/>
                <w:highlight w:val="none"/>
              </w:rPr>
              <w:t>、政府采购严重违法失信行为记录名单</w:t>
            </w:r>
            <w:r>
              <w:rPr>
                <w:rFonts w:ascii="宋体" w:hAnsi="宋体"/>
                <w:color w:val="auto"/>
                <w:sz w:val="20"/>
                <w:szCs w:val="28"/>
                <w:highlight w:val="none"/>
              </w:rPr>
              <w:t>。】</w:t>
            </w:r>
            <w:r>
              <w:rPr>
                <w:rFonts w:hint="eastAsia" w:ascii="宋体" w:hAnsi="宋体"/>
                <w:color w:val="auto"/>
                <w:sz w:val="20"/>
                <w:szCs w:val="28"/>
                <w:highlight w:val="none"/>
              </w:rPr>
              <w:t>。</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color w:val="auto"/>
                <w:sz w:val="20"/>
                <w:szCs w:val="20"/>
                <w:highlight w:val="none"/>
                <w:lang w:val="en-US" w:eastAsia="zh-CN"/>
              </w:rPr>
              <w:t>2.</w:t>
            </w:r>
            <w:r>
              <w:rPr>
                <w:rFonts w:hint="eastAsia"/>
                <w:color w:val="auto"/>
                <w:sz w:val="20"/>
                <w:szCs w:val="20"/>
                <w:highlight w:val="none"/>
                <w:lang w:eastAsia="zh-CN"/>
              </w:rPr>
              <w:t>磋商</w:t>
            </w:r>
            <w:r>
              <w:rPr>
                <w:rFonts w:hint="eastAsia" w:ascii="宋体" w:hAnsi="宋体"/>
                <w:color w:val="auto"/>
                <w:sz w:val="20"/>
                <w:szCs w:val="20"/>
                <w:highlight w:val="none"/>
              </w:rPr>
              <w:t>小组</w:t>
            </w:r>
            <w:r>
              <w:rPr>
                <w:rFonts w:hint="eastAsia" w:ascii="宋体" w:hAnsi="宋体"/>
                <w:color w:val="auto"/>
                <w:sz w:val="20"/>
                <w:szCs w:val="28"/>
                <w:highlight w:val="none"/>
              </w:rPr>
              <w:t>根据“信用中国”网站、“中国政府采购网”的查询结果，对供应商在参加政府采购活动前三年内，在经营活动中是否被列入失信被执行人、重大税收违法案件当事人名单、政府采购严重违法失信行为记录名单进行审查【说明：供应商未被列入失信被执行人、重大税收违法案件当事人名单、政府采购严重违法失信行为记录名单。</w:t>
            </w:r>
            <w:r>
              <w:rPr>
                <w:rFonts w:ascii="宋体" w:hAnsi="宋体"/>
                <w:color w:val="auto"/>
                <w:sz w:val="20"/>
                <w:szCs w:val="28"/>
                <w:highlight w:val="none"/>
              </w:rPr>
              <w:t>】</w:t>
            </w:r>
            <w:r>
              <w:rPr>
                <w:rFonts w:hint="eastAsia" w:ascii="宋体" w:hAnsi="宋体"/>
                <w:color w:val="auto"/>
                <w:sz w:val="20"/>
                <w:szCs w:val="28"/>
                <w:highlight w:val="none"/>
              </w:rPr>
              <w:t>。</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vMerge w:val="continue"/>
            <w:noWrap w:val="0"/>
            <w:vAlign w:val="center"/>
          </w:tcPr>
          <w:p>
            <w:pPr>
              <w:pStyle w:val="31"/>
              <w:keepNext w:val="0"/>
              <w:keepLines w:val="0"/>
              <w:pageBreakBefore w:val="0"/>
              <w:widowControl w:val="0"/>
              <w:numPr>
                <w:ilvl w:val="0"/>
                <w:numId w:val="34"/>
              </w:numPr>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color w:val="auto"/>
                <w:sz w:val="20"/>
                <w:szCs w:val="28"/>
                <w:highlight w:val="none"/>
              </w:rPr>
            </w:pPr>
            <w:r>
              <w:rPr>
                <w:rFonts w:hint="eastAsia" w:ascii="宋体" w:hAnsi="宋体"/>
                <w:color w:val="auto"/>
                <w:sz w:val="20"/>
                <w:szCs w:val="28"/>
                <w:highlight w:val="none"/>
              </w:rPr>
              <w:t>未处于被行政部门禁止参与政府采购活动的期限内</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both"/>
              <w:textAlignment w:val="auto"/>
              <w:rPr>
                <w:rFonts w:ascii="宋体" w:hAnsi="宋体"/>
                <w:color w:val="auto"/>
                <w:sz w:val="20"/>
                <w:szCs w:val="28"/>
                <w:highlight w:val="none"/>
              </w:rPr>
            </w:pPr>
            <w:r>
              <w:rPr>
                <w:rFonts w:hint="eastAsia" w:ascii="宋体" w:hAnsi="宋体"/>
                <w:color w:val="auto"/>
                <w:sz w:val="20"/>
                <w:szCs w:val="28"/>
                <w:highlight w:val="none"/>
              </w:rPr>
              <w:t>供应商未处于被行政部门禁止参与政府采购活动的期限内</w:t>
            </w:r>
            <w:r>
              <w:rPr>
                <w:rFonts w:ascii="宋体" w:hAnsi="宋体"/>
                <w:color w:val="auto"/>
                <w:sz w:val="20"/>
                <w:szCs w:val="28"/>
                <w:highlight w:val="none"/>
              </w:rPr>
              <w:t>的</w:t>
            </w:r>
            <w:r>
              <w:rPr>
                <w:rFonts w:ascii="宋体" w:hAnsi="宋体"/>
                <w:color w:val="auto"/>
                <w:sz w:val="20"/>
                <w:szCs w:val="20"/>
                <w:highlight w:val="none"/>
              </w:rPr>
              <w:t>书面声明材料</w:t>
            </w:r>
            <w:r>
              <w:rPr>
                <w:rFonts w:hint="eastAsia" w:ascii="宋体" w:hAnsi="宋体"/>
                <w:color w:val="auto"/>
                <w:sz w:val="20"/>
                <w:szCs w:val="20"/>
                <w:highlight w:val="none"/>
              </w:rPr>
              <w:t>【说明：①按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；②供应商未处于被行政部门禁止参与政府采购活动的期限内。】</w:t>
            </w:r>
            <w:r>
              <w:rPr>
                <w:rFonts w:hint="eastAsia" w:ascii="宋体" w:hAnsi="宋体"/>
                <w:color w:val="auto"/>
                <w:sz w:val="20"/>
                <w:szCs w:val="28"/>
                <w:highlight w:val="none"/>
              </w:rPr>
              <w:t>。</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vMerge w:val="continue"/>
            <w:noWrap w:val="0"/>
            <w:vAlign w:val="center"/>
          </w:tcPr>
          <w:p>
            <w:pPr>
              <w:pStyle w:val="31"/>
              <w:keepNext w:val="0"/>
              <w:keepLines w:val="0"/>
              <w:pageBreakBefore w:val="0"/>
              <w:widowControl w:val="0"/>
              <w:numPr>
                <w:ilvl w:val="0"/>
                <w:numId w:val="34"/>
              </w:numPr>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行贿犯罪记录</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在行贿犯罪信息查询期限内，供应商及其现任法定代表人、主要负责人没有行贿犯罪记录的书面声明材料【注：</w:t>
            </w:r>
            <w:r>
              <w:rPr>
                <w:rFonts w:hint="eastAsia" w:ascii="宋体" w:hAnsi="宋体"/>
                <w:color w:val="auto"/>
                <w:sz w:val="20"/>
                <w:szCs w:val="20"/>
                <w:highlight w:val="none"/>
              </w:rPr>
              <w:t>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w:t>
            </w:r>
            <w:r>
              <w:rPr>
                <w:rFonts w:hint="eastAsia"/>
                <w:color w:val="auto"/>
                <w:sz w:val="20"/>
                <w:szCs w:val="20"/>
                <w:highlight w:val="none"/>
                <w:lang w:eastAsia="zh-CN"/>
              </w:rPr>
              <w:t>响应</w:t>
            </w:r>
            <w:r>
              <w:rPr>
                <w:rFonts w:hint="eastAsia" w:ascii="宋体" w:hAnsi="宋体"/>
                <w:color w:val="auto"/>
                <w:sz w:val="20"/>
                <w:szCs w:val="20"/>
                <w:highlight w:val="none"/>
              </w:rPr>
              <w:t>文件中不需提供中国裁判文书网（</w:t>
            </w:r>
            <w:r>
              <w:rPr>
                <w:rFonts w:ascii="宋体" w:hAnsi="宋体"/>
                <w:color w:val="auto"/>
                <w:sz w:val="20"/>
                <w:szCs w:val="20"/>
                <w:highlight w:val="none"/>
              </w:rPr>
              <w:t>http://wenshu.court.gov.cn</w:t>
            </w:r>
            <w:r>
              <w:rPr>
                <w:rFonts w:hint="eastAsia" w:ascii="宋体" w:hAnsi="宋体"/>
                <w:color w:val="auto"/>
                <w:sz w:val="20"/>
                <w:szCs w:val="20"/>
                <w:highlight w:val="none"/>
              </w:rPr>
              <w:t>）</w:t>
            </w:r>
            <w:r>
              <w:rPr>
                <w:rFonts w:hint="eastAsia" w:ascii="宋体" w:hAnsi="宋体"/>
                <w:color w:val="auto"/>
                <w:sz w:val="20"/>
                <w:szCs w:val="28"/>
                <w:highlight w:val="none"/>
              </w:rPr>
              <w:t>查询结果的证明材料；②在行贿犯罪信息查询期限内，供应商及其现任法定代表人、主要负责人没有行贿犯罪记录。】。</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09" w:type="dxa"/>
            <w:vMerge w:val="continue"/>
            <w:noWrap w:val="0"/>
            <w:vAlign w:val="center"/>
          </w:tcPr>
          <w:p>
            <w:pPr>
              <w:pStyle w:val="31"/>
              <w:keepNext w:val="0"/>
              <w:keepLines w:val="0"/>
              <w:pageBreakBefore w:val="0"/>
              <w:widowControl w:val="0"/>
              <w:numPr>
                <w:ilvl w:val="0"/>
                <w:numId w:val="34"/>
              </w:numPr>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单位负责人为同一人或者存在直接控股、管理关系的不同供应商，不得参加同一项目的</w:t>
            </w:r>
            <w:r>
              <w:rPr>
                <w:rFonts w:hint="eastAsia"/>
                <w:color w:val="auto"/>
                <w:sz w:val="20"/>
                <w:szCs w:val="28"/>
                <w:highlight w:val="none"/>
                <w:lang w:eastAsia="zh-CN"/>
              </w:rPr>
              <w:t>磋商</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color w:val="auto"/>
                <w:sz w:val="20"/>
                <w:szCs w:val="20"/>
                <w:highlight w:val="none"/>
              </w:rPr>
            </w:pPr>
            <w:r>
              <w:rPr>
                <w:rFonts w:hint="eastAsia" w:ascii="宋体" w:hAnsi="宋体"/>
                <w:color w:val="auto"/>
                <w:sz w:val="20"/>
                <w:szCs w:val="20"/>
                <w:highlight w:val="none"/>
              </w:rPr>
              <w:t>负责人为同一人或者存在直接控股、管理关系的相关供应商未同时参加本项目书面声明材料【说明：①按</w:t>
            </w:r>
            <w:r>
              <w:rPr>
                <w:rFonts w:hint="eastAsia"/>
                <w:color w:val="auto"/>
                <w:sz w:val="20"/>
                <w:szCs w:val="20"/>
                <w:highlight w:val="none"/>
                <w:lang w:eastAsia="zh-CN"/>
              </w:rPr>
              <w:t>磋商文件</w:t>
            </w:r>
            <w:r>
              <w:rPr>
                <w:rFonts w:hint="eastAsia" w:ascii="宋体" w:hAnsi="宋体"/>
                <w:color w:val="auto"/>
                <w:sz w:val="20"/>
                <w:szCs w:val="20"/>
                <w:highlight w:val="none"/>
              </w:rPr>
              <w:t>3.</w:t>
            </w:r>
            <w:r>
              <w:rPr>
                <w:rFonts w:hint="eastAsia"/>
                <w:color w:val="auto"/>
                <w:sz w:val="20"/>
                <w:szCs w:val="20"/>
                <w:highlight w:val="none"/>
                <w:lang w:val="en-US" w:eastAsia="zh-CN"/>
              </w:rPr>
              <w:t>1</w:t>
            </w:r>
            <w:r>
              <w:rPr>
                <w:rFonts w:hint="eastAsia" w:ascii="宋体" w:hAnsi="宋体"/>
                <w:color w:val="auto"/>
                <w:sz w:val="20"/>
                <w:szCs w:val="20"/>
                <w:highlight w:val="none"/>
              </w:rPr>
              <w:t>.</w:t>
            </w:r>
            <w:r>
              <w:rPr>
                <w:rFonts w:hint="eastAsia"/>
                <w:color w:val="auto"/>
                <w:sz w:val="20"/>
                <w:szCs w:val="20"/>
                <w:highlight w:val="none"/>
                <w:lang w:val="en-US" w:eastAsia="zh-CN"/>
              </w:rPr>
              <w:t>3</w:t>
            </w:r>
            <w:r>
              <w:rPr>
                <w:rFonts w:hint="eastAsia" w:ascii="宋体" w:hAnsi="宋体"/>
                <w:color w:val="auto"/>
                <w:sz w:val="20"/>
                <w:szCs w:val="20"/>
                <w:highlight w:val="none"/>
              </w:rPr>
              <w:t>声明</w:t>
            </w:r>
            <w:r>
              <w:rPr>
                <w:rFonts w:ascii="宋体" w:hAnsi="宋体"/>
                <w:color w:val="auto"/>
                <w:sz w:val="20"/>
                <w:szCs w:val="20"/>
                <w:highlight w:val="none"/>
              </w:rPr>
              <w:t>的内容提供书面声明材料</w:t>
            </w:r>
            <w:r>
              <w:rPr>
                <w:rFonts w:hint="eastAsia" w:ascii="宋体" w:hAnsi="宋体"/>
                <w:color w:val="auto"/>
                <w:sz w:val="20"/>
                <w:szCs w:val="20"/>
                <w:highlight w:val="none"/>
              </w:rPr>
              <w:t>；②参加</w:t>
            </w:r>
            <w:r>
              <w:rPr>
                <w:rFonts w:hint="eastAsia"/>
                <w:color w:val="auto"/>
                <w:sz w:val="20"/>
                <w:szCs w:val="20"/>
                <w:highlight w:val="none"/>
                <w:lang w:eastAsia="zh-CN"/>
              </w:rPr>
              <w:t>磋商</w:t>
            </w:r>
            <w:r>
              <w:rPr>
                <w:rFonts w:hint="eastAsia" w:ascii="宋体" w:hAnsi="宋体"/>
                <w:color w:val="auto"/>
                <w:sz w:val="20"/>
                <w:szCs w:val="20"/>
                <w:highlight w:val="none"/>
              </w:rPr>
              <w:t>的供应商中无与供应商的负责人为同一人或者存在直接控股、管理关系的供应商</w:t>
            </w:r>
            <w:r>
              <w:rPr>
                <w:rFonts w:hint="eastAsia" w:ascii="宋体" w:hAnsi="宋体"/>
                <w:color w:val="auto"/>
                <w:sz w:val="20"/>
                <w:szCs w:val="28"/>
                <w:highlight w:val="none"/>
              </w:rPr>
              <w:t>。</w:t>
            </w:r>
            <w:r>
              <w:rPr>
                <w:rFonts w:hint="eastAsia" w:ascii="宋体" w:hAnsi="宋体"/>
                <w:color w:val="auto"/>
                <w:sz w:val="20"/>
                <w:szCs w:val="20"/>
                <w:highlight w:val="none"/>
              </w:rPr>
              <w:t>】。</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0"/>
                <w:highlight w:val="none"/>
              </w:rPr>
            </w:pP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9" w:type="dxa"/>
            <w:vMerge w:val="restart"/>
            <w:noWrap w:val="0"/>
            <w:vAlign w:val="center"/>
          </w:tcPr>
          <w:p>
            <w:pPr>
              <w:pStyle w:val="31"/>
              <w:keepNext w:val="0"/>
              <w:keepLines w:val="0"/>
              <w:pageBreakBefore w:val="0"/>
              <w:widowControl w:val="0"/>
              <w:numPr>
                <w:ilvl w:val="0"/>
                <w:numId w:val="34"/>
              </w:numPr>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其他</w:t>
            </w: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具有履行合同所必须的设备和专业技术能力</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0"/>
                <w:highlight w:val="none"/>
              </w:rPr>
            </w:pPr>
            <w:r>
              <w:rPr>
                <w:rFonts w:hint="eastAsia" w:ascii="宋体" w:hAnsi="宋体"/>
                <w:color w:val="auto"/>
                <w:sz w:val="20"/>
                <w:szCs w:val="20"/>
                <w:highlight w:val="none"/>
              </w:rPr>
              <w:t>采购人对供应商履行合同所必须的设备和专业技术能力无特殊要求，供应商具有有效的营业执照或法人证书即可，可不提供其他证明材料。</w:t>
            </w:r>
            <w:r>
              <w:rPr>
                <w:rFonts w:hint="eastAsia"/>
                <w:color w:val="auto"/>
                <w:sz w:val="20"/>
                <w:highlight w:val="none"/>
              </w:rPr>
              <w:t>【说明：无须提供证明材料，上传空白页即可，不对本项上传的材料作资格审查】。</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9" w:type="dxa"/>
            <w:vMerge w:val="continue"/>
            <w:noWrap w:val="0"/>
            <w:vAlign w:val="center"/>
          </w:tcPr>
          <w:p>
            <w:pPr>
              <w:pStyle w:val="31"/>
              <w:keepNext w:val="0"/>
              <w:keepLines w:val="0"/>
              <w:pageBreakBefore w:val="0"/>
              <w:widowControl w:val="0"/>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联合体</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非联合体形式参加</w:t>
            </w:r>
            <w:r>
              <w:rPr>
                <w:rFonts w:hint="eastAsia" w:ascii="宋体" w:hAnsi="宋体"/>
                <w:color w:val="auto"/>
                <w:sz w:val="20"/>
                <w:szCs w:val="28"/>
                <w:highlight w:val="none"/>
                <w:lang w:eastAsia="zh-CN"/>
              </w:rPr>
              <w:t>磋商</w:t>
            </w:r>
            <w:r>
              <w:rPr>
                <w:rFonts w:hint="eastAsia" w:ascii="宋体" w:hAnsi="宋体"/>
                <w:color w:val="auto"/>
                <w:sz w:val="20"/>
                <w:szCs w:val="28"/>
                <w:highlight w:val="none"/>
              </w:rPr>
              <w:t>。</w:t>
            </w:r>
            <w:r>
              <w:rPr>
                <w:rFonts w:hint="eastAsia"/>
                <w:color w:val="auto"/>
                <w:sz w:val="20"/>
                <w:highlight w:val="none"/>
              </w:rPr>
              <w:t>【说明：无须提供证明材料，上传空白页即可，不对本项上传的材料作资格审查】。</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9" w:type="dxa"/>
            <w:vMerge w:val="continue"/>
            <w:noWrap w:val="0"/>
            <w:vAlign w:val="center"/>
          </w:tcPr>
          <w:p>
            <w:pPr>
              <w:pStyle w:val="31"/>
              <w:keepNext w:val="0"/>
              <w:keepLines w:val="0"/>
              <w:pageBreakBefore w:val="0"/>
              <w:widowControl w:val="0"/>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lang w:eastAsia="zh-CN"/>
              </w:rPr>
              <w:t>资质要求</w:t>
            </w:r>
          </w:p>
        </w:tc>
        <w:tc>
          <w:tcPr>
            <w:tcW w:w="5253"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0"/>
                <w:highlight w:val="none"/>
              </w:rPr>
            </w:pPr>
            <w:r>
              <w:rPr>
                <w:rFonts w:hint="eastAsia"/>
                <w:color w:val="auto"/>
                <w:sz w:val="20"/>
                <w:highlight w:val="none"/>
              </w:rPr>
              <w:t>无【说明：无须提供证明材料，上传空白页即可，不对本项上传的材料作资格审查】</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9" w:type="dxa"/>
            <w:vMerge w:val="continue"/>
            <w:noWrap w:val="0"/>
            <w:vAlign w:val="center"/>
          </w:tcPr>
          <w:p>
            <w:pPr>
              <w:pStyle w:val="31"/>
              <w:keepNext w:val="0"/>
              <w:keepLines w:val="0"/>
              <w:pageBreakBefore w:val="0"/>
              <w:widowControl w:val="0"/>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olor w:val="auto"/>
                <w:sz w:val="20"/>
                <w:szCs w:val="28"/>
                <w:highlight w:val="none"/>
                <w:lang w:eastAsia="zh-CN"/>
              </w:rPr>
            </w:pPr>
            <w:r>
              <w:rPr>
                <w:rFonts w:hint="eastAsia" w:ascii="宋体" w:hAnsi="宋体"/>
                <w:color w:val="auto"/>
                <w:sz w:val="20"/>
                <w:szCs w:val="28"/>
                <w:highlight w:val="none"/>
                <w:lang w:eastAsia="zh-CN"/>
              </w:rPr>
              <w:t>磋商保证金</w:t>
            </w:r>
          </w:p>
        </w:tc>
        <w:tc>
          <w:tcPr>
            <w:tcW w:w="5253"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s="宋体"/>
                <w:color w:val="auto"/>
                <w:kern w:val="2"/>
                <w:sz w:val="20"/>
                <w:szCs w:val="22"/>
                <w:highlight w:val="none"/>
                <w:lang w:val="en-US" w:eastAsia="zh-CN" w:bidi="ar-SA"/>
              </w:rPr>
            </w:pPr>
            <w:r>
              <w:rPr>
                <w:rFonts w:hint="eastAsia"/>
                <w:color w:val="auto"/>
                <w:sz w:val="20"/>
                <w:highlight w:val="none"/>
              </w:rPr>
              <w:t>无【说明：无须提供证明材料，上传空白页即可，不对本项上传的材料作资格审查】</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9" w:type="dxa"/>
            <w:vMerge w:val="continue"/>
            <w:noWrap w:val="0"/>
            <w:vAlign w:val="center"/>
          </w:tcPr>
          <w:p>
            <w:pPr>
              <w:pStyle w:val="31"/>
              <w:keepNext w:val="0"/>
              <w:keepLines w:val="0"/>
              <w:pageBreakBefore w:val="0"/>
              <w:widowControl w:val="0"/>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olor w:val="auto"/>
                <w:sz w:val="20"/>
                <w:szCs w:val="28"/>
                <w:highlight w:val="none"/>
                <w:lang w:eastAsia="zh-CN"/>
              </w:rPr>
            </w:pPr>
            <w:r>
              <w:rPr>
                <w:rFonts w:hint="eastAsia" w:ascii="宋体" w:hAnsi="宋体"/>
                <w:color w:val="auto"/>
                <w:sz w:val="20"/>
                <w:szCs w:val="28"/>
                <w:highlight w:val="none"/>
                <w:lang w:eastAsia="zh-CN"/>
              </w:rPr>
              <w:t>响应文件</w:t>
            </w:r>
            <w:r>
              <w:rPr>
                <w:rFonts w:hint="eastAsia" w:ascii="宋体" w:hAnsi="宋体"/>
                <w:color w:val="auto"/>
                <w:sz w:val="20"/>
                <w:szCs w:val="28"/>
                <w:highlight w:val="none"/>
              </w:rPr>
              <w:t>签章</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s="宋体"/>
                <w:color w:val="auto"/>
                <w:kern w:val="2"/>
                <w:sz w:val="20"/>
                <w:szCs w:val="22"/>
                <w:highlight w:val="none"/>
                <w:lang w:val="en-US" w:eastAsia="zh-CN" w:bidi="ar-SA"/>
              </w:rPr>
            </w:pPr>
            <w:r>
              <w:rPr>
                <w:rFonts w:hint="eastAsia"/>
                <w:color w:val="auto"/>
                <w:sz w:val="20"/>
                <w:highlight w:val="none"/>
                <w:lang w:eastAsia="zh-CN"/>
              </w:rPr>
              <w:t>响应</w:t>
            </w:r>
            <w:r>
              <w:rPr>
                <w:rFonts w:hint="eastAsia"/>
                <w:color w:val="auto"/>
                <w:sz w:val="20"/>
                <w:highlight w:val="none"/>
              </w:rPr>
              <w:t>文件加盖有</w:t>
            </w:r>
            <w:r>
              <w:rPr>
                <w:rFonts w:hint="eastAsia"/>
                <w:color w:val="auto"/>
                <w:sz w:val="20"/>
                <w:highlight w:val="none"/>
                <w:lang w:eastAsia="zh-CN"/>
              </w:rPr>
              <w:t>供应商</w:t>
            </w:r>
            <w:r>
              <w:rPr>
                <w:rFonts w:hint="eastAsia"/>
                <w:color w:val="auto"/>
                <w:sz w:val="20"/>
                <w:highlight w:val="none"/>
              </w:rPr>
              <w:t>（法定名称）电子签章。【说明：无须提供证明材料，上传空白页即可，不对本项上传的材料作资格审查】</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9" w:type="dxa"/>
            <w:vMerge w:val="continue"/>
            <w:noWrap w:val="0"/>
            <w:vAlign w:val="center"/>
          </w:tcPr>
          <w:p>
            <w:pPr>
              <w:pStyle w:val="31"/>
              <w:keepNext w:val="0"/>
              <w:keepLines w:val="0"/>
              <w:pageBreakBefore w:val="0"/>
              <w:widowControl w:val="0"/>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lang w:eastAsia="zh-CN"/>
              </w:rPr>
              <w:t>响应文件</w:t>
            </w:r>
            <w:r>
              <w:rPr>
                <w:rFonts w:ascii="宋体" w:hAnsi="宋体"/>
                <w:color w:val="auto"/>
                <w:sz w:val="20"/>
                <w:szCs w:val="28"/>
                <w:highlight w:val="none"/>
              </w:rPr>
              <w:t>解密情况</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除因断电、断网、系统故障或其他不可抗力等因素，导致系统无法使用外，</w:t>
            </w:r>
            <w:r>
              <w:rPr>
                <w:rFonts w:hint="eastAsia" w:ascii="宋体" w:hAnsi="宋体"/>
                <w:color w:val="auto"/>
                <w:sz w:val="20"/>
                <w:szCs w:val="28"/>
                <w:highlight w:val="none"/>
                <w:lang w:eastAsia="zh-CN"/>
              </w:rPr>
              <w:t>响应</w:t>
            </w:r>
            <w:r>
              <w:rPr>
                <w:rFonts w:hint="eastAsia" w:ascii="宋体" w:hAnsi="宋体"/>
                <w:color w:val="auto"/>
                <w:sz w:val="20"/>
                <w:szCs w:val="28"/>
                <w:highlight w:val="none"/>
              </w:rPr>
              <w:t>文件已成功解密。</w:t>
            </w:r>
            <w:r>
              <w:rPr>
                <w:rFonts w:hint="eastAsia"/>
                <w:color w:val="auto"/>
                <w:sz w:val="20"/>
                <w:highlight w:val="none"/>
              </w:rPr>
              <w:t>【说明：无须提供证明材料，上传空白页即可，不对本项上传的材料作资格审查】</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09" w:type="dxa"/>
            <w:vMerge w:val="continue"/>
            <w:noWrap w:val="0"/>
            <w:vAlign w:val="center"/>
          </w:tcPr>
          <w:p>
            <w:pPr>
              <w:pStyle w:val="31"/>
              <w:keepNext w:val="0"/>
              <w:keepLines w:val="0"/>
              <w:pageBreakBefore w:val="0"/>
              <w:widowControl w:val="0"/>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响应文件的语言、有效期</w:t>
            </w:r>
          </w:p>
        </w:tc>
        <w:tc>
          <w:tcPr>
            <w:tcW w:w="5253"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color w:val="auto"/>
                <w:sz w:val="20"/>
                <w:highlight w:val="none"/>
              </w:rPr>
              <w:t>语言符合</w:t>
            </w:r>
            <w:r>
              <w:rPr>
                <w:rFonts w:hint="eastAsia"/>
                <w:color w:val="auto"/>
                <w:sz w:val="20"/>
                <w:highlight w:val="none"/>
                <w:lang w:eastAsia="zh-CN"/>
              </w:rPr>
              <w:t>磋商</w:t>
            </w:r>
            <w:r>
              <w:rPr>
                <w:rFonts w:hint="eastAsia"/>
                <w:color w:val="auto"/>
                <w:sz w:val="20"/>
                <w:highlight w:val="none"/>
              </w:rPr>
              <w:t>文件的要求。【说明：无须提供证明材料，上传空白页即可，不对本项上传的材料作资格审查】</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709" w:type="dxa"/>
            <w:vMerge w:val="continue"/>
            <w:noWrap w:val="0"/>
            <w:vAlign w:val="center"/>
          </w:tcPr>
          <w:p>
            <w:pPr>
              <w:pStyle w:val="31"/>
              <w:keepNext w:val="0"/>
              <w:keepLines w:val="0"/>
              <w:pageBreakBefore w:val="0"/>
              <w:widowControl w:val="0"/>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不属于其他国家相关法律法规规定的禁止参加</w:t>
            </w:r>
            <w:r>
              <w:rPr>
                <w:rFonts w:hint="eastAsia"/>
                <w:color w:val="auto"/>
                <w:sz w:val="20"/>
                <w:szCs w:val="28"/>
                <w:highlight w:val="none"/>
                <w:lang w:eastAsia="zh-CN"/>
              </w:rPr>
              <w:t>磋商</w:t>
            </w:r>
            <w:r>
              <w:rPr>
                <w:rFonts w:hint="eastAsia" w:ascii="宋体" w:hAnsi="宋体"/>
                <w:color w:val="auto"/>
                <w:sz w:val="20"/>
                <w:szCs w:val="28"/>
                <w:highlight w:val="none"/>
              </w:rPr>
              <w:t>的供应商</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color w:val="auto"/>
                <w:sz w:val="20"/>
                <w:szCs w:val="28"/>
                <w:highlight w:val="none"/>
                <w:lang w:val="en-US" w:eastAsia="zh-CN"/>
              </w:rPr>
              <w:t>1.</w:t>
            </w:r>
            <w:r>
              <w:rPr>
                <w:rFonts w:ascii="宋体" w:hAnsi="宋体"/>
                <w:color w:val="auto"/>
                <w:sz w:val="20"/>
                <w:szCs w:val="28"/>
                <w:highlight w:val="none"/>
              </w:rPr>
              <w:t>根据</w:t>
            </w:r>
            <w:r>
              <w:rPr>
                <w:rFonts w:hint="eastAsia"/>
                <w:color w:val="auto"/>
                <w:sz w:val="20"/>
                <w:szCs w:val="28"/>
                <w:highlight w:val="none"/>
                <w:lang w:eastAsia="zh-CN"/>
              </w:rPr>
              <w:t>磋商</w:t>
            </w:r>
            <w:r>
              <w:rPr>
                <w:rFonts w:hint="eastAsia" w:ascii="宋体" w:hAnsi="宋体"/>
                <w:color w:val="auto"/>
                <w:sz w:val="20"/>
                <w:szCs w:val="28"/>
                <w:highlight w:val="none"/>
              </w:rPr>
              <w:t>文件的要求不属于禁止参加</w:t>
            </w:r>
            <w:r>
              <w:rPr>
                <w:rFonts w:hint="eastAsia"/>
                <w:color w:val="auto"/>
                <w:sz w:val="20"/>
                <w:szCs w:val="28"/>
                <w:highlight w:val="none"/>
                <w:lang w:eastAsia="zh-CN"/>
              </w:rPr>
              <w:t>磋商</w:t>
            </w:r>
            <w:r>
              <w:rPr>
                <w:rFonts w:hint="eastAsia" w:ascii="宋体" w:hAnsi="宋体"/>
                <w:color w:val="auto"/>
                <w:sz w:val="20"/>
                <w:szCs w:val="28"/>
                <w:highlight w:val="none"/>
              </w:rPr>
              <w:t>的供应商；</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color w:val="auto"/>
                <w:sz w:val="20"/>
                <w:szCs w:val="28"/>
                <w:highlight w:val="none"/>
                <w:lang w:val="en-US" w:eastAsia="zh-CN"/>
              </w:rPr>
              <w:t>2.</w:t>
            </w:r>
            <w:r>
              <w:rPr>
                <w:rFonts w:hint="eastAsia"/>
                <w:color w:val="auto"/>
                <w:sz w:val="20"/>
                <w:szCs w:val="28"/>
                <w:highlight w:val="none"/>
                <w:lang w:eastAsia="zh-CN"/>
              </w:rPr>
              <w:t>磋商</w:t>
            </w:r>
            <w:r>
              <w:rPr>
                <w:rFonts w:hint="eastAsia" w:ascii="宋体" w:hAnsi="宋体"/>
                <w:color w:val="auto"/>
                <w:sz w:val="20"/>
                <w:szCs w:val="28"/>
                <w:highlight w:val="none"/>
              </w:rPr>
              <w:t>小组未发现或者未知晓供应商存在属于国家相关法律法规规定的禁止参加</w:t>
            </w:r>
            <w:r>
              <w:rPr>
                <w:rFonts w:hint="eastAsia"/>
                <w:color w:val="auto"/>
                <w:sz w:val="20"/>
                <w:szCs w:val="28"/>
                <w:highlight w:val="none"/>
                <w:lang w:eastAsia="zh-CN"/>
              </w:rPr>
              <w:t>磋商</w:t>
            </w:r>
            <w:r>
              <w:rPr>
                <w:rFonts w:hint="eastAsia" w:ascii="宋体" w:hAnsi="宋体"/>
                <w:color w:val="auto"/>
                <w:sz w:val="20"/>
                <w:szCs w:val="28"/>
                <w:highlight w:val="none"/>
              </w:rPr>
              <w:t>的供应商。</w:t>
            </w:r>
            <w:r>
              <w:rPr>
                <w:rFonts w:hint="eastAsia"/>
                <w:color w:val="auto"/>
                <w:sz w:val="20"/>
                <w:highlight w:val="none"/>
              </w:rPr>
              <w:t>【说明：无须提供证明材料，上传空白页即可，不对本项上传的材料作资格审查】。</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709" w:type="dxa"/>
            <w:vMerge w:val="continue"/>
            <w:noWrap w:val="0"/>
            <w:vAlign w:val="center"/>
          </w:tcPr>
          <w:p>
            <w:pPr>
              <w:pStyle w:val="31"/>
              <w:keepNext w:val="0"/>
              <w:keepLines w:val="0"/>
              <w:pageBreakBefore w:val="0"/>
              <w:widowControl w:val="0"/>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12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c>
          <w:tcPr>
            <w:tcW w:w="131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eastAsia="宋体" w:cs="宋体"/>
                <w:color w:val="auto"/>
                <w:kern w:val="2"/>
                <w:sz w:val="20"/>
                <w:szCs w:val="28"/>
                <w:highlight w:val="none"/>
                <w:lang w:val="en-US" w:eastAsia="zh-CN" w:bidi="ar-SA"/>
              </w:rPr>
            </w:pPr>
            <w:r>
              <w:rPr>
                <w:rFonts w:hint="eastAsia" w:ascii="宋体" w:hAnsi="宋体"/>
                <w:color w:val="auto"/>
                <w:sz w:val="20"/>
                <w:szCs w:val="28"/>
                <w:highlight w:val="none"/>
              </w:rPr>
              <w:t>法律、行政法规规定的其他条件</w:t>
            </w:r>
          </w:p>
        </w:tc>
        <w:tc>
          <w:tcPr>
            <w:tcW w:w="525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s="宋体"/>
                <w:color w:val="auto"/>
                <w:kern w:val="2"/>
                <w:sz w:val="20"/>
                <w:szCs w:val="28"/>
                <w:highlight w:val="none"/>
                <w:lang w:val="en-US" w:eastAsia="zh-CN" w:bidi="ar-SA"/>
              </w:rPr>
            </w:pPr>
            <w:r>
              <w:rPr>
                <w:rFonts w:hint="eastAsia" w:ascii="宋体" w:hAnsi="宋体"/>
                <w:color w:val="auto"/>
                <w:sz w:val="20"/>
                <w:szCs w:val="28"/>
                <w:highlight w:val="none"/>
              </w:rPr>
              <w:t>采购人对法律、行政法规规定的其他条件无特殊要求，供应商具有有效的营业执照或法人证书即可，可不提供其他证明材料。</w:t>
            </w:r>
            <w:r>
              <w:rPr>
                <w:rFonts w:hint="eastAsia"/>
                <w:color w:val="auto"/>
                <w:sz w:val="20"/>
                <w:highlight w:val="none"/>
              </w:rPr>
              <w:t>【说明：无须提供证明材料，上传空白页即可，不对本项上传的材料作资格审查】。</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9" w:type="dxa"/>
            <w:noWrap w:val="0"/>
            <w:vAlign w:val="center"/>
          </w:tcPr>
          <w:p>
            <w:pPr>
              <w:pStyle w:val="31"/>
              <w:keepNext w:val="0"/>
              <w:keepLines w:val="0"/>
              <w:pageBreakBefore w:val="0"/>
              <w:widowControl w:val="0"/>
              <w:numPr>
                <w:ilvl w:val="0"/>
                <w:numId w:val="34"/>
              </w:numPr>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2552" w:type="dxa"/>
            <w:gridSpan w:val="2"/>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s="宋体"/>
                <w:color w:val="auto"/>
                <w:kern w:val="2"/>
                <w:sz w:val="20"/>
                <w:szCs w:val="22"/>
                <w:highlight w:val="none"/>
                <w:lang w:val="en-US" w:eastAsia="zh-CN" w:bidi="ar-SA"/>
              </w:rPr>
            </w:pPr>
            <w:r>
              <w:rPr>
                <w:rFonts w:hint="eastAsia"/>
                <w:color w:val="auto"/>
                <w:sz w:val="20"/>
                <w:highlight w:val="none"/>
                <w:lang w:eastAsia="zh-CN"/>
              </w:rPr>
              <w:t>响应</w:t>
            </w:r>
            <w:r>
              <w:rPr>
                <w:rFonts w:hint="eastAsia"/>
                <w:color w:val="auto"/>
                <w:sz w:val="20"/>
                <w:highlight w:val="none"/>
              </w:rPr>
              <w:t>文件资格性审查部分组成</w:t>
            </w:r>
          </w:p>
        </w:tc>
        <w:tc>
          <w:tcPr>
            <w:tcW w:w="5253"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s="宋体"/>
                <w:color w:val="auto"/>
                <w:kern w:val="2"/>
                <w:sz w:val="20"/>
                <w:szCs w:val="22"/>
                <w:highlight w:val="none"/>
                <w:lang w:val="en-US" w:eastAsia="zh-CN" w:bidi="ar-SA"/>
              </w:rPr>
            </w:pPr>
            <w:r>
              <w:rPr>
                <w:rFonts w:hint="eastAsia"/>
                <w:color w:val="auto"/>
                <w:sz w:val="20"/>
                <w:highlight w:val="none"/>
              </w:rPr>
              <w:t>符合</w:t>
            </w:r>
            <w:r>
              <w:rPr>
                <w:rFonts w:hint="eastAsia"/>
                <w:color w:val="auto"/>
                <w:sz w:val="20"/>
                <w:highlight w:val="none"/>
                <w:lang w:eastAsia="zh-CN"/>
              </w:rPr>
              <w:t>磋商</w:t>
            </w:r>
            <w:r>
              <w:rPr>
                <w:rFonts w:hint="eastAsia"/>
                <w:color w:val="auto"/>
                <w:sz w:val="20"/>
                <w:highlight w:val="none"/>
              </w:rPr>
              <w:t>文件“2.4.</w:t>
            </w:r>
            <w:r>
              <w:rPr>
                <w:rFonts w:hint="eastAsia"/>
                <w:color w:val="auto"/>
                <w:sz w:val="20"/>
                <w:highlight w:val="none"/>
                <w:lang w:val="en-US" w:eastAsia="zh-CN"/>
              </w:rPr>
              <w:t>5</w:t>
            </w:r>
            <w:r>
              <w:rPr>
                <w:rFonts w:hint="eastAsia"/>
                <w:color w:val="auto"/>
                <w:sz w:val="20"/>
                <w:highlight w:val="none"/>
                <w:lang w:eastAsia="zh-CN"/>
              </w:rPr>
              <w:t>响应</w:t>
            </w:r>
            <w:r>
              <w:rPr>
                <w:rFonts w:hint="eastAsia"/>
                <w:color w:val="auto"/>
                <w:sz w:val="20"/>
                <w:highlight w:val="none"/>
              </w:rPr>
              <w:t>文件的组成”规定要求。【说明①供应商按磋商文件3.1.2关于供应商申明的内容提供供应商申明函；②供应商按磋商文件3.1.</w:t>
            </w:r>
            <w:r>
              <w:rPr>
                <w:rFonts w:hint="eastAsia"/>
                <w:color w:val="auto"/>
                <w:sz w:val="20"/>
                <w:highlight w:val="none"/>
                <w:lang w:val="en-US" w:eastAsia="zh-CN"/>
              </w:rPr>
              <w:t>5</w:t>
            </w:r>
            <w:r>
              <w:rPr>
                <w:rFonts w:hint="eastAsia"/>
                <w:color w:val="auto"/>
                <w:sz w:val="20"/>
                <w:highlight w:val="none"/>
              </w:rPr>
              <w:t>供应商基本情况表的内容提供供应商基本情况表。】</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9" w:type="dxa"/>
            <w:noWrap w:val="0"/>
            <w:vAlign w:val="center"/>
          </w:tcPr>
          <w:p>
            <w:pPr>
              <w:pStyle w:val="31"/>
              <w:keepNext w:val="0"/>
              <w:keepLines w:val="0"/>
              <w:pageBreakBefore w:val="0"/>
              <w:widowControl w:val="0"/>
              <w:numPr>
                <w:ilvl w:val="0"/>
                <w:numId w:val="34"/>
              </w:numPr>
              <w:tabs>
                <w:tab w:val="left" w:pos="275"/>
              </w:tabs>
              <w:kinsoku/>
              <w:wordWrap/>
              <w:overflowPunct/>
              <w:topLinePunct w:val="0"/>
              <w:autoSpaceDE/>
              <w:autoSpaceDN/>
              <w:bidi w:val="0"/>
              <w:adjustRightInd w:val="0"/>
              <w:snapToGrid w:val="0"/>
              <w:spacing w:afterAutospacing="0" w:line="360" w:lineRule="auto"/>
              <w:ind w:left="0" w:firstLine="0" w:firstLineChars="0"/>
              <w:jc w:val="center"/>
              <w:textAlignment w:val="auto"/>
              <w:rPr>
                <w:rFonts w:ascii="宋体" w:hAnsi="宋体" w:eastAsia="宋体"/>
                <w:color w:val="auto"/>
                <w:sz w:val="20"/>
                <w:szCs w:val="28"/>
                <w:highlight w:val="none"/>
              </w:rPr>
            </w:pPr>
          </w:p>
        </w:tc>
        <w:tc>
          <w:tcPr>
            <w:tcW w:w="255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rFonts w:hint="eastAsia" w:ascii="宋体" w:hAnsi="宋体"/>
                <w:color w:val="auto"/>
                <w:sz w:val="20"/>
                <w:szCs w:val="28"/>
                <w:highlight w:val="none"/>
              </w:rPr>
              <w:t>具有健全的财务会计制度的证明材料</w:t>
            </w:r>
          </w:p>
        </w:tc>
        <w:tc>
          <w:tcPr>
            <w:tcW w:w="5253"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r>
              <w:rPr>
                <w:color w:val="auto"/>
                <w:sz w:val="20"/>
                <w:highlight w:val="none"/>
              </w:rPr>
              <w:t>2019</w:t>
            </w:r>
            <w:r>
              <w:rPr>
                <w:rFonts w:hint="eastAsia"/>
                <w:color w:val="auto"/>
                <w:sz w:val="20"/>
                <w:highlight w:val="none"/>
              </w:rPr>
              <w:t>或</w:t>
            </w:r>
            <w:r>
              <w:rPr>
                <w:color w:val="auto"/>
                <w:sz w:val="20"/>
                <w:highlight w:val="none"/>
              </w:rPr>
              <w:t>2020</w:t>
            </w:r>
            <w:r>
              <w:rPr>
                <w:rFonts w:hint="eastAsia"/>
                <w:color w:val="auto"/>
                <w:sz w:val="20"/>
                <w:highlight w:val="none"/>
              </w:rPr>
              <w:t>会计年度资产负债表复印件。【说明：</w:t>
            </w:r>
            <w:r>
              <w:rPr>
                <w:rFonts w:hint="eastAsia" w:ascii="宋体" w:hAnsi="宋体"/>
                <w:color w:val="auto"/>
                <w:sz w:val="20"/>
                <w:szCs w:val="28"/>
                <w:highlight w:val="none"/>
              </w:rPr>
              <w:t>供应商</w:t>
            </w:r>
            <w:r>
              <w:rPr>
                <w:rFonts w:hint="eastAsia"/>
                <w:color w:val="auto"/>
                <w:sz w:val="20"/>
                <w:highlight w:val="none"/>
              </w:rPr>
              <w:t>成立时间至</w:t>
            </w:r>
            <w:r>
              <w:rPr>
                <w:rFonts w:hint="eastAsia"/>
                <w:color w:val="auto"/>
                <w:sz w:val="20"/>
                <w:highlight w:val="none"/>
                <w:lang w:eastAsia="zh-CN"/>
              </w:rPr>
              <w:t>递交响应文件</w:t>
            </w:r>
            <w:r>
              <w:rPr>
                <w:rFonts w:hint="eastAsia"/>
                <w:color w:val="auto"/>
                <w:sz w:val="20"/>
                <w:highlight w:val="none"/>
              </w:rPr>
              <w:t>截止时间止不足一年的，提供成立后任意时段的资产负债表复印件。】</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709"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hint="eastAsia" w:ascii="宋体" w:hAnsi="宋体" w:eastAsia="宋体" w:cs="宋体"/>
                <w:color w:val="auto"/>
                <w:kern w:val="2"/>
                <w:sz w:val="20"/>
                <w:szCs w:val="22"/>
                <w:highlight w:val="none"/>
                <w:lang w:val="en-US" w:eastAsia="zh-CN" w:bidi="ar-SA"/>
              </w:rPr>
            </w:pPr>
            <w:r>
              <w:rPr>
                <w:rFonts w:hint="eastAsia"/>
                <w:color w:val="auto"/>
                <w:sz w:val="20"/>
                <w:highlight w:val="none"/>
                <w:lang w:val="en-US" w:eastAsia="zh-CN"/>
              </w:rPr>
              <w:t>6.</w:t>
            </w:r>
          </w:p>
        </w:tc>
        <w:tc>
          <w:tcPr>
            <w:tcW w:w="2552" w:type="dxa"/>
            <w:gridSpan w:val="2"/>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s="宋体"/>
                <w:color w:val="auto"/>
                <w:kern w:val="2"/>
                <w:sz w:val="20"/>
                <w:szCs w:val="22"/>
                <w:highlight w:val="none"/>
                <w:lang w:val="en-US" w:eastAsia="zh-CN" w:bidi="ar-SA"/>
              </w:rPr>
            </w:pPr>
            <w:r>
              <w:rPr>
                <w:rFonts w:hint="eastAsia" w:ascii="宋体" w:hAnsi="宋体" w:cs="宋体"/>
                <w:color w:val="auto"/>
                <w:kern w:val="2"/>
                <w:sz w:val="20"/>
                <w:szCs w:val="22"/>
                <w:highlight w:val="none"/>
                <w:lang w:val="en-US" w:eastAsia="zh-CN" w:bidi="ar-SA"/>
              </w:rPr>
              <w:t>缴纳社会保障资金的证明材料</w:t>
            </w:r>
          </w:p>
        </w:tc>
        <w:tc>
          <w:tcPr>
            <w:tcW w:w="5253"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s="宋体"/>
                <w:color w:val="auto"/>
                <w:kern w:val="2"/>
                <w:sz w:val="20"/>
                <w:szCs w:val="22"/>
                <w:highlight w:val="none"/>
                <w:lang w:val="en-US" w:eastAsia="zh-CN" w:bidi="ar-SA"/>
              </w:rPr>
            </w:pPr>
            <w:r>
              <w:rPr>
                <w:rFonts w:hint="eastAsia" w:ascii="宋体" w:hAnsi="宋体"/>
                <w:color w:val="auto"/>
                <w:sz w:val="20"/>
                <w:szCs w:val="28"/>
                <w:highlight w:val="none"/>
              </w:rPr>
              <w:t>供应商</w:t>
            </w:r>
            <w:r>
              <w:rPr>
                <w:rFonts w:hint="eastAsia"/>
                <w:color w:val="auto"/>
                <w:sz w:val="20"/>
                <w:highlight w:val="none"/>
              </w:rPr>
              <w:t>缴纳</w:t>
            </w:r>
            <w:r>
              <w:rPr>
                <w:color w:val="auto"/>
                <w:sz w:val="20"/>
                <w:highlight w:val="none"/>
              </w:rPr>
              <w:t>2020</w:t>
            </w:r>
            <w:r>
              <w:rPr>
                <w:rFonts w:hint="eastAsia"/>
                <w:color w:val="auto"/>
                <w:sz w:val="20"/>
                <w:highlight w:val="none"/>
              </w:rPr>
              <w:t>或</w:t>
            </w:r>
            <w:r>
              <w:rPr>
                <w:color w:val="auto"/>
                <w:sz w:val="20"/>
                <w:highlight w:val="none"/>
              </w:rPr>
              <w:t>2021</w:t>
            </w:r>
            <w:r>
              <w:rPr>
                <w:rFonts w:hint="eastAsia"/>
                <w:color w:val="auto"/>
                <w:sz w:val="20"/>
                <w:highlight w:val="none"/>
              </w:rPr>
              <w:t>年任意时段的社保的银行电子回单或行政部门出具的社保缴纳证明材料复印件。</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709"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hint="eastAsia" w:ascii="宋体" w:hAnsi="宋体" w:eastAsia="宋体" w:cs="宋体"/>
                <w:color w:val="auto"/>
                <w:kern w:val="2"/>
                <w:sz w:val="20"/>
                <w:szCs w:val="22"/>
                <w:highlight w:val="none"/>
                <w:lang w:val="en-US" w:eastAsia="zh-CN" w:bidi="ar-SA"/>
              </w:rPr>
            </w:pPr>
            <w:r>
              <w:rPr>
                <w:rFonts w:hint="eastAsia"/>
                <w:color w:val="auto"/>
                <w:sz w:val="20"/>
                <w:highlight w:val="none"/>
                <w:lang w:val="en-US" w:eastAsia="zh-CN"/>
              </w:rPr>
              <w:t>7.</w:t>
            </w:r>
          </w:p>
        </w:tc>
        <w:tc>
          <w:tcPr>
            <w:tcW w:w="2552" w:type="dxa"/>
            <w:gridSpan w:val="2"/>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s="宋体"/>
                <w:color w:val="auto"/>
                <w:kern w:val="2"/>
                <w:sz w:val="20"/>
                <w:szCs w:val="22"/>
                <w:highlight w:val="none"/>
                <w:lang w:val="en-US" w:eastAsia="zh-CN" w:bidi="ar-SA"/>
              </w:rPr>
            </w:pPr>
            <w:r>
              <w:rPr>
                <w:rFonts w:hint="eastAsia" w:ascii="宋体" w:hAnsi="宋体" w:cs="宋体"/>
                <w:color w:val="auto"/>
                <w:kern w:val="2"/>
                <w:sz w:val="20"/>
                <w:szCs w:val="22"/>
                <w:highlight w:val="none"/>
                <w:lang w:val="en-US" w:eastAsia="zh-CN" w:bidi="ar-SA"/>
              </w:rPr>
              <w:t>缴纳税收的证明材料</w:t>
            </w:r>
          </w:p>
        </w:tc>
        <w:tc>
          <w:tcPr>
            <w:tcW w:w="5253"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s="宋体"/>
                <w:color w:val="auto"/>
                <w:kern w:val="2"/>
                <w:sz w:val="20"/>
                <w:szCs w:val="22"/>
                <w:highlight w:val="none"/>
                <w:lang w:val="en-US" w:eastAsia="zh-CN" w:bidi="ar-SA"/>
              </w:rPr>
            </w:pPr>
            <w:r>
              <w:rPr>
                <w:rFonts w:hint="eastAsia" w:ascii="宋体" w:hAnsi="宋体"/>
                <w:color w:val="auto"/>
                <w:sz w:val="20"/>
                <w:szCs w:val="28"/>
                <w:highlight w:val="none"/>
              </w:rPr>
              <w:t>供应商</w:t>
            </w:r>
            <w:r>
              <w:rPr>
                <w:rFonts w:hint="eastAsia"/>
                <w:color w:val="auto"/>
                <w:sz w:val="20"/>
                <w:highlight w:val="none"/>
              </w:rPr>
              <w:t>缴纳</w:t>
            </w:r>
            <w:r>
              <w:rPr>
                <w:color w:val="auto"/>
                <w:sz w:val="20"/>
                <w:highlight w:val="none"/>
              </w:rPr>
              <w:t>2020</w:t>
            </w:r>
            <w:r>
              <w:rPr>
                <w:rFonts w:hint="eastAsia"/>
                <w:color w:val="auto"/>
                <w:sz w:val="20"/>
                <w:highlight w:val="none"/>
              </w:rPr>
              <w:t>或</w:t>
            </w:r>
            <w:r>
              <w:rPr>
                <w:color w:val="auto"/>
                <w:sz w:val="20"/>
                <w:highlight w:val="none"/>
              </w:rPr>
              <w:t>2021</w:t>
            </w:r>
            <w:r>
              <w:rPr>
                <w:rFonts w:hint="eastAsia"/>
                <w:color w:val="auto"/>
                <w:sz w:val="20"/>
                <w:highlight w:val="none"/>
              </w:rPr>
              <w:t>年任意时段的税收的银行电子回单或者行政部门出具的纳税证明或完税证明的复印件。</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709"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hint="default"/>
                <w:color w:val="auto"/>
                <w:sz w:val="20"/>
                <w:highlight w:val="none"/>
                <w:lang w:val="en-US" w:eastAsia="zh-CN"/>
              </w:rPr>
            </w:pPr>
            <w:r>
              <w:rPr>
                <w:rFonts w:hint="eastAsia"/>
                <w:color w:val="auto"/>
                <w:sz w:val="20"/>
                <w:highlight w:val="none"/>
                <w:lang w:val="en-US" w:eastAsia="zh-CN"/>
              </w:rPr>
              <w:t>8.</w:t>
            </w:r>
          </w:p>
        </w:tc>
        <w:tc>
          <w:tcPr>
            <w:tcW w:w="2552" w:type="dxa"/>
            <w:gridSpan w:val="2"/>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olor w:val="auto"/>
                <w:sz w:val="20"/>
                <w:szCs w:val="28"/>
                <w:highlight w:val="none"/>
                <w:lang w:val="en-US" w:eastAsia="zh-CN"/>
              </w:rPr>
            </w:pPr>
            <w:r>
              <w:rPr>
                <w:rFonts w:hint="eastAsia" w:ascii="宋体" w:hAnsi="宋体"/>
                <w:color w:val="auto"/>
                <w:sz w:val="20"/>
                <w:szCs w:val="28"/>
                <w:highlight w:val="none"/>
              </w:rPr>
              <w:t>法定代表人身份证明书及法定代表人身份证复印件或护照复印件</w:t>
            </w:r>
          </w:p>
        </w:tc>
        <w:tc>
          <w:tcPr>
            <w:tcW w:w="5253" w:type="dxa"/>
            <w:noWrap w:val="0"/>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hint="eastAsia" w:ascii="宋体" w:hAnsi="宋体"/>
                <w:color w:val="auto"/>
                <w:sz w:val="20"/>
                <w:szCs w:val="28"/>
                <w:highlight w:val="none"/>
                <w:lang w:val="en-US" w:eastAsia="zh-CN"/>
              </w:rPr>
            </w:pPr>
            <w:r>
              <w:rPr>
                <w:rFonts w:hint="eastAsia" w:ascii="宋体" w:hAnsi="宋体"/>
                <w:color w:val="auto"/>
                <w:sz w:val="20"/>
                <w:szCs w:val="28"/>
                <w:highlight w:val="none"/>
              </w:rPr>
              <w:t>1、供应商按磋商文件3.1.</w:t>
            </w:r>
            <w:r>
              <w:rPr>
                <w:rFonts w:hint="eastAsia"/>
                <w:color w:val="auto"/>
                <w:sz w:val="20"/>
                <w:szCs w:val="28"/>
                <w:highlight w:val="none"/>
                <w:lang w:val="en-US" w:eastAsia="zh-CN"/>
              </w:rPr>
              <w:t>4</w:t>
            </w:r>
            <w:r>
              <w:rPr>
                <w:rFonts w:hint="eastAsia" w:ascii="宋体" w:hAnsi="宋体"/>
                <w:color w:val="auto"/>
                <w:sz w:val="20"/>
                <w:szCs w:val="28"/>
                <w:highlight w:val="none"/>
              </w:rPr>
              <w:t>关于法定代表人身份证明书的内容提供法定代表人身份证明书；2、身份证复印件或护照复印件【注：法定代表人身份证复印件（身份证两面均应复印，在有效期内）或护照复印件（法定代表人为外籍人士的，按此提供）】。</w:t>
            </w:r>
          </w:p>
        </w:tc>
        <w:tc>
          <w:tcPr>
            <w:tcW w:w="84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8"/>
                <w:highlight w:val="none"/>
              </w:rPr>
            </w:pPr>
          </w:p>
        </w:tc>
      </w:tr>
      <w:bookmarkEnd w:id="319"/>
    </w:tbl>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ascii="宋体" w:hAnsi="宋体"/>
          <w:color w:val="auto"/>
          <w:sz w:val="24"/>
          <w:szCs w:val="24"/>
          <w:highlight w:val="none"/>
        </w:rPr>
        <w:t>一、以上每一项结论均为“合格”的，则供应商的响应文件通过资格审查，如有任意一项结论为“不合格”的，则供应商的响应文件按无效响应文件处理。如果磋商小组认为供应商有任意一项不合格的，应在评审报告中载明不合格的具体原因。</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二、“信用中国” “中国政府采购网”网站的查询结果，将以电子介质的形式留存。</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三、磋商小组资格审查结束后，应当出具资格审查报告。没有通过资格审查的供应商，磋商小组应当在资格审查报告中说明原因。</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eastAsia="zh-CN"/>
        </w:rPr>
        <w:t>四、</w:t>
      </w:r>
      <w:r>
        <w:rPr>
          <w:rFonts w:hint="eastAsia" w:ascii="宋体" w:hAnsi="宋体"/>
          <w:color w:val="auto"/>
          <w:sz w:val="24"/>
          <w:szCs w:val="24"/>
          <w:highlight w:val="none"/>
        </w:rPr>
        <w:t>通过资格审查的供应商不足三家的，采购失败。</w:t>
      </w:r>
    </w:p>
    <w:p>
      <w:pPr>
        <w:pageBreakBefore w:val="0"/>
        <w:tabs>
          <w:tab w:val="left" w:pos="851"/>
        </w:tabs>
        <w:kinsoku/>
        <w:wordWrap/>
        <w:overflowPunct/>
        <w:topLinePunct w:val="0"/>
        <w:bidi w:val="0"/>
        <w:adjustRightInd w:val="0"/>
        <w:snapToGrid w:val="0"/>
        <w:spacing w:afterAutospacing="0" w:line="360" w:lineRule="auto"/>
        <w:ind w:firstLine="562" w:firstLineChars="200"/>
        <w:rPr>
          <w:rFonts w:ascii="宋体" w:hAnsi="宋体"/>
          <w:color w:val="auto"/>
          <w:sz w:val="28"/>
          <w:szCs w:val="28"/>
          <w:highlight w:val="none"/>
        </w:rPr>
      </w:pPr>
      <w:r>
        <w:rPr>
          <w:rFonts w:hint="eastAsia" w:ascii="宋体" w:hAnsi="宋体"/>
          <w:b/>
          <w:color w:val="auto"/>
          <w:sz w:val="28"/>
          <w:szCs w:val="28"/>
          <w:highlight w:val="none"/>
        </w:rPr>
        <w:t>特别说明：磋商文件中要求提供复印件的证明材料的，包含原件的影印件或复印件。</w:t>
      </w:r>
    </w:p>
    <w:p>
      <w:pPr>
        <w:pStyle w:val="5"/>
        <w:pageBreakBefore w:val="0"/>
        <w:numPr>
          <w:ilvl w:val="2"/>
          <w:numId w:val="0"/>
        </w:numPr>
        <w:kinsoku/>
        <w:wordWrap/>
        <w:overflowPunct/>
        <w:topLinePunct w:val="0"/>
        <w:bidi w:val="0"/>
        <w:adjustRightInd w:val="0"/>
        <w:snapToGrid w:val="0"/>
        <w:spacing w:afterAutospacing="0" w:line="360" w:lineRule="auto"/>
        <w:ind w:leftChars="0" w:firstLine="482" w:firstLineChars="200"/>
        <w:rPr>
          <w:rFonts w:hint="default"/>
          <w:color w:val="auto"/>
          <w:highlight w:val="none"/>
          <w:lang w:val="en-US" w:eastAsia="zh-CN"/>
        </w:rPr>
      </w:pPr>
      <w:bookmarkStart w:id="320" w:name="_Toc30812"/>
      <w:r>
        <w:rPr>
          <w:rFonts w:hint="eastAsia"/>
          <w:color w:val="auto"/>
          <w:highlight w:val="none"/>
          <w:lang w:val="en-US" w:eastAsia="zh-CN"/>
        </w:rPr>
        <w:t>5.2.3符合性审查</w:t>
      </w:r>
      <w:bookmarkEnd w:id="320"/>
    </w:p>
    <w:p>
      <w:pPr>
        <w:pStyle w:val="32"/>
        <w:pageBreakBefore w:val="0"/>
        <w:numPr>
          <w:ilvl w:val="0"/>
          <w:numId w:val="35"/>
        </w:numPr>
        <w:tabs>
          <w:tab w:val="left" w:pos="1134"/>
          <w:tab w:val="left" w:pos="1276"/>
          <w:tab w:val="left" w:pos="1418"/>
        </w:tabs>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资格</w:t>
      </w:r>
      <w:r>
        <w:rPr>
          <w:rFonts w:ascii="宋体" w:hAnsi="宋体" w:eastAsia="宋体"/>
          <w:color w:val="auto"/>
          <w:sz w:val="24"/>
          <w:szCs w:val="24"/>
          <w:highlight w:val="none"/>
        </w:rPr>
        <w:t>审查</w:t>
      </w:r>
      <w:r>
        <w:rPr>
          <w:rFonts w:hint="eastAsia" w:ascii="宋体" w:hAnsi="宋体" w:eastAsia="宋体"/>
          <w:color w:val="auto"/>
          <w:sz w:val="24"/>
          <w:szCs w:val="24"/>
          <w:highlight w:val="none"/>
        </w:rPr>
        <w:t>结束后，由磋商小组对供应商响应文件进行符合性审查。</w:t>
      </w:r>
    </w:p>
    <w:p>
      <w:pPr>
        <w:pStyle w:val="32"/>
        <w:pageBreakBefore w:val="0"/>
        <w:numPr>
          <w:ilvl w:val="0"/>
          <w:numId w:val="35"/>
        </w:numPr>
        <w:tabs>
          <w:tab w:val="left" w:pos="1134"/>
          <w:tab w:val="left" w:pos="1276"/>
          <w:tab w:val="left" w:pos="1418"/>
        </w:tabs>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磋商小组在符合性审查过程中，磋商小组成员对供应商是否符合规定存在争议的，应当以少数服从多数的原则处理，但不得违背政府采购法和磋商文件规定。</w:t>
      </w:r>
    </w:p>
    <w:p>
      <w:pPr>
        <w:pStyle w:val="32"/>
        <w:pageBreakBefore w:val="0"/>
        <w:numPr>
          <w:ilvl w:val="0"/>
          <w:numId w:val="35"/>
        </w:numPr>
        <w:tabs>
          <w:tab w:val="left" w:pos="1134"/>
          <w:tab w:val="left" w:pos="1276"/>
          <w:tab w:val="left" w:pos="1418"/>
        </w:tabs>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供应商符合性审查标准（按以下顺序审查）： </w:t>
      </w:r>
    </w:p>
    <w:p>
      <w:pPr>
        <w:pStyle w:val="32"/>
        <w:pageBreakBefore w:val="0"/>
        <w:numPr>
          <w:ilvl w:val="0"/>
          <w:numId w:val="35"/>
        </w:numPr>
        <w:tabs>
          <w:tab w:val="left" w:pos="1134"/>
          <w:tab w:val="left" w:pos="1276"/>
          <w:tab w:val="left" w:pos="1418"/>
        </w:tabs>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资格</w:t>
      </w:r>
      <w:r>
        <w:rPr>
          <w:rFonts w:ascii="宋体" w:hAnsi="宋体" w:eastAsia="宋体"/>
          <w:color w:val="auto"/>
          <w:sz w:val="24"/>
          <w:szCs w:val="24"/>
          <w:highlight w:val="none"/>
        </w:rPr>
        <w:t>审查</w:t>
      </w:r>
      <w:r>
        <w:rPr>
          <w:rFonts w:hint="eastAsia" w:ascii="宋体" w:hAnsi="宋体" w:eastAsia="宋体"/>
          <w:color w:val="auto"/>
          <w:sz w:val="24"/>
          <w:szCs w:val="24"/>
          <w:highlight w:val="none"/>
        </w:rPr>
        <w:t>结束后，由磋商小组对供应商响应文件进行符合性审查。</w:t>
      </w:r>
    </w:p>
    <w:p>
      <w:pPr>
        <w:pStyle w:val="32"/>
        <w:pageBreakBefore w:val="0"/>
        <w:numPr>
          <w:ilvl w:val="0"/>
          <w:numId w:val="35"/>
        </w:numPr>
        <w:tabs>
          <w:tab w:val="left" w:pos="1134"/>
          <w:tab w:val="left" w:pos="1276"/>
          <w:tab w:val="left" w:pos="1418"/>
        </w:tabs>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磋商小组在符合性审查过程中，磋商小组成员对供应商是否符合规定存在争议的，应当以少数服从多数的原则处理，但不得违背政府采购法和磋商文件规定。</w:t>
      </w:r>
    </w:p>
    <w:p>
      <w:pPr>
        <w:pStyle w:val="32"/>
        <w:pageBreakBefore w:val="0"/>
        <w:numPr>
          <w:ilvl w:val="0"/>
          <w:numId w:val="35"/>
        </w:numPr>
        <w:tabs>
          <w:tab w:val="left" w:pos="1134"/>
          <w:tab w:val="left" w:pos="1276"/>
          <w:tab w:val="left" w:pos="1418"/>
        </w:tabs>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供应商符合性审查标准（按以下顺序审查）： </w:t>
      </w:r>
    </w:p>
    <w:tbl>
      <w:tblPr>
        <w:tblStyle w:val="20"/>
        <w:tblW w:w="964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218"/>
        <w:gridCol w:w="4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sz w:val="24"/>
                <w:szCs w:val="28"/>
                <w:highlight w:val="none"/>
              </w:rPr>
            </w:pPr>
            <w:r>
              <w:rPr>
                <w:rFonts w:hint="eastAsia" w:ascii="宋体" w:hAnsi="宋体"/>
                <w:b/>
                <w:color w:val="auto"/>
                <w:sz w:val="24"/>
                <w:szCs w:val="28"/>
                <w:highlight w:val="none"/>
              </w:rPr>
              <w:t>序号</w:t>
            </w:r>
          </w:p>
        </w:tc>
        <w:tc>
          <w:tcPr>
            <w:tcW w:w="42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b/>
                <w:color w:val="auto"/>
                <w:sz w:val="24"/>
                <w:szCs w:val="28"/>
                <w:highlight w:val="none"/>
              </w:rPr>
            </w:pPr>
            <w:r>
              <w:rPr>
                <w:rFonts w:hint="eastAsia" w:ascii="宋体" w:hAnsi="宋体"/>
                <w:b/>
                <w:color w:val="auto"/>
                <w:sz w:val="24"/>
                <w:szCs w:val="28"/>
                <w:highlight w:val="none"/>
              </w:rPr>
              <w:t>符合性审查项</w:t>
            </w:r>
          </w:p>
        </w:tc>
        <w:tc>
          <w:tcPr>
            <w:tcW w:w="46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color w:val="auto"/>
                <w:sz w:val="24"/>
                <w:szCs w:val="28"/>
                <w:highlight w:val="none"/>
              </w:rPr>
            </w:pPr>
            <w:r>
              <w:rPr>
                <w:rFonts w:hint="eastAsia" w:ascii="宋体" w:hAnsi="宋体"/>
                <w:b/>
                <w:color w:val="auto"/>
                <w:sz w:val="24"/>
                <w:szCs w:val="28"/>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color w:val="auto"/>
                <w:sz w:val="20"/>
                <w:szCs w:val="20"/>
                <w:highlight w:val="none"/>
              </w:rPr>
            </w:pPr>
            <w:r>
              <w:rPr>
                <w:rFonts w:hint="eastAsia" w:ascii="宋体" w:hAnsi="宋体"/>
                <w:color w:val="auto"/>
                <w:sz w:val="20"/>
                <w:szCs w:val="20"/>
                <w:highlight w:val="none"/>
              </w:rPr>
              <w:t>1</w:t>
            </w:r>
          </w:p>
        </w:tc>
        <w:tc>
          <w:tcPr>
            <w:tcW w:w="42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0"/>
                <w:highlight w:val="none"/>
              </w:rPr>
            </w:pPr>
            <w:r>
              <w:rPr>
                <w:rFonts w:hint="eastAsia" w:asciiTheme="minorEastAsia" w:hAnsiTheme="minorEastAsia"/>
                <w:color w:val="auto"/>
                <w:sz w:val="20"/>
                <w:szCs w:val="20"/>
                <w:highlight w:val="none"/>
              </w:rPr>
              <w:t>技术、服务性响应文件的组成</w:t>
            </w:r>
          </w:p>
        </w:tc>
        <w:tc>
          <w:tcPr>
            <w:tcW w:w="46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0"/>
                <w:highlight w:val="none"/>
              </w:rPr>
            </w:pPr>
            <w:r>
              <w:rPr>
                <w:rFonts w:hint="eastAsia" w:ascii="宋体" w:hAnsi="宋体"/>
                <w:color w:val="auto"/>
                <w:sz w:val="20"/>
                <w:szCs w:val="20"/>
                <w:highlight w:val="none"/>
              </w:rPr>
              <w:t>符合磋商文件“2.4.5响应文件的组成”规定要求（最后报价文件除外）。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color w:val="auto"/>
                <w:sz w:val="20"/>
                <w:szCs w:val="20"/>
                <w:highlight w:val="none"/>
              </w:rPr>
            </w:pPr>
            <w:r>
              <w:rPr>
                <w:rFonts w:hint="eastAsia" w:ascii="宋体" w:hAnsi="宋体"/>
                <w:color w:val="auto"/>
                <w:sz w:val="20"/>
                <w:szCs w:val="20"/>
                <w:highlight w:val="none"/>
              </w:rPr>
              <w:t>2</w:t>
            </w:r>
          </w:p>
        </w:tc>
        <w:tc>
          <w:tcPr>
            <w:tcW w:w="42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hint="default" w:ascii="宋体" w:hAnsi="宋体" w:eastAsia="宋体"/>
                <w:color w:val="auto"/>
                <w:sz w:val="20"/>
                <w:szCs w:val="20"/>
                <w:highlight w:val="none"/>
                <w:lang w:val="en-US" w:eastAsia="zh-CN"/>
              </w:rPr>
            </w:pPr>
            <w:r>
              <w:rPr>
                <w:rFonts w:hint="eastAsia" w:asciiTheme="minorEastAsia" w:hAnsiTheme="minorEastAsia"/>
                <w:color w:val="auto"/>
                <w:sz w:val="20"/>
                <w:szCs w:val="20"/>
                <w:highlight w:val="none"/>
              </w:rPr>
              <w:t>技术、服务性响应文件计量单位、语言</w:t>
            </w:r>
            <w:r>
              <w:rPr>
                <w:rFonts w:hint="eastAsia" w:asciiTheme="minorEastAsia" w:hAnsiTheme="minorEastAsia"/>
                <w:color w:val="auto"/>
                <w:sz w:val="20"/>
                <w:szCs w:val="20"/>
                <w:highlight w:val="none"/>
                <w:lang w:eastAsia="zh-CN"/>
              </w:rPr>
              <w:t>、</w:t>
            </w:r>
            <w:r>
              <w:rPr>
                <w:rFonts w:hint="eastAsia" w:asciiTheme="minorEastAsia" w:hAnsiTheme="minorEastAsia"/>
                <w:color w:val="auto"/>
                <w:sz w:val="20"/>
                <w:szCs w:val="20"/>
                <w:highlight w:val="none"/>
                <w:lang w:val="en-US" w:eastAsia="zh-CN"/>
              </w:rPr>
              <w:t>报价货币</w:t>
            </w:r>
          </w:p>
        </w:tc>
        <w:tc>
          <w:tcPr>
            <w:tcW w:w="46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textAlignment w:val="auto"/>
              <w:rPr>
                <w:rFonts w:ascii="宋体" w:hAnsi="宋体"/>
                <w:color w:val="auto"/>
                <w:sz w:val="20"/>
                <w:szCs w:val="20"/>
                <w:highlight w:val="none"/>
              </w:rPr>
            </w:pPr>
            <w:r>
              <w:rPr>
                <w:rFonts w:hint="eastAsia" w:asciiTheme="minorEastAsia" w:hAnsiTheme="minorEastAsia"/>
                <w:color w:val="auto"/>
                <w:sz w:val="20"/>
                <w:szCs w:val="20"/>
                <w:highlight w:val="none"/>
              </w:rPr>
              <w:t>计量单位、语言</w:t>
            </w:r>
            <w:r>
              <w:rPr>
                <w:rFonts w:hint="eastAsia" w:asciiTheme="minorEastAsia" w:hAnsiTheme="minorEastAsia"/>
                <w:color w:val="auto"/>
                <w:sz w:val="20"/>
                <w:szCs w:val="20"/>
                <w:highlight w:val="none"/>
                <w:lang w:eastAsia="zh-CN"/>
              </w:rPr>
              <w:t>、</w:t>
            </w:r>
            <w:r>
              <w:rPr>
                <w:rFonts w:hint="eastAsia" w:asciiTheme="minorEastAsia" w:hAnsiTheme="minorEastAsia"/>
                <w:color w:val="auto"/>
                <w:sz w:val="20"/>
                <w:szCs w:val="20"/>
                <w:highlight w:val="none"/>
                <w:lang w:val="en-US" w:eastAsia="zh-CN"/>
              </w:rPr>
              <w:t>报价货币</w:t>
            </w:r>
            <w:r>
              <w:rPr>
                <w:rFonts w:hint="eastAsia" w:asciiTheme="minorEastAsia" w:hAnsiTheme="minorEastAsia"/>
                <w:color w:val="auto"/>
                <w:sz w:val="20"/>
                <w:szCs w:val="20"/>
                <w:highlight w:val="none"/>
              </w:rPr>
              <w:t>满足磋商文件要求。</w:t>
            </w:r>
            <w:r>
              <w:rPr>
                <w:rFonts w:hint="eastAsia" w:ascii="宋体" w:hAnsi="宋体"/>
                <w:sz w:val="20"/>
                <w:szCs w:val="20"/>
              </w:rPr>
              <w:t>【说明：无须提供证明材料，上传空白页即可，不对本项上传的材料作</w:t>
            </w:r>
            <w:r>
              <w:rPr>
                <w:rFonts w:hint="eastAsia" w:ascii="宋体" w:hAnsi="宋体"/>
                <w:sz w:val="20"/>
                <w:szCs w:val="20"/>
                <w:lang w:eastAsia="zh-CN"/>
              </w:rPr>
              <w:t>符合性</w:t>
            </w:r>
            <w:r>
              <w:rPr>
                <w:rFonts w:hint="eastAsia" w:ascii="宋体" w:hAnsi="宋体"/>
                <w:sz w:val="20"/>
                <w:szCs w:val="20"/>
              </w:rPr>
              <w:t>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ascii="宋体" w:hAnsi="宋体"/>
                <w:color w:val="auto"/>
                <w:sz w:val="20"/>
                <w:szCs w:val="20"/>
                <w:highlight w:val="none"/>
              </w:rPr>
            </w:pPr>
            <w:r>
              <w:rPr>
                <w:rFonts w:ascii="宋体" w:hAnsi="宋体"/>
                <w:color w:val="auto"/>
                <w:sz w:val="20"/>
                <w:szCs w:val="20"/>
                <w:highlight w:val="none"/>
              </w:rPr>
              <w:t>3</w:t>
            </w:r>
          </w:p>
        </w:tc>
        <w:tc>
          <w:tcPr>
            <w:tcW w:w="42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both"/>
              <w:textAlignment w:val="auto"/>
              <w:rPr>
                <w:rFonts w:ascii="宋体" w:hAnsi="宋体"/>
                <w:color w:val="auto"/>
                <w:sz w:val="20"/>
                <w:szCs w:val="20"/>
                <w:highlight w:val="none"/>
              </w:rPr>
            </w:pPr>
            <w:r>
              <w:rPr>
                <w:rFonts w:hint="eastAsia" w:ascii="宋体" w:hAnsi="宋体"/>
                <w:color w:val="auto"/>
                <w:sz w:val="20"/>
                <w:szCs w:val="20"/>
                <w:highlight w:val="none"/>
              </w:rPr>
              <w:t>技术、服务性响应文件对磋商文件规定的采购项目实质性</w:t>
            </w:r>
            <w:r>
              <w:rPr>
                <w:rFonts w:ascii="宋体" w:hAnsi="宋体"/>
                <w:color w:val="auto"/>
                <w:sz w:val="20"/>
                <w:szCs w:val="20"/>
                <w:highlight w:val="none"/>
              </w:rPr>
              <w:t>响应</w:t>
            </w:r>
            <w:r>
              <w:rPr>
                <w:rFonts w:hint="eastAsia" w:ascii="宋体" w:hAnsi="宋体"/>
                <w:color w:val="auto"/>
                <w:sz w:val="20"/>
                <w:szCs w:val="20"/>
                <w:highlight w:val="none"/>
              </w:rPr>
              <w:t>要求的响应情况</w:t>
            </w:r>
          </w:p>
        </w:tc>
        <w:tc>
          <w:tcPr>
            <w:tcW w:w="46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both"/>
              <w:textAlignment w:val="auto"/>
              <w:rPr>
                <w:rFonts w:ascii="宋体" w:hAnsi="宋体"/>
                <w:color w:val="auto"/>
                <w:sz w:val="20"/>
                <w:szCs w:val="20"/>
                <w:highlight w:val="none"/>
              </w:rPr>
            </w:pPr>
            <w:r>
              <w:rPr>
                <w:rFonts w:hint="eastAsia" w:ascii="宋体" w:hAnsi="宋体"/>
                <w:color w:val="auto"/>
                <w:sz w:val="20"/>
                <w:szCs w:val="20"/>
                <w:highlight w:val="none"/>
              </w:rPr>
              <w:t>符合磋商文件规定的采购项目实质性响应要求。</w:t>
            </w:r>
            <w:r>
              <w:rPr>
                <w:rFonts w:hint="eastAsia" w:ascii="宋体" w:hAnsi="宋体"/>
                <w:sz w:val="20"/>
                <w:szCs w:val="20"/>
              </w:rPr>
              <w:t>【说明：无须提供证明材料，上传空白页即可，不对本项上传的材料作</w:t>
            </w:r>
            <w:r>
              <w:rPr>
                <w:rFonts w:hint="eastAsia" w:ascii="宋体" w:hAnsi="宋体"/>
                <w:sz w:val="20"/>
                <w:szCs w:val="20"/>
                <w:lang w:eastAsia="zh-CN"/>
              </w:rPr>
              <w:t>符合性</w:t>
            </w:r>
            <w:r>
              <w:rPr>
                <w:rFonts w:hint="eastAsia" w:ascii="宋体" w:hAnsi="宋体"/>
                <w:sz w:val="20"/>
                <w:szCs w:val="20"/>
              </w:rPr>
              <w:t>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trPr>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center"/>
              <w:textAlignment w:val="auto"/>
              <w:rPr>
                <w:rFonts w:hint="eastAsia" w:ascii="宋体" w:hAnsi="宋体" w:eastAsia="宋体"/>
                <w:color w:val="auto"/>
                <w:sz w:val="20"/>
                <w:szCs w:val="20"/>
                <w:highlight w:val="none"/>
                <w:lang w:val="en-US" w:eastAsia="zh-CN"/>
              </w:rPr>
            </w:pPr>
            <w:r>
              <w:rPr>
                <w:rFonts w:hint="eastAsia"/>
                <w:color w:val="auto"/>
                <w:sz w:val="20"/>
                <w:szCs w:val="20"/>
                <w:highlight w:val="none"/>
                <w:lang w:val="en-US" w:eastAsia="zh-CN"/>
              </w:rPr>
              <w:t>4</w:t>
            </w:r>
          </w:p>
        </w:tc>
        <w:tc>
          <w:tcPr>
            <w:tcW w:w="4218"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both"/>
              <w:textAlignment w:val="auto"/>
              <w:rPr>
                <w:rFonts w:hint="eastAsia" w:ascii="宋体" w:hAnsi="宋体"/>
                <w:color w:val="auto"/>
                <w:sz w:val="20"/>
                <w:szCs w:val="20"/>
                <w:highlight w:val="none"/>
              </w:rPr>
            </w:pPr>
            <w:r>
              <w:rPr>
                <w:rFonts w:hint="eastAsia" w:ascii="宋体" w:hAnsi="宋体"/>
                <w:sz w:val="20"/>
                <w:szCs w:val="20"/>
              </w:rPr>
              <w:t>进口产品</w:t>
            </w:r>
          </w:p>
        </w:tc>
        <w:tc>
          <w:tcPr>
            <w:tcW w:w="4651"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val="0"/>
              <w:snapToGrid w:val="0"/>
              <w:spacing w:afterAutospacing="0" w:line="360" w:lineRule="auto"/>
              <w:ind w:firstLine="0" w:firstLineChars="0"/>
              <w:jc w:val="both"/>
              <w:textAlignment w:val="auto"/>
              <w:rPr>
                <w:rFonts w:hint="eastAsia" w:ascii="宋体" w:hAnsi="宋体"/>
                <w:color w:val="auto"/>
                <w:sz w:val="20"/>
                <w:szCs w:val="20"/>
                <w:highlight w:val="none"/>
              </w:rPr>
            </w:pPr>
            <w:r>
              <w:rPr>
                <w:rFonts w:hint="eastAsia" w:ascii="宋体" w:hAnsi="宋体"/>
                <w:sz w:val="20"/>
                <w:szCs w:val="20"/>
              </w:rPr>
              <w:t>磋商文件中未载明“允许采购进口产品”的产品，拒绝进口产品的报价。磋商文件中载明“允许采购进口产品”的产品，允许国产产品参与竞争。【说明：无须提供证明材料，上传空白页即可，不对本项上传的材料作</w:t>
            </w:r>
            <w:r>
              <w:rPr>
                <w:rFonts w:hint="eastAsia" w:ascii="宋体" w:hAnsi="宋体"/>
                <w:sz w:val="20"/>
                <w:szCs w:val="20"/>
                <w:lang w:eastAsia="zh-CN"/>
              </w:rPr>
              <w:t>符合性</w:t>
            </w:r>
            <w:r>
              <w:rPr>
                <w:rFonts w:hint="eastAsia" w:ascii="宋体" w:hAnsi="宋体"/>
                <w:sz w:val="20"/>
                <w:szCs w:val="20"/>
              </w:rPr>
              <w:t>审查】</w:t>
            </w:r>
          </w:p>
        </w:tc>
      </w:tr>
    </w:tbl>
    <w:p>
      <w:pPr>
        <w:pageBreakBefore w:val="0"/>
        <w:tabs>
          <w:tab w:val="left" w:pos="851"/>
        </w:tabs>
        <w:kinsoku/>
        <w:wordWrap/>
        <w:overflowPunct/>
        <w:topLinePunct w:val="0"/>
        <w:bidi w:val="0"/>
        <w:adjustRightInd w:val="0"/>
        <w:snapToGrid w:val="0"/>
        <w:spacing w:afterAutospacing="0" w:line="360" w:lineRule="auto"/>
        <w:ind w:firstLine="560" w:firstLineChars="200"/>
        <w:rPr>
          <w:rFonts w:hint="eastAsia" w:ascii="宋体" w:hAnsi="宋体"/>
          <w:color w:val="auto"/>
          <w:sz w:val="28"/>
          <w:szCs w:val="28"/>
          <w:highlight w:val="none"/>
        </w:rPr>
      </w:pPr>
    </w:p>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以上每一项结论均为“通过”的，则供应商的响应文件通过符合性审查，才能允许其参加磋商；如有任意一项结论为“不通过”的，则供应商的响应文件按无效响应文件处理，不允许其参加磋商。如果磋商小组认为供应商有任意一项不通过的，应在评审报告中载明不通过的具体原因。</w:t>
      </w:r>
    </w:p>
    <w:p>
      <w:pPr>
        <w:pStyle w:val="32"/>
        <w:pageBreakBefore w:val="0"/>
        <w:numPr>
          <w:ilvl w:val="0"/>
          <w:numId w:val="36"/>
        </w:numPr>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磋商小组符合性审查结束后，应当出具符合性审查报告，确定参加磋商的供应商名单。</w:t>
      </w:r>
    </w:p>
    <w:p>
      <w:pPr>
        <w:pStyle w:val="32"/>
        <w:keepNext w:val="0"/>
        <w:keepLines w:val="0"/>
        <w:pageBreakBefore w:val="0"/>
        <w:widowControl w:val="0"/>
        <w:numPr>
          <w:ilvl w:val="0"/>
          <w:numId w:val="36"/>
        </w:numPr>
        <w:tabs>
          <w:tab w:val="left" w:pos="1134"/>
          <w:tab w:val="left" w:pos="1418"/>
        </w:tabs>
        <w:kinsoku/>
        <w:wordWrap/>
        <w:overflowPunct/>
        <w:topLinePunct w:val="0"/>
        <w:autoSpaceDE/>
        <w:autoSpaceDN/>
        <w:bidi w:val="0"/>
        <w:adjustRightInd w:val="0"/>
        <w:snapToGrid w:val="0"/>
        <w:spacing w:afterAutospacing="0" w:line="360" w:lineRule="auto"/>
        <w:ind w:left="0"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通过符合性审查的供应商不足三家的，采购失败。</w:t>
      </w:r>
    </w:p>
    <w:p>
      <w:pPr>
        <w:pageBreakBefore w:val="0"/>
        <w:kinsoku/>
        <w:wordWrap/>
        <w:overflowPunct/>
        <w:topLinePunct w:val="0"/>
        <w:bidi w:val="0"/>
        <w:adjustRightInd w:val="0"/>
        <w:snapToGrid w:val="0"/>
        <w:spacing w:afterAutospacing="0"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特别说明：磋商文件中要求提供复印件的证明材料的，包含原件的影印件或复印件。</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21" w:name="_Toc18296"/>
      <w:r>
        <w:rPr>
          <w:rFonts w:hint="eastAsia"/>
          <w:color w:val="auto"/>
          <w:highlight w:val="none"/>
        </w:rPr>
        <w:t>5.2.</w:t>
      </w:r>
      <w:r>
        <w:rPr>
          <w:rFonts w:hint="eastAsia"/>
          <w:color w:val="auto"/>
          <w:highlight w:val="none"/>
          <w:lang w:val="en-US" w:eastAsia="zh-CN"/>
        </w:rPr>
        <w:t>4</w:t>
      </w:r>
      <w:r>
        <w:rPr>
          <w:rFonts w:hint="eastAsia"/>
          <w:color w:val="auto"/>
          <w:highlight w:val="none"/>
        </w:rPr>
        <w:t>磋商</w:t>
      </w:r>
      <w:bookmarkEnd w:id="321"/>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磋商会议在成都市公共资源交易服务中心“政府采购云平台”进行。磋商会议由</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公资交易中心在线主持，供应商代表在线参加。</w:t>
      </w:r>
    </w:p>
    <w:p>
      <w:pPr>
        <w:pageBreakBefore w:val="0"/>
        <w:numPr>
          <w:ilvl w:val="1"/>
          <w:numId w:val="37"/>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磋商小组按照磋商文件的规定与邀请参加磋商的供应商分别进行磋商，磋商顺序由磋商小组确定，磋商通过“政府采购云平台”在线进行。供应商应</w:t>
      </w:r>
      <w:r>
        <w:rPr>
          <w:rFonts w:ascii="宋体" w:hAnsi="宋体"/>
          <w:color w:val="auto"/>
          <w:sz w:val="24"/>
          <w:szCs w:val="24"/>
          <w:highlight w:val="none"/>
        </w:rPr>
        <w:t>随时关注“</w:t>
      </w:r>
      <w:r>
        <w:rPr>
          <w:rFonts w:hint="eastAsia" w:ascii="宋体" w:hAnsi="宋体"/>
          <w:color w:val="auto"/>
          <w:sz w:val="24"/>
          <w:szCs w:val="24"/>
          <w:highlight w:val="none"/>
        </w:rPr>
        <w:t>政府</w:t>
      </w:r>
      <w:r>
        <w:rPr>
          <w:rFonts w:ascii="宋体" w:hAnsi="宋体"/>
          <w:color w:val="auto"/>
          <w:sz w:val="24"/>
          <w:szCs w:val="24"/>
          <w:highlight w:val="none"/>
        </w:rPr>
        <w:t>采购</w:t>
      </w:r>
      <w:r>
        <w:rPr>
          <w:rFonts w:hint="eastAsia" w:ascii="宋体" w:hAnsi="宋体"/>
          <w:color w:val="auto"/>
          <w:sz w:val="24"/>
          <w:szCs w:val="24"/>
          <w:highlight w:val="none"/>
        </w:rPr>
        <w:t>云</w:t>
      </w:r>
      <w:r>
        <w:rPr>
          <w:rFonts w:ascii="宋体" w:hAnsi="宋体"/>
          <w:color w:val="auto"/>
          <w:sz w:val="24"/>
          <w:szCs w:val="24"/>
          <w:highlight w:val="none"/>
        </w:rPr>
        <w:t>平台”</w:t>
      </w:r>
      <w:r>
        <w:rPr>
          <w:rFonts w:hint="eastAsia" w:ascii="宋体" w:hAnsi="宋体"/>
          <w:color w:val="auto"/>
          <w:sz w:val="24"/>
          <w:szCs w:val="24"/>
          <w:highlight w:val="none"/>
        </w:rPr>
        <w:t>站内信息或</w:t>
      </w:r>
      <w:r>
        <w:rPr>
          <w:rFonts w:ascii="宋体" w:hAnsi="宋体"/>
          <w:color w:val="auto"/>
          <w:sz w:val="24"/>
          <w:szCs w:val="24"/>
          <w:highlight w:val="none"/>
        </w:rPr>
        <w:t>短信提醒，</w:t>
      </w:r>
      <w:r>
        <w:rPr>
          <w:rFonts w:hint="eastAsia" w:ascii="宋体" w:hAnsi="宋体"/>
          <w:color w:val="auto"/>
          <w:sz w:val="24"/>
          <w:szCs w:val="24"/>
          <w:highlight w:val="none"/>
        </w:rPr>
        <w:t>及时参与</w:t>
      </w:r>
      <w:r>
        <w:rPr>
          <w:rFonts w:ascii="宋体" w:hAnsi="宋体"/>
          <w:color w:val="auto"/>
          <w:sz w:val="24"/>
          <w:szCs w:val="24"/>
          <w:highlight w:val="none"/>
        </w:rPr>
        <w:t>在线</w:t>
      </w:r>
      <w:r>
        <w:rPr>
          <w:rFonts w:hint="eastAsia" w:ascii="宋体" w:hAnsi="宋体"/>
          <w:color w:val="auto"/>
          <w:sz w:val="24"/>
          <w:szCs w:val="24"/>
          <w:highlight w:val="none"/>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color w:val="auto"/>
          <w:sz w:val="24"/>
          <w:szCs w:val="24"/>
          <w:highlight w:val="none"/>
        </w:rPr>
        <w:t>。</w:t>
      </w:r>
    </w:p>
    <w:p>
      <w:pPr>
        <w:pageBreakBefore w:val="0"/>
        <w:numPr>
          <w:ilvl w:val="1"/>
          <w:numId w:val="37"/>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磋商小组所有成员集中与单一供应商分别进行一轮或多轮的磋商。在磋商中，磋商的任何一方不得透露与磋商有关的其他供应商的技术资料、价格和其他信息。</w:t>
      </w:r>
    </w:p>
    <w:p>
      <w:pPr>
        <w:pageBreakBefore w:val="0"/>
        <w:numPr>
          <w:ilvl w:val="1"/>
          <w:numId w:val="37"/>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磋商内容为第4章中“技术、服务、商务及其他要求”、第6章“合同草案条款”。其中第4章中加★号的条款为采购项目的</w:t>
      </w:r>
      <w:r>
        <w:rPr>
          <w:rFonts w:hint="eastAsia" w:ascii="宋体" w:hAnsi="宋体" w:cs="宋体"/>
          <w:color w:val="auto"/>
          <w:sz w:val="24"/>
          <w:szCs w:val="24"/>
          <w:highlight w:val="none"/>
        </w:rPr>
        <w:t>实质性</w:t>
      </w:r>
      <w:r>
        <w:rPr>
          <w:rFonts w:ascii="宋体" w:hAnsi="宋体" w:cs="宋体"/>
          <w:color w:val="auto"/>
          <w:sz w:val="24"/>
          <w:szCs w:val="24"/>
          <w:highlight w:val="none"/>
        </w:rPr>
        <w:t>响应</w:t>
      </w:r>
      <w:r>
        <w:rPr>
          <w:rFonts w:hint="eastAsia" w:ascii="宋体" w:hAnsi="宋体" w:cs="宋体"/>
          <w:color w:val="auto"/>
          <w:sz w:val="24"/>
          <w:szCs w:val="24"/>
          <w:highlight w:val="none"/>
        </w:rPr>
        <w:t>要求</w:t>
      </w:r>
      <w:r>
        <w:rPr>
          <w:rFonts w:hint="eastAsia" w:ascii="宋体" w:hAnsi="宋体"/>
          <w:color w:val="auto"/>
          <w:sz w:val="24"/>
          <w:szCs w:val="24"/>
          <w:highlight w:val="none"/>
        </w:rPr>
        <w:t>，不允许实质性</w:t>
      </w:r>
      <w:r>
        <w:rPr>
          <w:rFonts w:ascii="宋体" w:hAnsi="宋体"/>
          <w:color w:val="auto"/>
          <w:sz w:val="24"/>
          <w:szCs w:val="24"/>
          <w:highlight w:val="none"/>
        </w:rPr>
        <w:t>变动。</w:t>
      </w:r>
    </w:p>
    <w:p>
      <w:pPr>
        <w:pageBreakBefore w:val="0"/>
        <w:numPr>
          <w:ilvl w:val="1"/>
          <w:numId w:val="37"/>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磋商过程中，磋商小组获得采购人同意（由采购人代表签字确认）后，可以根据磋商文件和磋商情况实质性变动磋商文件中的第4章技术、服务、商务及其他要求、第6章合同草案条款可</w:t>
      </w:r>
      <w:r>
        <w:rPr>
          <w:rFonts w:ascii="宋体" w:hAnsi="宋体"/>
          <w:color w:val="auto"/>
          <w:sz w:val="24"/>
          <w:szCs w:val="24"/>
          <w:highlight w:val="none"/>
        </w:rPr>
        <w:t>实质性变动的内容</w:t>
      </w:r>
      <w:r>
        <w:rPr>
          <w:rFonts w:hint="eastAsia" w:ascii="宋体" w:hAnsi="宋体"/>
          <w:color w:val="auto"/>
          <w:sz w:val="24"/>
          <w:szCs w:val="24"/>
          <w:highlight w:val="none"/>
        </w:rPr>
        <w:t>，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pageBreakBefore w:val="0"/>
        <w:numPr>
          <w:ilvl w:val="1"/>
          <w:numId w:val="37"/>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b w:val="0"/>
          <w:bCs w:val="0"/>
          <w:color w:val="auto"/>
          <w:sz w:val="24"/>
          <w:szCs w:val="24"/>
          <w:highlight w:val="none"/>
        </w:rPr>
      </w:pPr>
      <w:r>
        <w:rPr>
          <w:rFonts w:hint="eastAsia" w:ascii="宋体" w:hAnsi="宋体"/>
          <w:color w:val="auto"/>
          <w:sz w:val="24"/>
          <w:szCs w:val="24"/>
          <w:highlight w:val="none"/>
        </w:rPr>
        <w:t>磋商过程中，供应商可以根据磋商情况变更其响应文件，并将变更内容通过“澄清”功能送磋商小组。变更内容作为响应文件的一部分。供应商书面</w:t>
      </w:r>
      <w:r>
        <w:rPr>
          <w:rFonts w:hint="eastAsia" w:ascii="宋体" w:hAnsi="宋体"/>
          <w:b w:val="0"/>
          <w:bCs w:val="0"/>
          <w:color w:val="auto"/>
          <w:sz w:val="24"/>
          <w:szCs w:val="24"/>
          <w:highlight w:val="none"/>
        </w:rPr>
        <w:t>材料应加盖供应商（法定名称）电子签章，否则无效。</w:t>
      </w:r>
    </w:p>
    <w:p>
      <w:pPr>
        <w:pageBreakBefore w:val="0"/>
        <w:numPr>
          <w:ilvl w:val="1"/>
          <w:numId w:val="37"/>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b w:val="0"/>
          <w:bCs w:val="0"/>
          <w:color w:val="auto"/>
          <w:sz w:val="24"/>
          <w:szCs w:val="24"/>
          <w:highlight w:val="none"/>
        </w:rPr>
      </w:pPr>
      <w:r>
        <w:rPr>
          <w:rFonts w:hint="eastAsia" w:ascii="宋体" w:hAnsi="宋体"/>
          <w:b w:val="0"/>
          <w:bCs w:val="0"/>
          <w:color w:val="auto"/>
          <w:sz w:val="24"/>
          <w:szCs w:val="24"/>
          <w:highlight w:val="none"/>
        </w:rPr>
        <w:t>磋商过程中，磋商的任何一方不得透露与磋商有关的其他供应商的技术资料、价格和其他信息。</w:t>
      </w:r>
    </w:p>
    <w:p>
      <w:pPr>
        <w:pageBreakBefore w:val="0"/>
        <w:numPr>
          <w:ilvl w:val="1"/>
          <w:numId w:val="37"/>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磋商过程中，磋商小组发现或者知晓供应商存在违法行为的，应当在评审报告中予以记录，并向财政部门报告，依法应将该供应商响应文件作无效处理的，应当作无效处理。</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22" w:name="_Toc6862"/>
      <w:r>
        <w:rPr>
          <w:rFonts w:hint="eastAsia"/>
          <w:color w:val="auto"/>
          <w:highlight w:val="none"/>
        </w:rPr>
        <w:t>5.2.</w:t>
      </w:r>
      <w:r>
        <w:rPr>
          <w:rFonts w:hint="eastAsia"/>
          <w:color w:val="auto"/>
          <w:highlight w:val="none"/>
          <w:lang w:val="en-US" w:eastAsia="zh-CN"/>
        </w:rPr>
        <w:t>5</w:t>
      </w:r>
      <w:r>
        <w:rPr>
          <w:rFonts w:hint="eastAsia"/>
          <w:color w:val="auto"/>
          <w:highlight w:val="none"/>
        </w:rPr>
        <w:t>最后报价审查</w:t>
      </w:r>
      <w:bookmarkEnd w:id="322"/>
    </w:p>
    <w:p>
      <w:pPr>
        <w:pageBreakBefore w:val="0"/>
        <w:widowControl/>
        <w:numPr>
          <w:ilvl w:val="0"/>
          <w:numId w:val="38"/>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磋商结束</w:t>
      </w:r>
      <w:r>
        <w:rPr>
          <w:rFonts w:ascii="宋体" w:hAnsi="宋体"/>
          <w:color w:val="auto"/>
          <w:sz w:val="24"/>
          <w:szCs w:val="24"/>
          <w:highlight w:val="none"/>
        </w:rPr>
        <w:t>后，</w:t>
      </w:r>
      <w:r>
        <w:rPr>
          <w:rFonts w:hint="eastAsia" w:ascii="宋体" w:hAnsi="宋体"/>
          <w:color w:val="auto"/>
          <w:sz w:val="24"/>
          <w:szCs w:val="24"/>
          <w:highlight w:val="none"/>
        </w:rPr>
        <w:t>磋商小组应当要求所有实质性响应的供应商在规定时间内进行最后报价。磋商小组</w:t>
      </w:r>
      <w:r>
        <w:rPr>
          <w:rFonts w:ascii="宋体" w:hAnsi="宋体"/>
          <w:color w:val="auto"/>
          <w:sz w:val="24"/>
          <w:szCs w:val="24"/>
          <w:highlight w:val="none"/>
        </w:rPr>
        <w:t>开启报价后，供应商应随时关注“</w:t>
      </w:r>
      <w:r>
        <w:rPr>
          <w:rFonts w:hint="eastAsia" w:ascii="宋体" w:hAnsi="宋体"/>
          <w:color w:val="auto"/>
          <w:sz w:val="24"/>
          <w:szCs w:val="24"/>
          <w:highlight w:val="none"/>
        </w:rPr>
        <w:t>政府</w:t>
      </w:r>
      <w:r>
        <w:rPr>
          <w:rFonts w:ascii="宋体" w:hAnsi="宋体"/>
          <w:color w:val="auto"/>
          <w:sz w:val="24"/>
          <w:szCs w:val="24"/>
          <w:highlight w:val="none"/>
        </w:rPr>
        <w:t>采购</w:t>
      </w:r>
      <w:r>
        <w:rPr>
          <w:rFonts w:hint="eastAsia" w:ascii="宋体" w:hAnsi="宋体"/>
          <w:color w:val="auto"/>
          <w:sz w:val="24"/>
          <w:szCs w:val="24"/>
          <w:highlight w:val="none"/>
        </w:rPr>
        <w:t>云</w:t>
      </w:r>
      <w:r>
        <w:rPr>
          <w:rFonts w:ascii="宋体" w:hAnsi="宋体"/>
          <w:color w:val="auto"/>
          <w:sz w:val="24"/>
          <w:szCs w:val="24"/>
          <w:highlight w:val="none"/>
        </w:rPr>
        <w:t>平台”</w:t>
      </w:r>
      <w:r>
        <w:rPr>
          <w:rFonts w:hint="eastAsia" w:ascii="宋体" w:hAnsi="宋体"/>
          <w:color w:val="auto"/>
          <w:sz w:val="24"/>
          <w:szCs w:val="24"/>
          <w:highlight w:val="none"/>
        </w:rPr>
        <w:t>站内信息或</w:t>
      </w:r>
      <w:r>
        <w:rPr>
          <w:rFonts w:ascii="宋体" w:hAnsi="宋体"/>
          <w:color w:val="auto"/>
          <w:sz w:val="24"/>
          <w:szCs w:val="24"/>
          <w:highlight w:val="none"/>
        </w:rPr>
        <w:t>短信提醒，</w:t>
      </w:r>
      <w:r>
        <w:rPr>
          <w:rFonts w:hint="eastAsia" w:ascii="宋体" w:hAnsi="宋体"/>
          <w:color w:val="auto"/>
          <w:sz w:val="24"/>
          <w:szCs w:val="24"/>
          <w:highlight w:val="none"/>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color w:val="auto"/>
          <w:sz w:val="24"/>
          <w:szCs w:val="24"/>
          <w:highlight w:val="none"/>
        </w:rPr>
        <w:t>并</w:t>
      </w:r>
      <w:r>
        <w:rPr>
          <w:rFonts w:hint="eastAsia" w:ascii="宋体" w:hAnsi="宋体"/>
          <w:color w:val="auto"/>
          <w:sz w:val="24"/>
          <w:szCs w:val="24"/>
          <w:highlight w:val="none"/>
        </w:rPr>
        <w:t>签章</w:t>
      </w:r>
      <w:r>
        <w:rPr>
          <w:rFonts w:ascii="宋体" w:hAnsi="宋体"/>
          <w:color w:val="auto"/>
          <w:sz w:val="24"/>
          <w:szCs w:val="24"/>
          <w:highlight w:val="none"/>
        </w:rPr>
        <w:t>后</w:t>
      </w:r>
      <w:r>
        <w:rPr>
          <w:rFonts w:hint="eastAsia" w:ascii="宋体" w:hAnsi="宋体"/>
          <w:color w:val="auto"/>
          <w:sz w:val="24"/>
          <w:szCs w:val="24"/>
          <w:highlight w:val="none"/>
        </w:rPr>
        <w:t>递交。报价</w:t>
      </w:r>
      <w:r>
        <w:rPr>
          <w:rFonts w:ascii="宋体" w:hAnsi="宋体"/>
          <w:color w:val="auto"/>
          <w:sz w:val="24"/>
          <w:szCs w:val="24"/>
          <w:highlight w:val="none"/>
        </w:rPr>
        <w:t>时间截止后，系统</w:t>
      </w:r>
      <w:r>
        <w:rPr>
          <w:rFonts w:hint="eastAsia" w:ascii="宋体" w:hAnsi="宋体"/>
          <w:color w:val="auto"/>
          <w:sz w:val="24"/>
          <w:szCs w:val="24"/>
          <w:highlight w:val="none"/>
        </w:rPr>
        <w:t>统一</w:t>
      </w:r>
      <w:r>
        <w:rPr>
          <w:rFonts w:ascii="宋体" w:hAnsi="宋体"/>
          <w:color w:val="auto"/>
          <w:sz w:val="24"/>
          <w:szCs w:val="24"/>
          <w:highlight w:val="none"/>
        </w:rPr>
        <w:t>公布报价。</w:t>
      </w:r>
      <w:r>
        <w:rPr>
          <w:rFonts w:hint="eastAsia" w:ascii="宋体" w:hAnsi="宋体"/>
          <w:color w:val="auto"/>
          <w:sz w:val="24"/>
          <w:szCs w:val="24"/>
          <w:highlight w:val="none"/>
        </w:rPr>
        <w:t>提示：供应商未按时登录不见面开标系统，未在报价</w:t>
      </w:r>
      <w:r>
        <w:rPr>
          <w:rFonts w:ascii="宋体" w:hAnsi="宋体"/>
          <w:color w:val="auto"/>
          <w:sz w:val="24"/>
          <w:szCs w:val="24"/>
          <w:highlight w:val="none"/>
        </w:rPr>
        <w:t>截止时间内</w:t>
      </w:r>
      <w:r>
        <w:rPr>
          <w:rFonts w:hint="eastAsia" w:ascii="宋体" w:hAnsi="宋体"/>
          <w:color w:val="auto"/>
          <w:sz w:val="24"/>
          <w:szCs w:val="24"/>
          <w:highlight w:val="none"/>
        </w:rPr>
        <w:t>递交</w:t>
      </w:r>
      <w:r>
        <w:rPr>
          <w:rFonts w:ascii="宋体" w:hAnsi="宋体"/>
          <w:color w:val="auto"/>
          <w:sz w:val="24"/>
          <w:szCs w:val="24"/>
          <w:highlight w:val="none"/>
        </w:rPr>
        <w:t>报价</w:t>
      </w:r>
      <w:r>
        <w:rPr>
          <w:rFonts w:hint="eastAsia" w:ascii="宋体" w:hAnsi="宋体"/>
          <w:color w:val="auto"/>
          <w:sz w:val="24"/>
          <w:szCs w:val="24"/>
          <w:highlight w:val="none"/>
        </w:rPr>
        <w:t>或未按要求进行报价的，</w:t>
      </w:r>
      <w:r>
        <w:rPr>
          <w:rFonts w:ascii="宋体" w:hAnsi="宋体"/>
          <w:color w:val="auto"/>
          <w:sz w:val="24"/>
          <w:szCs w:val="24"/>
          <w:highlight w:val="none"/>
        </w:rPr>
        <w:t>视为供应商</w:t>
      </w:r>
      <w:r>
        <w:rPr>
          <w:rFonts w:hint="eastAsia" w:ascii="宋体" w:hAnsi="宋体"/>
          <w:color w:val="auto"/>
          <w:sz w:val="24"/>
          <w:szCs w:val="24"/>
          <w:highlight w:val="none"/>
        </w:rPr>
        <w:t>响应文件无效，由供应商自行承担不利后果。</w:t>
      </w:r>
    </w:p>
    <w:p>
      <w:pPr>
        <w:pageBreakBefore w:val="0"/>
        <w:widowControl/>
        <w:numPr>
          <w:ilvl w:val="0"/>
          <w:numId w:val="38"/>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已提交响应文件的供应商，在提交最后报价之前，可以根据磋商情况退出磋商。</w:t>
      </w:r>
    </w:p>
    <w:p>
      <w:pPr>
        <w:pageBreakBefore w:val="0"/>
        <w:widowControl/>
        <w:numPr>
          <w:ilvl w:val="0"/>
          <w:numId w:val="38"/>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供应商未按磋商小组要求在规定时间内提交最后报价的，视为其退出磋商。</w:t>
      </w:r>
    </w:p>
    <w:p>
      <w:pPr>
        <w:pageBreakBefore w:val="0"/>
        <w:widowControl/>
        <w:numPr>
          <w:ilvl w:val="0"/>
          <w:numId w:val="38"/>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最后报价一旦递交后，供应商不得以任何理由撤回。</w:t>
      </w:r>
    </w:p>
    <w:p>
      <w:pPr>
        <w:pageBreakBefore w:val="0"/>
        <w:widowControl/>
        <w:numPr>
          <w:ilvl w:val="0"/>
          <w:numId w:val="38"/>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最后报价为有效报价应符合下列条件：</w:t>
      </w:r>
    </w:p>
    <w:p>
      <w:pPr>
        <w:pageBreakBefore w:val="0"/>
        <w:widowControl/>
        <w:numPr>
          <w:ilvl w:val="0"/>
          <w:numId w:val="39"/>
        </w:numPr>
        <w:tabs>
          <w:tab w:val="left" w:pos="-2127"/>
          <w:tab w:val="left" w:pos="1134"/>
        </w:tabs>
        <w:kinsoku/>
        <w:wordWrap/>
        <w:overflowPunct/>
        <w:topLinePunct w:val="0"/>
        <w:bidi w:val="0"/>
        <w:adjustRightInd w:val="0"/>
        <w:snapToGrid w:val="0"/>
        <w:spacing w:afterAutospacing="0" w:line="360" w:lineRule="auto"/>
        <w:ind w:left="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供应商所提供的最后报价是在规定的时间内提交。</w:t>
      </w:r>
    </w:p>
    <w:p>
      <w:pPr>
        <w:pageBreakBefore w:val="0"/>
        <w:widowControl/>
        <w:numPr>
          <w:ilvl w:val="0"/>
          <w:numId w:val="39"/>
        </w:numPr>
        <w:tabs>
          <w:tab w:val="left" w:pos="-2127"/>
          <w:tab w:val="left" w:pos="1134"/>
        </w:tabs>
        <w:kinsoku/>
        <w:wordWrap/>
        <w:overflowPunct/>
        <w:topLinePunct w:val="0"/>
        <w:bidi w:val="0"/>
        <w:adjustRightInd w:val="0"/>
        <w:snapToGrid w:val="0"/>
        <w:spacing w:afterAutospacing="0" w:line="360" w:lineRule="auto"/>
        <w:ind w:left="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供应商的最后报价应加盖供应商（法定名称）电子签章。</w:t>
      </w:r>
    </w:p>
    <w:p>
      <w:pPr>
        <w:pageBreakBefore w:val="0"/>
        <w:widowControl/>
        <w:numPr>
          <w:ilvl w:val="0"/>
          <w:numId w:val="39"/>
        </w:numPr>
        <w:tabs>
          <w:tab w:val="left" w:pos="-2127"/>
          <w:tab w:val="left" w:pos="1134"/>
        </w:tabs>
        <w:kinsoku/>
        <w:wordWrap/>
        <w:overflowPunct/>
        <w:topLinePunct w:val="0"/>
        <w:bidi w:val="0"/>
        <w:adjustRightInd w:val="0"/>
        <w:snapToGrid w:val="0"/>
        <w:spacing w:afterAutospacing="0" w:line="360" w:lineRule="auto"/>
        <w:ind w:left="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供应商的最后报价符合磋商文件的要求。</w:t>
      </w:r>
    </w:p>
    <w:p>
      <w:pPr>
        <w:pageBreakBefore w:val="0"/>
        <w:widowControl/>
        <w:numPr>
          <w:ilvl w:val="0"/>
          <w:numId w:val="39"/>
        </w:numPr>
        <w:tabs>
          <w:tab w:val="left" w:pos="-2127"/>
          <w:tab w:val="left" w:pos="1134"/>
        </w:tabs>
        <w:kinsoku/>
        <w:wordWrap/>
        <w:overflowPunct/>
        <w:topLinePunct w:val="0"/>
        <w:bidi w:val="0"/>
        <w:adjustRightInd w:val="0"/>
        <w:snapToGrid w:val="0"/>
        <w:spacing w:afterAutospacing="0" w:line="360" w:lineRule="auto"/>
        <w:ind w:left="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最后报价唯一，且不高于最高限价。</w:t>
      </w:r>
    </w:p>
    <w:p>
      <w:pPr>
        <w:pStyle w:val="32"/>
        <w:pageBreakBefore w:val="0"/>
        <w:numPr>
          <w:ilvl w:val="0"/>
          <w:numId w:val="38"/>
        </w:numPr>
        <w:kinsoku/>
        <w:wordWrap/>
        <w:overflowPunct/>
        <w:topLinePunct w:val="0"/>
        <w:bidi w:val="0"/>
        <w:adjustRightInd w:val="0"/>
        <w:snapToGrid w:val="0"/>
        <w:spacing w:afterAutospacing="0" w:line="360" w:lineRule="auto"/>
        <w:ind w:left="0"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在未提高响应文件中承诺的服务质量的情况下，最后报价不高于技术、服务性响应文件中的报价，否则，磋商小组应当对其响应文件按无效处理。</w:t>
      </w:r>
    </w:p>
    <w:p>
      <w:pPr>
        <w:pageBreakBefore w:val="0"/>
        <w:widowControl/>
        <w:numPr>
          <w:ilvl w:val="0"/>
          <w:numId w:val="38"/>
        </w:numPr>
        <w:tabs>
          <w:tab w:val="left" w:pos="-2127"/>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最后报价出现下列情况的，不需要供应商澄清，按以下原则处理：</w:t>
      </w:r>
    </w:p>
    <w:p>
      <w:pPr>
        <w:pStyle w:val="66"/>
        <w:pageBreakBefore w:val="0"/>
        <w:numPr>
          <w:ilvl w:val="0"/>
          <w:numId w:val="40"/>
        </w:numPr>
        <w:tabs>
          <w:tab w:val="left" w:pos="1134"/>
          <w:tab w:val="clear" w:pos="846"/>
        </w:tabs>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最后报价中的大写金额和小写金额不一致的，以大写金额为准，但大写金额出现文字错误，导致金额无法判断的除外；</w:t>
      </w:r>
    </w:p>
    <w:p>
      <w:pPr>
        <w:pStyle w:val="66"/>
        <w:pageBreakBefore w:val="0"/>
        <w:numPr>
          <w:ilvl w:val="0"/>
          <w:numId w:val="40"/>
        </w:numPr>
        <w:tabs>
          <w:tab w:val="left" w:pos="1134"/>
          <w:tab w:val="clear" w:pos="846"/>
        </w:tabs>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单价金额小数点或者百分比有明显错位的，应以总价为准，并修改单价；</w:t>
      </w:r>
    </w:p>
    <w:p>
      <w:pPr>
        <w:pStyle w:val="66"/>
        <w:pageBreakBefore w:val="0"/>
        <w:numPr>
          <w:ilvl w:val="0"/>
          <w:numId w:val="40"/>
        </w:numPr>
        <w:tabs>
          <w:tab w:val="left" w:pos="1134"/>
          <w:tab w:val="clear" w:pos="846"/>
        </w:tabs>
        <w:kinsoku/>
        <w:wordWrap/>
        <w:overflowPunct/>
        <w:topLinePunct w:val="0"/>
        <w:bidi w:val="0"/>
        <w:adjustRightInd w:val="0"/>
        <w:snapToGrid w:val="0"/>
        <w:spacing w:afterAutospacing="0" w:line="360" w:lineRule="auto"/>
        <w:ind w:left="0"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总价金额与按单价汇总金额不一致的，以单价汇总金额计算结果为准；</w:t>
      </w:r>
    </w:p>
    <w:p>
      <w:pPr>
        <w:pageBreakBefore w:val="0"/>
        <w:kinsoku/>
        <w:wordWrap/>
        <w:overflowPunct/>
        <w:topLinePunct w:val="0"/>
        <w:bidi w:val="0"/>
        <w:adjustRightInd w:val="0"/>
        <w:snapToGrid w:val="0"/>
        <w:spacing w:afterAutospacing="0" w:line="360" w:lineRule="auto"/>
        <w:ind w:firstLine="480" w:firstLineChars="200"/>
        <w:rPr>
          <w:color w:val="auto"/>
          <w:sz w:val="24"/>
          <w:szCs w:val="24"/>
          <w:highlight w:val="none"/>
        </w:rPr>
      </w:pPr>
      <w:r>
        <w:rPr>
          <w:rFonts w:hint="eastAsia" w:cs="Arial"/>
          <w:color w:val="auto"/>
          <w:sz w:val="24"/>
          <w:szCs w:val="24"/>
          <w:highlight w:val="none"/>
        </w:rPr>
        <w:t>同时出现两种以上不一致的，按照前款规定的顺序修正。修正后的</w:t>
      </w:r>
      <w:r>
        <w:rPr>
          <w:rFonts w:hint="eastAsia" w:ascii="宋体" w:hAnsi="宋体"/>
          <w:color w:val="auto"/>
          <w:sz w:val="24"/>
          <w:szCs w:val="24"/>
          <w:highlight w:val="none"/>
        </w:rPr>
        <w:t>最后</w:t>
      </w:r>
      <w:r>
        <w:rPr>
          <w:rFonts w:hint="eastAsia" w:cs="Arial"/>
          <w:color w:val="auto"/>
          <w:sz w:val="24"/>
          <w:szCs w:val="24"/>
          <w:highlight w:val="none"/>
        </w:rPr>
        <w:t>报价经加盖供应商（法定名称）电子签章后产生约束力，供应商不确认的，其</w:t>
      </w:r>
      <w:r>
        <w:rPr>
          <w:rFonts w:hint="eastAsia" w:ascii="宋体" w:hAnsi="宋体"/>
          <w:color w:val="auto"/>
          <w:sz w:val="24"/>
          <w:szCs w:val="24"/>
          <w:highlight w:val="none"/>
        </w:rPr>
        <w:t>最后</w:t>
      </w:r>
      <w:r>
        <w:rPr>
          <w:rFonts w:hint="eastAsia" w:cs="Arial"/>
          <w:color w:val="auto"/>
          <w:sz w:val="24"/>
          <w:szCs w:val="24"/>
          <w:highlight w:val="none"/>
        </w:rPr>
        <w:t>报价无效。</w:t>
      </w:r>
    </w:p>
    <w:p>
      <w:pPr>
        <w:pStyle w:val="2"/>
        <w:pageBreakBefore w:val="0"/>
        <w:kinsoku/>
        <w:wordWrap/>
        <w:overflowPunct/>
        <w:topLinePunct w:val="0"/>
        <w:bidi w:val="0"/>
        <w:adjustRightInd w:val="0"/>
        <w:snapToGrid w:val="0"/>
        <w:spacing w:after="0"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对不同语言文本响应文件的解释发生异议的，以中文文本为准。</w:t>
      </w:r>
    </w:p>
    <w:p>
      <w:pPr>
        <w:pageBreakBefore w:val="0"/>
        <w:widowControl/>
        <w:numPr>
          <w:ilvl w:val="0"/>
          <w:numId w:val="38"/>
        </w:numPr>
        <w:tabs>
          <w:tab w:val="left" w:pos="-2127"/>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有效最后报价的供应商不足</w:t>
      </w:r>
      <w:r>
        <w:rPr>
          <w:rFonts w:hint="eastAsia"/>
          <w:color w:val="auto"/>
          <w:sz w:val="24"/>
          <w:szCs w:val="24"/>
          <w:highlight w:val="none"/>
          <w:lang w:eastAsia="zh-CN"/>
        </w:rPr>
        <w:t>三</w:t>
      </w:r>
      <w:r>
        <w:rPr>
          <w:rFonts w:hint="eastAsia" w:ascii="宋体" w:hAnsi="宋体"/>
          <w:color w:val="auto"/>
          <w:sz w:val="24"/>
          <w:szCs w:val="24"/>
          <w:highlight w:val="none"/>
        </w:rPr>
        <w:t>家的，采购失败。</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23" w:name="_Toc31164"/>
      <w:r>
        <w:rPr>
          <w:rFonts w:hint="eastAsia"/>
          <w:color w:val="auto"/>
          <w:highlight w:val="none"/>
        </w:rPr>
        <w:t>5.2.</w:t>
      </w:r>
      <w:r>
        <w:rPr>
          <w:rFonts w:hint="eastAsia"/>
          <w:color w:val="auto"/>
          <w:highlight w:val="none"/>
          <w:lang w:val="en-US" w:eastAsia="zh-CN"/>
        </w:rPr>
        <w:t>6</w:t>
      </w:r>
      <w:r>
        <w:rPr>
          <w:rFonts w:hint="eastAsia"/>
          <w:color w:val="auto"/>
          <w:highlight w:val="none"/>
        </w:rPr>
        <w:t>解释、澄清、说明的有关问题</w:t>
      </w:r>
      <w:bookmarkEnd w:id="323"/>
    </w:p>
    <w:p>
      <w:pPr>
        <w:pageBreakBefore w:val="0"/>
        <w:numPr>
          <w:ilvl w:val="0"/>
          <w:numId w:val="41"/>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评审过程中，磋商小组认为磋商文件有关事项表述不明确或需要说明的，可以提请</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公资交易中心书面解释。</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公资交易中心的解释不得改变磋商文件的原义或者影响公平、公正，解释事项如果涉及供应商权益的以有利于供应商的原则进行解释。</w:t>
      </w:r>
    </w:p>
    <w:p>
      <w:pPr>
        <w:pageBreakBefore w:val="0"/>
        <w:numPr>
          <w:ilvl w:val="0"/>
          <w:numId w:val="41"/>
        </w:numPr>
        <w:tabs>
          <w:tab w:val="left" w:pos="1134"/>
        </w:tabs>
        <w:kinsoku/>
        <w:wordWrap/>
        <w:overflowPunct/>
        <w:topLinePunct w:val="0"/>
        <w:bidi w:val="0"/>
        <w:adjustRightInd w:val="0"/>
        <w:snapToGrid w:val="0"/>
        <w:spacing w:afterAutospacing="0" w:line="360" w:lineRule="auto"/>
        <w:ind w:left="0" w:firstLine="480" w:firstLineChars="200"/>
        <w:rPr>
          <w:rFonts w:ascii="宋体" w:hAnsi="宋体"/>
          <w:color w:val="auto"/>
          <w:sz w:val="24"/>
          <w:szCs w:val="24"/>
          <w:highlight w:val="none"/>
        </w:rPr>
      </w:pPr>
      <w:r>
        <w:rPr>
          <w:rFonts w:hint="eastAsia" w:ascii="宋体" w:hAnsi="宋体"/>
          <w:color w:val="auto"/>
          <w:sz w:val="24"/>
          <w:szCs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kinsoku/>
        <w:wordWrap/>
        <w:overflowPunct/>
        <w:topLinePunct w:val="0"/>
        <w:bidi w:val="0"/>
        <w:adjustRightInd w:val="0"/>
        <w:snapToGrid w:val="0"/>
        <w:spacing w:afterAutospacing="0"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三、评审结束前，供应商应随时关注系统提示，及时通过“政府采购云平台”在线响应磋商小组发出的澄清、说明或补正要求，签章并确认提交成功。逾时回复将不能提交，视为供应商自行放弃，其损失由供应商承担。</w:t>
      </w:r>
    </w:p>
    <w:p>
      <w:pPr>
        <w:pageBreakBefore w:val="0"/>
        <w:kinsoku/>
        <w:wordWrap/>
        <w:overflowPunct/>
        <w:topLinePunct w:val="0"/>
        <w:bidi w:val="0"/>
        <w:adjustRightInd w:val="0"/>
        <w:snapToGrid w:val="0"/>
        <w:spacing w:afterAutospacing="0" w:line="360" w:lineRule="auto"/>
        <w:ind w:firstLine="482" w:firstLineChars="200"/>
        <w:rPr>
          <w:rFonts w:ascii="宋体" w:hAnsi="宋体"/>
          <w:b/>
          <w:color w:val="auto"/>
          <w:sz w:val="28"/>
          <w:szCs w:val="28"/>
          <w:highlight w:val="none"/>
        </w:rPr>
      </w:pPr>
      <w:r>
        <w:rPr>
          <w:rFonts w:hint="eastAsia" w:ascii="宋体" w:hAnsi="宋体"/>
          <w:b/>
          <w:color w:val="auto"/>
          <w:sz w:val="24"/>
          <w:szCs w:val="24"/>
          <w:highlight w:val="none"/>
        </w:rPr>
        <w:t>磋商小组应当积极履行澄清、说明或者更正的职责，不得滥用权力。</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24" w:name="_Toc16716"/>
      <w:r>
        <w:rPr>
          <w:rFonts w:hint="eastAsia"/>
          <w:color w:val="auto"/>
          <w:highlight w:val="none"/>
        </w:rPr>
        <w:t>5.2.</w:t>
      </w:r>
      <w:r>
        <w:rPr>
          <w:rFonts w:hint="eastAsia"/>
          <w:color w:val="auto"/>
          <w:highlight w:val="none"/>
          <w:lang w:val="en-US" w:eastAsia="zh-CN"/>
        </w:rPr>
        <w:t>7</w:t>
      </w:r>
      <w:r>
        <w:rPr>
          <w:color w:val="auto"/>
          <w:highlight w:val="none"/>
        </w:rPr>
        <w:t>复核</w:t>
      </w:r>
      <w:bookmarkEnd w:id="324"/>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评审结束后，磋商小组应当进行复核，特别要对拟推荐为成交候选供应商的、报价最低的、响应文件被认定为无效的进行重点复核。</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评审结果汇总完成后，磋商小组拟出具评审报告前，</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公资交易中心应当组织2名以上的工作人员，在采购现场监督人员的监督之下，依据有关的法律制度和采购文件对评审结果进行复核，出具复核报告。</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评审结果汇总完成后，除下列情形外，任何人不得修改评审结果：</w:t>
      </w:r>
    </w:p>
    <w:p>
      <w:pPr>
        <w:pStyle w:val="32"/>
        <w:pageBreakBefore w:val="0"/>
        <w:widowControl/>
        <w:numPr>
          <w:ilvl w:val="0"/>
          <w:numId w:val="42"/>
        </w:numPr>
        <w:tabs>
          <w:tab w:val="left" w:pos="1418"/>
        </w:tabs>
        <w:kinsoku/>
        <w:wordWrap/>
        <w:overflowPunct/>
        <w:topLinePunct w:val="0"/>
        <w:bidi w:val="0"/>
        <w:adjustRightInd w:val="0"/>
        <w:snapToGrid w:val="0"/>
        <w:spacing w:afterAutospacing="0" w:line="360" w:lineRule="auto"/>
        <w:ind w:left="0"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资格性认定错误；</w:t>
      </w:r>
    </w:p>
    <w:p>
      <w:pPr>
        <w:pStyle w:val="32"/>
        <w:pageBreakBefore w:val="0"/>
        <w:widowControl/>
        <w:numPr>
          <w:ilvl w:val="0"/>
          <w:numId w:val="42"/>
        </w:numPr>
        <w:tabs>
          <w:tab w:val="left" w:pos="1418"/>
        </w:tabs>
        <w:kinsoku/>
        <w:wordWrap/>
        <w:overflowPunct/>
        <w:topLinePunct w:val="0"/>
        <w:bidi w:val="0"/>
        <w:adjustRightInd w:val="0"/>
        <w:snapToGrid w:val="0"/>
        <w:spacing w:afterAutospacing="0" w:line="360" w:lineRule="auto"/>
        <w:ind w:left="0"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分值汇总计算错误的；</w:t>
      </w:r>
    </w:p>
    <w:p>
      <w:pPr>
        <w:pStyle w:val="32"/>
        <w:pageBreakBefore w:val="0"/>
        <w:widowControl/>
        <w:numPr>
          <w:ilvl w:val="0"/>
          <w:numId w:val="42"/>
        </w:numPr>
        <w:tabs>
          <w:tab w:val="left" w:pos="1418"/>
        </w:tabs>
        <w:kinsoku/>
        <w:wordWrap/>
        <w:overflowPunct/>
        <w:topLinePunct w:val="0"/>
        <w:bidi w:val="0"/>
        <w:adjustRightInd w:val="0"/>
        <w:snapToGrid w:val="0"/>
        <w:spacing w:afterAutospacing="0" w:line="360" w:lineRule="auto"/>
        <w:ind w:left="0"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分项评分超出评分标准范围的；</w:t>
      </w:r>
    </w:p>
    <w:p>
      <w:pPr>
        <w:pStyle w:val="32"/>
        <w:pageBreakBefore w:val="0"/>
        <w:widowControl/>
        <w:numPr>
          <w:ilvl w:val="0"/>
          <w:numId w:val="42"/>
        </w:numPr>
        <w:tabs>
          <w:tab w:val="left" w:pos="1418"/>
        </w:tabs>
        <w:kinsoku/>
        <w:wordWrap/>
        <w:overflowPunct/>
        <w:topLinePunct w:val="0"/>
        <w:bidi w:val="0"/>
        <w:adjustRightInd w:val="0"/>
        <w:snapToGrid w:val="0"/>
        <w:spacing w:afterAutospacing="0" w:line="360" w:lineRule="auto"/>
        <w:ind w:left="0"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磋商小组成员对客观评审因素评分不一致的；</w:t>
      </w:r>
    </w:p>
    <w:p>
      <w:pPr>
        <w:pStyle w:val="32"/>
        <w:pageBreakBefore w:val="0"/>
        <w:widowControl/>
        <w:numPr>
          <w:ilvl w:val="0"/>
          <w:numId w:val="42"/>
        </w:numPr>
        <w:tabs>
          <w:tab w:val="left" w:pos="1418"/>
        </w:tabs>
        <w:kinsoku/>
        <w:wordWrap/>
        <w:overflowPunct/>
        <w:topLinePunct w:val="0"/>
        <w:bidi w:val="0"/>
        <w:adjustRightInd w:val="0"/>
        <w:snapToGrid w:val="0"/>
        <w:spacing w:afterAutospacing="0" w:line="360" w:lineRule="auto"/>
        <w:ind w:left="0"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经磋商小组认定评分畸高、畸低的。</w:t>
      </w:r>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存在本条上述情形的，由磋商小组自主决定是否采纳</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公资交易中心的书面建议，并承担独立评审责任。磋商小组采纳</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公资交易中心书面建议的，应当按照规定现场修改评审结果或者重新评审，并在磋商报告中详细记载有关事宜；不采纳</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公资交易中心书面建议的，应当书面说明理由。</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公资交易中心书面建议未被磋商小组采纳的，应当按照规定程序要求继续组织实施采购活动，不得擅自中止采购活动。</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公资交易中心认为磋商小组评审结果不合法的，应当书面报告采购项目同级财政部门。</w:t>
      </w:r>
    </w:p>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olor w:val="auto"/>
          <w:sz w:val="28"/>
          <w:szCs w:val="28"/>
          <w:highlight w:val="none"/>
        </w:rPr>
      </w:pP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公资交易中心复核过程中，磋商小组成员不得离开评审现场。</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rFonts w:hint="eastAsia"/>
          <w:color w:val="auto"/>
          <w:highlight w:val="none"/>
        </w:rPr>
      </w:pPr>
      <w:bookmarkStart w:id="325" w:name="_Toc12288"/>
      <w:r>
        <w:rPr>
          <w:rFonts w:hint="eastAsia"/>
          <w:color w:val="auto"/>
          <w:highlight w:val="none"/>
        </w:rPr>
        <w:t>5.2.</w:t>
      </w:r>
      <w:bookmarkStart w:id="326" w:name="_Toc63437916"/>
      <w:bookmarkStart w:id="327" w:name="_Toc63084330"/>
      <w:bookmarkStart w:id="328" w:name="_Toc73622795"/>
      <w:r>
        <w:rPr>
          <w:rFonts w:hint="eastAsia"/>
          <w:color w:val="auto"/>
          <w:highlight w:val="none"/>
          <w:lang w:val="en-US" w:eastAsia="zh-CN"/>
        </w:rPr>
        <w:t>8</w:t>
      </w:r>
      <w:r>
        <w:rPr>
          <w:rFonts w:hint="eastAsia"/>
          <w:color w:val="auto"/>
          <w:highlight w:val="none"/>
        </w:rPr>
        <w:t>推荐成交候选供应商</w:t>
      </w:r>
      <w:bookmarkEnd w:id="325"/>
      <w:bookmarkEnd w:id="326"/>
      <w:bookmarkEnd w:id="327"/>
      <w:bookmarkEnd w:id="328"/>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磋商小组应当根据综合评分情况，按照评审得分由高到低顺序推荐</w:t>
      </w:r>
      <w:r>
        <w:rPr>
          <w:rFonts w:hint="eastAsia"/>
          <w:color w:val="auto"/>
          <w:sz w:val="24"/>
          <w:szCs w:val="24"/>
          <w:highlight w:val="none"/>
          <w:lang w:val="en-US" w:eastAsia="zh-CN"/>
        </w:rPr>
        <w:t>1-3</w:t>
      </w:r>
      <w:r>
        <w:rPr>
          <w:rFonts w:hint="eastAsia" w:ascii="宋体" w:hAnsi="宋体"/>
          <w:color w:val="auto"/>
          <w:sz w:val="24"/>
          <w:szCs w:val="24"/>
          <w:highlight w:val="none"/>
        </w:rPr>
        <w:t>名成交候选供应商，并编写评审报告。评审得分相同的，按照最后报价由低到高的顺序推荐。评审得分且最后报价相同的，按照技术指标优劣（技术类分项得分高低）顺序推荐。评审得分且最后报价且技术指标得分均相同的，成交候选供应商并列，由采购人随机抽签确定成交供应商。</w:t>
      </w:r>
    </w:p>
    <w:p>
      <w:pPr>
        <w:pStyle w:val="2"/>
        <w:pageBreakBefore w:val="0"/>
        <w:kinsoku/>
        <w:wordWrap/>
        <w:overflowPunct/>
        <w:topLinePunct w:val="0"/>
        <w:bidi w:val="0"/>
        <w:adjustRightInd w:val="0"/>
        <w:snapToGrid w:val="0"/>
        <w:spacing w:after="0"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提供核心产品品牌相同且通过资格检查和符合性检查的不同供应商参加同一项目磋商的，按一家供应商计算，评审后得分最高的供应商获得成交候选人推荐资格；评审得分相同的，报价最低的供应商获得成交候选人推荐资格；评审得分相同且报价相同的，由磋商小组采取随机抽取的方式确定一</w:t>
      </w:r>
      <w:r>
        <w:rPr>
          <w:rFonts w:hint="eastAsia" w:ascii="宋体" w:hAnsi="宋体" w:cs="宋体"/>
          <w:color w:val="auto"/>
          <w:kern w:val="2"/>
          <w:sz w:val="24"/>
          <w:szCs w:val="24"/>
          <w:highlight w:val="none"/>
          <w:lang w:val="en-US" w:eastAsia="zh-CN" w:bidi="ar-SA"/>
        </w:rPr>
        <w:t>名</w:t>
      </w:r>
      <w:r>
        <w:rPr>
          <w:rFonts w:hint="eastAsia" w:ascii="宋体" w:hAnsi="宋体" w:eastAsia="宋体" w:cs="宋体"/>
          <w:color w:val="auto"/>
          <w:kern w:val="2"/>
          <w:sz w:val="24"/>
          <w:szCs w:val="24"/>
          <w:highlight w:val="none"/>
          <w:lang w:val="en-US" w:eastAsia="zh-CN" w:bidi="ar-SA"/>
        </w:rPr>
        <w:t>供应商获得成交候选人推荐资格。</w:t>
      </w:r>
    </w:p>
    <w:p>
      <w:pPr>
        <w:pStyle w:val="5"/>
        <w:pageBreakBefore w:val="0"/>
        <w:numPr>
          <w:ilvl w:val="0"/>
          <w:numId w:val="0"/>
        </w:numPr>
        <w:kinsoku/>
        <w:wordWrap/>
        <w:overflowPunct/>
        <w:topLinePunct w:val="0"/>
        <w:bidi w:val="0"/>
        <w:adjustRightInd w:val="0"/>
        <w:snapToGrid w:val="0"/>
        <w:spacing w:afterAutospacing="0" w:line="360" w:lineRule="auto"/>
        <w:ind w:firstLine="482" w:firstLineChars="200"/>
        <w:rPr>
          <w:color w:val="auto"/>
          <w:highlight w:val="none"/>
        </w:rPr>
      </w:pPr>
      <w:bookmarkStart w:id="329" w:name="_Toc31851"/>
      <w:r>
        <w:rPr>
          <w:rFonts w:hint="eastAsia"/>
          <w:color w:val="auto"/>
          <w:highlight w:val="none"/>
          <w:lang w:val="en-US" w:eastAsia="zh-CN"/>
        </w:rPr>
        <w:t>5.2.9</w:t>
      </w:r>
      <w:r>
        <w:rPr>
          <w:rFonts w:hint="eastAsia"/>
          <w:color w:val="auto"/>
          <w:highlight w:val="none"/>
        </w:rPr>
        <w:t>编写评审报告</w:t>
      </w:r>
      <w:bookmarkEnd w:id="329"/>
    </w:p>
    <w:p>
      <w:pPr>
        <w:pageBreakBefore w:val="0"/>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评审报告是磋商小组根据全体成员签字的原始评审记录和评审结果编写的报告，其主要内容包括：</w:t>
      </w:r>
    </w:p>
    <w:p>
      <w:pPr>
        <w:pStyle w:val="32"/>
        <w:keepNext w:val="0"/>
        <w:keepLines w:val="0"/>
        <w:pageBreakBefore w:val="0"/>
        <w:widowControl/>
        <w:numPr>
          <w:ilvl w:val="0"/>
          <w:numId w:val="43"/>
        </w:numPr>
        <w:tabs>
          <w:tab w:val="left" w:pos="1134"/>
        </w:tabs>
        <w:kinsoku/>
        <w:wordWrap/>
        <w:overflowPunct/>
        <w:topLinePunct w:val="0"/>
        <w:autoSpaceDE/>
        <w:autoSpaceDN/>
        <w:bidi w:val="0"/>
        <w:adjustRightInd w:val="0"/>
        <w:snapToGrid w:val="0"/>
        <w:spacing w:afterAutospacing="0" w:line="360" w:lineRule="auto"/>
        <w:ind w:left="0" w:firstLine="480" w:firstLineChars="200"/>
        <w:jc w:val="left"/>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邀请供应商参加采购活动的具体方式和相关情况；</w:t>
      </w:r>
    </w:p>
    <w:p>
      <w:pPr>
        <w:pStyle w:val="32"/>
        <w:keepNext w:val="0"/>
        <w:keepLines w:val="0"/>
        <w:pageBreakBefore w:val="0"/>
        <w:widowControl/>
        <w:numPr>
          <w:ilvl w:val="0"/>
          <w:numId w:val="43"/>
        </w:numPr>
        <w:tabs>
          <w:tab w:val="left" w:pos="1134"/>
        </w:tabs>
        <w:kinsoku/>
        <w:wordWrap/>
        <w:overflowPunct/>
        <w:topLinePunct w:val="0"/>
        <w:autoSpaceDE/>
        <w:autoSpaceDN/>
        <w:bidi w:val="0"/>
        <w:adjustRightInd w:val="0"/>
        <w:snapToGrid w:val="0"/>
        <w:spacing w:afterAutospacing="0" w:line="360" w:lineRule="auto"/>
        <w:ind w:left="0" w:firstLine="480" w:firstLineChars="200"/>
        <w:jc w:val="left"/>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响应文件开启日期和地点；</w:t>
      </w:r>
    </w:p>
    <w:p>
      <w:pPr>
        <w:pStyle w:val="32"/>
        <w:keepNext w:val="0"/>
        <w:keepLines w:val="0"/>
        <w:pageBreakBefore w:val="0"/>
        <w:widowControl/>
        <w:numPr>
          <w:ilvl w:val="0"/>
          <w:numId w:val="43"/>
        </w:numPr>
        <w:tabs>
          <w:tab w:val="left" w:pos="1134"/>
        </w:tabs>
        <w:kinsoku/>
        <w:wordWrap/>
        <w:overflowPunct/>
        <w:topLinePunct w:val="0"/>
        <w:autoSpaceDE/>
        <w:autoSpaceDN/>
        <w:bidi w:val="0"/>
        <w:adjustRightInd w:val="0"/>
        <w:snapToGrid w:val="0"/>
        <w:spacing w:afterAutospacing="0" w:line="360" w:lineRule="auto"/>
        <w:ind w:left="0" w:firstLine="480" w:firstLineChars="200"/>
        <w:jc w:val="left"/>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获取磋商文件的供应商名单和磋商小组成员名单；</w:t>
      </w:r>
    </w:p>
    <w:p>
      <w:pPr>
        <w:pStyle w:val="32"/>
        <w:keepNext w:val="0"/>
        <w:keepLines w:val="0"/>
        <w:pageBreakBefore w:val="0"/>
        <w:widowControl/>
        <w:numPr>
          <w:ilvl w:val="0"/>
          <w:numId w:val="43"/>
        </w:numPr>
        <w:tabs>
          <w:tab w:val="left" w:pos="1134"/>
        </w:tabs>
        <w:kinsoku/>
        <w:wordWrap/>
        <w:overflowPunct/>
        <w:topLinePunct w:val="0"/>
        <w:autoSpaceDE/>
        <w:autoSpaceDN/>
        <w:bidi w:val="0"/>
        <w:adjustRightInd w:val="0"/>
        <w:snapToGrid w:val="0"/>
        <w:spacing w:afterAutospacing="0" w:line="360" w:lineRule="auto"/>
        <w:ind w:left="0" w:firstLine="480" w:firstLineChars="200"/>
        <w:jc w:val="left"/>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评审情况记录和说明，包括对供应商的资格审查情况、供应商响应文件评审情况、磋商情况、报价情况等；</w:t>
      </w:r>
    </w:p>
    <w:p>
      <w:pPr>
        <w:pStyle w:val="32"/>
        <w:keepNext w:val="0"/>
        <w:keepLines w:val="0"/>
        <w:pageBreakBefore w:val="0"/>
        <w:widowControl/>
        <w:numPr>
          <w:ilvl w:val="0"/>
          <w:numId w:val="43"/>
        </w:numPr>
        <w:tabs>
          <w:tab w:val="left" w:pos="1134"/>
        </w:tabs>
        <w:kinsoku/>
        <w:wordWrap/>
        <w:overflowPunct/>
        <w:topLinePunct w:val="0"/>
        <w:autoSpaceDE/>
        <w:autoSpaceDN/>
        <w:bidi w:val="0"/>
        <w:adjustRightInd w:val="0"/>
        <w:snapToGrid w:val="0"/>
        <w:spacing w:afterAutospacing="0" w:line="360" w:lineRule="auto"/>
        <w:ind w:left="0" w:firstLine="480" w:firstLineChars="200"/>
        <w:jc w:val="left"/>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提出的成交候选供应商的排序名单及理由。</w:t>
      </w:r>
    </w:p>
    <w:p>
      <w:pPr>
        <w:pageBreakBefore w:val="0"/>
        <w:tabs>
          <w:tab w:val="left" w:pos="115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评审报告上签字又不书面说明其不同意见和理由的，视为同意评审报告。</w:t>
      </w:r>
    </w:p>
    <w:p>
      <w:pPr>
        <w:pStyle w:val="4"/>
        <w:pageBreakBefore w:val="0"/>
        <w:numPr>
          <w:ilvl w:val="1"/>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330" w:name="_Toc21377"/>
      <w:r>
        <w:rPr>
          <w:rFonts w:hint="eastAsia"/>
          <w:color w:val="auto"/>
          <w:highlight w:val="none"/>
        </w:rPr>
        <w:t>5.3</w:t>
      </w:r>
      <w:bookmarkStart w:id="331" w:name="_Toc77688497"/>
      <w:bookmarkStart w:id="332" w:name="_Toc58943347"/>
      <w:r>
        <w:rPr>
          <w:rFonts w:hint="eastAsia"/>
          <w:color w:val="auto"/>
          <w:highlight w:val="none"/>
        </w:rPr>
        <w:t>磋商</w:t>
      </w:r>
      <w:r>
        <w:rPr>
          <w:color w:val="auto"/>
          <w:highlight w:val="none"/>
        </w:rPr>
        <w:t>异议</w:t>
      </w:r>
      <w:r>
        <w:rPr>
          <w:rFonts w:hint="eastAsia"/>
          <w:color w:val="auto"/>
          <w:highlight w:val="none"/>
        </w:rPr>
        <w:t>处理</w:t>
      </w:r>
      <w:bookmarkEnd w:id="330"/>
      <w:bookmarkEnd w:id="331"/>
      <w:bookmarkEnd w:id="332"/>
    </w:p>
    <w:p>
      <w:pPr>
        <w:pageBreakBefore w:val="0"/>
        <w:tabs>
          <w:tab w:val="left" w:pos="1155"/>
        </w:tabs>
        <w:kinsoku/>
        <w:wordWrap/>
        <w:overflowPunct/>
        <w:topLinePunct w:val="0"/>
        <w:bidi w:val="0"/>
        <w:adjustRightInd w:val="0"/>
        <w:snapToGrid w:val="0"/>
        <w:spacing w:afterAutospacing="0"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在磋商过程中，磋商小组成员对响应文件是否符合磋商文件规定存在争议的，应当以少数服从多数的原则处理，但不得违背磋商文件规定。有不同意见的磋商小组成员认为认定过程和结果不符合法律法规或者磋商文件规定的，应当在磋商报告中予以反映。</w:t>
      </w:r>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rFonts w:hint="eastAsia" w:ascii="宋体" w:hAnsi="宋体" w:cs="Times New Roman"/>
          <w:b/>
          <w:bCs/>
          <w:color w:val="auto"/>
          <w:highlight w:val="none"/>
        </w:rPr>
      </w:pPr>
      <w:bookmarkStart w:id="333" w:name="_Toc18286"/>
      <w:r>
        <w:rPr>
          <w:rFonts w:hint="eastAsia" w:ascii="宋体" w:hAnsi="宋体" w:cs="Times New Roman"/>
          <w:b/>
          <w:bCs/>
          <w:color w:val="auto"/>
          <w:highlight w:val="none"/>
          <w:lang w:val="en-US" w:eastAsia="zh-CN"/>
        </w:rPr>
        <w:t>5.</w:t>
      </w:r>
      <w:r>
        <w:rPr>
          <w:rFonts w:hint="eastAsia" w:cs="Times New Roman"/>
          <w:b/>
          <w:bCs/>
          <w:color w:val="auto"/>
          <w:highlight w:val="none"/>
          <w:lang w:val="en-US" w:eastAsia="zh-CN"/>
        </w:rPr>
        <w:t>4</w:t>
      </w:r>
      <w:r>
        <w:rPr>
          <w:rFonts w:hint="eastAsia" w:ascii="宋体" w:hAnsi="宋体" w:cs="Times New Roman"/>
          <w:b/>
          <w:bCs/>
          <w:color w:val="auto"/>
          <w:highlight w:val="none"/>
        </w:rPr>
        <w:t>评审办法和标准</w:t>
      </w:r>
      <w:bookmarkEnd w:id="333"/>
    </w:p>
    <w:p>
      <w:pPr>
        <w:pStyle w:val="11"/>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一、由磋商小组根据磋商文件的要求采用相同的评审程序、评分办法及标准对提交最后报价的供应商的响应文件和最后报价进行综合评分；</w:t>
      </w:r>
    </w:p>
    <w:p>
      <w:pPr>
        <w:pageBreakBefore w:val="0"/>
        <w:tabs>
          <w:tab w:val="left" w:pos="1155"/>
        </w:tabs>
        <w:kinsoku/>
        <w:wordWrap/>
        <w:overflowPunct/>
        <w:topLinePunct w:val="0"/>
        <w:bidi w:val="0"/>
        <w:adjustRightInd w:val="0"/>
        <w:snapToGrid w:val="0"/>
        <w:spacing w:afterAutospacing="0"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二、本次综合评分的因素是：价格、技术、服务等；</w:t>
      </w:r>
    </w:p>
    <w:p>
      <w:pPr>
        <w:pageBreakBefore w:val="0"/>
        <w:tabs>
          <w:tab w:val="left" w:pos="1155"/>
        </w:tabs>
        <w:kinsoku/>
        <w:wordWrap/>
        <w:overflowPunct/>
        <w:topLinePunct w:val="0"/>
        <w:bidi w:val="0"/>
        <w:adjustRightInd w:val="0"/>
        <w:snapToGrid w:val="0"/>
        <w:spacing w:afterAutospacing="0"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三、评审时，磋商小组各成员应当独立对每个有效响应的文件进行评价、打分，然后汇总每个供应商每项评分因素的得分。</w:t>
      </w:r>
    </w:p>
    <w:p>
      <w:pPr>
        <w:pStyle w:val="5"/>
        <w:numPr>
          <w:ilvl w:val="2"/>
          <w:numId w:val="0"/>
        </w:numPr>
        <w:bidi w:val="0"/>
        <w:ind w:leftChars="200"/>
        <w:rPr>
          <w:rFonts w:hint="eastAsia" w:ascii="宋体" w:hAnsi="宋体" w:cs="Times New Roman"/>
          <w:b/>
          <w:bCs/>
          <w:color w:val="auto"/>
          <w:highlight w:val="none"/>
          <w:lang w:val="en-US" w:eastAsia="zh-CN"/>
        </w:rPr>
      </w:pPr>
      <w:bookmarkStart w:id="334" w:name="_Toc13707"/>
      <w:r>
        <w:rPr>
          <w:rFonts w:hint="eastAsia" w:ascii="宋体" w:hAnsi="宋体" w:cs="Times New Roman"/>
          <w:b/>
          <w:bCs/>
          <w:color w:val="auto"/>
          <w:highlight w:val="none"/>
          <w:lang w:val="en-US" w:eastAsia="zh-CN"/>
        </w:rPr>
        <w:t>5.</w:t>
      </w:r>
      <w:r>
        <w:rPr>
          <w:rFonts w:hint="eastAsia" w:cs="Times New Roman"/>
          <w:b/>
          <w:bCs/>
          <w:color w:val="auto"/>
          <w:highlight w:val="none"/>
          <w:lang w:val="en-US" w:eastAsia="zh-CN"/>
        </w:rPr>
        <w:t>4.1</w:t>
      </w:r>
      <w:r>
        <w:rPr>
          <w:rFonts w:hint="eastAsia" w:ascii="宋体" w:hAnsi="宋体" w:cs="Times New Roman"/>
          <w:b/>
          <w:bCs/>
          <w:color w:val="auto"/>
          <w:highlight w:val="none"/>
          <w:lang w:val="en-US" w:eastAsia="zh-CN"/>
        </w:rPr>
        <w:t>评分办法</w:t>
      </w:r>
      <w:bookmarkEnd w:id="334"/>
    </w:p>
    <w:p>
      <w:pPr>
        <w:pStyle w:val="11"/>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本次评审采用综合评分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评审得分＝（A1＋A2＋……＋An）/n1</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A1、A2……An分别为磋商小组每个成员的打分，n1为磋商小组人数。 </w:t>
      </w:r>
    </w:p>
    <w:p>
      <w:pPr>
        <w:pStyle w:val="5"/>
        <w:numPr>
          <w:ilvl w:val="2"/>
          <w:numId w:val="0"/>
        </w:numPr>
        <w:bidi w:val="0"/>
        <w:ind w:leftChars="200"/>
        <w:rPr>
          <w:rFonts w:hint="eastAsia"/>
          <w:lang w:val="en-US" w:eastAsia="zh-CN"/>
        </w:rPr>
      </w:pPr>
      <w:bookmarkStart w:id="335" w:name="_Toc11575"/>
      <w:r>
        <w:rPr>
          <w:rFonts w:hint="eastAsia"/>
          <w:lang w:val="en-US" w:eastAsia="zh-CN"/>
        </w:rPr>
        <w:t>5.4.2评分标准</w:t>
      </w:r>
      <w:bookmarkEnd w:id="335"/>
    </w:p>
    <w:tbl>
      <w:tblPr>
        <w:tblStyle w:val="20"/>
        <w:tblW w:w="8939"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214"/>
        <w:gridCol w:w="1050"/>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vAlign w:val="center"/>
          </w:tcPr>
          <w:p>
            <w:pPr>
              <w:pageBreakBefore w:val="0"/>
              <w:kinsoku/>
              <w:wordWrap/>
              <w:overflowPunct/>
              <w:topLinePunct w:val="0"/>
              <w:autoSpaceDN w:val="0"/>
              <w:bidi w:val="0"/>
              <w:adjustRightInd w:val="0"/>
              <w:snapToGrid w:val="0"/>
              <w:spacing w:afterAutospacing="0" w:line="360" w:lineRule="auto"/>
              <w:ind w:left="0" w:leftChars="0" w:firstLine="0" w:firstLineChars="0"/>
              <w:jc w:val="center"/>
              <w:rPr>
                <w:rFonts w:hint="default" w:ascii="宋体" w:hAnsi="宋体"/>
                <w:b/>
                <w:color w:val="auto"/>
                <w:sz w:val="24"/>
                <w:szCs w:val="24"/>
                <w:highlight w:val="none"/>
                <w:lang w:val="en-US" w:eastAsia="zh-CN"/>
              </w:rPr>
            </w:pPr>
            <w:r>
              <w:rPr>
                <w:rFonts w:hint="eastAsia"/>
                <w:b/>
                <w:color w:val="auto"/>
                <w:sz w:val="24"/>
                <w:szCs w:val="24"/>
                <w:highlight w:val="none"/>
                <w:lang w:val="en-US" w:eastAsia="zh-CN"/>
              </w:rPr>
              <w:t>评委类别</w:t>
            </w:r>
          </w:p>
        </w:tc>
        <w:tc>
          <w:tcPr>
            <w:tcW w:w="1214" w:type="dxa"/>
            <w:vAlign w:val="center"/>
          </w:tcPr>
          <w:p>
            <w:pPr>
              <w:pageBreakBefore w:val="0"/>
              <w:kinsoku/>
              <w:wordWrap/>
              <w:overflowPunct/>
              <w:topLinePunct w:val="0"/>
              <w:autoSpaceDN w:val="0"/>
              <w:bidi w:val="0"/>
              <w:adjustRightInd w:val="0"/>
              <w:snapToGrid w:val="0"/>
              <w:spacing w:afterAutospacing="0" w:line="360" w:lineRule="auto"/>
              <w:ind w:left="0" w:leftChars="0" w:firstLine="0" w:firstLineChars="0"/>
              <w:jc w:val="center"/>
              <w:rPr>
                <w:rFonts w:hint="default" w:ascii="宋体" w:hAnsi="宋体" w:eastAsia="宋体"/>
                <w:b/>
                <w:color w:val="auto"/>
                <w:sz w:val="24"/>
                <w:szCs w:val="24"/>
                <w:highlight w:val="none"/>
                <w:lang w:val="en-US" w:eastAsia="zh-CN"/>
              </w:rPr>
            </w:pPr>
            <w:r>
              <w:rPr>
                <w:rFonts w:hint="eastAsia" w:ascii="宋体" w:hAnsi="宋体"/>
                <w:b/>
                <w:color w:val="auto"/>
                <w:sz w:val="24"/>
                <w:szCs w:val="24"/>
                <w:highlight w:val="none"/>
                <w:lang w:val="en-US" w:eastAsia="zh-CN"/>
              </w:rPr>
              <w:t>评审项目</w:t>
            </w:r>
          </w:p>
        </w:tc>
        <w:tc>
          <w:tcPr>
            <w:tcW w:w="1050" w:type="dxa"/>
            <w:vAlign w:val="center"/>
          </w:tcPr>
          <w:p>
            <w:pPr>
              <w:pageBreakBefore w:val="0"/>
              <w:kinsoku/>
              <w:wordWrap/>
              <w:overflowPunct/>
              <w:topLinePunct w:val="0"/>
              <w:autoSpaceDN w:val="0"/>
              <w:bidi w:val="0"/>
              <w:adjustRightInd w:val="0"/>
              <w:snapToGrid w:val="0"/>
              <w:spacing w:afterAutospacing="0" w:line="360" w:lineRule="auto"/>
              <w:ind w:left="0" w:leftChars="0" w:firstLine="0" w:firstLineChars="0"/>
              <w:jc w:val="center"/>
              <w:rPr>
                <w:rFonts w:ascii="宋体" w:hAnsi="宋体"/>
                <w:b/>
                <w:color w:val="auto"/>
                <w:sz w:val="24"/>
                <w:szCs w:val="24"/>
                <w:highlight w:val="none"/>
              </w:rPr>
            </w:pPr>
            <w:r>
              <w:rPr>
                <w:rFonts w:ascii="宋体" w:hAnsi="宋体"/>
                <w:b/>
                <w:color w:val="auto"/>
                <w:sz w:val="24"/>
                <w:szCs w:val="24"/>
                <w:highlight w:val="none"/>
              </w:rPr>
              <w:t>分值</w:t>
            </w:r>
          </w:p>
        </w:tc>
        <w:tc>
          <w:tcPr>
            <w:tcW w:w="5461" w:type="dxa"/>
            <w:vAlign w:val="center"/>
          </w:tcPr>
          <w:p>
            <w:pPr>
              <w:pageBreakBefore w:val="0"/>
              <w:kinsoku/>
              <w:wordWrap/>
              <w:overflowPunct/>
              <w:topLinePunct w:val="0"/>
              <w:bidi w:val="0"/>
              <w:adjustRightInd w:val="0"/>
              <w:snapToGrid w:val="0"/>
              <w:spacing w:afterAutospacing="0" w:line="360" w:lineRule="auto"/>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3" w:hRule="atLeast"/>
        </w:trPr>
        <w:tc>
          <w:tcPr>
            <w:tcW w:w="1214"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经济类评审</w:t>
            </w:r>
          </w:p>
        </w:tc>
        <w:tc>
          <w:tcPr>
            <w:tcW w:w="1214"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报价</w:t>
            </w:r>
          </w:p>
        </w:tc>
        <w:tc>
          <w:tcPr>
            <w:tcW w:w="1050"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40分</w:t>
            </w:r>
          </w:p>
        </w:tc>
        <w:tc>
          <w:tcPr>
            <w:tcW w:w="5461"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1、对小型企业、微型企业、监狱企业、残疾人福利性单位制造的货物的价格（如涉及）给予10%的价格扣除，用扣除后的价格参与评审；</w:t>
            </w:r>
            <w:r>
              <w:rPr>
                <w:rFonts w:hint="eastAsia" w:cs="宋体"/>
                <w:color w:val="auto"/>
                <w:sz w:val="20"/>
                <w:szCs w:val="20"/>
                <w:highlight w:val="none"/>
                <w:lang w:eastAsia="zh-CN"/>
              </w:rPr>
              <w:t>【</w:t>
            </w:r>
            <w:r>
              <w:rPr>
                <w:rFonts w:hint="eastAsia" w:ascii="宋体" w:hAnsi="宋体" w:eastAsia="宋体" w:cs="宋体"/>
                <w:b/>
                <w:bCs/>
                <w:color w:val="auto"/>
                <w:sz w:val="20"/>
                <w:szCs w:val="20"/>
                <w:highlight w:val="none"/>
              </w:rPr>
              <w:t>说明：</w:t>
            </w:r>
            <w:r>
              <w:rPr>
                <w:rFonts w:hint="eastAsia" w:ascii="宋体" w:hAnsi="宋体" w:eastAsia="宋体" w:cs="宋体"/>
                <w:b/>
                <w:bCs/>
                <w:color w:val="auto"/>
                <w:sz w:val="20"/>
                <w:szCs w:val="20"/>
                <w:highlight w:val="none"/>
                <w:lang w:eastAsia="zh-CN"/>
              </w:rPr>
              <w:t>所投</w:t>
            </w:r>
            <w:r>
              <w:rPr>
                <w:rFonts w:hint="eastAsia" w:ascii="宋体" w:hAnsi="宋体" w:eastAsia="宋体" w:cs="宋体"/>
                <w:b/>
                <w:bCs/>
                <w:color w:val="auto"/>
                <w:sz w:val="20"/>
                <w:szCs w:val="20"/>
                <w:highlight w:val="none"/>
              </w:rPr>
              <w:t>产品中为监狱企业生产的产品应提供由省级以上监狱管理局、戒毒管理局（含新疆生产建设兵团）出具的生产厂商属于监狱企业的证明文件复印件。</w:t>
            </w:r>
            <w:r>
              <w:rPr>
                <w:rFonts w:hint="eastAsia" w:cs="宋体"/>
                <w:color w:val="auto"/>
                <w:sz w:val="20"/>
                <w:szCs w:val="20"/>
                <w:highlight w:val="none"/>
                <w:lang w:eastAsia="zh-CN"/>
              </w:rPr>
              <w:t>】</w:t>
            </w:r>
          </w:p>
          <w:p>
            <w:pPr>
              <w:keepNext w:val="0"/>
              <w:keepLines w:val="0"/>
              <w:pageBreakBefore w:val="0"/>
              <w:kinsoku/>
              <w:wordWrap/>
              <w:overflowPunct/>
              <w:topLinePunct w:val="0"/>
              <w:autoSpaceDE/>
              <w:bidi w:val="0"/>
              <w:adjustRightInd w:val="0"/>
              <w:snapToGrid w:val="0"/>
              <w:spacing w:afterAutospacing="0" w:line="360"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2、</w:t>
            </w:r>
            <w:r>
              <w:rPr>
                <w:rFonts w:hint="eastAsia" w:ascii="宋体" w:hAnsi="宋体" w:eastAsia="宋体" w:cs="宋体"/>
                <w:color w:val="auto"/>
                <w:sz w:val="20"/>
                <w:szCs w:val="20"/>
                <w:highlight w:val="none"/>
              </w:rPr>
              <w:t>经磋商小组评审，响应文件满足磋商文件最低要求，且最后报价最低的供应商的</w:t>
            </w:r>
            <w:r>
              <w:rPr>
                <w:rFonts w:hint="eastAsia" w:ascii="宋体" w:hAnsi="宋体" w:eastAsia="宋体" w:cs="宋体"/>
                <w:color w:val="auto"/>
                <w:sz w:val="20"/>
                <w:szCs w:val="20"/>
                <w:highlight w:val="none"/>
                <w:lang w:eastAsia="zh-CN"/>
              </w:rPr>
              <w:t>最后</w:t>
            </w:r>
            <w:r>
              <w:rPr>
                <w:rFonts w:hint="eastAsia" w:ascii="宋体" w:hAnsi="宋体" w:eastAsia="宋体" w:cs="宋体"/>
                <w:color w:val="auto"/>
                <w:sz w:val="20"/>
                <w:szCs w:val="20"/>
                <w:highlight w:val="none"/>
              </w:rPr>
              <w:t>报价作为</w:t>
            </w:r>
            <w:r>
              <w:rPr>
                <w:rFonts w:hint="eastAsia" w:ascii="宋体" w:hAnsi="宋体" w:eastAsia="宋体" w:cs="宋体"/>
                <w:color w:val="auto"/>
                <w:sz w:val="20"/>
                <w:szCs w:val="20"/>
                <w:highlight w:val="none"/>
                <w:lang w:eastAsia="zh-CN"/>
              </w:rPr>
              <w:t>磋商</w:t>
            </w:r>
            <w:r>
              <w:rPr>
                <w:rFonts w:hint="eastAsia" w:ascii="宋体" w:hAnsi="宋体" w:eastAsia="宋体" w:cs="宋体"/>
                <w:color w:val="auto"/>
                <w:sz w:val="20"/>
                <w:szCs w:val="20"/>
                <w:highlight w:val="none"/>
              </w:rPr>
              <w:t>基准价；</w:t>
            </w:r>
          </w:p>
          <w:p>
            <w:pPr>
              <w:keepNext w:val="0"/>
              <w:keepLines w:val="0"/>
              <w:pageBreakBefore w:val="0"/>
              <w:kinsoku/>
              <w:wordWrap/>
              <w:overflowPunct/>
              <w:topLinePunct w:val="0"/>
              <w:autoSpaceDE/>
              <w:bidi w:val="0"/>
              <w:adjustRightInd w:val="0"/>
              <w:snapToGrid w:val="0"/>
              <w:spacing w:afterAutospacing="0" w:line="360"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3、</w:t>
            </w:r>
            <w:r>
              <w:rPr>
                <w:rFonts w:hint="eastAsia" w:ascii="宋体" w:hAnsi="宋体" w:eastAsia="宋体" w:cs="宋体"/>
                <w:color w:val="auto"/>
                <w:sz w:val="20"/>
                <w:szCs w:val="20"/>
                <w:highlight w:val="none"/>
              </w:rPr>
              <w:t>报价得分=(</w:t>
            </w:r>
            <w:r>
              <w:rPr>
                <w:rFonts w:hint="eastAsia" w:ascii="宋体" w:hAnsi="宋体" w:eastAsia="宋体" w:cs="宋体"/>
                <w:color w:val="auto"/>
                <w:sz w:val="20"/>
                <w:szCs w:val="20"/>
                <w:highlight w:val="none"/>
                <w:lang w:eastAsia="zh-CN"/>
              </w:rPr>
              <w:t>磋商</w:t>
            </w:r>
            <w:r>
              <w:rPr>
                <w:rFonts w:hint="eastAsia" w:ascii="宋体" w:hAnsi="宋体" w:eastAsia="宋体" w:cs="宋体"/>
                <w:color w:val="auto"/>
                <w:sz w:val="20"/>
                <w:szCs w:val="20"/>
                <w:highlight w:val="none"/>
              </w:rPr>
              <w:t>基准价／</w:t>
            </w:r>
            <w:r>
              <w:rPr>
                <w:rFonts w:hint="eastAsia" w:ascii="宋体" w:hAnsi="宋体" w:eastAsia="宋体" w:cs="宋体"/>
                <w:color w:val="auto"/>
                <w:sz w:val="20"/>
                <w:szCs w:val="20"/>
                <w:highlight w:val="none"/>
                <w:lang w:eastAsia="zh-CN"/>
              </w:rPr>
              <w:t>最后</w:t>
            </w:r>
            <w:r>
              <w:rPr>
                <w:rFonts w:hint="eastAsia" w:ascii="宋体" w:hAnsi="宋体" w:eastAsia="宋体" w:cs="宋体"/>
                <w:color w:val="auto"/>
                <w:sz w:val="20"/>
                <w:szCs w:val="20"/>
                <w:highlight w:val="none"/>
              </w:rPr>
              <w:t>报价)×</w:t>
            </w:r>
            <w:r>
              <w:rPr>
                <w:rFonts w:hint="eastAsia" w:ascii="宋体" w:hAnsi="宋体" w:eastAsia="宋体" w:cs="宋体"/>
                <w:color w:val="auto"/>
                <w:sz w:val="20"/>
                <w:szCs w:val="20"/>
                <w:highlight w:val="none"/>
                <w:lang w:val="en-US" w:eastAsia="zh-CN"/>
              </w:rPr>
              <w:t>40</w:t>
            </w:r>
            <w:r>
              <w:rPr>
                <w:rFonts w:hint="eastAsia" w:ascii="宋体" w:hAnsi="宋体" w:eastAsia="宋体" w:cs="宋体"/>
                <w:color w:val="auto"/>
                <w:sz w:val="20"/>
                <w:szCs w:val="20"/>
                <w:highlight w:val="none"/>
              </w:rPr>
              <w:t>。</w:t>
            </w:r>
          </w:p>
          <w:p>
            <w:pPr>
              <w:pStyle w:val="2"/>
              <w:keepNext w:val="0"/>
              <w:keepLines w:val="0"/>
              <w:pageBreakBefore w:val="0"/>
              <w:kinsoku/>
              <w:wordWrap/>
              <w:overflowPunct/>
              <w:topLinePunct w:val="0"/>
              <w:autoSpaceDE/>
              <w:bidi w:val="0"/>
              <w:adjustRightInd w:val="0"/>
              <w:snapToGrid w:val="0"/>
              <w:spacing w:after="0" w:afterAutospacing="0" w:line="360" w:lineRule="auto"/>
              <w:ind w:firstLine="0" w:firstLineChars="0"/>
              <w:jc w:val="left"/>
              <w:textAlignment w:val="auto"/>
              <w:rPr>
                <w:rFonts w:hint="eastAsia" w:ascii="宋体" w:hAnsi="宋体" w:eastAsia="宋体" w:cs="宋体"/>
                <w:color w:val="auto"/>
                <w:sz w:val="20"/>
                <w:szCs w:val="20"/>
                <w:highlight w:val="none"/>
                <w:lang w:eastAsia="zh-CN"/>
              </w:rPr>
            </w:pPr>
            <w:r>
              <w:rPr>
                <w:rFonts w:hint="eastAsia" w:ascii="宋体" w:hAnsi="宋体" w:cs="宋体"/>
                <w:b/>
                <w:bCs/>
                <w:color w:val="auto"/>
                <w:kern w:val="2"/>
                <w:sz w:val="20"/>
                <w:szCs w:val="20"/>
                <w:highlight w:val="none"/>
                <w:lang w:val="en-US" w:eastAsia="zh-CN" w:bidi="ar-SA"/>
              </w:rPr>
              <w:t>【</w:t>
            </w:r>
            <w:r>
              <w:rPr>
                <w:rFonts w:hint="eastAsia" w:ascii="宋体" w:hAnsi="宋体" w:eastAsia="宋体" w:cs="宋体"/>
                <w:b/>
                <w:bCs/>
                <w:color w:val="auto"/>
                <w:kern w:val="2"/>
                <w:sz w:val="20"/>
                <w:szCs w:val="20"/>
                <w:highlight w:val="none"/>
                <w:lang w:val="en-US" w:eastAsia="zh-CN" w:bidi="ar-SA"/>
              </w:rPr>
              <w:t>说明：①同一货物仅作一次价格扣除。②提供的货物既有中小企业制造货物，也有大型企业制造货物的，不享受价格扣除。</w:t>
            </w:r>
            <w:r>
              <w:rPr>
                <w:rFonts w:hint="eastAsia" w:ascii="宋体" w:hAnsi="宋体" w:cs="宋体"/>
                <w:b/>
                <w:bCs/>
                <w:color w:val="auto"/>
                <w:kern w:val="2"/>
                <w:sz w:val="20"/>
                <w:szCs w:val="20"/>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9" w:hRule="atLeast"/>
        </w:trPr>
        <w:tc>
          <w:tcPr>
            <w:tcW w:w="1214" w:type="dxa"/>
            <w:vAlign w:val="center"/>
          </w:tcPr>
          <w:p>
            <w:pPr>
              <w:keepNext w:val="0"/>
              <w:keepLines w:val="0"/>
              <w:pageBreakBefore w:val="0"/>
              <w:kinsoku/>
              <w:wordWrap/>
              <w:overflowPunct/>
              <w:topLinePunct w:val="0"/>
              <w:autoSpaceDE/>
              <w:autoSpaceDN w:val="0"/>
              <w:bidi w:val="0"/>
              <w:adjustRightInd w:val="0"/>
              <w:snapToGrid w:val="0"/>
              <w:spacing w:afterAutospacing="0" w:line="360" w:lineRule="auto"/>
              <w:ind w:firstLine="0" w:firstLineChars="0"/>
              <w:jc w:val="center"/>
              <w:textAlignment w:val="auto"/>
              <w:rPr>
                <w:rFonts w:hint="eastAsia" w:cs="宋体"/>
                <w:b/>
                <w:bCs/>
                <w:color w:val="auto"/>
                <w:sz w:val="24"/>
                <w:szCs w:val="24"/>
                <w:highlight w:val="none"/>
                <w:lang w:val="en-US" w:eastAsia="zh-CN"/>
              </w:rPr>
            </w:pPr>
            <w:r>
              <w:rPr>
                <w:rFonts w:hint="eastAsia" w:ascii="宋体" w:hAnsi="宋体" w:cs="宋体"/>
                <w:b/>
                <w:bCs/>
                <w:sz w:val="24"/>
                <w:szCs w:val="24"/>
              </w:rPr>
              <w:t>技术类评审</w:t>
            </w:r>
          </w:p>
        </w:tc>
        <w:tc>
          <w:tcPr>
            <w:tcW w:w="1214" w:type="dxa"/>
            <w:vAlign w:val="center"/>
          </w:tcPr>
          <w:p>
            <w:pPr>
              <w:keepNext w:val="0"/>
              <w:keepLines w:val="0"/>
              <w:pageBreakBefore w:val="0"/>
              <w:kinsoku/>
              <w:wordWrap/>
              <w:overflowPunct/>
              <w:topLinePunct w:val="0"/>
              <w:autoSpaceDE/>
              <w:autoSpaceDN w:val="0"/>
              <w:bidi w:val="0"/>
              <w:adjustRightInd w:val="0"/>
              <w:snapToGrid w:val="0"/>
              <w:spacing w:afterAutospacing="0" w:line="360" w:lineRule="auto"/>
              <w:ind w:firstLine="0" w:firstLineChars="0"/>
              <w:jc w:val="center"/>
              <w:textAlignment w:val="auto"/>
              <w:rPr>
                <w:rFonts w:hint="default" w:ascii="宋体" w:hAnsi="宋体" w:eastAsia="宋体" w:cs="宋体"/>
                <w:color w:val="auto"/>
                <w:sz w:val="20"/>
                <w:szCs w:val="20"/>
                <w:highlight w:val="none"/>
                <w:lang w:val="en-US" w:eastAsia="zh-CN"/>
              </w:rPr>
            </w:pPr>
            <w:r>
              <w:rPr>
                <w:rFonts w:hint="eastAsia" w:cs="宋体"/>
                <w:color w:val="auto"/>
                <w:sz w:val="20"/>
                <w:szCs w:val="20"/>
                <w:highlight w:val="none"/>
                <w:lang w:val="en-US" w:eastAsia="zh-CN"/>
              </w:rPr>
              <w:t>技术参数及要求</w:t>
            </w:r>
          </w:p>
        </w:tc>
        <w:tc>
          <w:tcPr>
            <w:tcW w:w="1050" w:type="dxa"/>
            <w:vAlign w:val="center"/>
          </w:tcPr>
          <w:p>
            <w:pPr>
              <w:keepNext w:val="0"/>
              <w:keepLines w:val="0"/>
              <w:pageBreakBefore w:val="0"/>
              <w:kinsoku/>
              <w:wordWrap/>
              <w:overflowPunct/>
              <w:topLinePunct w:val="0"/>
              <w:autoSpaceDE/>
              <w:autoSpaceDN w:val="0"/>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cs="宋体"/>
                <w:color w:val="auto"/>
                <w:sz w:val="20"/>
                <w:szCs w:val="20"/>
                <w:highlight w:val="none"/>
                <w:lang w:val="en-US" w:eastAsia="zh-CN"/>
              </w:rPr>
              <w:t>32</w:t>
            </w:r>
            <w:r>
              <w:rPr>
                <w:rFonts w:hint="eastAsia" w:ascii="宋体" w:hAnsi="宋体" w:eastAsia="宋体" w:cs="宋体"/>
                <w:color w:val="auto"/>
                <w:sz w:val="20"/>
                <w:szCs w:val="20"/>
                <w:highlight w:val="none"/>
              </w:rPr>
              <w:t>分</w:t>
            </w:r>
          </w:p>
        </w:tc>
        <w:tc>
          <w:tcPr>
            <w:tcW w:w="5461" w:type="dxa"/>
            <w:vAlign w:val="center"/>
          </w:tcPr>
          <w:p>
            <w:pPr>
              <w:pStyle w:val="2"/>
              <w:keepNext w:val="0"/>
              <w:keepLines w:val="0"/>
              <w:pageBreakBefore w:val="0"/>
              <w:kinsoku/>
              <w:wordWrap/>
              <w:overflowPunct/>
              <w:topLinePunct w:val="0"/>
              <w:autoSpaceDE/>
              <w:bidi w:val="0"/>
              <w:adjustRightInd w:val="0"/>
              <w:snapToGrid w:val="0"/>
              <w:spacing w:after="0" w:afterAutospacing="0" w:line="360" w:lineRule="auto"/>
              <w:ind w:firstLine="0" w:firstLineChars="0"/>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rPr>
              <w:t>1</w:t>
            </w:r>
            <w:r>
              <w:rPr>
                <w:rFonts w:hint="eastAsia" w:ascii="宋体" w:hAnsi="宋体" w:eastAsia="宋体" w:cs="宋体"/>
                <w:color w:val="auto"/>
                <w:kern w:val="2"/>
                <w:sz w:val="20"/>
                <w:szCs w:val="20"/>
                <w:highlight w:val="none"/>
                <w:lang w:val="en-US" w:eastAsia="zh-CN" w:bidi="ar-SA"/>
              </w:rPr>
              <w:t>、供应商所投产品的技术参数完全满足采购文件中加▲号的技术参数及要求的</w:t>
            </w:r>
            <w:r>
              <w:rPr>
                <w:rFonts w:hint="eastAsia" w:ascii="宋体" w:hAnsi="宋体" w:eastAsia="宋体" w:cs="宋体"/>
                <w:b/>
                <w:bCs/>
                <w:color w:val="auto"/>
                <w:kern w:val="2"/>
                <w:sz w:val="20"/>
                <w:szCs w:val="20"/>
                <w:highlight w:val="none"/>
                <w:lang w:val="en-US" w:eastAsia="zh-CN" w:bidi="ar-SA"/>
              </w:rPr>
              <w:t>得</w:t>
            </w:r>
            <w:r>
              <w:rPr>
                <w:rFonts w:hint="eastAsia" w:ascii="宋体" w:hAnsi="宋体" w:cs="宋体"/>
                <w:b/>
                <w:bCs/>
                <w:color w:val="auto"/>
                <w:kern w:val="2"/>
                <w:sz w:val="20"/>
                <w:szCs w:val="20"/>
                <w:highlight w:val="none"/>
                <w:lang w:val="en-US" w:eastAsia="zh-CN" w:bidi="ar-SA"/>
              </w:rPr>
              <w:t>17.6</w:t>
            </w:r>
            <w:r>
              <w:rPr>
                <w:rFonts w:hint="eastAsia" w:ascii="宋体" w:hAnsi="宋体" w:eastAsia="宋体" w:cs="宋体"/>
                <w:b/>
                <w:bCs/>
                <w:color w:val="auto"/>
                <w:kern w:val="2"/>
                <w:sz w:val="20"/>
                <w:szCs w:val="20"/>
                <w:highlight w:val="none"/>
                <w:lang w:val="en-US" w:eastAsia="zh-CN" w:bidi="ar-SA"/>
              </w:rPr>
              <w:t>分</w:t>
            </w:r>
            <w:r>
              <w:rPr>
                <w:rFonts w:hint="eastAsia" w:ascii="宋体" w:hAnsi="宋体" w:eastAsia="宋体" w:cs="宋体"/>
                <w:color w:val="auto"/>
                <w:kern w:val="2"/>
                <w:sz w:val="20"/>
                <w:szCs w:val="20"/>
                <w:highlight w:val="none"/>
                <w:lang w:val="en-US" w:eastAsia="zh-CN" w:bidi="ar-SA"/>
              </w:rPr>
              <w:t>；供应商所投产品的技术参数不满足采购文件中加▲号的技术参数及要求的，则在</w:t>
            </w:r>
            <w:r>
              <w:rPr>
                <w:rFonts w:hint="eastAsia" w:ascii="宋体" w:hAnsi="宋体" w:cs="宋体"/>
                <w:color w:val="auto"/>
                <w:kern w:val="2"/>
                <w:sz w:val="20"/>
                <w:szCs w:val="20"/>
                <w:highlight w:val="none"/>
                <w:lang w:val="en-US" w:eastAsia="zh-CN" w:bidi="ar-SA"/>
              </w:rPr>
              <w:t>17.6</w:t>
            </w:r>
            <w:r>
              <w:rPr>
                <w:rFonts w:hint="eastAsia" w:ascii="宋体" w:hAnsi="宋体" w:eastAsia="宋体" w:cs="宋体"/>
                <w:color w:val="auto"/>
                <w:kern w:val="2"/>
                <w:sz w:val="20"/>
                <w:szCs w:val="20"/>
                <w:highlight w:val="none"/>
                <w:lang w:val="en-US" w:eastAsia="zh-CN" w:bidi="ar-SA"/>
              </w:rPr>
              <w:t>分的基础上，按以下原则扣分，扣完为止：每有一项不满足加▲号的技术参数及要求的，扣</w:t>
            </w:r>
            <w:r>
              <w:rPr>
                <w:rFonts w:hint="eastAsia" w:ascii="宋体" w:hAnsi="宋体" w:cs="宋体"/>
                <w:color w:val="auto"/>
                <w:kern w:val="2"/>
                <w:sz w:val="20"/>
                <w:szCs w:val="20"/>
                <w:highlight w:val="none"/>
                <w:lang w:val="en-US" w:eastAsia="zh-CN" w:bidi="ar-SA"/>
              </w:rPr>
              <w:t>0.8</w:t>
            </w:r>
            <w:r>
              <w:rPr>
                <w:rFonts w:hint="eastAsia" w:ascii="宋体" w:hAnsi="宋体" w:eastAsia="宋体" w:cs="宋体"/>
                <w:color w:val="auto"/>
                <w:kern w:val="2"/>
                <w:sz w:val="20"/>
                <w:szCs w:val="20"/>
                <w:highlight w:val="none"/>
                <w:lang w:val="en-US" w:eastAsia="zh-CN" w:bidi="ar-SA"/>
              </w:rPr>
              <w:t>分。</w:t>
            </w:r>
            <w:r>
              <w:rPr>
                <w:rFonts w:hint="eastAsia" w:ascii="宋体" w:hAnsi="宋体" w:cs="宋体"/>
                <w:b/>
                <w:bCs/>
                <w:color w:val="auto"/>
                <w:kern w:val="2"/>
                <w:sz w:val="20"/>
                <w:szCs w:val="20"/>
                <w:highlight w:val="none"/>
                <w:lang w:val="en-US" w:eastAsia="zh-CN" w:bidi="ar-SA"/>
              </w:rPr>
              <w:t>【</w:t>
            </w:r>
            <w:r>
              <w:rPr>
                <w:rFonts w:hint="eastAsia" w:ascii="宋体" w:hAnsi="宋体" w:eastAsia="宋体" w:cs="宋体"/>
                <w:b/>
                <w:bCs/>
                <w:color w:val="auto"/>
                <w:kern w:val="2"/>
                <w:sz w:val="20"/>
                <w:szCs w:val="20"/>
                <w:highlight w:val="none"/>
                <w:lang w:val="en-US" w:eastAsia="zh-CN" w:bidi="ar-SA"/>
              </w:rPr>
              <w:t>说明：</w:t>
            </w:r>
            <w:r>
              <w:rPr>
                <w:rFonts w:hint="eastAsia" w:ascii="宋体" w:hAnsi="宋体" w:cs="宋体"/>
                <w:b/>
                <w:bCs/>
                <w:color w:val="auto"/>
                <w:kern w:val="2"/>
                <w:sz w:val="20"/>
                <w:szCs w:val="20"/>
                <w:highlight w:val="none"/>
                <w:lang w:val="en-US" w:eastAsia="zh-CN" w:bidi="ar-SA"/>
              </w:rPr>
              <w:t>1.</w:t>
            </w:r>
            <w:r>
              <w:rPr>
                <w:rFonts w:hint="eastAsia" w:ascii="宋体" w:hAnsi="宋体" w:eastAsia="宋体" w:cs="宋体"/>
                <w:b/>
                <w:bCs/>
                <w:color w:val="auto"/>
                <w:kern w:val="2"/>
                <w:sz w:val="20"/>
                <w:szCs w:val="20"/>
                <w:highlight w:val="none"/>
                <w:lang w:val="en-US" w:eastAsia="zh-CN" w:bidi="ar-SA"/>
              </w:rPr>
              <w:t>以设备清单中技术参数及要求的阿拉伯数字标注为一项</w:t>
            </w:r>
            <w:r>
              <w:rPr>
                <w:rFonts w:hint="eastAsia" w:ascii="宋体" w:hAnsi="宋体" w:cs="宋体"/>
                <w:b/>
                <w:bCs/>
                <w:color w:val="auto"/>
                <w:kern w:val="2"/>
                <w:sz w:val="20"/>
                <w:szCs w:val="20"/>
                <w:highlight w:val="none"/>
                <w:lang w:val="en-US" w:eastAsia="zh-CN" w:bidi="ar-SA"/>
              </w:rPr>
              <w:t>。2.</w:t>
            </w:r>
            <w:r>
              <w:rPr>
                <w:rFonts w:hint="eastAsia" w:ascii="宋体" w:hAnsi="宋体" w:eastAsia="宋体" w:cs="宋体"/>
                <w:b/>
                <w:bCs/>
                <w:color w:val="auto"/>
                <w:kern w:val="2"/>
                <w:sz w:val="20"/>
                <w:szCs w:val="20"/>
                <w:highlight w:val="none"/>
                <w:lang w:val="en-US" w:eastAsia="zh-CN" w:bidi="ar-SA"/>
              </w:rPr>
              <w:t>加▲号的技术参数</w:t>
            </w:r>
            <w:r>
              <w:rPr>
                <w:rFonts w:hint="eastAsia" w:ascii="宋体" w:hAnsi="宋体" w:cs="宋体"/>
                <w:b/>
                <w:bCs/>
                <w:color w:val="auto"/>
                <w:kern w:val="2"/>
                <w:sz w:val="20"/>
                <w:szCs w:val="20"/>
                <w:highlight w:val="none"/>
                <w:lang w:val="en-US" w:eastAsia="zh-CN" w:bidi="ar-SA"/>
              </w:rPr>
              <w:t>，供应商提供承诺函并</w:t>
            </w:r>
            <w:bookmarkStart w:id="369" w:name="_GoBack"/>
            <w:bookmarkEnd w:id="369"/>
            <w:r>
              <w:rPr>
                <w:rFonts w:hint="eastAsia" w:ascii="宋体" w:hAnsi="宋体" w:cs="宋体"/>
                <w:b/>
                <w:bCs/>
                <w:color w:val="auto"/>
                <w:kern w:val="2"/>
                <w:sz w:val="20"/>
                <w:szCs w:val="20"/>
                <w:highlight w:val="none"/>
                <w:lang w:val="en-US" w:eastAsia="zh-CN" w:bidi="ar-SA"/>
              </w:rPr>
              <w:t>加盖供应商公章装入响应文件，承诺中标后出具厂家相关参数证明材料】</w:t>
            </w:r>
          </w:p>
          <w:p>
            <w:pPr>
              <w:pStyle w:val="2"/>
              <w:keepNext w:val="0"/>
              <w:keepLines w:val="0"/>
              <w:pageBreakBefore w:val="0"/>
              <w:kinsoku/>
              <w:wordWrap/>
              <w:overflowPunct/>
              <w:topLinePunct w:val="0"/>
              <w:autoSpaceDE/>
              <w:bidi w:val="0"/>
              <w:adjustRightInd w:val="0"/>
              <w:snapToGrid w:val="0"/>
              <w:spacing w:after="0" w:afterAutospacing="0" w:line="360" w:lineRule="auto"/>
              <w:ind w:firstLine="0" w:firstLineChars="0"/>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2"/>
                <w:sz w:val="20"/>
                <w:szCs w:val="20"/>
                <w:highlight w:val="none"/>
                <w:lang w:val="en-US" w:eastAsia="zh-CN" w:bidi="ar-SA"/>
              </w:rPr>
              <w:t>2、供应商所投产品的技术参数完全满足采购文件中未加</w:t>
            </w:r>
            <w:r>
              <w:rPr>
                <w:rFonts w:hint="eastAsia" w:ascii="宋体" w:hAnsi="宋体" w:cs="宋体"/>
                <w:color w:val="auto"/>
                <w:kern w:val="2"/>
                <w:sz w:val="20"/>
                <w:szCs w:val="20"/>
                <w:highlight w:val="none"/>
                <w:lang w:val="en-US" w:eastAsia="zh-CN" w:bidi="ar-SA"/>
              </w:rPr>
              <w:t>★、</w:t>
            </w:r>
            <w:r>
              <w:rPr>
                <w:rFonts w:hint="eastAsia" w:ascii="宋体" w:hAnsi="宋体" w:eastAsia="宋体" w:cs="宋体"/>
                <w:color w:val="auto"/>
                <w:kern w:val="2"/>
                <w:sz w:val="20"/>
                <w:szCs w:val="20"/>
                <w:highlight w:val="none"/>
                <w:lang w:val="en-US" w:eastAsia="zh-CN" w:bidi="ar-SA"/>
              </w:rPr>
              <w:t>▲号的技术参数及要求的</w:t>
            </w:r>
            <w:r>
              <w:rPr>
                <w:rFonts w:hint="eastAsia" w:ascii="宋体" w:hAnsi="宋体" w:eastAsia="宋体" w:cs="宋体"/>
                <w:b/>
                <w:bCs/>
                <w:color w:val="auto"/>
                <w:kern w:val="2"/>
                <w:sz w:val="20"/>
                <w:szCs w:val="20"/>
                <w:highlight w:val="none"/>
                <w:lang w:val="en-US" w:eastAsia="zh-CN" w:bidi="ar-SA"/>
              </w:rPr>
              <w:t>得</w:t>
            </w:r>
            <w:r>
              <w:rPr>
                <w:rFonts w:hint="eastAsia" w:ascii="宋体" w:hAnsi="宋体" w:cs="宋体"/>
                <w:b/>
                <w:bCs/>
                <w:color w:val="auto"/>
                <w:kern w:val="2"/>
                <w:sz w:val="20"/>
                <w:szCs w:val="20"/>
                <w:highlight w:val="none"/>
                <w:lang w:val="en-US" w:eastAsia="zh-CN" w:bidi="ar-SA"/>
              </w:rPr>
              <w:t>14.4</w:t>
            </w:r>
            <w:r>
              <w:rPr>
                <w:rFonts w:hint="eastAsia" w:ascii="宋体" w:hAnsi="宋体" w:eastAsia="宋体" w:cs="宋体"/>
                <w:b/>
                <w:bCs/>
                <w:color w:val="auto"/>
                <w:kern w:val="2"/>
                <w:sz w:val="20"/>
                <w:szCs w:val="20"/>
                <w:highlight w:val="none"/>
                <w:lang w:val="en-US" w:eastAsia="zh-CN" w:bidi="ar-SA"/>
              </w:rPr>
              <w:t>分</w:t>
            </w:r>
            <w:r>
              <w:rPr>
                <w:rFonts w:hint="eastAsia" w:ascii="宋体" w:hAnsi="宋体" w:eastAsia="宋体" w:cs="宋体"/>
                <w:color w:val="auto"/>
                <w:kern w:val="2"/>
                <w:sz w:val="20"/>
                <w:szCs w:val="20"/>
                <w:highlight w:val="none"/>
                <w:lang w:val="en-US" w:eastAsia="zh-CN" w:bidi="ar-SA"/>
              </w:rPr>
              <w:t>；供应商所投产品的技术参数不满足采购文件中未加</w:t>
            </w:r>
            <w:r>
              <w:rPr>
                <w:rFonts w:hint="eastAsia" w:ascii="宋体" w:hAnsi="宋体" w:cs="宋体"/>
                <w:color w:val="auto"/>
                <w:kern w:val="2"/>
                <w:sz w:val="20"/>
                <w:szCs w:val="20"/>
                <w:highlight w:val="none"/>
                <w:lang w:val="en-US" w:eastAsia="zh-CN" w:bidi="ar-SA"/>
              </w:rPr>
              <w:t>★、</w:t>
            </w:r>
            <w:r>
              <w:rPr>
                <w:rFonts w:hint="eastAsia" w:ascii="宋体" w:hAnsi="宋体" w:eastAsia="宋体" w:cs="宋体"/>
                <w:color w:val="auto"/>
                <w:kern w:val="2"/>
                <w:sz w:val="20"/>
                <w:szCs w:val="20"/>
                <w:highlight w:val="none"/>
                <w:lang w:val="en-US" w:eastAsia="zh-CN" w:bidi="ar-SA"/>
              </w:rPr>
              <w:t>▲号的技术参数及要求的,则在</w:t>
            </w:r>
            <w:r>
              <w:rPr>
                <w:rFonts w:hint="eastAsia" w:ascii="宋体" w:hAnsi="宋体" w:cs="宋体"/>
                <w:color w:val="auto"/>
                <w:kern w:val="2"/>
                <w:sz w:val="20"/>
                <w:szCs w:val="20"/>
                <w:highlight w:val="none"/>
                <w:lang w:val="en-US" w:eastAsia="zh-CN" w:bidi="ar-SA"/>
              </w:rPr>
              <w:t>14.4</w:t>
            </w:r>
            <w:r>
              <w:rPr>
                <w:rFonts w:hint="eastAsia" w:ascii="宋体" w:hAnsi="宋体" w:eastAsia="宋体" w:cs="宋体"/>
                <w:color w:val="auto"/>
                <w:kern w:val="2"/>
                <w:sz w:val="20"/>
                <w:szCs w:val="20"/>
                <w:highlight w:val="none"/>
                <w:lang w:val="en-US" w:eastAsia="zh-CN" w:bidi="ar-SA"/>
              </w:rPr>
              <w:t>分的基础上，按以下原则扣分,扣完为止:每有一项不满足未加</w:t>
            </w:r>
            <w:r>
              <w:rPr>
                <w:rFonts w:hint="eastAsia" w:ascii="宋体" w:hAnsi="宋体" w:cs="宋体"/>
                <w:color w:val="auto"/>
                <w:kern w:val="2"/>
                <w:sz w:val="20"/>
                <w:szCs w:val="20"/>
                <w:highlight w:val="none"/>
                <w:lang w:val="en-US" w:eastAsia="zh-CN" w:bidi="ar-SA"/>
              </w:rPr>
              <w:t>★、</w:t>
            </w:r>
            <w:r>
              <w:rPr>
                <w:rFonts w:hint="eastAsia" w:ascii="宋体" w:hAnsi="宋体" w:eastAsia="宋体" w:cs="宋体"/>
                <w:color w:val="auto"/>
                <w:kern w:val="2"/>
                <w:sz w:val="20"/>
                <w:szCs w:val="20"/>
                <w:highlight w:val="none"/>
                <w:lang w:val="en-US" w:eastAsia="zh-CN" w:bidi="ar-SA"/>
              </w:rPr>
              <w:t>▲号的技术参数及要求的扣0.</w:t>
            </w:r>
            <w:r>
              <w:rPr>
                <w:rFonts w:hint="eastAsia" w:ascii="宋体" w:hAnsi="宋体" w:cs="宋体"/>
                <w:color w:val="auto"/>
                <w:kern w:val="2"/>
                <w:sz w:val="20"/>
                <w:szCs w:val="20"/>
                <w:highlight w:val="none"/>
                <w:lang w:val="en-US" w:eastAsia="zh-CN" w:bidi="ar-SA"/>
              </w:rPr>
              <w:t>06</w:t>
            </w:r>
            <w:r>
              <w:rPr>
                <w:rFonts w:hint="eastAsia" w:ascii="宋体" w:hAnsi="宋体" w:eastAsia="宋体" w:cs="宋体"/>
                <w:color w:val="auto"/>
                <w:kern w:val="2"/>
                <w:sz w:val="20"/>
                <w:szCs w:val="20"/>
                <w:highlight w:val="none"/>
                <w:lang w:val="en-US" w:eastAsia="zh-CN" w:bidi="ar-SA"/>
              </w:rPr>
              <w:t>分。</w:t>
            </w:r>
            <w:r>
              <w:rPr>
                <w:rFonts w:hint="eastAsia" w:ascii="宋体" w:hAnsi="宋体" w:cs="宋体"/>
                <w:b/>
                <w:bCs/>
                <w:color w:val="auto"/>
                <w:kern w:val="2"/>
                <w:sz w:val="20"/>
                <w:szCs w:val="20"/>
                <w:highlight w:val="none"/>
                <w:lang w:val="en-US" w:eastAsia="zh-CN" w:bidi="ar-SA"/>
              </w:rPr>
              <w:t>【</w:t>
            </w:r>
            <w:r>
              <w:rPr>
                <w:rFonts w:hint="eastAsia" w:ascii="宋体" w:hAnsi="宋体" w:eastAsia="宋体" w:cs="宋体"/>
                <w:b/>
                <w:bCs/>
                <w:color w:val="auto"/>
                <w:kern w:val="2"/>
                <w:sz w:val="20"/>
                <w:szCs w:val="20"/>
                <w:highlight w:val="none"/>
                <w:lang w:val="en-US" w:eastAsia="zh-CN" w:bidi="ar-SA"/>
              </w:rPr>
              <w:t>说明：以设备清单中技术参数及要求的阿拉伯数字标注为一项。</w:t>
            </w:r>
            <w:r>
              <w:rPr>
                <w:rFonts w:hint="eastAsia" w:ascii="宋体" w:hAnsi="宋体" w:cs="宋体"/>
                <w:b/>
                <w:bCs/>
                <w:color w:val="auto"/>
                <w:kern w:val="2"/>
                <w:sz w:val="20"/>
                <w:szCs w:val="20"/>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cs="宋体"/>
                <w:b/>
                <w:bCs/>
                <w:sz w:val="24"/>
                <w:szCs w:val="24"/>
              </w:rPr>
              <w:t>技术类评审</w:t>
            </w:r>
          </w:p>
        </w:tc>
        <w:tc>
          <w:tcPr>
            <w:tcW w:w="1214"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项目</w:t>
            </w:r>
            <w:r>
              <w:rPr>
                <w:rFonts w:hint="eastAsia" w:ascii="宋体" w:hAnsi="宋体" w:eastAsia="宋体" w:cs="宋体"/>
                <w:color w:val="auto"/>
                <w:sz w:val="20"/>
                <w:szCs w:val="20"/>
                <w:highlight w:val="none"/>
                <w:lang w:eastAsia="zh-CN"/>
              </w:rPr>
              <w:t>实施</w:t>
            </w:r>
            <w:r>
              <w:rPr>
                <w:rFonts w:hint="eastAsia" w:ascii="宋体" w:hAnsi="宋体" w:eastAsia="宋体" w:cs="宋体"/>
                <w:color w:val="auto"/>
                <w:sz w:val="20"/>
                <w:szCs w:val="20"/>
                <w:highlight w:val="none"/>
              </w:rPr>
              <w:t>方案</w:t>
            </w:r>
          </w:p>
        </w:tc>
        <w:tc>
          <w:tcPr>
            <w:tcW w:w="1050"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cs="宋体"/>
                <w:color w:val="auto"/>
                <w:sz w:val="20"/>
                <w:szCs w:val="20"/>
                <w:highlight w:val="none"/>
                <w:lang w:val="en-US" w:eastAsia="zh-CN"/>
              </w:rPr>
              <w:t>6</w:t>
            </w:r>
            <w:r>
              <w:rPr>
                <w:rFonts w:hint="eastAsia" w:ascii="宋体" w:hAnsi="宋体" w:eastAsia="宋体" w:cs="宋体"/>
                <w:color w:val="auto"/>
                <w:sz w:val="20"/>
                <w:szCs w:val="20"/>
                <w:highlight w:val="none"/>
              </w:rPr>
              <w:t>分</w:t>
            </w:r>
          </w:p>
        </w:tc>
        <w:tc>
          <w:tcPr>
            <w:tcW w:w="5461" w:type="dxa"/>
            <w:vAlign w:val="center"/>
          </w:tcPr>
          <w:p>
            <w:pPr>
              <w:keepNext w:val="0"/>
              <w:keepLines w:val="0"/>
              <w:pageBreakBefore w:val="0"/>
              <w:kinsoku/>
              <w:wordWrap/>
              <w:overflowPunct/>
              <w:topLinePunct w:val="0"/>
              <w:autoSpaceDE/>
              <w:autoSpaceDN w:val="0"/>
              <w:bidi w:val="0"/>
              <w:adjustRightInd w:val="0"/>
              <w:snapToGrid w:val="0"/>
              <w:spacing w:afterAutospacing="0" w:line="360" w:lineRule="auto"/>
              <w:ind w:firstLine="0" w:firstLineChars="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根据供应商针对本项目</w:t>
            </w:r>
            <w:r>
              <w:rPr>
                <w:rFonts w:hint="eastAsia" w:ascii="宋体" w:hAnsi="宋体" w:eastAsia="宋体" w:cs="宋体"/>
                <w:color w:val="auto"/>
                <w:sz w:val="20"/>
                <w:szCs w:val="20"/>
                <w:highlight w:val="none"/>
              </w:rPr>
              <w:t>提供的项目</w:t>
            </w:r>
            <w:r>
              <w:rPr>
                <w:rFonts w:hint="eastAsia" w:ascii="宋体" w:hAnsi="宋体" w:eastAsia="宋体" w:cs="宋体"/>
                <w:color w:val="auto"/>
                <w:sz w:val="20"/>
                <w:szCs w:val="20"/>
                <w:highlight w:val="none"/>
                <w:lang w:eastAsia="zh-CN"/>
              </w:rPr>
              <w:t>实施</w:t>
            </w:r>
            <w:r>
              <w:rPr>
                <w:rFonts w:hint="eastAsia" w:ascii="宋体" w:hAnsi="宋体" w:eastAsia="宋体" w:cs="宋体"/>
                <w:color w:val="auto"/>
                <w:sz w:val="20"/>
                <w:szCs w:val="20"/>
                <w:highlight w:val="none"/>
              </w:rPr>
              <w:t>方案</w:t>
            </w:r>
            <w:r>
              <w:rPr>
                <w:rFonts w:hint="eastAsia" w:ascii="宋体" w:hAnsi="宋体" w:eastAsia="宋体" w:cs="宋体"/>
                <w:color w:val="auto"/>
                <w:sz w:val="20"/>
                <w:szCs w:val="20"/>
                <w:highlight w:val="none"/>
                <w:lang w:eastAsia="zh-CN"/>
              </w:rPr>
              <w:t>进行综合评分：</w:t>
            </w:r>
            <w:r>
              <w:rPr>
                <w:rFonts w:hint="eastAsia" w:ascii="宋体" w:hAnsi="宋体" w:eastAsia="宋体" w:cs="宋体"/>
                <w:color w:val="auto"/>
                <w:sz w:val="20"/>
                <w:szCs w:val="20"/>
                <w:highlight w:val="none"/>
              </w:rPr>
              <w:t>（</w:t>
            </w:r>
            <w:r>
              <w:rPr>
                <w:rFonts w:hint="eastAsia" w:ascii="宋体" w:hAnsi="宋体" w:eastAsia="宋体" w:cs="宋体"/>
                <w:color w:val="auto"/>
                <w:sz w:val="20"/>
                <w:szCs w:val="20"/>
                <w:highlight w:val="none"/>
                <w:lang w:eastAsia="zh-CN"/>
              </w:rPr>
              <w:t>内容包含</w:t>
            </w:r>
            <w:r>
              <w:rPr>
                <w:rFonts w:hint="eastAsia" w:ascii="宋体" w:hAnsi="宋体" w:eastAsia="宋体" w:cs="宋体"/>
                <w:color w:val="auto"/>
                <w:sz w:val="20"/>
                <w:szCs w:val="20"/>
                <w:highlight w:val="none"/>
              </w:rPr>
              <w:t>①</w:t>
            </w:r>
            <w:r>
              <w:rPr>
                <w:rFonts w:hint="eastAsia"/>
                <w:sz w:val="20"/>
                <w:szCs w:val="20"/>
                <w:highlight w:val="none"/>
                <w:lang w:val="en-US" w:eastAsia="zh-CN"/>
              </w:rPr>
              <w:t>施工质量</w:t>
            </w:r>
            <w:r>
              <w:rPr>
                <w:rFonts w:hint="eastAsia" w:ascii="宋体" w:hAnsi="宋体" w:eastAsia="宋体" w:cs="宋体"/>
                <w:color w:val="auto"/>
                <w:sz w:val="20"/>
                <w:szCs w:val="20"/>
                <w:highlight w:val="none"/>
              </w:rPr>
              <w:t>、②</w:t>
            </w:r>
            <w:r>
              <w:rPr>
                <w:rFonts w:hint="eastAsia"/>
                <w:sz w:val="20"/>
                <w:szCs w:val="20"/>
                <w:highlight w:val="none"/>
                <w:lang w:val="en-US" w:eastAsia="zh-CN"/>
              </w:rPr>
              <w:t>施工组织</w:t>
            </w:r>
            <w:r>
              <w:rPr>
                <w:rFonts w:hint="eastAsia" w:ascii="宋体" w:hAnsi="宋体" w:eastAsia="宋体" w:cs="宋体"/>
                <w:color w:val="auto"/>
                <w:sz w:val="20"/>
                <w:szCs w:val="20"/>
                <w:highlight w:val="none"/>
              </w:rPr>
              <w:t>、③</w:t>
            </w:r>
            <w:r>
              <w:rPr>
                <w:rFonts w:hint="eastAsia"/>
                <w:sz w:val="20"/>
                <w:szCs w:val="20"/>
                <w:highlight w:val="none"/>
                <w:lang w:val="en-US" w:eastAsia="zh-CN"/>
              </w:rPr>
              <w:t>进度计划</w:t>
            </w:r>
            <w:r>
              <w:rPr>
                <w:rFonts w:hint="eastAsia" w:ascii="宋体" w:hAnsi="宋体" w:eastAsia="宋体" w:cs="宋体"/>
                <w:color w:val="auto"/>
                <w:sz w:val="20"/>
                <w:szCs w:val="20"/>
                <w:highlight w:val="none"/>
              </w:rPr>
              <w:t>、④</w:t>
            </w:r>
            <w:r>
              <w:rPr>
                <w:rFonts w:hint="eastAsia"/>
                <w:sz w:val="20"/>
                <w:szCs w:val="20"/>
                <w:highlight w:val="none"/>
                <w:lang w:val="en-US" w:eastAsia="zh-CN"/>
              </w:rPr>
              <w:t>实施流程、⑤验收方案、⑥培训方案</w:t>
            </w:r>
            <w:r>
              <w:rPr>
                <w:rFonts w:hint="eastAsia" w:ascii="宋体" w:hAnsi="宋体" w:eastAsia="宋体" w:cs="宋体"/>
                <w:color w:val="auto"/>
                <w:sz w:val="20"/>
                <w:szCs w:val="20"/>
                <w:highlight w:val="none"/>
              </w:rPr>
              <w:t>）</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rPr>
              <w:t>每具备以上一个要素的得</w:t>
            </w:r>
            <w:r>
              <w:rPr>
                <w:rFonts w:hint="eastAsia" w:ascii="宋体" w:hAnsi="宋体" w:eastAsia="宋体" w:cs="宋体"/>
                <w:color w:val="auto"/>
                <w:sz w:val="20"/>
                <w:szCs w:val="20"/>
                <w:highlight w:val="none"/>
                <w:lang w:val="en-US" w:eastAsia="zh-CN"/>
              </w:rPr>
              <w:t>0.5</w:t>
            </w:r>
            <w:r>
              <w:rPr>
                <w:rFonts w:hint="eastAsia" w:ascii="宋体" w:hAnsi="宋体" w:eastAsia="宋体" w:cs="宋体"/>
                <w:color w:val="auto"/>
                <w:sz w:val="20"/>
                <w:szCs w:val="20"/>
                <w:highlight w:val="none"/>
              </w:rPr>
              <w:t>分，最多得</w:t>
            </w:r>
            <w:r>
              <w:rPr>
                <w:rFonts w:hint="eastAsia" w:cs="宋体"/>
                <w:color w:val="auto"/>
                <w:sz w:val="20"/>
                <w:szCs w:val="20"/>
                <w:highlight w:val="none"/>
                <w:lang w:val="en-US" w:eastAsia="zh-CN"/>
              </w:rPr>
              <w:t>3</w:t>
            </w:r>
            <w:r>
              <w:rPr>
                <w:rFonts w:hint="eastAsia" w:ascii="宋体" w:hAnsi="宋体" w:eastAsia="宋体" w:cs="宋体"/>
                <w:color w:val="auto"/>
                <w:sz w:val="20"/>
                <w:szCs w:val="20"/>
                <w:highlight w:val="none"/>
              </w:rPr>
              <w:t>分；在</w:t>
            </w:r>
            <w:r>
              <w:rPr>
                <w:rFonts w:hint="eastAsia" w:ascii="宋体" w:hAnsi="宋体" w:eastAsia="宋体" w:cs="宋体"/>
                <w:color w:val="auto"/>
                <w:sz w:val="20"/>
                <w:szCs w:val="20"/>
                <w:highlight w:val="none"/>
                <w:lang w:val="en-US" w:eastAsia="zh-CN"/>
              </w:rPr>
              <w:t>具备以上</w:t>
            </w:r>
            <w:r>
              <w:rPr>
                <w:rFonts w:hint="eastAsia" w:cs="宋体"/>
                <w:color w:val="auto"/>
                <w:sz w:val="20"/>
                <w:szCs w:val="20"/>
                <w:highlight w:val="none"/>
                <w:lang w:val="en-US" w:eastAsia="zh-CN"/>
              </w:rPr>
              <w:t>六</w:t>
            </w:r>
            <w:r>
              <w:rPr>
                <w:rFonts w:hint="eastAsia" w:ascii="宋体" w:hAnsi="宋体" w:eastAsia="宋体" w:cs="宋体"/>
                <w:color w:val="auto"/>
                <w:sz w:val="20"/>
                <w:szCs w:val="20"/>
                <w:highlight w:val="none"/>
                <w:lang w:val="en-US" w:eastAsia="zh-CN"/>
              </w:rPr>
              <w:t>个要素的</w:t>
            </w:r>
            <w:r>
              <w:rPr>
                <w:rFonts w:hint="eastAsia" w:ascii="宋体" w:hAnsi="宋体" w:eastAsia="宋体" w:cs="宋体"/>
                <w:color w:val="auto"/>
                <w:sz w:val="20"/>
                <w:szCs w:val="20"/>
                <w:highlight w:val="none"/>
              </w:rPr>
              <w:t>基础上，每有一个要素完全符合采购需求的各加</w:t>
            </w:r>
            <w:r>
              <w:rPr>
                <w:rFonts w:hint="eastAsia" w:ascii="宋体" w:hAnsi="宋体" w:eastAsia="宋体" w:cs="宋体"/>
                <w:color w:val="auto"/>
                <w:sz w:val="20"/>
                <w:szCs w:val="20"/>
                <w:highlight w:val="none"/>
                <w:lang w:val="en-US" w:eastAsia="zh-CN"/>
              </w:rPr>
              <w:t>0.5</w:t>
            </w:r>
            <w:r>
              <w:rPr>
                <w:rFonts w:hint="eastAsia" w:ascii="宋体" w:hAnsi="宋体" w:eastAsia="宋体" w:cs="宋体"/>
                <w:color w:val="auto"/>
                <w:sz w:val="20"/>
                <w:szCs w:val="20"/>
                <w:highlight w:val="none"/>
              </w:rPr>
              <w:t>分，最多加</w:t>
            </w:r>
            <w:r>
              <w:rPr>
                <w:rFonts w:hint="eastAsia" w:cs="宋体"/>
                <w:color w:val="auto"/>
                <w:sz w:val="20"/>
                <w:szCs w:val="20"/>
                <w:highlight w:val="none"/>
                <w:lang w:val="en-US" w:eastAsia="zh-CN"/>
              </w:rPr>
              <w:t>3</w:t>
            </w:r>
            <w:r>
              <w:rPr>
                <w:rFonts w:hint="eastAsia" w:ascii="宋体" w:hAnsi="宋体" w:eastAsia="宋体" w:cs="宋体"/>
                <w:color w:val="auto"/>
                <w:sz w:val="20"/>
                <w:szCs w:val="20"/>
                <w:highlight w:val="none"/>
              </w:rPr>
              <w:t>分；</w:t>
            </w:r>
            <w:r>
              <w:rPr>
                <w:rFonts w:hint="eastAsia" w:ascii="宋体" w:hAnsi="宋体" w:eastAsia="宋体" w:cs="宋体"/>
                <w:b/>
                <w:bCs/>
                <w:color w:val="auto"/>
                <w:sz w:val="20"/>
                <w:szCs w:val="20"/>
                <w:highlight w:val="none"/>
              </w:rPr>
              <w:t>本项最多得</w:t>
            </w:r>
            <w:r>
              <w:rPr>
                <w:rFonts w:hint="eastAsia" w:cs="宋体"/>
                <w:b/>
                <w:bCs/>
                <w:color w:val="auto"/>
                <w:sz w:val="20"/>
                <w:szCs w:val="20"/>
                <w:highlight w:val="none"/>
                <w:lang w:val="en-US" w:eastAsia="zh-CN"/>
              </w:rPr>
              <w:t>6</w:t>
            </w:r>
            <w:r>
              <w:rPr>
                <w:rFonts w:hint="eastAsia" w:ascii="宋体" w:hAnsi="宋体" w:eastAsia="宋体" w:cs="宋体"/>
                <w:b/>
                <w:bCs/>
                <w:color w:val="auto"/>
                <w:sz w:val="20"/>
                <w:szCs w:val="20"/>
                <w:highlight w:val="none"/>
              </w:rPr>
              <w:t>分。</w:t>
            </w:r>
            <w:r>
              <w:rPr>
                <w:rFonts w:hint="eastAsia" w:cs="宋体"/>
                <w:b/>
                <w:bCs/>
                <w:color w:val="auto"/>
                <w:sz w:val="20"/>
                <w:szCs w:val="20"/>
                <w:highlight w:val="none"/>
                <w:lang w:eastAsia="zh-CN"/>
              </w:rPr>
              <w:t>【</w:t>
            </w:r>
            <w:r>
              <w:rPr>
                <w:rFonts w:hint="eastAsia" w:ascii="宋体" w:hAnsi="宋体" w:eastAsia="宋体" w:cs="宋体"/>
                <w:b/>
                <w:bCs/>
                <w:color w:val="auto"/>
                <w:sz w:val="20"/>
                <w:szCs w:val="20"/>
                <w:highlight w:val="none"/>
              </w:rPr>
              <w:t>说明：不符合或不完全符合釆购需求是指存在不适用项目实际情况、凭空编造、逻辑漏洞、原理错误、内容阐述不清晰的情形。</w:t>
            </w:r>
            <w:r>
              <w:rPr>
                <w:rFonts w:hint="eastAsia" w:cs="宋体"/>
                <w:b/>
                <w:bCs/>
                <w:color w:val="auto"/>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214"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cs="宋体"/>
                <w:b/>
                <w:bCs/>
                <w:sz w:val="24"/>
                <w:szCs w:val="24"/>
              </w:rPr>
              <w:t>技术类评审</w:t>
            </w:r>
          </w:p>
        </w:tc>
        <w:tc>
          <w:tcPr>
            <w:tcW w:w="1214"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售后服务</w:t>
            </w:r>
          </w:p>
        </w:tc>
        <w:tc>
          <w:tcPr>
            <w:tcW w:w="1050"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cs="宋体"/>
                <w:color w:val="auto"/>
                <w:sz w:val="20"/>
                <w:szCs w:val="20"/>
                <w:highlight w:val="none"/>
                <w:lang w:val="en-US" w:eastAsia="zh-CN"/>
              </w:rPr>
              <w:t>10</w:t>
            </w:r>
            <w:r>
              <w:rPr>
                <w:rFonts w:hint="eastAsia" w:ascii="宋体" w:hAnsi="宋体" w:eastAsia="宋体" w:cs="宋体"/>
                <w:color w:val="auto"/>
                <w:sz w:val="20"/>
                <w:szCs w:val="20"/>
                <w:highlight w:val="none"/>
              </w:rPr>
              <w:t>分</w:t>
            </w:r>
          </w:p>
        </w:tc>
        <w:tc>
          <w:tcPr>
            <w:tcW w:w="5461" w:type="dxa"/>
            <w:vAlign w:val="center"/>
          </w:tcPr>
          <w:p>
            <w:pPr>
              <w:keepNext w:val="0"/>
              <w:keepLines w:val="0"/>
              <w:pageBreakBefore w:val="0"/>
              <w:numPr>
                <w:ilvl w:val="0"/>
                <w:numId w:val="44"/>
              </w:numPr>
              <w:kinsoku/>
              <w:wordWrap/>
              <w:overflowPunct/>
              <w:topLinePunct w:val="0"/>
              <w:autoSpaceDE/>
              <w:autoSpaceDN w:val="0"/>
              <w:bidi w:val="0"/>
              <w:adjustRightInd w:val="0"/>
              <w:snapToGrid w:val="0"/>
              <w:spacing w:afterAutospacing="0" w:line="360" w:lineRule="auto"/>
              <w:ind w:firstLine="0" w:firstLineChars="0"/>
              <w:textAlignment w:val="auto"/>
              <w:rPr>
                <w:rFonts w:hint="eastAsia"/>
                <w:sz w:val="20"/>
                <w:szCs w:val="20"/>
              </w:rPr>
            </w:pPr>
            <w:r>
              <w:rPr>
                <w:rFonts w:hint="eastAsia"/>
                <w:sz w:val="20"/>
                <w:szCs w:val="20"/>
                <w:lang w:eastAsia="zh-CN"/>
              </w:rPr>
              <w:t>根据供应商针对本项目</w:t>
            </w:r>
            <w:r>
              <w:rPr>
                <w:rFonts w:hint="eastAsia"/>
                <w:sz w:val="20"/>
                <w:szCs w:val="20"/>
              </w:rPr>
              <w:t>提供的售后服务方案</w:t>
            </w:r>
            <w:r>
              <w:rPr>
                <w:rFonts w:hint="eastAsia"/>
                <w:sz w:val="20"/>
                <w:szCs w:val="20"/>
                <w:lang w:eastAsia="zh-CN"/>
              </w:rPr>
              <w:t>进行综合评分：</w:t>
            </w:r>
            <w:r>
              <w:rPr>
                <w:rFonts w:hint="eastAsia"/>
                <w:sz w:val="20"/>
                <w:szCs w:val="20"/>
              </w:rPr>
              <w:t>（内容包</w:t>
            </w:r>
            <w:r>
              <w:rPr>
                <w:rFonts w:hint="eastAsia"/>
                <w:sz w:val="20"/>
                <w:szCs w:val="20"/>
                <w:lang w:eastAsia="zh-CN"/>
              </w:rPr>
              <w:t>含</w:t>
            </w:r>
            <w:r>
              <w:rPr>
                <w:rFonts w:hint="eastAsia"/>
                <w:sz w:val="20"/>
                <w:szCs w:val="20"/>
              </w:rPr>
              <w:t>①</w:t>
            </w:r>
            <w:r>
              <w:rPr>
                <w:rFonts w:hint="eastAsia" w:ascii="宋体" w:hAnsi="宋体" w:eastAsia="宋体" w:cs="宋体"/>
                <w:color w:val="000000"/>
                <w:kern w:val="0"/>
                <w:sz w:val="20"/>
                <w:szCs w:val="20"/>
              </w:rPr>
              <w:t>质量保证期限及范围</w:t>
            </w:r>
            <w:r>
              <w:rPr>
                <w:rFonts w:hint="eastAsia"/>
                <w:sz w:val="20"/>
                <w:szCs w:val="20"/>
              </w:rPr>
              <w:t>、②</w:t>
            </w:r>
            <w:r>
              <w:rPr>
                <w:rFonts w:hint="eastAsia" w:ascii="宋体" w:hAnsi="宋体" w:eastAsia="宋体" w:cs="宋体"/>
                <w:color w:val="000000"/>
                <w:kern w:val="0"/>
                <w:sz w:val="20"/>
                <w:szCs w:val="20"/>
              </w:rPr>
              <w:t>服务响应时间</w:t>
            </w:r>
            <w:r>
              <w:rPr>
                <w:rFonts w:hint="eastAsia"/>
                <w:sz w:val="20"/>
                <w:szCs w:val="20"/>
              </w:rPr>
              <w:t>、③</w:t>
            </w:r>
            <w:r>
              <w:rPr>
                <w:rFonts w:hint="eastAsia" w:ascii="宋体" w:hAnsi="宋体" w:eastAsia="宋体" w:cs="宋体"/>
                <w:color w:val="000000"/>
                <w:kern w:val="0"/>
                <w:sz w:val="20"/>
                <w:szCs w:val="20"/>
              </w:rPr>
              <w:t>售后服务电话</w:t>
            </w:r>
            <w:r>
              <w:rPr>
                <w:rFonts w:hint="eastAsia"/>
                <w:sz w:val="20"/>
                <w:szCs w:val="20"/>
              </w:rPr>
              <w:t>、④</w:t>
            </w:r>
            <w:r>
              <w:rPr>
                <w:rFonts w:hint="eastAsia" w:ascii="宋体" w:hAnsi="宋体" w:eastAsia="宋体" w:cs="宋体"/>
                <w:color w:val="000000"/>
                <w:kern w:val="0"/>
                <w:sz w:val="20"/>
                <w:szCs w:val="20"/>
              </w:rPr>
              <w:t>现场服务支持能力</w:t>
            </w:r>
            <w:r>
              <w:rPr>
                <w:rFonts w:hint="eastAsia" w:cs="宋体"/>
                <w:color w:val="000000"/>
                <w:kern w:val="0"/>
                <w:sz w:val="20"/>
                <w:szCs w:val="20"/>
                <w:lang w:eastAsia="zh-CN"/>
              </w:rPr>
              <w:t>、</w:t>
            </w:r>
            <w:r>
              <w:rPr>
                <w:rFonts w:hint="eastAsia" w:cs="宋体"/>
                <w:color w:val="000000"/>
                <w:kern w:val="0"/>
                <w:sz w:val="20"/>
                <w:szCs w:val="20"/>
                <w:lang w:val="en-US" w:eastAsia="zh-CN"/>
              </w:rPr>
              <w:t>⑤</w:t>
            </w:r>
            <w:r>
              <w:rPr>
                <w:rFonts w:hint="eastAsia" w:ascii="宋体" w:hAnsi="宋体" w:eastAsia="宋体" w:cs="宋体"/>
                <w:color w:val="000000"/>
                <w:kern w:val="0"/>
                <w:sz w:val="20"/>
                <w:szCs w:val="20"/>
              </w:rPr>
              <w:t>售后巡检</w:t>
            </w:r>
            <w:r>
              <w:rPr>
                <w:rFonts w:hint="eastAsia" w:cs="宋体"/>
                <w:color w:val="000000"/>
                <w:kern w:val="0"/>
                <w:sz w:val="20"/>
                <w:szCs w:val="20"/>
                <w:lang w:eastAsia="zh-CN"/>
              </w:rPr>
              <w:t>、</w:t>
            </w:r>
            <w:r>
              <w:rPr>
                <w:rFonts w:hint="eastAsia" w:cs="宋体"/>
                <w:color w:val="000000"/>
                <w:kern w:val="0"/>
                <w:sz w:val="20"/>
                <w:szCs w:val="20"/>
                <w:lang w:val="en-US" w:eastAsia="zh-CN"/>
              </w:rPr>
              <w:t>⑥</w:t>
            </w:r>
            <w:r>
              <w:rPr>
                <w:rFonts w:hint="eastAsia" w:ascii="宋体" w:hAnsi="宋体" w:eastAsia="宋体" w:cs="宋体"/>
                <w:color w:val="000000"/>
                <w:kern w:val="0"/>
                <w:sz w:val="20"/>
                <w:szCs w:val="20"/>
              </w:rPr>
              <w:t>维修团队人员配置</w:t>
            </w:r>
            <w:r>
              <w:rPr>
                <w:rFonts w:hint="eastAsia"/>
                <w:sz w:val="20"/>
                <w:szCs w:val="20"/>
              </w:rPr>
              <w:t>）</w:t>
            </w:r>
            <w:r>
              <w:rPr>
                <w:rFonts w:hint="eastAsia"/>
                <w:sz w:val="20"/>
                <w:szCs w:val="20"/>
                <w:lang w:eastAsia="zh-CN"/>
              </w:rPr>
              <w:t>，</w:t>
            </w:r>
            <w:r>
              <w:rPr>
                <w:rFonts w:hint="eastAsia"/>
                <w:sz w:val="20"/>
                <w:szCs w:val="20"/>
              </w:rPr>
              <w:t>每具备以上一个要素的得</w:t>
            </w:r>
            <w:r>
              <w:rPr>
                <w:rFonts w:hint="eastAsia"/>
                <w:sz w:val="20"/>
                <w:szCs w:val="20"/>
                <w:lang w:val="en-US" w:eastAsia="zh-CN"/>
              </w:rPr>
              <w:t>0.5</w:t>
            </w:r>
            <w:r>
              <w:rPr>
                <w:rFonts w:hint="eastAsia"/>
                <w:sz w:val="20"/>
                <w:szCs w:val="20"/>
              </w:rPr>
              <w:t>分，最多得</w:t>
            </w:r>
            <w:r>
              <w:rPr>
                <w:rFonts w:hint="eastAsia"/>
                <w:sz w:val="20"/>
                <w:szCs w:val="20"/>
                <w:lang w:val="en-US" w:eastAsia="zh-CN"/>
              </w:rPr>
              <w:t>3</w:t>
            </w:r>
            <w:r>
              <w:rPr>
                <w:rFonts w:hint="eastAsia"/>
                <w:sz w:val="20"/>
                <w:szCs w:val="20"/>
              </w:rPr>
              <w:t>分；在</w:t>
            </w:r>
            <w:r>
              <w:rPr>
                <w:rFonts w:hint="eastAsia"/>
                <w:sz w:val="20"/>
                <w:szCs w:val="20"/>
                <w:lang w:val="en-US" w:eastAsia="zh-CN"/>
              </w:rPr>
              <w:t>具备以上六个要素的</w:t>
            </w:r>
            <w:r>
              <w:rPr>
                <w:rFonts w:hint="eastAsia"/>
                <w:sz w:val="20"/>
                <w:szCs w:val="20"/>
              </w:rPr>
              <w:t>基础上，每有一个要素完全符合采购需求的各加</w:t>
            </w:r>
            <w:r>
              <w:rPr>
                <w:rFonts w:hint="eastAsia"/>
                <w:sz w:val="20"/>
                <w:szCs w:val="20"/>
                <w:lang w:val="en-US" w:eastAsia="zh-CN"/>
              </w:rPr>
              <w:t>0.5</w:t>
            </w:r>
            <w:r>
              <w:rPr>
                <w:rFonts w:hint="eastAsia"/>
                <w:sz w:val="20"/>
                <w:szCs w:val="20"/>
              </w:rPr>
              <w:t>分，最多加</w:t>
            </w:r>
            <w:r>
              <w:rPr>
                <w:rFonts w:hint="eastAsia"/>
                <w:sz w:val="20"/>
                <w:szCs w:val="20"/>
                <w:lang w:val="en-US" w:eastAsia="zh-CN"/>
              </w:rPr>
              <w:t>3</w:t>
            </w:r>
            <w:r>
              <w:rPr>
                <w:rFonts w:hint="eastAsia"/>
                <w:sz w:val="20"/>
                <w:szCs w:val="20"/>
              </w:rPr>
              <w:t>分；</w:t>
            </w:r>
            <w:r>
              <w:rPr>
                <w:rFonts w:hint="eastAsia"/>
                <w:b/>
                <w:bCs/>
                <w:sz w:val="20"/>
                <w:szCs w:val="20"/>
              </w:rPr>
              <w:t>本项最多得</w:t>
            </w:r>
            <w:r>
              <w:rPr>
                <w:rFonts w:hint="eastAsia"/>
                <w:b/>
                <w:bCs/>
                <w:sz w:val="20"/>
                <w:szCs w:val="20"/>
                <w:lang w:val="en-US" w:eastAsia="zh-CN"/>
              </w:rPr>
              <w:t>6</w:t>
            </w:r>
            <w:r>
              <w:rPr>
                <w:rFonts w:hint="eastAsia"/>
                <w:b/>
                <w:bCs/>
                <w:sz w:val="20"/>
                <w:szCs w:val="20"/>
              </w:rPr>
              <w:t>分</w:t>
            </w:r>
            <w:r>
              <w:rPr>
                <w:rFonts w:hint="eastAsia"/>
                <w:sz w:val="20"/>
                <w:szCs w:val="20"/>
              </w:rPr>
              <w:t>。</w:t>
            </w:r>
            <w:r>
              <w:rPr>
                <w:rFonts w:hint="eastAsia"/>
                <w:b/>
                <w:bCs/>
                <w:sz w:val="20"/>
                <w:szCs w:val="20"/>
                <w:lang w:eastAsia="zh-CN"/>
              </w:rPr>
              <w:t>【</w:t>
            </w:r>
            <w:r>
              <w:rPr>
                <w:rFonts w:hint="eastAsia"/>
                <w:b/>
                <w:bCs/>
                <w:sz w:val="20"/>
                <w:szCs w:val="20"/>
              </w:rPr>
              <w:t>说明：不符合或不完全符合釆购需求是指存在不适用项目实际情况、凭空编造、逻辑漏洞、原理错误、内容阐述不清晰的情形。</w:t>
            </w:r>
            <w:r>
              <w:rPr>
                <w:rFonts w:hint="eastAsia"/>
                <w:b/>
                <w:bCs/>
                <w:sz w:val="20"/>
                <w:szCs w:val="20"/>
                <w:lang w:eastAsia="zh-CN"/>
              </w:rPr>
              <w:t>】</w:t>
            </w:r>
          </w:p>
          <w:p>
            <w:pPr>
              <w:pStyle w:val="2"/>
              <w:numPr>
                <w:ilvl w:val="0"/>
                <w:numId w:val="44"/>
              </w:numPr>
              <w:ind w:left="0" w:leftChars="0" w:firstLine="0" w:firstLineChars="0"/>
              <w:rPr>
                <w:rFonts w:hint="default"/>
                <w:sz w:val="20"/>
                <w:szCs w:val="20"/>
                <w:lang w:val="en-US" w:eastAsia="zh-CN"/>
              </w:rPr>
            </w:pPr>
            <w:r>
              <w:rPr>
                <w:rFonts w:hint="eastAsia"/>
                <w:sz w:val="20"/>
                <w:szCs w:val="20"/>
                <w:highlight w:val="none"/>
                <w:lang w:val="en-US" w:eastAsia="zh-CN"/>
              </w:rPr>
              <w:t>供应商</w:t>
            </w:r>
            <w:r>
              <w:rPr>
                <w:rFonts w:hint="eastAsia"/>
                <w:b/>
                <w:bCs/>
                <w:sz w:val="20"/>
                <w:szCs w:val="20"/>
                <w:highlight w:val="none"/>
                <w:lang w:val="en-US" w:eastAsia="zh-CN"/>
              </w:rPr>
              <w:t>承诺中标后签订合同前，向采购人提供</w:t>
            </w:r>
            <w:r>
              <w:rPr>
                <w:rFonts w:hint="eastAsia"/>
                <w:b w:val="0"/>
                <w:bCs w:val="0"/>
                <w:sz w:val="20"/>
                <w:szCs w:val="20"/>
                <w:highlight w:val="none"/>
                <w:lang w:val="en-US" w:eastAsia="zh-CN"/>
              </w:rPr>
              <w:t>本项目的核心产品“</w:t>
            </w:r>
            <w:r>
              <w:rPr>
                <w:rFonts w:hint="eastAsia"/>
                <w:b/>
                <w:bCs/>
                <w:sz w:val="20"/>
                <w:szCs w:val="20"/>
                <w:highlight w:val="none"/>
                <w:lang w:val="en-US" w:eastAsia="zh-CN"/>
              </w:rPr>
              <w:t>LED背景会议灯、线性阵列全频音箱（左右）</w:t>
            </w:r>
            <w:r>
              <w:rPr>
                <w:rFonts w:hint="eastAsia"/>
                <w:b w:val="0"/>
                <w:bCs w:val="0"/>
                <w:sz w:val="20"/>
                <w:szCs w:val="20"/>
                <w:highlight w:val="none"/>
                <w:lang w:val="en-US" w:eastAsia="zh-CN"/>
              </w:rPr>
              <w:t>”的厂商售后服务承诺函原件，得4分</w:t>
            </w:r>
            <w:r>
              <w:rPr>
                <w:rFonts w:hint="eastAsia"/>
                <w:b/>
                <w:bCs/>
                <w:sz w:val="20"/>
                <w:szCs w:val="20"/>
                <w:highlight w:val="none"/>
                <w:lang w:val="en-US" w:eastAsia="zh-CN"/>
              </w:rPr>
              <w:t>。</w:t>
            </w:r>
            <w:r>
              <w:rPr>
                <w:rFonts w:hint="eastAsia"/>
                <w:sz w:val="20"/>
                <w:szCs w:val="20"/>
                <w:highlight w:val="none"/>
                <w:lang w:val="en-US" w:eastAsia="zh-CN"/>
              </w:rPr>
              <w:t>【</w:t>
            </w:r>
            <w:r>
              <w:rPr>
                <w:rFonts w:hint="eastAsia"/>
                <w:b/>
                <w:bCs/>
                <w:sz w:val="20"/>
                <w:szCs w:val="20"/>
                <w:highlight w:val="none"/>
                <w:lang w:val="en-US" w:eastAsia="zh-CN"/>
              </w:rPr>
              <w:t>说明：提供承诺函加盖供应商公章装入响应文件。</w:t>
            </w:r>
            <w:r>
              <w:rPr>
                <w:rFonts w:hint="eastAsia"/>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214"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b/>
                <w:bCs/>
                <w:color w:val="000000"/>
                <w:kern w:val="0"/>
                <w:sz w:val="24"/>
                <w:szCs w:val="24"/>
              </w:rPr>
            </w:pPr>
            <w:r>
              <w:rPr>
                <w:rFonts w:hint="eastAsia" w:ascii="宋体" w:hAnsi="宋体" w:cs="宋体"/>
                <w:b/>
                <w:bCs/>
                <w:sz w:val="24"/>
                <w:szCs w:val="24"/>
              </w:rPr>
              <w:t>评审委员会成员</w:t>
            </w:r>
          </w:p>
        </w:tc>
        <w:tc>
          <w:tcPr>
            <w:tcW w:w="1214"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jc w:val="center"/>
              <w:textAlignment w:val="auto"/>
              <w:rPr>
                <w:rFonts w:hint="default" w:ascii="宋体" w:hAnsi="宋体" w:eastAsia="宋体" w:cs="宋体"/>
                <w:color w:val="auto"/>
                <w:sz w:val="20"/>
                <w:szCs w:val="20"/>
                <w:highlight w:val="none"/>
                <w:lang w:val="en-US"/>
              </w:rPr>
            </w:pPr>
            <w:r>
              <w:rPr>
                <w:rFonts w:hint="eastAsia" w:ascii="宋体" w:hAnsi="宋体" w:eastAsia="宋体" w:cs="宋体"/>
                <w:color w:val="000000"/>
                <w:kern w:val="0"/>
                <w:sz w:val="20"/>
                <w:szCs w:val="20"/>
              </w:rPr>
              <w:t>技术实力及信誉</w:t>
            </w:r>
          </w:p>
        </w:tc>
        <w:tc>
          <w:tcPr>
            <w:tcW w:w="1050" w:type="dxa"/>
            <w:vAlign w:val="center"/>
          </w:tcPr>
          <w:p>
            <w:pPr>
              <w:keepNext w:val="0"/>
              <w:keepLines w:val="0"/>
              <w:pageBreakBefore w:val="0"/>
              <w:widowControl w:val="0"/>
              <w:kinsoku/>
              <w:wordWrap/>
              <w:overflowPunct/>
              <w:topLinePunct w:val="0"/>
              <w:autoSpaceDE/>
              <w:autoSpaceDN w:val="0"/>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cs="宋体"/>
                <w:color w:val="auto"/>
                <w:sz w:val="20"/>
                <w:szCs w:val="20"/>
                <w:highlight w:val="none"/>
                <w:lang w:val="en-US" w:eastAsia="zh-CN"/>
              </w:rPr>
              <w:t>10</w:t>
            </w:r>
            <w:r>
              <w:rPr>
                <w:rFonts w:hint="eastAsia" w:ascii="宋体" w:hAnsi="宋体" w:eastAsia="宋体" w:cs="宋体"/>
                <w:color w:val="auto"/>
                <w:sz w:val="20"/>
                <w:szCs w:val="20"/>
                <w:highlight w:val="none"/>
              </w:rPr>
              <w:t>分</w:t>
            </w:r>
          </w:p>
        </w:tc>
        <w:tc>
          <w:tcPr>
            <w:tcW w:w="5461" w:type="dxa"/>
            <w:vAlign w:val="top"/>
          </w:tcPr>
          <w:p>
            <w:pPr>
              <w:widowControl/>
              <w:ind w:left="0" w:leftChars="0" w:firstLine="0" w:firstLineChars="0"/>
              <w:jc w:val="left"/>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1.</w:t>
            </w:r>
            <w:r>
              <w:rPr>
                <w:rFonts w:hint="eastAsia" w:cs="宋体"/>
                <w:sz w:val="20"/>
                <w:szCs w:val="20"/>
                <w:highlight w:val="none"/>
                <w:lang w:val="en-US" w:eastAsia="zh-CN"/>
              </w:rPr>
              <w:t>供应商所投</w:t>
            </w:r>
            <w:r>
              <w:rPr>
                <w:rFonts w:hint="eastAsia" w:ascii="宋体" w:hAnsi="宋体" w:eastAsia="宋体" w:cs="宋体"/>
                <w:sz w:val="20"/>
                <w:szCs w:val="20"/>
                <w:highlight w:val="none"/>
              </w:rPr>
              <w:t>音响制造商具有质量管理体系认证、职业健康安全管理体系认证、环境管理体系认证证书，</w:t>
            </w:r>
            <w:r>
              <w:rPr>
                <w:rFonts w:hint="eastAsia" w:cs="宋体"/>
                <w:sz w:val="20"/>
                <w:szCs w:val="20"/>
                <w:highlight w:val="none"/>
                <w:lang w:val="en-US" w:eastAsia="zh-CN"/>
              </w:rPr>
              <w:t>每具有以上一个证书得1分，本项最多得3分</w:t>
            </w:r>
            <w:r>
              <w:rPr>
                <w:rFonts w:hint="eastAsia" w:ascii="宋体" w:hAnsi="宋体" w:eastAsia="宋体" w:cs="宋体"/>
                <w:sz w:val="20"/>
                <w:szCs w:val="20"/>
                <w:highlight w:val="none"/>
              </w:rPr>
              <w:t>。</w:t>
            </w:r>
            <w:r>
              <w:rPr>
                <w:rFonts w:hint="eastAsia" w:ascii="宋体" w:hAnsi="宋体" w:eastAsia="宋体" w:cs="宋体"/>
                <w:b/>
                <w:bCs/>
                <w:sz w:val="20"/>
                <w:szCs w:val="20"/>
                <w:highlight w:val="none"/>
                <w:lang w:eastAsia="zh-CN"/>
              </w:rPr>
              <w:t>【</w:t>
            </w:r>
            <w:r>
              <w:rPr>
                <w:rFonts w:hint="eastAsia" w:ascii="宋体" w:hAnsi="宋体" w:eastAsia="宋体" w:cs="宋体"/>
                <w:b/>
                <w:bCs/>
                <w:sz w:val="20"/>
                <w:szCs w:val="20"/>
                <w:highlight w:val="none"/>
                <w:lang w:val="en-US" w:eastAsia="zh-CN"/>
              </w:rPr>
              <w:t>说明：1.提供证书复印件并加盖供应商公章；2.提供证书在国家认证认可监督管理委员会官方网站上查询的截图，</w:t>
            </w:r>
            <w:r>
              <w:rPr>
                <w:rFonts w:hint="eastAsia" w:ascii="宋体" w:hAnsi="宋体" w:eastAsia="宋体" w:cs="宋体"/>
                <w:b/>
                <w:bCs/>
                <w:sz w:val="20"/>
                <w:szCs w:val="20"/>
                <w:highlight w:val="none"/>
              </w:rPr>
              <w:t>并加盖公章</w:t>
            </w:r>
            <w:r>
              <w:rPr>
                <w:rFonts w:hint="eastAsia" w:ascii="宋体" w:hAnsi="宋体" w:eastAsia="宋体" w:cs="宋体"/>
                <w:b/>
                <w:bCs/>
                <w:sz w:val="20"/>
                <w:szCs w:val="20"/>
                <w:highlight w:val="none"/>
                <w:lang w:eastAsia="zh-CN"/>
              </w:rPr>
              <w:t>。】</w:t>
            </w:r>
          </w:p>
          <w:p>
            <w:pPr>
              <w:pStyle w:val="2"/>
              <w:numPr>
                <w:ilvl w:val="0"/>
                <w:numId w:val="0"/>
              </w:numPr>
              <w:rPr>
                <w:rFonts w:hint="eastAsia" w:ascii="宋体" w:hAnsi="宋体" w:eastAsia="宋体" w:cs="宋体"/>
                <w:b/>
                <w:bCs/>
                <w:sz w:val="20"/>
                <w:szCs w:val="20"/>
                <w:highlight w:val="none"/>
                <w:lang w:eastAsia="zh-CN"/>
              </w:rPr>
            </w:pP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供应商</w:t>
            </w:r>
            <w:r>
              <w:rPr>
                <w:rFonts w:hint="eastAsia" w:ascii="宋体" w:hAnsi="宋体" w:eastAsia="宋体" w:cs="宋体"/>
                <w:sz w:val="20"/>
                <w:szCs w:val="20"/>
                <w:highlight w:val="none"/>
                <w:lang w:val="en-US" w:eastAsia="zh-CN"/>
              </w:rPr>
              <w:t>所投LED显示屏具有</w:t>
            </w:r>
            <w:r>
              <w:rPr>
                <w:rFonts w:hint="eastAsia" w:ascii="宋体" w:hAnsi="宋体" w:eastAsia="宋体" w:cs="宋体"/>
                <w:sz w:val="20"/>
                <w:szCs w:val="20"/>
                <w:highlight w:val="none"/>
              </w:rPr>
              <w:t>计算机信息显示</w:t>
            </w:r>
            <w:r>
              <w:rPr>
                <w:rFonts w:hint="eastAsia" w:ascii="宋体" w:hAnsi="宋体" w:eastAsia="宋体" w:cs="宋体"/>
                <w:sz w:val="20"/>
                <w:szCs w:val="20"/>
                <w:highlight w:val="none"/>
                <w:lang w:val="en-US" w:eastAsia="zh-CN"/>
              </w:rPr>
              <w:t>相关的</w:t>
            </w:r>
            <w:r>
              <w:rPr>
                <w:rFonts w:hint="eastAsia" w:ascii="宋体" w:hAnsi="宋体" w:eastAsia="宋体" w:cs="宋体"/>
                <w:sz w:val="20"/>
                <w:szCs w:val="20"/>
                <w:highlight w:val="none"/>
              </w:rPr>
              <w:t>软件著作权登记证书、LED显示屏智能控制系统</w:t>
            </w:r>
            <w:r>
              <w:rPr>
                <w:rFonts w:hint="eastAsia" w:ascii="宋体" w:hAnsi="宋体" w:eastAsia="宋体" w:cs="宋体"/>
                <w:sz w:val="20"/>
                <w:szCs w:val="20"/>
                <w:highlight w:val="none"/>
                <w:lang w:val="en-US" w:eastAsia="zh-CN"/>
              </w:rPr>
              <w:t>相关的</w:t>
            </w:r>
            <w:r>
              <w:rPr>
                <w:rFonts w:hint="eastAsia" w:ascii="宋体" w:hAnsi="宋体" w:eastAsia="宋体" w:cs="宋体"/>
                <w:sz w:val="20"/>
                <w:szCs w:val="20"/>
                <w:highlight w:val="none"/>
              </w:rPr>
              <w:t>著作权登记证书，</w:t>
            </w:r>
            <w:r>
              <w:rPr>
                <w:rFonts w:hint="eastAsia" w:ascii="宋体" w:hAnsi="宋体" w:eastAsia="宋体" w:cs="宋体"/>
                <w:sz w:val="20"/>
                <w:szCs w:val="20"/>
                <w:highlight w:val="none"/>
                <w:lang w:val="en-US" w:eastAsia="zh-CN"/>
              </w:rPr>
              <w:t>每</w:t>
            </w:r>
            <w:r>
              <w:rPr>
                <w:rFonts w:hint="eastAsia" w:ascii="宋体" w:hAnsi="宋体" w:cs="宋体"/>
                <w:sz w:val="20"/>
                <w:szCs w:val="20"/>
                <w:highlight w:val="none"/>
                <w:lang w:val="en-US" w:eastAsia="zh-CN"/>
              </w:rPr>
              <w:t>具有以上一个证书</w:t>
            </w:r>
            <w:r>
              <w:rPr>
                <w:rFonts w:hint="eastAsia" w:ascii="宋体" w:hAnsi="宋体" w:eastAsia="宋体" w:cs="宋体"/>
                <w:sz w:val="20"/>
                <w:szCs w:val="20"/>
                <w:highlight w:val="none"/>
                <w:lang w:val="en-US" w:eastAsia="zh-CN"/>
              </w:rPr>
              <w:t>得1.5分，本项最</w:t>
            </w:r>
            <w:r>
              <w:rPr>
                <w:rFonts w:hint="eastAsia" w:ascii="宋体" w:hAnsi="宋体" w:cs="宋体"/>
                <w:sz w:val="20"/>
                <w:szCs w:val="20"/>
                <w:highlight w:val="none"/>
                <w:lang w:val="en-US" w:eastAsia="zh-CN"/>
              </w:rPr>
              <w:t>多</w:t>
            </w:r>
            <w:r>
              <w:rPr>
                <w:rFonts w:hint="eastAsia" w:ascii="宋体" w:hAnsi="宋体" w:eastAsia="宋体" w:cs="宋体"/>
                <w:sz w:val="20"/>
                <w:szCs w:val="20"/>
                <w:highlight w:val="none"/>
                <w:lang w:val="en-US" w:eastAsia="zh-CN"/>
              </w:rPr>
              <w:t>得3分</w:t>
            </w:r>
            <w:r>
              <w:rPr>
                <w:rFonts w:hint="eastAsia" w:ascii="宋体" w:hAnsi="宋体" w:eastAsia="宋体" w:cs="宋体"/>
                <w:sz w:val="20"/>
                <w:szCs w:val="20"/>
                <w:highlight w:val="none"/>
              </w:rPr>
              <w:t>。</w:t>
            </w:r>
            <w:r>
              <w:rPr>
                <w:rFonts w:hint="eastAsia" w:ascii="宋体" w:hAnsi="宋体" w:eastAsia="宋体" w:cs="宋体"/>
                <w:b/>
                <w:bCs/>
                <w:sz w:val="20"/>
                <w:szCs w:val="20"/>
                <w:highlight w:val="none"/>
                <w:lang w:eastAsia="zh-CN"/>
              </w:rPr>
              <w:t>【</w:t>
            </w:r>
            <w:r>
              <w:rPr>
                <w:rFonts w:hint="eastAsia" w:ascii="宋体" w:hAnsi="宋体" w:eastAsia="宋体" w:cs="宋体"/>
                <w:b/>
                <w:bCs/>
                <w:sz w:val="20"/>
                <w:szCs w:val="20"/>
                <w:highlight w:val="none"/>
                <w:lang w:val="en-US" w:eastAsia="zh-CN"/>
              </w:rPr>
              <w:t>说明：提供证书复印件并加盖公章</w:t>
            </w:r>
            <w:r>
              <w:rPr>
                <w:rFonts w:hint="eastAsia" w:ascii="宋体" w:hAnsi="宋体" w:eastAsia="宋体" w:cs="宋体"/>
                <w:b/>
                <w:bCs/>
                <w:sz w:val="20"/>
                <w:szCs w:val="20"/>
                <w:highlight w:val="none"/>
                <w:lang w:eastAsia="zh-CN"/>
              </w:rPr>
              <w:t>】</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sz w:val="20"/>
                <w:szCs w:val="20"/>
                <w:highlight w:val="none"/>
                <w:lang w:val="en-US" w:eastAsia="zh-CN"/>
              </w:rPr>
            </w:pPr>
            <w:r>
              <w:rPr>
                <w:rFonts w:hint="eastAsia" w:ascii="宋体" w:hAnsi="宋体" w:eastAsia="宋体" w:cs="宋体"/>
                <w:sz w:val="20"/>
                <w:szCs w:val="20"/>
                <w:highlight w:val="none"/>
                <w:lang w:val="en-US" w:eastAsia="zh-CN"/>
              </w:rPr>
              <w:t>3、</w:t>
            </w:r>
            <w:r>
              <w:rPr>
                <w:rFonts w:hint="eastAsia" w:cs="宋体"/>
                <w:sz w:val="20"/>
                <w:szCs w:val="20"/>
                <w:highlight w:val="none"/>
                <w:lang w:val="en-US" w:eastAsia="zh-CN"/>
              </w:rPr>
              <w:t>供应商所投</w:t>
            </w:r>
            <w:r>
              <w:rPr>
                <w:rFonts w:hint="eastAsia" w:ascii="宋体" w:hAnsi="宋体" w:eastAsia="宋体" w:cs="宋体"/>
                <w:sz w:val="20"/>
                <w:szCs w:val="20"/>
                <w:highlight w:val="none"/>
                <w:lang w:val="en-US" w:eastAsia="zh-CN"/>
              </w:rPr>
              <w:t>LED生产厂家具有</w:t>
            </w:r>
            <w:r>
              <w:rPr>
                <w:rFonts w:hint="eastAsia" w:ascii="宋体" w:hAnsi="宋体" w:eastAsia="宋体" w:cs="宋体"/>
                <w:color w:val="000000"/>
                <w:kern w:val="0"/>
                <w:sz w:val="20"/>
                <w:szCs w:val="20"/>
                <w:highlight w:val="none"/>
              </w:rPr>
              <w:t>质量管理体系认证、环境管理体系认证证书，</w:t>
            </w:r>
            <w:r>
              <w:rPr>
                <w:rFonts w:hint="eastAsia" w:cs="宋体"/>
                <w:color w:val="000000"/>
                <w:kern w:val="0"/>
                <w:sz w:val="20"/>
                <w:szCs w:val="20"/>
                <w:highlight w:val="none"/>
                <w:lang w:val="en-US" w:eastAsia="zh-CN"/>
              </w:rPr>
              <w:t>每具有以上一个证书得2分，本项最多得4分。</w:t>
            </w:r>
            <w:r>
              <w:rPr>
                <w:rFonts w:hint="eastAsia" w:ascii="宋体" w:hAnsi="宋体" w:eastAsia="宋体" w:cs="宋体"/>
                <w:b/>
                <w:bCs/>
                <w:sz w:val="20"/>
                <w:szCs w:val="20"/>
                <w:highlight w:val="none"/>
                <w:lang w:eastAsia="zh-CN"/>
              </w:rPr>
              <w:t>【</w:t>
            </w:r>
            <w:r>
              <w:rPr>
                <w:rFonts w:hint="eastAsia" w:ascii="宋体" w:hAnsi="宋体" w:eastAsia="宋体" w:cs="宋体"/>
                <w:b/>
                <w:bCs/>
                <w:sz w:val="20"/>
                <w:szCs w:val="20"/>
                <w:highlight w:val="none"/>
                <w:lang w:val="en-US" w:eastAsia="zh-CN"/>
              </w:rPr>
              <w:t>说明：1.提供证书复印件并加盖</w:t>
            </w:r>
            <w:r>
              <w:rPr>
                <w:rFonts w:hint="eastAsia" w:cs="宋体"/>
                <w:b/>
                <w:bCs/>
                <w:sz w:val="20"/>
                <w:szCs w:val="20"/>
                <w:highlight w:val="none"/>
                <w:lang w:val="en-US" w:eastAsia="zh-CN"/>
              </w:rPr>
              <w:t>供应商</w:t>
            </w:r>
            <w:r>
              <w:rPr>
                <w:rFonts w:hint="eastAsia" w:ascii="宋体" w:hAnsi="宋体" w:eastAsia="宋体" w:cs="宋体"/>
                <w:b/>
                <w:bCs/>
                <w:sz w:val="20"/>
                <w:szCs w:val="20"/>
                <w:highlight w:val="none"/>
                <w:lang w:val="en-US" w:eastAsia="zh-CN"/>
              </w:rPr>
              <w:t>公章；2.提供证书在国家认证认可监督管理委员会官方网站上查询的截图，</w:t>
            </w:r>
            <w:r>
              <w:rPr>
                <w:rFonts w:hint="eastAsia" w:ascii="宋体" w:hAnsi="宋体" w:eastAsia="宋体" w:cs="宋体"/>
                <w:b/>
                <w:bCs/>
                <w:sz w:val="20"/>
                <w:szCs w:val="20"/>
                <w:highlight w:val="none"/>
              </w:rPr>
              <w:t>并加盖公章</w:t>
            </w:r>
            <w:r>
              <w:rPr>
                <w:rFonts w:hint="eastAsia" w:ascii="宋体" w:hAnsi="宋体" w:eastAsia="宋体" w:cs="宋体"/>
                <w:b/>
                <w:bCs/>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214" w:type="dxa"/>
            <w:vAlign w:val="center"/>
          </w:tcPr>
          <w:p>
            <w:pPr>
              <w:keepNext w:val="0"/>
              <w:keepLines w:val="0"/>
              <w:pageBreakBefore w:val="0"/>
              <w:widowControl/>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ascii="宋体" w:hAnsi="宋体" w:cs="宋体"/>
                <w:szCs w:val="21"/>
              </w:rPr>
              <w:t>评审委员会成员</w:t>
            </w:r>
          </w:p>
        </w:tc>
        <w:tc>
          <w:tcPr>
            <w:tcW w:w="1214" w:type="dxa"/>
            <w:vAlign w:val="center"/>
          </w:tcPr>
          <w:p>
            <w:pPr>
              <w:keepNext w:val="0"/>
              <w:keepLines w:val="0"/>
              <w:pageBreakBefore w:val="0"/>
              <w:widowControl/>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节能、环保，无线局域网认证产品</w:t>
            </w:r>
          </w:p>
        </w:tc>
        <w:tc>
          <w:tcPr>
            <w:tcW w:w="1050" w:type="dxa"/>
            <w:vAlign w:val="center"/>
          </w:tcPr>
          <w:p>
            <w:pPr>
              <w:keepNext w:val="0"/>
              <w:keepLines w:val="0"/>
              <w:pageBreakBefore w:val="0"/>
              <w:widowControl/>
              <w:kinsoku/>
              <w:wordWrap/>
              <w:overflowPunct/>
              <w:topLinePunct w:val="0"/>
              <w:autoSpaceDE/>
              <w:bidi w:val="0"/>
              <w:adjustRightInd w:val="0"/>
              <w:snapToGrid w:val="0"/>
              <w:spacing w:afterAutospacing="0" w:line="360" w:lineRule="auto"/>
              <w:ind w:firstLine="0" w:firstLineChars="0"/>
              <w:jc w:val="center"/>
              <w:textAlignment w:val="auto"/>
              <w:rPr>
                <w:rFonts w:hint="eastAsia" w:ascii="宋体" w:hAnsi="宋体" w:eastAsia="宋体" w:cs="宋体"/>
                <w:color w:val="auto"/>
                <w:sz w:val="20"/>
                <w:szCs w:val="20"/>
                <w:highlight w:val="none"/>
              </w:rPr>
            </w:pPr>
            <w:r>
              <w:rPr>
                <w:rFonts w:hint="eastAsia" w:cs="宋体"/>
                <w:color w:val="auto"/>
                <w:kern w:val="0"/>
                <w:sz w:val="20"/>
                <w:szCs w:val="20"/>
                <w:highlight w:val="none"/>
                <w:lang w:val="en-US" w:eastAsia="zh-CN"/>
              </w:rPr>
              <w:t>2</w:t>
            </w:r>
            <w:r>
              <w:rPr>
                <w:rFonts w:hint="eastAsia" w:ascii="宋体" w:hAnsi="宋体" w:eastAsia="宋体" w:cs="宋体"/>
                <w:color w:val="auto"/>
                <w:kern w:val="0"/>
                <w:sz w:val="20"/>
                <w:szCs w:val="20"/>
                <w:highlight w:val="none"/>
              </w:rPr>
              <w:t>分</w:t>
            </w:r>
          </w:p>
        </w:tc>
        <w:tc>
          <w:tcPr>
            <w:tcW w:w="5461" w:type="dxa"/>
            <w:vAlign w:val="center"/>
          </w:tcPr>
          <w:p>
            <w:pPr>
              <w:keepNext w:val="0"/>
              <w:keepLines w:val="0"/>
              <w:pageBreakBefore w:val="0"/>
              <w:kinsoku/>
              <w:wordWrap/>
              <w:overflowPunct/>
              <w:topLinePunct w:val="0"/>
              <w:autoSpaceDE/>
              <w:bidi w:val="0"/>
              <w:adjustRightInd w:val="0"/>
              <w:snapToGrid w:val="0"/>
              <w:spacing w:afterAutospacing="0" w:line="360" w:lineRule="auto"/>
              <w:ind w:firstLine="0" w:firstLineChars="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供应商</w:t>
            </w:r>
            <w:r>
              <w:rPr>
                <w:rFonts w:hint="eastAsia" w:ascii="宋体" w:hAnsi="宋体" w:eastAsia="宋体" w:cs="宋体"/>
                <w:color w:val="auto"/>
                <w:sz w:val="20"/>
                <w:szCs w:val="20"/>
                <w:highlight w:val="none"/>
              </w:rPr>
              <w:t>所投产品中每有一项产品（除节能产品政府采购品目清单中的政府强制采购产品外）具有国家确定的认证机构出具的节能产品认证证书的得0.5分；</w:t>
            </w:r>
            <w:r>
              <w:rPr>
                <w:rFonts w:hint="eastAsia" w:ascii="宋体" w:hAnsi="宋体" w:eastAsia="宋体" w:cs="宋体"/>
                <w:color w:val="auto"/>
                <w:sz w:val="20"/>
                <w:szCs w:val="20"/>
                <w:highlight w:val="none"/>
                <w:lang w:eastAsia="zh-CN"/>
              </w:rPr>
              <w:t>供应商</w:t>
            </w:r>
            <w:r>
              <w:rPr>
                <w:rFonts w:hint="eastAsia" w:ascii="宋体" w:hAnsi="宋体" w:eastAsia="宋体" w:cs="宋体"/>
                <w:color w:val="auto"/>
                <w:sz w:val="20"/>
                <w:szCs w:val="20"/>
                <w:highlight w:val="none"/>
              </w:rPr>
              <w:t>所投产品中每有一项产品具有国家确定的认证机构出具的环境标志产品认证证书的得0.5分；</w:t>
            </w:r>
            <w:r>
              <w:rPr>
                <w:rFonts w:hint="eastAsia" w:ascii="宋体" w:hAnsi="宋体" w:eastAsia="宋体" w:cs="宋体"/>
                <w:color w:val="auto"/>
                <w:sz w:val="20"/>
                <w:szCs w:val="20"/>
                <w:highlight w:val="none"/>
                <w:lang w:eastAsia="zh-CN"/>
              </w:rPr>
              <w:t>供应商</w:t>
            </w:r>
            <w:r>
              <w:rPr>
                <w:rFonts w:hint="eastAsia" w:ascii="宋体" w:hAnsi="宋体" w:eastAsia="宋体" w:cs="宋体"/>
                <w:color w:val="auto"/>
                <w:sz w:val="20"/>
                <w:szCs w:val="20"/>
                <w:highlight w:val="none"/>
              </w:rPr>
              <w:t>所投产品中如果有属于无线局域网认证产品政府采购清单（最新一期）中采购目录范围的得0.5分</w:t>
            </w:r>
            <w:r>
              <w:rPr>
                <w:rFonts w:hint="eastAsia" w:ascii="宋体" w:hAnsi="宋体" w:eastAsia="宋体" w:cs="宋体"/>
                <w:color w:val="auto"/>
                <w:sz w:val="20"/>
                <w:szCs w:val="20"/>
                <w:highlight w:val="none"/>
                <w:lang w:eastAsia="zh-CN"/>
              </w:rPr>
              <w:t>，</w:t>
            </w:r>
            <w:r>
              <w:rPr>
                <w:rFonts w:hint="eastAsia" w:ascii="宋体" w:hAnsi="宋体" w:eastAsia="宋体" w:cs="宋体"/>
                <w:b/>
                <w:bCs/>
                <w:color w:val="auto"/>
                <w:sz w:val="20"/>
                <w:szCs w:val="20"/>
                <w:highlight w:val="none"/>
                <w:lang w:eastAsia="zh-CN"/>
              </w:rPr>
              <w:t>本项最多得</w:t>
            </w:r>
            <w:r>
              <w:rPr>
                <w:rFonts w:hint="eastAsia" w:cs="宋体"/>
                <w:b/>
                <w:bCs/>
                <w:color w:val="auto"/>
                <w:sz w:val="20"/>
                <w:szCs w:val="20"/>
                <w:highlight w:val="none"/>
                <w:lang w:val="en-US" w:eastAsia="zh-CN"/>
              </w:rPr>
              <w:t>2</w:t>
            </w:r>
            <w:r>
              <w:rPr>
                <w:rFonts w:hint="eastAsia" w:ascii="宋体" w:hAnsi="宋体" w:eastAsia="宋体" w:cs="宋体"/>
                <w:b/>
                <w:bCs/>
                <w:color w:val="auto"/>
                <w:sz w:val="20"/>
                <w:szCs w:val="20"/>
                <w:highlight w:val="none"/>
                <w:lang w:eastAsia="zh-CN"/>
              </w:rPr>
              <w:t>分</w:t>
            </w:r>
            <w:r>
              <w:rPr>
                <w:rFonts w:hint="eastAsia" w:ascii="宋体" w:hAnsi="宋体" w:eastAsia="宋体" w:cs="宋体"/>
                <w:color w:val="auto"/>
                <w:sz w:val="20"/>
                <w:szCs w:val="20"/>
                <w:highlight w:val="none"/>
                <w:lang w:eastAsia="zh-CN"/>
              </w:rPr>
              <w:t>。</w:t>
            </w:r>
            <w:r>
              <w:rPr>
                <w:rFonts w:hint="eastAsia" w:cs="宋体"/>
                <w:b/>
                <w:bCs/>
                <w:color w:val="auto"/>
                <w:sz w:val="20"/>
                <w:szCs w:val="20"/>
                <w:highlight w:val="none"/>
                <w:lang w:eastAsia="zh-CN"/>
              </w:rPr>
              <w:t>【</w:t>
            </w:r>
            <w:r>
              <w:rPr>
                <w:rFonts w:hint="eastAsia" w:ascii="宋体" w:hAnsi="宋体" w:eastAsia="宋体" w:cs="宋体"/>
                <w:b/>
                <w:bCs/>
                <w:color w:val="auto"/>
                <w:sz w:val="20"/>
                <w:szCs w:val="20"/>
                <w:highlight w:val="none"/>
              </w:rPr>
              <w:t>说明：无线局域网认证产品提供清单复印件，节能产品、环境标志产品提供有效的证书复印件</w:t>
            </w:r>
            <w:r>
              <w:rPr>
                <w:rFonts w:hint="eastAsia" w:ascii="宋体" w:hAnsi="宋体" w:eastAsia="宋体" w:cs="宋体"/>
                <w:b/>
                <w:bCs/>
                <w:color w:val="auto"/>
                <w:sz w:val="20"/>
                <w:szCs w:val="20"/>
                <w:highlight w:val="none"/>
                <w:lang w:eastAsia="zh-CN"/>
              </w:rPr>
              <w:t>。</w:t>
            </w:r>
            <w:r>
              <w:rPr>
                <w:rFonts w:hint="eastAsia" w:cs="宋体"/>
                <w:b/>
                <w:bCs/>
                <w:color w:val="auto"/>
                <w:sz w:val="20"/>
                <w:szCs w:val="20"/>
                <w:highlight w:val="none"/>
                <w:lang w:eastAsia="zh-CN"/>
              </w:rPr>
              <w:t>】</w:t>
            </w:r>
          </w:p>
        </w:tc>
      </w:tr>
    </w:tbl>
    <w:p>
      <w:pPr>
        <w:pageBreakBefore w:val="0"/>
        <w:kinsoku/>
        <w:wordWrap/>
        <w:overflowPunct/>
        <w:topLinePunct w:val="0"/>
        <w:bidi w:val="0"/>
        <w:adjustRightInd w:val="0"/>
        <w:snapToGrid w:val="0"/>
        <w:spacing w:afterAutospacing="0" w:line="360" w:lineRule="auto"/>
        <w:ind w:firstLine="562" w:firstLineChars="200"/>
        <w:rPr>
          <w:b/>
          <w:vanish/>
          <w:color w:val="auto"/>
          <w:highlight w:val="none"/>
        </w:rPr>
      </w:pPr>
    </w:p>
    <w:p>
      <w:pPr>
        <w:pStyle w:val="26"/>
        <w:pageBreakBefore w:val="0"/>
        <w:kinsoku/>
        <w:wordWrap/>
        <w:overflowPunct/>
        <w:topLinePunct w:val="0"/>
        <w:bidi w:val="0"/>
        <w:adjustRightInd w:val="0"/>
        <w:snapToGrid w:val="0"/>
        <w:spacing w:afterAutospacing="0" w:line="360" w:lineRule="auto"/>
        <w:ind w:firstLine="482" w:firstLineChars="200"/>
        <w:rPr>
          <w:b/>
          <w:color w:val="auto"/>
          <w:highlight w:val="none"/>
        </w:rPr>
      </w:pPr>
      <w:r>
        <w:rPr>
          <w:rFonts w:hint="eastAsia"/>
          <w:b/>
          <w:color w:val="auto"/>
          <w:highlight w:val="none"/>
        </w:rPr>
        <w:t>说明：</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1、评分的取值按四舍五入法，保留小数点后两位；</w:t>
      </w:r>
    </w:p>
    <w:p>
      <w:pPr>
        <w:pStyle w:val="26"/>
        <w:pageBreakBefore w:val="0"/>
        <w:kinsoku/>
        <w:wordWrap/>
        <w:overflowPunct/>
        <w:topLinePunct w:val="0"/>
        <w:bidi w:val="0"/>
        <w:adjustRightInd w:val="0"/>
        <w:snapToGrid w:val="0"/>
        <w:spacing w:afterAutospacing="0" w:line="360" w:lineRule="auto"/>
        <w:ind w:firstLine="480" w:firstLineChars="200"/>
        <w:rPr>
          <w:color w:val="auto"/>
          <w:highlight w:val="none"/>
        </w:rPr>
      </w:pPr>
      <w:r>
        <w:rPr>
          <w:rFonts w:hint="eastAsia"/>
          <w:color w:val="auto"/>
          <w:highlight w:val="none"/>
        </w:rPr>
        <w:t>2、评分标准中要求提供复印件的证明材料须清晰可辨。</w:t>
      </w: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afterAutospacing="0" w:line="360" w:lineRule="auto"/>
        <w:textAlignment w:val="auto"/>
        <w:rPr>
          <w:color w:val="auto"/>
          <w:highlight w:val="none"/>
        </w:rPr>
      </w:pPr>
      <w:bookmarkStart w:id="336" w:name="_Toc24858"/>
      <w:r>
        <w:rPr>
          <w:rFonts w:hint="eastAsia"/>
          <w:color w:val="auto"/>
          <w:highlight w:val="none"/>
        </w:rPr>
        <w:t>5.5采购失败情形</w:t>
      </w:r>
      <w:bookmarkEnd w:id="336"/>
    </w:p>
    <w:p>
      <w:pPr>
        <w:pageBreakBefore w:val="0"/>
        <w:kinsoku/>
        <w:wordWrap/>
        <w:overflowPunct/>
        <w:topLinePunct w:val="0"/>
        <w:bidi w:val="0"/>
        <w:adjustRightInd w:val="0"/>
        <w:snapToGrid w:val="0"/>
        <w:spacing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有下列情形之一的，本项目采购失败：</w:t>
      </w:r>
    </w:p>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一、因情况变化，不再符合规定的竞争性磋商采购方式适用情形的；</w:t>
      </w:r>
    </w:p>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二、出现影响采购公正的违法、违规行为的；</w:t>
      </w:r>
    </w:p>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三、首次</w:t>
      </w:r>
      <w:r>
        <w:rPr>
          <w:rFonts w:hint="eastAsia" w:ascii="宋体" w:hAnsi="宋体"/>
          <w:color w:val="auto"/>
          <w:sz w:val="24"/>
          <w:szCs w:val="24"/>
          <w:highlight w:val="none"/>
        </w:rPr>
        <w:t>递交响应文件的供应商不足三家的</w:t>
      </w:r>
      <w:r>
        <w:rPr>
          <w:rFonts w:hint="eastAsia" w:ascii="宋体" w:hAnsi="宋体" w:cs="宋体"/>
          <w:color w:val="auto"/>
          <w:sz w:val="24"/>
          <w:szCs w:val="24"/>
          <w:highlight w:val="none"/>
        </w:rPr>
        <w:t>；</w:t>
      </w:r>
    </w:p>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四、通过资格性审查</w:t>
      </w:r>
      <w:r>
        <w:rPr>
          <w:rFonts w:hint="eastAsia" w:ascii="宋体" w:hAnsi="宋体"/>
          <w:color w:val="auto"/>
          <w:sz w:val="24"/>
          <w:szCs w:val="24"/>
          <w:highlight w:val="none"/>
        </w:rPr>
        <w:t>的供应商</w:t>
      </w:r>
      <w:r>
        <w:rPr>
          <w:rFonts w:hint="eastAsia" w:ascii="宋体" w:hAnsi="宋体" w:cs="宋体"/>
          <w:color w:val="auto"/>
          <w:sz w:val="24"/>
          <w:szCs w:val="24"/>
          <w:highlight w:val="none"/>
        </w:rPr>
        <w:t>不足三家的；</w:t>
      </w:r>
    </w:p>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五、通过符合性审查</w:t>
      </w:r>
      <w:r>
        <w:rPr>
          <w:rFonts w:hint="eastAsia" w:ascii="宋体" w:hAnsi="宋体"/>
          <w:color w:val="auto"/>
          <w:sz w:val="24"/>
          <w:szCs w:val="24"/>
          <w:highlight w:val="none"/>
        </w:rPr>
        <w:t>的供应商</w:t>
      </w:r>
      <w:r>
        <w:rPr>
          <w:rFonts w:hint="eastAsia" w:ascii="宋体" w:hAnsi="宋体" w:cs="宋体"/>
          <w:color w:val="auto"/>
          <w:sz w:val="24"/>
          <w:szCs w:val="24"/>
          <w:highlight w:val="none"/>
        </w:rPr>
        <w:t>不足三家</w:t>
      </w:r>
      <w:r>
        <w:rPr>
          <w:rFonts w:hint="eastAsia" w:ascii="宋体" w:hAnsi="宋体"/>
          <w:color w:val="auto"/>
          <w:sz w:val="24"/>
          <w:szCs w:val="24"/>
          <w:highlight w:val="none"/>
        </w:rPr>
        <w:t>的</w:t>
      </w:r>
      <w:r>
        <w:rPr>
          <w:rFonts w:hint="eastAsia" w:ascii="宋体" w:hAnsi="宋体" w:cs="宋体"/>
          <w:color w:val="auto"/>
          <w:sz w:val="24"/>
          <w:szCs w:val="24"/>
          <w:highlight w:val="none"/>
        </w:rPr>
        <w:t>；</w:t>
      </w:r>
    </w:p>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六、提交最后报价的供应商不足</w:t>
      </w:r>
      <w:r>
        <w:rPr>
          <w:rFonts w:hint="eastAsia" w:cs="宋体"/>
          <w:color w:val="auto"/>
          <w:sz w:val="24"/>
          <w:szCs w:val="24"/>
          <w:highlight w:val="none"/>
          <w:lang w:eastAsia="zh-CN"/>
        </w:rPr>
        <w:t>三</w:t>
      </w:r>
      <w:r>
        <w:rPr>
          <w:rFonts w:hint="eastAsia" w:ascii="宋体" w:hAnsi="宋体" w:cs="宋体"/>
          <w:color w:val="auto"/>
          <w:sz w:val="24"/>
          <w:szCs w:val="24"/>
          <w:highlight w:val="none"/>
        </w:rPr>
        <w:t>家的；</w:t>
      </w:r>
    </w:p>
    <w:p>
      <w:pPr>
        <w:pageBreakBefore w:val="0"/>
        <w:tabs>
          <w:tab w:val="left" w:pos="851"/>
        </w:tabs>
        <w:kinsoku/>
        <w:wordWrap/>
        <w:overflowPunct/>
        <w:topLinePunct w:val="0"/>
        <w:bidi w:val="0"/>
        <w:adjustRightInd w:val="0"/>
        <w:snapToGrid w:val="0"/>
        <w:spacing w:afterAutospacing="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七、通过最后报价审查的供应商不足</w:t>
      </w:r>
      <w:r>
        <w:rPr>
          <w:rFonts w:hint="eastAsia" w:cs="宋体"/>
          <w:color w:val="auto"/>
          <w:sz w:val="24"/>
          <w:szCs w:val="24"/>
          <w:highlight w:val="none"/>
          <w:lang w:eastAsia="zh-CN"/>
        </w:rPr>
        <w:t>三</w:t>
      </w:r>
      <w:r>
        <w:rPr>
          <w:rFonts w:hint="eastAsia" w:ascii="宋体" w:hAnsi="宋体" w:cs="宋体"/>
          <w:color w:val="auto"/>
          <w:sz w:val="24"/>
          <w:szCs w:val="24"/>
          <w:highlight w:val="none"/>
        </w:rPr>
        <w:t>家的。</w:t>
      </w:r>
    </w:p>
    <w:p>
      <w:pPr>
        <w:pStyle w:val="4"/>
        <w:pageBreakBefore w:val="0"/>
        <w:numPr>
          <w:ilvl w:val="0"/>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337" w:name="_Toc4592"/>
      <w:r>
        <w:rPr>
          <w:rFonts w:hint="eastAsia"/>
          <w:color w:val="auto"/>
          <w:highlight w:val="none"/>
        </w:rPr>
        <w:t>5.6确定成交供应商</w:t>
      </w:r>
      <w:bookmarkEnd w:id="337"/>
    </w:p>
    <w:p>
      <w:pPr>
        <w:pageBreakBefore w:val="0"/>
        <w:widowControl/>
        <w:numPr>
          <w:ilvl w:val="0"/>
          <w:numId w:val="45"/>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采购人根据磋商小组推荐的成交候选供应商名单，按顺序确定1名成交供应商。</w:t>
      </w:r>
      <w:r>
        <w:rPr>
          <w:rFonts w:ascii="宋体" w:hAnsi="宋体" w:eastAsia="宋体" w:cs="宋体"/>
          <w:sz w:val="24"/>
          <w:szCs w:val="24"/>
        </w:rPr>
        <w:t>成交候选供应商并列时，由采购人根据公平、择优的原则选择成交供应商或采购人确定的其他方式。</w:t>
      </w:r>
    </w:p>
    <w:p>
      <w:pPr>
        <w:pageBreakBefore w:val="0"/>
        <w:widowControl/>
        <w:numPr>
          <w:ilvl w:val="0"/>
          <w:numId w:val="45"/>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评审结束后，</w:t>
      </w:r>
      <w:r>
        <w:rPr>
          <w:rFonts w:hint="eastAsia" w:ascii="宋体" w:hAnsi="宋体" w:cs="宋体"/>
          <w:color w:val="auto"/>
          <w:sz w:val="24"/>
          <w:szCs w:val="24"/>
          <w:highlight w:val="none"/>
          <w:lang w:eastAsia="zh-CN"/>
        </w:rPr>
        <w:t>区</w:t>
      </w:r>
      <w:r>
        <w:rPr>
          <w:rFonts w:hint="eastAsia" w:ascii="宋体" w:hAnsi="宋体" w:cs="宋体"/>
          <w:color w:val="auto"/>
          <w:sz w:val="24"/>
          <w:szCs w:val="24"/>
          <w:highlight w:val="none"/>
        </w:rPr>
        <w:t>公资交易中心在评审结束之日起2个工作日内将评审报告及有关资料送交采购人确定1名成交供应商。</w:t>
      </w:r>
    </w:p>
    <w:p>
      <w:pPr>
        <w:pageBreakBefore w:val="0"/>
        <w:widowControl/>
        <w:numPr>
          <w:ilvl w:val="0"/>
          <w:numId w:val="45"/>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采购人在收到评审报告后3个工作日内，按照评审报告中推荐的成交候选供应商顺序确定成交</w:t>
      </w:r>
      <w:r>
        <w:rPr>
          <w:rFonts w:ascii="宋体" w:hAnsi="宋体" w:cs="宋体"/>
          <w:color w:val="auto"/>
          <w:sz w:val="24"/>
          <w:szCs w:val="24"/>
          <w:highlight w:val="none"/>
        </w:rPr>
        <w:t>供应商</w:t>
      </w:r>
      <w:r>
        <w:rPr>
          <w:rFonts w:hint="eastAsia" w:ascii="宋体" w:hAnsi="宋体" w:cs="宋体"/>
          <w:color w:val="auto"/>
          <w:sz w:val="24"/>
          <w:szCs w:val="24"/>
          <w:highlight w:val="none"/>
        </w:rPr>
        <w:t>。若成交候选供应商及其现任法定代表人、主要负责人存在行贿犯罪记录，采购人将不确定其为成交</w:t>
      </w:r>
      <w:r>
        <w:rPr>
          <w:rFonts w:ascii="宋体" w:hAnsi="宋体" w:cs="宋体"/>
          <w:color w:val="auto"/>
          <w:sz w:val="24"/>
          <w:szCs w:val="24"/>
          <w:highlight w:val="none"/>
        </w:rPr>
        <w:t>供应商</w:t>
      </w:r>
      <w:r>
        <w:rPr>
          <w:rFonts w:hint="eastAsia" w:ascii="宋体" w:hAnsi="宋体" w:cs="宋体"/>
          <w:color w:val="auto"/>
          <w:sz w:val="24"/>
          <w:szCs w:val="24"/>
          <w:highlight w:val="none"/>
        </w:rPr>
        <w:t>。</w:t>
      </w:r>
    </w:p>
    <w:p>
      <w:pPr>
        <w:pageBreakBefore w:val="0"/>
        <w:widowControl/>
        <w:numPr>
          <w:ilvl w:val="0"/>
          <w:numId w:val="45"/>
        </w:numPr>
        <w:tabs>
          <w:tab w:val="left" w:pos="1134"/>
        </w:tabs>
        <w:kinsoku/>
        <w:wordWrap/>
        <w:overflowPunct/>
        <w:topLinePunct w:val="0"/>
        <w:bidi w:val="0"/>
        <w:adjustRightInd w:val="0"/>
        <w:snapToGrid w:val="0"/>
        <w:spacing w:afterAutospacing="0" w:line="360" w:lineRule="auto"/>
        <w:ind w:lef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采购人逾期未确定成交供应商且不提出异议的，视为确定评审报告提出的排序第一的供应商为成交供应商。</w:t>
      </w:r>
    </w:p>
    <w:p>
      <w:pPr>
        <w:pStyle w:val="4"/>
        <w:pageBreakBefore w:val="0"/>
        <w:numPr>
          <w:ilvl w:val="1"/>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338" w:name="_Toc77688505"/>
      <w:bookmarkStart w:id="339" w:name="_Toc58943351"/>
      <w:bookmarkStart w:id="340" w:name="_Toc607"/>
      <w:r>
        <w:rPr>
          <w:rFonts w:hint="eastAsia"/>
          <w:color w:val="auto"/>
          <w:highlight w:val="none"/>
          <w:lang w:val="en-US" w:eastAsia="zh-CN"/>
        </w:rPr>
        <w:t>5.7</w:t>
      </w:r>
      <w:r>
        <w:rPr>
          <w:rFonts w:hint="eastAsia"/>
          <w:color w:val="auto"/>
          <w:highlight w:val="none"/>
        </w:rPr>
        <w:t>磋商小组成员义务</w:t>
      </w:r>
      <w:bookmarkEnd w:id="338"/>
      <w:bookmarkEnd w:id="339"/>
      <w:bookmarkEnd w:id="340"/>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磋商小组成员在政府采购活动中承担以下义务：</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一、遵守评审工作纪律；</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二、按照客观、公正、审慎的原则，根据磋商文件规定的评审程序、评审方法和评审标准进行独立评审；</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三、不得泄露评审文件、评审情况和在评审过程中获悉的商业秘密；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四、及时向财政部门报告评审过程中发现的采购人、采购代理机构向评审专家做倾向性、误导性的解释或者说明，以及供应商行贿、提供虚假材料或者串通等违法行为；</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五、发现磋商文件内容违反国家有关强制性规定或者磋商文件存在歧义、重大缺陷导致评审工作无法进行时，停止评审并向采购人或者采购代理机构书面说明情况；</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六、及时向财政、监察等部门举报在评审过程中受到非法干预的情况；</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七、配合答复处理供应商的询问、质疑和投诉等事项；</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color w:val="auto"/>
          <w:sz w:val="24"/>
          <w:szCs w:val="24"/>
          <w:highlight w:val="none"/>
        </w:rPr>
      </w:pPr>
      <w:r>
        <w:rPr>
          <w:rFonts w:hint="eastAsia"/>
          <w:color w:val="auto"/>
          <w:sz w:val="24"/>
          <w:szCs w:val="24"/>
          <w:highlight w:val="none"/>
        </w:rPr>
        <w:t>八、法律、法规和规章规定的其他义务。</w:t>
      </w:r>
    </w:p>
    <w:p>
      <w:pPr>
        <w:pStyle w:val="4"/>
        <w:pageBreakBefore w:val="0"/>
        <w:numPr>
          <w:ilvl w:val="1"/>
          <w:numId w:val="0"/>
        </w:numPr>
        <w:kinsoku/>
        <w:wordWrap/>
        <w:overflowPunct/>
        <w:topLinePunct w:val="0"/>
        <w:bidi w:val="0"/>
        <w:adjustRightInd w:val="0"/>
        <w:snapToGrid w:val="0"/>
        <w:spacing w:before="0" w:beforeLines="0" w:after="0" w:afterLines="0" w:afterAutospacing="0" w:line="360" w:lineRule="auto"/>
        <w:rPr>
          <w:color w:val="auto"/>
          <w:highlight w:val="none"/>
        </w:rPr>
      </w:pPr>
      <w:bookmarkStart w:id="341" w:name="_Toc77688511"/>
      <w:bookmarkEnd w:id="341"/>
      <w:bookmarkStart w:id="342" w:name="_Toc77688516"/>
      <w:bookmarkEnd w:id="342"/>
      <w:bookmarkStart w:id="343" w:name="_Toc77688518"/>
      <w:bookmarkEnd w:id="343"/>
      <w:bookmarkStart w:id="344" w:name="_Toc77688509"/>
      <w:bookmarkEnd w:id="344"/>
      <w:bookmarkStart w:id="345" w:name="_Toc77688510"/>
      <w:bookmarkEnd w:id="345"/>
      <w:bookmarkStart w:id="346" w:name="_Toc77688514"/>
      <w:bookmarkEnd w:id="346"/>
      <w:bookmarkStart w:id="347" w:name="_Toc77688517"/>
      <w:bookmarkEnd w:id="347"/>
      <w:bookmarkStart w:id="348" w:name="_Toc77688508"/>
      <w:bookmarkEnd w:id="348"/>
      <w:bookmarkStart w:id="349" w:name="_Toc77688515"/>
      <w:bookmarkEnd w:id="349"/>
      <w:bookmarkStart w:id="350" w:name="_Toc77688506"/>
      <w:bookmarkEnd w:id="350"/>
      <w:bookmarkStart w:id="351" w:name="_Toc77688512"/>
      <w:bookmarkEnd w:id="351"/>
      <w:bookmarkStart w:id="352" w:name="_Toc77688519"/>
      <w:bookmarkEnd w:id="352"/>
      <w:bookmarkStart w:id="353" w:name="_Toc77688520"/>
      <w:bookmarkEnd w:id="353"/>
      <w:bookmarkStart w:id="354" w:name="_Toc77688507"/>
      <w:bookmarkEnd w:id="354"/>
      <w:bookmarkStart w:id="355" w:name="_Toc77688513"/>
      <w:bookmarkEnd w:id="355"/>
      <w:bookmarkStart w:id="356" w:name="_Toc77688521"/>
      <w:bookmarkStart w:id="357" w:name="_Toc58943353"/>
      <w:bookmarkStart w:id="358" w:name="_Toc12013"/>
      <w:r>
        <w:rPr>
          <w:rFonts w:hint="eastAsia"/>
          <w:color w:val="auto"/>
          <w:highlight w:val="none"/>
          <w:lang w:val="en-US" w:eastAsia="zh-CN"/>
        </w:rPr>
        <w:t>5.8</w:t>
      </w:r>
      <w:r>
        <w:rPr>
          <w:rFonts w:hint="eastAsia"/>
          <w:color w:val="auto"/>
          <w:highlight w:val="none"/>
        </w:rPr>
        <w:t>磋商纪律</w:t>
      </w:r>
      <w:bookmarkEnd w:id="356"/>
      <w:bookmarkEnd w:id="357"/>
      <w:bookmarkEnd w:id="358"/>
    </w:p>
    <w:p>
      <w:pPr>
        <w:pageBreakBefore w:val="0"/>
        <w:kinsoku/>
        <w:wordWrap/>
        <w:overflowPunct/>
        <w:topLinePunct w:val="0"/>
        <w:bidi w:val="0"/>
        <w:adjustRightInd w:val="0"/>
        <w:snapToGrid w:val="0"/>
        <w:spacing w:afterAutospacing="0" w:line="360" w:lineRule="auto"/>
        <w:ind w:firstLine="480" w:firstLineChars="200"/>
        <w:rPr>
          <w:color w:val="auto"/>
          <w:sz w:val="24"/>
          <w:szCs w:val="24"/>
          <w:highlight w:val="none"/>
        </w:rPr>
      </w:pPr>
      <w:r>
        <w:rPr>
          <w:rFonts w:hint="eastAsia"/>
          <w:color w:val="auto"/>
          <w:sz w:val="24"/>
          <w:szCs w:val="24"/>
          <w:highlight w:val="none"/>
        </w:rPr>
        <w:t>磋商小组成员在政府采购活动中应当遵守以下工作纪律：</w:t>
      </w:r>
    </w:p>
    <w:p>
      <w:pPr>
        <w:pageBreakBefore w:val="0"/>
        <w:tabs>
          <w:tab w:val="left" w:pos="766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一、不得参加与自己有《中华人民共和国政府采购法实施条例》第九条规定的利害关系的政府采购项目的评审活动。发现参加了与自己有利害关系的评审活动，须主动提出回避，退出评审；</w:t>
      </w:r>
    </w:p>
    <w:p>
      <w:pPr>
        <w:pageBreakBefore w:val="0"/>
        <w:tabs>
          <w:tab w:val="left" w:pos="766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二、评审前，应当将通讯工具或者相关电子设备交由采购代理机构统一保管。进入评标区之前应将所有的通信设备存入</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公资交易中心指定的存放处。评审专家不得以任何方式将通信设备带入评标区，否则将被取消本项目的评审资格。遇特殊情况不能出席或途中遇阻不能按时参加评审或咨询的，应及时告知财政部门或者采购人或者</w:t>
      </w:r>
      <w:r>
        <w:rPr>
          <w:rFonts w:hint="eastAsia" w:ascii="宋体" w:hAnsi="宋体"/>
          <w:color w:val="auto"/>
          <w:sz w:val="24"/>
          <w:szCs w:val="24"/>
          <w:highlight w:val="none"/>
          <w:lang w:eastAsia="zh-CN"/>
        </w:rPr>
        <w:t>区</w:t>
      </w:r>
      <w:r>
        <w:rPr>
          <w:rFonts w:hint="eastAsia" w:ascii="宋体" w:hAnsi="宋体"/>
          <w:color w:val="auto"/>
          <w:sz w:val="24"/>
          <w:szCs w:val="24"/>
          <w:highlight w:val="none"/>
        </w:rPr>
        <w:t>公资交易中心，不得私自转托他人；</w:t>
      </w:r>
    </w:p>
    <w:p>
      <w:pPr>
        <w:pageBreakBefore w:val="0"/>
        <w:tabs>
          <w:tab w:val="left" w:pos="766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w:t>
      </w:r>
      <w:r>
        <w:rPr>
          <w:rFonts w:ascii="宋体" w:hAnsi="宋体"/>
          <w:color w:val="auto"/>
          <w:sz w:val="24"/>
          <w:szCs w:val="24"/>
          <w:highlight w:val="none"/>
        </w:rPr>
        <w:t>、</w:t>
      </w:r>
      <w:r>
        <w:rPr>
          <w:rFonts w:hint="eastAsia" w:ascii="宋体" w:hAnsi="宋体"/>
          <w:color w:val="auto"/>
          <w:sz w:val="24"/>
          <w:szCs w:val="24"/>
          <w:highlight w:val="none"/>
        </w:rPr>
        <w:t>对需要专业</w:t>
      </w:r>
      <w:r>
        <w:rPr>
          <w:rFonts w:ascii="宋体" w:hAnsi="宋体"/>
          <w:color w:val="auto"/>
          <w:sz w:val="24"/>
          <w:szCs w:val="24"/>
          <w:highlight w:val="none"/>
        </w:rPr>
        <w:t>判断的主管评审因素不得协商评分；</w:t>
      </w:r>
    </w:p>
    <w:p>
      <w:pPr>
        <w:pageBreakBefore w:val="0"/>
        <w:tabs>
          <w:tab w:val="left" w:pos="766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w:t>
      </w:r>
      <w:r>
        <w:rPr>
          <w:rFonts w:ascii="宋体" w:hAnsi="宋体"/>
          <w:color w:val="auto"/>
          <w:sz w:val="24"/>
          <w:szCs w:val="24"/>
          <w:highlight w:val="none"/>
        </w:rPr>
        <w:t>、</w:t>
      </w:r>
      <w:r>
        <w:rPr>
          <w:rFonts w:hint="eastAsia" w:ascii="宋体" w:hAnsi="宋体"/>
          <w:color w:val="auto"/>
          <w:sz w:val="24"/>
          <w:szCs w:val="24"/>
          <w:highlight w:val="none"/>
        </w:rPr>
        <w:t>在</w:t>
      </w:r>
      <w:r>
        <w:rPr>
          <w:rFonts w:ascii="宋体" w:hAnsi="宋体"/>
          <w:color w:val="auto"/>
          <w:sz w:val="24"/>
          <w:szCs w:val="24"/>
          <w:highlight w:val="none"/>
        </w:rPr>
        <w:t>评审过程中不得擅离职守，影响磋商程序</w:t>
      </w:r>
      <w:r>
        <w:rPr>
          <w:rFonts w:hint="eastAsia" w:ascii="宋体" w:hAnsi="宋体"/>
          <w:color w:val="auto"/>
          <w:sz w:val="24"/>
          <w:szCs w:val="24"/>
          <w:highlight w:val="none"/>
        </w:rPr>
        <w:t>正常进行；</w:t>
      </w:r>
    </w:p>
    <w:p>
      <w:pPr>
        <w:pageBreakBefore w:val="0"/>
        <w:tabs>
          <w:tab w:val="left" w:pos="766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w:t>
      </w:r>
      <w:r>
        <w:rPr>
          <w:rFonts w:hint="eastAsia" w:ascii="宋体" w:hAnsi="宋体"/>
          <w:color w:val="auto"/>
          <w:sz w:val="24"/>
          <w:szCs w:val="24"/>
          <w:highlight w:val="none"/>
        </w:rPr>
        <w:t>评审过程中，不得与外界联系，因发生不可预见情况，确实需要与外界联系的，应当在监督人员监督之下办理；</w:t>
      </w:r>
    </w:p>
    <w:p>
      <w:pPr>
        <w:pageBreakBefore w:val="0"/>
        <w:tabs>
          <w:tab w:val="left" w:pos="766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w:t>
      </w:r>
      <w:r>
        <w:rPr>
          <w:rFonts w:ascii="宋体" w:hAnsi="宋体"/>
          <w:color w:val="auto"/>
          <w:sz w:val="24"/>
          <w:szCs w:val="24"/>
          <w:highlight w:val="none"/>
        </w:rPr>
        <w:t>、</w:t>
      </w:r>
      <w:r>
        <w:rPr>
          <w:rFonts w:hint="eastAsia" w:ascii="宋体" w:hAnsi="宋体"/>
          <w:color w:val="auto"/>
          <w:sz w:val="24"/>
          <w:szCs w:val="24"/>
          <w:highlight w:val="none"/>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pageBreakBefore w:val="0"/>
        <w:tabs>
          <w:tab w:val="left" w:pos="766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w:t>
      </w:r>
      <w:r>
        <w:rPr>
          <w:rFonts w:hint="eastAsia" w:ascii="宋体" w:hAnsi="宋体"/>
          <w:color w:val="auto"/>
          <w:sz w:val="24"/>
          <w:szCs w:val="24"/>
          <w:highlight w:val="none"/>
        </w:rPr>
        <w:t>在评审过程中和评审结束后，不得记录、复制或带走任何评审资料，不得向外界透露评审内容；</w:t>
      </w:r>
    </w:p>
    <w:p>
      <w:pPr>
        <w:pageBreakBefore w:val="0"/>
        <w:tabs>
          <w:tab w:val="left" w:pos="766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w:t>
      </w:r>
      <w:r>
        <w:rPr>
          <w:rFonts w:hint="eastAsia" w:ascii="宋体" w:hAnsi="宋体"/>
          <w:color w:val="auto"/>
          <w:sz w:val="24"/>
          <w:szCs w:val="24"/>
          <w:highlight w:val="none"/>
        </w:rPr>
        <w:t>评审现场服从采购代理机构工作人员的管理，接受现场监督人员的合法监督；</w:t>
      </w:r>
    </w:p>
    <w:p>
      <w:pPr>
        <w:pageBreakBefore w:val="0"/>
        <w:tabs>
          <w:tab w:val="left" w:pos="7665"/>
        </w:tabs>
        <w:kinsoku/>
        <w:wordWrap/>
        <w:overflowPunct/>
        <w:topLinePunct w:val="0"/>
        <w:bidi w:val="0"/>
        <w:adjustRightInd w:val="0"/>
        <w:snapToGrid w:val="0"/>
        <w:spacing w:afterAutospacing="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w:t>
      </w:r>
      <w:r>
        <w:rPr>
          <w:rFonts w:hint="eastAsia" w:ascii="宋体" w:hAnsi="宋体"/>
          <w:color w:val="auto"/>
          <w:sz w:val="24"/>
          <w:szCs w:val="24"/>
          <w:highlight w:val="none"/>
        </w:rPr>
        <w:t>遵守有关廉洁自律规定，不得私下接触供应商，不得收受供应商及有关业务单位和个人的财物或好处，不得接受采购代理机构的请托。</w:t>
      </w:r>
    </w:p>
    <w:p>
      <w:pPr>
        <w:pageBreakBefore w:val="0"/>
        <w:kinsoku/>
        <w:wordWrap/>
        <w:overflowPunct/>
        <w:topLinePunct w:val="0"/>
        <w:bidi w:val="0"/>
        <w:adjustRightInd w:val="0"/>
        <w:snapToGrid w:val="0"/>
        <w:spacing w:afterAutospacing="0" w:line="360" w:lineRule="auto"/>
        <w:ind w:firstLine="480" w:firstLineChars="200"/>
        <w:rPr>
          <w:rFonts w:hint="eastAsia" w:ascii="宋体" w:hAnsi="宋体" w:cs="Times New Roman"/>
          <w:color w:val="auto"/>
          <w:kern w:val="10"/>
          <w:sz w:val="24"/>
          <w:szCs w:val="20"/>
          <w:highlight w:val="none"/>
        </w:rPr>
      </w:pPr>
    </w:p>
    <w:p>
      <w:pPr>
        <w:pStyle w:val="2"/>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2"/>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2"/>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2"/>
        <w:rPr>
          <w:rFonts w:hint="eastAsia" w:ascii="宋体" w:hAnsi="宋体" w:cs="Times New Roman"/>
          <w:color w:val="auto"/>
          <w:kern w:val="10"/>
          <w:sz w:val="24"/>
          <w:szCs w:val="20"/>
          <w:highlight w:val="none"/>
        </w:rPr>
      </w:pPr>
    </w:p>
    <w:p>
      <w:pPr>
        <w:rPr>
          <w:rFonts w:hint="eastAsia" w:ascii="宋体" w:hAnsi="宋体" w:cs="Times New Roman"/>
          <w:color w:val="auto"/>
          <w:kern w:val="10"/>
          <w:sz w:val="24"/>
          <w:szCs w:val="20"/>
          <w:highlight w:val="none"/>
        </w:rPr>
      </w:pPr>
    </w:p>
    <w:p>
      <w:pPr>
        <w:pStyle w:val="2"/>
        <w:rPr>
          <w:rFonts w:hint="eastAsia" w:ascii="宋体" w:hAnsi="宋体" w:cs="Times New Roman"/>
          <w:color w:val="auto"/>
          <w:kern w:val="10"/>
          <w:sz w:val="24"/>
          <w:szCs w:val="20"/>
          <w:highlight w:val="none"/>
        </w:rPr>
      </w:pPr>
    </w:p>
    <w:p>
      <w:pPr>
        <w:rPr>
          <w:rFonts w:hint="eastAsia"/>
        </w:rPr>
      </w:pPr>
    </w:p>
    <w:p>
      <w:pPr>
        <w:keepNext/>
        <w:keepLines/>
        <w:pageBreakBefore w:val="0"/>
        <w:numPr>
          <w:ilvl w:val="0"/>
          <w:numId w:val="0"/>
        </w:numPr>
        <w:kinsoku/>
        <w:wordWrap/>
        <w:overflowPunct/>
        <w:topLinePunct w:val="0"/>
        <w:bidi w:val="0"/>
        <w:adjustRightInd w:val="0"/>
        <w:snapToGrid w:val="0"/>
        <w:spacing w:afterAutospacing="0" w:line="360" w:lineRule="auto"/>
        <w:ind w:firstLine="563" w:firstLineChars="200"/>
        <w:jc w:val="center"/>
        <w:outlineLvl w:val="0"/>
        <w:rPr>
          <w:rFonts w:ascii="宋体" w:hAnsi="宋体"/>
          <w:b/>
          <w:bCs/>
          <w:color w:val="auto"/>
          <w:spacing w:val="-20"/>
          <w:kern w:val="44"/>
          <w:sz w:val="32"/>
          <w:szCs w:val="32"/>
          <w:highlight w:val="none"/>
        </w:rPr>
      </w:pPr>
      <w:bookmarkStart w:id="359" w:name="_Toc77861417"/>
      <w:bookmarkStart w:id="360" w:name="_Toc23461"/>
      <w:bookmarkStart w:id="361" w:name="_Toc34729074"/>
      <w:bookmarkStart w:id="362" w:name="EB1f0aafc679f74a3b911babc8d3654e3f"/>
      <w:bookmarkStart w:id="363" w:name="_Toc8573798"/>
      <w:bookmarkStart w:id="364" w:name="_Toc217446108"/>
      <w:r>
        <w:rPr>
          <w:rFonts w:hint="eastAsia" w:ascii="宋体" w:hAnsi="宋体"/>
          <w:b/>
          <w:bCs/>
          <w:color w:val="auto"/>
          <w:spacing w:val="-20"/>
          <w:kern w:val="44"/>
          <w:sz w:val="32"/>
          <w:szCs w:val="32"/>
          <w:highlight w:val="none"/>
          <w:lang w:eastAsia="zh-CN"/>
        </w:rPr>
        <w:t>第</w:t>
      </w:r>
      <w:r>
        <w:rPr>
          <w:rFonts w:hint="eastAsia" w:ascii="宋体" w:hAnsi="宋体"/>
          <w:b/>
          <w:bCs/>
          <w:color w:val="auto"/>
          <w:spacing w:val="-20"/>
          <w:kern w:val="44"/>
          <w:sz w:val="32"/>
          <w:szCs w:val="32"/>
          <w:highlight w:val="none"/>
          <w:lang w:val="en-US" w:eastAsia="zh-CN"/>
        </w:rPr>
        <w:t>6章</w:t>
      </w:r>
      <w:r>
        <w:rPr>
          <w:rFonts w:hint="eastAsia" w:ascii="宋体" w:hAnsi="宋体"/>
          <w:b/>
          <w:bCs/>
          <w:color w:val="auto"/>
          <w:spacing w:val="-20"/>
          <w:kern w:val="44"/>
          <w:sz w:val="32"/>
          <w:szCs w:val="32"/>
          <w:highlight w:val="none"/>
        </w:rPr>
        <w:t>拟签订的合同文本</w:t>
      </w:r>
      <w:bookmarkEnd w:id="359"/>
      <w:bookmarkEnd w:id="360"/>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合同编号：</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签订地点：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签订时间：XXXX年XX月XX日。</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采购人（甲方）：                              </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供应商（乙方）：                                                                     </w:t>
      </w:r>
    </w:p>
    <w:p>
      <w:pPr>
        <w:spacing w:line="360" w:lineRule="auto"/>
        <w:rPr>
          <w:rFonts w:ascii="Times New Roman" w:hAnsi="Times New Roman" w:eastAsia="仿宋_GB2312"/>
          <w:color w:val="auto"/>
          <w:szCs w:val="21"/>
          <w:highlight w:val="none"/>
        </w:rPr>
      </w:pP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根据《中华人民共和国政府采购法》、《中华人民共和国合同法》及 XXXXXXXXX （项目编号：XX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360" w:lineRule="auto"/>
        <w:rPr>
          <w:rFonts w:hint="eastAsia" w:ascii="Times New Roman" w:hAnsi="Times New Roman" w:eastAsia="仿宋_GB2312"/>
          <w:color w:val="auto"/>
          <w:szCs w:val="21"/>
          <w:highlight w:val="none"/>
          <w:lang w:eastAsia="zh-CN"/>
        </w:rPr>
      </w:pPr>
      <w:r>
        <w:rPr>
          <w:rFonts w:hint="eastAsia" w:ascii="Times New Roman" w:hAnsi="Times New Roman" w:eastAsia="仿宋_GB2312"/>
          <w:color w:val="auto"/>
          <w:szCs w:val="21"/>
          <w:highlight w:val="none"/>
        </w:rPr>
        <w:t>一、</w:t>
      </w:r>
      <w:r>
        <w:rPr>
          <w:rFonts w:hint="eastAsia" w:ascii="Times New Roman" w:hAnsi="Times New Roman" w:eastAsia="仿宋_GB2312"/>
          <w:color w:val="auto"/>
          <w:szCs w:val="21"/>
          <w:highlight w:val="none"/>
          <w:lang w:val="en-US" w:eastAsia="zh-CN"/>
        </w:rPr>
        <w:t>标的物</w:t>
      </w:r>
    </w:p>
    <w:tbl>
      <w:tblPr>
        <w:tblStyle w:val="20"/>
        <w:tblW w:w="94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4"/>
        <w:gridCol w:w="1098"/>
        <w:gridCol w:w="753"/>
        <w:gridCol w:w="939"/>
        <w:gridCol w:w="1128"/>
        <w:gridCol w:w="1237"/>
        <w:gridCol w:w="1316"/>
        <w:gridCol w:w="13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7" w:hRule="atLeast"/>
        </w:trPr>
        <w:tc>
          <w:tcPr>
            <w:tcW w:w="164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货物品名</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60" w:lineRule="auto"/>
              <w:ind w:left="-11" w:leftChars="-34" w:hanging="84"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规格</w:t>
            </w:r>
          </w:p>
          <w:p>
            <w:pPr>
              <w:spacing w:line="360" w:lineRule="auto"/>
              <w:ind w:left="-11" w:leftChars="-34" w:hanging="84"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型号</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ind w:left="-11" w:leftChars="-34" w:hanging="84"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单位</w:t>
            </w:r>
          </w:p>
        </w:tc>
        <w:tc>
          <w:tcPr>
            <w:tcW w:w="939" w:type="dxa"/>
            <w:tcBorders>
              <w:top w:val="single" w:color="auto" w:sz="4" w:space="0"/>
              <w:left w:val="single" w:color="auto" w:sz="4" w:space="0"/>
              <w:bottom w:val="single" w:color="auto" w:sz="4" w:space="0"/>
              <w:right w:val="single" w:color="auto" w:sz="4" w:space="0"/>
            </w:tcBorders>
            <w:vAlign w:val="center"/>
          </w:tcPr>
          <w:p>
            <w:pPr>
              <w:spacing w:line="360" w:lineRule="auto"/>
              <w:ind w:left="-11" w:leftChars="-34" w:hanging="84"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pPr>
              <w:spacing w:line="360" w:lineRule="auto"/>
              <w:ind w:left="-11" w:leftChars="-34" w:hanging="84"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单价</w:t>
            </w:r>
          </w:p>
          <w:p>
            <w:pPr>
              <w:spacing w:line="360" w:lineRule="auto"/>
              <w:ind w:left="-11" w:leftChars="-34" w:hanging="84"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（万元）</w:t>
            </w:r>
          </w:p>
        </w:tc>
        <w:tc>
          <w:tcPr>
            <w:tcW w:w="1237" w:type="dxa"/>
            <w:tcBorders>
              <w:top w:val="single" w:color="auto" w:sz="4" w:space="0"/>
              <w:left w:val="single" w:color="auto" w:sz="4" w:space="0"/>
              <w:bottom w:val="single" w:color="auto" w:sz="4" w:space="0"/>
              <w:right w:val="single" w:color="auto" w:sz="4" w:space="0"/>
            </w:tcBorders>
            <w:vAlign w:val="center"/>
          </w:tcPr>
          <w:p>
            <w:pPr>
              <w:spacing w:line="360" w:lineRule="auto"/>
              <w:ind w:left="-11" w:leftChars="-34" w:hanging="84"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总价</w:t>
            </w:r>
          </w:p>
          <w:p>
            <w:pPr>
              <w:spacing w:line="360" w:lineRule="auto"/>
              <w:ind w:left="-11" w:leftChars="-34" w:hanging="84"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（万元）</w:t>
            </w:r>
          </w:p>
        </w:tc>
        <w:tc>
          <w:tcPr>
            <w:tcW w:w="1316" w:type="dxa"/>
            <w:tcBorders>
              <w:top w:val="single" w:color="auto" w:sz="4" w:space="0"/>
              <w:left w:val="single" w:color="auto" w:sz="4" w:space="0"/>
              <w:bottom w:val="single" w:color="auto" w:sz="4" w:space="0"/>
              <w:right w:val="single" w:color="auto" w:sz="4" w:space="0"/>
            </w:tcBorders>
            <w:vAlign w:val="center"/>
          </w:tcPr>
          <w:p>
            <w:pPr>
              <w:spacing w:line="360" w:lineRule="auto"/>
              <w:ind w:left="-11" w:leftChars="-34" w:hanging="84"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随机</w:t>
            </w:r>
          </w:p>
          <w:p>
            <w:pPr>
              <w:spacing w:line="360" w:lineRule="auto"/>
              <w:ind w:left="-11" w:leftChars="-34" w:hanging="84" w:hangingChars="30"/>
              <w:jc w:val="center"/>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配件</w:t>
            </w:r>
          </w:p>
        </w:tc>
        <w:tc>
          <w:tcPr>
            <w:tcW w:w="1315" w:type="dxa"/>
            <w:tcBorders>
              <w:top w:val="single" w:color="auto" w:sz="4" w:space="0"/>
              <w:left w:val="single" w:color="auto" w:sz="4" w:space="0"/>
              <w:bottom w:val="single" w:color="auto" w:sz="4" w:space="0"/>
              <w:right w:val="single" w:color="auto" w:sz="4" w:space="0"/>
            </w:tcBorders>
            <w:vAlign w:val="center"/>
          </w:tcPr>
          <w:p>
            <w:pPr>
              <w:spacing w:line="360" w:lineRule="auto"/>
              <w:ind w:left="-11" w:leftChars="-34" w:hanging="84" w:hangingChars="30"/>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644" w:type="dxa"/>
            <w:tcBorders>
              <w:top w:val="single" w:color="auto" w:sz="4" w:space="0"/>
              <w:left w:val="single" w:color="auto" w:sz="4" w:space="0"/>
              <w:bottom w:val="single" w:color="auto" w:sz="4" w:space="0"/>
              <w:right w:val="single" w:color="auto" w:sz="4" w:space="0"/>
            </w:tcBorders>
            <w:vAlign w:val="center"/>
          </w:tcPr>
          <w:p>
            <w:pPr>
              <w:spacing w:line="400" w:lineRule="exact"/>
              <w:ind w:left="240"/>
              <w:jc w:val="center"/>
              <w:rPr>
                <w:rFonts w:ascii="宋体" w:hAnsi="宋体" w:cs="宋体"/>
                <w:color w:val="auto"/>
                <w:sz w:val="24"/>
                <w:highlight w:val="none"/>
              </w:rPr>
            </w:pPr>
            <w:r>
              <w:rPr>
                <w:rFonts w:hint="eastAsia" w:ascii="宋体" w:hAnsi="宋体" w:cs="宋体"/>
                <w:color w:val="auto"/>
                <w:sz w:val="24"/>
                <w:highlight w:val="none"/>
              </w:rPr>
              <w:t> </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753"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939"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1128"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1237"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1316"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1315"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1644" w:type="dxa"/>
            <w:tcBorders>
              <w:top w:val="single" w:color="auto" w:sz="4" w:space="0"/>
              <w:left w:val="single" w:color="auto" w:sz="4" w:space="0"/>
              <w:bottom w:val="single" w:color="auto" w:sz="4" w:space="0"/>
              <w:right w:val="single" w:color="auto" w:sz="4" w:space="0"/>
            </w:tcBorders>
            <w:vAlign w:val="center"/>
          </w:tcPr>
          <w:p>
            <w:pPr>
              <w:spacing w:line="400" w:lineRule="exact"/>
              <w:ind w:left="240"/>
              <w:jc w:val="center"/>
              <w:rPr>
                <w:rFonts w:ascii="宋体" w:hAnsi="宋体" w:cs="宋体"/>
                <w:color w:val="auto"/>
                <w:sz w:val="24"/>
                <w:highlight w:val="none"/>
              </w:rPr>
            </w:pPr>
            <w:r>
              <w:rPr>
                <w:rFonts w:hint="eastAsia" w:ascii="宋体" w:hAnsi="宋体" w:cs="宋体"/>
                <w:color w:val="auto"/>
                <w:sz w:val="24"/>
                <w:highlight w:val="none"/>
              </w:rPr>
              <w:t> </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753"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939"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1128"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1237"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1316"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c>
          <w:tcPr>
            <w:tcW w:w="1315" w:type="dxa"/>
            <w:tcBorders>
              <w:top w:val="single" w:color="auto" w:sz="4" w:space="0"/>
              <w:left w:val="single" w:color="auto" w:sz="4" w:space="0"/>
              <w:bottom w:val="single" w:color="auto" w:sz="4" w:space="0"/>
              <w:right w:val="single" w:color="auto" w:sz="4" w:space="0"/>
            </w:tcBorders>
            <w:vAlign w:val="center"/>
          </w:tcPr>
          <w:p>
            <w:pPr>
              <w:spacing w:line="400" w:lineRule="exact"/>
              <w:ind w:left="-23" w:leftChars="-34" w:hanging="72" w:hangingChars="30"/>
              <w:jc w:val="center"/>
              <w:rPr>
                <w:rFonts w:ascii="宋体" w:hAnsi="宋体" w:cs="宋体"/>
                <w:color w:val="auto"/>
                <w:sz w:val="24"/>
                <w:highlight w:val="none"/>
              </w:rPr>
            </w:pPr>
            <w:r>
              <w:rPr>
                <w:rFonts w:hint="eastAsia" w:ascii="宋体" w:hAnsi="宋体" w:cs="宋体"/>
                <w:color w:val="auto"/>
                <w:sz w:val="24"/>
                <w:highlight w:val="none"/>
              </w:rPr>
              <w:t> </w:t>
            </w:r>
          </w:p>
        </w:tc>
      </w:tr>
    </w:tbl>
    <w:p>
      <w:pPr>
        <w:spacing w:line="360" w:lineRule="auto"/>
        <w:rPr>
          <w:rFonts w:ascii="Times New Roman" w:hAnsi="Times New Roman" w:eastAsia="仿宋_GB2312"/>
          <w:color w:val="auto"/>
          <w:szCs w:val="21"/>
          <w:highlight w:val="none"/>
        </w:rPr>
      </w:pP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rPr>
        <w:tab/>
      </w:r>
      <w:r>
        <w:rPr>
          <w:rFonts w:ascii="Times New Roman" w:hAnsi="Times New Roman" w:eastAsia="仿宋_GB2312"/>
          <w:color w:val="auto"/>
          <w:szCs w:val="21"/>
          <w:highlight w:val="none"/>
        </w:rPr>
        <w:t xml:space="preserve"> </w:t>
      </w:r>
    </w:p>
    <w:p>
      <w:pPr>
        <w:spacing w:line="360" w:lineRule="auto"/>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二、</w:t>
      </w:r>
      <w:r>
        <w:rPr>
          <w:rFonts w:hint="eastAsia" w:ascii="Times New Roman" w:hAnsi="Times New Roman" w:eastAsia="仿宋_GB2312"/>
          <w:color w:val="auto"/>
          <w:szCs w:val="21"/>
          <w:highlight w:val="none"/>
          <w:lang w:val="en-US" w:eastAsia="zh-CN"/>
        </w:rPr>
        <w:t>合同价款</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合同总价为人民币大写：                元，即RMB￥        元；该合同总价已包括货物设计、材料、制造、包装、运输、安装、调试、验收合格交付使用之前及三年保修服务与备用物件等等所有其他有关各项的含税费用。本合同执行期间合同总价不变，甲方无须另向乙方支付本合同规定之外的其他任何费用。</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三、质量要求</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1、乙方须提供全新的货物（含零部件、配件等），表面无划伤、无碰撞痕迹，且权属清楚，不得侵害他人的知识产权。</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2、货物必须符合或优于国家（行业）          标准，以及本项目招标文件的质量要求和技术指标与出厂标准。</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3</w:t>
      </w:r>
      <w:r>
        <w:rPr>
          <w:rFonts w:hint="eastAsia" w:ascii="Times New Roman" w:hAnsi="Times New Roman" w:eastAsia="仿宋_GB2312"/>
          <w:color w:val="auto"/>
          <w:szCs w:val="21"/>
          <w:highlight w:val="none"/>
        </w:rPr>
        <w:t>、货物制造质量出现问题，乙方应负责三包（包修、包换、包退），费用由乙方负担，甲方有权到乙方生产场地检查货物质量和生产进度。</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4</w:t>
      </w:r>
      <w:r>
        <w:rPr>
          <w:rFonts w:hint="eastAsia" w:ascii="Times New Roman" w:hAnsi="Times New Roman" w:eastAsia="仿宋_GB2312"/>
          <w:color w:val="auto"/>
          <w:szCs w:val="21"/>
          <w:highlight w:val="none"/>
        </w:rPr>
        <w:t>、货到现场后由于甲方保管不当造成的质量问题，乙方亦应负责修理，但费用由甲方负担。</w:t>
      </w:r>
    </w:p>
    <w:p>
      <w:pPr>
        <w:keepNext w:val="0"/>
        <w:keepLines w:val="0"/>
        <w:pageBreakBefore w:val="0"/>
        <w:kinsoku/>
        <w:wordWrap/>
        <w:overflowPunct/>
        <w:topLinePunct w:val="0"/>
        <w:autoSpaceDE/>
        <w:autoSpaceDN/>
        <w:bidi w:val="0"/>
        <w:adjustRightInd/>
        <w:snapToGrid/>
        <w:spacing w:line="300" w:lineRule="exact"/>
        <w:textAlignment w:val="auto"/>
        <w:outlineLvl w:val="9"/>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四、交货</w:t>
      </w:r>
      <w:r>
        <w:rPr>
          <w:rFonts w:hint="eastAsia" w:ascii="Times New Roman" w:hAnsi="Times New Roman" w:eastAsia="仿宋_GB2312"/>
          <w:color w:val="auto"/>
          <w:szCs w:val="21"/>
          <w:highlight w:val="none"/>
          <w:lang w:val="en-US" w:eastAsia="zh-CN"/>
        </w:rPr>
        <w:t>时间、地点、</w:t>
      </w:r>
      <w:r>
        <w:rPr>
          <w:rFonts w:hint="eastAsia" w:ascii="Times New Roman" w:hAnsi="Times New Roman" w:eastAsia="仿宋_GB2312"/>
          <w:color w:val="auto"/>
          <w:szCs w:val="21"/>
          <w:highlight w:val="none"/>
        </w:rPr>
        <w:t>验收</w:t>
      </w:r>
      <w:r>
        <w:rPr>
          <w:rFonts w:hint="eastAsia" w:ascii="Times New Roman" w:hAnsi="Times New Roman" w:eastAsia="仿宋_GB2312"/>
          <w:color w:val="auto"/>
          <w:szCs w:val="21"/>
          <w:highlight w:val="none"/>
          <w:lang w:val="en-US" w:eastAsia="zh-CN"/>
        </w:rPr>
        <w:t>标准和要求</w:t>
      </w:r>
    </w:p>
    <w:p>
      <w:pPr>
        <w:pStyle w:val="2"/>
        <w:keepNext w:val="0"/>
        <w:keepLines w:val="0"/>
        <w:pageBreakBefore w:val="0"/>
        <w:tabs>
          <w:tab w:val="left" w:pos="420"/>
        </w:tabs>
        <w:kinsoku/>
        <w:wordWrap/>
        <w:overflowPunct/>
        <w:topLinePunct w:val="0"/>
        <w:autoSpaceDE/>
        <w:autoSpaceDN/>
        <w:bidi w:val="0"/>
        <w:adjustRightInd/>
        <w:snapToGrid/>
        <w:spacing w:line="300" w:lineRule="exact"/>
        <w:textAlignment w:val="auto"/>
        <w:outlineLvl w:val="9"/>
        <w:rPr>
          <w:rFonts w:hint="eastAsia"/>
          <w:lang w:val="en-US" w:eastAsia="zh-CN"/>
        </w:rPr>
      </w:pPr>
    </w:p>
    <w:p>
      <w:pPr>
        <w:keepNext w:val="0"/>
        <w:keepLines w:val="0"/>
        <w:pageBreakBefore w:val="0"/>
        <w:numPr>
          <w:ilvl w:val="0"/>
          <w:numId w:val="46"/>
        </w:numPr>
        <w:kinsoku/>
        <w:wordWrap/>
        <w:overflowPunct/>
        <w:topLinePunct w:val="0"/>
        <w:autoSpaceDE/>
        <w:autoSpaceDN/>
        <w:bidi w:val="0"/>
        <w:adjustRightInd/>
        <w:snapToGrid/>
        <w:spacing w:line="300" w:lineRule="exact"/>
        <w:textAlignment w:val="auto"/>
        <w:outlineLvl w:val="9"/>
      </w:pPr>
      <w:r>
        <w:rPr>
          <w:rFonts w:hint="eastAsia" w:ascii="Times New Roman" w:hAnsi="Times New Roman" w:eastAsia="仿宋_GB2312"/>
          <w:color w:val="auto"/>
          <w:szCs w:val="21"/>
          <w:highlight w:val="none"/>
          <w:lang w:val="en-US" w:eastAsia="zh-CN"/>
        </w:rPr>
        <w:t>履约保证金</w:t>
      </w:r>
    </w:p>
    <w:p>
      <w:pPr>
        <w:pStyle w:val="2"/>
        <w:keepNext w:val="0"/>
        <w:keepLines w:val="0"/>
        <w:pageBreakBefore w:val="0"/>
        <w:widowControl/>
        <w:tabs>
          <w:tab w:val="left" w:pos="420"/>
        </w:tabs>
        <w:kinsoku/>
        <w:wordWrap/>
        <w:overflowPunct/>
        <w:topLinePunct w:val="0"/>
        <w:autoSpaceDE/>
        <w:autoSpaceDN/>
        <w:bidi w:val="0"/>
        <w:adjustRightInd/>
        <w:snapToGrid/>
        <w:spacing w:line="300" w:lineRule="exact"/>
        <w:ind w:left="420" w:hanging="420"/>
        <w:textAlignment w:val="auto"/>
        <w:outlineLvl w:val="9"/>
      </w:pPr>
    </w:p>
    <w:p>
      <w:pPr>
        <w:keepNext w:val="0"/>
        <w:keepLines w:val="0"/>
        <w:pageBreakBefore w:val="0"/>
        <w:numPr>
          <w:ilvl w:val="0"/>
          <w:numId w:val="46"/>
        </w:numPr>
        <w:kinsoku/>
        <w:wordWrap/>
        <w:overflowPunct/>
        <w:topLinePunct w:val="0"/>
        <w:autoSpaceDE/>
        <w:autoSpaceDN/>
        <w:bidi w:val="0"/>
        <w:adjustRightInd/>
        <w:snapToGrid/>
        <w:spacing w:line="300" w:lineRule="exact"/>
        <w:textAlignment w:val="auto"/>
        <w:outlineLvl w:val="9"/>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付款方式</w:t>
      </w:r>
    </w:p>
    <w:p>
      <w:pPr>
        <w:pStyle w:val="2"/>
        <w:keepNext w:val="0"/>
        <w:keepLines w:val="0"/>
        <w:pageBreakBefore w:val="0"/>
        <w:tabs>
          <w:tab w:val="left" w:pos="420"/>
        </w:tabs>
        <w:kinsoku/>
        <w:wordWrap/>
        <w:overflowPunct/>
        <w:topLinePunct w:val="0"/>
        <w:autoSpaceDE/>
        <w:autoSpaceDN/>
        <w:bidi w:val="0"/>
        <w:adjustRightInd/>
        <w:snapToGrid/>
        <w:spacing w:line="300" w:lineRule="exact"/>
        <w:textAlignment w:val="auto"/>
        <w:outlineLvl w:val="9"/>
      </w:pPr>
    </w:p>
    <w:p>
      <w:pPr>
        <w:keepNext w:val="0"/>
        <w:keepLines w:val="0"/>
        <w:pageBreakBefore w:val="0"/>
        <w:kinsoku/>
        <w:wordWrap/>
        <w:overflowPunct/>
        <w:topLinePunct w:val="0"/>
        <w:autoSpaceDE/>
        <w:autoSpaceDN/>
        <w:bidi w:val="0"/>
        <w:adjustRightInd/>
        <w:snapToGrid/>
        <w:spacing w:line="300" w:lineRule="exact"/>
        <w:textAlignment w:val="auto"/>
        <w:outlineLvl w:val="9"/>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七</w:t>
      </w:r>
      <w:r>
        <w:rPr>
          <w:rFonts w:hint="eastAsia" w:ascii="Times New Roman" w:hAnsi="Times New Roman" w:eastAsia="仿宋_GB2312"/>
          <w:color w:val="auto"/>
          <w:szCs w:val="21"/>
          <w:highlight w:val="none"/>
        </w:rPr>
        <w:t>、售后服务</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1、质保期为验收合格后XX年，质保期内出现质量问题，乙方在接到通知后   小时内响应到场，    小时内完成维修或更换，并承担修理调换的费用；如货物经乙方   次维修仍不能达到本合同约定的质量标准，视作乙方未能按时交货，甲方有权退货并追究乙方的违约责任。货到现场后由于甲方保管不当造成的问题，乙方亦应负责修复，但费用由甲方负担。</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2、乙方须指派专人负责与甲方联系售后服务事宜。 </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八</w:t>
      </w:r>
      <w:r>
        <w:rPr>
          <w:rFonts w:hint="eastAsia" w:ascii="Times New Roman" w:hAnsi="Times New Roman" w:eastAsia="仿宋_GB2312"/>
          <w:color w:val="auto"/>
          <w:szCs w:val="21"/>
          <w:highlight w:val="none"/>
        </w:rPr>
        <w:t>、违约责任</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1、甲方违约责任</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 甲方无正当理由拒收货物的，甲方应偿付合同总价百分之  的违约金；</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 甲方逾期支付货款的，除应及时付足货款外，应向乙方偿付欠款总额万分之   /天的违约金；逾期付款超过  天的，乙方有权终止合同；</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（3） 甲方偿付的违约金不足以弥补乙方损失的，还应按乙方损失尚未弥补的部分，支付赔偿金给乙方。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2、乙方违约责任</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（1）乙方交付的货物质量不符合合同规定的，乙方应向甲方支付合同总价的百分之  的违约金，并须在合同规定的交货时间内更换合格的货物给甲方，否则，视作乙方不能交付货物而违约，按本条本款下述第“（2）”项规定由乙方偿付违约赔偿金给甲方。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（2）乙方不能交付货物或逾期交付货物而违约的，除应及时交足货物外，应向甲方偿付逾期交货部分货款总额的万分之   /天的违约金；逾期交货超过XX天，甲方有权终止合同，乙方则应按合同总价的百分之  的款额向甲方偿付赔偿金，并须全额退还甲方已经付给乙方的货款及其利息。</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（3）乙方货物经甲方送交具有法定资格条件的质量技术监督机构检测后，如检测结果认定货物质量不符合本合同规定标准的，则视为乙方没有按时交货而违约，乙方须在   天内无条件更换合格的货物，如逾期不能更换合格的货物，甲方有权终止本合同，乙方应另付合同总价的百分之   的赔偿金给甲方。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   向甲方支付违约金并赔偿因此给甲方造成的一切损失。</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（5）乙方偿付的违约金不足以弥补甲方损失的，还应按甲方损失尚未弥补的部分，支付赔偿金给甲方。</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九</w:t>
      </w:r>
      <w:r>
        <w:rPr>
          <w:rFonts w:hint="eastAsia" w:ascii="Times New Roman" w:hAnsi="Times New Roman" w:eastAsia="仿宋_GB2312"/>
          <w:color w:val="auto"/>
          <w:szCs w:val="21"/>
          <w:highlight w:val="none"/>
        </w:rPr>
        <w:t>、解决合同纠纷的方式</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1、在执行本合同中发生的或与本合同有关的争端，双方应通过友好协商解决，经协商在XX天内不能达成协议时，由甲方所在地人民法院诉讼管辖。</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2、诉讼费、律师费、保全费等应由败诉方负担。 </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3、在诉讼期间，除正在进行诉讼部分外，合同其他部分继续执行。</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十</w:t>
      </w:r>
      <w:r>
        <w:rPr>
          <w:rFonts w:hint="eastAsia" w:ascii="Times New Roman" w:hAnsi="Times New Roman" w:eastAsia="仿宋_GB2312"/>
          <w:color w:val="auto"/>
          <w:szCs w:val="21"/>
          <w:highlight w:val="none"/>
        </w:rPr>
        <w:t>、其他</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1、如有未尽事宜，由双方依法订立补充合同。</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2、本合同一式七份，自双方签章之日起生效。甲方三份，乙方、政府采购管理部门、采购代理机构各一份。</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甲方：   （盖章）   </w:t>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 xml:space="preserve">       乙方：   （盖章）</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法定代表人（授权代表）：            法定代表人（授权代表）：</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地    址：                         地    址：</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开户银行：                         开户银行：</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账号：                             账号：</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电    话：                         电    话：</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传    真：                         传    真：</w:t>
      </w:r>
    </w:p>
    <w:p>
      <w:pPr>
        <w:spacing w:line="360" w:lineRule="auto"/>
        <w:rPr>
          <w:rFonts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 xml:space="preserve">签约日期：XX年XX月XX日 </w:t>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ab/>
      </w:r>
      <w:r>
        <w:rPr>
          <w:rFonts w:hint="eastAsia" w:ascii="Times New Roman" w:hAnsi="Times New Roman" w:eastAsia="仿宋_GB2312"/>
          <w:color w:val="auto"/>
          <w:szCs w:val="21"/>
          <w:highlight w:val="none"/>
        </w:rPr>
        <w:t>签约日期：XX年XX月XX日</w:t>
      </w:r>
    </w:p>
    <w:p>
      <w:pPr>
        <w:spacing w:line="360" w:lineRule="auto"/>
      </w:pPr>
      <w:r>
        <w:rPr>
          <w:rFonts w:hint="eastAsia" w:ascii="Times New Roman" w:hAnsi="Times New Roman" w:eastAsia="仿宋_GB2312"/>
          <w:color w:val="auto"/>
          <w:szCs w:val="21"/>
          <w:highlight w:val="none"/>
        </w:rPr>
        <w:t>注：1、以上合同条款采购人与中标人签订合同时可根据实际情况进行调整、修改或重新起草合同条</w:t>
      </w:r>
      <w:r>
        <w:rPr>
          <w:rFonts w:hint="eastAsia" w:ascii="Times New Roman" w:hAnsi="Times New Roman" w:eastAsia="仿宋_GB2312"/>
          <w:color w:val="auto"/>
          <w:szCs w:val="21"/>
          <w:highlight w:val="none"/>
          <w:lang w:val="en-US" w:eastAsia="zh-CN"/>
        </w:rPr>
        <w:t>款</w:t>
      </w:r>
    </w:p>
    <w:bookmarkEnd w:id="361"/>
    <w:bookmarkEnd w:id="362"/>
    <w:bookmarkEnd w:id="363"/>
    <w:bookmarkEnd w:id="364"/>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rFonts w:hint="eastAsia"/>
          <w:b/>
          <w:bCs/>
          <w:color w:val="auto"/>
          <w:highlight w:val="none"/>
        </w:rPr>
      </w:pPr>
    </w:p>
    <w:p>
      <w:pPr>
        <w:pageBreakBefore w:val="0"/>
        <w:widowControl/>
        <w:tabs>
          <w:tab w:val="left" w:pos="720"/>
        </w:tabs>
        <w:kinsoku/>
        <w:wordWrap/>
        <w:overflowPunct/>
        <w:topLinePunct w:val="0"/>
        <w:bidi w:val="0"/>
        <w:adjustRightInd w:val="0"/>
        <w:snapToGrid w:val="0"/>
        <w:spacing w:afterAutospacing="0" w:line="360" w:lineRule="auto"/>
        <w:ind w:firstLine="562" w:firstLineChars="200"/>
        <w:jc w:val="left"/>
        <w:rPr>
          <w:b/>
          <w:bCs/>
          <w:color w:val="auto"/>
          <w:highlight w:val="none"/>
        </w:rPr>
      </w:pPr>
      <w:r>
        <w:rPr>
          <w:rFonts w:hint="eastAsia"/>
          <w:b/>
          <w:bCs/>
          <w:color w:val="auto"/>
          <w:highlight w:val="none"/>
        </w:rPr>
        <w:t>附件</w:t>
      </w: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jc w:val="center"/>
        <w:rPr>
          <w:color w:val="auto"/>
          <w:highlight w:val="none"/>
        </w:rPr>
      </w:pPr>
      <w:r>
        <w:rPr>
          <w:color w:val="auto"/>
          <w:highlight w:val="none"/>
        </w:rPr>
        <w:drawing>
          <wp:inline distT="0" distB="0" distL="114300" distR="114300">
            <wp:extent cx="4907280" cy="6797040"/>
            <wp:effectExtent l="0" t="0" r="7620" b="38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4907280" cy="6797040"/>
                    </a:xfrm>
                    <a:prstGeom prst="rect">
                      <a:avLst/>
                    </a:prstGeom>
                    <a:noFill/>
                    <a:ln>
                      <a:noFill/>
                    </a:ln>
                  </pic:spPr>
                </pic:pic>
              </a:graphicData>
            </a:graphic>
          </wp:inline>
        </w:drawing>
      </w:r>
    </w:p>
    <w:p>
      <w:pPr>
        <w:pageBreakBefore w:val="0"/>
        <w:kinsoku/>
        <w:wordWrap/>
        <w:overflowPunct/>
        <w:topLinePunct w:val="0"/>
        <w:bidi w:val="0"/>
        <w:adjustRightInd w:val="0"/>
        <w:snapToGrid w:val="0"/>
        <w:spacing w:afterAutospacing="0" w:line="360" w:lineRule="auto"/>
        <w:ind w:firstLine="560" w:firstLineChars="200"/>
        <w:jc w:val="center"/>
        <w:rPr>
          <w:color w:val="auto"/>
          <w:highlight w:val="none"/>
        </w:rPr>
      </w:pPr>
      <w:r>
        <w:rPr>
          <w:color w:val="auto"/>
          <w:highlight w:val="none"/>
        </w:rPr>
        <w:drawing>
          <wp:inline distT="0" distB="0" distL="114300" distR="114300">
            <wp:extent cx="4991100" cy="6675120"/>
            <wp:effectExtent l="0" t="0" r="0" b="1143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6"/>
                    <a:stretch>
                      <a:fillRect/>
                    </a:stretch>
                  </pic:blipFill>
                  <pic:spPr>
                    <a:xfrm>
                      <a:off x="0" y="0"/>
                      <a:ext cx="4991100" cy="6675120"/>
                    </a:xfrm>
                    <a:prstGeom prst="rect">
                      <a:avLst/>
                    </a:prstGeom>
                    <a:noFill/>
                    <a:ln>
                      <a:noFill/>
                    </a:ln>
                  </pic:spPr>
                </pic:pic>
              </a:graphicData>
            </a:graphic>
          </wp:inline>
        </w:drawing>
      </w: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jc w:val="center"/>
        <w:rPr>
          <w:color w:val="auto"/>
          <w:highlight w:val="none"/>
        </w:rPr>
        <w:sectPr>
          <w:footerReference r:id="rId11" w:type="default"/>
          <w:pgSz w:w="11905" w:h="16838"/>
          <w:pgMar w:top="1429" w:right="1735" w:bottom="1740" w:left="1786" w:header="0" w:footer="1604" w:gutter="0"/>
          <w:pgNumType w:fmt="decimal"/>
          <w:cols w:space="0" w:num="1"/>
          <w:rtlGutter w:val="0"/>
          <w:docGrid w:linePitch="312" w:charSpace="0"/>
        </w:sectPr>
      </w:pPr>
    </w:p>
    <w:p>
      <w:pPr>
        <w:pageBreakBefore w:val="0"/>
        <w:kinsoku/>
        <w:wordWrap/>
        <w:overflowPunct/>
        <w:topLinePunct w:val="0"/>
        <w:bidi w:val="0"/>
        <w:adjustRightInd w:val="0"/>
        <w:snapToGrid w:val="0"/>
        <w:spacing w:afterAutospacing="0" w:line="360" w:lineRule="auto"/>
        <w:ind w:firstLine="560" w:firstLineChars="200"/>
        <w:jc w:val="center"/>
        <w:rPr>
          <w:color w:val="auto"/>
          <w:highlight w:val="none"/>
        </w:rPr>
        <w:sectPr>
          <w:pgSz w:w="11905" w:h="16838"/>
          <w:pgMar w:top="1429" w:right="1735" w:bottom="1740" w:left="1786" w:header="0" w:footer="1604" w:gutter="0"/>
          <w:pgNumType w:fmt="decimal"/>
          <w:cols w:space="0" w:num="1"/>
          <w:rtlGutter w:val="0"/>
          <w:docGrid w:linePitch="312" w:charSpace="0"/>
        </w:sectPr>
      </w:pPr>
      <w:r>
        <w:rPr>
          <w:color w:val="auto"/>
          <w:highlight w:val="none"/>
        </w:rPr>
        <w:drawing>
          <wp:inline distT="0" distB="0" distL="114300" distR="114300">
            <wp:extent cx="7559675" cy="4876800"/>
            <wp:effectExtent l="0" t="0" r="0" b="317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7"/>
                    <a:stretch>
                      <a:fillRect/>
                    </a:stretch>
                  </pic:blipFill>
                  <pic:spPr>
                    <a:xfrm rot="5400000">
                      <a:off x="0" y="0"/>
                      <a:ext cx="7559675" cy="4876800"/>
                    </a:xfrm>
                    <a:prstGeom prst="rect">
                      <a:avLst/>
                    </a:prstGeom>
                    <a:noFill/>
                    <a:ln>
                      <a:noFill/>
                    </a:ln>
                  </pic:spPr>
                </pic:pic>
              </a:graphicData>
            </a:graphic>
          </wp:inline>
        </w:drawing>
      </w: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r>
        <w:rPr>
          <w:color w:val="auto"/>
          <w:highlight w:val="none"/>
        </w:rPr>
        <w:drawing>
          <wp:inline distT="0" distB="0" distL="114300" distR="114300">
            <wp:extent cx="5105400" cy="6530340"/>
            <wp:effectExtent l="0" t="0" r="0" b="381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8"/>
                    <a:stretch>
                      <a:fillRect/>
                    </a:stretch>
                  </pic:blipFill>
                  <pic:spPr>
                    <a:xfrm>
                      <a:off x="0" y="0"/>
                      <a:ext cx="5105400" cy="6530340"/>
                    </a:xfrm>
                    <a:prstGeom prst="rect">
                      <a:avLst/>
                    </a:prstGeom>
                    <a:noFill/>
                    <a:ln>
                      <a:noFill/>
                    </a:ln>
                  </pic:spPr>
                </pic:pic>
              </a:graphicData>
            </a:graphic>
          </wp:inline>
        </w:drawing>
      </w:r>
    </w:p>
    <w:p>
      <w:pPr>
        <w:pageBreakBefore w:val="0"/>
        <w:tabs>
          <w:tab w:val="left" w:pos="937"/>
        </w:tabs>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p>
      <w:pPr>
        <w:bidi w:val="0"/>
        <w:jc w:val="center"/>
      </w:pPr>
      <w:bookmarkStart w:id="365" w:name="_Toc76459766"/>
      <w:bookmarkStart w:id="366" w:name="_Toc14474"/>
      <w:bookmarkStart w:id="367" w:name="_Toc6698"/>
      <w:bookmarkStart w:id="368" w:name="_Toc27128"/>
      <w:r>
        <w:rPr>
          <w:rFonts w:hint="eastAsia"/>
        </w:rPr>
        <w:t>成都市温江区财政局关于公布温江区首批支持中小企业政府采购信用融资银行名单的公告</w:t>
      </w:r>
      <w:bookmarkEnd w:id="365"/>
      <w:bookmarkEnd w:id="366"/>
      <w:bookmarkEnd w:id="367"/>
      <w:bookmarkEnd w:id="368"/>
    </w:p>
    <w:p>
      <w:pPr>
        <w:pageBreakBefore w:val="0"/>
        <w:kinsoku/>
        <w:wordWrap/>
        <w:overflowPunct/>
        <w:topLinePunct w:val="0"/>
        <w:bidi w:val="0"/>
        <w:adjustRightInd w:val="0"/>
        <w:snapToGrid w:val="0"/>
        <w:spacing w:afterAutospacing="0" w:line="360" w:lineRule="auto"/>
        <w:ind w:firstLine="560" w:firstLineChars="200"/>
        <w:rPr>
          <w:color w:val="auto"/>
          <w:sz w:val="21"/>
          <w:szCs w:val="21"/>
          <w:highlight w:val="none"/>
        </w:rPr>
      </w:pPr>
      <w:r>
        <w:rPr>
          <w:rFonts w:hint="eastAsia" w:ascii="方正仿宋简体" w:eastAsia="方正仿宋简体"/>
          <w:color w:val="auto"/>
          <w:sz w:val="28"/>
          <w:szCs w:val="28"/>
          <w:highlight w:val="none"/>
          <w:shd w:val="clear" w:color="auto" w:fill="FFFFFF"/>
        </w:rPr>
        <w:t xml:space="preserve">    按照《成都市温江区支持中小企业政府采购信用融资实施方案》有关规定，我局于2019年7月11日公开发布征集温江区政府采购信用融资银行的公告，截止8月7日共收到7家银行的报名材料，现将名单公布如下：</w:t>
      </w:r>
    </w:p>
    <w:tbl>
      <w:tblPr>
        <w:tblStyle w:val="20"/>
        <w:tblW w:w="0" w:type="auto"/>
        <w:tblInd w:w="187" w:type="dxa"/>
        <w:tblLayout w:type="fixed"/>
        <w:tblCellMar>
          <w:top w:w="15" w:type="dxa"/>
          <w:left w:w="15" w:type="dxa"/>
          <w:bottom w:w="15" w:type="dxa"/>
          <w:right w:w="15" w:type="dxa"/>
        </w:tblCellMar>
      </w:tblPr>
      <w:tblGrid>
        <w:gridCol w:w="585"/>
        <w:gridCol w:w="1474"/>
        <w:gridCol w:w="1706"/>
        <w:gridCol w:w="928"/>
        <w:gridCol w:w="1822"/>
        <w:gridCol w:w="1819"/>
      </w:tblGrid>
      <w:tr>
        <w:tblPrEx>
          <w:tblCellMar>
            <w:top w:w="15" w:type="dxa"/>
            <w:left w:w="15" w:type="dxa"/>
            <w:bottom w:w="15" w:type="dxa"/>
            <w:right w:w="15" w:type="dxa"/>
          </w:tblCellMar>
        </w:tblPrEx>
        <w:trPr>
          <w:trHeight w:val="700" w:hRule="atLeast"/>
        </w:trPr>
        <w:tc>
          <w:tcPr>
            <w:tcW w:w="585" w:type="dxa"/>
            <w:tcBorders>
              <w:top w:val="single" w:color="000000" w:sz="8" w:space="0"/>
              <w:left w:val="single" w:color="000000" w:sz="8" w:space="0"/>
              <w:bottom w:val="single" w:color="000000" w:sz="8" w:space="0"/>
              <w:right w:val="single" w:color="000000" w:sz="8" w:space="0"/>
            </w:tcBorders>
            <w:noWrap/>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序号</w:t>
            </w:r>
          </w:p>
        </w:tc>
        <w:tc>
          <w:tcPr>
            <w:tcW w:w="1474"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银行名称</w:t>
            </w:r>
          </w:p>
        </w:tc>
        <w:tc>
          <w:tcPr>
            <w:tcW w:w="1706"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部门名称</w:t>
            </w:r>
          </w:p>
        </w:tc>
        <w:tc>
          <w:tcPr>
            <w:tcW w:w="928"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联系人</w:t>
            </w:r>
          </w:p>
        </w:tc>
        <w:tc>
          <w:tcPr>
            <w:tcW w:w="1822"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联系电话</w:t>
            </w:r>
          </w:p>
        </w:tc>
        <w:tc>
          <w:tcPr>
            <w:tcW w:w="1819"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微软雅黑" w:hAnsi="微软雅黑" w:eastAsia="微软雅黑"/>
                <w:b/>
                <w:bCs/>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成都银行股份有限公司温江支行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公司银行部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徐文博</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18628071700、028-82682256</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98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2</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中国工商银行股份有限公司成都温江支行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法人营销部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席蕾</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13194885084、028-86291335</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3</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中国农业银行股份有限公司成都温江支行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公司业务部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向淑阳</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13908185957、028-63931924</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4</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中国银行股份有限公司温江支行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公司金融部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涂杰钧</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18200571237、028-82725091</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5</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中国建设银行股份有限公司成都温江支行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普惠金融事业部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杨冰浩</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18382396093、028-82727576</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6</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交通银行股份有限公司成都温江支行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公司科</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吴晋阳</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13880416649、028-82764348</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7</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成都农村商业银行股份有限公司温江支行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公司业务部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郭金芬</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13568999424、028-82721831</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pageBreakBefore w:val="0"/>
              <w:kinsoku/>
              <w:wordWrap/>
              <w:overflowPunct/>
              <w:topLinePunct w:val="0"/>
              <w:bidi w:val="0"/>
              <w:adjustRightInd w:val="0"/>
              <w:snapToGrid w:val="0"/>
              <w:spacing w:afterAutospacing="0" w:line="360" w:lineRule="auto"/>
              <w:ind w:firstLine="440" w:firstLineChars="200"/>
              <w:jc w:val="center"/>
              <w:textAlignment w:val="center"/>
              <w:rPr>
                <w:rFonts w:ascii="微软雅黑" w:hAnsi="微软雅黑" w:eastAsia="微软雅黑"/>
                <w:color w:val="auto"/>
                <w:sz w:val="22"/>
                <w:szCs w:val="22"/>
                <w:highlight w:val="none"/>
              </w:rPr>
            </w:pPr>
          </w:p>
        </w:tc>
      </w:tr>
    </w:tbl>
    <w:p>
      <w:pPr>
        <w:pageBreakBefore w:val="0"/>
        <w:kinsoku/>
        <w:wordWrap/>
        <w:overflowPunct/>
        <w:topLinePunct w:val="0"/>
        <w:bidi w:val="0"/>
        <w:adjustRightInd w:val="0"/>
        <w:snapToGrid w:val="0"/>
        <w:spacing w:afterAutospacing="0" w:line="360" w:lineRule="auto"/>
        <w:ind w:firstLine="560" w:firstLineChars="200"/>
        <w:rPr>
          <w:rFonts w:ascii="Calibri" w:hAnsi="Calibri"/>
          <w:color w:val="auto"/>
          <w:kern w:val="2"/>
          <w:sz w:val="21"/>
          <w:szCs w:val="21"/>
          <w:highlight w:val="none"/>
        </w:rPr>
      </w:pPr>
      <w:r>
        <w:rPr>
          <w:rFonts w:hint="eastAsia" w:ascii="方正仿宋简体" w:eastAsia="方正仿宋简体"/>
          <w:color w:val="auto"/>
          <w:sz w:val="28"/>
          <w:szCs w:val="28"/>
          <w:highlight w:val="none"/>
          <w:shd w:val="clear" w:color="auto" w:fill="FFFFFF"/>
        </w:rPr>
        <w:t>即日起，参与温江区政府采购项目的中标（成交）供应商在采购结果公告发布或领取中标（成交）通知书后，若有贷款融资需求，即可联系上述银行咨询贷款融资事宜。</w:t>
      </w: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r>
        <w:rPr>
          <w:rFonts w:hint="eastAsia" w:ascii="方正仿宋简体" w:eastAsia="方正仿宋简体"/>
          <w:color w:val="auto"/>
          <w:sz w:val="28"/>
          <w:szCs w:val="28"/>
          <w:highlight w:val="none"/>
          <w:shd w:val="clear" w:color="auto" w:fill="FFFFFF"/>
        </w:rPr>
        <w:t xml:space="preserve">注：成都市财政局已于2019年6月28日公布成都市首批在线开展政府采购信用融资业务银行名单（详见附件），参与温江区政府采购项目的中标（成交）供应商也可联系市级名单内融资机构咨询贷款融资事宜。                             </w:t>
      </w:r>
    </w:p>
    <w:p>
      <w:pPr>
        <w:pageBreakBefore w:val="0"/>
        <w:kinsoku/>
        <w:wordWrap/>
        <w:overflowPunct/>
        <w:topLinePunct w:val="0"/>
        <w:bidi w:val="0"/>
        <w:adjustRightInd w:val="0"/>
        <w:snapToGrid w:val="0"/>
        <w:spacing w:afterAutospacing="0" w:line="360" w:lineRule="auto"/>
        <w:ind w:firstLine="560" w:firstLineChars="200"/>
        <w:jc w:val="right"/>
        <w:rPr>
          <w:color w:val="auto"/>
          <w:highlight w:val="none"/>
        </w:rPr>
      </w:pPr>
      <w:r>
        <w:rPr>
          <w:rFonts w:hint="eastAsia" w:ascii="方正仿宋简体" w:eastAsia="方正仿宋简体"/>
          <w:color w:val="auto"/>
          <w:sz w:val="28"/>
          <w:szCs w:val="28"/>
          <w:highlight w:val="none"/>
          <w:shd w:val="clear" w:color="auto" w:fill="FFFFFF"/>
        </w:rPr>
        <w:t xml:space="preserve">                                     成都市温江区财政局                                    2019年8月8日</w:t>
      </w:r>
    </w:p>
    <w:p>
      <w:pPr>
        <w:pageBreakBefore w:val="0"/>
        <w:kinsoku/>
        <w:wordWrap/>
        <w:overflowPunct/>
        <w:topLinePunct w:val="0"/>
        <w:bidi w:val="0"/>
        <w:adjustRightInd w:val="0"/>
        <w:snapToGrid w:val="0"/>
        <w:spacing w:afterAutospacing="0" w:line="360" w:lineRule="auto"/>
        <w:ind w:firstLine="560" w:firstLineChars="200"/>
        <w:rPr>
          <w:color w:val="auto"/>
          <w:highlight w:val="none"/>
        </w:rPr>
      </w:pPr>
    </w:p>
    <w:sectPr>
      <w:pgSz w:w="11905" w:h="16838"/>
      <w:pgMar w:top="1429" w:right="1735" w:bottom="1740" w:left="1786" w:header="0" w:footer="1604" w:gutter="0"/>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仿宋">
    <w:altName w:val="仿宋"/>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8" w:lineRule="exact"/>
      <w:ind w:firstLine="4089"/>
      <w:jc w:val="center"/>
      <w:rPr>
        <w:rFonts w:ascii="Tahoma" w:hAnsi="Tahoma" w:eastAsia="Tahoma" w:cs="Tahoma"/>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7" w:lineRule="exact"/>
      <w:ind w:firstLine="4089"/>
      <w:rPr>
        <w:rFonts w:ascii="Tahoma" w:hAnsi="Tahoma" w:eastAsia="Tahoma" w:cs="Tahoma"/>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5" w:lineRule="exact"/>
      <w:ind w:firstLine="4079"/>
      <w:rPr>
        <w:rFonts w:ascii="Tahoma" w:hAnsi="Tahoma" w:eastAsia="Tahoma" w:cs="Tahoma"/>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64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105</w:t>
                    </w:r>
                    <w:r>
                      <w:fldChar w:fldCharType="end"/>
                    </w:r>
                  </w:p>
                </w:txbxContent>
              </v:textbox>
            </v:shape>
          </w:pict>
        </mc:Fallback>
      </mc:AlternateContent>
    </w:r>
  </w:p>
  <w:p>
    <w:pPr>
      <w:pStyle w:val="13"/>
      <w:ind w:firstLine="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96CE"/>
    <w:multiLevelType w:val="singleLevel"/>
    <w:tmpl w:val="809196CE"/>
    <w:lvl w:ilvl="0" w:tentative="0">
      <w:start w:val="1"/>
      <w:numFmt w:val="decimal"/>
      <w:suff w:val="nothing"/>
      <w:lvlText w:val="（%1）"/>
      <w:lvlJc w:val="left"/>
    </w:lvl>
  </w:abstractNum>
  <w:abstractNum w:abstractNumId="1">
    <w:nsid w:val="8795C32E"/>
    <w:multiLevelType w:val="singleLevel"/>
    <w:tmpl w:val="8795C32E"/>
    <w:lvl w:ilvl="0" w:tentative="0">
      <w:start w:val="1"/>
      <w:numFmt w:val="chineseCounting"/>
      <w:suff w:val="nothing"/>
      <w:lvlText w:val="%1、"/>
      <w:lvlJc w:val="left"/>
      <w:rPr>
        <w:rFonts w:hint="eastAsia"/>
      </w:rPr>
    </w:lvl>
  </w:abstractNum>
  <w:abstractNum w:abstractNumId="2">
    <w:nsid w:val="9302DB72"/>
    <w:multiLevelType w:val="singleLevel"/>
    <w:tmpl w:val="9302DB72"/>
    <w:lvl w:ilvl="0" w:tentative="0">
      <w:start w:val="1"/>
      <w:numFmt w:val="chineseCounting"/>
      <w:suff w:val="nothing"/>
      <w:lvlText w:val="%1、"/>
      <w:lvlJc w:val="left"/>
      <w:rPr>
        <w:rFonts w:hint="eastAsia"/>
      </w:rPr>
    </w:lvl>
  </w:abstractNum>
  <w:abstractNum w:abstractNumId="3">
    <w:nsid w:val="B8E9B065"/>
    <w:multiLevelType w:val="singleLevel"/>
    <w:tmpl w:val="B8E9B065"/>
    <w:lvl w:ilvl="0" w:tentative="0">
      <w:start w:val="2"/>
      <w:numFmt w:val="decimal"/>
      <w:suff w:val="nothing"/>
      <w:lvlText w:val="（%1）"/>
      <w:lvlJc w:val="left"/>
    </w:lvl>
  </w:abstractNum>
  <w:abstractNum w:abstractNumId="4">
    <w:nsid w:val="C7DE5DF0"/>
    <w:multiLevelType w:val="singleLevel"/>
    <w:tmpl w:val="C7DE5DF0"/>
    <w:lvl w:ilvl="0" w:tentative="0">
      <w:start w:val="1"/>
      <w:numFmt w:val="chineseCounting"/>
      <w:suff w:val="nothing"/>
      <w:lvlText w:val="%1、"/>
      <w:lvlJc w:val="left"/>
      <w:rPr>
        <w:rFonts w:hint="eastAsia"/>
      </w:rPr>
    </w:lvl>
  </w:abstractNum>
  <w:abstractNum w:abstractNumId="5">
    <w:nsid w:val="D6D6624F"/>
    <w:multiLevelType w:val="singleLevel"/>
    <w:tmpl w:val="D6D6624F"/>
    <w:lvl w:ilvl="0" w:tentative="0">
      <w:start w:val="1"/>
      <w:numFmt w:val="chineseCounting"/>
      <w:suff w:val="nothing"/>
      <w:lvlText w:val="%1、"/>
      <w:lvlJc w:val="left"/>
      <w:rPr>
        <w:rFonts w:hint="eastAsia"/>
      </w:rPr>
    </w:lvl>
  </w:abstractNum>
  <w:abstractNum w:abstractNumId="6">
    <w:nsid w:val="E312E247"/>
    <w:multiLevelType w:val="singleLevel"/>
    <w:tmpl w:val="E312E247"/>
    <w:lvl w:ilvl="0" w:tentative="0">
      <w:start w:val="5"/>
      <w:numFmt w:val="decimal"/>
      <w:lvlText w:val="%1."/>
      <w:lvlJc w:val="left"/>
      <w:pPr>
        <w:tabs>
          <w:tab w:val="left" w:pos="312"/>
        </w:tabs>
      </w:pPr>
    </w:lvl>
  </w:abstractNum>
  <w:abstractNum w:abstractNumId="7">
    <w:nsid w:val="EC4C0F8C"/>
    <w:multiLevelType w:val="singleLevel"/>
    <w:tmpl w:val="EC4C0F8C"/>
    <w:lvl w:ilvl="0" w:tentative="0">
      <w:start w:val="10"/>
      <w:numFmt w:val="chineseCounting"/>
      <w:suff w:val="nothing"/>
      <w:lvlText w:val="%1、"/>
      <w:lvlJc w:val="left"/>
      <w:pPr>
        <w:ind w:left="0" w:firstLine="420"/>
      </w:pPr>
      <w:rPr>
        <w:rFonts w:hint="eastAsia"/>
      </w:rPr>
    </w:lvl>
  </w:abstractNum>
  <w:abstractNum w:abstractNumId="8">
    <w:nsid w:val="FD542297"/>
    <w:multiLevelType w:val="singleLevel"/>
    <w:tmpl w:val="FD542297"/>
    <w:lvl w:ilvl="0" w:tentative="0">
      <w:start w:val="1"/>
      <w:numFmt w:val="chineseCounting"/>
      <w:suff w:val="nothing"/>
      <w:lvlText w:val="%1、"/>
      <w:lvlJc w:val="left"/>
      <w:rPr>
        <w:rFonts w:hint="eastAsia"/>
        <w:b w:val="0"/>
        <w:bCs w:val="0"/>
      </w:rPr>
    </w:lvl>
  </w:abstractNum>
  <w:abstractNum w:abstractNumId="9">
    <w:nsid w:val="00000001"/>
    <w:multiLevelType w:val="singleLevel"/>
    <w:tmpl w:val="00000001"/>
    <w:lvl w:ilvl="0" w:tentative="0">
      <w:start w:val="5"/>
      <w:numFmt w:val="chineseCounting"/>
      <w:suff w:val="nothing"/>
      <w:lvlText w:val="%1、"/>
      <w:lvlJc w:val="left"/>
      <w:rPr>
        <w:rFonts w:hint="eastAsia"/>
      </w:rPr>
    </w:lvl>
  </w:abstractNum>
  <w:abstractNum w:abstractNumId="10">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1">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734B62"/>
    <w:multiLevelType w:val="singleLevel"/>
    <w:tmpl w:val="02734B62"/>
    <w:lvl w:ilvl="0" w:tentative="0">
      <w:start w:val="1"/>
      <w:numFmt w:val="decimal"/>
      <w:lvlText w:val="%1."/>
      <w:lvlJc w:val="left"/>
      <w:pPr>
        <w:tabs>
          <w:tab w:val="left" w:pos="312"/>
        </w:tabs>
      </w:pPr>
    </w:lvl>
  </w:abstractNum>
  <w:abstractNum w:abstractNumId="13">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5">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6">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7">
    <w:nsid w:val="20D39007"/>
    <w:multiLevelType w:val="singleLevel"/>
    <w:tmpl w:val="20D3900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78030E"/>
    <w:multiLevelType w:val="singleLevel"/>
    <w:tmpl w:val="2778030E"/>
    <w:lvl w:ilvl="0" w:tentative="0">
      <w:start w:val="9"/>
      <w:numFmt w:val="decimal"/>
      <w:lvlText w:val="%1."/>
      <w:lvlJc w:val="left"/>
      <w:pPr>
        <w:tabs>
          <w:tab w:val="left" w:pos="312"/>
        </w:tabs>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F161286"/>
    <w:multiLevelType w:val="multilevel"/>
    <w:tmpl w:val="2F16128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5E7248A"/>
    <w:multiLevelType w:val="singleLevel"/>
    <w:tmpl w:val="35E7248A"/>
    <w:lvl w:ilvl="0" w:tentative="0">
      <w:start w:val="1"/>
      <w:numFmt w:val="chineseCounting"/>
      <w:suff w:val="nothing"/>
      <w:lvlText w:val="（%1）"/>
      <w:lvlJc w:val="left"/>
      <w:rPr>
        <w:rFonts w:hint="eastAsia"/>
      </w:rPr>
    </w:lvl>
  </w:abstractNum>
  <w:abstractNum w:abstractNumId="24">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5">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4"/>
        <w:szCs w:val="24"/>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0">
    <w:nsid w:val="4EE55791"/>
    <w:multiLevelType w:val="singleLevel"/>
    <w:tmpl w:val="4EE55791"/>
    <w:lvl w:ilvl="0" w:tentative="0">
      <w:start w:val="2"/>
      <w:numFmt w:val="chineseCounting"/>
      <w:suff w:val="nothing"/>
      <w:lvlText w:val="%1、"/>
      <w:lvlJc w:val="left"/>
      <w:rPr>
        <w:rFonts w:hint="eastAsia"/>
      </w:rPr>
    </w:lvl>
  </w:abstractNum>
  <w:abstractNum w:abstractNumId="3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5F7BA310"/>
    <w:multiLevelType w:val="singleLevel"/>
    <w:tmpl w:val="5F7BA310"/>
    <w:lvl w:ilvl="0" w:tentative="0">
      <w:start w:val="3"/>
      <w:numFmt w:val="decimal"/>
      <w:suff w:val="space"/>
      <w:lvlText w:val="第%1章"/>
      <w:lvlJc w:val="left"/>
    </w:lvl>
  </w:abstractNum>
  <w:abstractNum w:abstractNumId="34">
    <w:nsid w:val="5FB579E0"/>
    <w:multiLevelType w:val="multilevel"/>
    <w:tmpl w:val="5FB579E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63C242C0"/>
    <w:multiLevelType w:val="multilevel"/>
    <w:tmpl w:val="63C242C0"/>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rFonts w:hint="default"/>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38">
    <w:nsid w:val="63FB5654"/>
    <w:multiLevelType w:val="singleLevel"/>
    <w:tmpl w:val="63FB5654"/>
    <w:lvl w:ilvl="0" w:tentative="0">
      <w:start w:val="1"/>
      <w:numFmt w:val="decimal"/>
      <w:lvlText w:val="%1."/>
      <w:lvlJc w:val="left"/>
      <w:pPr>
        <w:tabs>
          <w:tab w:val="left" w:pos="312"/>
        </w:tabs>
      </w:pPr>
    </w:lvl>
  </w:abstractNum>
  <w:abstractNum w:abstractNumId="39">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41">
    <w:nsid w:val="6B887EBF"/>
    <w:multiLevelType w:val="multilevel"/>
    <w:tmpl w:val="6B887EB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2">
    <w:nsid w:val="6C5D051E"/>
    <w:multiLevelType w:val="multilevel"/>
    <w:tmpl w:val="6C5D051E"/>
    <w:lvl w:ilvl="0" w:tentative="0">
      <w:start w:val="1"/>
      <w:numFmt w:val="decimal"/>
      <w:lvlText w:val="%1)"/>
      <w:lvlJc w:val="left"/>
      <w:pPr>
        <w:ind w:left="498" w:hanging="420"/>
      </w:pPr>
      <w:rPr>
        <w:rFonts w:hint="eastAsia"/>
      </w:rPr>
    </w:lvl>
    <w:lvl w:ilvl="1" w:tentative="0">
      <w:start w:val="1"/>
      <w:numFmt w:val="lowerLetter"/>
      <w:lvlText w:val="%2)"/>
      <w:lvlJc w:val="left"/>
      <w:pPr>
        <w:ind w:left="918" w:hanging="420"/>
      </w:pPr>
    </w:lvl>
    <w:lvl w:ilvl="2" w:tentative="0">
      <w:start w:val="1"/>
      <w:numFmt w:val="lowerRoman"/>
      <w:lvlText w:val="%3."/>
      <w:lvlJc w:val="right"/>
      <w:pPr>
        <w:ind w:left="1338" w:hanging="420"/>
      </w:pPr>
    </w:lvl>
    <w:lvl w:ilvl="3" w:tentative="0">
      <w:start w:val="1"/>
      <w:numFmt w:val="decimal"/>
      <w:lvlText w:val="%4."/>
      <w:lvlJc w:val="left"/>
      <w:pPr>
        <w:ind w:left="1758" w:hanging="420"/>
      </w:pPr>
    </w:lvl>
    <w:lvl w:ilvl="4" w:tentative="0">
      <w:start w:val="1"/>
      <w:numFmt w:val="lowerLetter"/>
      <w:lvlText w:val="%5)"/>
      <w:lvlJc w:val="left"/>
      <w:pPr>
        <w:ind w:left="2178" w:hanging="420"/>
      </w:pPr>
    </w:lvl>
    <w:lvl w:ilvl="5" w:tentative="0">
      <w:start w:val="1"/>
      <w:numFmt w:val="lowerRoman"/>
      <w:lvlText w:val="%6."/>
      <w:lvlJc w:val="right"/>
      <w:pPr>
        <w:ind w:left="2598" w:hanging="420"/>
      </w:pPr>
    </w:lvl>
    <w:lvl w:ilvl="6" w:tentative="0">
      <w:start w:val="1"/>
      <w:numFmt w:val="decimal"/>
      <w:lvlText w:val="%7."/>
      <w:lvlJc w:val="left"/>
      <w:pPr>
        <w:ind w:left="3018" w:hanging="420"/>
      </w:pPr>
    </w:lvl>
    <w:lvl w:ilvl="7" w:tentative="0">
      <w:start w:val="1"/>
      <w:numFmt w:val="lowerLetter"/>
      <w:lvlText w:val="%8)"/>
      <w:lvlJc w:val="left"/>
      <w:pPr>
        <w:ind w:left="3438" w:hanging="420"/>
      </w:pPr>
    </w:lvl>
    <w:lvl w:ilvl="8" w:tentative="0">
      <w:start w:val="1"/>
      <w:numFmt w:val="lowerRoman"/>
      <w:lvlText w:val="%9."/>
      <w:lvlJc w:val="right"/>
      <w:pPr>
        <w:ind w:left="3858" w:hanging="420"/>
      </w:pPr>
    </w:lvl>
  </w:abstractNum>
  <w:abstractNum w:abstractNumId="43">
    <w:nsid w:val="6CB058FD"/>
    <w:multiLevelType w:val="multilevel"/>
    <w:tmpl w:val="6CB058FD"/>
    <w:lvl w:ilvl="0" w:tentative="0">
      <w:start w:val="1"/>
      <w:numFmt w:val="chineseCountingThousand"/>
      <w:lvlText w:val="第%1章 "/>
      <w:lvlJc w:val="left"/>
      <w:pPr>
        <w:ind w:left="425" w:hanging="425"/>
      </w:pPr>
      <w:rPr>
        <w:rFonts w:hint="eastAsia" w:asciiTheme="majorEastAsia" w:hAnsiTheme="majorEastAsia" w:eastAsiaTheme="majorEastAsia"/>
        <w:sz w:val="36"/>
        <w:szCs w:val="36"/>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1" w:hanging="851"/>
      </w:pPr>
      <w:rPr>
        <w:rFonts w:hint="eastAsia"/>
      </w:rPr>
    </w:lvl>
    <w:lvl w:ilvl="4" w:tentative="0">
      <w:start w:val="1"/>
      <w:numFmt w:val="decimal"/>
      <w:isLgl/>
      <w:lvlText w:val="%1.%2.%3.%4.%5."/>
      <w:lvlJc w:val="left"/>
      <w:pPr>
        <w:ind w:left="992" w:hanging="992"/>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6" w:hanging="1276"/>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9" w:hanging="1559"/>
      </w:pPr>
      <w:rPr>
        <w:rFonts w:hint="eastAsia"/>
      </w:rPr>
    </w:lvl>
  </w:abstractNum>
  <w:abstractNum w:abstractNumId="44">
    <w:nsid w:val="78645AC5"/>
    <w:multiLevelType w:val="multilevel"/>
    <w:tmpl w:val="78645AC5"/>
    <w:lvl w:ilvl="0" w:tentative="0">
      <w:start w:val="2"/>
      <w:numFmt w:val="japaneseCounting"/>
      <w:lvlText w:val="%1、"/>
      <w:lvlJc w:val="left"/>
      <w:pPr>
        <w:ind w:left="1280" w:hanging="720"/>
      </w:pPr>
    </w:lvl>
    <w:lvl w:ilvl="1" w:tentative="0">
      <w:start w:val="1"/>
      <w:numFmt w:val="japaneseCounting"/>
      <w:lvlText w:val="（%2）"/>
      <w:lvlJc w:val="left"/>
      <w:pPr>
        <w:ind w:left="1820" w:hanging="84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0"/>
  </w:num>
  <w:num w:numId="2">
    <w:abstractNumId w:val="30"/>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5"/>
  </w:num>
  <w:num w:numId="11">
    <w:abstractNumId w:val="27"/>
  </w:num>
  <w:num w:numId="12">
    <w:abstractNumId w:val="32"/>
  </w:num>
  <w:num w:numId="13">
    <w:abstractNumId w:val="37"/>
  </w:num>
  <w:num w:numId="14">
    <w:abstractNumId w:val="33"/>
  </w:num>
  <w:num w:numId="15">
    <w:abstractNumId w:val="2"/>
  </w:num>
  <w:num w:numId="16">
    <w:abstractNumId w:val="15"/>
  </w:num>
  <w:num w:numId="17">
    <w:abstractNumId w:val="4"/>
  </w:num>
  <w:num w:numId="18">
    <w:abstractNumId w:val="17"/>
  </w:num>
  <w:num w:numId="19">
    <w:abstractNumId w:val="8"/>
  </w:num>
  <w:num w:numId="20">
    <w:abstractNumId w:val="7"/>
  </w:num>
  <w:num w:numId="21">
    <w:abstractNumId w:val="43"/>
  </w:num>
  <w:num w:numId="22">
    <w:abstractNumId w:val="34"/>
  </w:num>
  <w:num w:numId="23">
    <w:abstractNumId w:val="41"/>
  </w:num>
  <w:num w:numId="24">
    <w:abstractNumId w:val="6"/>
  </w:num>
  <w:num w:numId="25">
    <w:abstractNumId w:val="3"/>
  </w:num>
  <w:num w:numId="26">
    <w:abstractNumId w:val="23"/>
  </w:num>
  <w:num w:numId="27">
    <w:abstractNumId w:val="0"/>
  </w:num>
  <w:num w:numId="28">
    <w:abstractNumId w:val="42"/>
  </w:num>
  <w:num w:numId="29">
    <w:abstractNumId w:val="21"/>
  </w:num>
  <w:num w:numId="30">
    <w:abstractNumId w:val="38"/>
  </w:num>
  <w:num w:numId="31">
    <w:abstractNumId w:val="1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8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48610D"/>
    <w:rsid w:val="00091187"/>
    <w:rsid w:val="003B3840"/>
    <w:rsid w:val="004E1E3D"/>
    <w:rsid w:val="005B62EE"/>
    <w:rsid w:val="0072544D"/>
    <w:rsid w:val="008F7C4E"/>
    <w:rsid w:val="00917D8F"/>
    <w:rsid w:val="009E466C"/>
    <w:rsid w:val="00D94541"/>
    <w:rsid w:val="01161C0C"/>
    <w:rsid w:val="0136736C"/>
    <w:rsid w:val="01580A86"/>
    <w:rsid w:val="01F3339A"/>
    <w:rsid w:val="01FE51F0"/>
    <w:rsid w:val="02400E1B"/>
    <w:rsid w:val="02654DF8"/>
    <w:rsid w:val="02667CC1"/>
    <w:rsid w:val="02740CB9"/>
    <w:rsid w:val="028153A6"/>
    <w:rsid w:val="02834D45"/>
    <w:rsid w:val="028862A7"/>
    <w:rsid w:val="02A934D8"/>
    <w:rsid w:val="02D07ACC"/>
    <w:rsid w:val="031722B4"/>
    <w:rsid w:val="03702972"/>
    <w:rsid w:val="03887114"/>
    <w:rsid w:val="039A595D"/>
    <w:rsid w:val="03A00ADC"/>
    <w:rsid w:val="03A33C3E"/>
    <w:rsid w:val="03EB3D9A"/>
    <w:rsid w:val="03F30027"/>
    <w:rsid w:val="03FD6281"/>
    <w:rsid w:val="0403640D"/>
    <w:rsid w:val="04200890"/>
    <w:rsid w:val="044B513A"/>
    <w:rsid w:val="046929DC"/>
    <w:rsid w:val="046C6944"/>
    <w:rsid w:val="047B12EF"/>
    <w:rsid w:val="048E27EF"/>
    <w:rsid w:val="04A341E4"/>
    <w:rsid w:val="04A62969"/>
    <w:rsid w:val="04A80CC6"/>
    <w:rsid w:val="04BB368B"/>
    <w:rsid w:val="04CF4B89"/>
    <w:rsid w:val="04D814AF"/>
    <w:rsid w:val="04E40FEA"/>
    <w:rsid w:val="04EC5472"/>
    <w:rsid w:val="04F44056"/>
    <w:rsid w:val="04FC276D"/>
    <w:rsid w:val="053C401F"/>
    <w:rsid w:val="056A26AE"/>
    <w:rsid w:val="05776C01"/>
    <w:rsid w:val="057A4182"/>
    <w:rsid w:val="057B61D5"/>
    <w:rsid w:val="05AC7A27"/>
    <w:rsid w:val="05E34260"/>
    <w:rsid w:val="05F6620A"/>
    <w:rsid w:val="05F9455E"/>
    <w:rsid w:val="061039C6"/>
    <w:rsid w:val="062B3724"/>
    <w:rsid w:val="064037DE"/>
    <w:rsid w:val="064B31D3"/>
    <w:rsid w:val="0652026E"/>
    <w:rsid w:val="06827A0C"/>
    <w:rsid w:val="069C1941"/>
    <w:rsid w:val="06FB3281"/>
    <w:rsid w:val="07595908"/>
    <w:rsid w:val="0771429D"/>
    <w:rsid w:val="077B5AFC"/>
    <w:rsid w:val="07913A26"/>
    <w:rsid w:val="07A70A0A"/>
    <w:rsid w:val="07AC49D6"/>
    <w:rsid w:val="07B06E97"/>
    <w:rsid w:val="07C11154"/>
    <w:rsid w:val="082A3F59"/>
    <w:rsid w:val="082B5EB1"/>
    <w:rsid w:val="08387BD6"/>
    <w:rsid w:val="086F1DA2"/>
    <w:rsid w:val="0882554E"/>
    <w:rsid w:val="089D230E"/>
    <w:rsid w:val="08AD157F"/>
    <w:rsid w:val="08BE507D"/>
    <w:rsid w:val="08CF4DEB"/>
    <w:rsid w:val="08E02E5A"/>
    <w:rsid w:val="08EA7425"/>
    <w:rsid w:val="09093634"/>
    <w:rsid w:val="090E25DC"/>
    <w:rsid w:val="09173121"/>
    <w:rsid w:val="0929363F"/>
    <w:rsid w:val="09434FC2"/>
    <w:rsid w:val="0956417B"/>
    <w:rsid w:val="098C51B0"/>
    <w:rsid w:val="099E610E"/>
    <w:rsid w:val="09D07958"/>
    <w:rsid w:val="09D417FF"/>
    <w:rsid w:val="09D6160B"/>
    <w:rsid w:val="09F71EE1"/>
    <w:rsid w:val="0A0F7972"/>
    <w:rsid w:val="0A150BCB"/>
    <w:rsid w:val="0A1C1727"/>
    <w:rsid w:val="0A230725"/>
    <w:rsid w:val="0A327EA1"/>
    <w:rsid w:val="0A3C0275"/>
    <w:rsid w:val="0A63115A"/>
    <w:rsid w:val="0A696234"/>
    <w:rsid w:val="0A6F1E58"/>
    <w:rsid w:val="0A7943EC"/>
    <w:rsid w:val="0AAF346B"/>
    <w:rsid w:val="0ADA1EBB"/>
    <w:rsid w:val="0AF86CE8"/>
    <w:rsid w:val="0B0114EA"/>
    <w:rsid w:val="0B245333"/>
    <w:rsid w:val="0B3410E7"/>
    <w:rsid w:val="0B6608DC"/>
    <w:rsid w:val="0B895133"/>
    <w:rsid w:val="0BDD7F82"/>
    <w:rsid w:val="0BE32F69"/>
    <w:rsid w:val="0BFD164B"/>
    <w:rsid w:val="0C0D3FD1"/>
    <w:rsid w:val="0C274BD7"/>
    <w:rsid w:val="0C373A44"/>
    <w:rsid w:val="0C3A2691"/>
    <w:rsid w:val="0C6632C1"/>
    <w:rsid w:val="0C915258"/>
    <w:rsid w:val="0C9D07E0"/>
    <w:rsid w:val="0CC12238"/>
    <w:rsid w:val="0CCE448A"/>
    <w:rsid w:val="0CDB3C11"/>
    <w:rsid w:val="0CF31F6E"/>
    <w:rsid w:val="0D0B0450"/>
    <w:rsid w:val="0D2536D2"/>
    <w:rsid w:val="0D285C21"/>
    <w:rsid w:val="0D3A0A4B"/>
    <w:rsid w:val="0D7A4D23"/>
    <w:rsid w:val="0D857951"/>
    <w:rsid w:val="0D8D2442"/>
    <w:rsid w:val="0D8F71DE"/>
    <w:rsid w:val="0DD75AF7"/>
    <w:rsid w:val="0DDD4C6B"/>
    <w:rsid w:val="0DF26B17"/>
    <w:rsid w:val="0E306DED"/>
    <w:rsid w:val="0E4755B3"/>
    <w:rsid w:val="0E590054"/>
    <w:rsid w:val="0E6B6B31"/>
    <w:rsid w:val="0E821A65"/>
    <w:rsid w:val="0EA8605E"/>
    <w:rsid w:val="0EAC2E26"/>
    <w:rsid w:val="0EC7460F"/>
    <w:rsid w:val="0ED96C59"/>
    <w:rsid w:val="0EF2507D"/>
    <w:rsid w:val="0EFE7A4D"/>
    <w:rsid w:val="0F0F463C"/>
    <w:rsid w:val="0F410EEB"/>
    <w:rsid w:val="0F6945CD"/>
    <w:rsid w:val="0F6D2EE9"/>
    <w:rsid w:val="0F781DB5"/>
    <w:rsid w:val="0FC962D0"/>
    <w:rsid w:val="0FCB3C04"/>
    <w:rsid w:val="0FD979A8"/>
    <w:rsid w:val="0FDC3F31"/>
    <w:rsid w:val="0FE15288"/>
    <w:rsid w:val="10260D6F"/>
    <w:rsid w:val="10362136"/>
    <w:rsid w:val="105B730B"/>
    <w:rsid w:val="106C2262"/>
    <w:rsid w:val="106C53BC"/>
    <w:rsid w:val="10830C7C"/>
    <w:rsid w:val="10C509EF"/>
    <w:rsid w:val="10EB368F"/>
    <w:rsid w:val="11074472"/>
    <w:rsid w:val="11520E33"/>
    <w:rsid w:val="116E2166"/>
    <w:rsid w:val="1173085A"/>
    <w:rsid w:val="11AA536F"/>
    <w:rsid w:val="11B86733"/>
    <w:rsid w:val="11CA4978"/>
    <w:rsid w:val="11EA55C7"/>
    <w:rsid w:val="11F602D6"/>
    <w:rsid w:val="120B73C0"/>
    <w:rsid w:val="12215AFB"/>
    <w:rsid w:val="123A482D"/>
    <w:rsid w:val="12413D6E"/>
    <w:rsid w:val="124476BB"/>
    <w:rsid w:val="12655CC4"/>
    <w:rsid w:val="1271621B"/>
    <w:rsid w:val="12852F48"/>
    <w:rsid w:val="128F3839"/>
    <w:rsid w:val="12E273A7"/>
    <w:rsid w:val="12FF3A59"/>
    <w:rsid w:val="132A7CFD"/>
    <w:rsid w:val="133B528D"/>
    <w:rsid w:val="134724AA"/>
    <w:rsid w:val="13482029"/>
    <w:rsid w:val="13524071"/>
    <w:rsid w:val="1362716E"/>
    <w:rsid w:val="13C4589F"/>
    <w:rsid w:val="13C73DD2"/>
    <w:rsid w:val="13CF11C0"/>
    <w:rsid w:val="13D1003C"/>
    <w:rsid w:val="14101C26"/>
    <w:rsid w:val="14154D32"/>
    <w:rsid w:val="141B4C6E"/>
    <w:rsid w:val="142165BE"/>
    <w:rsid w:val="14262CF2"/>
    <w:rsid w:val="144D102B"/>
    <w:rsid w:val="14753220"/>
    <w:rsid w:val="14837EDB"/>
    <w:rsid w:val="14EA2DEE"/>
    <w:rsid w:val="15466FAF"/>
    <w:rsid w:val="154F57DC"/>
    <w:rsid w:val="155C38BE"/>
    <w:rsid w:val="15664A96"/>
    <w:rsid w:val="15835C05"/>
    <w:rsid w:val="158D40DD"/>
    <w:rsid w:val="15900F0E"/>
    <w:rsid w:val="159F7D3F"/>
    <w:rsid w:val="15C87902"/>
    <w:rsid w:val="15EF6877"/>
    <w:rsid w:val="15F43703"/>
    <w:rsid w:val="15FC503E"/>
    <w:rsid w:val="162241DC"/>
    <w:rsid w:val="16290680"/>
    <w:rsid w:val="163D395B"/>
    <w:rsid w:val="171F48FB"/>
    <w:rsid w:val="17207DA4"/>
    <w:rsid w:val="1727500E"/>
    <w:rsid w:val="17306DD2"/>
    <w:rsid w:val="174F27ED"/>
    <w:rsid w:val="178E771A"/>
    <w:rsid w:val="179341EA"/>
    <w:rsid w:val="179A0513"/>
    <w:rsid w:val="17A467DF"/>
    <w:rsid w:val="17C15522"/>
    <w:rsid w:val="17FB15C3"/>
    <w:rsid w:val="1844274E"/>
    <w:rsid w:val="1854752B"/>
    <w:rsid w:val="186A0A54"/>
    <w:rsid w:val="18896377"/>
    <w:rsid w:val="18922F2B"/>
    <w:rsid w:val="18B72BC8"/>
    <w:rsid w:val="18C56DA7"/>
    <w:rsid w:val="18C836B8"/>
    <w:rsid w:val="18F374C6"/>
    <w:rsid w:val="18FD05FE"/>
    <w:rsid w:val="19132033"/>
    <w:rsid w:val="19501EC5"/>
    <w:rsid w:val="19555E8C"/>
    <w:rsid w:val="19645622"/>
    <w:rsid w:val="19733D2D"/>
    <w:rsid w:val="197B76B0"/>
    <w:rsid w:val="19891440"/>
    <w:rsid w:val="198A1C31"/>
    <w:rsid w:val="19BF00F6"/>
    <w:rsid w:val="19D71CA5"/>
    <w:rsid w:val="19E64A64"/>
    <w:rsid w:val="19F775FE"/>
    <w:rsid w:val="1A0928D0"/>
    <w:rsid w:val="1A1878C6"/>
    <w:rsid w:val="1A206030"/>
    <w:rsid w:val="1A2F3E5B"/>
    <w:rsid w:val="1A7C4190"/>
    <w:rsid w:val="1A7F38D6"/>
    <w:rsid w:val="1A802F1C"/>
    <w:rsid w:val="1A8124BE"/>
    <w:rsid w:val="1A9937D7"/>
    <w:rsid w:val="1AB71B22"/>
    <w:rsid w:val="1AF82F58"/>
    <w:rsid w:val="1B0D099B"/>
    <w:rsid w:val="1B6A3E5C"/>
    <w:rsid w:val="1BB44282"/>
    <w:rsid w:val="1BD9068F"/>
    <w:rsid w:val="1BFB2250"/>
    <w:rsid w:val="1C0035EB"/>
    <w:rsid w:val="1C363364"/>
    <w:rsid w:val="1C5F52A1"/>
    <w:rsid w:val="1C714822"/>
    <w:rsid w:val="1C816754"/>
    <w:rsid w:val="1C9307F3"/>
    <w:rsid w:val="1CC9362C"/>
    <w:rsid w:val="1CDE4886"/>
    <w:rsid w:val="1CE02B18"/>
    <w:rsid w:val="1CE323BB"/>
    <w:rsid w:val="1CFB0038"/>
    <w:rsid w:val="1D0477D0"/>
    <w:rsid w:val="1D10751F"/>
    <w:rsid w:val="1D1D64C4"/>
    <w:rsid w:val="1D41769B"/>
    <w:rsid w:val="1D5D3D28"/>
    <w:rsid w:val="1D713B7A"/>
    <w:rsid w:val="1DD450A4"/>
    <w:rsid w:val="1DD92171"/>
    <w:rsid w:val="1E10178C"/>
    <w:rsid w:val="1E2F00E5"/>
    <w:rsid w:val="1E387C33"/>
    <w:rsid w:val="1E456B52"/>
    <w:rsid w:val="1E4E6D0C"/>
    <w:rsid w:val="1E7873EE"/>
    <w:rsid w:val="1E7F0F62"/>
    <w:rsid w:val="1E882130"/>
    <w:rsid w:val="1E8C788A"/>
    <w:rsid w:val="1E8D1353"/>
    <w:rsid w:val="1EB4180C"/>
    <w:rsid w:val="1EBD594A"/>
    <w:rsid w:val="1ECA110B"/>
    <w:rsid w:val="1ECF06E1"/>
    <w:rsid w:val="1F462E44"/>
    <w:rsid w:val="1F886291"/>
    <w:rsid w:val="1FB520F8"/>
    <w:rsid w:val="203329B3"/>
    <w:rsid w:val="20342DD0"/>
    <w:rsid w:val="206207F0"/>
    <w:rsid w:val="20642A48"/>
    <w:rsid w:val="20B24349"/>
    <w:rsid w:val="20B52DA0"/>
    <w:rsid w:val="20C141AE"/>
    <w:rsid w:val="20D126D6"/>
    <w:rsid w:val="20FC5089"/>
    <w:rsid w:val="21393748"/>
    <w:rsid w:val="213A3997"/>
    <w:rsid w:val="214E7994"/>
    <w:rsid w:val="219421A5"/>
    <w:rsid w:val="21C87A6D"/>
    <w:rsid w:val="21F5151C"/>
    <w:rsid w:val="223C1E58"/>
    <w:rsid w:val="224E729F"/>
    <w:rsid w:val="225D4A0C"/>
    <w:rsid w:val="229D0F6E"/>
    <w:rsid w:val="22C7065F"/>
    <w:rsid w:val="22D97DE5"/>
    <w:rsid w:val="22F90753"/>
    <w:rsid w:val="231B239C"/>
    <w:rsid w:val="2355527D"/>
    <w:rsid w:val="236A2715"/>
    <w:rsid w:val="23747B14"/>
    <w:rsid w:val="238A55B3"/>
    <w:rsid w:val="241046DC"/>
    <w:rsid w:val="24105740"/>
    <w:rsid w:val="24383DCB"/>
    <w:rsid w:val="244D0366"/>
    <w:rsid w:val="245935BD"/>
    <w:rsid w:val="24667BA0"/>
    <w:rsid w:val="248041F0"/>
    <w:rsid w:val="24B11EBB"/>
    <w:rsid w:val="24CD1BC1"/>
    <w:rsid w:val="24D03A13"/>
    <w:rsid w:val="24D8573A"/>
    <w:rsid w:val="24E73B6A"/>
    <w:rsid w:val="25102AA1"/>
    <w:rsid w:val="25130AC8"/>
    <w:rsid w:val="25246ACF"/>
    <w:rsid w:val="252966B2"/>
    <w:rsid w:val="2552147B"/>
    <w:rsid w:val="255D3ACF"/>
    <w:rsid w:val="256A310C"/>
    <w:rsid w:val="256B602A"/>
    <w:rsid w:val="25892410"/>
    <w:rsid w:val="25B576F9"/>
    <w:rsid w:val="25E36E8B"/>
    <w:rsid w:val="25E5521D"/>
    <w:rsid w:val="25E9658A"/>
    <w:rsid w:val="25FD1CFA"/>
    <w:rsid w:val="261C76D9"/>
    <w:rsid w:val="26336E54"/>
    <w:rsid w:val="269C1750"/>
    <w:rsid w:val="26E23251"/>
    <w:rsid w:val="26E67919"/>
    <w:rsid w:val="26ED594C"/>
    <w:rsid w:val="27084282"/>
    <w:rsid w:val="2726571C"/>
    <w:rsid w:val="27D05F1D"/>
    <w:rsid w:val="27E13B3F"/>
    <w:rsid w:val="280C00DD"/>
    <w:rsid w:val="28191476"/>
    <w:rsid w:val="28700B93"/>
    <w:rsid w:val="287075C0"/>
    <w:rsid w:val="28AF4618"/>
    <w:rsid w:val="28B22F2F"/>
    <w:rsid w:val="28BB735D"/>
    <w:rsid w:val="28D915EB"/>
    <w:rsid w:val="28E10C86"/>
    <w:rsid w:val="290264BA"/>
    <w:rsid w:val="290536FD"/>
    <w:rsid w:val="29363259"/>
    <w:rsid w:val="2946133D"/>
    <w:rsid w:val="29643740"/>
    <w:rsid w:val="296D6B3A"/>
    <w:rsid w:val="297E6BBC"/>
    <w:rsid w:val="29AC6CCB"/>
    <w:rsid w:val="29AD6FDA"/>
    <w:rsid w:val="29C53C05"/>
    <w:rsid w:val="29CC642F"/>
    <w:rsid w:val="29D200FB"/>
    <w:rsid w:val="2A1359B0"/>
    <w:rsid w:val="2A5662ED"/>
    <w:rsid w:val="2A9E3219"/>
    <w:rsid w:val="2AA93C63"/>
    <w:rsid w:val="2AC23872"/>
    <w:rsid w:val="2AD11ADB"/>
    <w:rsid w:val="2AFF53A2"/>
    <w:rsid w:val="2B074C62"/>
    <w:rsid w:val="2B4F6BFA"/>
    <w:rsid w:val="2B715D76"/>
    <w:rsid w:val="2B931CC0"/>
    <w:rsid w:val="2BAF2166"/>
    <w:rsid w:val="2BD5179E"/>
    <w:rsid w:val="2BD82331"/>
    <w:rsid w:val="2C1B4E2B"/>
    <w:rsid w:val="2C5F745E"/>
    <w:rsid w:val="2C6B6B70"/>
    <w:rsid w:val="2C940695"/>
    <w:rsid w:val="2CAA7D4E"/>
    <w:rsid w:val="2CBC7C70"/>
    <w:rsid w:val="2CD4004D"/>
    <w:rsid w:val="2CDF3F9A"/>
    <w:rsid w:val="2D554277"/>
    <w:rsid w:val="2D5D6794"/>
    <w:rsid w:val="2D944701"/>
    <w:rsid w:val="2D963E5D"/>
    <w:rsid w:val="2DA52F4D"/>
    <w:rsid w:val="2DAB1294"/>
    <w:rsid w:val="2DC00470"/>
    <w:rsid w:val="2DD0666F"/>
    <w:rsid w:val="2DE400C5"/>
    <w:rsid w:val="2E123DA8"/>
    <w:rsid w:val="2E1958B0"/>
    <w:rsid w:val="2E2C1643"/>
    <w:rsid w:val="2E326EF4"/>
    <w:rsid w:val="2E487925"/>
    <w:rsid w:val="2E7C616E"/>
    <w:rsid w:val="2E7F6431"/>
    <w:rsid w:val="2F105D7C"/>
    <w:rsid w:val="2F33156F"/>
    <w:rsid w:val="2F554828"/>
    <w:rsid w:val="2F85500C"/>
    <w:rsid w:val="2F8B7B09"/>
    <w:rsid w:val="2F8E5C30"/>
    <w:rsid w:val="2F955C15"/>
    <w:rsid w:val="2FD60B9B"/>
    <w:rsid w:val="2FF86431"/>
    <w:rsid w:val="30173D71"/>
    <w:rsid w:val="30406862"/>
    <w:rsid w:val="30463112"/>
    <w:rsid w:val="30616213"/>
    <w:rsid w:val="307D61D0"/>
    <w:rsid w:val="308C0A2F"/>
    <w:rsid w:val="308E0040"/>
    <w:rsid w:val="30A85271"/>
    <w:rsid w:val="31104D26"/>
    <w:rsid w:val="31553E48"/>
    <w:rsid w:val="317A32EF"/>
    <w:rsid w:val="318C7452"/>
    <w:rsid w:val="31AD4DCC"/>
    <w:rsid w:val="31FF5ABB"/>
    <w:rsid w:val="323D578F"/>
    <w:rsid w:val="3281006F"/>
    <w:rsid w:val="32850AB9"/>
    <w:rsid w:val="328E66C2"/>
    <w:rsid w:val="32A2140A"/>
    <w:rsid w:val="32C05E91"/>
    <w:rsid w:val="32C27EA1"/>
    <w:rsid w:val="32F34889"/>
    <w:rsid w:val="331B7361"/>
    <w:rsid w:val="33711132"/>
    <w:rsid w:val="33B149A9"/>
    <w:rsid w:val="33B45651"/>
    <w:rsid w:val="33DE16D9"/>
    <w:rsid w:val="33E87CF5"/>
    <w:rsid w:val="33F07F9D"/>
    <w:rsid w:val="33F4720B"/>
    <w:rsid w:val="341363E5"/>
    <w:rsid w:val="343314FB"/>
    <w:rsid w:val="34426C8D"/>
    <w:rsid w:val="344D5592"/>
    <w:rsid w:val="34563935"/>
    <w:rsid w:val="34570D7F"/>
    <w:rsid w:val="345F3619"/>
    <w:rsid w:val="34C67B31"/>
    <w:rsid w:val="34D85D8A"/>
    <w:rsid w:val="350C4F1C"/>
    <w:rsid w:val="351A51AF"/>
    <w:rsid w:val="351C38B9"/>
    <w:rsid w:val="35371490"/>
    <w:rsid w:val="35AB61C4"/>
    <w:rsid w:val="35AE772D"/>
    <w:rsid w:val="35C70C5F"/>
    <w:rsid w:val="35D069F8"/>
    <w:rsid w:val="35D637A5"/>
    <w:rsid w:val="35E41054"/>
    <w:rsid w:val="35EF30C0"/>
    <w:rsid w:val="35F0345B"/>
    <w:rsid w:val="360D4B8B"/>
    <w:rsid w:val="36575A1D"/>
    <w:rsid w:val="366F3C55"/>
    <w:rsid w:val="368E57C0"/>
    <w:rsid w:val="369F7AF3"/>
    <w:rsid w:val="36BA4E03"/>
    <w:rsid w:val="36C652D2"/>
    <w:rsid w:val="36D751C6"/>
    <w:rsid w:val="36E061DB"/>
    <w:rsid w:val="36F3595C"/>
    <w:rsid w:val="36FD7BC7"/>
    <w:rsid w:val="372943BC"/>
    <w:rsid w:val="37445980"/>
    <w:rsid w:val="37652826"/>
    <w:rsid w:val="3769503C"/>
    <w:rsid w:val="376A5D18"/>
    <w:rsid w:val="376E3C15"/>
    <w:rsid w:val="37B40530"/>
    <w:rsid w:val="37BE6444"/>
    <w:rsid w:val="37C93931"/>
    <w:rsid w:val="37CB2653"/>
    <w:rsid w:val="37CD63CA"/>
    <w:rsid w:val="37EC2F96"/>
    <w:rsid w:val="37ED440F"/>
    <w:rsid w:val="37F118A3"/>
    <w:rsid w:val="380A028D"/>
    <w:rsid w:val="385014BA"/>
    <w:rsid w:val="3869436A"/>
    <w:rsid w:val="38750783"/>
    <w:rsid w:val="38AF20FD"/>
    <w:rsid w:val="38AF2322"/>
    <w:rsid w:val="38B55A97"/>
    <w:rsid w:val="38E25E83"/>
    <w:rsid w:val="38FA510A"/>
    <w:rsid w:val="390534FB"/>
    <w:rsid w:val="39085EEC"/>
    <w:rsid w:val="39122CDE"/>
    <w:rsid w:val="391C299E"/>
    <w:rsid w:val="39464645"/>
    <w:rsid w:val="39622B9D"/>
    <w:rsid w:val="399047F5"/>
    <w:rsid w:val="39B4765C"/>
    <w:rsid w:val="39C1258F"/>
    <w:rsid w:val="39E053FE"/>
    <w:rsid w:val="39E30C22"/>
    <w:rsid w:val="39F2796C"/>
    <w:rsid w:val="39F774E8"/>
    <w:rsid w:val="3A3250A9"/>
    <w:rsid w:val="3A4C2609"/>
    <w:rsid w:val="3A5B4DBA"/>
    <w:rsid w:val="3A723866"/>
    <w:rsid w:val="3A8A4063"/>
    <w:rsid w:val="3A983CB6"/>
    <w:rsid w:val="3AC07F80"/>
    <w:rsid w:val="3ACA063C"/>
    <w:rsid w:val="3AFB0305"/>
    <w:rsid w:val="3B1C245A"/>
    <w:rsid w:val="3B216F69"/>
    <w:rsid w:val="3B2515C5"/>
    <w:rsid w:val="3B3B1620"/>
    <w:rsid w:val="3B3E59AD"/>
    <w:rsid w:val="3B4F340D"/>
    <w:rsid w:val="3B6265D2"/>
    <w:rsid w:val="3B8B0C2A"/>
    <w:rsid w:val="3B9E1294"/>
    <w:rsid w:val="3BD6064C"/>
    <w:rsid w:val="3BDC1D52"/>
    <w:rsid w:val="3C201995"/>
    <w:rsid w:val="3C2258A4"/>
    <w:rsid w:val="3C342C2F"/>
    <w:rsid w:val="3C794CB3"/>
    <w:rsid w:val="3C7B4BDD"/>
    <w:rsid w:val="3C871E80"/>
    <w:rsid w:val="3CE851CA"/>
    <w:rsid w:val="3CF813E3"/>
    <w:rsid w:val="3D387DAE"/>
    <w:rsid w:val="3D4015F6"/>
    <w:rsid w:val="3D42351A"/>
    <w:rsid w:val="3D6B2A9F"/>
    <w:rsid w:val="3D7154FB"/>
    <w:rsid w:val="3D8A2EC1"/>
    <w:rsid w:val="3DC12BA0"/>
    <w:rsid w:val="3DC80190"/>
    <w:rsid w:val="3DCD35D3"/>
    <w:rsid w:val="3DE14A00"/>
    <w:rsid w:val="3E031A35"/>
    <w:rsid w:val="3E1645E1"/>
    <w:rsid w:val="3E317BE6"/>
    <w:rsid w:val="3E3914D0"/>
    <w:rsid w:val="3E4D2827"/>
    <w:rsid w:val="3E555240"/>
    <w:rsid w:val="3E5712A2"/>
    <w:rsid w:val="3E6B44AD"/>
    <w:rsid w:val="3E837F14"/>
    <w:rsid w:val="3E89003E"/>
    <w:rsid w:val="3EA31D25"/>
    <w:rsid w:val="3EA6328D"/>
    <w:rsid w:val="3EE756E0"/>
    <w:rsid w:val="3EEE6C94"/>
    <w:rsid w:val="3F11362C"/>
    <w:rsid w:val="3F154E2B"/>
    <w:rsid w:val="3F2A29C3"/>
    <w:rsid w:val="3F355461"/>
    <w:rsid w:val="3F3C4800"/>
    <w:rsid w:val="3F6B414D"/>
    <w:rsid w:val="3F6D6E77"/>
    <w:rsid w:val="3F776BC6"/>
    <w:rsid w:val="3F7C2B2A"/>
    <w:rsid w:val="3F9428EE"/>
    <w:rsid w:val="3FD96BB5"/>
    <w:rsid w:val="3FF21C2D"/>
    <w:rsid w:val="401702D1"/>
    <w:rsid w:val="40286725"/>
    <w:rsid w:val="40577D85"/>
    <w:rsid w:val="409E1D34"/>
    <w:rsid w:val="40EA7504"/>
    <w:rsid w:val="4111451E"/>
    <w:rsid w:val="4128251D"/>
    <w:rsid w:val="412D5330"/>
    <w:rsid w:val="4163212B"/>
    <w:rsid w:val="417F15A6"/>
    <w:rsid w:val="4187139C"/>
    <w:rsid w:val="41901667"/>
    <w:rsid w:val="41D168BF"/>
    <w:rsid w:val="421407F8"/>
    <w:rsid w:val="425C6834"/>
    <w:rsid w:val="42681BFD"/>
    <w:rsid w:val="427B7E61"/>
    <w:rsid w:val="427C2326"/>
    <w:rsid w:val="428E2E42"/>
    <w:rsid w:val="42903410"/>
    <w:rsid w:val="429B7A4A"/>
    <w:rsid w:val="42AE6D42"/>
    <w:rsid w:val="42B93BAB"/>
    <w:rsid w:val="42C278C3"/>
    <w:rsid w:val="42E13BEB"/>
    <w:rsid w:val="42E4499E"/>
    <w:rsid w:val="42F967BD"/>
    <w:rsid w:val="432C1418"/>
    <w:rsid w:val="432C3721"/>
    <w:rsid w:val="43510300"/>
    <w:rsid w:val="43532029"/>
    <w:rsid w:val="43641F27"/>
    <w:rsid w:val="437F272D"/>
    <w:rsid w:val="438134C7"/>
    <w:rsid w:val="43874C76"/>
    <w:rsid w:val="438F265F"/>
    <w:rsid w:val="43B7263C"/>
    <w:rsid w:val="43CC7B24"/>
    <w:rsid w:val="43E7097B"/>
    <w:rsid w:val="43E75DCD"/>
    <w:rsid w:val="43EA7C8E"/>
    <w:rsid w:val="43EC16AB"/>
    <w:rsid w:val="43EF73F0"/>
    <w:rsid w:val="44123A2A"/>
    <w:rsid w:val="44157D06"/>
    <w:rsid w:val="44337B2F"/>
    <w:rsid w:val="445167A2"/>
    <w:rsid w:val="44603EF7"/>
    <w:rsid w:val="44875A12"/>
    <w:rsid w:val="449A70A8"/>
    <w:rsid w:val="44B519DD"/>
    <w:rsid w:val="44B5366E"/>
    <w:rsid w:val="44E31C82"/>
    <w:rsid w:val="44F47FB0"/>
    <w:rsid w:val="451D1B29"/>
    <w:rsid w:val="45570C9B"/>
    <w:rsid w:val="456C4755"/>
    <w:rsid w:val="45726C51"/>
    <w:rsid w:val="45876CD0"/>
    <w:rsid w:val="458F7591"/>
    <w:rsid w:val="459A4DD6"/>
    <w:rsid w:val="45CA1CB4"/>
    <w:rsid w:val="45E85DA0"/>
    <w:rsid w:val="46345B30"/>
    <w:rsid w:val="463676B8"/>
    <w:rsid w:val="46534543"/>
    <w:rsid w:val="46844F41"/>
    <w:rsid w:val="46972651"/>
    <w:rsid w:val="46BB3A68"/>
    <w:rsid w:val="46BC4332"/>
    <w:rsid w:val="46E43E1D"/>
    <w:rsid w:val="47121A49"/>
    <w:rsid w:val="47241B15"/>
    <w:rsid w:val="474539D8"/>
    <w:rsid w:val="474761B2"/>
    <w:rsid w:val="47504DDE"/>
    <w:rsid w:val="47552AB6"/>
    <w:rsid w:val="47583C95"/>
    <w:rsid w:val="475C0A8C"/>
    <w:rsid w:val="47785851"/>
    <w:rsid w:val="477C0D7E"/>
    <w:rsid w:val="480E4767"/>
    <w:rsid w:val="480E6E4C"/>
    <w:rsid w:val="482D7C77"/>
    <w:rsid w:val="48371F64"/>
    <w:rsid w:val="4848610D"/>
    <w:rsid w:val="48760DB3"/>
    <w:rsid w:val="4897064C"/>
    <w:rsid w:val="48EE7E04"/>
    <w:rsid w:val="4914151C"/>
    <w:rsid w:val="49334703"/>
    <w:rsid w:val="49344890"/>
    <w:rsid w:val="493F6C20"/>
    <w:rsid w:val="49821AD8"/>
    <w:rsid w:val="49A554B7"/>
    <w:rsid w:val="49AD3339"/>
    <w:rsid w:val="49C95341"/>
    <w:rsid w:val="49DB6D23"/>
    <w:rsid w:val="4A211A5A"/>
    <w:rsid w:val="4A461F3D"/>
    <w:rsid w:val="4A583BEE"/>
    <w:rsid w:val="4A917CD4"/>
    <w:rsid w:val="4A95672E"/>
    <w:rsid w:val="4ABF5879"/>
    <w:rsid w:val="4ADA74D4"/>
    <w:rsid w:val="4ADE05F9"/>
    <w:rsid w:val="4AED4ADF"/>
    <w:rsid w:val="4AEF0357"/>
    <w:rsid w:val="4AF5011F"/>
    <w:rsid w:val="4AF91AC0"/>
    <w:rsid w:val="4B2A3088"/>
    <w:rsid w:val="4B4429E8"/>
    <w:rsid w:val="4B444BC8"/>
    <w:rsid w:val="4B6A0CFC"/>
    <w:rsid w:val="4B8425D1"/>
    <w:rsid w:val="4B8E5EB4"/>
    <w:rsid w:val="4BCC093E"/>
    <w:rsid w:val="4BD14F64"/>
    <w:rsid w:val="4BE60F0E"/>
    <w:rsid w:val="4BF2793C"/>
    <w:rsid w:val="4BF7670B"/>
    <w:rsid w:val="4BFA7922"/>
    <w:rsid w:val="4C6D16D9"/>
    <w:rsid w:val="4C921544"/>
    <w:rsid w:val="4CB80CA7"/>
    <w:rsid w:val="4CF35D04"/>
    <w:rsid w:val="4D5247E7"/>
    <w:rsid w:val="4D736726"/>
    <w:rsid w:val="4DA232F5"/>
    <w:rsid w:val="4DC709C8"/>
    <w:rsid w:val="4DD91780"/>
    <w:rsid w:val="4E003A97"/>
    <w:rsid w:val="4E156196"/>
    <w:rsid w:val="4E255E7F"/>
    <w:rsid w:val="4E2A62D4"/>
    <w:rsid w:val="4E4B4C14"/>
    <w:rsid w:val="4E50783D"/>
    <w:rsid w:val="4E561E0D"/>
    <w:rsid w:val="4EA90EE9"/>
    <w:rsid w:val="4EB3245C"/>
    <w:rsid w:val="4EB47469"/>
    <w:rsid w:val="4EC81F7A"/>
    <w:rsid w:val="4ED133F1"/>
    <w:rsid w:val="4ED810F6"/>
    <w:rsid w:val="4EDC3686"/>
    <w:rsid w:val="4EF47B91"/>
    <w:rsid w:val="4F14552B"/>
    <w:rsid w:val="4F227CC8"/>
    <w:rsid w:val="4F4053AE"/>
    <w:rsid w:val="4F69480C"/>
    <w:rsid w:val="4F696AD6"/>
    <w:rsid w:val="4F757DDC"/>
    <w:rsid w:val="4F78136D"/>
    <w:rsid w:val="4F8A189F"/>
    <w:rsid w:val="4F9A1C2B"/>
    <w:rsid w:val="4FA04497"/>
    <w:rsid w:val="4FAB0D70"/>
    <w:rsid w:val="4FAB7149"/>
    <w:rsid w:val="4FC34ADE"/>
    <w:rsid w:val="4FDA2E49"/>
    <w:rsid w:val="502F698C"/>
    <w:rsid w:val="503C110B"/>
    <w:rsid w:val="504E02C7"/>
    <w:rsid w:val="50527EF7"/>
    <w:rsid w:val="50793193"/>
    <w:rsid w:val="50BA3E79"/>
    <w:rsid w:val="50BC2C4F"/>
    <w:rsid w:val="50BC3BDA"/>
    <w:rsid w:val="50C6701E"/>
    <w:rsid w:val="50D731FE"/>
    <w:rsid w:val="50FD4159"/>
    <w:rsid w:val="51152EC5"/>
    <w:rsid w:val="51D56A3A"/>
    <w:rsid w:val="51DB4267"/>
    <w:rsid w:val="52324FD9"/>
    <w:rsid w:val="5244074B"/>
    <w:rsid w:val="52FA79B8"/>
    <w:rsid w:val="53272946"/>
    <w:rsid w:val="533A24B3"/>
    <w:rsid w:val="53534FF5"/>
    <w:rsid w:val="535940D0"/>
    <w:rsid w:val="538674DD"/>
    <w:rsid w:val="539C6A27"/>
    <w:rsid w:val="53C9797F"/>
    <w:rsid w:val="53CF2027"/>
    <w:rsid w:val="53D72C26"/>
    <w:rsid w:val="53F6446D"/>
    <w:rsid w:val="53FB7535"/>
    <w:rsid w:val="541A0712"/>
    <w:rsid w:val="542A43CD"/>
    <w:rsid w:val="542E70DF"/>
    <w:rsid w:val="542F22AA"/>
    <w:rsid w:val="54326F1A"/>
    <w:rsid w:val="54383638"/>
    <w:rsid w:val="54694ED3"/>
    <w:rsid w:val="5492638E"/>
    <w:rsid w:val="54954B53"/>
    <w:rsid w:val="54A232B8"/>
    <w:rsid w:val="54BB54C6"/>
    <w:rsid w:val="54BD2F5C"/>
    <w:rsid w:val="54CE2963"/>
    <w:rsid w:val="54E23522"/>
    <w:rsid w:val="54E56AB6"/>
    <w:rsid w:val="54EB1081"/>
    <w:rsid w:val="54EB233E"/>
    <w:rsid w:val="54EE47F9"/>
    <w:rsid w:val="54FC7D66"/>
    <w:rsid w:val="5518295E"/>
    <w:rsid w:val="55233CFA"/>
    <w:rsid w:val="552705DC"/>
    <w:rsid w:val="555B6052"/>
    <w:rsid w:val="557B1460"/>
    <w:rsid w:val="55BE3E74"/>
    <w:rsid w:val="55EA4016"/>
    <w:rsid w:val="561623FF"/>
    <w:rsid w:val="561B2694"/>
    <w:rsid w:val="56217F08"/>
    <w:rsid w:val="56397EFF"/>
    <w:rsid w:val="5689335B"/>
    <w:rsid w:val="56BC4F6A"/>
    <w:rsid w:val="56CD4FBE"/>
    <w:rsid w:val="56DF0B2A"/>
    <w:rsid w:val="5701723B"/>
    <w:rsid w:val="57350840"/>
    <w:rsid w:val="575949D0"/>
    <w:rsid w:val="57EA45B1"/>
    <w:rsid w:val="57F157AD"/>
    <w:rsid w:val="580362F6"/>
    <w:rsid w:val="58451850"/>
    <w:rsid w:val="58691DEA"/>
    <w:rsid w:val="58877FC2"/>
    <w:rsid w:val="593B0C18"/>
    <w:rsid w:val="593C35A0"/>
    <w:rsid w:val="596642F4"/>
    <w:rsid w:val="59836A28"/>
    <w:rsid w:val="59862F6B"/>
    <w:rsid w:val="59CD1DAB"/>
    <w:rsid w:val="59E01DB6"/>
    <w:rsid w:val="59F22A5B"/>
    <w:rsid w:val="5A181BA0"/>
    <w:rsid w:val="5A186C15"/>
    <w:rsid w:val="5A530D2D"/>
    <w:rsid w:val="5A5D05FC"/>
    <w:rsid w:val="5A5D2B92"/>
    <w:rsid w:val="5A6D326E"/>
    <w:rsid w:val="5A9B009A"/>
    <w:rsid w:val="5ABC6B9C"/>
    <w:rsid w:val="5ABF3A4B"/>
    <w:rsid w:val="5B087B99"/>
    <w:rsid w:val="5B1D3F8E"/>
    <w:rsid w:val="5B766023"/>
    <w:rsid w:val="5B9D3299"/>
    <w:rsid w:val="5B9F60E5"/>
    <w:rsid w:val="5BB422E8"/>
    <w:rsid w:val="5BCB0D33"/>
    <w:rsid w:val="5BE06400"/>
    <w:rsid w:val="5BF620F0"/>
    <w:rsid w:val="5C0C4037"/>
    <w:rsid w:val="5C244D94"/>
    <w:rsid w:val="5C540473"/>
    <w:rsid w:val="5C573BBC"/>
    <w:rsid w:val="5C644077"/>
    <w:rsid w:val="5C706F44"/>
    <w:rsid w:val="5C725040"/>
    <w:rsid w:val="5C7B3A24"/>
    <w:rsid w:val="5C7D0A8F"/>
    <w:rsid w:val="5C806BEC"/>
    <w:rsid w:val="5CA60CED"/>
    <w:rsid w:val="5CAF4F89"/>
    <w:rsid w:val="5CBC6F17"/>
    <w:rsid w:val="5CF824F9"/>
    <w:rsid w:val="5CFE53D1"/>
    <w:rsid w:val="5D047D2C"/>
    <w:rsid w:val="5D302764"/>
    <w:rsid w:val="5D3745DF"/>
    <w:rsid w:val="5D376C69"/>
    <w:rsid w:val="5D5910F4"/>
    <w:rsid w:val="5D5B6586"/>
    <w:rsid w:val="5D904CE7"/>
    <w:rsid w:val="5DBA5AF1"/>
    <w:rsid w:val="5DCA0181"/>
    <w:rsid w:val="5DCB1ADB"/>
    <w:rsid w:val="5DD34EB8"/>
    <w:rsid w:val="5DDB6DB6"/>
    <w:rsid w:val="5E3B7705"/>
    <w:rsid w:val="5E47085B"/>
    <w:rsid w:val="5E8D36D0"/>
    <w:rsid w:val="5EB8679B"/>
    <w:rsid w:val="5EBB22C5"/>
    <w:rsid w:val="5EEF7524"/>
    <w:rsid w:val="5F21437E"/>
    <w:rsid w:val="5F2C4D3D"/>
    <w:rsid w:val="5F666914"/>
    <w:rsid w:val="5F866F3B"/>
    <w:rsid w:val="5FDD304A"/>
    <w:rsid w:val="5FDE26C3"/>
    <w:rsid w:val="6002480C"/>
    <w:rsid w:val="6015678E"/>
    <w:rsid w:val="601E0A1F"/>
    <w:rsid w:val="6031360E"/>
    <w:rsid w:val="606C166C"/>
    <w:rsid w:val="608C398C"/>
    <w:rsid w:val="60905392"/>
    <w:rsid w:val="60AB5D3E"/>
    <w:rsid w:val="60CA4620"/>
    <w:rsid w:val="60E85C39"/>
    <w:rsid w:val="611724B6"/>
    <w:rsid w:val="611F0735"/>
    <w:rsid w:val="612E71C5"/>
    <w:rsid w:val="6133219E"/>
    <w:rsid w:val="61515B06"/>
    <w:rsid w:val="617B5D74"/>
    <w:rsid w:val="61B03F86"/>
    <w:rsid w:val="61E16E08"/>
    <w:rsid w:val="61F200BF"/>
    <w:rsid w:val="61F91B0B"/>
    <w:rsid w:val="61FD34E9"/>
    <w:rsid w:val="623C300A"/>
    <w:rsid w:val="62782C93"/>
    <w:rsid w:val="627D0100"/>
    <w:rsid w:val="62BF4A81"/>
    <w:rsid w:val="62CF3D99"/>
    <w:rsid w:val="62DD3F59"/>
    <w:rsid w:val="631F0D3E"/>
    <w:rsid w:val="63211B04"/>
    <w:rsid w:val="63625FDD"/>
    <w:rsid w:val="636E0DC9"/>
    <w:rsid w:val="637A5FA6"/>
    <w:rsid w:val="63B749BC"/>
    <w:rsid w:val="63D5455E"/>
    <w:rsid w:val="63D714CF"/>
    <w:rsid w:val="63EB2511"/>
    <w:rsid w:val="63EB4AF2"/>
    <w:rsid w:val="63F77E3A"/>
    <w:rsid w:val="640F18EE"/>
    <w:rsid w:val="643C56EC"/>
    <w:rsid w:val="646A5F79"/>
    <w:rsid w:val="64967D77"/>
    <w:rsid w:val="64981FB9"/>
    <w:rsid w:val="64CB3FA7"/>
    <w:rsid w:val="64E35BA2"/>
    <w:rsid w:val="65211173"/>
    <w:rsid w:val="653B3C04"/>
    <w:rsid w:val="655D6655"/>
    <w:rsid w:val="656F0B05"/>
    <w:rsid w:val="657E08D7"/>
    <w:rsid w:val="657E3D4B"/>
    <w:rsid w:val="6597122F"/>
    <w:rsid w:val="65C7645E"/>
    <w:rsid w:val="65DF2013"/>
    <w:rsid w:val="65EA0558"/>
    <w:rsid w:val="66127772"/>
    <w:rsid w:val="661E361F"/>
    <w:rsid w:val="661F3D6E"/>
    <w:rsid w:val="663C06CD"/>
    <w:rsid w:val="664D59C9"/>
    <w:rsid w:val="66676E52"/>
    <w:rsid w:val="667E1CCE"/>
    <w:rsid w:val="668077DB"/>
    <w:rsid w:val="66831DCE"/>
    <w:rsid w:val="66961EF3"/>
    <w:rsid w:val="669B6DBB"/>
    <w:rsid w:val="66A30298"/>
    <w:rsid w:val="66B22C81"/>
    <w:rsid w:val="66C70A8C"/>
    <w:rsid w:val="66FB78A4"/>
    <w:rsid w:val="67183F97"/>
    <w:rsid w:val="67241C35"/>
    <w:rsid w:val="6740363F"/>
    <w:rsid w:val="67450325"/>
    <w:rsid w:val="675030B4"/>
    <w:rsid w:val="67682C7A"/>
    <w:rsid w:val="67830D1C"/>
    <w:rsid w:val="67975675"/>
    <w:rsid w:val="67A90AB8"/>
    <w:rsid w:val="67AD13BC"/>
    <w:rsid w:val="67C05E55"/>
    <w:rsid w:val="67DA7E1C"/>
    <w:rsid w:val="67E80AE0"/>
    <w:rsid w:val="67EC3B0D"/>
    <w:rsid w:val="67F64319"/>
    <w:rsid w:val="6825025A"/>
    <w:rsid w:val="68365831"/>
    <w:rsid w:val="68511A9D"/>
    <w:rsid w:val="68570403"/>
    <w:rsid w:val="68580C6C"/>
    <w:rsid w:val="68616506"/>
    <w:rsid w:val="689B56ED"/>
    <w:rsid w:val="68C12433"/>
    <w:rsid w:val="68C373D5"/>
    <w:rsid w:val="68C5120D"/>
    <w:rsid w:val="68E5323D"/>
    <w:rsid w:val="68F20894"/>
    <w:rsid w:val="68FE475C"/>
    <w:rsid w:val="69163308"/>
    <w:rsid w:val="693131D6"/>
    <w:rsid w:val="694F0020"/>
    <w:rsid w:val="695D4B06"/>
    <w:rsid w:val="696E4B4E"/>
    <w:rsid w:val="69702A48"/>
    <w:rsid w:val="697E3CD3"/>
    <w:rsid w:val="69A05FC6"/>
    <w:rsid w:val="69AA1E18"/>
    <w:rsid w:val="69EE5C93"/>
    <w:rsid w:val="69F17D2D"/>
    <w:rsid w:val="69F2461F"/>
    <w:rsid w:val="6A0875DC"/>
    <w:rsid w:val="6A175791"/>
    <w:rsid w:val="6A541013"/>
    <w:rsid w:val="6A5E101B"/>
    <w:rsid w:val="6A6B0FF6"/>
    <w:rsid w:val="6AB3398E"/>
    <w:rsid w:val="6AD15589"/>
    <w:rsid w:val="6AD97E1E"/>
    <w:rsid w:val="6B0654A9"/>
    <w:rsid w:val="6B0F71F6"/>
    <w:rsid w:val="6B162383"/>
    <w:rsid w:val="6B216562"/>
    <w:rsid w:val="6B6F4EB9"/>
    <w:rsid w:val="6B7B0849"/>
    <w:rsid w:val="6BAD0116"/>
    <w:rsid w:val="6C005149"/>
    <w:rsid w:val="6C210BAA"/>
    <w:rsid w:val="6C2B7179"/>
    <w:rsid w:val="6C3A5E7B"/>
    <w:rsid w:val="6C7E5489"/>
    <w:rsid w:val="6C9A2D5A"/>
    <w:rsid w:val="6CBD3AC1"/>
    <w:rsid w:val="6D0A194F"/>
    <w:rsid w:val="6D3F5B71"/>
    <w:rsid w:val="6D4679D7"/>
    <w:rsid w:val="6D4A098E"/>
    <w:rsid w:val="6D6C353F"/>
    <w:rsid w:val="6D816AE6"/>
    <w:rsid w:val="6D897AE8"/>
    <w:rsid w:val="6D9A6F14"/>
    <w:rsid w:val="6DD34F3D"/>
    <w:rsid w:val="6DD447B6"/>
    <w:rsid w:val="6DF4441E"/>
    <w:rsid w:val="6DF77A2D"/>
    <w:rsid w:val="6E407516"/>
    <w:rsid w:val="6E692B66"/>
    <w:rsid w:val="6E9E0587"/>
    <w:rsid w:val="6EAC3E68"/>
    <w:rsid w:val="6ECB6389"/>
    <w:rsid w:val="6ED37F05"/>
    <w:rsid w:val="6EE168A0"/>
    <w:rsid w:val="6F0443A6"/>
    <w:rsid w:val="6F300658"/>
    <w:rsid w:val="6F37397A"/>
    <w:rsid w:val="6F977AA3"/>
    <w:rsid w:val="70314580"/>
    <w:rsid w:val="70443A24"/>
    <w:rsid w:val="705804F9"/>
    <w:rsid w:val="705F5ADF"/>
    <w:rsid w:val="70656CA4"/>
    <w:rsid w:val="70825BFC"/>
    <w:rsid w:val="709078C0"/>
    <w:rsid w:val="70A11D5B"/>
    <w:rsid w:val="70B45FE7"/>
    <w:rsid w:val="712004D5"/>
    <w:rsid w:val="71351BF4"/>
    <w:rsid w:val="713B70C4"/>
    <w:rsid w:val="714B524E"/>
    <w:rsid w:val="71592B6A"/>
    <w:rsid w:val="71646BEE"/>
    <w:rsid w:val="71886B85"/>
    <w:rsid w:val="72894143"/>
    <w:rsid w:val="72921D7A"/>
    <w:rsid w:val="72AE3BC8"/>
    <w:rsid w:val="72BD329E"/>
    <w:rsid w:val="72C70245"/>
    <w:rsid w:val="72D57281"/>
    <w:rsid w:val="72E15B8C"/>
    <w:rsid w:val="73037A89"/>
    <w:rsid w:val="731320D4"/>
    <w:rsid w:val="73276F1F"/>
    <w:rsid w:val="7328685E"/>
    <w:rsid w:val="73600EC0"/>
    <w:rsid w:val="73961B3E"/>
    <w:rsid w:val="73C42C21"/>
    <w:rsid w:val="73CD667D"/>
    <w:rsid w:val="73D86CF8"/>
    <w:rsid w:val="74074FAC"/>
    <w:rsid w:val="741F383A"/>
    <w:rsid w:val="74362164"/>
    <w:rsid w:val="743C7570"/>
    <w:rsid w:val="74462ABD"/>
    <w:rsid w:val="744F405D"/>
    <w:rsid w:val="74692F48"/>
    <w:rsid w:val="748962E5"/>
    <w:rsid w:val="74C2392A"/>
    <w:rsid w:val="74FF1EB4"/>
    <w:rsid w:val="755A685D"/>
    <w:rsid w:val="758617A8"/>
    <w:rsid w:val="758F2FC0"/>
    <w:rsid w:val="759A78DB"/>
    <w:rsid w:val="759C3928"/>
    <w:rsid w:val="759D7B65"/>
    <w:rsid w:val="75B473C6"/>
    <w:rsid w:val="75CC2956"/>
    <w:rsid w:val="75FA36BC"/>
    <w:rsid w:val="76253D17"/>
    <w:rsid w:val="764F7E68"/>
    <w:rsid w:val="76671484"/>
    <w:rsid w:val="76CB5217"/>
    <w:rsid w:val="76EA5296"/>
    <w:rsid w:val="77004369"/>
    <w:rsid w:val="77373C24"/>
    <w:rsid w:val="774978D5"/>
    <w:rsid w:val="774E446C"/>
    <w:rsid w:val="77584C4A"/>
    <w:rsid w:val="77770A51"/>
    <w:rsid w:val="777B3172"/>
    <w:rsid w:val="779F3575"/>
    <w:rsid w:val="780F268E"/>
    <w:rsid w:val="78104026"/>
    <w:rsid w:val="78117A75"/>
    <w:rsid w:val="781677A5"/>
    <w:rsid w:val="78427895"/>
    <w:rsid w:val="784D069C"/>
    <w:rsid w:val="785B75A2"/>
    <w:rsid w:val="786C7A79"/>
    <w:rsid w:val="787E7AC5"/>
    <w:rsid w:val="788C78D0"/>
    <w:rsid w:val="78B94248"/>
    <w:rsid w:val="78BA279D"/>
    <w:rsid w:val="78CE6DEA"/>
    <w:rsid w:val="78D97769"/>
    <w:rsid w:val="78E23F85"/>
    <w:rsid w:val="78F82A4C"/>
    <w:rsid w:val="78FB3062"/>
    <w:rsid w:val="790A5A7F"/>
    <w:rsid w:val="792D7886"/>
    <w:rsid w:val="79317B18"/>
    <w:rsid w:val="79381345"/>
    <w:rsid w:val="797E11B0"/>
    <w:rsid w:val="799620D6"/>
    <w:rsid w:val="79B71BC4"/>
    <w:rsid w:val="79C425B9"/>
    <w:rsid w:val="7A016776"/>
    <w:rsid w:val="7A132673"/>
    <w:rsid w:val="7A357C44"/>
    <w:rsid w:val="7A4C75F9"/>
    <w:rsid w:val="7A8E6DF8"/>
    <w:rsid w:val="7AAB5F32"/>
    <w:rsid w:val="7AB462B5"/>
    <w:rsid w:val="7ACB6B04"/>
    <w:rsid w:val="7AD67262"/>
    <w:rsid w:val="7AFD4FF1"/>
    <w:rsid w:val="7B1240BF"/>
    <w:rsid w:val="7B2238D0"/>
    <w:rsid w:val="7B324E7B"/>
    <w:rsid w:val="7B484F78"/>
    <w:rsid w:val="7B996EB6"/>
    <w:rsid w:val="7B9D2152"/>
    <w:rsid w:val="7B9E512B"/>
    <w:rsid w:val="7BA224EA"/>
    <w:rsid w:val="7BA50646"/>
    <w:rsid w:val="7BE52087"/>
    <w:rsid w:val="7C2A5B94"/>
    <w:rsid w:val="7C3F2C65"/>
    <w:rsid w:val="7C4A6473"/>
    <w:rsid w:val="7C5024FD"/>
    <w:rsid w:val="7C667AF6"/>
    <w:rsid w:val="7C6C4074"/>
    <w:rsid w:val="7C8831B1"/>
    <w:rsid w:val="7CE642F5"/>
    <w:rsid w:val="7CED0491"/>
    <w:rsid w:val="7D4C11F0"/>
    <w:rsid w:val="7D715862"/>
    <w:rsid w:val="7D811841"/>
    <w:rsid w:val="7D82563E"/>
    <w:rsid w:val="7D845680"/>
    <w:rsid w:val="7DAD79A0"/>
    <w:rsid w:val="7DB161A3"/>
    <w:rsid w:val="7DD65B9F"/>
    <w:rsid w:val="7DD84377"/>
    <w:rsid w:val="7DEB79ED"/>
    <w:rsid w:val="7E147258"/>
    <w:rsid w:val="7E165F3C"/>
    <w:rsid w:val="7E927615"/>
    <w:rsid w:val="7E95125C"/>
    <w:rsid w:val="7EED4391"/>
    <w:rsid w:val="7F0763D8"/>
    <w:rsid w:val="7F7037E4"/>
    <w:rsid w:val="7F754064"/>
    <w:rsid w:val="7FD43227"/>
    <w:rsid w:val="7FDC22EC"/>
    <w:rsid w:val="7FE91EF0"/>
    <w:rsid w:val="7FFC3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400" w:firstLineChars="200"/>
      <w:jc w:val="both"/>
    </w:pPr>
    <w:rPr>
      <w:rFonts w:ascii="宋体" w:hAnsi="宋体" w:eastAsia="宋体" w:cs="宋体"/>
      <w:kern w:val="2"/>
      <w:sz w:val="28"/>
      <w:szCs w:val="22"/>
      <w:lang w:val="en-US" w:eastAsia="zh-CN" w:bidi="ar-SA"/>
    </w:rPr>
  </w:style>
  <w:style w:type="paragraph" w:styleId="3">
    <w:name w:val="heading 1"/>
    <w:basedOn w:val="1"/>
    <w:next w:val="1"/>
    <w:qFormat/>
    <w:uiPriority w:val="0"/>
    <w:pPr>
      <w:keepNext/>
      <w:keepLines/>
      <w:spacing w:before="340" w:after="330" w:line="360" w:lineRule="auto"/>
      <w:jc w:val="center"/>
      <w:outlineLvl w:val="0"/>
    </w:pPr>
    <w:rPr>
      <w:rFonts w:cs="Times New Roman"/>
      <w:b/>
      <w:bCs/>
      <w:kern w:val="44"/>
      <w:sz w:val="30"/>
      <w:szCs w:val="32"/>
    </w:rPr>
  </w:style>
  <w:style w:type="paragraph" w:styleId="4">
    <w:name w:val="heading 2"/>
    <w:basedOn w:val="1"/>
    <w:next w:val="1"/>
    <w:link w:val="70"/>
    <w:qFormat/>
    <w:uiPriority w:val="0"/>
    <w:pPr>
      <w:keepNext/>
      <w:keepLines/>
      <w:widowControl w:val="0"/>
      <w:numPr>
        <w:ilvl w:val="1"/>
        <w:numId w:val="1"/>
      </w:numPr>
      <w:tabs>
        <w:tab w:val="left" w:pos="426"/>
        <w:tab w:val="left" w:pos="567"/>
      </w:tabs>
      <w:spacing w:line="360" w:lineRule="auto"/>
      <w:ind w:left="0" w:firstLine="0" w:firstLineChars="0"/>
      <w:outlineLvl w:val="1"/>
    </w:pPr>
    <w:rPr>
      <w:rFonts w:ascii="宋体" w:hAnsi="宋体" w:eastAsia="宋体" w:cs="Times New Roman"/>
      <w:b/>
      <w:bCs/>
      <w:iCs/>
      <w:kern w:val="0"/>
      <w:szCs w:val="28"/>
    </w:rPr>
  </w:style>
  <w:style w:type="paragraph" w:styleId="5">
    <w:name w:val="heading 3"/>
    <w:basedOn w:val="1"/>
    <w:next w:val="1"/>
    <w:qFormat/>
    <w:uiPriority w:val="0"/>
    <w:pPr>
      <w:keepNext/>
      <w:keepLines/>
      <w:widowControl w:val="0"/>
      <w:numPr>
        <w:ilvl w:val="2"/>
        <w:numId w:val="1"/>
      </w:numPr>
      <w:spacing w:line="360" w:lineRule="auto"/>
      <w:outlineLvl w:val="2"/>
    </w:pPr>
    <w:rPr>
      <w:rFonts w:cs="Times New Roman"/>
      <w:b/>
      <w:bCs/>
      <w:color w:val="000000"/>
      <w:sz w:val="24"/>
      <w:szCs w:val="28"/>
    </w:rPr>
  </w:style>
  <w:style w:type="paragraph" w:styleId="6">
    <w:name w:val="heading 4"/>
    <w:basedOn w:val="1"/>
    <w:next w:val="1"/>
    <w:link w:val="27"/>
    <w:qFormat/>
    <w:uiPriority w:val="0"/>
    <w:pPr>
      <w:keepNext/>
      <w:keepLines/>
      <w:widowControl w:val="0"/>
      <w:tabs>
        <w:tab w:val="left" w:pos="851"/>
      </w:tabs>
      <w:spacing w:line="360" w:lineRule="auto"/>
      <w:ind w:firstLine="400" w:firstLineChars="200"/>
      <w:outlineLvl w:val="3"/>
    </w:pPr>
    <w:rPr>
      <w:rFonts w:ascii="宋体" w:hAnsi="宋体" w:eastAsia="宋体" w:cs="Times New Roman"/>
      <w:b/>
      <w:bCs/>
      <w:kern w:val="0"/>
      <w:sz w:val="24"/>
      <w:szCs w:val="28"/>
    </w:rPr>
  </w:style>
  <w:style w:type="paragraph" w:styleId="7">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cs="Times New Roman"/>
      <w:kern w:val="0"/>
      <w:sz w:val="24"/>
      <w:szCs w:val="24"/>
    </w:rPr>
  </w:style>
  <w:style w:type="paragraph" w:styleId="8">
    <w:name w:val="Normal Indent"/>
    <w:basedOn w:val="1"/>
    <w:qFormat/>
    <w:uiPriority w:val="0"/>
    <w:pPr>
      <w:widowControl w:val="0"/>
      <w:spacing w:line="360" w:lineRule="auto"/>
      <w:ind w:firstLine="420" w:firstLineChars="200"/>
      <w:jc w:val="both"/>
    </w:pPr>
    <w:rPr>
      <w:rFonts w:ascii="Times New Roman" w:hAnsi="Times New Roman" w:cs="Times New Roman"/>
      <w:szCs w:val="24"/>
    </w:rPr>
  </w:style>
  <w:style w:type="paragraph" w:styleId="9">
    <w:name w:val="annotation text"/>
    <w:basedOn w:val="1"/>
    <w:qFormat/>
    <w:uiPriority w:val="99"/>
    <w:pPr>
      <w:widowControl/>
      <w:ind w:firstLine="360"/>
      <w:jc w:val="left"/>
    </w:pPr>
    <w:rPr>
      <w:rFonts w:ascii="Calibri" w:hAnsi="Calibri"/>
      <w:kern w:val="0"/>
      <w:sz w:val="22"/>
      <w:szCs w:val="21"/>
    </w:rPr>
  </w:style>
  <w:style w:type="paragraph" w:styleId="10">
    <w:name w:val="toc 3"/>
    <w:basedOn w:val="1"/>
    <w:next w:val="1"/>
    <w:qFormat/>
    <w:uiPriority w:val="39"/>
    <w:pPr>
      <w:widowControl w:val="0"/>
      <w:ind w:left="200" w:leftChars="200"/>
    </w:pPr>
    <w:rPr>
      <w:kern w:val="2"/>
      <w:sz w:val="20"/>
      <w:szCs w:val="20"/>
    </w:rPr>
  </w:style>
  <w:style w:type="paragraph" w:styleId="11">
    <w:name w:val="Plain Text"/>
    <w:basedOn w:val="1"/>
    <w:qFormat/>
    <w:uiPriority w:val="0"/>
    <w:pPr>
      <w:widowControl w:val="0"/>
      <w:autoSpaceDE w:val="0"/>
      <w:autoSpaceDN w:val="0"/>
      <w:adjustRightInd w:val="0"/>
      <w:jc w:val="both"/>
    </w:pPr>
    <w:rPr>
      <w:rFonts w:hAnsi="Tms Rmn" w:cs="Times New Roman"/>
      <w:kern w:val="0"/>
      <w:szCs w:val="21"/>
    </w:rPr>
  </w:style>
  <w:style w:type="paragraph" w:styleId="12">
    <w:name w:val="Body Text Indent 2"/>
    <w:basedOn w:val="1"/>
    <w:unhideWhenUsed/>
    <w:qFormat/>
    <w:uiPriority w:val="0"/>
    <w:pPr>
      <w:spacing w:after="120" w:line="480" w:lineRule="auto"/>
      <w:ind w:left="420" w:leftChars="200"/>
    </w:pPr>
  </w:style>
  <w:style w:type="paragraph" w:styleId="13">
    <w:name w:val="footer"/>
    <w:basedOn w:val="1"/>
    <w:qFormat/>
    <w:uiPriority w:val="99"/>
    <w:pPr>
      <w:tabs>
        <w:tab w:val="center" w:pos="4153"/>
        <w:tab w:val="right" w:pos="8306"/>
      </w:tabs>
      <w:snapToGrid w:val="0"/>
    </w:pPr>
    <w:rPr>
      <w:rFonts w:ascii="Times New Roman" w:hAnsi="Times New Roman" w:cs="Times New Roman"/>
      <w:kern w:val="0"/>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5">
    <w:name w:val="toc 1"/>
    <w:basedOn w:val="1"/>
    <w:next w:val="1"/>
    <w:qFormat/>
    <w:uiPriority w:val="39"/>
    <w:pPr>
      <w:tabs>
        <w:tab w:val="left" w:pos="840"/>
        <w:tab w:val="right" w:leader="dot" w:pos="9204"/>
      </w:tabs>
      <w:spacing w:before="120" w:after="120"/>
    </w:pPr>
    <w:rPr>
      <w:bCs/>
      <w:caps/>
      <w:sz w:val="20"/>
      <w:szCs w:val="20"/>
    </w:rPr>
  </w:style>
  <w:style w:type="paragraph" w:styleId="16">
    <w:name w:val="toc 4"/>
    <w:basedOn w:val="1"/>
    <w:next w:val="1"/>
    <w:qFormat/>
    <w:uiPriority w:val="0"/>
    <w:pPr>
      <w:ind w:left="630"/>
      <w:jc w:val="left"/>
    </w:pPr>
    <w:rPr>
      <w:rFonts w:asciiTheme="minorHAnsi" w:hAnsiTheme="minorHAnsi" w:cstheme="minorHAnsi"/>
      <w:sz w:val="18"/>
      <w:szCs w:val="18"/>
    </w:rPr>
  </w:style>
  <w:style w:type="paragraph" w:styleId="17">
    <w:name w:val="toc 2"/>
    <w:basedOn w:val="1"/>
    <w:next w:val="1"/>
    <w:qFormat/>
    <w:uiPriority w:val="39"/>
    <w:pPr>
      <w:ind w:left="100" w:leftChars="100"/>
    </w:pPr>
    <w:rPr>
      <w:smallCaps/>
      <w:sz w:val="20"/>
      <w:szCs w:val="20"/>
    </w:rPr>
  </w:style>
  <w:style w:type="paragraph" w:styleId="18">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19">
    <w:name w:val="Body Text First Indent"/>
    <w:basedOn w:val="2"/>
    <w:qFormat/>
    <w:uiPriority w:val="0"/>
    <w:pPr>
      <w:spacing w:after="120"/>
      <w:ind w:firstLine="100" w:firstLineChars="100"/>
    </w:pPr>
    <w:rPr>
      <w:sz w:val="21"/>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Hyperlink"/>
    <w:qFormat/>
    <w:uiPriority w:val="99"/>
    <w:rPr>
      <w:color w:val="0000FF"/>
      <w:u w:val="single"/>
    </w:rPr>
  </w:style>
  <w:style w:type="paragraph" w:customStyle="1" w:styleId="25">
    <w:name w:val="*正文"/>
    <w:basedOn w:val="1"/>
    <w:qFormat/>
    <w:uiPriority w:val="0"/>
    <w:pPr>
      <w:widowControl/>
      <w:spacing w:line="360" w:lineRule="auto"/>
      <w:ind w:firstLine="200" w:firstLineChars="200"/>
      <w:jc w:val="left"/>
    </w:pPr>
    <w:rPr>
      <w:rFonts w:ascii="宋体" w:hAnsi="宋体" w:eastAsia="宋体" w:cs="宋体"/>
      <w:sz w:val="24"/>
      <w:szCs w:val="28"/>
    </w:rPr>
  </w:style>
  <w:style w:type="paragraph" w:customStyle="1" w:styleId="26">
    <w:name w:val="标书（正文）"/>
    <w:basedOn w:val="1"/>
    <w:qFormat/>
    <w:uiPriority w:val="0"/>
    <w:pPr>
      <w:widowControl w:val="0"/>
      <w:spacing w:line="360" w:lineRule="auto"/>
      <w:ind w:firstLine="560" w:firstLineChars="200"/>
      <w:jc w:val="both"/>
    </w:pPr>
    <w:rPr>
      <w:rFonts w:cs="Times New Roman"/>
      <w:kern w:val="10"/>
      <w:sz w:val="24"/>
      <w:szCs w:val="20"/>
    </w:rPr>
  </w:style>
  <w:style w:type="character" w:customStyle="1" w:styleId="27">
    <w:name w:val="标题 4 Char"/>
    <w:link w:val="6"/>
    <w:qFormat/>
    <w:uiPriority w:val="0"/>
    <w:rPr>
      <w:rFonts w:ascii="宋体" w:hAnsi="宋体" w:eastAsia="宋体" w:cs="Times New Roman"/>
      <w:b/>
      <w:bCs/>
      <w:kern w:val="0"/>
      <w:sz w:val="24"/>
      <w:szCs w:val="28"/>
    </w:rPr>
  </w:style>
  <w:style w:type="paragraph" w:customStyle="1" w:styleId="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9">
    <w:name w:val="CD正文"/>
    <w:basedOn w:val="30"/>
    <w:qFormat/>
    <w:uiPriority w:val="0"/>
    <w:pPr>
      <w:widowControl w:val="0"/>
      <w:spacing w:line="360" w:lineRule="auto"/>
      <w:ind w:firstLine="493"/>
      <w:jc w:val="both"/>
    </w:pPr>
    <w:rPr>
      <w:rFonts w:ascii="Times New Roman" w:hAnsi="Times New Roman" w:cs="Times New Roman"/>
      <w:sz w:val="30"/>
      <w:szCs w:val="28"/>
    </w:rPr>
  </w:style>
  <w:style w:type="paragraph" w:customStyle="1" w:styleId="30">
    <w:name w:val="文章正文"/>
    <w:basedOn w:val="1"/>
    <w:qFormat/>
    <w:uiPriority w:val="0"/>
    <w:pPr>
      <w:widowControl w:val="0"/>
      <w:spacing w:line="360" w:lineRule="auto"/>
      <w:ind w:firstLine="420"/>
      <w:jc w:val="both"/>
    </w:pPr>
    <w:rPr>
      <w:rFonts w:ascii="Times New Roman" w:hAnsi="Times New Roman" w:cs="Times New Roman"/>
      <w:sz w:val="24"/>
      <w:szCs w:val="24"/>
    </w:rPr>
  </w:style>
  <w:style w:type="paragraph" w:styleId="31">
    <w:name w:val="List Paragraph"/>
    <w:basedOn w:val="1"/>
    <w:qFormat/>
    <w:uiPriority w:val="0"/>
    <w:pPr>
      <w:ind w:firstLine="420" w:firstLineChars="200"/>
    </w:pPr>
    <w:rPr>
      <w:rFonts w:ascii="Times New Roman" w:hAnsi="Times New Roman" w:cs="Times New Roman"/>
      <w:kern w:val="0"/>
      <w:sz w:val="24"/>
      <w:szCs w:val="24"/>
    </w:rPr>
  </w:style>
  <w:style w:type="paragraph" w:customStyle="1" w:styleId="32">
    <w:name w:val="列出段落1"/>
    <w:basedOn w:val="1"/>
    <w:qFormat/>
    <w:uiPriority w:val="0"/>
    <w:pPr>
      <w:ind w:firstLine="420" w:firstLineChars="200"/>
    </w:pPr>
    <w:rPr>
      <w:lang w:val="zh-CN"/>
    </w:rPr>
  </w:style>
  <w:style w:type="paragraph" w:customStyle="1" w:styleId="33">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Normal_1"/>
    <w:qFormat/>
    <w:uiPriority w:val="0"/>
    <w:rPr>
      <w:rFonts w:ascii="黑体" w:hAnsi="黑体" w:eastAsia="黑体" w:cs="Times New Roman"/>
      <w:b/>
      <w:sz w:val="32"/>
      <w:szCs w:val="24"/>
      <w:lang w:bidi="ar-SA"/>
    </w:rPr>
  </w:style>
  <w:style w:type="paragraph" w:customStyle="1" w:styleId="35">
    <w:name w:val="标书（正文）_0"/>
    <w:basedOn w:val="36"/>
    <w:qFormat/>
    <w:uiPriority w:val="0"/>
    <w:pPr>
      <w:spacing w:line="360" w:lineRule="auto"/>
      <w:ind w:firstLine="560" w:firstLineChars="200"/>
    </w:pPr>
    <w:rPr>
      <w:rFonts w:ascii="宋体" w:hAnsi="宋体"/>
      <w:kern w:val="10"/>
      <w:sz w:val="24"/>
      <w:szCs w:val="20"/>
    </w:rPr>
  </w:style>
  <w:style w:type="paragraph" w:customStyle="1" w:styleId="36">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Normal_3"/>
    <w:qFormat/>
    <w:uiPriority w:val="0"/>
    <w:pPr>
      <w:widowControl w:val="0"/>
      <w:jc w:val="both"/>
    </w:pPr>
    <w:rPr>
      <w:rFonts w:ascii="Calibri" w:hAnsi="Calibri" w:eastAsia="宋体" w:cs="Times New Roman"/>
      <w:kern w:val="2"/>
      <w:sz w:val="21"/>
      <w:szCs w:val="22"/>
      <w:lang w:bidi="ar-SA"/>
    </w:rPr>
  </w:style>
  <w:style w:type="paragraph" w:customStyle="1" w:styleId="38">
    <w:name w:val="标书（正文）_1"/>
    <w:basedOn w:val="39"/>
    <w:qFormat/>
    <w:uiPriority w:val="0"/>
    <w:pPr>
      <w:spacing w:line="360" w:lineRule="auto"/>
      <w:ind w:firstLine="560" w:firstLineChars="200"/>
    </w:pPr>
    <w:rPr>
      <w:rFonts w:ascii="宋体" w:hAnsi="宋体" w:eastAsia="宋体"/>
      <w:kern w:val="10"/>
      <w:sz w:val="24"/>
      <w:szCs w:val="20"/>
    </w:rPr>
  </w:style>
  <w:style w:type="paragraph" w:customStyle="1" w:styleId="39">
    <w:name w:val="正文_2"/>
    <w:next w:val="4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正文文本_0"/>
    <w:basedOn w:val="39"/>
    <w:qFormat/>
    <w:uiPriority w:val="1"/>
    <w:pPr>
      <w:adjustRightInd w:val="0"/>
      <w:spacing w:after="60" w:line="360" w:lineRule="atLeast"/>
      <w:ind w:left="72" w:leftChars="30" w:right="30" w:rightChars="30"/>
      <w:jc w:val="center"/>
      <w:textAlignment w:val="baseline"/>
    </w:pPr>
  </w:style>
  <w:style w:type="paragraph" w:customStyle="1" w:styleId="41">
    <w:name w:val="Normal_5"/>
    <w:next w:val="42"/>
    <w:qFormat/>
    <w:uiPriority w:val="0"/>
    <w:pPr>
      <w:widowControl w:val="0"/>
      <w:jc w:val="both"/>
    </w:pPr>
    <w:rPr>
      <w:rFonts w:ascii="Calibri" w:hAnsi="Calibri" w:eastAsia="宋体" w:cs="Calibri"/>
      <w:kern w:val="2"/>
      <w:sz w:val="21"/>
      <w:szCs w:val="21"/>
      <w:lang w:val="en-US" w:eastAsia="zh-CN" w:bidi="ar-SA"/>
    </w:rPr>
  </w:style>
  <w:style w:type="paragraph" w:customStyle="1" w:styleId="42">
    <w:name w:val="Body Text"/>
    <w:basedOn w:val="41"/>
    <w:next w:val="41"/>
    <w:qFormat/>
    <w:uiPriority w:val="0"/>
    <w:pPr>
      <w:spacing w:after="120"/>
    </w:pPr>
  </w:style>
  <w:style w:type="paragraph" w:customStyle="1" w:styleId="43">
    <w:name w:val="*正文_0_0"/>
    <w:basedOn w:val="44"/>
    <w:qFormat/>
    <w:uiPriority w:val="0"/>
    <w:pPr>
      <w:widowControl/>
      <w:spacing w:line="360" w:lineRule="auto"/>
      <w:ind w:firstLine="200" w:firstLineChars="200"/>
      <w:jc w:val="left"/>
    </w:pPr>
    <w:rPr>
      <w:rFonts w:ascii="宋体" w:hAnsi="Times New Roman" w:eastAsia="宋体"/>
      <w:sz w:val="24"/>
      <w:szCs w:val="28"/>
    </w:rPr>
  </w:style>
  <w:style w:type="paragraph" w:customStyle="1" w:styleId="44">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标书（正文）_0_0"/>
    <w:basedOn w:val="44"/>
    <w:qFormat/>
    <w:uiPriority w:val="0"/>
    <w:pPr>
      <w:spacing w:line="360" w:lineRule="auto"/>
      <w:ind w:firstLine="560" w:firstLineChars="200"/>
    </w:pPr>
    <w:rPr>
      <w:rFonts w:ascii="宋体" w:hAnsi="宋体"/>
      <w:kern w:val="10"/>
      <w:sz w:val="24"/>
      <w:szCs w:val="20"/>
    </w:rPr>
  </w:style>
  <w:style w:type="paragraph" w:customStyle="1" w:styleId="46">
    <w:name w:val="Normal_16"/>
    <w:qFormat/>
    <w:uiPriority w:val="0"/>
    <w:rPr>
      <w:rFonts w:ascii="黑体" w:hAnsi="黑体" w:eastAsia="黑体" w:cs="Times New Roman"/>
      <w:b/>
      <w:sz w:val="32"/>
      <w:szCs w:val="24"/>
      <w:lang w:bidi="ar-SA"/>
    </w:rPr>
  </w:style>
  <w:style w:type="paragraph" w:customStyle="1" w:styleId="47">
    <w:name w:val="CD正文_0_0"/>
    <w:basedOn w:val="48"/>
    <w:qFormat/>
    <w:uiPriority w:val="0"/>
    <w:pPr>
      <w:spacing w:line="360" w:lineRule="auto"/>
      <w:ind w:firstLine="493"/>
    </w:pPr>
    <w:rPr>
      <w:rFonts w:eastAsia="宋体"/>
      <w:sz w:val="30"/>
      <w:szCs w:val="28"/>
    </w:rPr>
  </w:style>
  <w:style w:type="paragraph" w:customStyle="1" w:styleId="48">
    <w:name w:val="文章正文_0"/>
    <w:basedOn w:val="49"/>
    <w:qFormat/>
    <w:uiPriority w:val="0"/>
    <w:pPr>
      <w:spacing w:line="360" w:lineRule="auto"/>
      <w:ind w:firstLine="420"/>
    </w:pPr>
    <w:rPr>
      <w:rFonts w:ascii="Times New Roman" w:hAnsi="Times New Roman"/>
      <w:sz w:val="24"/>
      <w:szCs w:val="24"/>
    </w:rPr>
  </w:style>
  <w:style w:type="paragraph" w:customStyle="1" w:styleId="49">
    <w:name w:val="Normal_17"/>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
    <w:name w:val="Normal_18"/>
    <w:qFormat/>
    <w:uiPriority w:val="0"/>
    <w:rPr>
      <w:rFonts w:ascii="黑体" w:hAnsi="黑体" w:eastAsia="黑体" w:cs="Times New Roman"/>
      <w:b/>
      <w:sz w:val="32"/>
      <w:szCs w:val="24"/>
      <w:lang w:bidi="ar-SA"/>
    </w:rPr>
  </w:style>
  <w:style w:type="paragraph" w:customStyle="1" w:styleId="51">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
    <w:name w:val="正文文本_1_1"/>
    <w:basedOn w:val="53"/>
    <w:qFormat/>
    <w:uiPriority w:val="1"/>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53">
    <w:name w:val="正文_7_1"/>
    <w:next w:val="52"/>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54">
    <w:name w:val="Normal_19"/>
    <w:next w:val="55"/>
    <w:qFormat/>
    <w:uiPriority w:val="0"/>
    <w:rPr>
      <w:rFonts w:ascii="Times New Roman" w:hAnsi="Times New Roman" w:eastAsia="宋体" w:cs="Times New Roman"/>
      <w:sz w:val="24"/>
      <w:szCs w:val="24"/>
      <w:lang w:val="en-US" w:eastAsia="zh-CN" w:bidi="ar-SA"/>
    </w:rPr>
  </w:style>
  <w:style w:type="paragraph" w:customStyle="1" w:styleId="55">
    <w:name w:val="Body Text_1"/>
    <w:basedOn w:val="54"/>
    <w:next w:val="54"/>
    <w:qFormat/>
    <w:uiPriority w:val="0"/>
    <w:pPr>
      <w:spacing w:after="120"/>
    </w:pPr>
  </w:style>
  <w:style w:type="paragraph" w:customStyle="1" w:styleId="56">
    <w:name w:val="Normal_11"/>
    <w:qFormat/>
    <w:uiPriority w:val="0"/>
    <w:rPr>
      <w:rFonts w:ascii="黑体" w:hAnsi="黑体" w:eastAsia="黑体" w:cs="Times New Roman"/>
      <w:b/>
      <w:sz w:val="32"/>
      <w:szCs w:val="24"/>
      <w:lang w:bidi="ar-SA"/>
    </w:rPr>
  </w:style>
  <w:style w:type="paragraph" w:customStyle="1" w:styleId="57">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Normal_13"/>
    <w:qFormat/>
    <w:uiPriority w:val="0"/>
    <w:rPr>
      <w:rFonts w:ascii="黑体" w:hAnsi="黑体" w:eastAsia="黑体" w:cs="Times New Roman"/>
      <w:b/>
      <w:sz w:val="32"/>
      <w:szCs w:val="24"/>
      <w:lang w:bidi="ar-SA"/>
    </w:rPr>
  </w:style>
  <w:style w:type="paragraph" w:customStyle="1" w:styleId="59">
    <w:name w:val="Normal_6"/>
    <w:qFormat/>
    <w:uiPriority w:val="0"/>
    <w:rPr>
      <w:rFonts w:ascii="黑体" w:hAnsi="黑体" w:eastAsia="黑体" w:cs="Times New Roman"/>
      <w:b/>
      <w:sz w:val="32"/>
      <w:szCs w:val="24"/>
      <w:lang w:bidi="ar-SA"/>
    </w:rPr>
  </w:style>
  <w:style w:type="paragraph" w:customStyle="1" w:styleId="60">
    <w:name w:val="CD正文_0"/>
    <w:basedOn w:val="61"/>
    <w:qFormat/>
    <w:uiPriority w:val="0"/>
    <w:pPr>
      <w:spacing w:line="360" w:lineRule="auto"/>
      <w:ind w:firstLine="493"/>
    </w:pPr>
    <w:rPr>
      <w:rFonts w:ascii="Times New Roman" w:hAnsi="Times New Roman"/>
      <w:sz w:val="30"/>
      <w:szCs w:val="28"/>
    </w:rPr>
  </w:style>
  <w:style w:type="paragraph" w:customStyle="1" w:styleId="61">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标书（正文）_7"/>
    <w:basedOn w:val="61"/>
    <w:qFormat/>
    <w:uiPriority w:val="0"/>
    <w:pPr>
      <w:spacing w:line="360" w:lineRule="auto"/>
      <w:ind w:firstLine="560" w:firstLineChars="200"/>
    </w:pPr>
    <w:rPr>
      <w:rFonts w:ascii="宋体" w:hAnsi="宋体"/>
      <w:kern w:val="10"/>
      <w:sz w:val="24"/>
      <w:szCs w:val="20"/>
    </w:rPr>
  </w:style>
  <w:style w:type="paragraph" w:customStyle="1" w:styleId="63">
    <w:name w:val="Body text|1"/>
    <w:basedOn w:val="64"/>
    <w:qFormat/>
    <w:uiPriority w:val="0"/>
    <w:pPr>
      <w:widowControl w:val="0"/>
      <w:shd w:val="clear" w:color="auto" w:fill="auto"/>
      <w:spacing w:line="295" w:lineRule="auto"/>
    </w:pPr>
    <w:rPr>
      <w:rFonts w:ascii="宋体" w:hAnsi="宋体" w:eastAsia="宋体" w:cs="宋体"/>
      <w:sz w:val="26"/>
      <w:szCs w:val="26"/>
      <w:u w:val="none"/>
      <w:shd w:val="clear" w:color="auto" w:fill="auto"/>
      <w:lang w:val="zh-TW" w:eastAsia="zh-TW" w:bidi="zh-TW"/>
    </w:rPr>
  </w:style>
  <w:style w:type="paragraph" w:customStyle="1" w:styleId="64">
    <w:name w:val="Normal_21"/>
    <w:next w:val="65"/>
    <w:qFormat/>
    <w:uiPriority w:val="0"/>
    <w:pPr>
      <w:widowControl w:val="0"/>
      <w:jc w:val="both"/>
    </w:pPr>
    <w:rPr>
      <w:rFonts w:ascii="Calibri" w:hAnsi="Calibri" w:eastAsia="方正仿宋" w:cs="Times New Roman"/>
      <w:kern w:val="2"/>
      <w:sz w:val="32"/>
      <w:szCs w:val="24"/>
      <w:lang w:val="en-US" w:eastAsia="zh-CN" w:bidi="ar-SA"/>
    </w:rPr>
  </w:style>
  <w:style w:type="paragraph" w:customStyle="1" w:styleId="65">
    <w:name w:val="Body Text_2"/>
    <w:basedOn w:val="64"/>
    <w:next w:val="64"/>
    <w:qFormat/>
    <w:uiPriority w:val="0"/>
    <w:pPr>
      <w:spacing w:after="120"/>
    </w:pPr>
    <w:rPr>
      <w:rFonts w:eastAsia="宋体"/>
      <w:sz w:val="21"/>
      <w:szCs w:val="20"/>
    </w:rPr>
  </w:style>
  <w:style w:type="paragraph" w:customStyle="1" w:styleId="66">
    <w:name w:val="彩色列表 - 强调文字颜色 11"/>
    <w:basedOn w:val="1"/>
    <w:qFormat/>
    <w:uiPriority w:val="0"/>
    <w:pPr>
      <w:widowControl w:val="0"/>
      <w:ind w:firstLine="420" w:firstLineChars="200"/>
      <w:jc w:val="both"/>
    </w:pPr>
    <w:rPr>
      <w:rFonts w:ascii="Calibri" w:hAnsi="Calibri" w:eastAsia="宋体" w:cs="Times New Roman"/>
      <w:kern w:val="2"/>
      <w:sz w:val="21"/>
      <w:szCs w:val="22"/>
    </w:rPr>
  </w:style>
  <w:style w:type="table" w:customStyle="1" w:styleId="67">
    <w:name w:val="网格型1"/>
    <w:basedOn w:val="20"/>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9">
    <w:name w:val="_Style 23"/>
    <w:basedOn w:val="1"/>
    <w:qFormat/>
    <w:uiPriority w:val="0"/>
    <w:pPr>
      <w:ind w:firstLine="420" w:firstLineChars="200"/>
    </w:pPr>
  </w:style>
  <w:style w:type="character" w:customStyle="1" w:styleId="70">
    <w:name w:val="标题 2 Char"/>
    <w:link w:val="4"/>
    <w:qFormat/>
    <w:uiPriority w:val="0"/>
    <w:rPr>
      <w:rFonts w:ascii="宋体" w:hAnsi="宋体" w:eastAsia="宋体" w:cs="Times New Roman"/>
      <w:b/>
      <w:bCs/>
      <w:iCs/>
      <w:kern w:val="0"/>
      <w:sz w:val="28"/>
      <w:szCs w:val="28"/>
    </w:rPr>
  </w:style>
  <w:style w:type="table" w:customStyle="1" w:styleId="71">
    <w:name w:val="Table Normal"/>
    <w:semiHidden/>
    <w:unhideWhenUsed/>
    <w:qFormat/>
    <w:uiPriority w:val="0"/>
    <w:tblPr>
      <w:tblCellMar>
        <w:top w:w="0" w:type="dxa"/>
        <w:left w:w="0" w:type="dxa"/>
        <w:bottom w:w="0" w:type="dxa"/>
        <w:right w:w="0" w:type="dxa"/>
      </w:tblCellMar>
    </w:tblPr>
  </w:style>
  <w:style w:type="paragraph" w:customStyle="1" w:styleId="72">
    <w:name w:val="txt"/>
    <w:basedOn w:val="1"/>
    <w:qFormat/>
    <w:uiPriority w:val="0"/>
    <w:pPr>
      <w:spacing w:line="360" w:lineRule="auto"/>
      <w:ind w:firstLine="200" w:firstLineChars="200"/>
    </w:pPr>
    <w:rPr>
      <w:rFonts w:ascii="仿宋_GB2312" w:hAnsi="仿宋_GB2312" w:eastAsiaTheme="minorEastAsia" w:cstheme="minorBidi"/>
      <w:sz w:val="28"/>
    </w:rPr>
  </w:style>
  <w:style w:type="paragraph" w:customStyle="1" w:styleId="73">
    <w:name w:val="GP正文(首行缩进)"/>
    <w:basedOn w:val="1"/>
    <w:qFormat/>
    <w:uiPriority w:val="0"/>
    <w:pPr>
      <w:spacing w:line="360" w:lineRule="auto"/>
      <w:ind w:firstLine="200" w:firstLineChars="200"/>
      <w:jc w:val="left"/>
    </w:pPr>
    <w:rPr>
      <w:rFonts w:ascii="Times New Roman" w:hAnsi="Times New Roman"/>
      <w:kern w:val="0"/>
      <w:sz w:val="20"/>
      <w:szCs w:val="21"/>
    </w:rPr>
  </w:style>
  <w:style w:type="paragraph" w:customStyle="1" w:styleId="74">
    <w:name w:val="1--正文"/>
    <w:basedOn w:val="1"/>
    <w:qFormat/>
    <w:uiPriority w:val="0"/>
    <w:pPr>
      <w:spacing w:line="360" w:lineRule="auto"/>
      <w:ind w:firstLine="480"/>
    </w:pPr>
    <w:rPr>
      <w:rFonts w:ascii="宋体" w:hAnsi="宋体" w:eastAsia="宋体"/>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44458</Words>
  <Characters>48386</Characters>
  <Lines>0</Lines>
  <Paragraphs>0</Paragraphs>
  <TotalTime>3</TotalTime>
  <ScaleCrop>false</ScaleCrop>
  <LinksUpToDate>false</LinksUpToDate>
  <CharactersWithSpaces>53002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2021-07-27T11:23:00Z</dcterms:created>
  <dc:creator>雨菡</dc:creator>
  <cp:lastModifiedBy>WPS_1558927624</cp:lastModifiedBy>
  <cp:lastPrinted>2021-10-21T05:25:00Z</cp:lastPrinted>
  <dcterms:modified xsi:type="dcterms:W3CDTF">2021-11-04T02:16:01Z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478021380_btnclosed</vt:lpwstr>
  </property>
  <property fmtid="{D5CDD505-2E9C-101B-9397-08002B2CF9AE}" pid="4" name="ICV">
    <vt:lpwstr>731E781BB7714E989E93EF3AC3BD6668</vt:lpwstr>
  </property>
</Properties>
</file>