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hint="eastAsia" w:ascii="宋体" w:hAnsi="宋体"/>
          <w:color w:val="auto"/>
          <w:spacing w:val="42"/>
          <w:sz w:val="84"/>
          <w:highlight w:val="none"/>
        </w:rPr>
      </w:pPr>
    </w:p>
    <w:p>
      <w:pPr>
        <w:spacing w:line="360" w:lineRule="auto"/>
        <w:jc w:val="center"/>
        <w:rPr>
          <w:rFonts w:ascii="华文中宋" w:hAnsi="华文中宋" w:eastAsia="华文中宋"/>
          <w:color w:val="auto"/>
          <w:spacing w:val="42"/>
          <w:sz w:val="130"/>
          <w:szCs w:val="130"/>
          <w:highlight w:val="none"/>
        </w:rPr>
      </w:pPr>
      <w:r>
        <w:rPr>
          <w:rFonts w:hint="eastAsia" w:ascii="华文中宋" w:hAnsi="华文中宋" w:eastAsia="华文中宋"/>
          <w:color w:val="auto"/>
          <w:spacing w:val="42"/>
          <w:sz w:val="130"/>
          <w:szCs w:val="130"/>
          <w:highlight w:val="none"/>
        </w:rPr>
        <w:t>招 标 文 件</w:t>
      </w:r>
    </w:p>
    <w:p>
      <w:pPr>
        <w:spacing w:line="360" w:lineRule="auto"/>
        <w:jc w:val="center"/>
        <w:rPr>
          <w:rFonts w:ascii="宋体" w:hAnsi="宋体"/>
          <w:color w:val="auto"/>
          <w:sz w:val="32"/>
          <w:szCs w:val="32"/>
          <w:highlight w:val="none"/>
        </w:rPr>
      </w:pPr>
    </w:p>
    <w:p>
      <w:pPr>
        <w:spacing w:line="360" w:lineRule="auto"/>
        <w:jc w:val="center"/>
        <w:rPr>
          <w:rFonts w:ascii="宋体" w:hAnsi="宋体"/>
          <w:color w:val="auto"/>
          <w:sz w:val="32"/>
          <w:szCs w:val="32"/>
          <w:highlight w:val="none"/>
        </w:rPr>
      </w:pPr>
    </w:p>
    <w:p>
      <w:pPr>
        <w:spacing w:line="360" w:lineRule="auto"/>
        <w:rPr>
          <w:rFonts w:ascii="宋体" w:hAnsi="宋体"/>
          <w:color w:val="auto"/>
          <w:highlight w:val="none"/>
        </w:rPr>
      </w:pPr>
    </w:p>
    <w:p>
      <w:pPr>
        <w:spacing w:line="360" w:lineRule="auto"/>
        <w:ind w:left="2409" w:leftChars="338" w:hanging="1699" w:hangingChars="531"/>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rPr>
        <w:t>项目名称：成都市温江区智慧平安小区建设项目</w:t>
      </w:r>
      <w:bookmarkStart w:id="902" w:name="_GoBack"/>
      <w:bookmarkEnd w:id="902"/>
    </w:p>
    <w:p>
      <w:pPr>
        <w:spacing w:line="360" w:lineRule="auto"/>
        <w:ind w:left="2409" w:leftChars="338" w:hanging="1699" w:hangingChars="531"/>
        <w:rPr>
          <w:rFonts w:hint="eastAsia" w:ascii="华文中宋" w:hAnsi="华文中宋" w:eastAsia="华文中宋"/>
          <w:color w:val="auto"/>
          <w:sz w:val="32"/>
          <w:szCs w:val="32"/>
          <w:highlight w:val="none"/>
          <w:lang w:eastAsia="zh-CN"/>
        </w:rPr>
      </w:pPr>
      <w:r>
        <w:rPr>
          <w:rFonts w:hint="eastAsia" w:ascii="华文中宋" w:hAnsi="华文中宋" w:eastAsia="华文中宋"/>
          <w:color w:val="auto"/>
          <w:sz w:val="32"/>
          <w:szCs w:val="32"/>
          <w:highlight w:val="none"/>
        </w:rPr>
        <w:t>项目编号：温江政采（2021）A0031号</w:t>
      </w:r>
    </w:p>
    <w:p>
      <w:pPr>
        <w:spacing w:line="360" w:lineRule="auto"/>
        <w:ind w:firstLine="1280" w:firstLineChars="400"/>
        <w:rPr>
          <w:rFonts w:ascii="宋体" w:hAnsi="宋体"/>
          <w:color w:val="auto"/>
          <w:sz w:val="32"/>
          <w:szCs w:val="32"/>
          <w:highlight w:val="none"/>
        </w:rPr>
      </w:pPr>
    </w:p>
    <w:p>
      <w:pPr>
        <w:spacing w:line="360" w:lineRule="auto"/>
        <w:ind w:firstLine="1256" w:firstLineChars="349"/>
        <w:rPr>
          <w:rFonts w:ascii="宋体" w:hAnsi="宋体"/>
          <w:color w:val="auto"/>
          <w:spacing w:val="20"/>
          <w:sz w:val="32"/>
          <w:szCs w:val="32"/>
          <w:highlight w:val="none"/>
        </w:rPr>
      </w:pPr>
    </w:p>
    <w:p>
      <w:pPr>
        <w:spacing w:line="360" w:lineRule="auto"/>
        <w:rPr>
          <w:rFonts w:ascii="宋体" w:hAnsi="宋体"/>
          <w:color w:val="auto"/>
          <w:kern w:val="24"/>
          <w:sz w:val="32"/>
          <w:szCs w:val="32"/>
          <w:highlight w:val="none"/>
        </w:rPr>
      </w:pPr>
    </w:p>
    <w:p>
      <w:pPr>
        <w:spacing w:line="360" w:lineRule="auto"/>
        <w:rPr>
          <w:rFonts w:ascii="宋体" w:hAnsi="宋体"/>
          <w:color w:val="auto"/>
          <w:kern w:val="24"/>
          <w:sz w:val="32"/>
          <w:szCs w:val="32"/>
          <w:highlight w:val="none"/>
        </w:rPr>
      </w:pPr>
    </w:p>
    <w:p>
      <w:pPr>
        <w:spacing w:line="360" w:lineRule="auto"/>
        <w:rPr>
          <w:rFonts w:ascii="宋体" w:hAnsi="宋体"/>
          <w:color w:val="auto"/>
          <w:kern w:val="24"/>
          <w:sz w:val="32"/>
          <w:szCs w:val="32"/>
          <w:highlight w:val="none"/>
        </w:rPr>
      </w:pP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中共成都市温江区委政法委员会、</w:t>
      </w:r>
    </w:p>
    <w:p>
      <w:pPr>
        <w:spacing w:line="360" w:lineRule="auto"/>
        <w:jc w:val="center"/>
        <w:rPr>
          <w:rFonts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成都市</w:t>
      </w:r>
      <w:r>
        <w:rPr>
          <w:rFonts w:hint="eastAsia" w:ascii="华文中宋" w:hAnsi="华文中宋" w:eastAsia="华文中宋"/>
          <w:color w:val="auto"/>
          <w:sz w:val="32"/>
          <w:szCs w:val="32"/>
          <w:highlight w:val="none"/>
          <w:lang w:eastAsia="zh-CN"/>
        </w:rPr>
        <w:t>温江区</w:t>
      </w:r>
      <w:r>
        <w:rPr>
          <w:rFonts w:hint="eastAsia" w:ascii="华文中宋" w:hAnsi="华文中宋" w:eastAsia="华文中宋"/>
          <w:color w:val="auto"/>
          <w:sz w:val="32"/>
          <w:szCs w:val="32"/>
          <w:highlight w:val="none"/>
        </w:rPr>
        <w:t>公共资源交易服务中心共同编制</w:t>
      </w:r>
    </w:p>
    <w:p>
      <w:pPr>
        <w:spacing w:line="360" w:lineRule="auto"/>
        <w:jc w:val="center"/>
        <w:rPr>
          <w:rFonts w:hint="eastAsia" w:ascii="华文中宋" w:hAnsi="华文中宋" w:eastAsia="华文中宋"/>
          <w:color w:val="auto"/>
          <w:sz w:val="32"/>
          <w:szCs w:val="32"/>
          <w:highlight w:val="none"/>
        </w:rPr>
      </w:pPr>
      <w:r>
        <w:rPr>
          <w:rFonts w:hint="eastAsia" w:ascii="华文中宋" w:hAnsi="华文中宋" w:eastAsia="华文中宋"/>
          <w:color w:val="auto"/>
          <w:sz w:val="32"/>
          <w:szCs w:val="32"/>
          <w:highlight w:val="none"/>
        </w:rPr>
        <w:t>二〇二一年</w:t>
      </w:r>
      <w:r>
        <w:rPr>
          <w:rFonts w:hint="eastAsia" w:ascii="华文中宋" w:hAnsi="华文中宋" w:eastAsia="华文中宋"/>
          <w:color w:val="auto"/>
          <w:sz w:val="32"/>
          <w:szCs w:val="32"/>
          <w:highlight w:val="none"/>
          <w:lang w:val="en-US" w:eastAsia="zh-CN"/>
        </w:rPr>
        <w:t>九</w:t>
      </w:r>
      <w:r>
        <w:rPr>
          <w:rFonts w:hint="eastAsia" w:ascii="华文中宋" w:hAnsi="华文中宋" w:eastAsia="华文中宋"/>
          <w:color w:val="auto"/>
          <w:sz w:val="32"/>
          <w:szCs w:val="32"/>
          <w:highlight w:val="none"/>
        </w:rPr>
        <w:t>月</w:t>
      </w:r>
    </w:p>
    <w:p>
      <w:pPr>
        <w:rPr>
          <w:color w:val="auto"/>
          <w:highlight w:val="none"/>
        </w:rPr>
      </w:pPr>
    </w:p>
    <w:p>
      <w:pPr>
        <w:pStyle w:val="2"/>
        <w:rPr>
          <w:color w:val="auto"/>
          <w:highlight w:val="none"/>
        </w:rPr>
      </w:pPr>
    </w:p>
    <w:p/>
    <w:p>
      <w:pPr>
        <w:spacing w:line="360" w:lineRule="auto"/>
        <w:jc w:val="center"/>
        <w:rPr>
          <w:rFonts w:ascii="宋体" w:hAnsi="宋体"/>
          <w:b/>
          <w:color w:val="auto"/>
          <w:sz w:val="36"/>
          <w:highlight w:val="none"/>
        </w:rPr>
      </w:pPr>
      <w:bookmarkStart w:id="0" w:name="_Toc101247312"/>
      <w:bookmarkStart w:id="1" w:name="_Toc101234248"/>
      <w:bookmarkStart w:id="2" w:name="_Toc148505181"/>
      <w:bookmarkStart w:id="3" w:name="_Toc101328520"/>
      <w:r>
        <w:rPr>
          <w:rFonts w:hint="eastAsia" w:ascii="宋体" w:hAnsi="宋体"/>
          <w:b/>
          <w:color w:val="auto"/>
          <w:sz w:val="32"/>
          <w:szCs w:val="32"/>
          <w:highlight w:val="none"/>
        </w:rPr>
        <w:t>目 录</w:t>
      </w:r>
    </w:p>
    <w:p>
      <w:pPr>
        <w:pStyle w:val="29"/>
        <w:tabs>
          <w:tab w:val="right" w:leader="dot" w:pos="8958"/>
          <w:tab w:val="clear" w:pos="709"/>
          <w:tab w:val="clear" w:pos="8364"/>
        </w:tabs>
      </w:pPr>
      <w:r>
        <w:rPr>
          <w:rFonts w:hint="eastAsia"/>
          <w:color w:val="auto"/>
          <w:highlight w:val="none"/>
        </w:rPr>
        <w:fldChar w:fldCharType="begin"/>
      </w:r>
      <w:r>
        <w:rPr>
          <w:rFonts w:hint="eastAsia" w:ascii="宋体" w:hAnsi="宋体"/>
          <w:smallCaps/>
          <w:color w:val="auto"/>
          <w:highlight w:val="none"/>
        </w:rPr>
        <w:instrText xml:space="preserve"> TOC \o "1-2" \h \z \u </w:instrText>
      </w:r>
      <w:r>
        <w:rPr>
          <w:rFonts w:hint="eastAsia"/>
          <w:color w:val="auto"/>
          <w:highlight w:val="none"/>
        </w:rPr>
        <w:fldChar w:fldCharType="separate"/>
      </w:r>
      <w:r>
        <w:rPr>
          <w:rFonts w:hint="eastAsia"/>
          <w:color w:val="auto"/>
          <w:highlight w:val="none"/>
        </w:rPr>
        <w:fldChar w:fldCharType="begin"/>
      </w:r>
      <w:r>
        <w:rPr>
          <w:rFonts w:hint="eastAsia"/>
          <w:highlight w:val="none"/>
        </w:rPr>
        <w:instrText xml:space="preserve"> HYPERLINK \l _Toc17118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第1章 </w:t>
      </w:r>
      <w:r>
        <w:rPr>
          <w:rFonts w:hint="eastAsia" w:ascii="宋体" w:hAnsi="宋体"/>
          <w:bCs/>
          <w:spacing w:val="-20"/>
          <w:kern w:val="44"/>
          <w:szCs w:val="32"/>
          <w:highlight w:val="none"/>
        </w:rPr>
        <w:t>投标邀请</w:t>
      </w:r>
      <w:r>
        <w:tab/>
      </w:r>
      <w:r>
        <w:fldChar w:fldCharType="begin"/>
      </w:r>
      <w:r>
        <w:instrText xml:space="preserve"> PAGEREF _Toc17118 \h </w:instrText>
      </w:r>
      <w:r>
        <w:fldChar w:fldCharType="separate"/>
      </w:r>
      <w:r>
        <w:t>3</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_Toc2793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第2章 </w:t>
      </w:r>
      <w:r>
        <w:rPr>
          <w:rFonts w:hint="eastAsia" w:ascii="宋体" w:hAnsi="宋体"/>
          <w:bCs/>
          <w:spacing w:val="-20"/>
          <w:kern w:val="44"/>
          <w:szCs w:val="32"/>
          <w:highlight w:val="none"/>
        </w:rPr>
        <w:t>投标人须知</w:t>
      </w:r>
      <w:r>
        <w:tab/>
      </w:r>
      <w:r>
        <w:fldChar w:fldCharType="begin"/>
      </w:r>
      <w:r>
        <w:instrText xml:space="preserve"> PAGEREF _Toc2793 \h </w:instrText>
      </w:r>
      <w:r>
        <w:fldChar w:fldCharType="separate"/>
      </w:r>
      <w:r>
        <w:t>8</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_Toc16307 </w:instrText>
      </w:r>
      <w:r>
        <w:rPr>
          <w:rFonts w:hint="eastAsia"/>
          <w:highlight w:val="none"/>
        </w:rPr>
        <w:fldChar w:fldCharType="separate"/>
      </w:r>
      <w:r>
        <w:rPr>
          <w:rFonts w:hint="default" w:ascii="Times New Roman" w:hAnsi="Times New Roman" w:eastAsia="宋体" w:cs="Times New Roman"/>
          <w:bCs/>
          <w:i w:val="0"/>
          <w:szCs w:val="28"/>
        </w:rPr>
        <w:t xml:space="preserve">2.1 </w:t>
      </w:r>
      <w:r>
        <w:rPr>
          <w:rFonts w:hint="eastAsia" w:ascii="宋体" w:hAnsi="宋体"/>
          <w:bCs/>
          <w:szCs w:val="28"/>
          <w:highlight w:val="none"/>
        </w:rPr>
        <w:t>投标人须知前附表</w:t>
      </w:r>
      <w:r>
        <w:tab/>
      </w:r>
      <w:r>
        <w:fldChar w:fldCharType="begin"/>
      </w:r>
      <w:r>
        <w:instrText xml:space="preserve"> PAGEREF _Toc16307 \h </w:instrText>
      </w:r>
      <w:r>
        <w:fldChar w:fldCharType="separate"/>
      </w:r>
      <w:r>
        <w:t>8</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_Toc10947 </w:instrText>
      </w:r>
      <w:r>
        <w:rPr>
          <w:rFonts w:hint="eastAsia"/>
          <w:highlight w:val="none"/>
        </w:rPr>
        <w:fldChar w:fldCharType="separate"/>
      </w:r>
      <w:r>
        <w:rPr>
          <w:rFonts w:hint="default" w:ascii="Times New Roman" w:hAnsi="Times New Roman" w:eastAsia="宋体" w:cs="Times New Roman"/>
          <w:bCs/>
          <w:i w:val="0"/>
          <w:szCs w:val="28"/>
        </w:rPr>
        <w:t xml:space="preserve">2.2 </w:t>
      </w:r>
      <w:r>
        <w:rPr>
          <w:rFonts w:hint="eastAsia" w:ascii="宋体" w:hAnsi="宋体"/>
          <w:bCs/>
          <w:szCs w:val="28"/>
          <w:highlight w:val="none"/>
        </w:rPr>
        <w:t>总则</w:t>
      </w:r>
      <w:r>
        <w:tab/>
      </w:r>
      <w:r>
        <w:fldChar w:fldCharType="begin"/>
      </w:r>
      <w:r>
        <w:instrText xml:space="preserve"> PAGEREF _Toc10947 \h </w:instrText>
      </w:r>
      <w:r>
        <w:fldChar w:fldCharType="separate"/>
      </w:r>
      <w:r>
        <w:t>10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_Toc22125 </w:instrText>
      </w:r>
      <w:r>
        <w:rPr>
          <w:rFonts w:hint="eastAsia"/>
          <w:highlight w:val="none"/>
        </w:rPr>
        <w:fldChar w:fldCharType="separate"/>
      </w:r>
      <w:r>
        <w:rPr>
          <w:rFonts w:hint="default" w:ascii="Times New Roman" w:hAnsi="Times New Roman" w:eastAsia="宋体" w:cs="Times New Roman"/>
          <w:bCs/>
          <w:i w:val="0"/>
          <w:szCs w:val="28"/>
        </w:rPr>
        <w:t xml:space="preserve">2.3 </w:t>
      </w:r>
      <w:r>
        <w:rPr>
          <w:rFonts w:hint="eastAsia" w:ascii="宋体" w:hAnsi="宋体"/>
          <w:bCs/>
          <w:szCs w:val="28"/>
          <w:highlight w:val="none"/>
        </w:rPr>
        <w:t>招标文件</w:t>
      </w:r>
      <w:r>
        <w:tab/>
      </w:r>
      <w:r>
        <w:fldChar w:fldCharType="begin"/>
      </w:r>
      <w:r>
        <w:instrText xml:space="preserve"> PAGEREF _Toc22125 \h </w:instrText>
      </w:r>
      <w:r>
        <w:fldChar w:fldCharType="separate"/>
      </w:r>
      <w:r>
        <w:t>13</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_Toc17104 </w:instrText>
      </w:r>
      <w:r>
        <w:rPr>
          <w:rFonts w:hint="eastAsia"/>
          <w:highlight w:val="none"/>
        </w:rPr>
        <w:fldChar w:fldCharType="separate"/>
      </w:r>
      <w:r>
        <w:rPr>
          <w:rFonts w:hint="default" w:ascii="Times New Roman" w:hAnsi="Times New Roman" w:eastAsia="宋体" w:cs="Times New Roman"/>
          <w:bCs/>
          <w:i w:val="0"/>
          <w:szCs w:val="28"/>
        </w:rPr>
        <w:t xml:space="preserve">2.4 </w:t>
      </w:r>
      <w:r>
        <w:rPr>
          <w:rFonts w:hint="eastAsia" w:ascii="宋体" w:hAnsi="宋体"/>
          <w:bCs/>
          <w:szCs w:val="28"/>
          <w:highlight w:val="none"/>
        </w:rPr>
        <w:t>投标文件</w:t>
      </w:r>
      <w:r>
        <w:tab/>
      </w:r>
      <w:r>
        <w:fldChar w:fldCharType="begin"/>
      </w:r>
      <w:r>
        <w:instrText xml:space="preserve"> PAGEREF _Toc17104 \h </w:instrText>
      </w:r>
      <w:r>
        <w:fldChar w:fldCharType="separate"/>
      </w:r>
      <w:r>
        <w:t>14</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_Toc11508 </w:instrText>
      </w:r>
      <w:r>
        <w:rPr>
          <w:rFonts w:hint="eastAsia"/>
          <w:highlight w:val="none"/>
        </w:rPr>
        <w:fldChar w:fldCharType="separate"/>
      </w:r>
      <w:r>
        <w:rPr>
          <w:rFonts w:hint="default" w:ascii="Times New Roman" w:hAnsi="Times New Roman" w:eastAsia="宋体" w:cs="Times New Roman"/>
          <w:bCs/>
          <w:i w:val="0"/>
          <w:szCs w:val="28"/>
        </w:rPr>
        <w:t xml:space="preserve">2.5 </w:t>
      </w:r>
      <w:r>
        <w:rPr>
          <w:rFonts w:hint="eastAsia" w:ascii="宋体" w:hAnsi="宋体"/>
          <w:bCs/>
          <w:szCs w:val="28"/>
          <w:highlight w:val="none"/>
        </w:rPr>
        <w:t>开标、资格审查、评标和中标</w:t>
      </w:r>
      <w:r>
        <w:tab/>
      </w:r>
      <w:r>
        <w:fldChar w:fldCharType="begin"/>
      </w:r>
      <w:r>
        <w:instrText xml:space="preserve"> PAGEREF _Toc11508 \h </w:instrText>
      </w:r>
      <w:r>
        <w:fldChar w:fldCharType="separate"/>
      </w:r>
      <w:r>
        <w:t>20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_Toc10317 </w:instrText>
      </w:r>
      <w:r>
        <w:rPr>
          <w:rFonts w:hint="eastAsia"/>
          <w:highlight w:val="none"/>
        </w:rPr>
        <w:fldChar w:fldCharType="separate"/>
      </w:r>
      <w:r>
        <w:rPr>
          <w:rFonts w:hint="default" w:ascii="Times New Roman" w:hAnsi="Times New Roman" w:eastAsia="宋体" w:cs="Times New Roman"/>
          <w:bCs/>
          <w:i w:val="0"/>
          <w:szCs w:val="28"/>
        </w:rPr>
        <w:t xml:space="preserve">2.6 </w:t>
      </w:r>
      <w:r>
        <w:rPr>
          <w:rFonts w:hint="eastAsia" w:ascii="宋体" w:hAnsi="宋体"/>
          <w:bCs/>
          <w:szCs w:val="28"/>
          <w:highlight w:val="none"/>
        </w:rPr>
        <w:t>签订及履行合同和验收</w:t>
      </w:r>
      <w:r>
        <w:tab/>
      </w:r>
      <w:r>
        <w:fldChar w:fldCharType="begin"/>
      </w:r>
      <w:r>
        <w:instrText xml:space="preserve"> PAGEREF _Toc10317 \h </w:instrText>
      </w:r>
      <w:r>
        <w:fldChar w:fldCharType="separate"/>
      </w:r>
      <w:r>
        <w:t>22</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_Toc29155 </w:instrText>
      </w:r>
      <w:r>
        <w:rPr>
          <w:rFonts w:hint="eastAsia"/>
          <w:highlight w:val="none"/>
        </w:rPr>
        <w:fldChar w:fldCharType="separate"/>
      </w:r>
      <w:r>
        <w:rPr>
          <w:rFonts w:hint="default" w:ascii="Times New Roman" w:hAnsi="Times New Roman" w:eastAsia="宋体" w:cs="Times New Roman"/>
          <w:bCs/>
          <w:i w:val="0"/>
          <w:szCs w:val="28"/>
        </w:rPr>
        <w:t xml:space="preserve">2.7 </w:t>
      </w:r>
      <w:r>
        <w:rPr>
          <w:rFonts w:hint="eastAsia" w:ascii="宋体" w:hAnsi="宋体"/>
          <w:bCs/>
          <w:szCs w:val="28"/>
          <w:highlight w:val="none"/>
        </w:rPr>
        <w:t>投标纪律要求</w:t>
      </w:r>
      <w:r>
        <w:tab/>
      </w:r>
      <w:r>
        <w:fldChar w:fldCharType="begin"/>
      </w:r>
      <w:r>
        <w:instrText xml:space="preserve"> PAGEREF _Toc29155 \h </w:instrText>
      </w:r>
      <w:r>
        <w:fldChar w:fldCharType="separate"/>
      </w:r>
      <w:r>
        <w:t>24</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_Toc26482 </w:instrText>
      </w:r>
      <w:r>
        <w:rPr>
          <w:rFonts w:hint="eastAsia"/>
          <w:highlight w:val="none"/>
        </w:rPr>
        <w:fldChar w:fldCharType="separate"/>
      </w:r>
      <w:r>
        <w:rPr>
          <w:rFonts w:hint="default" w:ascii="Times New Roman" w:hAnsi="Times New Roman" w:eastAsia="宋体" w:cs="Times New Roman"/>
          <w:bCs/>
          <w:i w:val="0"/>
          <w:szCs w:val="28"/>
        </w:rPr>
        <w:t xml:space="preserve">2.8 </w:t>
      </w:r>
      <w:r>
        <w:rPr>
          <w:rFonts w:hint="eastAsia" w:ascii="宋体" w:hAnsi="宋体"/>
          <w:bCs/>
          <w:szCs w:val="28"/>
          <w:highlight w:val="none"/>
        </w:rPr>
        <w:t>询问、质疑和投诉</w:t>
      </w:r>
      <w:r>
        <w:tab/>
      </w:r>
      <w:r>
        <w:fldChar w:fldCharType="begin"/>
      </w:r>
      <w:r>
        <w:instrText xml:space="preserve"> PAGEREF _Toc26482 \h </w:instrText>
      </w:r>
      <w:r>
        <w:fldChar w:fldCharType="separate"/>
      </w:r>
      <w:r>
        <w:t>26</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_Toc16450 </w:instrText>
      </w:r>
      <w:r>
        <w:rPr>
          <w:rFonts w:hint="eastAsia"/>
          <w:highlight w:val="none"/>
        </w:rPr>
        <w:fldChar w:fldCharType="separate"/>
      </w:r>
      <w:r>
        <w:rPr>
          <w:rFonts w:hint="default" w:ascii="Times New Roman" w:hAnsi="Times New Roman" w:eastAsia="宋体" w:cs="Times New Roman"/>
          <w:bCs/>
          <w:i w:val="0"/>
          <w:szCs w:val="28"/>
        </w:rPr>
        <w:t xml:space="preserve">2.9 </w:t>
      </w:r>
      <w:r>
        <w:rPr>
          <w:rFonts w:hint="eastAsia" w:ascii="宋体" w:hAnsi="宋体"/>
          <w:bCs/>
          <w:szCs w:val="28"/>
          <w:highlight w:val="none"/>
        </w:rPr>
        <w:t>中小企业政府采购信用融资</w:t>
      </w:r>
      <w:r>
        <w:tab/>
      </w:r>
      <w:r>
        <w:fldChar w:fldCharType="begin"/>
      </w:r>
      <w:r>
        <w:instrText xml:space="preserve"> PAGEREF _Toc16450 \h </w:instrText>
      </w:r>
      <w:r>
        <w:fldChar w:fldCharType="separate"/>
      </w:r>
      <w:r>
        <w:t>27</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_Toc14349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第3章 </w:t>
      </w:r>
      <w:r>
        <w:rPr>
          <w:rFonts w:hint="eastAsia" w:ascii="宋体" w:hAnsi="宋体"/>
          <w:bCs/>
          <w:spacing w:val="-20"/>
          <w:kern w:val="44"/>
          <w:szCs w:val="32"/>
          <w:highlight w:val="none"/>
        </w:rPr>
        <w:t>投标文件格式</w:t>
      </w:r>
      <w:r>
        <w:tab/>
      </w:r>
      <w:r>
        <w:fldChar w:fldCharType="begin"/>
      </w:r>
      <w:r>
        <w:instrText xml:space="preserve"> PAGEREF _Toc14349 \h </w:instrText>
      </w:r>
      <w:r>
        <w:fldChar w:fldCharType="separate"/>
      </w:r>
      <w:r>
        <w:t>28</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_Toc32232 </w:instrText>
      </w:r>
      <w:r>
        <w:rPr>
          <w:rFonts w:hint="eastAsia"/>
          <w:highlight w:val="none"/>
        </w:rPr>
        <w:fldChar w:fldCharType="separate"/>
      </w:r>
      <w:r>
        <w:rPr>
          <w:rFonts w:hint="default" w:ascii="Times New Roman" w:hAnsi="Times New Roman" w:eastAsia="宋体" w:cs="Times New Roman"/>
          <w:bCs/>
          <w:i w:val="0"/>
          <w:szCs w:val="28"/>
        </w:rPr>
        <w:t xml:space="preserve">3.1 </w:t>
      </w:r>
      <w:r>
        <w:rPr>
          <w:rFonts w:hint="eastAsia" w:ascii="宋体" w:hAnsi="宋体"/>
          <w:bCs/>
          <w:szCs w:val="28"/>
          <w:highlight w:val="none"/>
        </w:rPr>
        <w:t>投标文件封面格式</w:t>
      </w:r>
      <w:r>
        <w:tab/>
      </w:r>
      <w:r>
        <w:fldChar w:fldCharType="begin"/>
      </w:r>
      <w:r>
        <w:instrText xml:space="preserve"> PAGEREF _Toc32232 \h </w:instrText>
      </w:r>
      <w:r>
        <w:fldChar w:fldCharType="separate"/>
      </w:r>
      <w:r>
        <w:t>28</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_Toc18644 </w:instrText>
      </w:r>
      <w:r>
        <w:rPr>
          <w:rFonts w:hint="eastAsia"/>
          <w:highlight w:val="none"/>
        </w:rPr>
        <w:fldChar w:fldCharType="separate"/>
      </w:r>
      <w:r>
        <w:rPr>
          <w:rFonts w:hint="default" w:ascii="Times New Roman" w:hAnsi="Times New Roman" w:eastAsia="宋体" w:cs="Times New Roman"/>
          <w:bCs/>
          <w:i w:val="0"/>
          <w:szCs w:val="28"/>
        </w:rPr>
        <w:t xml:space="preserve">3.2 </w:t>
      </w:r>
      <w:r>
        <w:rPr>
          <w:rFonts w:hint="eastAsia" w:ascii="宋体" w:hAnsi="宋体"/>
          <w:bCs/>
          <w:szCs w:val="28"/>
          <w:highlight w:val="none"/>
        </w:rPr>
        <w:t>资格响应文件</w:t>
      </w:r>
      <w:r>
        <w:tab/>
      </w:r>
      <w:r>
        <w:fldChar w:fldCharType="begin"/>
      </w:r>
      <w:r>
        <w:instrText xml:space="preserve"> PAGEREF _Toc18644 \h </w:instrText>
      </w:r>
      <w:r>
        <w:fldChar w:fldCharType="separate"/>
      </w:r>
      <w:r>
        <w:t>29</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_Toc26118 </w:instrText>
      </w:r>
      <w:r>
        <w:rPr>
          <w:rFonts w:hint="eastAsia"/>
          <w:highlight w:val="none"/>
        </w:rPr>
        <w:fldChar w:fldCharType="separate"/>
      </w:r>
      <w:r>
        <w:rPr>
          <w:rFonts w:hint="default" w:ascii="Times New Roman" w:hAnsi="Times New Roman" w:eastAsia="宋体" w:cs="Times New Roman"/>
          <w:bCs/>
          <w:i w:val="0"/>
          <w:szCs w:val="28"/>
        </w:rPr>
        <w:t xml:space="preserve">3.3 </w:t>
      </w:r>
      <w:r>
        <w:rPr>
          <w:rFonts w:hint="eastAsia" w:ascii="宋体" w:hAnsi="宋体"/>
          <w:bCs/>
          <w:szCs w:val="28"/>
          <w:highlight w:val="none"/>
        </w:rPr>
        <w:t>商务技术响应文件</w:t>
      </w:r>
      <w:r>
        <w:tab/>
      </w:r>
      <w:r>
        <w:fldChar w:fldCharType="begin"/>
      </w:r>
      <w:r>
        <w:instrText xml:space="preserve"> PAGEREF _Toc26118 \h </w:instrText>
      </w:r>
      <w:r>
        <w:fldChar w:fldCharType="separate"/>
      </w:r>
      <w:r>
        <w:t>33</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_Toc23102 </w:instrText>
      </w:r>
      <w:r>
        <w:rPr>
          <w:rFonts w:hint="eastAsia"/>
          <w:highlight w:val="none"/>
        </w:rPr>
        <w:fldChar w:fldCharType="separate"/>
      </w:r>
      <w:r>
        <w:rPr>
          <w:rFonts w:hint="default" w:ascii="Times New Roman" w:hAnsi="Times New Roman" w:eastAsia="宋体" w:cs="Times New Roman"/>
          <w:i w:val="0"/>
          <w:szCs w:val="28"/>
        </w:rPr>
        <w:t xml:space="preserve">3.4 </w:t>
      </w:r>
      <w:r>
        <w:rPr>
          <w:rFonts w:hint="eastAsia" w:ascii="宋体" w:hAnsi="宋体"/>
          <w:highlight w:val="none"/>
        </w:rPr>
        <w:t>报价</w:t>
      </w:r>
      <w:r>
        <w:rPr>
          <w:rFonts w:hint="eastAsia" w:ascii="宋体" w:hAnsi="宋体"/>
          <w:bCs/>
          <w:szCs w:val="28"/>
          <w:highlight w:val="none"/>
        </w:rPr>
        <w:t>要求</w:t>
      </w:r>
      <w:r>
        <w:rPr>
          <w:rFonts w:hint="eastAsia" w:ascii="宋体" w:hAnsi="宋体"/>
          <w:highlight w:val="none"/>
        </w:rPr>
        <w:t>响应文件</w:t>
      </w:r>
      <w:r>
        <w:tab/>
      </w:r>
      <w:r>
        <w:fldChar w:fldCharType="begin"/>
      </w:r>
      <w:r>
        <w:instrText xml:space="preserve"> PAGEREF _Toc23102 \h </w:instrText>
      </w:r>
      <w:r>
        <w:fldChar w:fldCharType="separate"/>
      </w:r>
      <w:r>
        <w:t>3</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_Toc2329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第4章 </w:t>
      </w:r>
      <w:r>
        <w:rPr>
          <w:rFonts w:hint="eastAsia" w:ascii="宋体" w:hAnsi="宋体"/>
          <w:bCs/>
          <w:spacing w:val="-20"/>
          <w:kern w:val="44"/>
          <w:szCs w:val="32"/>
          <w:highlight w:val="none"/>
        </w:rPr>
        <w:t>招标项目技术、服务、商务及其他要求</w:t>
      </w:r>
      <w:r>
        <w:tab/>
      </w:r>
      <w:r>
        <w:fldChar w:fldCharType="begin"/>
      </w:r>
      <w:r>
        <w:instrText xml:space="preserve"> PAGEREF _Toc2329 \h </w:instrText>
      </w:r>
      <w:r>
        <w:fldChar w:fldCharType="separate"/>
      </w:r>
      <w:r>
        <w:t>10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_Toc30056 </w:instrText>
      </w:r>
      <w:r>
        <w:rPr>
          <w:rFonts w:hint="eastAsia"/>
          <w:highlight w:val="none"/>
        </w:rPr>
        <w:fldChar w:fldCharType="separate"/>
      </w:r>
      <w:r>
        <w:rPr>
          <w:rFonts w:hint="eastAsia" w:cs="Times New Roman"/>
          <w:bCs/>
          <w:szCs w:val="28"/>
          <w:lang w:val="en-US" w:eastAsia="zh-CN"/>
        </w:rPr>
        <w:t>4.1</w:t>
      </w:r>
      <w:r>
        <w:rPr>
          <w:rFonts w:hint="eastAsia" w:cs="Times New Roman"/>
          <w:bCs/>
          <w:szCs w:val="28"/>
        </w:rPr>
        <w:t>技术、服务要求</w:t>
      </w:r>
      <w:r>
        <w:tab/>
      </w:r>
      <w:r>
        <w:fldChar w:fldCharType="begin"/>
      </w:r>
      <w:r>
        <w:instrText xml:space="preserve"> PAGEREF _Toc30056 \h </w:instrText>
      </w:r>
      <w:r>
        <w:fldChar w:fldCharType="separate"/>
      </w:r>
      <w:r>
        <w:t>10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_Toc11259 </w:instrText>
      </w:r>
      <w:r>
        <w:rPr>
          <w:rFonts w:hint="eastAsia"/>
          <w:highlight w:val="none"/>
        </w:rPr>
        <w:fldChar w:fldCharType="separate"/>
      </w:r>
      <w:r>
        <w:rPr>
          <w:rFonts w:hint="eastAsia" w:cs="Times New Roman"/>
          <w:bCs/>
          <w:szCs w:val="24"/>
          <w:lang w:val="en-US" w:eastAsia="zh-CN"/>
        </w:rPr>
        <w:t>4</w:t>
      </w:r>
      <w:r>
        <w:rPr>
          <w:rFonts w:hint="eastAsia" w:cs="Times New Roman"/>
          <w:bCs/>
          <w:szCs w:val="24"/>
        </w:rPr>
        <w:t>.1.1项目名称：成都市温江区智慧平安小区建设项目</w:t>
      </w:r>
      <w:r>
        <w:tab/>
      </w:r>
      <w:r>
        <w:fldChar w:fldCharType="begin"/>
      </w:r>
      <w:r>
        <w:instrText xml:space="preserve"> PAGEREF _Toc11259 \h </w:instrText>
      </w:r>
      <w:r>
        <w:fldChar w:fldCharType="separate"/>
      </w:r>
      <w:r>
        <w:t>10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_Toc5241 </w:instrText>
      </w:r>
      <w:r>
        <w:rPr>
          <w:rFonts w:hint="eastAsia"/>
          <w:highlight w:val="none"/>
        </w:rPr>
        <w:fldChar w:fldCharType="separate"/>
      </w:r>
      <w:r>
        <w:rPr>
          <w:rFonts w:hint="eastAsia" w:cs="Times New Roman"/>
          <w:bCs/>
          <w:szCs w:val="24"/>
          <w:lang w:val="en-US" w:eastAsia="zh-CN"/>
        </w:rPr>
        <w:t>4</w:t>
      </w:r>
      <w:r>
        <w:rPr>
          <w:rFonts w:hint="eastAsia" w:cs="Times New Roman"/>
          <w:bCs/>
          <w:szCs w:val="24"/>
        </w:rPr>
        <w:t>.1.2项目概况：</w:t>
      </w:r>
      <w:r>
        <w:tab/>
      </w:r>
      <w:r>
        <w:fldChar w:fldCharType="begin"/>
      </w:r>
      <w:r>
        <w:instrText xml:space="preserve"> PAGEREF _Toc5241 \h </w:instrText>
      </w:r>
      <w:r>
        <w:fldChar w:fldCharType="separate"/>
      </w:r>
      <w:r>
        <w:t>10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_Toc10380 </w:instrText>
      </w:r>
      <w:r>
        <w:rPr>
          <w:rFonts w:hint="eastAsia"/>
          <w:highlight w:val="none"/>
        </w:rPr>
        <w:fldChar w:fldCharType="separate"/>
      </w:r>
      <w:r>
        <w:rPr>
          <w:rFonts w:hint="eastAsia" w:cs="Times New Roman"/>
          <w:bCs/>
          <w:szCs w:val="24"/>
          <w:lang w:val="en-US" w:eastAsia="zh-CN"/>
        </w:rPr>
        <w:t>4</w:t>
      </w:r>
      <w:r>
        <w:rPr>
          <w:rFonts w:hint="eastAsia" w:cs="Times New Roman"/>
          <w:bCs/>
          <w:szCs w:val="24"/>
        </w:rPr>
        <w:t>.1.3技术参数及要求</w:t>
      </w:r>
      <w:r>
        <w:tab/>
      </w:r>
      <w:r>
        <w:fldChar w:fldCharType="begin"/>
      </w:r>
      <w:r>
        <w:instrText xml:space="preserve"> PAGEREF _Toc10380 \h </w:instrText>
      </w:r>
      <w:r>
        <w:fldChar w:fldCharType="separate"/>
      </w:r>
      <w:r>
        <w:t>11</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_Toc27935 </w:instrText>
      </w:r>
      <w:r>
        <w:rPr>
          <w:rFonts w:hint="eastAsia"/>
          <w:highlight w:val="none"/>
        </w:rPr>
        <w:fldChar w:fldCharType="separate"/>
      </w:r>
      <w:r>
        <w:rPr>
          <w:rFonts w:hint="eastAsia" w:cs="Times New Roman"/>
          <w:bCs/>
          <w:szCs w:val="24"/>
          <w:lang w:val="en-US" w:eastAsia="zh-CN"/>
        </w:rPr>
        <w:t>4</w:t>
      </w:r>
      <w:r>
        <w:rPr>
          <w:rFonts w:hint="eastAsia" w:cs="Times New Roman"/>
          <w:bCs/>
          <w:szCs w:val="24"/>
        </w:rPr>
        <w:t>.1.4服务要求</w:t>
      </w:r>
      <w:r>
        <w:tab/>
      </w:r>
      <w:r>
        <w:fldChar w:fldCharType="begin"/>
      </w:r>
      <w:r>
        <w:instrText xml:space="preserve"> PAGEREF _Toc27935 \h </w:instrText>
      </w:r>
      <w:r>
        <w:fldChar w:fldCharType="separate"/>
      </w:r>
      <w:r>
        <w:t>11</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_Toc8368 </w:instrText>
      </w:r>
      <w:r>
        <w:rPr>
          <w:rFonts w:hint="eastAsia"/>
          <w:highlight w:val="none"/>
        </w:rPr>
        <w:fldChar w:fldCharType="separate"/>
      </w:r>
      <w:r>
        <w:rPr>
          <w:rFonts w:hint="eastAsia" w:cs="Times New Roman"/>
          <w:bCs/>
          <w:szCs w:val="28"/>
          <w:lang w:val="en-US" w:eastAsia="zh-CN"/>
        </w:rPr>
        <w:t>4</w:t>
      </w:r>
      <w:r>
        <w:rPr>
          <w:rFonts w:hint="eastAsia" w:cs="Times New Roman"/>
          <w:bCs/>
          <w:szCs w:val="28"/>
        </w:rPr>
        <w:t>.2商务要求</w:t>
      </w:r>
      <w:r>
        <w:tab/>
      </w:r>
      <w:r>
        <w:fldChar w:fldCharType="begin"/>
      </w:r>
      <w:r>
        <w:instrText xml:space="preserve"> PAGEREF _Toc8368 \h </w:instrText>
      </w:r>
      <w:r>
        <w:fldChar w:fldCharType="separate"/>
      </w:r>
      <w:r>
        <w:t>11</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_Toc14099 </w:instrText>
      </w:r>
      <w:r>
        <w:rPr>
          <w:rFonts w:hint="eastAsia"/>
          <w:highlight w:val="none"/>
        </w:rPr>
        <w:fldChar w:fldCharType="separate"/>
      </w:r>
      <w:r>
        <w:rPr>
          <w:rFonts w:hint="eastAsia" w:cs="Times New Roman"/>
          <w:bCs/>
          <w:szCs w:val="28"/>
          <w:lang w:val="en-US" w:eastAsia="zh-CN"/>
        </w:rPr>
        <w:t>4</w:t>
      </w:r>
      <w:r>
        <w:rPr>
          <w:rFonts w:hint="eastAsia" w:cs="Times New Roman"/>
          <w:bCs/>
          <w:szCs w:val="28"/>
        </w:rPr>
        <w:t>.3其他要求</w:t>
      </w:r>
      <w:r>
        <w:tab/>
      </w:r>
      <w:r>
        <w:fldChar w:fldCharType="begin"/>
      </w:r>
      <w:r>
        <w:instrText xml:space="preserve"> PAGEREF _Toc14099 \h </w:instrText>
      </w:r>
      <w:r>
        <w:fldChar w:fldCharType="separate"/>
      </w:r>
      <w:r>
        <w:t>13</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_Toc15731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第5章 </w:t>
      </w:r>
      <w:r>
        <w:rPr>
          <w:rFonts w:hint="eastAsia" w:ascii="宋体" w:hAnsi="宋体"/>
          <w:bCs/>
          <w:spacing w:val="-20"/>
          <w:kern w:val="44"/>
          <w:szCs w:val="32"/>
          <w:highlight w:val="none"/>
        </w:rPr>
        <w:t>资格性审查</w:t>
      </w:r>
      <w:r>
        <w:tab/>
      </w:r>
      <w:r>
        <w:fldChar w:fldCharType="begin"/>
      </w:r>
      <w:r>
        <w:instrText xml:space="preserve"> PAGEREF _Toc15731 \h </w:instrText>
      </w:r>
      <w:r>
        <w:fldChar w:fldCharType="separate"/>
      </w:r>
      <w:r>
        <w:t>53</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_Toc20270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第6章 </w:t>
      </w:r>
      <w:r>
        <w:rPr>
          <w:rFonts w:hint="eastAsia" w:ascii="宋体" w:hAnsi="宋体"/>
          <w:bCs/>
          <w:spacing w:val="-20"/>
          <w:kern w:val="44"/>
          <w:szCs w:val="32"/>
          <w:highlight w:val="none"/>
        </w:rPr>
        <w:t>评标办法</w:t>
      </w:r>
      <w:r>
        <w:tab/>
      </w:r>
      <w:r>
        <w:fldChar w:fldCharType="begin"/>
      </w:r>
      <w:r>
        <w:instrText xml:space="preserve"> PAGEREF _Toc20270 \h </w:instrText>
      </w:r>
      <w:r>
        <w:fldChar w:fldCharType="separate"/>
      </w:r>
      <w:r>
        <w:t>57</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_Toc18285 </w:instrText>
      </w:r>
      <w:r>
        <w:rPr>
          <w:rFonts w:hint="eastAsia"/>
          <w:highlight w:val="none"/>
        </w:rPr>
        <w:fldChar w:fldCharType="separate"/>
      </w:r>
      <w:r>
        <w:rPr>
          <w:rFonts w:hint="default" w:ascii="Times New Roman" w:hAnsi="Times New Roman" w:eastAsia="宋体" w:cs="Times New Roman"/>
          <w:bCs/>
          <w:i w:val="0"/>
          <w:szCs w:val="28"/>
        </w:rPr>
        <w:t xml:space="preserve">6.1 </w:t>
      </w:r>
      <w:r>
        <w:rPr>
          <w:rFonts w:hint="eastAsia" w:ascii="宋体" w:hAnsi="宋体"/>
          <w:bCs/>
          <w:szCs w:val="28"/>
          <w:highlight w:val="none"/>
        </w:rPr>
        <w:t>总则</w:t>
      </w:r>
      <w:r>
        <w:tab/>
      </w:r>
      <w:r>
        <w:fldChar w:fldCharType="begin"/>
      </w:r>
      <w:r>
        <w:instrText xml:space="preserve"> PAGEREF _Toc18285 \h </w:instrText>
      </w:r>
      <w:r>
        <w:fldChar w:fldCharType="separate"/>
      </w:r>
      <w:r>
        <w:t>57</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_Toc3727 </w:instrText>
      </w:r>
      <w:r>
        <w:rPr>
          <w:rFonts w:hint="eastAsia"/>
          <w:highlight w:val="none"/>
        </w:rPr>
        <w:fldChar w:fldCharType="separate"/>
      </w:r>
      <w:r>
        <w:rPr>
          <w:rFonts w:hint="default" w:ascii="Times New Roman" w:hAnsi="Times New Roman" w:eastAsia="宋体" w:cs="Times New Roman"/>
          <w:bCs/>
          <w:i w:val="0"/>
          <w:szCs w:val="28"/>
        </w:rPr>
        <w:t xml:space="preserve">6.2 </w:t>
      </w:r>
      <w:r>
        <w:rPr>
          <w:rFonts w:hint="eastAsia" w:ascii="宋体" w:hAnsi="宋体"/>
          <w:bCs/>
          <w:szCs w:val="28"/>
          <w:highlight w:val="none"/>
        </w:rPr>
        <w:t>评标方法</w:t>
      </w:r>
      <w:r>
        <w:tab/>
      </w:r>
      <w:r>
        <w:fldChar w:fldCharType="begin"/>
      </w:r>
      <w:r>
        <w:instrText xml:space="preserve"> PAGEREF _Toc3727 \h </w:instrText>
      </w:r>
      <w:r>
        <w:fldChar w:fldCharType="separate"/>
      </w:r>
      <w:r>
        <w:t>59</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_Toc16634 </w:instrText>
      </w:r>
      <w:r>
        <w:rPr>
          <w:rFonts w:hint="eastAsia"/>
          <w:highlight w:val="none"/>
        </w:rPr>
        <w:fldChar w:fldCharType="separate"/>
      </w:r>
      <w:r>
        <w:rPr>
          <w:rFonts w:hint="default" w:ascii="Times New Roman" w:hAnsi="Times New Roman" w:eastAsia="宋体" w:cs="Times New Roman"/>
          <w:bCs/>
          <w:i w:val="0"/>
          <w:szCs w:val="28"/>
        </w:rPr>
        <w:t xml:space="preserve">6.3 </w:t>
      </w:r>
      <w:r>
        <w:rPr>
          <w:rFonts w:hint="eastAsia" w:ascii="宋体" w:hAnsi="宋体"/>
          <w:bCs/>
          <w:szCs w:val="28"/>
          <w:highlight w:val="none"/>
        </w:rPr>
        <w:t>评标程序</w:t>
      </w:r>
      <w:r>
        <w:tab/>
      </w:r>
      <w:r>
        <w:fldChar w:fldCharType="begin"/>
      </w:r>
      <w:r>
        <w:instrText xml:space="preserve"> PAGEREF _Toc16634 \h </w:instrText>
      </w:r>
      <w:r>
        <w:fldChar w:fldCharType="separate"/>
      </w:r>
      <w:r>
        <w:t>59</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_Toc3058 </w:instrText>
      </w:r>
      <w:r>
        <w:rPr>
          <w:rFonts w:hint="eastAsia"/>
          <w:highlight w:val="none"/>
        </w:rPr>
        <w:fldChar w:fldCharType="separate"/>
      </w:r>
      <w:r>
        <w:rPr>
          <w:rFonts w:hint="default" w:ascii="Times New Roman" w:hAnsi="Times New Roman" w:eastAsia="宋体" w:cs="Times New Roman"/>
          <w:bCs/>
          <w:i w:val="0"/>
          <w:szCs w:val="28"/>
        </w:rPr>
        <w:t xml:space="preserve">6.4 </w:t>
      </w:r>
      <w:r>
        <w:rPr>
          <w:rFonts w:hint="eastAsia" w:ascii="宋体" w:hAnsi="宋体"/>
          <w:bCs/>
          <w:szCs w:val="28"/>
          <w:highlight w:val="none"/>
        </w:rPr>
        <w:t>评标争议处理规则</w:t>
      </w:r>
      <w:r>
        <w:tab/>
      </w:r>
      <w:r>
        <w:fldChar w:fldCharType="begin"/>
      </w:r>
      <w:r>
        <w:instrText xml:space="preserve"> PAGEREF _Toc3058 \h </w:instrText>
      </w:r>
      <w:r>
        <w:fldChar w:fldCharType="separate"/>
      </w:r>
      <w:r>
        <w:t>65</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_Toc22355 </w:instrText>
      </w:r>
      <w:r>
        <w:rPr>
          <w:rFonts w:hint="eastAsia"/>
          <w:highlight w:val="none"/>
        </w:rPr>
        <w:fldChar w:fldCharType="separate"/>
      </w:r>
      <w:r>
        <w:rPr>
          <w:rFonts w:hint="default" w:ascii="Times New Roman" w:hAnsi="Times New Roman" w:eastAsia="宋体" w:cs="Times New Roman"/>
          <w:bCs/>
          <w:i w:val="0"/>
          <w:szCs w:val="28"/>
        </w:rPr>
        <w:t xml:space="preserve">6.5 </w:t>
      </w:r>
      <w:r>
        <w:rPr>
          <w:rFonts w:hint="eastAsia" w:ascii="宋体" w:hAnsi="宋体"/>
          <w:bCs/>
          <w:szCs w:val="28"/>
          <w:highlight w:val="none"/>
        </w:rPr>
        <w:t>评标细则及标准</w:t>
      </w:r>
      <w:r>
        <w:tab/>
      </w:r>
      <w:r>
        <w:fldChar w:fldCharType="begin"/>
      </w:r>
      <w:r>
        <w:instrText xml:space="preserve"> PAGEREF _Toc22355 \h </w:instrText>
      </w:r>
      <w:r>
        <w:fldChar w:fldCharType="separate"/>
      </w:r>
      <w:r>
        <w:t>65</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_Toc14214 </w:instrText>
      </w:r>
      <w:r>
        <w:rPr>
          <w:rFonts w:hint="eastAsia"/>
          <w:highlight w:val="none"/>
        </w:rPr>
        <w:fldChar w:fldCharType="separate"/>
      </w:r>
      <w:r>
        <w:rPr>
          <w:rFonts w:hint="default" w:ascii="Times New Roman" w:hAnsi="Times New Roman" w:eastAsia="宋体" w:cs="Times New Roman"/>
          <w:bCs/>
          <w:i w:val="0"/>
          <w:szCs w:val="28"/>
        </w:rPr>
        <w:t xml:space="preserve">6.6 </w:t>
      </w:r>
      <w:r>
        <w:rPr>
          <w:rFonts w:hint="eastAsia" w:ascii="宋体" w:hAnsi="宋体"/>
          <w:bCs/>
          <w:szCs w:val="28"/>
          <w:highlight w:val="none"/>
        </w:rPr>
        <w:t>废标</w:t>
      </w:r>
      <w:r>
        <w:tab/>
      </w:r>
      <w:r>
        <w:fldChar w:fldCharType="begin"/>
      </w:r>
      <w:r>
        <w:instrText xml:space="preserve"> PAGEREF _Toc14214 \h </w:instrText>
      </w:r>
      <w:r>
        <w:fldChar w:fldCharType="separate"/>
      </w:r>
      <w:r>
        <w:t>69</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_Toc14934 </w:instrText>
      </w:r>
      <w:r>
        <w:rPr>
          <w:rFonts w:hint="eastAsia"/>
          <w:highlight w:val="none"/>
        </w:rPr>
        <w:fldChar w:fldCharType="separate"/>
      </w:r>
      <w:r>
        <w:rPr>
          <w:rFonts w:hint="default" w:ascii="Times New Roman" w:hAnsi="Times New Roman" w:eastAsia="宋体" w:cs="Times New Roman"/>
          <w:bCs/>
          <w:i w:val="0"/>
          <w:szCs w:val="28"/>
        </w:rPr>
        <w:t xml:space="preserve">6.7 </w:t>
      </w:r>
      <w:r>
        <w:rPr>
          <w:rFonts w:hint="eastAsia" w:ascii="宋体" w:hAnsi="宋体"/>
          <w:bCs/>
          <w:szCs w:val="28"/>
          <w:highlight w:val="none"/>
        </w:rPr>
        <w:t>定标</w:t>
      </w:r>
      <w:r>
        <w:tab/>
      </w:r>
      <w:r>
        <w:fldChar w:fldCharType="begin"/>
      </w:r>
      <w:r>
        <w:instrText xml:space="preserve"> PAGEREF _Toc14934 \h </w:instrText>
      </w:r>
      <w:r>
        <w:fldChar w:fldCharType="separate"/>
      </w:r>
      <w:r>
        <w:t>69</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_Toc18526 </w:instrText>
      </w:r>
      <w:r>
        <w:rPr>
          <w:rFonts w:hint="eastAsia"/>
          <w:highlight w:val="none"/>
        </w:rPr>
        <w:fldChar w:fldCharType="separate"/>
      </w:r>
      <w:r>
        <w:rPr>
          <w:rFonts w:hint="default" w:ascii="Times New Roman" w:hAnsi="Times New Roman" w:eastAsia="宋体" w:cs="Times New Roman"/>
          <w:bCs/>
          <w:i w:val="0"/>
          <w:szCs w:val="28"/>
        </w:rPr>
        <w:t xml:space="preserve">6.8 </w:t>
      </w:r>
      <w:r>
        <w:rPr>
          <w:rFonts w:hint="eastAsia" w:ascii="宋体" w:hAnsi="宋体"/>
          <w:bCs/>
          <w:szCs w:val="28"/>
          <w:highlight w:val="none"/>
        </w:rPr>
        <w:t>评标专家在政府采购活动中承担以下义务</w:t>
      </w:r>
      <w:r>
        <w:tab/>
      </w:r>
      <w:r>
        <w:fldChar w:fldCharType="begin"/>
      </w:r>
      <w:r>
        <w:instrText xml:space="preserve"> PAGEREF _Toc18526 \h </w:instrText>
      </w:r>
      <w:r>
        <w:fldChar w:fldCharType="separate"/>
      </w:r>
      <w:r>
        <w:t>70</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_Toc6352 </w:instrText>
      </w:r>
      <w:r>
        <w:rPr>
          <w:rFonts w:hint="eastAsia"/>
          <w:highlight w:val="none"/>
        </w:rPr>
        <w:fldChar w:fldCharType="separate"/>
      </w:r>
      <w:r>
        <w:rPr>
          <w:rFonts w:hint="default" w:ascii="Times New Roman" w:hAnsi="Times New Roman" w:eastAsia="宋体" w:cs="Times New Roman"/>
          <w:bCs/>
          <w:i w:val="0"/>
          <w:szCs w:val="28"/>
        </w:rPr>
        <w:t xml:space="preserve">6.9 </w:t>
      </w:r>
      <w:r>
        <w:rPr>
          <w:rFonts w:hint="eastAsia" w:ascii="宋体" w:hAnsi="宋体"/>
          <w:bCs/>
          <w:szCs w:val="28"/>
          <w:highlight w:val="none"/>
        </w:rPr>
        <w:t>评标委员会及其成员不得有下列行为</w:t>
      </w:r>
      <w:r>
        <w:tab/>
      </w:r>
      <w:r>
        <w:fldChar w:fldCharType="begin"/>
      </w:r>
      <w:r>
        <w:instrText xml:space="preserve"> PAGEREF _Toc6352 \h </w:instrText>
      </w:r>
      <w:r>
        <w:fldChar w:fldCharType="separate"/>
      </w:r>
      <w:r>
        <w:t>71</w:t>
      </w:r>
      <w:r>
        <w:fldChar w:fldCharType="end"/>
      </w:r>
      <w:r>
        <w:rPr>
          <w:rFonts w:hint="eastAsia"/>
          <w:color w:val="auto"/>
          <w:highlight w:val="none"/>
        </w:rPr>
        <w:fldChar w:fldCharType="end"/>
      </w:r>
    </w:p>
    <w:p>
      <w:pPr>
        <w:pStyle w:val="35"/>
        <w:tabs>
          <w:tab w:val="right" w:leader="dot" w:pos="8958"/>
          <w:tab w:val="clear" w:pos="620"/>
          <w:tab w:val="clear" w:pos="8364"/>
        </w:tabs>
      </w:pPr>
      <w:r>
        <w:rPr>
          <w:rFonts w:hint="eastAsia"/>
          <w:color w:val="auto"/>
          <w:highlight w:val="none"/>
        </w:rPr>
        <w:fldChar w:fldCharType="begin"/>
      </w:r>
      <w:r>
        <w:rPr>
          <w:rFonts w:hint="eastAsia"/>
          <w:highlight w:val="none"/>
        </w:rPr>
        <w:instrText xml:space="preserve"> HYPERLINK \l _Toc15880 </w:instrText>
      </w:r>
      <w:r>
        <w:rPr>
          <w:rFonts w:hint="eastAsia"/>
          <w:highlight w:val="none"/>
        </w:rPr>
        <w:fldChar w:fldCharType="separate"/>
      </w:r>
      <w:r>
        <w:rPr>
          <w:rFonts w:hint="default" w:ascii="Times New Roman" w:hAnsi="Times New Roman" w:eastAsia="宋体" w:cs="Times New Roman"/>
          <w:bCs/>
          <w:i w:val="0"/>
          <w:szCs w:val="28"/>
        </w:rPr>
        <w:t xml:space="preserve">6.10 </w:t>
      </w:r>
      <w:r>
        <w:rPr>
          <w:rFonts w:hint="eastAsia" w:ascii="宋体" w:hAnsi="宋体"/>
          <w:bCs/>
          <w:szCs w:val="28"/>
          <w:highlight w:val="none"/>
        </w:rPr>
        <w:t>评审专家在政府采购活动中应当遵守以下工作纪律</w:t>
      </w:r>
      <w:r>
        <w:tab/>
      </w:r>
      <w:r>
        <w:fldChar w:fldCharType="begin"/>
      </w:r>
      <w:r>
        <w:instrText xml:space="preserve"> PAGEREF _Toc15880 \h </w:instrText>
      </w:r>
      <w:r>
        <w:fldChar w:fldCharType="separate"/>
      </w:r>
      <w:r>
        <w:t>72</w:t>
      </w:r>
      <w:r>
        <w:fldChar w:fldCharType="end"/>
      </w:r>
      <w:r>
        <w:rPr>
          <w:rFonts w:hint="eastAsia"/>
          <w:color w:val="auto"/>
          <w:highlight w:val="none"/>
        </w:rPr>
        <w:fldChar w:fldCharType="end"/>
      </w:r>
    </w:p>
    <w:p>
      <w:pPr>
        <w:pStyle w:val="29"/>
        <w:tabs>
          <w:tab w:val="right" w:leader="dot" w:pos="8958"/>
          <w:tab w:val="clear" w:pos="709"/>
          <w:tab w:val="clear" w:pos="8364"/>
        </w:tabs>
      </w:pPr>
      <w:r>
        <w:rPr>
          <w:rFonts w:hint="eastAsia"/>
          <w:color w:val="auto"/>
          <w:highlight w:val="none"/>
        </w:rPr>
        <w:fldChar w:fldCharType="begin"/>
      </w:r>
      <w:r>
        <w:rPr>
          <w:rFonts w:hint="eastAsia"/>
          <w:highlight w:val="none"/>
        </w:rPr>
        <w:instrText xml:space="preserve"> HYPERLINK \l _Toc14379 </w:instrText>
      </w:r>
      <w:r>
        <w:rPr>
          <w:rFonts w:hint="eastAsia"/>
          <w:highlight w:val="none"/>
        </w:rPr>
        <w:fldChar w:fldCharType="separate"/>
      </w:r>
      <w:r>
        <w:rPr>
          <w:rFonts w:hint="default" w:ascii="Times New Roman" w:hAnsi="Times New Roman" w:eastAsia="宋体" w:cs="Times New Roman"/>
          <w:bCs/>
          <w:i w:val="0"/>
          <w:spacing w:val="-20"/>
          <w:kern w:val="44"/>
          <w:szCs w:val="32"/>
        </w:rPr>
        <w:t xml:space="preserve">第7章 </w:t>
      </w:r>
      <w:r>
        <w:rPr>
          <w:rFonts w:hint="eastAsia" w:ascii="宋体" w:hAnsi="宋体"/>
          <w:bCs/>
          <w:spacing w:val="-20"/>
          <w:kern w:val="44"/>
          <w:szCs w:val="32"/>
          <w:highlight w:val="none"/>
        </w:rPr>
        <w:t>拟签订的合同文本</w:t>
      </w:r>
      <w:r>
        <w:tab/>
      </w:r>
      <w:r>
        <w:fldChar w:fldCharType="begin"/>
      </w:r>
      <w:r>
        <w:instrText xml:space="preserve"> PAGEREF _Toc14379 \h </w:instrText>
      </w:r>
      <w:r>
        <w:fldChar w:fldCharType="separate"/>
      </w:r>
      <w:r>
        <w:t>73</w:t>
      </w:r>
      <w:r>
        <w:fldChar w:fldCharType="end"/>
      </w:r>
      <w:r>
        <w:rPr>
          <w:rFonts w:hint="eastAsia"/>
          <w:color w:val="auto"/>
          <w:highlight w:val="none"/>
        </w:rPr>
        <w:fldChar w:fldCharType="end"/>
      </w:r>
    </w:p>
    <w:p>
      <w:pPr>
        <w:tabs>
          <w:tab w:val="left" w:pos="620"/>
          <w:tab w:val="right" w:leader="dot" w:pos="8364"/>
        </w:tabs>
        <w:ind w:left="180"/>
        <w:rPr>
          <w:color w:val="auto"/>
          <w:highlight w:val="none"/>
        </w:rPr>
      </w:pPr>
      <w:r>
        <w:rPr>
          <w:rFonts w:hint="eastAsia"/>
          <w:color w:val="auto"/>
          <w:highlight w:val="none"/>
        </w:rPr>
        <w:fldChar w:fldCharType="end"/>
      </w:r>
    </w:p>
    <w:p>
      <w:pPr>
        <w:tabs>
          <w:tab w:val="left" w:pos="620"/>
          <w:tab w:val="right" w:leader="dot" w:pos="8364"/>
        </w:tabs>
        <w:ind w:left="180"/>
        <w:rPr>
          <w:color w:val="auto"/>
          <w:highlight w:val="none"/>
        </w:rPr>
      </w:pPr>
    </w:p>
    <w:p>
      <w:pPr>
        <w:keepNext/>
        <w:keepLines/>
        <w:numPr>
          <w:ilvl w:val="0"/>
          <w:numId w:val="5"/>
        </w:numPr>
        <w:spacing w:before="340" w:after="330" w:line="400" w:lineRule="exact"/>
        <w:jc w:val="center"/>
        <w:outlineLvl w:val="0"/>
        <w:rPr>
          <w:rFonts w:ascii="宋体" w:hAnsi="宋体"/>
          <w:b/>
          <w:bCs/>
          <w:color w:val="auto"/>
          <w:spacing w:val="-20"/>
          <w:kern w:val="44"/>
          <w:sz w:val="32"/>
          <w:szCs w:val="32"/>
          <w:highlight w:val="none"/>
        </w:rPr>
      </w:pPr>
      <w:bookmarkStart w:id="4" w:name="_Toc4756"/>
      <w:bookmarkStart w:id="5" w:name="_Toc181610856"/>
      <w:bookmarkStart w:id="6" w:name="_Toc204575871"/>
      <w:bookmarkStart w:id="7" w:name="_Toc181591102"/>
      <w:bookmarkStart w:id="8" w:name="_Toc17118"/>
      <w:r>
        <w:rPr>
          <w:rFonts w:hint="eastAsia" w:ascii="宋体" w:hAnsi="宋体"/>
          <w:b/>
          <w:bCs/>
          <w:color w:val="auto"/>
          <w:spacing w:val="-20"/>
          <w:kern w:val="44"/>
          <w:sz w:val="32"/>
          <w:szCs w:val="32"/>
          <w:highlight w:val="none"/>
        </w:rPr>
        <w:t>投标邀请</w:t>
      </w:r>
      <w:bookmarkEnd w:id="4"/>
      <w:bookmarkEnd w:id="5"/>
      <w:bookmarkEnd w:id="6"/>
      <w:bookmarkEnd w:id="7"/>
      <w:bookmarkEnd w:id="8"/>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成都市</w:t>
      </w:r>
      <w:r>
        <w:rPr>
          <w:rFonts w:hint="eastAsia" w:ascii="宋体" w:hAnsi="宋体"/>
          <w:color w:val="auto"/>
          <w:sz w:val="28"/>
          <w:szCs w:val="28"/>
          <w:highlight w:val="none"/>
          <w:lang w:eastAsia="zh-CN"/>
        </w:rPr>
        <w:t>温江区</w:t>
      </w:r>
      <w:r>
        <w:rPr>
          <w:rFonts w:hint="eastAsia" w:ascii="宋体" w:hAnsi="宋体"/>
          <w:color w:val="auto"/>
          <w:sz w:val="28"/>
          <w:szCs w:val="28"/>
          <w:highlight w:val="none"/>
        </w:rPr>
        <w:t>公共资源交易服务中心(以下简称“</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公资交易中心”)受</w:t>
      </w:r>
      <w:r>
        <w:rPr>
          <w:rFonts w:hint="eastAsia" w:ascii="宋体" w:hAnsi="宋体"/>
          <w:b/>
          <w:bCs/>
          <w:color w:val="auto"/>
          <w:sz w:val="28"/>
          <w:szCs w:val="28"/>
          <w:highlight w:val="none"/>
        </w:rPr>
        <w:t>中共成都市温江区委政法委员会</w:t>
      </w:r>
      <w:r>
        <w:rPr>
          <w:rFonts w:hint="eastAsia" w:ascii="宋体" w:hAnsi="宋体"/>
          <w:color w:val="auto"/>
          <w:sz w:val="28"/>
          <w:szCs w:val="28"/>
          <w:highlight w:val="none"/>
        </w:rPr>
        <w:t>委托，拟对</w:t>
      </w:r>
      <w:r>
        <w:rPr>
          <w:rFonts w:hint="eastAsia" w:ascii="宋体" w:hAnsi="宋体"/>
          <w:b/>
          <w:bCs/>
          <w:color w:val="auto"/>
          <w:sz w:val="28"/>
          <w:szCs w:val="28"/>
          <w:highlight w:val="none"/>
          <w:lang w:val="en-US" w:eastAsia="zh-CN"/>
        </w:rPr>
        <w:t>成</w:t>
      </w:r>
      <w:r>
        <w:rPr>
          <w:rFonts w:hint="eastAsia" w:ascii="宋体" w:hAnsi="宋体"/>
          <w:b/>
          <w:bCs/>
          <w:color w:val="auto"/>
          <w:sz w:val="28"/>
          <w:szCs w:val="28"/>
          <w:highlight w:val="none"/>
        </w:rPr>
        <w:t>都市温江区智慧平安小区建设项目</w:t>
      </w:r>
      <w:r>
        <w:rPr>
          <w:rFonts w:hint="eastAsia" w:ascii="宋体" w:hAnsi="宋体"/>
          <w:color w:val="auto"/>
          <w:sz w:val="28"/>
          <w:szCs w:val="28"/>
          <w:highlight w:val="none"/>
        </w:rPr>
        <w:t>进行国内公开招标，兹邀请符合本次招标要求的供应商参加投标。</w:t>
      </w:r>
    </w:p>
    <w:p>
      <w:pPr>
        <w:numPr>
          <w:ilvl w:val="0"/>
          <w:numId w:val="6"/>
        </w:numPr>
        <w:spacing w:line="360" w:lineRule="auto"/>
        <w:ind w:left="0" w:firstLine="567"/>
        <w:rPr>
          <w:rFonts w:ascii="宋体" w:hAnsi="宋体"/>
          <w:b/>
          <w:color w:val="auto"/>
          <w:sz w:val="28"/>
          <w:szCs w:val="28"/>
          <w:highlight w:val="none"/>
        </w:rPr>
      </w:pPr>
      <w:r>
        <w:rPr>
          <w:rFonts w:hint="eastAsia" w:ascii="宋体" w:hAnsi="宋体"/>
          <w:b/>
          <w:color w:val="auto"/>
          <w:sz w:val="28"/>
          <w:szCs w:val="28"/>
          <w:highlight w:val="none"/>
        </w:rPr>
        <w:t>项目编号：</w:t>
      </w:r>
      <w:r>
        <w:rPr>
          <w:rFonts w:hint="eastAsia" w:ascii="宋体" w:hAnsi="宋体"/>
          <w:b/>
          <w:color w:val="auto"/>
          <w:sz w:val="28"/>
          <w:szCs w:val="28"/>
          <w:highlight w:val="none"/>
          <w:lang w:eastAsia="zh-CN"/>
        </w:rPr>
        <w:t>温江政采（2021）A0</w:t>
      </w:r>
      <w:r>
        <w:rPr>
          <w:rFonts w:hint="eastAsia" w:ascii="宋体" w:hAnsi="宋体"/>
          <w:b/>
          <w:bCs w:val="0"/>
          <w:color w:val="auto"/>
          <w:sz w:val="28"/>
          <w:szCs w:val="28"/>
          <w:highlight w:val="none"/>
          <w:lang w:eastAsia="zh-CN"/>
        </w:rPr>
        <w:t>0</w:t>
      </w:r>
      <w:r>
        <w:rPr>
          <w:rFonts w:hint="eastAsia" w:ascii="宋体" w:hAnsi="宋体"/>
          <w:b/>
          <w:bCs w:val="0"/>
          <w:color w:val="auto"/>
          <w:sz w:val="28"/>
          <w:szCs w:val="28"/>
          <w:highlight w:val="none"/>
          <w:lang w:val="en-US" w:eastAsia="zh-CN"/>
        </w:rPr>
        <w:t>31</w:t>
      </w:r>
      <w:r>
        <w:rPr>
          <w:rFonts w:hint="eastAsia" w:ascii="宋体" w:hAnsi="宋体"/>
          <w:b/>
          <w:color w:val="auto"/>
          <w:sz w:val="28"/>
          <w:szCs w:val="28"/>
          <w:highlight w:val="none"/>
          <w:lang w:eastAsia="zh-CN"/>
        </w:rPr>
        <w:t>号</w:t>
      </w:r>
    </w:p>
    <w:p>
      <w:pPr>
        <w:spacing w:line="360" w:lineRule="auto"/>
        <w:ind w:left="567" w:firstLine="281" w:firstLineChars="100"/>
        <w:rPr>
          <w:rFonts w:ascii="宋体" w:hAnsi="宋体"/>
          <w:b/>
          <w:color w:val="auto"/>
          <w:sz w:val="28"/>
          <w:szCs w:val="28"/>
          <w:highlight w:val="none"/>
        </w:rPr>
      </w:pPr>
      <w:r>
        <w:rPr>
          <w:rFonts w:hint="eastAsia" w:ascii="宋体" w:hAnsi="宋体"/>
          <w:b/>
          <w:color w:val="auto"/>
          <w:sz w:val="28"/>
          <w:szCs w:val="28"/>
          <w:highlight w:val="none"/>
        </w:rPr>
        <w:t>（采购项目编号：510115202100040）</w:t>
      </w:r>
    </w:p>
    <w:p>
      <w:pPr>
        <w:numPr>
          <w:ilvl w:val="0"/>
          <w:numId w:val="6"/>
        </w:numPr>
        <w:spacing w:line="360" w:lineRule="auto"/>
        <w:ind w:left="0" w:firstLine="562" w:firstLineChars="200"/>
        <w:rPr>
          <w:rFonts w:ascii="宋体" w:hAnsi="宋体"/>
          <w:b/>
          <w:bCs/>
          <w:color w:val="auto"/>
          <w:sz w:val="28"/>
          <w:szCs w:val="28"/>
          <w:highlight w:val="none"/>
        </w:rPr>
      </w:pPr>
      <w:r>
        <w:rPr>
          <w:rFonts w:hint="eastAsia" w:ascii="宋体" w:hAnsi="宋体"/>
          <w:b/>
          <w:color w:val="auto"/>
          <w:sz w:val="28"/>
          <w:szCs w:val="28"/>
          <w:highlight w:val="none"/>
        </w:rPr>
        <w:t>项目名称：</w:t>
      </w:r>
      <w:r>
        <w:rPr>
          <w:rFonts w:hint="eastAsia" w:ascii="宋体" w:hAnsi="宋体"/>
          <w:b/>
          <w:bCs/>
          <w:color w:val="auto"/>
          <w:sz w:val="28"/>
          <w:szCs w:val="28"/>
          <w:highlight w:val="none"/>
          <w:lang w:val="en-US" w:eastAsia="zh-CN"/>
        </w:rPr>
        <w:t>成</w:t>
      </w:r>
      <w:r>
        <w:rPr>
          <w:rFonts w:hint="eastAsia" w:ascii="宋体" w:hAnsi="宋体"/>
          <w:b/>
          <w:bCs/>
          <w:color w:val="auto"/>
          <w:sz w:val="28"/>
          <w:szCs w:val="28"/>
          <w:highlight w:val="none"/>
        </w:rPr>
        <w:t>都市温江区智慧平安小区建设项目</w:t>
      </w:r>
    </w:p>
    <w:p>
      <w:pPr>
        <w:pStyle w:val="80"/>
        <w:spacing w:line="360" w:lineRule="auto"/>
        <w:ind w:firstLine="568" w:firstLineChars="202"/>
        <w:rPr>
          <w:rFonts w:hint="eastAsia" w:ascii="宋体" w:hAnsi="宋体" w:eastAsiaTheme="minorEastAsia"/>
          <w:b/>
          <w:color w:val="auto"/>
          <w:sz w:val="28"/>
          <w:szCs w:val="28"/>
          <w:highlight w:val="none"/>
          <w:lang w:eastAsia="zh-CN"/>
        </w:rPr>
      </w:pPr>
      <w:r>
        <w:rPr>
          <w:rFonts w:hint="eastAsia" w:ascii="宋体" w:hAnsi="宋体"/>
          <w:b/>
          <w:color w:val="auto"/>
          <w:sz w:val="28"/>
          <w:szCs w:val="28"/>
          <w:highlight w:val="none"/>
          <w:lang w:eastAsia="zh-CN"/>
        </w:rPr>
        <w:t>三、</w:t>
      </w:r>
      <w:r>
        <w:rPr>
          <w:rFonts w:hint="eastAsia" w:ascii="宋体" w:hAnsi="宋体"/>
          <w:b/>
          <w:color w:val="auto"/>
          <w:sz w:val="28"/>
          <w:szCs w:val="28"/>
          <w:highlight w:val="none"/>
        </w:rPr>
        <w:t>资金来源、预算金额及最高限价：</w:t>
      </w:r>
      <w:r>
        <w:rPr>
          <w:rFonts w:hint="eastAsia" w:ascii="宋体" w:hAnsi="宋体"/>
          <w:color w:val="auto"/>
          <w:sz w:val="28"/>
          <w:szCs w:val="28"/>
          <w:highlight w:val="none"/>
        </w:rPr>
        <w:t>财政性资金，预算金额：3372290 元；最高限价：3372290元</w:t>
      </w:r>
      <w:r>
        <w:rPr>
          <w:rFonts w:hint="eastAsia" w:ascii="宋体" w:hAnsi="宋体"/>
          <w:color w:val="auto"/>
          <w:sz w:val="28"/>
          <w:szCs w:val="28"/>
          <w:highlight w:val="none"/>
          <w:lang w:eastAsia="zh-CN"/>
        </w:rPr>
        <w:t>，</w:t>
      </w:r>
      <w:r>
        <w:rPr>
          <w:rFonts w:hint="eastAsia" w:ascii="宋体" w:hAnsi="宋体"/>
          <w:color w:val="auto"/>
          <w:sz w:val="28"/>
          <w:szCs w:val="28"/>
          <w:highlight w:val="none"/>
        </w:rPr>
        <w:t>预算品目：A02019901信息系统集成（货物类）；</w:t>
      </w:r>
      <w:r>
        <w:rPr>
          <w:rFonts w:hint="eastAsia" w:ascii="宋体" w:hAnsi="宋体"/>
          <w:color w:val="auto"/>
          <w:sz w:val="28"/>
          <w:szCs w:val="28"/>
          <w:highlight w:val="none"/>
          <w:lang w:eastAsia="zh-CN"/>
        </w:rPr>
        <w:t>采购计划文号：</w:t>
      </w:r>
      <w:r>
        <w:rPr>
          <w:rFonts w:hint="eastAsia" w:ascii="宋体" w:hAnsi="宋体"/>
          <w:color w:val="auto"/>
          <w:sz w:val="28"/>
          <w:szCs w:val="28"/>
          <w:highlight w:val="none"/>
        </w:rPr>
        <w:t>510115-2021-[2021]237号-001</w:t>
      </w:r>
      <w:r>
        <w:rPr>
          <w:rFonts w:hint="eastAsia" w:ascii="宋体" w:hAnsi="宋体"/>
          <w:color w:val="auto"/>
          <w:sz w:val="28"/>
          <w:szCs w:val="28"/>
          <w:highlight w:val="none"/>
          <w:lang w:eastAsia="zh-CN"/>
        </w:rPr>
        <w:t>。</w:t>
      </w:r>
    </w:p>
    <w:p>
      <w:pPr>
        <w:spacing w:line="360" w:lineRule="exact"/>
        <w:rPr>
          <w:rFonts w:hint="eastAsia"/>
          <w:szCs w:val="21"/>
          <w:lang w:bidi="ar"/>
        </w:rPr>
      </w:pPr>
      <w:r>
        <w:rPr>
          <w:rFonts w:hint="eastAsia" w:ascii="宋体" w:hAnsi="宋体"/>
          <w:b/>
          <w:color w:val="auto"/>
          <w:sz w:val="28"/>
          <w:szCs w:val="28"/>
          <w:highlight w:val="none"/>
          <w:lang w:eastAsia="zh-CN"/>
        </w:rPr>
        <w:t>四、</w:t>
      </w:r>
      <w:r>
        <w:rPr>
          <w:rFonts w:hint="eastAsia" w:ascii="宋体" w:hAnsi="宋体"/>
          <w:b/>
          <w:color w:val="auto"/>
          <w:sz w:val="28"/>
          <w:szCs w:val="28"/>
          <w:highlight w:val="none"/>
        </w:rPr>
        <w:t>招标项目简介</w:t>
      </w:r>
    </w:p>
    <w:tbl>
      <w:tblPr>
        <w:tblStyle w:val="43"/>
        <w:tblW w:w="8481"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647"/>
        <w:gridCol w:w="1045"/>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序号</w:t>
            </w:r>
          </w:p>
        </w:tc>
        <w:tc>
          <w:tcPr>
            <w:tcW w:w="3647"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标的名称</w:t>
            </w:r>
          </w:p>
        </w:tc>
        <w:tc>
          <w:tcPr>
            <w:tcW w:w="1045"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数量</w:t>
            </w:r>
          </w:p>
        </w:tc>
        <w:tc>
          <w:tcPr>
            <w:tcW w:w="3083" w:type="dxa"/>
            <w:noWrap/>
            <w:vAlign w:val="center"/>
          </w:tcPr>
          <w:p>
            <w:pPr>
              <w:spacing w:after="200" w:line="300" w:lineRule="exact"/>
              <w:jc w:val="center"/>
              <w:rPr>
                <w:rFonts w:hint="eastAsia" w:ascii="黑体" w:hAnsi="黑体" w:eastAsia="黑体" w:cs="黑体"/>
                <w:sz w:val="24"/>
                <w:szCs w:val="24"/>
              </w:rPr>
            </w:pPr>
            <w:r>
              <w:rPr>
                <w:rFonts w:hint="eastAsia" w:ascii="黑体" w:hAnsi="黑体" w:eastAsia="黑体" w:cs="黑体"/>
                <w:sz w:val="24"/>
                <w:szCs w:val="24"/>
              </w:rPr>
              <w:t>标的物所属行业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hint="eastAsia" w:ascii="黑体" w:hAnsi="黑体" w:eastAsia="黑体" w:cs="黑体"/>
                <w:sz w:val="24"/>
                <w:szCs w:val="24"/>
              </w:rPr>
            </w:pPr>
            <w:r>
              <w:rPr>
                <w:rFonts w:hint="eastAsia" w:ascii="黑体" w:hAnsi="黑体" w:eastAsia="黑体" w:cs="黑体"/>
                <w:sz w:val="24"/>
                <w:szCs w:val="24"/>
              </w:rPr>
              <w:t>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人脸识别一体机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96台</w:t>
            </w:r>
          </w:p>
        </w:tc>
        <w:tc>
          <w:tcPr>
            <w:tcW w:w="3083"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人脸抓拍机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补光灯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人脸比对模块</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16路视频存储器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24口数据交换设备</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硬盘</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显示终端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立柱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防撞柱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自动门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31套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开门机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定制门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红外防夹装置</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58对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8口数据接入设备</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86台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弱电箱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PVC管</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8450米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超五类网线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7250米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电源线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7200米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信号线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2450米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人脸采集USB摄像机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身份证阅读器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人脸识别终端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车牌识别一体机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86台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高清车牌识别辅助相机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栅栏式道闸</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收费管理端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减速带</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234米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护栏</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98米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4芯光纤</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1800米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光纤收发器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管线预埋</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32处</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治安警务管理平台研发</w:t>
            </w:r>
          </w:p>
        </w:tc>
        <w:tc>
          <w:tcPr>
            <w:tcW w:w="1045"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智慧平安小区管理服务平台研发</w:t>
            </w:r>
          </w:p>
        </w:tc>
        <w:tc>
          <w:tcPr>
            <w:tcW w:w="1045"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软件和信息技术服务业</w:t>
            </w:r>
          </w:p>
        </w:tc>
      </w:tr>
    </w:tbl>
    <w:p>
      <w:pPr>
        <w:spacing w:line="360" w:lineRule="auto"/>
        <w:rPr>
          <w:rFonts w:hint="eastAsia" w:ascii="宋体" w:hAnsi="宋体"/>
          <w:color w:val="auto"/>
          <w:sz w:val="28"/>
          <w:szCs w:val="28"/>
          <w:highlight w:val="none"/>
        </w:rPr>
      </w:pP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详细的技术、服务、商务及其他要求见招标文件第4章。</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五、</w:t>
      </w:r>
      <w:r>
        <w:rPr>
          <w:rFonts w:hint="eastAsia" w:ascii="宋体" w:hAnsi="宋体"/>
          <w:b/>
          <w:color w:val="auto"/>
          <w:sz w:val="28"/>
          <w:szCs w:val="28"/>
          <w:highlight w:val="none"/>
        </w:rPr>
        <w:t>供应商参加本次政府采购活动应具备的条件</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符合《政府采购法》第二十二条第一款规定的条件；</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在中华人民共和国境内依法登记注册，并有效存续具有独立法人资格的供应商；</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未被列入失信被执行人、重大税收违法案件当事人名单、政府采购严重违法失信行为记录名单；</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在行贿犯罪信息查询期限内，投标人及其现任法定代表人、主要负责人没有行贿犯罪记录；</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未处于被行政部门禁止参与政府采购活动的期限内；</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不属于其他国家相关法律法规规定的禁止参加投标的供应商</w:t>
      </w:r>
    </w:p>
    <w:p>
      <w:pPr>
        <w:numPr>
          <w:ilvl w:val="1"/>
          <w:numId w:val="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本项目</w:t>
      </w:r>
      <w:r>
        <w:rPr>
          <w:rFonts w:hint="eastAsia" w:ascii="宋体" w:hAnsi="宋体"/>
          <w:b/>
          <w:color w:val="auto"/>
          <w:sz w:val="28"/>
          <w:szCs w:val="28"/>
          <w:highlight w:val="none"/>
        </w:rPr>
        <w:t>不接受</w:t>
      </w:r>
      <w:r>
        <w:rPr>
          <w:rFonts w:hint="eastAsia" w:ascii="宋体" w:hAnsi="宋体"/>
          <w:color w:val="auto"/>
          <w:sz w:val="28"/>
          <w:szCs w:val="28"/>
          <w:highlight w:val="none"/>
        </w:rPr>
        <w:t>联合体投标。</w:t>
      </w:r>
    </w:p>
    <w:p>
      <w:pPr>
        <w:numPr>
          <w:ilvl w:val="0"/>
          <w:numId w:val="0"/>
        </w:numPr>
        <w:spacing w:line="360" w:lineRule="auto"/>
        <w:ind w:left="567" w:leftChars="0"/>
        <w:rPr>
          <w:rFonts w:ascii="宋体" w:hAnsi="宋体"/>
          <w:b/>
          <w:i/>
          <w:color w:val="auto"/>
          <w:sz w:val="28"/>
          <w:highlight w:val="none"/>
        </w:rPr>
      </w:pPr>
      <w:r>
        <w:rPr>
          <w:rFonts w:hint="eastAsia" w:ascii="宋体" w:hAnsi="宋体"/>
          <w:b/>
          <w:color w:val="auto"/>
          <w:sz w:val="28"/>
          <w:szCs w:val="28"/>
          <w:highlight w:val="none"/>
          <w:lang w:eastAsia="zh-CN"/>
        </w:rPr>
        <w:t>六、</w:t>
      </w:r>
      <w:r>
        <w:rPr>
          <w:rFonts w:hint="eastAsia" w:ascii="宋体" w:hAnsi="宋体"/>
          <w:b/>
          <w:color w:val="auto"/>
          <w:sz w:val="28"/>
          <w:szCs w:val="28"/>
          <w:highlight w:val="none"/>
        </w:rPr>
        <w:t>招标文件获取时间</w:t>
      </w:r>
    </w:p>
    <w:p>
      <w:pPr>
        <w:numPr>
          <w:ilvl w:val="0"/>
          <w:numId w:val="8"/>
        </w:numPr>
        <w:spacing w:line="360" w:lineRule="auto"/>
        <w:ind w:left="0" w:firstLine="567"/>
        <w:rPr>
          <w:rFonts w:ascii="宋体" w:hAnsi="宋体"/>
          <w:b/>
          <w:color w:val="auto"/>
          <w:sz w:val="28"/>
          <w:highlight w:val="none"/>
        </w:rPr>
      </w:pPr>
      <w:r>
        <w:rPr>
          <w:rFonts w:hint="eastAsia" w:ascii="宋体" w:hAnsi="宋体"/>
          <w:b/>
          <w:color w:val="auto"/>
          <w:sz w:val="28"/>
          <w:szCs w:val="28"/>
          <w:highlight w:val="none"/>
        </w:rPr>
        <w:t>招标文件获取时间：2021年</w:t>
      </w:r>
      <w:r>
        <w:rPr>
          <w:rFonts w:hint="eastAsia" w:ascii="宋体" w:hAnsi="宋体"/>
          <w:b/>
          <w:color w:val="auto"/>
          <w:sz w:val="28"/>
          <w:szCs w:val="28"/>
          <w:highlight w:val="none"/>
          <w:lang w:val="en-US" w:eastAsia="zh-CN"/>
        </w:rPr>
        <w:t>9</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4</w:t>
      </w:r>
      <w:r>
        <w:rPr>
          <w:rFonts w:hint="eastAsia" w:ascii="宋体" w:hAnsi="宋体"/>
          <w:b/>
          <w:color w:val="auto"/>
          <w:sz w:val="28"/>
          <w:szCs w:val="28"/>
          <w:highlight w:val="none"/>
        </w:rPr>
        <w:t>日至</w:t>
      </w:r>
      <w:r>
        <w:rPr>
          <w:rFonts w:hint="eastAsia" w:ascii="宋体" w:hAnsi="宋体"/>
          <w:b/>
          <w:color w:val="auto"/>
          <w:sz w:val="28"/>
          <w:szCs w:val="28"/>
          <w:highlight w:val="none"/>
          <w:lang w:val="en-US" w:eastAsia="zh-CN"/>
        </w:rPr>
        <w:t>9</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23</w:t>
      </w:r>
      <w:r>
        <w:rPr>
          <w:rFonts w:hint="eastAsia" w:ascii="宋体" w:hAnsi="宋体"/>
          <w:b/>
          <w:color w:val="auto"/>
          <w:sz w:val="28"/>
          <w:szCs w:val="28"/>
          <w:highlight w:val="none"/>
        </w:rPr>
        <w:t>日。</w:t>
      </w:r>
    </w:p>
    <w:p>
      <w:pPr>
        <w:numPr>
          <w:ilvl w:val="0"/>
          <w:numId w:val="8"/>
        </w:numPr>
        <w:spacing w:line="360" w:lineRule="auto"/>
        <w:ind w:left="0" w:firstLine="567"/>
        <w:rPr>
          <w:rFonts w:ascii="宋体" w:hAnsi="宋体"/>
          <w:b/>
          <w:color w:val="auto"/>
          <w:sz w:val="28"/>
          <w:highlight w:val="none"/>
        </w:rPr>
      </w:pPr>
      <w:r>
        <w:rPr>
          <w:rFonts w:hint="eastAsia" w:ascii="宋体" w:hAnsi="宋体"/>
          <w:b/>
          <w:color w:val="auto"/>
          <w:sz w:val="28"/>
          <w:szCs w:val="28"/>
          <w:highlight w:val="none"/>
        </w:rPr>
        <w:t>公告期限：2021年</w:t>
      </w:r>
      <w:r>
        <w:rPr>
          <w:rFonts w:hint="eastAsia" w:ascii="宋体" w:hAnsi="宋体"/>
          <w:b/>
          <w:color w:val="auto"/>
          <w:sz w:val="28"/>
          <w:szCs w:val="28"/>
          <w:highlight w:val="none"/>
          <w:lang w:val="en-US" w:eastAsia="zh-CN"/>
        </w:rPr>
        <w:t>9</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4</w:t>
      </w:r>
      <w:r>
        <w:rPr>
          <w:rFonts w:hint="eastAsia" w:ascii="宋体" w:hAnsi="宋体"/>
          <w:b/>
          <w:color w:val="auto"/>
          <w:sz w:val="28"/>
          <w:szCs w:val="28"/>
          <w:highlight w:val="none"/>
        </w:rPr>
        <w:t>日至</w:t>
      </w:r>
      <w:r>
        <w:rPr>
          <w:rFonts w:hint="eastAsia" w:ascii="宋体" w:hAnsi="宋体"/>
          <w:b/>
          <w:color w:val="auto"/>
          <w:sz w:val="28"/>
          <w:szCs w:val="28"/>
          <w:highlight w:val="none"/>
          <w:lang w:val="en-US" w:eastAsia="zh-CN"/>
        </w:rPr>
        <w:t>9</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11</w:t>
      </w:r>
      <w:r>
        <w:rPr>
          <w:rFonts w:hint="eastAsia" w:ascii="宋体" w:hAnsi="宋体"/>
          <w:b/>
          <w:color w:val="auto"/>
          <w:sz w:val="28"/>
          <w:szCs w:val="28"/>
          <w:highlight w:val="none"/>
        </w:rPr>
        <w:t>日。</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七、</w:t>
      </w:r>
      <w:r>
        <w:rPr>
          <w:rFonts w:hint="eastAsia" w:ascii="宋体" w:hAnsi="宋体"/>
          <w:b/>
          <w:color w:val="auto"/>
          <w:sz w:val="28"/>
          <w:szCs w:val="28"/>
          <w:highlight w:val="none"/>
        </w:rPr>
        <w:t>招标文件获取方式</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投标人要参加投标，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提示：</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（1）本项目采购文件免费获取。</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2）成都市公共资源交易服务中心门户网站上采购公告附件内的采购文件仅供下载阅览使用，投标人只有在“政府采购云平台”完成获取采购文件申请并下载采购文件后才视作依法参与本项目。如未在“政府采购云平台”内完成相关流程，引起的投标无效责任自负。</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（3）首次登录成都市公共资源交易服务中心门户网站的新用户应先点击“注册新用户”，注册成功后再登录。</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（4）本项目为电子招标投标项目，投标人参与本项目全过程中凡涉及系统操作请详见《成都市全流程电子化采购系统操作指南——供应商版》（操作指南请登录政府采购云平台后，点击“前台大厅</w:t>
      </w:r>
      <w:r>
        <w:rPr>
          <w:rFonts w:ascii="宋体" w:hAnsi="宋体"/>
          <w:color w:val="auto"/>
          <w:sz w:val="28"/>
          <w:szCs w:val="28"/>
          <w:highlight w:val="none"/>
        </w:rPr>
        <w:t>—</w:t>
      </w:r>
      <w:r>
        <w:rPr>
          <w:rFonts w:hint="eastAsia" w:ascii="宋体" w:hAnsi="宋体"/>
          <w:color w:val="auto"/>
          <w:sz w:val="28"/>
          <w:szCs w:val="28"/>
          <w:highlight w:val="none"/>
        </w:rPr>
        <w:t>操作指南</w:t>
      </w:r>
      <w:r>
        <w:rPr>
          <w:rFonts w:ascii="宋体" w:hAnsi="宋体"/>
          <w:color w:val="auto"/>
          <w:sz w:val="28"/>
          <w:szCs w:val="28"/>
          <w:highlight w:val="none"/>
        </w:rPr>
        <w:t>—</w:t>
      </w:r>
      <w:r>
        <w:rPr>
          <w:rFonts w:hint="eastAsia" w:ascii="宋体" w:hAnsi="宋体"/>
          <w:color w:val="auto"/>
          <w:sz w:val="28"/>
          <w:szCs w:val="28"/>
          <w:highlight w:val="none"/>
        </w:rPr>
        <w:t>供应商”处下载查看）。</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八、</w:t>
      </w:r>
      <w:r>
        <w:rPr>
          <w:rFonts w:hint="eastAsia" w:ascii="宋体" w:hAnsi="宋体"/>
          <w:b/>
          <w:color w:val="auto"/>
          <w:sz w:val="28"/>
          <w:szCs w:val="28"/>
          <w:highlight w:val="none"/>
        </w:rPr>
        <w:t>招标文件获取地点</w:t>
      </w:r>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登录成都市公共资源交易服务中心门户网站（https://www.cdggzy.com/）—用户中心—政府采购云平台获取</w:t>
      </w:r>
      <w:r>
        <w:rPr>
          <w:rFonts w:hint="eastAsia" w:ascii="宋体" w:hAnsi="宋体"/>
          <w:color w:val="auto"/>
          <w:sz w:val="28"/>
          <w:highlight w:val="none"/>
        </w:rPr>
        <w:t>。</w:t>
      </w:r>
    </w:p>
    <w:p>
      <w:pPr>
        <w:numPr>
          <w:ilvl w:val="0"/>
          <w:numId w:val="0"/>
        </w:numPr>
        <w:spacing w:line="360" w:lineRule="auto"/>
        <w:ind w:left="567" w:leftChars="0"/>
        <w:rPr>
          <w:rFonts w:ascii="宋体" w:hAnsi="宋体"/>
          <w:b/>
          <w:color w:val="auto"/>
          <w:sz w:val="28"/>
          <w:szCs w:val="28"/>
          <w:highlight w:val="none"/>
        </w:rPr>
      </w:pPr>
      <w:bookmarkStart w:id="9" w:name="_Toc186274101"/>
      <w:bookmarkStart w:id="10" w:name="_Toc184013605"/>
      <w:bookmarkStart w:id="11" w:name="_Toc174185149"/>
      <w:bookmarkStart w:id="12" w:name="_Toc184023104"/>
      <w:bookmarkStart w:id="13" w:name="_Toc180051012"/>
      <w:r>
        <w:rPr>
          <w:rFonts w:hint="eastAsia" w:ascii="宋体" w:hAnsi="宋体"/>
          <w:b/>
          <w:color w:val="auto"/>
          <w:sz w:val="28"/>
          <w:szCs w:val="28"/>
          <w:highlight w:val="none"/>
          <w:lang w:eastAsia="zh-CN"/>
        </w:rPr>
        <w:t>九、</w:t>
      </w:r>
      <w:r>
        <w:rPr>
          <w:rFonts w:hint="eastAsia" w:ascii="宋体" w:hAnsi="宋体"/>
          <w:b/>
          <w:color w:val="auto"/>
          <w:sz w:val="28"/>
          <w:szCs w:val="28"/>
          <w:highlight w:val="none"/>
        </w:rPr>
        <w:t>投标文件递交截止时间及开标时间</w:t>
      </w:r>
      <w:bookmarkEnd w:id="9"/>
      <w:bookmarkEnd w:id="10"/>
      <w:bookmarkEnd w:id="11"/>
      <w:bookmarkEnd w:id="12"/>
      <w:bookmarkEnd w:id="13"/>
      <w:r>
        <w:rPr>
          <w:rFonts w:hint="eastAsia" w:ascii="宋体" w:hAnsi="宋体"/>
          <w:b/>
          <w:color w:val="auto"/>
          <w:sz w:val="28"/>
          <w:szCs w:val="28"/>
          <w:highlight w:val="none"/>
        </w:rPr>
        <w:t>(北京时间)、地点、方式</w:t>
      </w:r>
    </w:p>
    <w:p>
      <w:pPr>
        <w:spacing w:line="56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（一）投标文件递交截止时间及开标时间：2021年</w:t>
      </w:r>
      <w:r>
        <w:rPr>
          <w:rFonts w:hint="eastAsia" w:ascii="宋体" w:hAnsi="宋体"/>
          <w:b/>
          <w:color w:val="auto"/>
          <w:sz w:val="28"/>
          <w:szCs w:val="28"/>
          <w:highlight w:val="none"/>
          <w:lang w:val="en-US" w:eastAsia="zh-CN"/>
        </w:rPr>
        <w:t>9</w:t>
      </w:r>
      <w:r>
        <w:rPr>
          <w:rFonts w:hint="eastAsia" w:ascii="宋体" w:hAnsi="宋体"/>
          <w:b/>
          <w:color w:val="auto"/>
          <w:sz w:val="28"/>
          <w:szCs w:val="28"/>
          <w:highlight w:val="none"/>
        </w:rPr>
        <w:t>月</w:t>
      </w:r>
      <w:r>
        <w:rPr>
          <w:rFonts w:hint="eastAsia" w:ascii="宋体" w:hAnsi="宋体"/>
          <w:b/>
          <w:color w:val="auto"/>
          <w:sz w:val="28"/>
          <w:szCs w:val="28"/>
          <w:highlight w:val="none"/>
          <w:lang w:val="en-US" w:eastAsia="zh-CN"/>
        </w:rPr>
        <w:t>24</w:t>
      </w:r>
      <w:r>
        <w:rPr>
          <w:rFonts w:hint="eastAsia" w:ascii="宋体" w:hAnsi="宋体"/>
          <w:b/>
          <w:color w:val="auto"/>
          <w:sz w:val="28"/>
          <w:szCs w:val="28"/>
          <w:highlight w:val="none"/>
        </w:rPr>
        <w:t>日上午09:30。</w:t>
      </w:r>
    </w:p>
    <w:p>
      <w:pPr>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（二）投标文件递交方式、地点：投标截止时间前，投标人应将加密的投标文件递交至“政府采购云平台”对应项目（包件）。</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十、</w:t>
      </w:r>
      <w:r>
        <w:rPr>
          <w:rFonts w:hint="eastAsia" w:ascii="宋体" w:hAnsi="宋体"/>
          <w:b/>
          <w:color w:val="auto"/>
          <w:sz w:val="28"/>
          <w:szCs w:val="28"/>
          <w:highlight w:val="none"/>
        </w:rPr>
        <w:t>开标地点</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本项目为不见面开标项目。</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开标地点为：成都市公共资源交易服务中心“政府采购云平台”。登录成都市公共资源交易服务中心门户网站（https://www.cdggzy.com）—用户中心—政府采购云平台。</w:t>
      </w:r>
    </w:p>
    <w:p>
      <w:pPr>
        <w:spacing w:line="360" w:lineRule="auto"/>
        <w:ind w:firstLine="420" w:firstLineChars="150"/>
        <w:jc w:val="left"/>
        <w:rPr>
          <w:rFonts w:ascii="宋体" w:hAnsi="宋体"/>
          <w:color w:val="auto"/>
          <w:sz w:val="28"/>
          <w:szCs w:val="28"/>
          <w:highlight w:val="none"/>
        </w:rPr>
      </w:pPr>
      <w:r>
        <w:rPr>
          <w:rFonts w:hint="eastAsia" w:ascii="宋体" w:hAnsi="宋体"/>
          <w:color w:val="auto"/>
          <w:sz w:val="28"/>
          <w:szCs w:val="28"/>
          <w:highlight w:val="none"/>
        </w:rPr>
        <w:t>本项目只接受投标人加密并递交至“政府采购云平台”的投标文件。</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十一、</w:t>
      </w:r>
      <w:r>
        <w:rPr>
          <w:rFonts w:hint="eastAsia" w:ascii="宋体" w:hAnsi="宋体"/>
          <w:b/>
          <w:color w:val="auto"/>
          <w:sz w:val="28"/>
          <w:szCs w:val="28"/>
          <w:highlight w:val="none"/>
        </w:rPr>
        <w:t>政采中小企业政府采购信用担保融资</w:t>
      </w:r>
    </w:p>
    <w:p>
      <w:pPr>
        <w:spacing w:line="360" w:lineRule="auto"/>
        <w:ind w:firstLine="420" w:firstLineChars="150"/>
        <w:jc w:val="left"/>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参加本次采购活动成交的中小企业无需提供财产抵押或第三方担保，凭借政府采购合同可向融资机构申请融资。具体内容详见</w:t>
      </w:r>
      <w:r>
        <w:rPr>
          <w:rFonts w:hint="eastAsia" w:ascii="宋体" w:hAnsi="宋体" w:eastAsia="宋体" w:cs="Times New Roman"/>
          <w:color w:val="auto"/>
          <w:sz w:val="28"/>
          <w:szCs w:val="28"/>
          <w:highlight w:val="none"/>
          <w:lang w:eastAsia="zh-CN"/>
        </w:rPr>
        <w:t>附件</w:t>
      </w:r>
      <w:r>
        <w:rPr>
          <w:rFonts w:hint="eastAsia" w:ascii="宋体" w:hAnsi="宋体" w:eastAsia="宋体" w:cs="Times New Roman"/>
          <w:color w:val="auto"/>
          <w:sz w:val="28"/>
          <w:szCs w:val="28"/>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numPr>
          <w:ilvl w:val="0"/>
          <w:numId w:val="9"/>
        </w:numPr>
        <w:spacing w:line="360" w:lineRule="auto"/>
        <w:ind w:left="567" w:leftChars="0"/>
        <w:rPr>
          <w:rFonts w:hint="eastAsia" w:ascii="宋体" w:hAnsi="宋体"/>
          <w:b/>
          <w:color w:val="auto"/>
          <w:sz w:val="28"/>
          <w:szCs w:val="28"/>
          <w:highlight w:val="none"/>
        </w:rPr>
      </w:pPr>
      <w:r>
        <w:rPr>
          <w:rFonts w:hint="eastAsia" w:ascii="宋体" w:hAnsi="宋体"/>
          <w:b/>
          <w:color w:val="auto"/>
          <w:sz w:val="28"/>
          <w:szCs w:val="28"/>
          <w:highlight w:val="none"/>
        </w:rPr>
        <w:t>本投标邀请在“四川政府采购网”和“成都市公共资源交易服</w:t>
      </w:r>
    </w:p>
    <w:p>
      <w:pPr>
        <w:numPr>
          <w:ilvl w:val="0"/>
          <w:numId w:val="0"/>
        </w:numPr>
        <w:spacing w:line="360" w:lineRule="auto"/>
        <w:rPr>
          <w:rFonts w:ascii="宋体" w:hAnsi="宋体"/>
          <w:b/>
          <w:color w:val="auto"/>
          <w:sz w:val="28"/>
          <w:szCs w:val="28"/>
          <w:highlight w:val="none"/>
        </w:rPr>
      </w:pPr>
      <w:r>
        <w:rPr>
          <w:rFonts w:hint="eastAsia" w:ascii="宋体" w:hAnsi="宋体"/>
          <w:b/>
          <w:color w:val="auto"/>
          <w:sz w:val="28"/>
          <w:szCs w:val="28"/>
          <w:highlight w:val="none"/>
        </w:rPr>
        <w:t>务中心”网站上以公告形式发布</w:t>
      </w:r>
    </w:p>
    <w:p>
      <w:pPr>
        <w:numPr>
          <w:ilvl w:val="0"/>
          <w:numId w:val="0"/>
        </w:numPr>
        <w:spacing w:line="360" w:lineRule="auto"/>
        <w:ind w:left="567" w:leftChars="0"/>
        <w:rPr>
          <w:rFonts w:ascii="宋体" w:hAnsi="宋体"/>
          <w:b/>
          <w:color w:val="auto"/>
          <w:sz w:val="28"/>
          <w:szCs w:val="28"/>
          <w:highlight w:val="none"/>
        </w:rPr>
      </w:pPr>
      <w:r>
        <w:rPr>
          <w:rFonts w:hint="eastAsia" w:ascii="宋体" w:hAnsi="宋体"/>
          <w:b/>
          <w:color w:val="auto"/>
          <w:sz w:val="28"/>
          <w:szCs w:val="28"/>
          <w:highlight w:val="none"/>
          <w:lang w:eastAsia="zh-CN"/>
        </w:rPr>
        <w:t>十三、</w:t>
      </w:r>
      <w:r>
        <w:rPr>
          <w:rFonts w:hint="eastAsia" w:ascii="宋体" w:hAnsi="宋体"/>
          <w:b/>
          <w:color w:val="auto"/>
          <w:sz w:val="28"/>
          <w:szCs w:val="28"/>
          <w:highlight w:val="none"/>
        </w:rPr>
        <w:t>联系方式</w:t>
      </w:r>
    </w:p>
    <w:p>
      <w:pPr>
        <w:spacing w:line="360" w:lineRule="auto"/>
        <w:ind w:firstLine="568" w:firstLineChars="202"/>
        <w:rPr>
          <w:rFonts w:hint="eastAsia" w:ascii="宋体" w:hAnsi="宋体"/>
          <w:b/>
          <w:color w:val="auto"/>
          <w:sz w:val="28"/>
          <w:highlight w:val="none"/>
        </w:rPr>
      </w:pPr>
      <w:r>
        <w:rPr>
          <w:rFonts w:hint="eastAsia" w:ascii="宋体" w:hAnsi="宋体"/>
          <w:b/>
          <w:color w:val="auto"/>
          <w:sz w:val="28"/>
          <w:highlight w:val="none"/>
        </w:rPr>
        <w:t>采购人：中共成都市温江区委政法委员会</w:t>
      </w:r>
    </w:p>
    <w:p>
      <w:pPr>
        <w:spacing w:line="360" w:lineRule="auto"/>
        <w:ind w:firstLine="565" w:firstLineChars="202"/>
        <w:rPr>
          <w:rFonts w:hint="eastAsia" w:ascii="宋体" w:hAnsi="宋体"/>
          <w:color w:val="auto"/>
          <w:sz w:val="28"/>
          <w:szCs w:val="28"/>
          <w:highlight w:val="none"/>
          <w:lang w:eastAsia="zh-CN"/>
        </w:rPr>
      </w:pPr>
      <w:r>
        <w:rPr>
          <w:rFonts w:hint="eastAsia" w:ascii="宋体" w:hAnsi="宋体"/>
          <w:color w:val="auto"/>
          <w:sz w:val="28"/>
          <w:szCs w:val="28"/>
          <w:highlight w:val="none"/>
        </w:rPr>
        <w:t>地  址：温江区人和路669号海科办公区</w:t>
      </w:r>
    </w:p>
    <w:p>
      <w:pPr>
        <w:spacing w:line="360" w:lineRule="auto"/>
        <w:ind w:firstLine="565" w:firstLineChars="202"/>
        <w:rPr>
          <w:rFonts w:hint="eastAsia" w:ascii="宋体" w:hAnsi="宋体"/>
          <w:color w:val="auto"/>
          <w:sz w:val="28"/>
          <w:szCs w:val="28"/>
          <w:highlight w:val="none"/>
          <w:lang w:val="en-US" w:eastAsia="zh-CN"/>
        </w:rPr>
      </w:pPr>
      <w:r>
        <w:rPr>
          <w:rFonts w:hint="eastAsia" w:ascii="宋体" w:hAnsi="宋体"/>
          <w:color w:val="auto"/>
          <w:sz w:val="28"/>
          <w:szCs w:val="28"/>
          <w:highlight w:val="none"/>
        </w:rPr>
        <w:t>联系人：杨志平</w:t>
      </w:r>
      <w:r>
        <w:rPr>
          <w:rFonts w:hint="eastAsia" w:ascii="宋体" w:hAnsi="宋体"/>
          <w:color w:val="auto"/>
          <w:sz w:val="28"/>
          <w:szCs w:val="28"/>
          <w:highlight w:val="none"/>
          <w:lang w:val="en-US" w:eastAsia="zh-CN"/>
        </w:rPr>
        <w:t xml:space="preserve"> </w:t>
      </w:r>
    </w:p>
    <w:p>
      <w:pPr>
        <w:spacing w:line="360" w:lineRule="auto"/>
        <w:ind w:firstLine="565" w:firstLineChars="202"/>
        <w:rPr>
          <w:rFonts w:hint="eastAsia" w:ascii="宋体" w:hAnsi="宋体"/>
          <w:color w:val="auto"/>
          <w:sz w:val="28"/>
          <w:szCs w:val="28"/>
          <w:highlight w:val="none"/>
        </w:rPr>
      </w:pPr>
      <w:r>
        <w:rPr>
          <w:rFonts w:hint="eastAsia" w:ascii="宋体" w:hAnsi="宋体"/>
          <w:color w:val="auto"/>
          <w:sz w:val="28"/>
          <w:szCs w:val="28"/>
          <w:highlight w:val="none"/>
        </w:rPr>
        <w:t>联系电话：028-82722872</w:t>
      </w:r>
    </w:p>
    <w:p>
      <w:pPr>
        <w:spacing w:line="360" w:lineRule="auto"/>
        <w:ind w:firstLine="568" w:firstLineChars="202"/>
        <w:rPr>
          <w:rFonts w:ascii="宋体" w:hAnsi="宋体"/>
          <w:b/>
          <w:color w:val="auto"/>
          <w:sz w:val="28"/>
          <w:highlight w:val="none"/>
        </w:rPr>
      </w:pPr>
      <w:r>
        <w:rPr>
          <w:rFonts w:hint="eastAsia" w:ascii="宋体" w:hAnsi="宋体"/>
          <w:b/>
          <w:color w:val="auto"/>
          <w:sz w:val="28"/>
          <w:highlight w:val="none"/>
        </w:rPr>
        <w:t>成都市</w:t>
      </w:r>
      <w:r>
        <w:rPr>
          <w:rFonts w:hint="eastAsia" w:ascii="宋体" w:hAnsi="宋体"/>
          <w:b/>
          <w:color w:val="auto"/>
          <w:sz w:val="28"/>
          <w:highlight w:val="none"/>
          <w:lang w:eastAsia="zh-CN"/>
        </w:rPr>
        <w:t>温江区</w:t>
      </w:r>
      <w:r>
        <w:rPr>
          <w:rFonts w:hint="eastAsia" w:ascii="宋体" w:hAnsi="宋体"/>
          <w:b/>
          <w:color w:val="auto"/>
          <w:sz w:val="28"/>
          <w:highlight w:val="none"/>
        </w:rPr>
        <w:t>公共资源交易服务中心</w:t>
      </w:r>
    </w:p>
    <w:p>
      <w:pPr>
        <w:spacing w:line="360" w:lineRule="auto"/>
        <w:ind w:firstLine="565" w:firstLineChars="202"/>
        <w:rPr>
          <w:rFonts w:hint="eastAsia" w:ascii="宋体" w:hAnsi="宋体"/>
          <w:color w:val="auto"/>
          <w:sz w:val="28"/>
          <w:highlight w:val="none"/>
        </w:rPr>
      </w:pPr>
      <w:r>
        <w:rPr>
          <w:rFonts w:hint="eastAsia" w:ascii="宋体" w:hAnsi="宋体"/>
          <w:color w:val="auto"/>
          <w:sz w:val="28"/>
          <w:highlight w:val="none"/>
        </w:rPr>
        <w:t>地  址：成都市温江区锦绣大道南段43号天府智谷C栋3楼</w:t>
      </w:r>
    </w:p>
    <w:p>
      <w:pPr>
        <w:spacing w:line="360" w:lineRule="auto"/>
        <w:ind w:firstLine="565" w:firstLineChars="202"/>
        <w:rPr>
          <w:rFonts w:hint="eastAsia" w:ascii="宋体" w:hAnsi="宋体"/>
          <w:color w:val="auto"/>
          <w:sz w:val="28"/>
          <w:highlight w:val="none"/>
          <w:lang w:val="en-US" w:eastAsia="zh-CN"/>
        </w:rPr>
      </w:pPr>
      <w:r>
        <w:rPr>
          <w:rFonts w:hint="eastAsia" w:ascii="宋体" w:hAnsi="宋体"/>
          <w:color w:val="auto"/>
          <w:sz w:val="28"/>
          <w:highlight w:val="none"/>
        </w:rPr>
        <w:t>邮  编：61</w:t>
      </w:r>
      <w:r>
        <w:rPr>
          <w:rFonts w:hint="eastAsia" w:ascii="宋体" w:hAnsi="宋体"/>
          <w:color w:val="auto"/>
          <w:sz w:val="28"/>
          <w:highlight w:val="none"/>
          <w:lang w:val="en-US" w:eastAsia="zh-CN"/>
        </w:rPr>
        <w:t>1130</w:t>
      </w:r>
    </w:p>
    <w:p>
      <w:pPr>
        <w:pStyle w:val="129"/>
        <w:ind w:firstLine="480"/>
        <w:rPr>
          <w:rFonts w:hint="eastAsia"/>
          <w:color w:val="auto"/>
          <w:highlight w:val="none"/>
          <w:lang w:eastAsia="zh-CN"/>
        </w:rPr>
      </w:pPr>
      <w:r>
        <w:rPr>
          <w:rFonts w:hint="eastAsia"/>
          <w:color w:val="auto"/>
          <w:highlight w:val="none"/>
        </w:rPr>
        <w:t>联 系 人</w:t>
      </w:r>
      <w:r>
        <w:rPr>
          <w:rFonts w:hint="eastAsia"/>
          <w:color w:val="auto"/>
          <w:highlight w:val="none"/>
          <w:lang w:eastAsia="zh-CN"/>
        </w:rPr>
        <w:t>：</w:t>
      </w:r>
      <w:r>
        <w:rPr>
          <w:rFonts w:hint="eastAsia"/>
          <w:color w:val="auto"/>
          <w:highlight w:val="none"/>
          <w:lang w:val="en-US" w:eastAsia="zh-CN"/>
        </w:rPr>
        <w:t>胥怡希</w:t>
      </w:r>
    </w:p>
    <w:p>
      <w:pPr>
        <w:pStyle w:val="129"/>
        <w:ind w:firstLine="480"/>
        <w:rPr>
          <w:rFonts w:hint="default" w:eastAsia="宋体"/>
          <w:color w:val="auto"/>
          <w:highlight w:val="none"/>
          <w:lang w:val="en-US" w:eastAsia="zh-CN"/>
        </w:rPr>
      </w:pPr>
      <w:r>
        <w:rPr>
          <w:rFonts w:hint="eastAsia"/>
          <w:color w:val="auto"/>
          <w:highlight w:val="none"/>
        </w:rPr>
        <w:t>联系电话：028-82746656</w:t>
      </w:r>
    </w:p>
    <w:p>
      <w:pPr>
        <w:spacing w:line="360" w:lineRule="auto"/>
        <w:ind w:firstLine="568" w:firstLineChars="202"/>
        <w:rPr>
          <w:rFonts w:ascii="宋体" w:hAnsi="宋体"/>
          <w:b/>
          <w:color w:val="auto"/>
          <w:kern w:val="0"/>
          <w:sz w:val="28"/>
          <w:highlight w:val="none"/>
        </w:rPr>
      </w:pPr>
      <w:r>
        <w:rPr>
          <w:rFonts w:hint="eastAsia" w:ascii="宋体" w:hAnsi="宋体"/>
          <w:b/>
          <w:color w:val="auto"/>
          <w:sz w:val="28"/>
          <w:szCs w:val="28"/>
          <w:highlight w:val="none"/>
        </w:rPr>
        <w:t>技术支持电话：400-881-7190</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集中采购监督机构：成都市</w:t>
      </w:r>
      <w:r>
        <w:rPr>
          <w:rFonts w:hint="eastAsia" w:ascii="宋体" w:hAnsi="宋体"/>
          <w:b/>
          <w:color w:val="auto"/>
          <w:sz w:val="28"/>
          <w:szCs w:val="28"/>
          <w:highlight w:val="none"/>
          <w:lang w:eastAsia="zh-CN"/>
        </w:rPr>
        <w:t>温江区</w:t>
      </w:r>
      <w:r>
        <w:rPr>
          <w:rFonts w:hint="eastAsia" w:ascii="宋体" w:hAnsi="宋体"/>
          <w:b/>
          <w:color w:val="auto"/>
          <w:sz w:val="28"/>
          <w:szCs w:val="28"/>
          <w:highlight w:val="none"/>
        </w:rPr>
        <w:t>财政局</w:t>
      </w:r>
    </w:p>
    <w:p>
      <w:pPr>
        <w:spacing w:line="360" w:lineRule="auto"/>
        <w:ind w:firstLine="560" w:firstLineChars="200"/>
        <w:rPr>
          <w:rFonts w:hint="eastAsia" w:ascii="宋体" w:hAnsi="宋体" w:eastAsia="宋体"/>
          <w:color w:val="auto"/>
          <w:sz w:val="28"/>
          <w:szCs w:val="28"/>
          <w:highlight w:val="none"/>
          <w:lang w:eastAsia="zh-CN"/>
        </w:rPr>
      </w:pPr>
      <w:r>
        <w:rPr>
          <w:rFonts w:hint="eastAsia" w:ascii="宋体" w:hAnsi="宋体"/>
          <w:color w:val="auto"/>
          <w:sz w:val="28"/>
          <w:szCs w:val="28"/>
          <w:highlight w:val="none"/>
        </w:rPr>
        <w:t>地 址：成都市</w:t>
      </w:r>
      <w:r>
        <w:rPr>
          <w:rFonts w:hint="eastAsia" w:ascii="宋体" w:hAnsi="宋体"/>
          <w:color w:val="auto"/>
          <w:sz w:val="28"/>
          <w:szCs w:val="28"/>
          <w:highlight w:val="none"/>
          <w:lang w:eastAsia="zh-CN"/>
        </w:rPr>
        <w:t>温江区海科大厦</w:t>
      </w:r>
    </w:p>
    <w:p>
      <w:pPr>
        <w:tabs>
          <w:tab w:val="left" w:pos="900"/>
        </w:tabs>
        <w:spacing w:line="360" w:lineRule="auto"/>
        <w:ind w:firstLine="560" w:firstLineChars="200"/>
        <w:rPr>
          <w:rFonts w:hint="default" w:ascii="宋体" w:hAnsi="宋体" w:eastAsia="宋体" w:cstheme="minorBidi"/>
          <w:color w:val="auto"/>
          <w:sz w:val="28"/>
          <w:szCs w:val="28"/>
          <w:highlight w:val="none"/>
          <w:lang w:val="en-US" w:eastAsia="zh-CN"/>
        </w:rPr>
      </w:pPr>
      <w:r>
        <w:rPr>
          <w:rFonts w:hint="eastAsia" w:ascii="宋体" w:hAnsi="宋体" w:cstheme="minorBidi"/>
          <w:color w:val="auto"/>
          <w:sz w:val="28"/>
          <w:szCs w:val="28"/>
          <w:highlight w:val="none"/>
        </w:rPr>
        <w:t>联系电话：028-</w:t>
      </w:r>
      <w:r>
        <w:rPr>
          <w:rFonts w:hint="eastAsia" w:ascii="宋体" w:hAnsi="宋体" w:cstheme="minorBidi"/>
          <w:color w:val="auto"/>
          <w:sz w:val="28"/>
          <w:szCs w:val="28"/>
          <w:highlight w:val="none"/>
          <w:lang w:val="en-US" w:eastAsia="zh-CN"/>
        </w:rPr>
        <w:t>82727142</w:t>
      </w:r>
    </w:p>
    <w:p>
      <w:pPr>
        <w:rPr>
          <w:rFonts w:ascii="宋体" w:hAnsi="宋体" w:cstheme="minorBidi"/>
          <w:color w:val="auto"/>
          <w:sz w:val="28"/>
          <w:szCs w:val="28"/>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rPr>
          <w:color w:val="auto"/>
          <w:highlight w:val="none"/>
        </w:rPr>
      </w:pPr>
    </w:p>
    <w:p>
      <w:pPr>
        <w:keepNext/>
        <w:keepLines/>
        <w:numPr>
          <w:ilvl w:val="0"/>
          <w:numId w:val="5"/>
        </w:numPr>
        <w:spacing w:before="340" w:after="330" w:line="400" w:lineRule="exact"/>
        <w:ind w:left="0" w:firstLine="0"/>
        <w:jc w:val="center"/>
        <w:outlineLvl w:val="0"/>
        <w:rPr>
          <w:rFonts w:ascii="宋体" w:hAnsi="宋体"/>
          <w:b/>
          <w:bCs/>
          <w:color w:val="auto"/>
          <w:spacing w:val="-20"/>
          <w:kern w:val="44"/>
          <w:sz w:val="32"/>
          <w:szCs w:val="32"/>
          <w:highlight w:val="none"/>
        </w:rPr>
      </w:pPr>
      <w:bookmarkStart w:id="14" w:name="_Toc8168"/>
      <w:bookmarkStart w:id="15" w:name="_Toc2793"/>
      <w:r>
        <w:rPr>
          <w:rFonts w:hint="eastAsia" w:ascii="宋体" w:hAnsi="宋体"/>
          <w:b/>
          <w:bCs/>
          <w:color w:val="auto"/>
          <w:spacing w:val="-20"/>
          <w:kern w:val="44"/>
          <w:sz w:val="32"/>
          <w:szCs w:val="32"/>
          <w:highlight w:val="none"/>
        </w:rPr>
        <w:t>投标人须知</w:t>
      </w:r>
      <w:bookmarkEnd w:id="14"/>
      <w:bookmarkEnd w:id="15"/>
    </w:p>
    <w:p>
      <w:pPr>
        <w:keepNext/>
        <w:keepLines/>
        <w:numPr>
          <w:ilvl w:val="1"/>
          <w:numId w:val="5"/>
        </w:numPr>
        <w:spacing w:before="260" w:after="260" w:line="360" w:lineRule="auto"/>
        <w:jc w:val="left"/>
        <w:outlineLvl w:val="1"/>
        <w:rPr>
          <w:rFonts w:ascii="宋体" w:hAnsi="宋体"/>
          <w:b/>
          <w:bCs/>
          <w:color w:val="auto"/>
          <w:sz w:val="28"/>
          <w:szCs w:val="28"/>
          <w:highlight w:val="none"/>
        </w:rPr>
      </w:pPr>
      <w:bookmarkStart w:id="16" w:name="_Toc213496268"/>
      <w:bookmarkStart w:id="17" w:name="_Toc213396760"/>
      <w:bookmarkStart w:id="18" w:name="_Toc9061"/>
      <w:bookmarkStart w:id="19" w:name="_Toc189727030"/>
      <w:bookmarkStart w:id="20" w:name="_Toc213397010"/>
      <w:bookmarkStart w:id="21" w:name="_Toc16307"/>
      <w:bookmarkStart w:id="22" w:name="_Toc316462344"/>
      <w:bookmarkStart w:id="23" w:name="_Toc213396946"/>
      <w:bookmarkStart w:id="24" w:name="_Toc217446032"/>
      <w:r>
        <w:rPr>
          <w:rFonts w:hint="eastAsia" w:ascii="宋体" w:hAnsi="宋体"/>
          <w:b/>
          <w:bCs/>
          <w:color w:val="auto"/>
          <w:sz w:val="28"/>
          <w:szCs w:val="28"/>
          <w:highlight w:val="none"/>
        </w:rPr>
        <w:t>投标人须知前附表</w:t>
      </w:r>
      <w:bookmarkEnd w:id="16"/>
      <w:bookmarkEnd w:id="17"/>
      <w:bookmarkEnd w:id="18"/>
      <w:bookmarkEnd w:id="19"/>
      <w:bookmarkEnd w:id="20"/>
      <w:bookmarkEnd w:id="21"/>
      <w:bookmarkEnd w:id="22"/>
      <w:bookmarkEnd w:id="23"/>
      <w:bookmarkEnd w:id="24"/>
    </w:p>
    <w:tbl>
      <w:tblPr>
        <w:tblStyle w:val="43"/>
        <w:tblW w:w="9510" w:type="dxa"/>
        <w:jc w:val="center"/>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1716"/>
        <w:gridCol w:w="6910"/>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1" w:hRule="exact"/>
          <w:jc w:val="center"/>
        </w:trPr>
        <w:tc>
          <w:tcPr>
            <w:tcW w:w="884" w:type="dxa"/>
            <w:tcBorders>
              <w:top w:val="single" w:color="auto" w:sz="18" w:space="0"/>
              <w:left w:val="single" w:color="auto" w:sz="18" w:space="0"/>
              <w:bottom w:val="single" w:color="auto" w:sz="8" w:space="0"/>
              <w:right w:val="single" w:color="auto" w:sz="8" w:space="0"/>
            </w:tcBorders>
            <w:vAlign w:val="center"/>
          </w:tcPr>
          <w:p>
            <w:pPr>
              <w:snapToGrid w:val="0"/>
              <w:jc w:val="center"/>
              <w:rPr>
                <w:rFonts w:ascii="宋体" w:hAnsi="宋体"/>
                <w:b/>
                <w:color w:val="auto"/>
                <w:highlight w:val="none"/>
              </w:rPr>
            </w:pPr>
            <w:r>
              <w:rPr>
                <w:rFonts w:hint="eastAsia" w:ascii="宋体" w:hAnsi="宋体"/>
                <w:b/>
                <w:color w:val="auto"/>
                <w:sz w:val="28"/>
                <w:szCs w:val="28"/>
                <w:highlight w:val="none"/>
                <w:lang w:val="zh-CN"/>
              </w:rPr>
              <w:t>序号</w:t>
            </w:r>
          </w:p>
        </w:tc>
        <w:tc>
          <w:tcPr>
            <w:tcW w:w="1716" w:type="dxa"/>
            <w:tcBorders>
              <w:top w:val="single" w:color="auto" w:sz="18" w:space="0"/>
              <w:left w:val="single" w:color="auto" w:sz="8" w:space="0"/>
              <w:bottom w:val="single" w:color="auto" w:sz="8" w:space="0"/>
              <w:right w:val="single" w:color="auto" w:sz="8" w:space="0"/>
            </w:tcBorders>
            <w:vAlign w:val="center"/>
          </w:tcPr>
          <w:p>
            <w:pPr>
              <w:autoSpaceDE w:val="0"/>
              <w:autoSpaceDN w:val="0"/>
              <w:adjustRightInd w:val="0"/>
              <w:spacing w:line="360" w:lineRule="auto"/>
              <w:ind w:left="38"/>
              <w:jc w:val="center"/>
              <w:rPr>
                <w:rFonts w:ascii="宋体" w:hAnsi="宋体" w:cs="宋体"/>
                <w:b/>
                <w:color w:val="auto"/>
                <w:highlight w:val="none"/>
                <w:lang w:val="zh-CN"/>
              </w:rPr>
            </w:pPr>
            <w:r>
              <w:rPr>
                <w:rFonts w:hint="eastAsia" w:ascii="宋体" w:hAnsi="宋体" w:cs="宋体"/>
                <w:b/>
                <w:color w:val="auto"/>
                <w:sz w:val="28"/>
                <w:szCs w:val="28"/>
                <w:highlight w:val="none"/>
                <w:lang w:val="zh-CN"/>
              </w:rPr>
              <w:t>应知事项</w:t>
            </w:r>
          </w:p>
        </w:tc>
        <w:tc>
          <w:tcPr>
            <w:tcW w:w="6910" w:type="dxa"/>
            <w:tcBorders>
              <w:top w:val="single" w:color="auto" w:sz="18" w:space="0"/>
              <w:left w:val="single" w:color="auto" w:sz="8" w:space="0"/>
              <w:bottom w:val="single" w:color="auto" w:sz="8" w:space="0"/>
              <w:right w:val="single" w:color="auto" w:sz="18" w:space="0"/>
            </w:tcBorders>
            <w:vAlign w:val="center"/>
          </w:tcPr>
          <w:p>
            <w:pPr>
              <w:autoSpaceDE w:val="0"/>
              <w:autoSpaceDN w:val="0"/>
              <w:adjustRightInd w:val="0"/>
              <w:spacing w:line="360" w:lineRule="auto"/>
              <w:jc w:val="center"/>
              <w:rPr>
                <w:rFonts w:ascii="宋体" w:hAnsi="宋体" w:cs="宋体"/>
                <w:b/>
                <w:color w:val="auto"/>
                <w:highlight w:val="none"/>
                <w:lang w:val="zh-CN"/>
              </w:rPr>
            </w:pPr>
            <w:r>
              <w:rPr>
                <w:rFonts w:hint="eastAsia" w:ascii="宋体" w:hAnsi="宋体" w:cs="宋体"/>
                <w:b/>
                <w:color w:val="auto"/>
                <w:sz w:val="28"/>
                <w:szCs w:val="28"/>
                <w:highlight w:val="none"/>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91"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ind w:right="210" w:rightChars="100"/>
              <w:rPr>
                <w:rFonts w:ascii="宋体" w:hAnsi="宋体"/>
                <w:color w:val="auto"/>
                <w:highlight w:val="none"/>
              </w:rPr>
            </w:pPr>
            <w:r>
              <w:rPr>
                <w:rFonts w:hint="eastAsia" w:ascii="宋体" w:hAnsi="宋体"/>
                <w:color w:val="auto"/>
                <w:highlight w:val="none"/>
              </w:rPr>
              <w:t>采购预算</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eastAsia="仿宋_GB2312" w:cs="宋体"/>
                <w:b/>
                <w:color w:val="auto"/>
                <w:highlight w:val="none"/>
                <w:lang w:val="zh-CN"/>
              </w:rPr>
            </w:pPr>
            <w:r>
              <w:rPr>
                <w:rFonts w:hint="eastAsia" w:ascii="宋体" w:hAnsi="宋体" w:cs="宋体"/>
                <w:b/>
                <w:color w:val="auto"/>
                <w:highlight w:val="none"/>
                <w:lang w:val="zh-CN"/>
              </w:rPr>
              <w:t>人民币3372290元。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8"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最高限价</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b/>
                <w:color w:val="auto"/>
                <w:highlight w:val="none"/>
                <w:lang w:val="zh-CN"/>
              </w:rPr>
            </w:pPr>
            <w:r>
              <w:rPr>
                <w:rFonts w:hint="eastAsia" w:ascii="宋体" w:hAnsi="宋体" w:cs="宋体"/>
                <w:b/>
                <w:color w:val="auto"/>
                <w:highlight w:val="none"/>
                <w:lang w:val="zh-CN"/>
              </w:rPr>
              <w:t>本项目最高限价为人民币3372290元，投标人投标报价高于最高限价的则其投标文件将按无效投标文件处理。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63" w:hRule="exac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采购方式</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公开招标</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5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评标方法</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rPr>
                <w:rFonts w:ascii="宋体" w:hAnsi="宋体" w:cs="宋体"/>
                <w:color w:val="auto"/>
                <w:highlight w:val="none"/>
                <w:lang w:val="zh-CN"/>
              </w:rPr>
            </w:pPr>
            <w:r>
              <w:rPr>
                <w:rFonts w:hint="eastAsia" w:ascii="宋体" w:hAnsi="宋体" w:cs="宋体"/>
                <w:color w:val="auto"/>
                <w:highlight w:val="none"/>
                <w:lang w:val="zh-CN"/>
              </w:rPr>
              <w:t>综合评分法(详见第6章)</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3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仿宋_GB2312" w:cs="宋体"/>
                <w:color w:val="auto"/>
                <w:highlight w:val="none"/>
                <w:lang w:val="zh-CN"/>
              </w:rPr>
            </w:pPr>
            <w:r>
              <w:rPr>
                <w:rFonts w:hint="eastAsia" w:ascii="宋体" w:hAnsi="宋体" w:cs="宋体"/>
                <w:color w:val="auto"/>
                <w:highlight w:val="none"/>
                <w:lang w:val="zh-CN"/>
              </w:rPr>
              <w:t>低于成本价不正当竞争预防措施</w:t>
            </w:r>
          </w:p>
        </w:tc>
        <w:tc>
          <w:tcPr>
            <w:tcW w:w="6910" w:type="dxa"/>
            <w:tcBorders>
              <w:top w:val="single" w:color="auto" w:sz="8" w:space="0"/>
              <w:left w:val="single" w:color="auto" w:sz="8" w:space="0"/>
              <w:bottom w:val="single" w:color="auto" w:sz="8" w:space="0"/>
              <w:right w:val="single" w:color="auto" w:sz="18" w:space="0"/>
            </w:tcBorders>
            <w:vAlign w:val="center"/>
          </w:tcPr>
          <w:p>
            <w:pPr>
              <w:autoSpaceDE w:val="0"/>
              <w:autoSpaceDN w:val="0"/>
              <w:adjustRightInd w:val="0"/>
              <w:spacing w:line="360" w:lineRule="auto"/>
              <w:ind w:right="210" w:rightChars="100"/>
              <w:rPr>
                <w:rFonts w:ascii="宋体" w:hAnsi="宋体" w:cs="宋体"/>
                <w:color w:val="auto"/>
                <w:highlight w:val="none"/>
              </w:rPr>
            </w:pPr>
            <w:r>
              <w:rPr>
                <w:rFonts w:hint="eastAsia" w:ascii="宋体" w:hAnsi="宋体" w:cs="宋体"/>
                <w:color w:val="auto"/>
                <w:highlight w:val="none"/>
                <w:lang w:val="zh-CN"/>
              </w:rPr>
              <w:t>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41"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小微企业价格扣除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政府采购促进中小企业发展管理办法》（财库[2020]46号）的规定，对小微企业制造的货物的价格给予10%的价格扣除，用扣除后的价格参加评审。供应商提供的货物既有中小企业制造货物，也有大型企业制造货物的，不享受该办法</w:t>
            </w:r>
            <w:r>
              <w:rPr>
                <w:rFonts w:ascii="宋体" w:hAnsi="宋体" w:cs="宋体"/>
                <w:lang w:val="zh-CN"/>
              </w:rPr>
              <w:t>规定的中小企业</w:t>
            </w:r>
            <w:r>
              <w:rPr>
                <w:rFonts w:hint="eastAsia" w:ascii="宋体" w:hAnsi="宋体" w:cs="宋体"/>
                <w:lang w:val="zh-CN"/>
              </w:rPr>
              <w:t>扶持</w:t>
            </w:r>
            <w:r>
              <w:rPr>
                <w:rFonts w:ascii="宋体" w:hAnsi="宋体" w:cs="宋体"/>
                <w:lang w:val="zh-CN"/>
              </w:rPr>
              <w:t>政策</w:t>
            </w:r>
            <w:r>
              <w:rPr>
                <w:rFonts w:hint="eastAsia" w:ascii="宋体" w:hAnsi="宋体" w:cs="宋体"/>
                <w:lang w:val="zh-CN"/>
              </w:rPr>
              <w:t>。</w:t>
            </w:r>
          </w:p>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2.投标人应提供《中小企业声明函》。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监狱企业价格扣除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1.根据《关于政府采购支持监狱企业发展有关问题的通知》（财库[2014]68号）的规定，</w:t>
            </w:r>
            <w:r>
              <w:rPr>
                <w:rFonts w:hint="eastAsia" w:ascii="宋体" w:hAnsi="宋体"/>
              </w:rPr>
              <w:t>监狱企业视同小型、微型企业，</w:t>
            </w:r>
            <w:r>
              <w:rPr>
                <w:rFonts w:hint="eastAsia" w:ascii="宋体" w:hAnsi="宋体" w:cs="宋体"/>
                <w:lang w:val="zh-CN"/>
              </w:rPr>
              <w:t>对监狱企业制造的货物给予10%的价格扣除，用扣除后的价格参与评审。</w:t>
            </w:r>
          </w:p>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2.投标产品中为监狱企业制造的货物应提供由省级以上监狱管理局、戒毒管理局（含新疆生产建设兵团）出具的制造商属于监狱企业的证明文件复印件。</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残疾人福利性单位价格扣除</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cs="宋体"/>
                <w:lang w:val="zh-CN"/>
              </w:rPr>
            </w:pPr>
            <w:r>
              <w:rPr>
                <w:rFonts w:hint="eastAsia" w:ascii="宋体" w:hAnsi="宋体" w:cs="宋体"/>
                <w:lang w:val="zh-CN"/>
              </w:rPr>
              <w:t>1.根据《三部门联合发布关于促进残疾人就业政府采购政策的通知》（财库[2017]141号）的规定，残疾人福利性单位视同小型、微型企业，对残疾人福利性单位制造的货物给予10%的价格扣除，用扣除后的价格参与评审。</w:t>
            </w:r>
          </w:p>
          <w:p>
            <w:pPr>
              <w:autoSpaceDE w:val="0"/>
              <w:autoSpaceDN w:val="0"/>
              <w:adjustRightInd w:val="0"/>
              <w:spacing w:line="360" w:lineRule="auto"/>
              <w:ind w:right="210" w:rightChars="100"/>
              <w:rPr>
                <w:rFonts w:ascii="宋体" w:hAnsi="宋体" w:eastAsia="宋体" w:cs="宋体"/>
                <w:kern w:val="2"/>
                <w:sz w:val="21"/>
                <w:szCs w:val="22"/>
                <w:lang w:val="zh-CN" w:eastAsia="zh-CN" w:bidi="ar-SA"/>
              </w:rPr>
            </w:pPr>
            <w:r>
              <w:rPr>
                <w:rFonts w:hint="eastAsia" w:ascii="宋体" w:hAnsi="宋体" w:cs="宋体"/>
                <w:lang w:val="zh-CN"/>
              </w:rPr>
              <w:t>2.投标人应提供《残疾人福利性单位声明函》。</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autoSpaceDE w:val="0"/>
              <w:autoSpaceDN w:val="0"/>
              <w:adjustRightInd w:val="0"/>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投标保证金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Times New Roman"/>
                <w:color w:val="auto"/>
                <w:kern w:val="2"/>
                <w:sz w:val="21"/>
                <w:szCs w:val="22"/>
                <w:highlight w:val="none"/>
                <w:lang w:val="en-US" w:eastAsia="zh-CN" w:bidi="ar-SA"/>
              </w:rPr>
            </w:pPr>
            <w:r>
              <w:rPr>
                <w:rFonts w:hint="eastAsia" w:ascii="宋体" w:hAnsi="宋体"/>
                <w:b/>
                <w:color w:val="auto"/>
                <w:highlight w:val="none"/>
              </w:rPr>
              <w:t>本项目不收取投标保证金。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履约保证金</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详见投标人须知2.6.4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投标有效期</w:t>
            </w:r>
          </w:p>
        </w:tc>
        <w:tc>
          <w:tcPr>
            <w:tcW w:w="6910"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提交投标文件的截止之日起</w:t>
            </w:r>
            <w:r>
              <w:rPr>
                <w:rFonts w:hint="eastAsia" w:ascii="宋体" w:hAnsi="宋体" w:cs="宋体"/>
                <w:color w:val="auto"/>
                <w:highlight w:val="none"/>
                <w:u w:val="single"/>
                <w:lang w:val="zh-CN"/>
              </w:rPr>
              <w:t>120</w:t>
            </w:r>
            <w:r>
              <w:rPr>
                <w:rFonts w:hint="eastAsia" w:ascii="宋体" w:hAnsi="宋体" w:cs="宋体"/>
                <w:color w:val="auto"/>
                <w:highlight w:val="none"/>
                <w:lang w:val="zh-CN"/>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投标文件的制作和签章、加密</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详见投标人须知2.4.11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698"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投标文件的递交</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color w:val="auto"/>
                <w:highlight w:val="none"/>
              </w:rPr>
            </w:pPr>
            <w:r>
              <w:rPr>
                <w:rFonts w:hint="eastAsia" w:ascii="宋体" w:hAnsi="宋体"/>
                <w:color w:val="auto"/>
                <w:highlight w:val="none"/>
              </w:rPr>
              <w:t>详见投标人须知2.4.12</w:t>
            </w:r>
          </w:p>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注：投标人使用</w:t>
            </w:r>
            <w:r>
              <w:rPr>
                <w:rFonts w:ascii="宋体" w:hAnsi="宋体"/>
                <w:color w:val="auto"/>
                <w:highlight w:val="none"/>
              </w:rPr>
              <w:t>CA证书在</w:t>
            </w:r>
            <w:r>
              <w:rPr>
                <w:rFonts w:hint="eastAsia" w:ascii="宋体" w:hAnsi="宋体"/>
                <w:color w:val="auto"/>
                <w:highlight w:val="none"/>
              </w:rPr>
              <w:t>投标截止时间前，将投标文件上传至政府</w:t>
            </w:r>
            <w:r>
              <w:rPr>
                <w:rFonts w:ascii="宋体" w:hAnsi="宋体"/>
                <w:color w:val="auto"/>
                <w:highlight w:val="none"/>
              </w:rPr>
              <w:t>采购</w:t>
            </w:r>
            <w:r>
              <w:rPr>
                <w:rFonts w:hint="eastAsia" w:ascii="宋体" w:hAnsi="宋体"/>
                <w:color w:val="auto"/>
                <w:highlight w:val="none"/>
              </w:rPr>
              <w:t>云平台，上传前须对投标文件是否有电子签章等进行核对。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投标文件的补充、修改</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详见投标人须知2.4.13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993"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投标文件的撤回</w:t>
            </w:r>
          </w:p>
        </w:tc>
        <w:tc>
          <w:tcPr>
            <w:tcW w:w="6910"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详见投标人须知2.4.14</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64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numPr>
                <w:ilvl w:val="0"/>
                <w:numId w:val="10"/>
              </w:numPr>
              <w:snapToGrid w:val="0"/>
              <w:spacing w:line="360" w:lineRule="auto"/>
              <w:ind w:left="420"/>
              <w:jc w:val="center"/>
              <w:rPr>
                <w:rFonts w:ascii="宋体" w:hAnsi="宋体"/>
                <w:color w:val="auto"/>
                <w:highlight w:val="none"/>
              </w:rPr>
            </w:pPr>
          </w:p>
        </w:tc>
        <w:tc>
          <w:tcPr>
            <w:tcW w:w="1716"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b/>
                <w:color w:val="auto"/>
                <w:highlight w:val="none"/>
              </w:rPr>
              <w:t>开标及开标程序</w:t>
            </w:r>
          </w:p>
        </w:tc>
        <w:tc>
          <w:tcPr>
            <w:tcW w:w="6910"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宋体" w:hAnsi="宋体"/>
                <w:b/>
                <w:color w:val="auto"/>
                <w:highlight w:val="none"/>
              </w:rPr>
            </w:pPr>
            <w:r>
              <w:rPr>
                <w:rFonts w:hint="eastAsia" w:ascii="宋体" w:hAnsi="宋体"/>
                <w:b/>
                <w:color w:val="auto"/>
                <w:highlight w:val="none"/>
              </w:rPr>
              <w:t>详见投标人须知2.5.1。</w:t>
            </w:r>
          </w:p>
          <w:p>
            <w:pPr>
              <w:snapToGrid w:val="0"/>
              <w:spacing w:line="360" w:lineRule="auto"/>
              <w:rPr>
                <w:rFonts w:ascii="宋体" w:hAnsi="宋体"/>
                <w:b/>
                <w:color w:val="auto"/>
                <w:highlight w:val="none"/>
              </w:rPr>
            </w:pPr>
            <w:r>
              <w:rPr>
                <w:rFonts w:hint="eastAsia" w:ascii="宋体" w:hAnsi="宋体"/>
                <w:b/>
                <w:color w:val="auto"/>
                <w:highlight w:val="none"/>
              </w:rPr>
              <w:t>投标文件解密：开启解密后，投标人应在系统提示的解密开始时间后</w:t>
            </w:r>
            <w:r>
              <w:rPr>
                <w:rFonts w:ascii="宋体" w:hAnsi="宋体"/>
                <w:b/>
                <w:color w:val="auto"/>
                <w:highlight w:val="none"/>
              </w:rPr>
              <w:t>60</w:t>
            </w:r>
            <w:r>
              <w:rPr>
                <w:rFonts w:hint="eastAsia" w:ascii="宋体" w:hAnsi="宋体"/>
                <w:b/>
                <w:color w:val="auto"/>
                <w:highlight w:val="none"/>
              </w:rPr>
              <w:t>分钟内，使用对投标文件进行加密的CA证书在线完成对投标人递交至政府采购云平台的投标文件的解密。</w:t>
            </w:r>
          </w:p>
          <w:p>
            <w:pPr>
              <w:snapToGrid w:val="0"/>
              <w:spacing w:line="360" w:lineRule="auto"/>
              <w:rPr>
                <w:rFonts w:ascii="宋体" w:hAnsi="宋体"/>
                <w:b/>
                <w:color w:val="auto"/>
                <w:highlight w:val="none"/>
              </w:rPr>
            </w:pPr>
            <w:r>
              <w:rPr>
                <w:rFonts w:hint="eastAsia" w:ascii="宋体" w:hAnsi="宋体"/>
                <w:b/>
                <w:color w:val="auto"/>
                <w:highlight w:val="none"/>
              </w:rPr>
              <w:t>投标人电脑终端等硬件设备和软件系统配置：投标人电脑终端等硬件设备和软件系统配置应符合开标大厅投标人电脑终端配置要求并运行正常，投标人承担因未尽职责产生的不利后果。</w:t>
            </w:r>
          </w:p>
          <w:p>
            <w:pPr>
              <w:tabs>
                <w:tab w:val="left" w:pos="7665"/>
              </w:tabs>
              <w:snapToGrid w:val="0"/>
              <w:jc w:val="left"/>
              <w:rPr>
                <w:rFonts w:ascii="宋体" w:hAnsi="宋体" w:eastAsia="宋体" w:cs="Times New Roman"/>
                <w:color w:val="auto"/>
                <w:kern w:val="2"/>
                <w:sz w:val="21"/>
                <w:szCs w:val="22"/>
                <w:highlight w:val="none"/>
                <w:lang w:val="en-US" w:eastAsia="zh-CN" w:bidi="ar-SA"/>
              </w:rPr>
            </w:pPr>
            <w:r>
              <w:rPr>
                <w:rFonts w:hint="eastAsia" w:ascii="宋体" w:hAnsi="宋体"/>
                <w:b/>
                <w:color w:val="auto"/>
                <w:highlight w:val="none"/>
              </w:rPr>
              <w:t>开标、投标文件的解密详见《成都市全流程电子化采购系统操作指南——供应商版》。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33"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color w:val="auto"/>
                <w:kern w:val="2"/>
                <w:sz w:val="21"/>
                <w:szCs w:val="22"/>
                <w:highlight w:val="none"/>
                <w:lang w:val="zh-CN" w:eastAsia="zh-CN" w:bidi="ar-SA"/>
              </w:rPr>
            </w:pPr>
            <w:r>
              <w:rPr>
                <w:rFonts w:hint="eastAsia" w:ascii="宋体" w:hAnsi="宋体"/>
                <w:color w:val="auto"/>
                <w:highlight w:val="none"/>
              </w:rPr>
              <w:t>对招标文件中供应商参加本次政府采购活动应当具备的条件,招标项目技术、服务、商务及其他要求,评标细则及标准,以及关于资格审查的询问、质疑</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right="210" w:rightChars="0"/>
              <w:rPr>
                <w:rFonts w:ascii="宋体" w:hAnsi="宋体" w:eastAsia="仿宋_GB2312" w:cs="宋体"/>
                <w:color w:val="auto"/>
                <w:kern w:val="2"/>
                <w:sz w:val="21"/>
                <w:szCs w:val="22"/>
                <w:highlight w:val="none"/>
                <w:lang w:val="zh-CN" w:eastAsia="zh-CN" w:bidi="ar-SA"/>
              </w:rPr>
            </w:pPr>
            <w:r>
              <w:rPr>
                <w:rFonts w:hint="eastAsia" w:ascii="宋体" w:hAnsi="宋体"/>
                <w:color w:val="auto"/>
                <w:highlight w:val="none"/>
              </w:rPr>
              <w:t>向采购人提出，并由采购人按相关规定作出答复（详见投标人须知2.8）。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对招标文件中的其他内容、采购过程及中标结果（除资格审查）的询问、质疑</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right="210" w:rightChars="0"/>
              <w:rPr>
                <w:rFonts w:ascii="宋体" w:hAnsi="宋体" w:eastAsia="仿宋_GB2312" w:cs="宋体"/>
                <w:color w:val="auto"/>
                <w:kern w:val="2"/>
                <w:sz w:val="21"/>
                <w:szCs w:val="22"/>
                <w:highlight w:val="none"/>
                <w:lang w:val="en-US" w:eastAsia="zh-CN" w:bidi="ar-SA"/>
              </w:rPr>
            </w:pPr>
            <w:r>
              <w:rPr>
                <w:rFonts w:hint="eastAsia" w:ascii="宋体" w:hAnsi="宋体"/>
                <w:color w:val="auto"/>
                <w:highlight w:val="none"/>
              </w:rPr>
              <w:t>向</w:t>
            </w:r>
            <w:r>
              <w:rPr>
                <w:rFonts w:hint="eastAsia" w:ascii="宋体" w:hAnsi="宋体"/>
                <w:color w:val="auto"/>
                <w:highlight w:val="none"/>
                <w:lang w:eastAsia="zh-CN"/>
              </w:rPr>
              <w:t>区</w:t>
            </w:r>
            <w:r>
              <w:rPr>
                <w:rFonts w:hint="eastAsia" w:ascii="宋体" w:hAnsi="宋体"/>
                <w:color w:val="auto"/>
                <w:highlight w:val="none"/>
              </w:rPr>
              <w:t>公资交易中心提出，并由</w:t>
            </w:r>
            <w:r>
              <w:rPr>
                <w:rFonts w:hint="eastAsia" w:ascii="宋体" w:hAnsi="宋体"/>
                <w:color w:val="auto"/>
                <w:highlight w:val="none"/>
                <w:lang w:eastAsia="zh-CN"/>
              </w:rPr>
              <w:t>区</w:t>
            </w:r>
            <w:r>
              <w:rPr>
                <w:rFonts w:hint="eastAsia" w:ascii="宋体" w:hAnsi="宋体"/>
                <w:color w:val="auto"/>
                <w:highlight w:val="none"/>
              </w:rPr>
              <w:t>公资交易中心按相关规定作出答复（详见投标人须知2.8）。</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406"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ind w:right="210" w:rightChars="100"/>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投标人投诉</w:t>
            </w:r>
          </w:p>
        </w:tc>
        <w:tc>
          <w:tcPr>
            <w:tcW w:w="6910"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ind w:left="183" w:right="210" w:rightChars="100" w:hanging="182" w:hangingChars="87"/>
              <w:rPr>
                <w:rFonts w:ascii="宋体" w:hAnsi="宋体" w:eastAsia="仿宋_GB2312" w:cs="宋体"/>
                <w:color w:val="auto"/>
                <w:highlight w:val="none"/>
              </w:rPr>
            </w:pPr>
            <w:r>
              <w:rPr>
                <w:rFonts w:hint="eastAsia" w:ascii="宋体" w:hAnsi="宋体"/>
                <w:color w:val="auto"/>
                <w:highlight w:val="none"/>
              </w:rPr>
              <w:t>投诉受理单位：本项目同级财政部门，即成都市</w:t>
            </w:r>
            <w:r>
              <w:rPr>
                <w:rFonts w:hint="eastAsia" w:ascii="宋体" w:hAnsi="宋体"/>
                <w:color w:val="auto"/>
                <w:highlight w:val="none"/>
                <w:lang w:eastAsia="zh-CN"/>
              </w:rPr>
              <w:t>温江区</w:t>
            </w:r>
            <w:r>
              <w:rPr>
                <w:rFonts w:hint="eastAsia" w:ascii="宋体" w:hAnsi="宋体"/>
                <w:color w:val="auto"/>
                <w:highlight w:val="none"/>
              </w:rPr>
              <w:t>财政局。</w:t>
            </w:r>
          </w:p>
          <w:p>
            <w:pPr>
              <w:tabs>
                <w:tab w:val="left" w:pos="7665"/>
              </w:tabs>
              <w:snapToGrid w:val="0"/>
              <w:spacing w:line="360" w:lineRule="auto"/>
              <w:rPr>
                <w:rFonts w:ascii="宋体" w:hAnsi="宋体"/>
                <w:color w:val="auto"/>
                <w:highlight w:val="none"/>
              </w:rPr>
            </w:pPr>
            <w:r>
              <w:rPr>
                <w:rFonts w:hint="eastAsia" w:ascii="宋体" w:hAnsi="宋体"/>
                <w:color w:val="auto"/>
                <w:highlight w:val="none"/>
              </w:rPr>
              <w:t>联系电话：028-</w:t>
            </w:r>
            <w:r>
              <w:rPr>
                <w:rFonts w:hint="eastAsia" w:ascii="宋体" w:hAnsi="宋体"/>
                <w:color w:val="auto"/>
                <w:highlight w:val="none"/>
                <w:lang w:val="en-US" w:eastAsia="zh-CN"/>
              </w:rPr>
              <w:t>82727142</w:t>
            </w:r>
            <w:r>
              <w:rPr>
                <w:rFonts w:hint="eastAsia" w:ascii="宋体" w:hAnsi="宋体"/>
                <w:color w:val="auto"/>
                <w:highlight w:val="none"/>
              </w:rPr>
              <w:t>。</w:t>
            </w:r>
          </w:p>
          <w:p>
            <w:pPr>
              <w:tabs>
                <w:tab w:val="left" w:pos="7665"/>
              </w:tabs>
              <w:snapToGrid w:val="0"/>
              <w:spacing w:line="360" w:lineRule="auto"/>
              <w:rPr>
                <w:rFonts w:ascii="宋体" w:hAnsi="宋体"/>
                <w:color w:val="auto"/>
                <w:highlight w:val="none"/>
              </w:rPr>
            </w:pPr>
            <w:r>
              <w:rPr>
                <w:rFonts w:hint="eastAsia" w:ascii="宋体" w:hAnsi="宋体"/>
                <w:color w:val="auto"/>
                <w:highlight w:val="none"/>
              </w:rPr>
              <w:t>地址：成都市</w:t>
            </w:r>
            <w:r>
              <w:rPr>
                <w:rFonts w:hint="eastAsia" w:ascii="宋体" w:hAnsi="宋体"/>
                <w:color w:val="auto"/>
                <w:highlight w:val="none"/>
                <w:lang w:eastAsia="zh-CN"/>
              </w:rPr>
              <w:t>温江区海科大厦</w:t>
            </w:r>
            <w:r>
              <w:rPr>
                <w:rFonts w:hint="eastAsia" w:ascii="宋体" w:hAnsi="宋体"/>
                <w:color w:val="auto"/>
                <w:highlight w:val="none"/>
              </w:rPr>
              <w:t>。</w:t>
            </w:r>
          </w:p>
          <w:p>
            <w:pPr>
              <w:tabs>
                <w:tab w:val="left" w:pos="7665"/>
              </w:tabs>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邮编：61</w:t>
            </w:r>
            <w:r>
              <w:rPr>
                <w:rFonts w:hint="eastAsia" w:ascii="宋体" w:hAnsi="宋体"/>
                <w:color w:val="auto"/>
                <w:highlight w:val="none"/>
                <w:lang w:val="en-US" w:eastAsia="zh-CN"/>
              </w:rPr>
              <w:t>1130</w:t>
            </w:r>
            <w:r>
              <w:rPr>
                <w:rFonts w:hint="eastAsia" w:ascii="宋体" w:hAnsi="宋体"/>
                <w:color w:val="auto"/>
                <w:highlight w:val="none"/>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359"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评标情况公告</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pacing w:line="360" w:lineRule="auto"/>
              <w:rPr>
                <w:rFonts w:ascii="宋体" w:hAnsi="宋体" w:eastAsia="宋体" w:cs="宋体"/>
                <w:color w:val="auto"/>
                <w:kern w:val="2"/>
                <w:sz w:val="21"/>
                <w:szCs w:val="22"/>
                <w:highlight w:val="none"/>
                <w:lang w:val="zh-CN" w:eastAsia="zh-CN" w:bidi="ar-SA"/>
              </w:rPr>
            </w:pPr>
            <w:r>
              <w:rPr>
                <w:rFonts w:hint="eastAsia" w:ascii="宋体" w:hAnsi="宋体" w:cs="宋体"/>
                <w:color w:val="auto"/>
                <w:highlight w:val="none"/>
                <w:lang w:val="zh-CN"/>
              </w:rPr>
              <w:t>所有</w:t>
            </w:r>
            <w:r>
              <w:rPr>
                <w:rFonts w:hint="eastAsia" w:ascii="宋体" w:hAnsi="宋体"/>
                <w:color w:val="auto"/>
                <w:highlight w:val="none"/>
              </w:rPr>
              <w:t>投标人</w:t>
            </w:r>
            <w:r>
              <w:rPr>
                <w:rFonts w:hint="eastAsia" w:ascii="宋体" w:hAnsi="宋体" w:cs="宋体"/>
                <w:color w:val="auto"/>
                <w:highlight w:val="none"/>
                <w:lang w:val="zh-CN"/>
              </w:rPr>
              <w:t>投标文件资格性、符合性检查情况、采用综合评分法时的得分情况、评标结果等将在成都市公共资源交易服务中心网、四川政府采购网上采购结果公告栏中予以公告。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227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s="宋体"/>
                <w:color w:val="auto"/>
                <w:highlight w:val="none"/>
                <w:lang w:val="zh-CN"/>
              </w:rPr>
              <w:t>中标通知书</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s="宋体"/>
                <w:color w:val="auto"/>
                <w:highlight w:val="none"/>
                <w:lang w:val="zh-CN"/>
              </w:rPr>
              <w:t>中标公告在四川政府采购网上公告后，中标供应商自行登录政府</w:t>
            </w:r>
            <w:r>
              <w:rPr>
                <w:rFonts w:ascii="宋体" w:hAnsi="宋体" w:cs="宋体"/>
                <w:color w:val="auto"/>
                <w:highlight w:val="none"/>
                <w:lang w:val="zh-CN"/>
              </w:rPr>
              <w:t>采购</w:t>
            </w:r>
            <w:r>
              <w:rPr>
                <w:rFonts w:hint="eastAsia" w:ascii="宋体" w:hAnsi="宋体" w:cs="宋体"/>
                <w:color w:val="auto"/>
                <w:highlight w:val="none"/>
                <w:lang w:val="zh-CN"/>
              </w:rPr>
              <w:t>云平台下载中标通知书。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880"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合同签订地点</w:t>
            </w:r>
          </w:p>
        </w:tc>
        <w:tc>
          <w:tcPr>
            <w:tcW w:w="6910"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四川省成都市</w:t>
            </w:r>
            <w:r>
              <w:rPr>
                <w:rFonts w:hint="eastAsia" w:ascii="宋体" w:hAnsi="宋体"/>
                <w:color w:val="auto"/>
                <w:highlight w:val="none"/>
                <w:lang w:eastAsia="zh-CN"/>
              </w:rPr>
              <w:t>温江区</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4" w:space="0"/>
            </w:tcBorders>
            <w:vAlign w:val="center"/>
          </w:tcPr>
          <w:p>
            <w:pPr>
              <w:snapToGrid w:val="0"/>
              <w:spacing w:line="360" w:lineRule="auto"/>
              <w:ind w:right="210" w:rightChars="100"/>
              <w:rPr>
                <w:rFonts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政府采购合同公告、备案</w:t>
            </w:r>
          </w:p>
        </w:tc>
        <w:tc>
          <w:tcPr>
            <w:tcW w:w="6910" w:type="dxa"/>
            <w:tcBorders>
              <w:top w:val="single" w:color="auto" w:sz="4" w:space="0"/>
              <w:left w:val="single" w:color="auto" w:sz="4" w:space="0"/>
              <w:bottom w:val="single" w:color="auto" w:sz="4" w:space="0"/>
              <w:right w:val="single" w:color="auto" w:sz="18" w:space="0"/>
            </w:tcBorders>
            <w:vAlign w:val="center"/>
          </w:tcPr>
          <w:p>
            <w:pPr>
              <w:tabs>
                <w:tab w:val="left" w:pos="7665"/>
              </w:tabs>
              <w:snapToGrid w:val="0"/>
              <w:spacing w:line="360" w:lineRule="auto"/>
              <w:ind w:left="-4" w:leftChars="-2" w:right="210" w:rightChars="0" w:firstLine="12" w:firstLineChars="6"/>
              <w:rPr>
                <w:rFonts w:ascii="宋体" w:hAnsi="宋体" w:eastAsia="宋体" w:cs="Times New Roman"/>
                <w:color w:val="auto"/>
                <w:kern w:val="2"/>
                <w:sz w:val="21"/>
                <w:szCs w:val="22"/>
                <w:highlight w:val="none"/>
                <w:lang w:val="en-US" w:eastAsia="zh-CN" w:bidi="ar-SA"/>
              </w:rPr>
            </w:pPr>
            <w:r>
              <w:rPr>
                <w:rFonts w:hint="eastAsia" w:ascii="宋体"/>
                <w:color w:val="auto"/>
                <w:highlight w:val="none"/>
              </w:rPr>
              <w:t>政府采购合同签订之日起2个工作日内，采购人将在四川政府采购网公告政府采购合同；疫情防控期间，采购人原则上在5个工作日内与供应商签订政府采购合同及向本采购项目同级财政部门，即成都市</w:t>
            </w:r>
            <w:r>
              <w:rPr>
                <w:rFonts w:hint="eastAsia" w:ascii="宋体"/>
                <w:color w:val="auto"/>
                <w:highlight w:val="none"/>
                <w:lang w:eastAsia="zh-CN"/>
              </w:rPr>
              <w:t>温江区</w:t>
            </w:r>
            <w:r>
              <w:rPr>
                <w:rFonts w:hint="eastAsia" w:ascii="宋体"/>
                <w:color w:val="auto"/>
                <w:highlight w:val="none"/>
              </w:rPr>
              <w:t>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bookmarkStart w:id="25" w:name="_Toc21680"/>
            <w:bookmarkStart w:id="26" w:name="_Toc10947"/>
          </w:p>
        </w:tc>
        <w:tc>
          <w:tcPr>
            <w:tcW w:w="1716" w:type="dxa"/>
            <w:tcBorders>
              <w:top w:val="single" w:color="auto" w:sz="4" w:space="0"/>
              <w:left w:val="single" w:color="auto" w:sz="8" w:space="0"/>
              <w:bottom w:val="single" w:color="auto" w:sz="4" w:space="0"/>
              <w:right w:val="single" w:color="auto" w:sz="4" w:space="0"/>
            </w:tcBorders>
            <w:vAlign w:val="center"/>
          </w:tcPr>
          <w:p>
            <w:pPr>
              <w:tabs>
                <w:tab w:val="left" w:pos="7665"/>
              </w:tabs>
              <w:snapToGrid w:val="0"/>
              <w:spacing w:line="360" w:lineRule="auto"/>
              <w:ind w:left="-4" w:leftChars="-2" w:right="210" w:rightChars="0" w:firstLine="12" w:firstLineChars="6"/>
              <w:rPr>
                <w:rFonts w:hint="eastAsia" w:ascii="宋体" w:hAnsi="Calibri" w:eastAsia="宋体" w:cs="Times New Roman"/>
                <w:color w:val="auto"/>
                <w:kern w:val="2"/>
                <w:sz w:val="21"/>
                <w:szCs w:val="22"/>
                <w:highlight w:val="none"/>
                <w:lang w:val="en-US" w:eastAsia="zh-CN" w:bidi="ar-SA"/>
              </w:rPr>
            </w:pPr>
            <w:r>
              <w:rPr>
                <w:rFonts w:hint="eastAsia" w:ascii="宋体" w:eastAsia="宋体" w:cs="Times New Roman"/>
                <w:color w:val="auto"/>
                <w:highlight w:val="none"/>
              </w:rPr>
              <w:t>中小企业政府采购信用融资（“蓉采贷”）</w:t>
            </w:r>
          </w:p>
        </w:tc>
        <w:tc>
          <w:tcPr>
            <w:tcW w:w="6910" w:type="dxa"/>
            <w:tcBorders>
              <w:top w:val="single" w:color="auto" w:sz="4" w:space="0"/>
              <w:left w:val="single" w:color="auto" w:sz="4" w:space="0"/>
              <w:bottom w:val="single" w:color="auto" w:sz="4" w:space="0"/>
              <w:right w:val="single" w:color="auto" w:sz="18" w:space="0"/>
            </w:tcBorders>
            <w:vAlign w:val="center"/>
          </w:tcPr>
          <w:p>
            <w:pPr>
              <w:tabs>
                <w:tab w:val="left" w:pos="7665"/>
              </w:tabs>
              <w:snapToGrid w:val="0"/>
              <w:spacing w:line="360" w:lineRule="auto"/>
              <w:ind w:left="-4" w:leftChars="-2" w:right="210" w:rightChars="0" w:firstLine="12" w:firstLineChars="6"/>
              <w:rPr>
                <w:rFonts w:hint="eastAsia" w:ascii="宋体" w:hAnsi="Calibri" w:eastAsia="宋体" w:cs="Times New Roman"/>
                <w:color w:val="auto"/>
                <w:kern w:val="2"/>
                <w:sz w:val="21"/>
                <w:szCs w:val="22"/>
                <w:highlight w:val="none"/>
                <w:lang w:val="en-US" w:eastAsia="zh-CN" w:bidi="ar-SA"/>
              </w:rPr>
            </w:pPr>
            <w:r>
              <w:rPr>
                <w:rFonts w:hint="eastAsia" w:ascii="宋体" w:eastAsia="宋体" w:cs="Times New Roman"/>
                <w:color w:val="auto"/>
                <w:highlight w:val="none"/>
              </w:rPr>
              <w:t>参加本次采购活动成交的中小企业无需提供财产抵押或第三方担保，凭借政府采购合同可向融资机构申请融资。具体内容详见</w:t>
            </w:r>
            <w:r>
              <w:rPr>
                <w:rFonts w:hint="eastAsia" w:ascii="宋体" w:eastAsia="宋体" w:cs="Times New Roman"/>
                <w:color w:val="auto"/>
                <w:highlight w:val="none"/>
                <w:lang w:eastAsia="zh-CN"/>
              </w:rPr>
              <w:t>附件</w:t>
            </w:r>
            <w:r>
              <w:rPr>
                <w:rFonts w:hint="eastAsia" w:ascii="宋体" w:eastAsia="宋体" w:cs="Times New Roman"/>
                <w:color w:val="auto"/>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1716" w:type="dxa"/>
            <w:tcBorders>
              <w:top w:val="single" w:color="auto" w:sz="4" w:space="0"/>
              <w:left w:val="single" w:color="auto" w:sz="8" w:space="0"/>
              <w:bottom w:val="single" w:color="auto" w:sz="4" w:space="0"/>
              <w:right w:val="single" w:color="auto" w:sz="4" w:space="0"/>
            </w:tcBorders>
            <w:vAlign w:val="center"/>
          </w:tcPr>
          <w:p>
            <w:pPr>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进口产品</w:t>
            </w:r>
          </w:p>
        </w:tc>
        <w:tc>
          <w:tcPr>
            <w:tcW w:w="6910" w:type="dxa"/>
            <w:tcBorders>
              <w:top w:val="single" w:color="auto" w:sz="4" w:space="0"/>
              <w:left w:val="single" w:color="auto" w:sz="4" w:space="0"/>
              <w:bottom w:val="single" w:color="auto" w:sz="4" w:space="0"/>
              <w:right w:val="single" w:color="auto" w:sz="18" w:space="0"/>
            </w:tcBorders>
            <w:vAlign w:val="center"/>
          </w:tcPr>
          <w:p>
            <w:pPr>
              <w:tabs>
                <w:tab w:val="left" w:pos="7665"/>
              </w:tabs>
              <w:snapToGrid w:val="0"/>
              <w:spacing w:line="360" w:lineRule="auto"/>
              <w:rPr>
                <w:rFonts w:hint="eastAsia" w:ascii="宋体" w:hAnsi="宋体" w:eastAsia="宋体" w:cs="Times New Roman"/>
                <w:color w:val="auto"/>
                <w:kern w:val="2"/>
                <w:sz w:val="21"/>
                <w:szCs w:val="22"/>
                <w:highlight w:val="none"/>
                <w:lang w:val="en-US" w:eastAsia="zh-CN" w:bidi="ar-SA"/>
              </w:rPr>
            </w:pPr>
            <w:r>
              <w:rPr>
                <w:rFonts w:hint="eastAsia" w:ascii="宋体" w:hAnsi="宋体"/>
                <w:color w:val="auto"/>
                <w:highlight w:val="none"/>
              </w:rPr>
              <w:t>招标文件中未载明“允许采购进口产品”的产品，拒绝进口产品的投标。招标文件中载明“允许采购进口产品”的产品，允许国产产品参与投标竞争。</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CellMar>
            <w:top w:w="0" w:type="dxa"/>
            <w:left w:w="0" w:type="dxa"/>
            <w:bottom w:w="0" w:type="dxa"/>
            <w:right w:w="0" w:type="dxa"/>
          </w:tblCellMar>
        </w:tblPrEx>
        <w:trPr>
          <w:trHeight w:val="1416"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numPr>
                <w:ilvl w:val="0"/>
                <w:numId w:val="10"/>
              </w:numPr>
              <w:snapToGrid w:val="0"/>
              <w:spacing w:line="360" w:lineRule="auto"/>
              <w:ind w:left="0" w:firstLine="0"/>
              <w:jc w:val="center"/>
              <w:rPr>
                <w:rFonts w:ascii="宋体" w:hAnsi="宋体"/>
                <w:color w:val="auto"/>
                <w:highlight w:val="none"/>
              </w:rPr>
            </w:pPr>
          </w:p>
        </w:tc>
        <w:tc>
          <w:tcPr>
            <w:tcW w:w="8626"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hint="eastAsia" w:ascii="宋体" w:hAnsi="宋体"/>
                <w:color w:val="auto"/>
                <w:highlight w:val="none"/>
              </w:rPr>
            </w:pPr>
            <w:r>
              <w:rPr>
                <w:rFonts w:hint="eastAsia" w:ascii="宋体" w:hAnsi="宋体"/>
                <w:color w:val="auto"/>
                <w:highlight w:val="none"/>
              </w:rPr>
              <w:t>采购人可以要求参加政府采购的供应商提供有关资质证明文件和业绩情况，并根据《中华人民共和国政府采购法》规定的供应商条件和采购项目对供应商的特定要求，对供应商的资格进行审查。</w:t>
            </w:r>
          </w:p>
        </w:tc>
      </w:tr>
    </w:tbl>
    <w:p>
      <w:pPr>
        <w:keepNext/>
        <w:keepLines/>
        <w:numPr>
          <w:ilvl w:val="1"/>
          <w:numId w:val="5"/>
        </w:numPr>
        <w:spacing w:before="260" w:after="260" w:line="360" w:lineRule="auto"/>
        <w:jc w:val="left"/>
        <w:outlineLvl w:val="1"/>
        <w:rPr>
          <w:rFonts w:ascii="宋体" w:hAnsi="宋体"/>
          <w:b/>
          <w:bCs/>
          <w:color w:val="auto"/>
          <w:sz w:val="28"/>
          <w:szCs w:val="28"/>
          <w:highlight w:val="none"/>
        </w:rPr>
      </w:pPr>
      <w:r>
        <w:rPr>
          <w:rFonts w:hint="eastAsia" w:ascii="宋体" w:hAnsi="宋体"/>
          <w:b/>
          <w:bCs/>
          <w:color w:val="auto"/>
          <w:sz w:val="28"/>
          <w:szCs w:val="28"/>
          <w:highlight w:val="none"/>
        </w:rPr>
        <w:t>总则</w:t>
      </w:r>
      <w:bookmarkEnd w:id="25"/>
      <w:bookmarkEnd w:id="26"/>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适用范围</w:t>
      </w:r>
    </w:p>
    <w:p>
      <w:pPr>
        <w:numPr>
          <w:ilvl w:val="0"/>
          <w:numId w:val="11"/>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本招标文件仅适用于本次公开招标采购项目。</w:t>
      </w:r>
    </w:p>
    <w:p>
      <w:pPr>
        <w:numPr>
          <w:ilvl w:val="0"/>
          <w:numId w:val="11"/>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本招标文件的最终解释权由采购人或</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公资交易中心享有。对招标文件中供应商参加本次政府采购活动应当具备的条件，招标项目技术、服务、商务及其他要求，评标细则及标准由采购人负责解释。除上述招标文件内容，其他内容由</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公资交易中心负责解释。</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有关定义</w:t>
      </w:r>
    </w:p>
    <w:p>
      <w:pPr>
        <w:numPr>
          <w:ilvl w:val="0"/>
          <w:numId w:val="12"/>
        </w:numPr>
        <w:tabs>
          <w:tab w:val="left" w:pos="1134"/>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“采购人”和“甲方”系指依法进行政府采购的成都市</w:t>
      </w:r>
      <w:r>
        <w:rPr>
          <w:rFonts w:hint="eastAsia" w:ascii="宋体" w:hAnsi="宋体"/>
          <w:color w:val="auto"/>
          <w:sz w:val="28"/>
          <w:szCs w:val="28"/>
          <w:highlight w:val="none"/>
          <w:lang w:eastAsia="zh-CN"/>
        </w:rPr>
        <w:t>温江区区级</w:t>
      </w:r>
      <w:r>
        <w:rPr>
          <w:rFonts w:hint="eastAsia" w:ascii="宋体" w:hAnsi="宋体"/>
          <w:color w:val="auto"/>
          <w:sz w:val="28"/>
          <w:szCs w:val="28"/>
          <w:highlight w:val="none"/>
        </w:rPr>
        <w:t>机关、事业单位、团体组织。本次招标的采购人是</w:t>
      </w:r>
      <w:r>
        <w:rPr>
          <w:rFonts w:hint="eastAsia" w:ascii="宋体" w:hAnsi="宋体"/>
          <w:b/>
          <w:bCs/>
          <w:color w:val="auto"/>
          <w:sz w:val="28"/>
          <w:szCs w:val="28"/>
          <w:highlight w:val="none"/>
        </w:rPr>
        <w:t>中共成都市温江区委政法委员会</w:t>
      </w:r>
      <w:r>
        <w:rPr>
          <w:rFonts w:hint="eastAsia" w:ascii="宋体" w:hAnsi="宋体"/>
          <w:color w:val="auto"/>
          <w:sz w:val="28"/>
          <w:szCs w:val="28"/>
          <w:highlight w:val="none"/>
        </w:rPr>
        <w:t>。</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“投标人”系指在系统中成功提交《采购文件获取登记表》拟参加投标和向采购人提供货物及服务的供应商。</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本招标文件各部分规定的期间以时、日、月、年计算。期间开始的时和日，不计算在期间内，而从次日开始计算。期间届满的最后一天是节假日的，以节假日后的第一日为期间届满的日期。</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本招标文件各部分规定的“以上”、“以下”、“内”、“以内”，包括本数；所称的“不足”，不包括本数。</w:t>
      </w:r>
    </w:p>
    <w:p>
      <w:pPr>
        <w:numPr>
          <w:ilvl w:val="0"/>
          <w:numId w:val="12"/>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重大违法记录是指供应商因违法经营受到刑事处罚或者责令停产停业、吊销许可证或者执照、较大数额罚款等行政处罚。</w:t>
      </w:r>
      <w:r>
        <w:rPr>
          <w:rFonts w:ascii="宋体" w:hAnsi="宋体"/>
          <w:color w:val="auto"/>
          <w:sz w:val="28"/>
          <w:szCs w:val="28"/>
          <w:highlight w:val="none"/>
        </w:rPr>
        <w:t>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r>
        <w:rPr>
          <w:rFonts w:hint="eastAsia" w:ascii="宋体" w:hAnsi="宋体"/>
          <w:color w:val="auto"/>
          <w:sz w:val="28"/>
          <w:szCs w:val="28"/>
          <w:highlight w:val="none"/>
        </w:rPr>
        <w:t>。</w:t>
      </w:r>
    </w:p>
    <w:p>
      <w:pPr>
        <w:numPr>
          <w:ilvl w:val="0"/>
          <w:numId w:val="12"/>
        </w:numPr>
        <w:tabs>
          <w:tab w:val="left" w:pos="1134"/>
        </w:tabs>
        <w:spacing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不见面开标是指，</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公资交易中心依托政府采购云平台组织开标活动，供应商在线参与开标的一种组织形式。</w:t>
      </w:r>
    </w:p>
    <w:p>
      <w:pPr>
        <w:keepNext/>
        <w:keepLines/>
        <w:numPr>
          <w:ilvl w:val="2"/>
          <w:numId w:val="5"/>
        </w:numPr>
        <w:spacing w:line="360" w:lineRule="auto"/>
        <w:ind w:left="3119" w:hanging="3119"/>
        <w:outlineLvl w:val="2"/>
        <w:rPr>
          <w:rFonts w:ascii="宋体" w:hAnsi="宋体"/>
          <w:b/>
          <w:bCs/>
          <w:color w:val="auto"/>
          <w:sz w:val="28"/>
          <w:szCs w:val="28"/>
          <w:highlight w:val="none"/>
        </w:rPr>
      </w:pPr>
      <w:bookmarkStart w:id="27" w:name="_Toc183582207"/>
      <w:bookmarkStart w:id="28" w:name="_Toc217446036"/>
      <w:bookmarkStart w:id="29" w:name="_Toc183682344"/>
      <w:bookmarkStart w:id="30" w:name="_Toc217390843"/>
      <w:r>
        <w:rPr>
          <w:rFonts w:hint="eastAsia" w:ascii="宋体" w:hAnsi="宋体"/>
          <w:b/>
          <w:bCs/>
          <w:color w:val="auto"/>
          <w:sz w:val="28"/>
          <w:szCs w:val="28"/>
          <w:highlight w:val="none"/>
        </w:rPr>
        <w:t>合格的投标人</w:t>
      </w:r>
      <w:bookmarkEnd w:id="27"/>
      <w:bookmarkEnd w:id="28"/>
      <w:bookmarkEnd w:id="29"/>
      <w:bookmarkEnd w:id="30"/>
    </w:p>
    <w:p>
      <w:pPr>
        <w:tabs>
          <w:tab w:val="left" w:pos="7665"/>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合格的投标人应具备以下条件：</w:t>
      </w:r>
    </w:p>
    <w:p>
      <w:pPr>
        <w:numPr>
          <w:ilvl w:val="0"/>
          <w:numId w:val="13"/>
        </w:numPr>
        <w:tabs>
          <w:tab w:val="left" w:pos="1134"/>
        </w:tabs>
        <w:spacing w:line="360" w:lineRule="auto"/>
        <w:rPr>
          <w:rFonts w:ascii="宋体" w:hAnsi="宋体"/>
          <w:color w:val="auto"/>
          <w:sz w:val="28"/>
          <w:szCs w:val="28"/>
          <w:highlight w:val="none"/>
        </w:rPr>
      </w:pPr>
      <w:r>
        <w:rPr>
          <w:rFonts w:hint="eastAsia" w:ascii="宋体" w:hAnsi="宋体"/>
          <w:color w:val="auto"/>
          <w:sz w:val="28"/>
          <w:szCs w:val="28"/>
          <w:highlight w:val="none"/>
        </w:rPr>
        <w:t>本招标文件“投标邀请”第五条规定的条件；</w:t>
      </w:r>
    </w:p>
    <w:p>
      <w:pPr>
        <w:numPr>
          <w:ilvl w:val="0"/>
          <w:numId w:val="13"/>
        </w:numPr>
        <w:tabs>
          <w:tab w:val="left" w:pos="1134"/>
        </w:tabs>
        <w:spacing w:line="360" w:lineRule="auto"/>
        <w:ind w:left="0" w:firstLine="568"/>
        <w:rPr>
          <w:rFonts w:ascii="宋体" w:hAnsi="宋体"/>
          <w:color w:val="auto"/>
          <w:sz w:val="28"/>
          <w:szCs w:val="28"/>
          <w:highlight w:val="none"/>
        </w:rPr>
      </w:pPr>
      <w:r>
        <w:rPr>
          <w:rFonts w:hint="eastAsia" w:ascii="宋体" w:hAnsi="宋体"/>
          <w:color w:val="auto"/>
          <w:sz w:val="28"/>
          <w:szCs w:val="28"/>
          <w:highlight w:val="none"/>
        </w:rPr>
        <w:t>按照招标文件“投标邀请”中第六、七、八条规定获取了招标文件。</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投标费用</w:t>
      </w:r>
    </w:p>
    <w:p>
      <w:pPr>
        <w:spacing w:line="360" w:lineRule="auto"/>
        <w:ind w:firstLine="660" w:firstLineChars="236"/>
        <w:rPr>
          <w:rFonts w:ascii="宋体" w:hAnsi="宋体"/>
          <w:color w:val="auto"/>
          <w:sz w:val="28"/>
          <w:szCs w:val="28"/>
          <w:highlight w:val="none"/>
        </w:rPr>
      </w:pPr>
      <w:r>
        <w:rPr>
          <w:rFonts w:hint="eastAsia" w:ascii="宋体" w:hAnsi="宋体"/>
          <w:color w:val="auto"/>
          <w:sz w:val="28"/>
          <w:szCs w:val="28"/>
          <w:highlight w:val="none"/>
        </w:rPr>
        <w:t>投标人应自行承担参加投标的全部费用。</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充分、公平竞争保障措施</w:t>
      </w:r>
    </w:p>
    <w:p>
      <w:pPr>
        <w:numPr>
          <w:ilvl w:val="0"/>
          <w:numId w:val="14"/>
        </w:numPr>
        <w:tabs>
          <w:tab w:val="left" w:pos="1134"/>
        </w:tabs>
        <w:adjustRightInd w:val="0"/>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单位负责人为同一人或者存在直接控股、管理关系的不同供应商，不得参加同一项目的投标。</w:t>
      </w:r>
    </w:p>
    <w:p>
      <w:pPr>
        <w:numPr>
          <w:ilvl w:val="0"/>
          <w:numId w:val="14"/>
        </w:numPr>
        <w:tabs>
          <w:tab w:val="left" w:pos="1134"/>
        </w:tabs>
        <w:adjustRightInd w:val="0"/>
        <w:spacing w:line="560" w:lineRule="exact"/>
        <w:ind w:left="0" w:firstLine="567"/>
        <w:rPr>
          <w:rFonts w:ascii="宋体" w:hAnsi="宋体"/>
          <w:b/>
          <w:color w:val="auto"/>
          <w:sz w:val="28"/>
          <w:szCs w:val="28"/>
          <w:highlight w:val="none"/>
        </w:rPr>
      </w:pPr>
      <w:r>
        <w:rPr>
          <w:rFonts w:hint="eastAsia" w:ascii="宋体" w:hAnsi="宋体"/>
          <w:color w:val="auto"/>
          <w:sz w:val="28"/>
          <w:szCs w:val="28"/>
          <w:highlight w:val="none"/>
        </w:rPr>
        <w:t>为采购项目提供整体设计、规范编制或者项目管理、监理、检测等服务的供应商，不得再参加该采购项目的其他采购活动。供应商为采购人、</w:t>
      </w:r>
      <w:r>
        <w:rPr>
          <w:rFonts w:hint="eastAsia" w:ascii="宋体" w:cs="Arial"/>
          <w:color w:val="auto"/>
          <w:sz w:val="28"/>
          <w:szCs w:val="28"/>
          <w:highlight w:val="none"/>
        </w:rPr>
        <w:t>采购代理机构</w:t>
      </w:r>
      <w:r>
        <w:rPr>
          <w:rFonts w:hint="eastAsia" w:ascii="宋体" w:hAnsi="宋体"/>
          <w:color w:val="auto"/>
          <w:sz w:val="28"/>
          <w:szCs w:val="28"/>
          <w:highlight w:val="none"/>
        </w:rPr>
        <w:t>在确定采购需求、编制采购文件过程中提供咨询论证，其提供的咨询论证意见成为采购文件中规定的供应商资格条件、技术服务商务要求、评审因素和标准、政府采购合同等实质性内容条款的，视同为采购项目提供规范编制。</w:t>
      </w:r>
      <w:r>
        <w:rPr>
          <w:rFonts w:hint="eastAsia" w:ascii="宋体" w:hAnsi="宋体"/>
          <w:b/>
          <w:color w:val="auto"/>
          <w:sz w:val="28"/>
          <w:szCs w:val="28"/>
          <w:highlight w:val="none"/>
        </w:rPr>
        <w:t>（说明：无供应商为本项目提供整体设计、规范编制或者项目管理、监理、检测等服务。）</w:t>
      </w:r>
    </w:p>
    <w:p>
      <w:pPr>
        <w:numPr>
          <w:ilvl w:val="0"/>
          <w:numId w:val="14"/>
        </w:numPr>
        <w:tabs>
          <w:tab w:val="left" w:pos="1134"/>
        </w:tabs>
        <w:adjustRightInd w:val="0"/>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本项目核心产品为</w:t>
      </w:r>
      <w:r>
        <w:rPr>
          <w:rFonts w:hint="eastAsia" w:ascii="宋体" w:hAnsi="宋体"/>
          <w:b/>
          <w:bCs/>
          <w:color w:val="auto"/>
          <w:sz w:val="28"/>
          <w:szCs w:val="28"/>
          <w:highlight w:val="none"/>
        </w:rPr>
        <w:t>人脸识别一体机。</w:t>
      </w:r>
      <w:r>
        <w:rPr>
          <w:rFonts w:hint="eastAsia" w:hAnsi="宋体"/>
          <w:color w:val="auto"/>
          <w:sz w:val="28"/>
          <w:szCs w:val="28"/>
          <w:highlight w:val="none"/>
        </w:rPr>
        <w:t>提供核心产品品牌相</w:t>
      </w:r>
      <w:r>
        <w:rPr>
          <w:rFonts w:hint="eastAsia" w:hAnsi="宋体"/>
          <w:color w:val="auto"/>
          <w:sz w:val="28"/>
          <w:szCs w:val="28"/>
          <w:highlight w:val="none"/>
          <w:lang w:val="zh-CN"/>
        </w:rPr>
        <w:t>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p>
    <w:p>
      <w:pPr>
        <w:keepNext/>
        <w:keepLines/>
        <w:numPr>
          <w:ilvl w:val="1"/>
          <w:numId w:val="5"/>
        </w:numPr>
        <w:spacing w:line="360" w:lineRule="auto"/>
        <w:jc w:val="left"/>
        <w:outlineLvl w:val="1"/>
        <w:rPr>
          <w:rFonts w:ascii="宋体" w:hAnsi="宋体"/>
          <w:b/>
          <w:bCs/>
          <w:color w:val="auto"/>
          <w:sz w:val="28"/>
          <w:szCs w:val="28"/>
          <w:highlight w:val="none"/>
        </w:rPr>
      </w:pPr>
      <w:bookmarkStart w:id="31" w:name="_Toc4857"/>
      <w:bookmarkStart w:id="32" w:name="_Toc183682347"/>
      <w:bookmarkStart w:id="33" w:name="_Toc22125"/>
      <w:bookmarkStart w:id="34" w:name="_Toc183582210"/>
      <w:bookmarkStart w:id="35" w:name="_Toc217446039"/>
      <w:r>
        <w:rPr>
          <w:rFonts w:hint="eastAsia" w:ascii="宋体" w:hAnsi="宋体"/>
          <w:b/>
          <w:bCs/>
          <w:color w:val="auto"/>
          <w:sz w:val="28"/>
          <w:szCs w:val="28"/>
          <w:highlight w:val="none"/>
        </w:rPr>
        <w:t>招标文件</w:t>
      </w:r>
      <w:bookmarkEnd w:id="31"/>
      <w:bookmarkEnd w:id="32"/>
      <w:bookmarkEnd w:id="33"/>
      <w:bookmarkEnd w:id="34"/>
      <w:bookmarkEnd w:id="35"/>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招标文件的构成</w:t>
      </w:r>
    </w:p>
    <w:p>
      <w:pPr>
        <w:numPr>
          <w:ilvl w:val="0"/>
          <w:numId w:val="1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招标文件是供应商准备投标文件和参加投标的依据，同时也是评标的重要依据。招标文件用以阐明招标项目所需的资质、技术、服务及报价等要求、招标投标程序、有关规定和注意事项以及合同主要条款等。本招标文件包括以下内容：</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投标邀请；</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投标人须知；</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投标文件格式；</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招标项目技术、服务、商务及其他要求；</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资格性审查；</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评标办法；</w:t>
      </w:r>
    </w:p>
    <w:p>
      <w:pPr>
        <w:numPr>
          <w:ilvl w:val="1"/>
          <w:numId w:val="1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拟签订合同文本。</w:t>
      </w:r>
    </w:p>
    <w:p>
      <w:pPr>
        <w:numPr>
          <w:ilvl w:val="0"/>
          <w:numId w:val="1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投标人应认真阅读和充分理解招标文件中所有的事项、格式条款和规范要求。投标人没有对招标文件全面做出实质性响应所产生的风险由投标人承担。</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36" w:name="_Toc183582211"/>
      <w:bookmarkStart w:id="37" w:name="_Toc183682348"/>
      <w:bookmarkStart w:id="38" w:name="_Toc217446040"/>
      <w:r>
        <w:rPr>
          <w:rFonts w:hint="eastAsia" w:ascii="宋体" w:hAnsi="宋体"/>
          <w:b/>
          <w:bCs/>
          <w:color w:val="auto"/>
          <w:sz w:val="28"/>
          <w:szCs w:val="28"/>
          <w:highlight w:val="none"/>
        </w:rPr>
        <w:t>招标文件的澄清</w:t>
      </w:r>
      <w:bookmarkEnd w:id="36"/>
      <w:bookmarkEnd w:id="37"/>
      <w:r>
        <w:rPr>
          <w:rFonts w:hint="eastAsia" w:ascii="宋体" w:hAnsi="宋体"/>
          <w:b/>
          <w:bCs/>
          <w:color w:val="auto"/>
          <w:sz w:val="28"/>
          <w:szCs w:val="28"/>
          <w:highlight w:val="none"/>
        </w:rPr>
        <w:t>和修改</w:t>
      </w:r>
      <w:bookmarkEnd w:id="38"/>
      <w:bookmarkStart w:id="39" w:name="_Toc89075876"/>
      <w:bookmarkStart w:id="40" w:name="_Toc77400780"/>
      <w:bookmarkStart w:id="41" w:name="_Toc183582214"/>
      <w:bookmarkStart w:id="42" w:name="_Toc217446042"/>
      <w:bookmarkStart w:id="43" w:name="_Toc183682351"/>
    </w:p>
    <w:p>
      <w:pPr>
        <w:numPr>
          <w:ilvl w:val="0"/>
          <w:numId w:val="17"/>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在投标截止时间前，采购人或者</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可以对已发出的招标文件进行必要的澄清或者修改。</w:t>
      </w:r>
    </w:p>
    <w:p>
      <w:pPr>
        <w:numPr>
          <w:ilvl w:val="0"/>
          <w:numId w:val="17"/>
        </w:numPr>
        <w:spacing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澄清或者修改的内容，</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在“四川政府采购网”和“成都市公共资源交易服务中心”网站上发布澄清公告，同时通过政府采购云平台将澄清或者修改的内容告知所有在系统中成功获取招标文件的潜在投标人（投标人通过账号或CA证书登录云平台查看）</w:t>
      </w:r>
    </w:p>
    <w:p>
      <w:pPr>
        <w:numPr>
          <w:ilvl w:val="0"/>
          <w:numId w:val="17"/>
        </w:numPr>
        <w:tabs>
          <w:tab w:val="left" w:pos="142"/>
          <w:tab w:val="left" w:pos="1134"/>
        </w:tabs>
        <w:spacing w:after="200"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澄清或者修改的内容可能影响投标文件编制的，</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公资交易中心应当在投标截止时间至少15日前，通过政府采购云平台通知所有获取招标文件的潜在投标人；不足15日的，采购人或</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公资交易中心应当顺延提交投标文件的截止时间。</w:t>
      </w:r>
    </w:p>
    <w:p>
      <w:pPr>
        <w:keepNext/>
        <w:keepLines/>
        <w:numPr>
          <w:ilvl w:val="1"/>
          <w:numId w:val="5"/>
        </w:numPr>
        <w:spacing w:line="360" w:lineRule="auto"/>
        <w:jc w:val="left"/>
        <w:outlineLvl w:val="1"/>
        <w:rPr>
          <w:rFonts w:ascii="宋体" w:hAnsi="宋体"/>
          <w:b/>
          <w:bCs/>
          <w:color w:val="auto"/>
          <w:sz w:val="28"/>
          <w:szCs w:val="28"/>
          <w:highlight w:val="none"/>
        </w:rPr>
      </w:pPr>
      <w:bookmarkStart w:id="44" w:name="_Toc4436"/>
      <w:bookmarkStart w:id="45" w:name="_Toc17104"/>
      <w:r>
        <w:rPr>
          <w:rFonts w:hint="eastAsia" w:ascii="宋体" w:hAnsi="宋体"/>
          <w:b/>
          <w:bCs/>
          <w:color w:val="auto"/>
          <w:sz w:val="28"/>
          <w:szCs w:val="28"/>
          <w:highlight w:val="none"/>
        </w:rPr>
        <w:t>投标文件</w:t>
      </w:r>
      <w:bookmarkEnd w:id="39"/>
      <w:bookmarkEnd w:id="40"/>
      <w:bookmarkEnd w:id="41"/>
      <w:bookmarkEnd w:id="42"/>
      <w:bookmarkEnd w:id="43"/>
      <w:bookmarkEnd w:id="44"/>
      <w:bookmarkEnd w:id="45"/>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46" w:name="_Toc217446043"/>
      <w:bookmarkStart w:id="47" w:name="_Toc183582215"/>
      <w:bookmarkStart w:id="48" w:name="_Toc183682352"/>
      <w:r>
        <w:rPr>
          <w:rFonts w:hint="eastAsia" w:ascii="宋体" w:hAnsi="宋体"/>
          <w:b/>
          <w:bCs/>
          <w:color w:val="auto"/>
          <w:sz w:val="28"/>
          <w:szCs w:val="28"/>
          <w:highlight w:val="none"/>
        </w:rPr>
        <w:t>投标文件的语言</w:t>
      </w:r>
      <w:bookmarkEnd w:id="46"/>
      <w:bookmarkEnd w:id="47"/>
      <w:bookmarkEnd w:id="48"/>
    </w:p>
    <w:p>
      <w:pPr>
        <w:numPr>
          <w:ilvl w:val="0"/>
          <w:numId w:val="18"/>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投标人提交的投标文件以及投标人与采购人或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就有关投标的所有来往书面文件均须使用中文，投标文件中所附或引用的外文资料，应翻译成中文附在相关外文资料后面。（说明：投标人的法定代表人为外籍人士的，则法定代表人的签字和护照除外）。</w:t>
      </w:r>
    </w:p>
    <w:p>
      <w:pPr>
        <w:numPr>
          <w:ilvl w:val="0"/>
          <w:numId w:val="18"/>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 xml:space="preserve">对不同文字文本投标文件的解释发生异议的，以中文文本为准。若投标人投标文件中提供的外文资料未翻译成中文，则评标委员会可将其视为无效材料。 </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49" w:name="_Toc183682353"/>
      <w:bookmarkStart w:id="50" w:name="_Toc183582216"/>
      <w:bookmarkStart w:id="51" w:name="_Toc217446044"/>
      <w:r>
        <w:rPr>
          <w:rFonts w:hint="eastAsia" w:ascii="宋体" w:hAnsi="宋体"/>
          <w:b/>
          <w:bCs/>
          <w:color w:val="auto"/>
          <w:sz w:val="28"/>
          <w:szCs w:val="28"/>
          <w:highlight w:val="none"/>
        </w:rPr>
        <w:t>计量单位</w:t>
      </w:r>
      <w:bookmarkEnd w:id="49"/>
      <w:bookmarkEnd w:id="50"/>
      <w:bookmarkEnd w:id="51"/>
    </w:p>
    <w:p>
      <w:pPr>
        <w:tabs>
          <w:tab w:val="left" w:pos="7665"/>
        </w:tabs>
        <w:spacing w:line="360" w:lineRule="auto"/>
        <w:ind w:left="13" w:firstLine="554"/>
        <w:rPr>
          <w:rFonts w:ascii="宋体" w:hAnsi="宋体"/>
          <w:color w:val="auto"/>
          <w:sz w:val="28"/>
          <w:szCs w:val="28"/>
          <w:highlight w:val="none"/>
        </w:rPr>
      </w:pPr>
      <w:r>
        <w:rPr>
          <w:rFonts w:hint="eastAsia" w:ascii="宋体" w:hAnsi="宋体"/>
          <w:color w:val="auto"/>
          <w:sz w:val="28"/>
          <w:szCs w:val="28"/>
          <w:highlight w:val="none"/>
        </w:rPr>
        <w:t>除招标文件中另有规定外，本次采购项目所有合同项下的投标均采用国家法定的计量单位。</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52" w:name="_Toc217446045"/>
      <w:r>
        <w:rPr>
          <w:rFonts w:hint="eastAsia" w:ascii="宋体" w:hAnsi="宋体"/>
          <w:b/>
          <w:bCs/>
          <w:color w:val="auto"/>
          <w:sz w:val="28"/>
          <w:szCs w:val="28"/>
          <w:highlight w:val="none"/>
        </w:rPr>
        <w:t>投标货币</w:t>
      </w:r>
      <w:bookmarkEnd w:id="52"/>
    </w:p>
    <w:p>
      <w:pPr>
        <w:tabs>
          <w:tab w:val="left" w:pos="7665"/>
        </w:tabs>
        <w:spacing w:line="360" w:lineRule="auto"/>
        <w:ind w:left="13" w:firstLine="554"/>
        <w:rPr>
          <w:rFonts w:ascii="宋体" w:hAnsi="宋体"/>
          <w:color w:val="auto"/>
          <w:sz w:val="28"/>
          <w:szCs w:val="28"/>
          <w:highlight w:val="none"/>
        </w:rPr>
      </w:pPr>
      <w:r>
        <w:rPr>
          <w:rFonts w:hint="eastAsia" w:ascii="宋体" w:hAnsi="宋体"/>
          <w:color w:val="auto"/>
          <w:sz w:val="28"/>
          <w:szCs w:val="28"/>
          <w:highlight w:val="none"/>
        </w:rPr>
        <w:t>本次招标项目的投标均以人民币报价。</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53" w:name="_Toc217446046"/>
      <w:r>
        <w:rPr>
          <w:rFonts w:hint="eastAsia" w:ascii="宋体" w:hAnsi="宋体"/>
          <w:b/>
          <w:bCs/>
          <w:color w:val="auto"/>
          <w:sz w:val="28"/>
          <w:szCs w:val="28"/>
          <w:highlight w:val="none"/>
        </w:rPr>
        <w:t>联合体投标</w:t>
      </w:r>
      <w:bookmarkEnd w:id="53"/>
    </w:p>
    <w:p>
      <w:pPr>
        <w:tabs>
          <w:tab w:val="left" w:pos="1134"/>
        </w:tabs>
        <w:spacing w:line="360" w:lineRule="auto"/>
        <w:ind w:left="546"/>
        <w:rPr>
          <w:rFonts w:ascii="宋体" w:hAnsi="宋体"/>
          <w:color w:val="auto"/>
          <w:sz w:val="28"/>
          <w:szCs w:val="28"/>
          <w:highlight w:val="none"/>
        </w:rPr>
      </w:pPr>
      <w:r>
        <w:rPr>
          <w:rFonts w:hint="eastAsia" w:ascii="宋体" w:hAnsi="宋体"/>
          <w:color w:val="auto"/>
          <w:sz w:val="28"/>
          <w:szCs w:val="28"/>
          <w:highlight w:val="none"/>
        </w:rPr>
        <w:t>本次政府采购活动</w:t>
      </w:r>
      <w:r>
        <w:rPr>
          <w:rFonts w:hint="eastAsia" w:ascii="宋体" w:hAnsi="宋体"/>
          <w:b/>
          <w:color w:val="auto"/>
          <w:sz w:val="28"/>
          <w:szCs w:val="28"/>
          <w:highlight w:val="none"/>
        </w:rPr>
        <w:t>不接受</w:t>
      </w:r>
      <w:r>
        <w:rPr>
          <w:rFonts w:hint="eastAsia" w:ascii="宋体" w:hAnsi="宋体"/>
          <w:color w:val="auto"/>
          <w:sz w:val="28"/>
          <w:szCs w:val="28"/>
          <w:highlight w:val="none"/>
        </w:rPr>
        <w:t>联合体投标。</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54" w:name="_Toc217446047"/>
      <w:r>
        <w:rPr>
          <w:rFonts w:hint="eastAsia" w:ascii="宋体" w:hAnsi="宋体"/>
          <w:b/>
          <w:bCs/>
          <w:color w:val="auto"/>
          <w:sz w:val="28"/>
          <w:szCs w:val="28"/>
          <w:highlight w:val="none"/>
        </w:rPr>
        <w:t>知识产权</w:t>
      </w:r>
      <w:bookmarkEnd w:id="54"/>
    </w:p>
    <w:p>
      <w:pPr>
        <w:numPr>
          <w:ilvl w:val="0"/>
          <w:numId w:val="19"/>
        </w:numPr>
        <w:tabs>
          <w:tab w:val="left" w:pos="1134"/>
        </w:tabs>
        <w:spacing w:line="360" w:lineRule="auto"/>
        <w:ind w:left="0" w:firstLine="549"/>
        <w:rPr>
          <w:rFonts w:ascii="宋体" w:hAnsi="宋体"/>
          <w:color w:val="auto"/>
          <w:sz w:val="28"/>
          <w:szCs w:val="28"/>
          <w:highlight w:val="none"/>
        </w:rPr>
      </w:pPr>
      <w:r>
        <w:rPr>
          <w:rFonts w:hint="eastAsia" w:ascii="宋体" w:hAnsi="宋体"/>
          <w:color w:val="auto"/>
          <w:sz w:val="28"/>
          <w:szCs w:val="28"/>
          <w:highlight w:val="none"/>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numPr>
          <w:ilvl w:val="0"/>
          <w:numId w:val="19"/>
        </w:numPr>
        <w:tabs>
          <w:tab w:val="left" w:pos="1134"/>
        </w:tabs>
        <w:spacing w:line="360" w:lineRule="auto"/>
        <w:ind w:left="0" w:firstLine="549"/>
        <w:rPr>
          <w:rFonts w:ascii="宋体" w:hAnsi="宋体"/>
          <w:color w:val="auto"/>
          <w:sz w:val="28"/>
          <w:szCs w:val="28"/>
          <w:highlight w:val="none"/>
        </w:rPr>
      </w:pPr>
      <w:r>
        <w:rPr>
          <w:rFonts w:hint="eastAsia" w:ascii="宋体" w:hAnsi="宋体"/>
          <w:color w:val="auto"/>
          <w:sz w:val="28"/>
          <w:szCs w:val="28"/>
          <w:highlight w:val="none"/>
        </w:rPr>
        <w:t>采购人享有本项目实施过程中产生的知识成果及知识产权。</w:t>
      </w:r>
    </w:p>
    <w:p>
      <w:pPr>
        <w:numPr>
          <w:ilvl w:val="0"/>
          <w:numId w:val="19"/>
        </w:numPr>
        <w:tabs>
          <w:tab w:val="left" w:pos="1134"/>
        </w:tabs>
        <w:spacing w:line="360" w:lineRule="auto"/>
        <w:ind w:left="0" w:firstLine="549"/>
        <w:rPr>
          <w:rFonts w:ascii="宋体" w:hAnsi="宋体"/>
          <w:color w:val="auto"/>
          <w:sz w:val="28"/>
          <w:szCs w:val="28"/>
          <w:highlight w:val="none"/>
        </w:rPr>
      </w:pPr>
      <w:r>
        <w:rPr>
          <w:rFonts w:hint="eastAsia" w:ascii="宋体" w:hAnsi="宋体"/>
          <w:color w:val="auto"/>
          <w:sz w:val="28"/>
          <w:szCs w:val="28"/>
          <w:highlight w:val="none"/>
        </w:rPr>
        <w:t>投标人如拟在项目实施过程中采用自有知识成果，需在投标文件中声明，并提供相关知识产权证明文件。使用该知识成果后，投标人需提供开发接口和开发手册等技术文档，并提供无限期技术支持，采购人享有永久使用权（含采购人委托第三方在该项目后续开发的使用权）。</w:t>
      </w:r>
    </w:p>
    <w:p>
      <w:pPr>
        <w:numPr>
          <w:ilvl w:val="0"/>
          <w:numId w:val="19"/>
        </w:numPr>
        <w:tabs>
          <w:tab w:val="left" w:pos="1134"/>
        </w:tabs>
        <w:spacing w:line="360" w:lineRule="auto"/>
        <w:ind w:left="0" w:firstLine="549"/>
        <w:rPr>
          <w:rFonts w:ascii="宋体" w:hAnsi="宋体"/>
          <w:color w:val="auto"/>
          <w:sz w:val="28"/>
          <w:szCs w:val="28"/>
          <w:highlight w:val="none"/>
        </w:rPr>
      </w:pPr>
      <w:r>
        <w:rPr>
          <w:rFonts w:hint="eastAsia" w:ascii="宋体" w:hAnsi="宋体"/>
          <w:color w:val="auto"/>
          <w:sz w:val="28"/>
          <w:szCs w:val="28"/>
          <w:highlight w:val="none"/>
        </w:rPr>
        <w:t>如采用投标人所不拥有的知识产权，则在投标报价中必须包括合法获取该知识产权的相关费用。</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55" w:name="_Toc217446048"/>
      <w:bookmarkStart w:id="56" w:name="_Toc183682354"/>
      <w:bookmarkStart w:id="57" w:name="_Toc183582217"/>
      <w:r>
        <w:rPr>
          <w:rFonts w:hint="eastAsia" w:ascii="宋体" w:hAnsi="宋体"/>
          <w:b/>
          <w:bCs/>
          <w:color w:val="auto"/>
          <w:sz w:val="28"/>
          <w:szCs w:val="28"/>
          <w:highlight w:val="none"/>
        </w:rPr>
        <w:t>投标文件的组成</w:t>
      </w:r>
      <w:bookmarkEnd w:id="55"/>
      <w:bookmarkEnd w:id="56"/>
      <w:bookmarkEnd w:id="57"/>
    </w:p>
    <w:p>
      <w:pPr>
        <w:spacing w:line="360" w:lineRule="auto"/>
        <w:ind w:firstLine="548" w:firstLineChars="196"/>
        <w:rPr>
          <w:rFonts w:ascii="宋体" w:hAnsi="宋体"/>
          <w:color w:val="auto"/>
          <w:sz w:val="28"/>
          <w:szCs w:val="28"/>
          <w:highlight w:val="none"/>
        </w:rPr>
      </w:pPr>
      <w:r>
        <w:rPr>
          <w:rFonts w:hint="eastAsia" w:ascii="宋体" w:hAnsi="宋体"/>
          <w:color w:val="auto"/>
          <w:sz w:val="28"/>
          <w:szCs w:val="28"/>
          <w:highlight w:val="none"/>
        </w:rPr>
        <w:t>投标人应按照招标文件的规定和要求编制投标文件。投标人拟在中标后将中标项目的非主体、非关键性工作交由他人完成的，应当在投标文件中载明。投标人编写的投标文件应包括下列部分：</w:t>
      </w:r>
    </w:p>
    <w:p>
      <w:pPr>
        <w:pStyle w:val="6"/>
        <w:rPr>
          <w:color w:val="auto"/>
          <w:highlight w:val="none"/>
        </w:rPr>
      </w:pPr>
      <w:r>
        <w:rPr>
          <w:rFonts w:hint="eastAsia"/>
          <w:color w:val="auto"/>
          <w:highlight w:val="none"/>
        </w:rPr>
        <w:t>资格响应文件：</w:t>
      </w:r>
    </w:p>
    <w:p>
      <w:pPr>
        <w:pStyle w:val="150"/>
        <w:numPr>
          <w:ilvl w:val="0"/>
          <w:numId w:val="20"/>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关于投标人资格申明的函；</w:t>
      </w:r>
    </w:p>
    <w:p>
      <w:pPr>
        <w:pStyle w:val="150"/>
        <w:numPr>
          <w:ilvl w:val="0"/>
          <w:numId w:val="20"/>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声明；</w:t>
      </w:r>
    </w:p>
    <w:p>
      <w:pPr>
        <w:pStyle w:val="150"/>
        <w:numPr>
          <w:ilvl w:val="0"/>
          <w:numId w:val="20"/>
        </w:numPr>
        <w:tabs>
          <w:tab w:val="left" w:pos="993"/>
        </w:tabs>
        <w:spacing w:after="200" w:line="360" w:lineRule="auto"/>
        <w:ind w:left="0" w:firstLine="420"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投标人应提交的相关资格证明材料：</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营业执照复印件（正本或副本）或法人证书复印件（正本或副本）；</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2019或2020会计年度资产负债表复印件（说明：投标人成立时间至递交投标文件截止时间止不足一年的，提供成立后任意时段的资产负债表复印件）；</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投标人缴纳2020或2021年任意时段的税收的银行电子回单或者行政部门出具的纳税证明或完税证明复印件；</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采购人对投标人履行合同所必须的设备和专业技术能力无其他特殊要求，投标人具有有效的营业执照或法人证书即可，可不提供其他证明材料；</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投标人缴纳2020或2021年任意时段的社保的银行电子回单或行政部门出具的社保缴纳证明材料复印件；</w:t>
      </w:r>
    </w:p>
    <w:p>
      <w:pPr>
        <w:pStyle w:val="150"/>
        <w:numPr>
          <w:ilvl w:val="0"/>
          <w:numId w:val="21"/>
        </w:numPr>
        <w:spacing w:after="200" w:line="360" w:lineRule="auto"/>
        <w:ind w:left="0" w:firstLine="573" w:firstLineChars="0"/>
        <w:rPr>
          <w:rFonts w:ascii="宋体" w:hAnsi="宋体"/>
          <w:b/>
          <w:bCs/>
          <w:color w:val="auto"/>
          <w:kern w:val="0"/>
          <w:sz w:val="28"/>
          <w:szCs w:val="28"/>
          <w:highlight w:val="none"/>
        </w:rPr>
      </w:pPr>
      <w:r>
        <w:rPr>
          <w:rFonts w:hint="eastAsia" w:ascii="宋体" w:hAnsi="宋体"/>
          <w:b/>
          <w:bCs/>
          <w:color w:val="auto"/>
          <w:kern w:val="0"/>
          <w:sz w:val="28"/>
          <w:szCs w:val="28"/>
          <w:highlight w:val="none"/>
        </w:rPr>
        <w:t>采购人对法律、行政法规规定的其他条件无其他特殊要求，投标人具有有效的营业执照或法人证书即可，可不提供其他证明材料。</w:t>
      </w:r>
    </w:p>
    <w:p>
      <w:pPr>
        <w:pStyle w:val="6"/>
        <w:rPr>
          <w:color w:val="auto"/>
          <w:highlight w:val="none"/>
        </w:rPr>
      </w:pPr>
      <w:r>
        <w:rPr>
          <w:rFonts w:hint="eastAsia"/>
          <w:color w:val="auto"/>
          <w:highlight w:val="none"/>
        </w:rPr>
        <w:t>商务技术响应文件</w:t>
      </w:r>
    </w:p>
    <w:p>
      <w:pPr>
        <w:numPr>
          <w:ilvl w:val="0"/>
          <w:numId w:val="22"/>
        </w:numPr>
        <w:tabs>
          <w:tab w:val="left" w:pos="1134"/>
        </w:tabs>
        <w:spacing w:line="360" w:lineRule="auto"/>
        <w:ind w:hanging="279"/>
        <w:jc w:val="left"/>
        <w:rPr>
          <w:rFonts w:ascii="宋体" w:hAnsi="宋体"/>
          <w:b/>
          <w:color w:val="auto"/>
          <w:sz w:val="28"/>
          <w:szCs w:val="28"/>
          <w:highlight w:val="none"/>
        </w:rPr>
      </w:pPr>
      <w:r>
        <w:rPr>
          <w:rFonts w:hint="eastAsia" w:ascii="宋体" w:hAnsi="宋体"/>
          <w:b/>
          <w:color w:val="auto"/>
          <w:sz w:val="28"/>
          <w:szCs w:val="28"/>
          <w:highlight w:val="none"/>
        </w:rPr>
        <w:t>投标函；</w:t>
      </w:r>
    </w:p>
    <w:p>
      <w:pPr>
        <w:numPr>
          <w:ilvl w:val="0"/>
          <w:numId w:val="22"/>
        </w:numPr>
        <w:tabs>
          <w:tab w:val="left" w:pos="1134"/>
        </w:tabs>
        <w:spacing w:line="360" w:lineRule="auto"/>
        <w:ind w:hanging="279"/>
        <w:jc w:val="left"/>
        <w:rPr>
          <w:rFonts w:ascii="宋体" w:hAnsi="宋体"/>
          <w:b/>
          <w:color w:val="auto"/>
          <w:sz w:val="28"/>
          <w:szCs w:val="28"/>
          <w:highlight w:val="none"/>
        </w:rPr>
      </w:pPr>
      <w:r>
        <w:rPr>
          <w:rFonts w:hint="eastAsia" w:ascii="宋体" w:hAnsi="宋体"/>
          <w:b/>
          <w:color w:val="auto"/>
          <w:sz w:val="28"/>
          <w:szCs w:val="28"/>
          <w:highlight w:val="none"/>
        </w:rPr>
        <w:t>法定代表人身份证明书；</w:t>
      </w:r>
    </w:p>
    <w:p>
      <w:pPr>
        <w:numPr>
          <w:ilvl w:val="0"/>
          <w:numId w:val="22"/>
        </w:numPr>
        <w:tabs>
          <w:tab w:val="left" w:pos="1134"/>
        </w:tabs>
        <w:spacing w:line="360" w:lineRule="auto"/>
        <w:ind w:hanging="279"/>
        <w:jc w:val="left"/>
        <w:rPr>
          <w:rFonts w:ascii="宋体" w:hAnsi="宋体"/>
          <w:b/>
          <w:color w:val="auto"/>
          <w:sz w:val="28"/>
          <w:szCs w:val="28"/>
          <w:highlight w:val="none"/>
        </w:rPr>
      </w:pPr>
      <w:r>
        <w:rPr>
          <w:rFonts w:hint="eastAsia" w:ascii="宋体" w:hAnsi="宋体"/>
          <w:b/>
          <w:color w:val="auto"/>
          <w:sz w:val="28"/>
          <w:szCs w:val="28"/>
          <w:highlight w:val="none"/>
        </w:rPr>
        <w:t>投标产品技术性能、技术参数和配置的详细描述；</w:t>
      </w:r>
    </w:p>
    <w:p>
      <w:pPr>
        <w:numPr>
          <w:ilvl w:val="0"/>
          <w:numId w:val="22"/>
        </w:numPr>
        <w:tabs>
          <w:tab w:val="left" w:pos="1134"/>
        </w:tabs>
        <w:spacing w:line="360" w:lineRule="auto"/>
        <w:ind w:hanging="279"/>
        <w:jc w:val="left"/>
        <w:rPr>
          <w:rFonts w:ascii="宋体" w:hAnsi="宋体"/>
          <w:b/>
          <w:color w:val="auto"/>
          <w:sz w:val="28"/>
          <w:szCs w:val="28"/>
          <w:highlight w:val="none"/>
        </w:rPr>
      </w:pPr>
      <w:r>
        <w:rPr>
          <w:rFonts w:hint="eastAsia" w:ascii="宋体" w:hAnsi="宋体"/>
          <w:b/>
          <w:color w:val="auto"/>
          <w:sz w:val="28"/>
          <w:szCs w:val="28"/>
          <w:highlight w:val="none"/>
          <w:lang w:val="en-US" w:eastAsia="zh-CN"/>
        </w:rPr>
        <w:t>安装调试</w:t>
      </w:r>
      <w:r>
        <w:rPr>
          <w:rFonts w:hint="eastAsia" w:ascii="宋体" w:hAnsi="宋体"/>
          <w:b/>
          <w:color w:val="auto"/>
          <w:sz w:val="28"/>
          <w:szCs w:val="28"/>
          <w:highlight w:val="none"/>
        </w:rPr>
        <w:t>方案</w:t>
      </w:r>
      <w:r>
        <w:rPr>
          <w:rFonts w:hint="eastAsia" w:ascii="宋体" w:hAnsi="宋体"/>
          <w:b/>
          <w:color w:val="auto"/>
          <w:sz w:val="28"/>
          <w:szCs w:val="28"/>
          <w:highlight w:val="none"/>
          <w:lang w:eastAsia="zh-CN"/>
        </w:rPr>
        <w:t>；</w:t>
      </w:r>
    </w:p>
    <w:p>
      <w:pPr>
        <w:numPr>
          <w:ilvl w:val="0"/>
          <w:numId w:val="22"/>
        </w:numPr>
        <w:tabs>
          <w:tab w:val="left" w:pos="1134"/>
        </w:tabs>
        <w:spacing w:line="360" w:lineRule="auto"/>
        <w:ind w:hanging="279"/>
        <w:jc w:val="left"/>
        <w:rPr>
          <w:color w:val="auto"/>
          <w:highlight w:val="none"/>
        </w:rPr>
      </w:pPr>
      <w:r>
        <w:rPr>
          <w:rFonts w:hint="eastAsia" w:ascii="宋体" w:hAnsi="宋体"/>
          <w:b/>
          <w:color w:val="auto"/>
          <w:sz w:val="28"/>
          <w:szCs w:val="28"/>
          <w:highlight w:val="none"/>
          <w:lang w:val="en-US" w:eastAsia="zh-CN"/>
        </w:rPr>
        <w:t>运维服务</w:t>
      </w:r>
      <w:r>
        <w:rPr>
          <w:rFonts w:hint="eastAsia" w:ascii="宋体" w:hAnsi="宋体"/>
          <w:b/>
          <w:color w:val="auto"/>
          <w:sz w:val="28"/>
          <w:szCs w:val="28"/>
          <w:highlight w:val="none"/>
          <w:lang w:eastAsia="zh-CN"/>
        </w:rPr>
        <w:t>方案；</w:t>
      </w:r>
    </w:p>
    <w:p>
      <w:pPr>
        <w:pStyle w:val="2"/>
        <w:rPr>
          <w:rFonts w:hint="default"/>
          <w:color w:val="auto"/>
          <w:highlight w:val="none"/>
          <w:lang w:val="en-US"/>
        </w:rPr>
      </w:pPr>
      <w:r>
        <w:rPr>
          <w:rFonts w:hint="eastAsia" w:ascii="宋体" w:hAnsi="宋体"/>
          <w:b/>
          <w:color w:val="auto"/>
          <w:sz w:val="28"/>
          <w:szCs w:val="28"/>
          <w:highlight w:val="none"/>
          <w:lang w:val="en-US" w:eastAsia="zh-CN"/>
        </w:rPr>
        <w:t xml:space="preserve">    六、承诺函。</w:t>
      </w:r>
    </w:p>
    <w:p>
      <w:pPr>
        <w:pStyle w:val="6"/>
        <w:rPr>
          <w:color w:val="auto"/>
          <w:highlight w:val="none"/>
        </w:rPr>
      </w:pPr>
      <w:r>
        <w:rPr>
          <w:rFonts w:hint="eastAsia"/>
          <w:color w:val="auto"/>
          <w:highlight w:val="none"/>
        </w:rPr>
        <w:t>报价要求响应文件</w:t>
      </w:r>
    </w:p>
    <w:p>
      <w:pPr>
        <w:numPr>
          <w:ilvl w:val="0"/>
          <w:numId w:val="23"/>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开标一览表；</w:t>
      </w:r>
    </w:p>
    <w:p>
      <w:pPr>
        <w:numPr>
          <w:ilvl w:val="0"/>
          <w:numId w:val="23"/>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分项报价明细表（分项报价明细表格式中要求填写品牌、规格型号、制造商、进口或国产的，投标人必须载明其投标产品的品牌、规格型号、制造商、进口或国产）；</w:t>
      </w:r>
    </w:p>
    <w:p>
      <w:pPr>
        <w:numPr>
          <w:ilvl w:val="0"/>
          <w:numId w:val="23"/>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中小企业声明函（如未提供中小企业声明函，则其投标产品中的小型、微型企业制造的货物不能享受招标文件规定的价格扣除，但不影响投标人投标文件的有效性）；</w:t>
      </w:r>
    </w:p>
    <w:p>
      <w:pPr>
        <w:numPr>
          <w:ilvl w:val="0"/>
          <w:numId w:val="23"/>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残疾人福利性单位声明函（如未提供残疾人福利性单位声明函，则其投标产品中的残疾人福利性单位制造的货物不能享受招标文件规定的价格扣除，但不影响投标人投标文件的有效性）；</w:t>
      </w:r>
    </w:p>
    <w:p>
      <w:pPr>
        <w:numPr>
          <w:ilvl w:val="0"/>
          <w:numId w:val="23"/>
        </w:numPr>
        <w:tabs>
          <w:tab w:val="left" w:pos="1134"/>
        </w:tabs>
        <w:spacing w:line="360" w:lineRule="auto"/>
        <w:ind w:left="0" w:firstLine="567"/>
        <w:jc w:val="left"/>
        <w:rPr>
          <w:rFonts w:ascii="宋体" w:hAnsi="宋体"/>
          <w:b/>
          <w:color w:val="auto"/>
          <w:sz w:val="28"/>
          <w:szCs w:val="28"/>
          <w:highlight w:val="none"/>
        </w:rPr>
      </w:pPr>
      <w:r>
        <w:rPr>
          <w:rFonts w:hint="eastAsia" w:ascii="宋体" w:hAnsi="宋体"/>
          <w:b/>
          <w:color w:val="auto"/>
          <w:sz w:val="28"/>
          <w:szCs w:val="28"/>
          <w:highlight w:val="none"/>
        </w:rPr>
        <w:t>投标产品</w:t>
      </w:r>
      <w:r>
        <w:rPr>
          <w:rFonts w:ascii="宋体" w:hAnsi="宋体"/>
          <w:b/>
          <w:color w:val="auto"/>
          <w:sz w:val="28"/>
          <w:szCs w:val="28"/>
          <w:highlight w:val="none"/>
        </w:rPr>
        <w:t>制造商属于监狱企业的证明文件复印件</w:t>
      </w:r>
      <w:r>
        <w:rPr>
          <w:rFonts w:hint="eastAsia" w:ascii="宋体" w:hAnsi="宋体"/>
          <w:b/>
          <w:color w:val="auto"/>
          <w:sz w:val="28"/>
          <w:szCs w:val="28"/>
          <w:highlight w:val="none"/>
        </w:rPr>
        <w:t>（1、</w:t>
      </w:r>
      <w:r>
        <w:rPr>
          <w:rFonts w:ascii="宋体" w:hAnsi="宋体"/>
          <w:b/>
          <w:color w:val="auto"/>
          <w:sz w:val="28"/>
          <w:szCs w:val="28"/>
          <w:highlight w:val="none"/>
        </w:rPr>
        <w:t>投标产品中为监狱企业制造的货物应提供由省级以上监狱管理局、戒毒管理局（含新疆生产建设兵团）出具的制造商属于监狱企业的证明文件复印件</w:t>
      </w:r>
      <w:r>
        <w:rPr>
          <w:rFonts w:hint="eastAsia" w:ascii="宋体" w:hAnsi="宋体"/>
          <w:b/>
          <w:color w:val="auto"/>
          <w:sz w:val="28"/>
          <w:szCs w:val="28"/>
          <w:highlight w:val="none"/>
        </w:rPr>
        <w:t>；2、如未提供</w:t>
      </w:r>
      <w:r>
        <w:rPr>
          <w:rFonts w:ascii="宋体" w:hAnsi="宋体"/>
          <w:b/>
          <w:color w:val="auto"/>
          <w:sz w:val="28"/>
          <w:szCs w:val="28"/>
          <w:highlight w:val="none"/>
        </w:rPr>
        <w:t>监狱企业的证明文件</w:t>
      </w:r>
      <w:r>
        <w:rPr>
          <w:rFonts w:hint="eastAsia" w:ascii="宋体" w:hAnsi="宋体"/>
          <w:b/>
          <w:color w:val="auto"/>
          <w:sz w:val="28"/>
          <w:szCs w:val="28"/>
          <w:highlight w:val="none"/>
        </w:rPr>
        <w:t>复印件，则其</w:t>
      </w:r>
      <w:r>
        <w:rPr>
          <w:rFonts w:ascii="宋体" w:hAnsi="宋体"/>
          <w:b/>
          <w:color w:val="auto"/>
          <w:sz w:val="28"/>
          <w:szCs w:val="28"/>
          <w:highlight w:val="none"/>
        </w:rPr>
        <w:t>投标产品中为监狱企业制造的货物</w:t>
      </w:r>
      <w:r>
        <w:rPr>
          <w:rFonts w:hint="eastAsia" w:ascii="宋体" w:hAnsi="宋体"/>
          <w:b/>
          <w:color w:val="auto"/>
          <w:sz w:val="28"/>
          <w:szCs w:val="28"/>
          <w:highlight w:val="none"/>
        </w:rPr>
        <w:t>不能享受招标文件规定的价格扣除，但不影响投标人投标文件的有效性。）</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58" w:name="_Toc316292019"/>
      <w:bookmarkEnd w:id="58"/>
      <w:bookmarkStart w:id="59" w:name="_Toc316291395"/>
      <w:bookmarkEnd w:id="59"/>
      <w:bookmarkStart w:id="60" w:name="_Toc316292020"/>
      <w:bookmarkEnd w:id="60"/>
      <w:bookmarkStart w:id="61" w:name="_Toc316291396"/>
      <w:bookmarkEnd w:id="61"/>
      <w:bookmarkStart w:id="62" w:name="_Toc183682355"/>
      <w:bookmarkStart w:id="63" w:name="_Toc217446049"/>
      <w:bookmarkStart w:id="64" w:name="_Toc183582218"/>
      <w:r>
        <w:rPr>
          <w:rFonts w:hint="eastAsia" w:ascii="宋体" w:hAnsi="宋体"/>
          <w:b/>
          <w:bCs/>
          <w:color w:val="auto"/>
          <w:sz w:val="28"/>
          <w:szCs w:val="28"/>
          <w:highlight w:val="none"/>
        </w:rPr>
        <w:t>投标文件格式</w:t>
      </w:r>
      <w:bookmarkEnd w:id="62"/>
      <w:bookmarkEnd w:id="63"/>
      <w:bookmarkEnd w:id="64"/>
      <w:r>
        <w:rPr>
          <w:rFonts w:hint="eastAsia" w:ascii="宋体" w:hAnsi="宋体"/>
          <w:b/>
          <w:bCs/>
          <w:color w:val="auto"/>
          <w:sz w:val="28"/>
          <w:szCs w:val="28"/>
          <w:highlight w:val="none"/>
        </w:rPr>
        <w:tab/>
      </w:r>
    </w:p>
    <w:p>
      <w:pPr>
        <w:numPr>
          <w:ilvl w:val="0"/>
          <w:numId w:val="24"/>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投标人应按照招标文件第3章中提供的“投标文件格式”填写相关内容。</w:t>
      </w:r>
    </w:p>
    <w:p>
      <w:pPr>
        <w:numPr>
          <w:ilvl w:val="0"/>
          <w:numId w:val="24"/>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对于没有格式要求的投标文件由投标人自行编写。</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投标报价</w:t>
      </w:r>
    </w:p>
    <w:p>
      <w:pPr>
        <w:numPr>
          <w:ilvl w:val="0"/>
          <w:numId w:val="25"/>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投标人的报价是投标人响应招标项目要求的全部工作内容的价格体现，包括投标人完成本项目所需的一切费用。</w:t>
      </w:r>
    </w:p>
    <w:p>
      <w:pPr>
        <w:numPr>
          <w:ilvl w:val="0"/>
          <w:numId w:val="25"/>
        </w:numPr>
        <w:tabs>
          <w:tab w:val="left" w:pos="1134"/>
        </w:tabs>
        <w:spacing w:line="360" w:lineRule="auto"/>
        <w:ind w:left="0" w:firstLine="560"/>
        <w:rPr>
          <w:rFonts w:ascii="宋体" w:hAnsi="宋体"/>
          <w:color w:val="auto"/>
          <w:sz w:val="28"/>
          <w:szCs w:val="28"/>
          <w:highlight w:val="none"/>
        </w:rPr>
      </w:pPr>
      <w:r>
        <w:rPr>
          <w:rFonts w:hint="eastAsia" w:ascii="宋体" w:hAnsi="宋体"/>
          <w:color w:val="auto"/>
          <w:sz w:val="28"/>
          <w:szCs w:val="28"/>
          <w:highlight w:val="none"/>
        </w:rPr>
        <w:t>投标人每种货物及服务内容只允许有一个报价，并且在合同履行过程中是固定不变的，任何有选择或可调整的报价将不予接受，并按无效投标处理。</w:t>
      </w:r>
    </w:p>
    <w:p>
      <w:pPr>
        <w:tabs>
          <w:tab w:val="left" w:pos="1134"/>
        </w:tabs>
        <w:spacing w:line="360" w:lineRule="auto"/>
        <w:ind w:firstLine="565" w:firstLineChars="202"/>
        <w:rPr>
          <w:rFonts w:ascii="宋体" w:hAnsi="宋体"/>
          <w:color w:val="auto"/>
          <w:sz w:val="28"/>
          <w:szCs w:val="28"/>
          <w:highlight w:val="none"/>
        </w:rPr>
      </w:pPr>
      <w:bookmarkStart w:id="65" w:name="_Toc183582223"/>
      <w:bookmarkStart w:id="66" w:name="_Toc217446050"/>
      <w:bookmarkStart w:id="67" w:name="_Toc183682360"/>
      <w:r>
        <w:rPr>
          <w:rFonts w:hint="eastAsia" w:ascii="宋体" w:hAnsi="宋体"/>
          <w:color w:val="auto"/>
          <w:sz w:val="28"/>
          <w:szCs w:val="28"/>
          <w:highlight w:val="none"/>
        </w:rPr>
        <w:t>三、投标文件报价出现前后不一致的，按照下列规定修正：（1）大写金额和小写金额不一致的，以大写金额为准，但大写金额出现文字错误，导致金额无法判断的除外；（</w:t>
      </w:r>
      <w:r>
        <w:rPr>
          <w:rFonts w:ascii="宋体" w:hAnsi="宋体"/>
          <w:color w:val="auto"/>
          <w:sz w:val="28"/>
          <w:szCs w:val="28"/>
          <w:highlight w:val="none"/>
        </w:rPr>
        <w:t>2</w:t>
      </w:r>
      <w:r>
        <w:rPr>
          <w:rFonts w:hint="eastAsia" w:ascii="宋体" w:hAnsi="宋体"/>
          <w:color w:val="auto"/>
          <w:sz w:val="28"/>
          <w:szCs w:val="28"/>
          <w:highlight w:val="none"/>
        </w:rPr>
        <w:t>）单价金额小数点或者百分比有明显错位的，应以总价为准，并修改单价；（</w:t>
      </w:r>
      <w:r>
        <w:rPr>
          <w:rFonts w:ascii="宋体" w:hAnsi="宋体"/>
          <w:color w:val="auto"/>
          <w:sz w:val="28"/>
          <w:szCs w:val="28"/>
          <w:highlight w:val="none"/>
        </w:rPr>
        <w:t>3</w:t>
      </w:r>
      <w:r>
        <w:rPr>
          <w:rFonts w:hint="eastAsia" w:ascii="宋体" w:hAnsi="宋体"/>
          <w:color w:val="auto"/>
          <w:sz w:val="28"/>
          <w:szCs w:val="28"/>
          <w:highlight w:val="none"/>
        </w:rPr>
        <w:t>）总价金额与按单价汇总金额不一致的，以单价金额计算结果为准。</w:t>
      </w:r>
    </w:p>
    <w:p>
      <w:pPr>
        <w:tabs>
          <w:tab w:val="left" w:pos="1134"/>
        </w:tabs>
        <w:spacing w:line="360" w:lineRule="auto"/>
        <w:ind w:firstLine="565" w:firstLineChars="202"/>
        <w:rPr>
          <w:rFonts w:ascii="宋体" w:hAnsi="宋体"/>
          <w:color w:val="auto"/>
          <w:sz w:val="28"/>
          <w:szCs w:val="28"/>
          <w:highlight w:val="none"/>
        </w:rPr>
      </w:pPr>
      <w:r>
        <w:rPr>
          <w:rFonts w:hint="eastAsia" w:cs="Arial"/>
          <w:color w:val="auto"/>
          <w:sz w:val="28"/>
          <w:szCs w:val="28"/>
          <w:highlight w:val="none"/>
        </w:rPr>
        <w:t>同时出现两种以上不一致的，按照前款规定的顺序修正。修正后的报价经投标人以书面形式通过政府采购云平台进行确认，并加盖投标人（法定名称）电子签章，投标人逾时确认的，其投标无效。</w:t>
      </w:r>
      <w:r>
        <w:rPr>
          <w:rFonts w:hint="eastAsia" w:ascii="宋体" w:hAnsi="宋体"/>
          <w:color w:val="auto"/>
          <w:sz w:val="28"/>
          <w:szCs w:val="28"/>
          <w:highlight w:val="none"/>
        </w:rPr>
        <w:t>如因断电、断网、系统故障或其他不可抗力等因素</w:t>
      </w:r>
      <w:r>
        <w:rPr>
          <w:rFonts w:hint="eastAsia" w:cs="Arial"/>
          <w:color w:val="auto"/>
          <w:sz w:val="28"/>
          <w:szCs w:val="28"/>
          <w:highlight w:val="none"/>
        </w:rPr>
        <w:t>，导致系统无法使用的，由投标人按评标委员会的要求进行澄清或者说明。</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投标保证金</w:t>
      </w:r>
      <w:bookmarkEnd w:id="65"/>
      <w:bookmarkEnd w:id="66"/>
      <w:bookmarkEnd w:id="67"/>
    </w:p>
    <w:p>
      <w:pPr>
        <w:spacing w:line="360" w:lineRule="auto"/>
        <w:ind w:firstLine="560" w:firstLineChars="200"/>
        <w:rPr>
          <w:rFonts w:ascii="宋体" w:hAnsi="宋体"/>
          <w:color w:val="auto"/>
          <w:sz w:val="28"/>
          <w:szCs w:val="28"/>
          <w:highlight w:val="none"/>
        </w:rPr>
      </w:pPr>
      <w:r>
        <w:rPr>
          <w:rFonts w:hint="eastAsia" w:cs="Arial"/>
          <w:color w:val="auto"/>
          <w:sz w:val="28"/>
          <w:szCs w:val="28"/>
          <w:highlight w:val="none"/>
        </w:rPr>
        <w:t>本项目不收取投标保证金。</w:t>
      </w:r>
    </w:p>
    <w:p>
      <w:pPr>
        <w:keepNext/>
        <w:keepLines/>
        <w:numPr>
          <w:ilvl w:val="2"/>
          <w:numId w:val="5"/>
        </w:numPr>
        <w:tabs>
          <w:tab w:val="left" w:pos="851"/>
        </w:tabs>
        <w:spacing w:line="360" w:lineRule="auto"/>
        <w:ind w:left="0" w:firstLine="0"/>
        <w:outlineLvl w:val="2"/>
        <w:rPr>
          <w:rFonts w:ascii="宋体" w:hAnsi="宋体"/>
          <w:b/>
          <w:bCs/>
          <w:color w:val="auto"/>
          <w:sz w:val="28"/>
          <w:szCs w:val="28"/>
          <w:highlight w:val="none"/>
        </w:rPr>
      </w:pPr>
      <w:bookmarkStart w:id="68" w:name="_Toc316291400"/>
      <w:bookmarkEnd w:id="68"/>
      <w:bookmarkStart w:id="69" w:name="_Toc316292024"/>
      <w:bookmarkEnd w:id="69"/>
      <w:bookmarkStart w:id="70" w:name="_Toc183682361"/>
      <w:bookmarkStart w:id="71" w:name="_Toc183582224"/>
      <w:bookmarkStart w:id="72" w:name="_Toc217446051"/>
      <w:r>
        <w:rPr>
          <w:rFonts w:hint="eastAsia" w:ascii="宋体" w:hAnsi="宋体"/>
          <w:b/>
          <w:bCs/>
          <w:color w:val="auto"/>
          <w:sz w:val="28"/>
          <w:szCs w:val="28"/>
          <w:highlight w:val="none"/>
        </w:rPr>
        <w:t>投标有效期</w:t>
      </w:r>
      <w:bookmarkEnd w:id="70"/>
      <w:bookmarkEnd w:id="71"/>
      <w:bookmarkEnd w:id="72"/>
    </w:p>
    <w:p>
      <w:pPr>
        <w:numPr>
          <w:ilvl w:val="0"/>
          <w:numId w:val="2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投标有效期为</w:t>
      </w:r>
      <w:r>
        <w:rPr>
          <w:rFonts w:hint="eastAsia" w:ascii="Helvetica" w:hAnsi="Helvetica" w:cs="Helvetica"/>
          <w:color w:val="auto"/>
          <w:sz w:val="28"/>
          <w:szCs w:val="28"/>
          <w:highlight w:val="none"/>
        </w:rPr>
        <w:t>提交投标文件的截止之日起</w:t>
      </w:r>
      <w:r>
        <w:rPr>
          <w:rFonts w:hint="eastAsia" w:ascii="宋体" w:hAnsi="宋体"/>
          <w:color w:val="auto"/>
          <w:sz w:val="28"/>
          <w:szCs w:val="28"/>
          <w:highlight w:val="none"/>
          <w:u w:val="single"/>
        </w:rPr>
        <w:t>120</w:t>
      </w:r>
      <w:r>
        <w:rPr>
          <w:rFonts w:hint="eastAsia" w:ascii="宋体" w:hAnsi="宋体"/>
          <w:color w:val="auto"/>
          <w:sz w:val="28"/>
          <w:szCs w:val="28"/>
          <w:highlight w:val="none"/>
        </w:rPr>
        <w:t>天。投标有效期短于此规定期限的或不作响应的，则其投标文件将按无效投标文件处理。</w:t>
      </w:r>
    </w:p>
    <w:p>
      <w:pPr>
        <w:numPr>
          <w:ilvl w:val="0"/>
          <w:numId w:val="26"/>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特殊情况下，采购人可于投标有效期满之前要求投标人同意延长有效期，要求与答复均应为书面形式。投标人可以拒绝上述要求，其投标保证金不被没收。同意延长投标有效期的投标人不能修改其投标文件，关于投标保证金的有关规定在延长的投标有效期内继续有效。</w:t>
      </w:r>
    </w:p>
    <w:p>
      <w:pPr>
        <w:pStyle w:val="5"/>
        <w:numPr>
          <w:ilvl w:val="2"/>
          <w:numId w:val="5"/>
        </w:numPr>
        <w:tabs>
          <w:tab w:val="left" w:pos="851"/>
        </w:tabs>
        <w:spacing w:after="200" w:line="240" w:lineRule="auto"/>
        <w:ind w:left="0" w:firstLine="0"/>
        <w:rPr>
          <w:color w:val="auto"/>
          <w:highlight w:val="none"/>
        </w:rPr>
      </w:pPr>
      <w:bookmarkStart w:id="73" w:name="_Toc183682364"/>
      <w:bookmarkStart w:id="74" w:name="_Toc183582227"/>
      <w:bookmarkStart w:id="75" w:name="_Toc217446054"/>
      <w:r>
        <w:rPr>
          <w:rFonts w:hint="eastAsia"/>
          <w:color w:val="auto"/>
          <w:highlight w:val="none"/>
        </w:rPr>
        <w:t>投标文件的制作和签章、加密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一、投标文件应根据招标文件的要求进行制作。（说明：1、招标文件中要求提供复印件证明材料的，包含提供原件的影印件或复印件。2、要求提供复印件的证明材料须清晰可辨。）</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二、投标文件制作详情：</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1、本项目实行电子投标。投标人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投标人应按招标文件要求，通过“政采云投标客户端”制作、加密并提交投标文件。</w:t>
      </w:r>
    </w:p>
    <w:p>
      <w:pPr>
        <w:spacing w:line="360" w:lineRule="auto"/>
        <w:ind w:firstLine="562" w:firstLineChars="200"/>
        <w:rPr>
          <w:rFonts w:ascii="宋体" w:hAnsi="宋体"/>
          <w:b/>
          <w:color w:val="auto"/>
          <w:sz w:val="28"/>
          <w:szCs w:val="28"/>
          <w:highlight w:val="none"/>
        </w:rPr>
      </w:pPr>
      <w:r>
        <w:rPr>
          <w:rFonts w:hint="eastAsia" w:ascii="宋体" w:hAnsi="宋体"/>
          <w:b/>
          <w:color w:val="auto"/>
          <w:sz w:val="28"/>
          <w:szCs w:val="28"/>
          <w:highlight w:val="none"/>
        </w:rPr>
        <w:t>2、投标文件应加盖投标人（法定名称）电子签章，不得使用投标人专用章（如经济合同章、投标专用章等）或下属单位印章代替。</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3、投标人应使用本企业CA数字证书对投标文件进行加密。</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4、招标文件有修改的，投标人须重新下载修改后的招标文件（修改后的招标文件在更正公告中下载），根据修改后的招标文件制作、撤回修改，并递交投标文件。</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5、使用“政府采购云平台”（含政采云电子交易客户端）需要提前申领CA数字证书及电子签章，请自行前往四川CA、CFCA、天威CA服务点办理，只需办理其中一家CA数字证书及签章（提示：办理时请说明参与成都市政府采购项目）。投标人应及时完成在“政府采购云平台”的CA账号绑定，确保顺利参与电子投标。</w:t>
      </w:r>
    </w:p>
    <w:p>
      <w:pPr>
        <w:pStyle w:val="5"/>
        <w:numPr>
          <w:ilvl w:val="2"/>
          <w:numId w:val="5"/>
        </w:numPr>
        <w:spacing w:after="200" w:line="240" w:lineRule="auto"/>
        <w:ind w:left="0" w:firstLine="0"/>
        <w:rPr>
          <w:color w:val="auto"/>
          <w:highlight w:val="none"/>
        </w:rPr>
      </w:pPr>
      <w:r>
        <w:rPr>
          <w:rFonts w:hint="eastAsia"/>
          <w:color w:val="auto"/>
          <w:highlight w:val="none"/>
        </w:rPr>
        <w:t>投标文件的</w:t>
      </w:r>
      <w:bookmarkEnd w:id="73"/>
      <w:bookmarkEnd w:id="74"/>
      <w:r>
        <w:rPr>
          <w:rFonts w:hint="eastAsia"/>
          <w:color w:val="auto"/>
          <w:highlight w:val="none"/>
        </w:rPr>
        <w:t>递交</w:t>
      </w:r>
      <w:bookmarkEnd w:id="75"/>
    </w:p>
    <w:p>
      <w:pPr>
        <w:tabs>
          <w:tab w:val="left" w:pos="0"/>
        </w:tabs>
        <w:spacing w:line="360" w:lineRule="auto"/>
        <w:ind w:firstLine="420" w:firstLineChars="150"/>
        <w:rPr>
          <w:rFonts w:ascii="宋体" w:hAnsi="宋体" w:eastAsiaTheme="minorEastAsia" w:cstheme="minorBidi"/>
          <w:bCs/>
          <w:color w:val="auto"/>
          <w:sz w:val="28"/>
          <w:szCs w:val="28"/>
          <w:highlight w:val="none"/>
        </w:rPr>
      </w:pPr>
      <w:bookmarkStart w:id="76" w:name="_Toc316475586"/>
      <w:bookmarkEnd w:id="76"/>
      <w:bookmarkStart w:id="77" w:name="_Toc316475587"/>
      <w:bookmarkEnd w:id="77"/>
      <w:bookmarkStart w:id="78" w:name="_Toc217446055"/>
      <w:bookmarkStart w:id="79" w:name="_Toc183582228"/>
      <w:bookmarkStart w:id="80" w:name="_Toc183682365"/>
      <w:r>
        <w:rPr>
          <w:rFonts w:hint="eastAsia" w:ascii="宋体" w:hAnsi="宋体" w:eastAsiaTheme="minorEastAsia" w:cstheme="minorBidi"/>
          <w:bCs/>
          <w:color w:val="auto"/>
          <w:sz w:val="28"/>
          <w:szCs w:val="28"/>
          <w:highlight w:val="none"/>
        </w:rPr>
        <w:t>一、投标人应当在投标文件递交截止时间前，将生成的已加密的投标文件成功递交至“政府采购云平台”。</w:t>
      </w:r>
    </w:p>
    <w:p>
      <w:pPr>
        <w:tabs>
          <w:tab w:val="left" w:pos="0"/>
        </w:tabs>
        <w:spacing w:line="360" w:lineRule="auto"/>
        <w:ind w:firstLine="420" w:firstLineChars="150"/>
        <w:rPr>
          <w:rFonts w:ascii="宋体" w:hAnsi="宋体" w:eastAsiaTheme="minorEastAsia" w:cstheme="minorBidi"/>
          <w:bCs/>
          <w:color w:val="auto"/>
          <w:sz w:val="28"/>
          <w:szCs w:val="28"/>
          <w:highlight w:val="none"/>
        </w:rPr>
      </w:pPr>
      <w:r>
        <w:rPr>
          <w:rFonts w:hint="eastAsia" w:ascii="宋体" w:hAnsi="宋体" w:eastAsiaTheme="minorEastAsia" w:cstheme="minorBidi"/>
          <w:bCs/>
          <w:color w:val="auto"/>
          <w:sz w:val="28"/>
          <w:szCs w:val="28"/>
          <w:highlight w:val="none"/>
        </w:rPr>
        <w:t>二、因招标文件的修改推迟投标截止日期的，投标人按</w:t>
      </w:r>
      <w:r>
        <w:rPr>
          <w:rFonts w:hint="eastAsia" w:ascii="宋体" w:hAnsi="宋体" w:eastAsiaTheme="minorEastAsia" w:cstheme="minorBidi"/>
          <w:bCs/>
          <w:color w:val="auto"/>
          <w:sz w:val="28"/>
          <w:szCs w:val="28"/>
          <w:highlight w:val="none"/>
          <w:lang w:eastAsia="zh-CN"/>
        </w:rPr>
        <w:t>区</w:t>
      </w:r>
      <w:r>
        <w:rPr>
          <w:rFonts w:hint="eastAsia" w:ascii="宋体" w:hAnsi="宋体" w:eastAsiaTheme="minorEastAsia" w:cstheme="minorBidi"/>
          <w:bCs/>
          <w:color w:val="auto"/>
          <w:sz w:val="28"/>
          <w:szCs w:val="28"/>
          <w:highlight w:val="none"/>
        </w:rPr>
        <w:t>公资交易中心在“四川政府采购网”和“成都市公共资源交易服务中心”网站上发布的澄清公告中修改的时间递交投标文件，同时通过“政府采购云平台”将澄清或者修改的内容告知所有在系统中成功获取招标文件的潜在投标人。</w:t>
      </w:r>
    </w:p>
    <w:p>
      <w:pPr>
        <w:tabs>
          <w:tab w:val="left" w:pos="0"/>
        </w:tabs>
        <w:spacing w:line="360" w:lineRule="auto"/>
        <w:ind w:firstLine="420" w:firstLineChars="150"/>
        <w:rPr>
          <w:rFonts w:ascii="宋体" w:hAnsi="宋体"/>
          <w:bCs/>
          <w:color w:val="auto"/>
          <w:sz w:val="28"/>
          <w:szCs w:val="28"/>
          <w:highlight w:val="none"/>
        </w:rPr>
      </w:pPr>
      <w:r>
        <w:rPr>
          <w:rFonts w:hint="eastAsia" w:ascii="宋体" w:hAnsi="宋体" w:eastAsiaTheme="minorEastAsia" w:cstheme="minorBidi"/>
          <w:bCs/>
          <w:color w:val="auto"/>
          <w:sz w:val="28"/>
          <w:szCs w:val="28"/>
          <w:highlight w:val="none"/>
        </w:rPr>
        <w:t>三、投标人应充分考虑递交文件的不可预见因素，未在投标截止时间前完成递交的，在投标截止时间后将无法递交</w:t>
      </w:r>
      <w:r>
        <w:rPr>
          <w:rFonts w:hint="eastAsia" w:ascii="宋体" w:hAnsi="宋体"/>
          <w:bCs/>
          <w:color w:val="auto"/>
          <w:sz w:val="28"/>
          <w:szCs w:val="28"/>
          <w:highlight w:val="none"/>
        </w:rPr>
        <w:t>。</w:t>
      </w:r>
    </w:p>
    <w:p>
      <w:pPr>
        <w:pStyle w:val="5"/>
        <w:numPr>
          <w:ilvl w:val="2"/>
          <w:numId w:val="5"/>
        </w:numPr>
        <w:spacing w:after="200" w:line="276" w:lineRule="auto"/>
        <w:ind w:left="0" w:firstLine="0"/>
        <w:rPr>
          <w:color w:val="auto"/>
          <w:highlight w:val="none"/>
        </w:rPr>
      </w:pPr>
      <w:r>
        <w:rPr>
          <w:rFonts w:hint="eastAsia"/>
          <w:color w:val="auto"/>
          <w:highlight w:val="none"/>
        </w:rPr>
        <w:t>投标文件的</w:t>
      </w:r>
      <w:bookmarkEnd w:id="78"/>
      <w:bookmarkEnd w:id="79"/>
      <w:bookmarkEnd w:id="80"/>
      <w:r>
        <w:rPr>
          <w:rFonts w:hint="eastAsia"/>
          <w:color w:val="auto"/>
          <w:highlight w:val="none"/>
        </w:rPr>
        <w:t>补充、修改</w:t>
      </w:r>
    </w:p>
    <w:p>
      <w:pPr>
        <w:numPr>
          <w:ilvl w:val="0"/>
          <w:numId w:val="27"/>
        </w:numPr>
        <w:tabs>
          <w:tab w:val="left" w:pos="1134"/>
        </w:tabs>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前，投标人可对已递交的投标文件进行补充、修改。补充或者修改投标文件的，应当先撤回已递交的投标文件，在“政采云投标客户端”补充、修改投标文件并签章、加密后重新递交。撤回投标文件进行补充、修改，在投标截止时间前未重新递交的，视为撤回投标文件。</w:t>
      </w:r>
    </w:p>
    <w:p>
      <w:pPr>
        <w:numPr>
          <w:ilvl w:val="0"/>
          <w:numId w:val="27"/>
        </w:numPr>
        <w:tabs>
          <w:tab w:val="left" w:pos="1134"/>
        </w:tabs>
        <w:spacing w:before="120"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在投标截止时间之后，投标人不得对其递交的投标文件做任何补充、修改。</w:t>
      </w:r>
    </w:p>
    <w:p>
      <w:pPr>
        <w:pStyle w:val="5"/>
        <w:numPr>
          <w:ilvl w:val="2"/>
          <w:numId w:val="5"/>
        </w:numPr>
        <w:spacing w:after="200" w:line="276" w:lineRule="auto"/>
        <w:ind w:left="0" w:firstLine="0"/>
        <w:rPr>
          <w:color w:val="auto"/>
          <w:highlight w:val="none"/>
        </w:rPr>
      </w:pPr>
      <w:r>
        <w:rPr>
          <w:rFonts w:hint="eastAsia"/>
          <w:color w:val="auto"/>
          <w:highlight w:val="none"/>
        </w:rPr>
        <w:t>投标文件的撤回</w:t>
      </w:r>
    </w:p>
    <w:p>
      <w:pPr>
        <w:spacing w:before="120" w:after="200" w:line="360" w:lineRule="auto"/>
        <w:ind w:firstLine="565" w:firstLineChars="202"/>
        <w:rPr>
          <w:rFonts w:ascii="宋体" w:hAnsi="宋体"/>
          <w:bCs/>
          <w:color w:val="auto"/>
          <w:sz w:val="28"/>
          <w:szCs w:val="28"/>
          <w:highlight w:val="none"/>
        </w:rPr>
      </w:pPr>
      <w:bookmarkStart w:id="81" w:name="_Toc183582231"/>
      <w:bookmarkStart w:id="82" w:name="_Toc217446056"/>
      <w:bookmarkStart w:id="83" w:name="_Toc77400782"/>
      <w:bookmarkStart w:id="84" w:name="_Toc183682368"/>
      <w:bookmarkStart w:id="85" w:name="_Toc89075878"/>
      <w:r>
        <w:rPr>
          <w:rFonts w:hint="eastAsia" w:ascii="宋体" w:hAnsi="宋体"/>
          <w:bCs/>
          <w:color w:val="auto"/>
          <w:sz w:val="28"/>
          <w:szCs w:val="28"/>
          <w:highlight w:val="none"/>
        </w:rPr>
        <w:t>在投标截止时间之前，投标人可对已递交的投标文件进行撤回。在投标截止时间之后，投标人不得撤回投标文件。</w:t>
      </w:r>
    </w:p>
    <w:p>
      <w:pPr>
        <w:pStyle w:val="5"/>
        <w:numPr>
          <w:ilvl w:val="2"/>
          <w:numId w:val="5"/>
        </w:numPr>
        <w:spacing w:after="200" w:line="276" w:lineRule="auto"/>
        <w:ind w:left="0" w:firstLine="0"/>
        <w:rPr>
          <w:color w:val="auto"/>
          <w:highlight w:val="none"/>
        </w:rPr>
      </w:pPr>
      <w:r>
        <w:rPr>
          <w:rFonts w:hint="eastAsia"/>
          <w:color w:val="auto"/>
          <w:highlight w:val="none"/>
        </w:rPr>
        <w:t>投标文件的解密</w:t>
      </w:r>
    </w:p>
    <w:p>
      <w:pPr>
        <w:tabs>
          <w:tab w:val="left" w:pos="1134"/>
        </w:tabs>
        <w:spacing w:before="120" w:line="360" w:lineRule="auto"/>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投标人</w:t>
      </w:r>
      <w:r>
        <w:rPr>
          <w:rFonts w:hint="eastAsia" w:ascii="宋体" w:hAnsi="宋体"/>
          <w:color w:val="auto"/>
          <w:sz w:val="28"/>
          <w:szCs w:val="28"/>
          <w:highlight w:val="none"/>
        </w:rPr>
        <w:t>登录政府采购云平台，点击“项目采购—开标评标”模块，找到对应项目，进入“开标大厅”，等待</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公资交易中心开启解密后，进行线上解密。</w:t>
      </w:r>
      <w:r>
        <w:rPr>
          <w:rFonts w:hint="eastAsia" w:ascii="宋体" w:hAnsi="宋体"/>
          <w:bCs/>
          <w:color w:val="auto"/>
          <w:sz w:val="28"/>
          <w:szCs w:val="28"/>
          <w:highlight w:val="none"/>
        </w:rPr>
        <w:t>除因</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w:t>
      </w:r>
      <w:r>
        <w:rPr>
          <w:rFonts w:hint="eastAsia" w:ascii="宋体" w:hAnsi="宋体"/>
          <w:bCs/>
          <w:color w:val="auto"/>
          <w:sz w:val="28"/>
          <w:szCs w:val="28"/>
          <w:highlight w:val="none"/>
        </w:rPr>
        <w:t>断电、断网、系统故障或其他不可抗力等因素，导致系统无法使用外，投标人在规定的解密时间内，未成功解密的投标文件将视为无效投标文件。</w:t>
      </w:r>
    </w:p>
    <w:p>
      <w:pPr>
        <w:keepNext/>
        <w:keepLines/>
        <w:numPr>
          <w:ilvl w:val="1"/>
          <w:numId w:val="5"/>
        </w:numPr>
        <w:spacing w:line="360" w:lineRule="auto"/>
        <w:jc w:val="left"/>
        <w:outlineLvl w:val="1"/>
        <w:rPr>
          <w:rFonts w:ascii="宋体" w:hAnsi="宋体"/>
          <w:b/>
          <w:bCs/>
          <w:color w:val="auto"/>
          <w:sz w:val="28"/>
          <w:szCs w:val="28"/>
          <w:highlight w:val="none"/>
        </w:rPr>
      </w:pPr>
      <w:bookmarkStart w:id="86" w:name="_Toc11508"/>
      <w:bookmarkStart w:id="87" w:name="_Toc7053"/>
      <w:r>
        <w:rPr>
          <w:rFonts w:hint="eastAsia" w:ascii="宋体" w:hAnsi="宋体"/>
          <w:b/>
          <w:bCs/>
          <w:color w:val="auto"/>
          <w:sz w:val="28"/>
          <w:szCs w:val="28"/>
          <w:highlight w:val="none"/>
        </w:rPr>
        <w:t>开标、资格审查、评标和中标</w:t>
      </w:r>
      <w:bookmarkEnd w:id="81"/>
      <w:bookmarkEnd w:id="82"/>
      <w:bookmarkEnd w:id="83"/>
      <w:bookmarkEnd w:id="84"/>
      <w:bookmarkEnd w:id="85"/>
      <w:bookmarkEnd w:id="86"/>
      <w:bookmarkEnd w:id="87"/>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88" w:name="_Toc183682369"/>
      <w:bookmarkStart w:id="89" w:name="_Toc183582232"/>
      <w:bookmarkStart w:id="90" w:name="_Toc217446057"/>
      <w:r>
        <w:rPr>
          <w:rFonts w:hint="eastAsia" w:ascii="宋体" w:hAnsi="宋体"/>
          <w:b/>
          <w:bCs/>
          <w:color w:val="auto"/>
          <w:sz w:val="28"/>
          <w:szCs w:val="28"/>
          <w:highlight w:val="none"/>
        </w:rPr>
        <w:t>开标</w:t>
      </w:r>
      <w:bookmarkEnd w:id="88"/>
      <w:bookmarkEnd w:id="89"/>
      <w:bookmarkEnd w:id="90"/>
      <w:r>
        <w:rPr>
          <w:rFonts w:hint="eastAsia" w:ascii="宋体" w:hAnsi="宋体"/>
          <w:b/>
          <w:bCs/>
          <w:color w:val="auto"/>
          <w:sz w:val="28"/>
          <w:szCs w:val="28"/>
          <w:highlight w:val="none"/>
        </w:rPr>
        <w:t>及开标程序</w:t>
      </w:r>
    </w:p>
    <w:p>
      <w:pPr>
        <w:pStyle w:val="80"/>
        <w:numPr>
          <w:ilvl w:val="0"/>
          <w:numId w:val="28"/>
        </w:numPr>
        <w:tabs>
          <w:tab w:val="left" w:pos="1134"/>
        </w:tabs>
        <w:spacing w:before="120" w:after="200" w:line="360" w:lineRule="auto"/>
        <w:ind w:left="0" w:right="210" w:firstLine="567" w:firstLineChars="0"/>
        <w:rPr>
          <w:rFonts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本项目为不见面开标项目。递交投标文件的投标人不足3家的，不予开标。</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开标准备工作。投标人需在开标当日、投标截止时间前登录“政府采购云平台”，通过“开标大厅”参与不见面开标。登录成都市公共资源交易服务中心门户网站（https://www.cdggzy.com/）—政府采购云平台—项目采购—开标评标—开标大厅（找到对应项目）。提示：投标人未按时登录不见面开标系统，错过开标解密时间的，由投标人自行承担不利后果。</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解密投标文件投标文件。等待</w:t>
      </w:r>
      <w:r>
        <w:rPr>
          <w:rFonts w:hint="eastAsia" w:ascii="宋体" w:hAnsi="宋体" w:eastAsia="宋体" w:cs="宋体"/>
          <w:b/>
          <w:color w:val="auto"/>
          <w:sz w:val="28"/>
          <w:szCs w:val="28"/>
          <w:highlight w:val="none"/>
          <w:lang w:eastAsia="zh-CN"/>
        </w:rPr>
        <w:t>区</w:t>
      </w:r>
      <w:r>
        <w:rPr>
          <w:rFonts w:hint="eastAsia" w:ascii="宋体" w:hAnsi="宋体" w:eastAsia="宋体" w:cs="宋体"/>
          <w:b/>
          <w:color w:val="auto"/>
          <w:sz w:val="28"/>
          <w:szCs w:val="28"/>
          <w:highlight w:val="none"/>
        </w:rPr>
        <w:t>公资交易中心开启解密后，投标人进行线上解密。开启解密后，投标人应在60分钟内，使用加密该投标文件的CA数字证书在线完成投标文件的解密。除因</w:t>
      </w:r>
      <w:r>
        <w:rPr>
          <w:rFonts w:hint="eastAsia" w:ascii="宋体" w:hAnsi="宋体" w:eastAsia="宋体" w:cs="宋体"/>
          <w:b/>
          <w:color w:val="auto"/>
          <w:sz w:val="28"/>
          <w:szCs w:val="28"/>
          <w:highlight w:val="none"/>
          <w:lang w:eastAsia="zh-CN"/>
        </w:rPr>
        <w:t>区</w:t>
      </w:r>
      <w:r>
        <w:rPr>
          <w:rFonts w:hint="eastAsia" w:ascii="宋体" w:hAnsi="宋体" w:eastAsia="宋体" w:cs="宋体"/>
          <w:b/>
          <w:color w:val="auto"/>
          <w:sz w:val="28"/>
          <w:szCs w:val="28"/>
          <w:highlight w:val="none"/>
        </w:rPr>
        <w:t>公资交易中心断电、断网、系统故障或其他不可抗力等因素，导致系统无法使用外，投标人在规定的解密时间内，未成功解密的投标文件将视为无效投标文件。</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确认开标记录。解密时间截止或者所有投标人投标文件均完成解密后（以发生在先的时间为准），由“政府采购云平台”系统展示投标人名称、投标文件解密情况、投标报价等唱标内容。如成功解密投标文件的投标人不足三家的，则只展示投标人名称、投标文件解密情况。投标人对开标记录（包含解密情况、投标报价、其他情况等）在规定时间内确认，如未确认，视为认同开标记录。</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投标人电脑终端等硬件设备和软件系统配置：投标人电脑终端等硬件设备和软件系统配置应符合电子投标（含不见面开标大厅）投标人电脑终端配置要求并运行正常，投标人承担因未尽职责产生的不利后果。</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因</w:t>
      </w:r>
      <w:r>
        <w:rPr>
          <w:rFonts w:hint="eastAsia" w:ascii="宋体" w:hAnsi="宋体" w:eastAsia="宋体" w:cs="宋体"/>
          <w:b/>
          <w:color w:val="auto"/>
          <w:sz w:val="28"/>
          <w:szCs w:val="28"/>
          <w:highlight w:val="none"/>
          <w:lang w:eastAsia="zh-CN"/>
        </w:rPr>
        <w:t>区</w:t>
      </w:r>
      <w:r>
        <w:rPr>
          <w:rFonts w:hint="eastAsia" w:ascii="宋体" w:hAnsi="宋体" w:eastAsia="宋体" w:cs="宋体"/>
          <w:b/>
          <w:color w:val="auto"/>
          <w:sz w:val="28"/>
          <w:szCs w:val="28"/>
          <w:highlight w:val="none"/>
        </w:rPr>
        <w:t>公资交易中心断电、断网、系统故障或其他不可抗力等因素导致不见面开标系统无法正常运行的，开标活动中止或延迟，待系统恢复正常后继续进行开标活动。</w:t>
      </w:r>
    </w:p>
    <w:p>
      <w:pPr>
        <w:pStyle w:val="80"/>
        <w:numPr>
          <w:ilvl w:val="0"/>
          <w:numId w:val="28"/>
        </w:numPr>
        <w:tabs>
          <w:tab w:val="left" w:pos="1134"/>
        </w:tabs>
        <w:spacing w:before="120" w:after="200" w:line="360" w:lineRule="auto"/>
        <w:ind w:left="0" w:right="210" w:firstLine="567" w:firstLineChars="0"/>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不见面开标过程中，各方主体均应遵守互联网有关规定，不得发表与交易活动无关的言论。</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资格审查</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详见招标文件第5章。</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评标</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详见招标文件第6章。</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91" w:name="_Toc183582238"/>
      <w:bookmarkStart w:id="92" w:name="_Toc183682375"/>
      <w:bookmarkStart w:id="93" w:name="_Toc217446063"/>
      <w:r>
        <w:rPr>
          <w:rFonts w:hint="eastAsia" w:ascii="宋体" w:hAnsi="宋体"/>
          <w:b/>
          <w:bCs/>
          <w:color w:val="auto"/>
          <w:sz w:val="28"/>
          <w:szCs w:val="28"/>
          <w:highlight w:val="none"/>
        </w:rPr>
        <w:t>中标通知</w:t>
      </w:r>
      <w:bookmarkEnd w:id="91"/>
      <w:bookmarkEnd w:id="92"/>
      <w:r>
        <w:rPr>
          <w:rFonts w:hint="eastAsia" w:ascii="宋体" w:hAnsi="宋体"/>
          <w:b/>
          <w:bCs/>
          <w:color w:val="auto"/>
          <w:sz w:val="28"/>
          <w:szCs w:val="28"/>
          <w:highlight w:val="none"/>
        </w:rPr>
        <w:t>书</w:t>
      </w:r>
      <w:bookmarkEnd w:id="93"/>
    </w:p>
    <w:p>
      <w:pPr>
        <w:spacing w:line="580" w:lineRule="exact"/>
        <w:ind w:right="210" w:firstLine="560" w:firstLineChars="200"/>
        <w:rPr>
          <w:rFonts w:ascii="宋体" w:hAnsi="宋体"/>
          <w:color w:val="auto"/>
          <w:sz w:val="28"/>
          <w:szCs w:val="28"/>
          <w:highlight w:val="none"/>
        </w:rPr>
      </w:pPr>
      <w:bookmarkStart w:id="94" w:name="_Toc217446064"/>
      <w:bookmarkStart w:id="95" w:name="_Toc183682377"/>
      <w:bookmarkStart w:id="96" w:name="_Toc183582240"/>
      <w:r>
        <w:rPr>
          <w:rFonts w:hint="eastAsia" w:ascii="宋体" w:hAnsi="宋体"/>
          <w:color w:val="auto"/>
          <w:sz w:val="28"/>
          <w:szCs w:val="28"/>
          <w:highlight w:val="none"/>
        </w:rPr>
        <w:t>一、中标通知书为采购人签订政府采购合同的依据，是合同的有效组成部分。如果出现政府采购法律法规、规章制度规定的中标无效情形的，将以公告形式宣布发出的中标通知书无效，中标通知书将自动失效，并依法重新确定中标人或者重新开展采购活动。</w:t>
      </w:r>
    </w:p>
    <w:p>
      <w:pPr>
        <w:spacing w:line="58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二、中标通知书对采购人和中标人均具有法律效力。中标通知书发出后，采购人改变中标结果，或者中标人无正当理由放弃中标的，应当承担相应的法律责任。</w:t>
      </w:r>
    </w:p>
    <w:p>
      <w:pPr>
        <w:spacing w:line="58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三、中标公告在四川政府采购网上公告后，中标供应商自行登录政府</w:t>
      </w:r>
      <w:r>
        <w:rPr>
          <w:rFonts w:ascii="宋体" w:hAnsi="宋体"/>
          <w:color w:val="auto"/>
          <w:sz w:val="28"/>
          <w:szCs w:val="28"/>
          <w:highlight w:val="none"/>
        </w:rPr>
        <w:t>采购</w:t>
      </w:r>
      <w:r>
        <w:rPr>
          <w:rFonts w:hint="eastAsia" w:ascii="宋体" w:hAnsi="宋体"/>
          <w:color w:val="auto"/>
          <w:sz w:val="28"/>
          <w:szCs w:val="28"/>
          <w:highlight w:val="none"/>
        </w:rPr>
        <w:t>云平台下载中标通知书。</w:t>
      </w:r>
    </w:p>
    <w:p>
      <w:pPr>
        <w:keepNext/>
        <w:keepLines/>
        <w:numPr>
          <w:ilvl w:val="1"/>
          <w:numId w:val="5"/>
        </w:numPr>
        <w:spacing w:before="240" w:line="360" w:lineRule="auto"/>
        <w:jc w:val="left"/>
        <w:outlineLvl w:val="1"/>
        <w:rPr>
          <w:rFonts w:ascii="宋体" w:hAnsi="宋体"/>
          <w:b/>
          <w:bCs/>
          <w:color w:val="auto"/>
          <w:sz w:val="28"/>
          <w:szCs w:val="28"/>
          <w:highlight w:val="none"/>
        </w:rPr>
      </w:pPr>
      <w:bookmarkStart w:id="97" w:name="_Toc6709"/>
      <w:bookmarkStart w:id="98" w:name="_Toc10317"/>
      <w:r>
        <w:rPr>
          <w:rFonts w:hint="eastAsia" w:ascii="宋体" w:hAnsi="宋体"/>
          <w:b/>
          <w:bCs/>
          <w:color w:val="auto"/>
          <w:sz w:val="28"/>
          <w:szCs w:val="28"/>
          <w:highlight w:val="none"/>
        </w:rPr>
        <w:t>签订及履行合同和验收</w:t>
      </w:r>
      <w:bookmarkEnd w:id="94"/>
      <w:bookmarkEnd w:id="97"/>
      <w:bookmarkEnd w:id="98"/>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99" w:name="_Toc217446065"/>
      <w:r>
        <w:rPr>
          <w:rFonts w:hint="eastAsia" w:ascii="宋体" w:hAnsi="宋体"/>
          <w:b/>
          <w:bCs/>
          <w:color w:val="auto"/>
          <w:sz w:val="28"/>
          <w:szCs w:val="28"/>
          <w:highlight w:val="none"/>
        </w:rPr>
        <w:t>签订合同</w:t>
      </w:r>
      <w:bookmarkEnd w:id="99"/>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疫情防控期间，采购人原则上在中标通知书发出之日起5个工作日内与中标人签订采购合同。因中标人的原因在中标通知书发出之日起30日内未与采购人签订采购合同或者中标人拒绝与采购人签订合同的，采购人可以按照评审报告推荐的中标候选人名单排序，确定下一候选人为中标供应商，也可以重新开展政府采购活动。</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二、采购人不得向中标人提出任何不合理的要求，作为签订合同的条件，不得与中标人私下订立背离合同实质性内容的任何协议，所签订的合同不得对招标文件和中标人投标文件作实质性修改。</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三、招标文件、投标文件、中标通知书等一切与本项目评标结果有关且经责任主体确认的资料均为合同的有效组成部分。</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四、询问或者质疑事项可能影响中标、成交结果的，采购人应当暂停签订合同，已经签订合同的，应当中止履行合同。</w:t>
      </w:r>
    </w:p>
    <w:p>
      <w:pPr>
        <w:keepNext/>
        <w:keepLines/>
        <w:numPr>
          <w:ilvl w:val="2"/>
          <w:numId w:val="5"/>
        </w:numPr>
        <w:spacing w:line="360" w:lineRule="auto"/>
        <w:ind w:left="3119" w:hanging="3119"/>
        <w:outlineLvl w:val="2"/>
        <w:rPr>
          <w:rFonts w:ascii="宋体" w:hAnsi="宋体"/>
          <w:b/>
          <w:bCs/>
          <w:color w:val="auto"/>
          <w:sz w:val="28"/>
          <w:szCs w:val="28"/>
          <w:highlight w:val="none"/>
        </w:rPr>
      </w:pPr>
      <w:bookmarkStart w:id="100" w:name="_Toc315871033"/>
      <w:bookmarkEnd w:id="100"/>
      <w:bookmarkStart w:id="101" w:name="_Toc217446066"/>
      <w:r>
        <w:rPr>
          <w:rFonts w:hint="eastAsia" w:ascii="宋体" w:hAnsi="宋体"/>
          <w:b/>
          <w:bCs/>
          <w:color w:val="auto"/>
          <w:sz w:val="28"/>
          <w:szCs w:val="28"/>
          <w:highlight w:val="none"/>
        </w:rPr>
        <w:t>合同分包</w:t>
      </w:r>
      <w:bookmarkEnd w:id="101"/>
      <w:r>
        <w:rPr>
          <w:rFonts w:hint="eastAsia" w:ascii="宋体" w:hAnsi="宋体"/>
          <w:b/>
          <w:bCs/>
          <w:color w:val="auto"/>
          <w:sz w:val="28"/>
          <w:szCs w:val="28"/>
          <w:highlight w:val="none"/>
        </w:rPr>
        <w:t>和转包</w:t>
      </w:r>
    </w:p>
    <w:p>
      <w:pPr>
        <w:keepNext/>
        <w:keepLines/>
        <w:numPr>
          <w:ilvl w:val="3"/>
          <w:numId w:val="5"/>
        </w:numPr>
        <w:spacing w:line="360" w:lineRule="auto"/>
        <w:ind w:left="1275" w:hanging="1275"/>
        <w:outlineLvl w:val="2"/>
        <w:rPr>
          <w:rFonts w:ascii="宋体" w:hAnsi="宋体"/>
          <w:b/>
          <w:bCs/>
          <w:color w:val="auto"/>
          <w:sz w:val="28"/>
          <w:szCs w:val="28"/>
          <w:highlight w:val="none"/>
        </w:rPr>
      </w:pPr>
      <w:r>
        <w:rPr>
          <w:rFonts w:hint="eastAsia" w:ascii="宋体" w:hAnsi="宋体"/>
          <w:b/>
          <w:bCs/>
          <w:color w:val="auto"/>
          <w:sz w:val="28"/>
          <w:szCs w:val="28"/>
          <w:highlight w:val="none"/>
        </w:rPr>
        <w:t>合同分包</w:t>
      </w:r>
    </w:p>
    <w:p>
      <w:pPr>
        <w:pStyle w:val="120"/>
        <w:spacing w:line="360" w:lineRule="auto"/>
        <w:ind w:firstLine="560" w:firstLineChars="200"/>
        <w:rPr>
          <w:rFonts w:cs="Times New Roman" w:eastAsiaTheme="minorEastAsia"/>
          <w:color w:val="auto"/>
          <w:sz w:val="28"/>
          <w:szCs w:val="28"/>
          <w:highlight w:val="none"/>
          <w:lang w:val="zh-CN"/>
        </w:rPr>
      </w:pPr>
      <w:r>
        <w:rPr>
          <w:rFonts w:hint="eastAsia" w:cs="Times New Roman"/>
          <w:color w:val="auto"/>
          <w:sz w:val="28"/>
          <w:szCs w:val="28"/>
          <w:highlight w:val="none"/>
          <w:lang w:val="zh-CN"/>
        </w:rPr>
        <w:t>本</w:t>
      </w:r>
      <w:r>
        <w:rPr>
          <w:rFonts w:cs="Times New Roman"/>
          <w:color w:val="auto"/>
          <w:sz w:val="28"/>
          <w:szCs w:val="28"/>
          <w:highlight w:val="none"/>
          <w:lang w:val="zh-CN"/>
        </w:rPr>
        <w:t>项目不允许分包</w:t>
      </w:r>
      <w:r>
        <w:rPr>
          <w:rFonts w:hint="eastAsia" w:cs="Times New Roman"/>
          <w:color w:val="auto"/>
          <w:sz w:val="28"/>
          <w:szCs w:val="28"/>
          <w:highlight w:val="none"/>
          <w:lang w:val="zh-CN"/>
        </w:rPr>
        <w:t xml:space="preserve"> </w:t>
      </w:r>
    </w:p>
    <w:p>
      <w:pPr>
        <w:keepNext/>
        <w:keepLines/>
        <w:numPr>
          <w:ilvl w:val="3"/>
          <w:numId w:val="5"/>
        </w:numPr>
        <w:spacing w:line="360" w:lineRule="auto"/>
        <w:ind w:left="1275" w:hanging="1275"/>
        <w:outlineLvl w:val="2"/>
        <w:rPr>
          <w:rFonts w:ascii="宋体" w:hAnsi="宋体"/>
          <w:b/>
          <w:bCs/>
          <w:color w:val="auto"/>
          <w:sz w:val="28"/>
          <w:szCs w:val="28"/>
          <w:highlight w:val="none"/>
        </w:rPr>
      </w:pPr>
      <w:r>
        <w:rPr>
          <w:rFonts w:hint="eastAsia" w:ascii="宋体" w:hAnsi="宋体"/>
          <w:b/>
          <w:bCs/>
          <w:color w:val="auto"/>
          <w:sz w:val="28"/>
          <w:szCs w:val="28"/>
          <w:highlight w:val="none"/>
        </w:rPr>
        <w:t>合同转包</w:t>
      </w:r>
    </w:p>
    <w:p>
      <w:pPr>
        <w:spacing w:line="360" w:lineRule="auto"/>
        <w:ind w:firstLine="560" w:firstLineChars="200"/>
        <w:rPr>
          <w:rFonts w:ascii="宋体" w:hAnsi="宋体" w:cs="宋体"/>
          <w:color w:val="auto"/>
          <w:sz w:val="28"/>
          <w:szCs w:val="28"/>
          <w:highlight w:val="none"/>
        </w:rPr>
      </w:pPr>
      <w:r>
        <w:rPr>
          <w:rFonts w:hint="eastAsia" w:ascii="宋体" w:hAnsi="宋体"/>
          <w:color w:val="auto"/>
          <w:sz w:val="28"/>
          <w:szCs w:val="28"/>
          <w:highlight w:val="none"/>
        </w:rPr>
        <w:t>一、严禁中标供应商将本项目转包。本项目所称转包，是指</w:t>
      </w:r>
      <w:r>
        <w:rPr>
          <w:rFonts w:hint="eastAsia" w:ascii="宋体" w:hAnsi="宋体" w:cs="宋体"/>
          <w:color w:val="auto"/>
          <w:sz w:val="28"/>
          <w:szCs w:val="28"/>
          <w:highlight w:val="none"/>
        </w:rPr>
        <w:t xml:space="preserve">将本项目转给他人或者将本项目全部肢解以后以分包的名义分别转给他人的行为。 </w:t>
      </w:r>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二、中标供应商转包的，视同拒绝履行政府采购合同，将依法追究法律责任。</w:t>
      </w:r>
    </w:p>
    <w:p>
      <w:pPr>
        <w:keepNext/>
        <w:keepLines/>
        <w:numPr>
          <w:ilvl w:val="2"/>
          <w:numId w:val="5"/>
        </w:numPr>
        <w:spacing w:before="240" w:line="360" w:lineRule="auto"/>
        <w:ind w:left="0" w:firstLine="0"/>
        <w:outlineLvl w:val="2"/>
        <w:rPr>
          <w:rFonts w:ascii="宋体" w:hAnsi="宋体"/>
          <w:b/>
          <w:bCs/>
          <w:color w:val="auto"/>
          <w:sz w:val="28"/>
          <w:szCs w:val="28"/>
          <w:highlight w:val="none"/>
        </w:rPr>
      </w:pPr>
      <w:bookmarkStart w:id="102" w:name="_Toc217446067"/>
      <w:r>
        <w:rPr>
          <w:rFonts w:hint="eastAsia" w:ascii="宋体" w:hAnsi="宋体"/>
          <w:b/>
          <w:bCs/>
          <w:color w:val="auto"/>
          <w:sz w:val="28"/>
          <w:szCs w:val="28"/>
          <w:highlight w:val="none"/>
        </w:rPr>
        <w:t>采购人增加合同标的的权</w:t>
      </w:r>
      <w:bookmarkEnd w:id="102"/>
      <w:r>
        <w:rPr>
          <w:rFonts w:hint="eastAsia" w:ascii="宋体" w:hAnsi="宋体"/>
          <w:b/>
          <w:bCs/>
          <w:color w:val="auto"/>
          <w:sz w:val="28"/>
          <w:szCs w:val="28"/>
          <w:highlight w:val="none"/>
        </w:rPr>
        <w:t>利</w:t>
      </w:r>
    </w:p>
    <w:p>
      <w:pPr>
        <w:spacing w:after="18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采购合同履行过程中，采购人需要追加与合同标的相同的货物或者服务的，在不改变合同其他条款的前提下，可以与中标人协商签订补充合同，但所有补充合同的采购金额不得超过原合同采购金额的百分之十。</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03" w:name="_Toc217446068"/>
      <w:r>
        <w:rPr>
          <w:rFonts w:hint="eastAsia" w:ascii="宋体" w:hAnsi="宋体"/>
          <w:b/>
          <w:bCs/>
          <w:color w:val="auto"/>
          <w:sz w:val="28"/>
          <w:szCs w:val="28"/>
          <w:highlight w:val="none"/>
        </w:rPr>
        <w:t>履约保证金</w:t>
      </w:r>
      <w:bookmarkEnd w:id="103"/>
    </w:p>
    <w:p>
      <w:pPr>
        <w:spacing w:line="360" w:lineRule="auto"/>
        <w:ind w:firstLine="495"/>
        <w:rPr>
          <w:rFonts w:ascii="宋体" w:hAnsi="宋体"/>
          <w:color w:val="auto"/>
          <w:sz w:val="28"/>
          <w:szCs w:val="28"/>
          <w:highlight w:val="none"/>
        </w:rPr>
      </w:pPr>
      <w:r>
        <w:rPr>
          <w:rFonts w:hint="eastAsia" w:ascii="宋体" w:hAnsi="宋体"/>
          <w:color w:val="auto"/>
          <w:sz w:val="28"/>
          <w:szCs w:val="28"/>
          <w:highlight w:val="none"/>
        </w:rPr>
        <w:t>本项目不收取履约保证金。</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04" w:name="_Toc217446069"/>
      <w:r>
        <w:rPr>
          <w:rFonts w:hint="eastAsia" w:ascii="宋体" w:hAnsi="宋体"/>
          <w:b/>
          <w:bCs/>
          <w:color w:val="auto"/>
          <w:sz w:val="28"/>
          <w:szCs w:val="28"/>
          <w:highlight w:val="none"/>
        </w:rPr>
        <w:t>合同公告</w:t>
      </w:r>
    </w:p>
    <w:p>
      <w:pPr>
        <w:spacing w:after="180"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采购人应当自政府采购合同签订之日起2个工作日内，在四川政府采购网公告，但政府采购合同中涉及国家秘密、商业秘密的内容除外。</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合同备案</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疫情防控期间，采购人原则上在5个工作日内与供应商签订政府采购合同及按成都市</w:t>
      </w:r>
      <w:r>
        <w:rPr>
          <w:rFonts w:hint="eastAsia" w:ascii="宋体" w:hAnsi="宋体"/>
          <w:color w:val="auto"/>
          <w:sz w:val="28"/>
          <w:szCs w:val="28"/>
          <w:highlight w:val="none"/>
          <w:lang w:eastAsia="zh-CN"/>
        </w:rPr>
        <w:t>温江区</w:t>
      </w:r>
      <w:r>
        <w:rPr>
          <w:rFonts w:hint="eastAsia" w:ascii="宋体" w:hAnsi="宋体"/>
          <w:color w:val="auto"/>
          <w:sz w:val="28"/>
          <w:szCs w:val="28"/>
          <w:highlight w:val="none"/>
        </w:rPr>
        <w:t>财政局的要求完成合同备案工作。</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履行合同</w:t>
      </w:r>
      <w:bookmarkEnd w:id="104"/>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一、合同一经签订，双方应严格履行合同规定的义务。</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二、在合同履行过程中，如发生合同纠纷，合同双方应按照《中华人民共和国民法典》及合同条款的有关规定进行处理。</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05" w:name="_Toc217446070"/>
      <w:r>
        <w:rPr>
          <w:rFonts w:hint="eastAsia" w:ascii="宋体" w:hAnsi="宋体"/>
          <w:b/>
          <w:bCs/>
          <w:color w:val="auto"/>
          <w:sz w:val="28"/>
          <w:szCs w:val="28"/>
          <w:highlight w:val="none"/>
        </w:rPr>
        <w:t>验收</w:t>
      </w:r>
      <w:bookmarkEnd w:id="105"/>
      <w:r>
        <w:rPr>
          <w:rFonts w:hint="eastAsia" w:ascii="宋体" w:hAnsi="宋体"/>
          <w:b/>
          <w:bCs/>
          <w:color w:val="auto"/>
          <w:sz w:val="28"/>
          <w:szCs w:val="28"/>
          <w:highlight w:val="none"/>
        </w:rPr>
        <w:t>或考核</w:t>
      </w:r>
    </w:p>
    <w:bookmarkEnd w:id="95"/>
    <w:bookmarkEnd w:id="96"/>
    <w:p>
      <w:pPr>
        <w:spacing w:line="360" w:lineRule="auto"/>
        <w:ind w:firstLine="560" w:firstLineChars="200"/>
        <w:rPr>
          <w:rFonts w:ascii="宋体" w:hAnsi="宋体"/>
          <w:color w:val="auto"/>
          <w:sz w:val="28"/>
          <w:szCs w:val="28"/>
          <w:highlight w:val="none"/>
        </w:rPr>
      </w:pPr>
      <w:bookmarkStart w:id="106" w:name="_Toc217446074"/>
      <w:bookmarkStart w:id="107" w:name="_Toc183582243"/>
      <w:bookmarkStart w:id="108" w:name="_Toc183682380"/>
      <w:r>
        <w:rPr>
          <w:rFonts w:hint="eastAsia" w:ascii="宋体" w:hAnsi="宋体"/>
          <w:color w:val="auto"/>
          <w:sz w:val="28"/>
          <w:szCs w:val="28"/>
          <w:highlight w:val="none"/>
        </w:rPr>
        <w:t>采购人严格按照国家相关法律法规的要求组织验收或考核。</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资金支付</w:t>
      </w:r>
    </w:p>
    <w:p>
      <w:pPr>
        <w:shd w:val="clear" w:color="auto" w:fill="FFFFFF"/>
        <w:spacing w:line="360" w:lineRule="auto"/>
        <w:ind w:firstLine="570"/>
        <w:rPr>
          <w:rFonts w:ascii="宋体" w:hAnsi="宋体" w:cs="Helvetica"/>
          <w:color w:val="auto"/>
          <w:sz w:val="28"/>
          <w:szCs w:val="28"/>
          <w:highlight w:val="none"/>
        </w:rPr>
      </w:pPr>
      <w:r>
        <w:rPr>
          <w:rFonts w:hint="eastAsia" w:ascii="宋体" w:hAnsi="宋体" w:cs="Helvetica"/>
          <w:color w:val="auto"/>
          <w:sz w:val="28"/>
          <w:szCs w:val="28"/>
          <w:highlight w:val="none"/>
        </w:rPr>
        <w:t>采购人按财政部门的相关规定及采购合同的约定进行支付。</w:t>
      </w:r>
    </w:p>
    <w:p>
      <w:pPr>
        <w:keepNext/>
        <w:keepLines/>
        <w:numPr>
          <w:ilvl w:val="1"/>
          <w:numId w:val="5"/>
        </w:numPr>
        <w:spacing w:line="360" w:lineRule="auto"/>
        <w:jc w:val="left"/>
        <w:outlineLvl w:val="1"/>
        <w:rPr>
          <w:rFonts w:ascii="宋体" w:hAnsi="宋体"/>
          <w:b/>
          <w:bCs/>
          <w:color w:val="auto"/>
          <w:sz w:val="28"/>
          <w:szCs w:val="28"/>
          <w:highlight w:val="none"/>
        </w:rPr>
      </w:pPr>
      <w:bookmarkStart w:id="109" w:name="_Toc32435"/>
      <w:bookmarkStart w:id="110" w:name="_Toc29155"/>
      <w:r>
        <w:rPr>
          <w:rFonts w:hint="eastAsia" w:ascii="宋体" w:hAnsi="宋体"/>
          <w:b/>
          <w:bCs/>
          <w:color w:val="auto"/>
          <w:sz w:val="28"/>
          <w:szCs w:val="28"/>
          <w:highlight w:val="none"/>
        </w:rPr>
        <w:t>投标纪律要求</w:t>
      </w:r>
      <w:bookmarkEnd w:id="106"/>
      <w:bookmarkEnd w:id="109"/>
      <w:bookmarkEnd w:id="110"/>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11" w:name="_Toc217446075"/>
      <w:r>
        <w:rPr>
          <w:rFonts w:hint="eastAsia" w:ascii="宋体" w:hAnsi="宋体"/>
          <w:b/>
          <w:bCs/>
          <w:color w:val="auto"/>
          <w:sz w:val="28"/>
          <w:szCs w:val="28"/>
          <w:highlight w:val="none"/>
        </w:rPr>
        <w:t>投标人不得具有的情形</w:t>
      </w:r>
      <w:bookmarkEnd w:id="111"/>
    </w:p>
    <w:p>
      <w:pPr>
        <w:spacing w:after="180" w:line="360" w:lineRule="auto"/>
        <w:ind w:firstLine="567"/>
        <w:rPr>
          <w:rFonts w:ascii="宋体" w:hAnsi="宋体"/>
          <w:color w:val="auto"/>
          <w:sz w:val="28"/>
          <w:szCs w:val="28"/>
          <w:highlight w:val="none"/>
        </w:rPr>
      </w:pPr>
      <w:r>
        <w:rPr>
          <w:rFonts w:hint="eastAsia" w:ascii="宋体" w:hAnsi="宋体"/>
          <w:color w:val="auto"/>
          <w:sz w:val="28"/>
          <w:szCs w:val="28"/>
          <w:highlight w:val="none"/>
        </w:rPr>
        <w:t>投标人参加投标不得有下列情形：</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有下列情形之一的，视为投标人串通投标：</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（一）不同投标人的投标文件由同一单位或者个人编制；</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（二）不同投标人委托同一单位或者个人办理投标事宜；</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（三）不同投标人的投标文件载明的项目管理成员或者联系人员为同一人；</w:t>
      </w:r>
    </w:p>
    <w:p>
      <w:pPr>
        <w:tabs>
          <w:tab w:val="left" w:pos="1134"/>
        </w:tabs>
        <w:spacing w:line="360" w:lineRule="auto"/>
        <w:ind w:firstLine="420" w:firstLineChars="150"/>
        <w:rPr>
          <w:rFonts w:ascii="宋体" w:hAnsi="宋体"/>
          <w:color w:val="auto"/>
          <w:sz w:val="28"/>
          <w:szCs w:val="28"/>
          <w:highlight w:val="none"/>
        </w:rPr>
      </w:pPr>
      <w:r>
        <w:rPr>
          <w:rFonts w:hint="eastAsia" w:ascii="宋体" w:hAnsi="宋体"/>
          <w:color w:val="auto"/>
          <w:sz w:val="28"/>
          <w:szCs w:val="28"/>
          <w:highlight w:val="none"/>
        </w:rPr>
        <w:t>（四）不同投标人的投标文件异常一致或者投标报价呈规律性差异；</w:t>
      </w:r>
    </w:p>
    <w:p>
      <w:pPr>
        <w:tabs>
          <w:tab w:val="left" w:pos="1134"/>
        </w:tabs>
        <w:spacing w:line="360" w:lineRule="auto"/>
        <w:ind w:firstLine="420" w:firstLineChars="150"/>
        <w:rPr>
          <w:rFonts w:ascii="宋体" w:hAnsi="宋体"/>
          <w:color w:val="auto"/>
          <w:sz w:val="28"/>
          <w:szCs w:val="28"/>
          <w:highlight w:val="none"/>
        </w:rPr>
      </w:pPr>
      <w:r>
        <w:rPr>
          <w:rFonts w:hint="eastAsia" w:ascii="宋体" w:hAnsi="宋体"/>
          <w:color w:val="auto"/>
          <w:sz w:val="28"/>
          <w:szCs w:val="28"/>
          <w:highlight w:val="none"/>
        </w:rPr>
        <w:t>（五）不同投标人的投标文件相互混装；</w:t>
      </w:r>
    </w:p>
    <w:p>
      <w:pPr>
        <w:tabs>
          <w:tab w:val="left" w:pos="1134"/>
        </w:tabs>
        <w:spacing w:line="360" w:lineRule="auto"/>
        <w:ind w:left="420"/>
        <w:rPr>
          <w:rFonts w:ascii="宋体" w:hAnsi="宋体"/>
          <w:color w:val="auto"/>
          <w:sz w:val="28"/>
          <w:szCs w:val="28"/>
          <w:highlight w:val="none"/>
        </w:rPr>
      </w:pPr>
      <w:r>
        <w:rPr>
          <w:rFonts w:hint="eastAsia" w:ascii="宋体" w:hAnsi="宋体"/>
          <w:color w:val="auto"/>
          <w:sz w:val="28"/>
          <w:szCs w:val="28"/>
          <w:highlight w:val="none"/>
        </w:rPr>
        <w:t>（六）不同投标人的投标保证金从同一单位或者个人的账户转出；</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提供虚假材料谋取中标；</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采取不正当手段诋毁、排挤其他投标人；</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与采购人或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、其他投标人恶意串通；</w:t>
      </w:r>
    </w:p>
    <w:p>
      <w:pPr>
        <w:numPr>
          <w:ilvl w:val="1"/>
          <w:numId w:val="29"/>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、评标委员会成员行贿或者提供其他不正当利益；</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在招标过程中与采购人或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进行协商谈判；</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中标后无正当理由拒不与采购人签订政府采购合同；</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未按照采购文件确定的事项签订政府采购合同；</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将政府采购合同转包或者违规分包；</w:t>
      </w:r>
    </w:p>
    <w:p>
      <w:pPr>
        <w:numPr>
          <w:ilvl w:val="1"/>
          <w:numId w:val="29"/>
        </w:numPr>
        <w:tabs>
          <w:tab w:val="left" w:pos="1134"/>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提供假冒伪劣产品；</w:t>
      </w:r>
    </w:p>
    <w:p>
      <w:pPr>
        <w:numPr>
          <w:ilvl w:val="1"/>
          <w:numId w:val="29"/>
        </w:numPr>
        <w:tabs>
          <w:tab w:val="left" w:pos="1134"/>
          <w:tab w:val="left" w:pos="1418"/>
        </w:tabs>
        <w:spacing w:line="360" w:lineRule="auto"/>
        <w:ind w:left="420" w:firstLine="147"/>
        <w:rPr>
          <w:rFonts w:ascii="宋体" w:hAnsi="宋体"/>
          <w:color w:val="auto"/>
          <w:sz w:val="28"/>
          <w:szCs w:val="28"/>
          <w:highlight w:val="none"/>
        </w:rPr>
      </w:pPr>
      <w:r>
        <w:rPr>
          <w:rFonts w:hint="eastAsia" w:ascii="宋体" w:hAnsi="宋体"/>
          <w:color w:val="auto"/>
          <w:sz w:val="28"/>
          <w:szCs w:val="28"/>
          <w:highlight w:val="none"/>
        </w:rPr>
        <w:t>擅自变更、中止或者终止政府采购合同；</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十二、被列入失信被执行人、重大税收违法案件当事人名单、政府采购严重违法失信行为记录名单。参加政府采购活动前三年内，在经营活动中有重大违法记录；</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十三、在行贿犯罪信息查询期限内，根据中国裁判文书网（https://wenshu.court.gov.cn）查询结果供应商及其现任法定代表人、主要负责人有行贿犯罪记录；</w:t>
      </w:r>
    </w:p>
    <w:p>
      <w:pPr>
        <w:tabs>
          <w:tab w:val="left" w:pos="1134"/>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十四、处于被行政部门禁止参与政府采购活动的期限内；</w:t>
      </w:r>
    </w:p>
    <w:p>
      <w:pPr>
        <w:tabs>
          <w:tab w:val="left" w:pos="1134"/>
        </w:tabs>
        <w:spacing w:line="360" w:lineRule="auto"/>
        <w:ind w:left="567"/>
        <w:rPr>
          <w:rFonts w:ascii="宋体" w:hAnsi="宋体"/>
          <w:color w:val="auto"/>
          <w:sz w:val="28"/>
          <w:szCs w:val="28"/>
          <w:highlight w:val="none"/>
        </w:rPr>
      </w:pPr>
      <w:r>
        <w:rPr>
          <w:rFonts w:hint="eastAsia" w:ascii="宋体" w:hAnsi="宋体"/>
          <w:color w:val="auto"/>
          <w:sz w:val="28"/>
          <w:szCs w:val="28"/>
          <w:highlight w:val="none"/>
        </w:rPr>
        <w:t>十五、拒绝有关部门的监督检查或者向监督检查部门提供虚假情况；</w:t>
      </w:r>
    </w:p>
    <w:p>
      <w:pPr>
        <w:spacing w:after="180"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十六、法律法规规定的其他情形。</w:t>
      </w:r>
    </w:p>
    <w:p>
      <w:pPr>
        <w:spacing w:after="180"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投标人有上述情形的，按照规定追究法律责任，具备一至十四条情形之一的，同时将认定投标人投标无效或不确定其为中标人，或者取消中标资格或认定中标无效。</w:t>
      </w:r>
    </w:p>
    <w:p>
      <w:pPr>
        <w:keepNext/>
        <w:keepLines/>
        <w:numPr>
          <w:ilvl w:val="2"/>
          <w:numId w:val="5"/>
        </w:numPr>
        <w:spacing w:line="360" w:lineRule="auto"/>
        <w:ind w:left="0" w:firstLine="0"/>
        <w:outlineLvl w:val="2"/>
        <w:rPr>
          <w:rFonts w:ascii="宋体" w:hAnsi="宋体"/>
          <w:b/>
          <w:bCs/>
          <w:color w:val="auto"/>
          <w:sz w:val="28"/>
          <w:szCs w:val="28"/>
          <w:highlight w:val="none"/>
        </w:rPr>
      </w:pPr>
      <w:bookmarkStart w:id="112" w:name="_Toc314574786"/>
      <w:r>
        <w:rPr>
          <w:rFonts w:hint="eastAsia" w:ascii="宋体" w:hAnsi="宋体"/>
          <w:b/>
          <w:bCs/>
          <w:color w:val="auto"/>
          <w:sz w:val="28"/>
          <w:szCs w:val="28"/>
          <w:highlight w:val="none"/>
        </w:rPr>
        <w:t>保密</w:t>
      </w:r>
      <w:bookmarkEnd w:id="112"/>
    </w:p>
    <w:p>
      <w:pPr>
        <w:numPr>
          <w:ilvl w:val="0"/>
          <w:numId w:val="30"/>
        </w:numPr>
        <w:tabs>
          <w:tab w:val="left" w:pos="0"/>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不得透露有关在系统中成功提交《采购文件获取登记表》的潜在投标人的任何情况。</w:t>
      </w:r>
    </w:p>
    <w:p>
      <w:pPr>
        <w:numPr>
          <w:ilvl w:val="0"/>
          <w:numId w:val="30"/>
        </w:numPr>
        <w:tabs>
          <w:tab w:val="left" w:pos="0"/>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有关投标文件的审查、澄清、评估和比较以及合同授予意向等情况都不得对外透露。</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回避</w:t>
      </w:r>
    </w:p>
    <w:p>
      <w:pPr>
        <w:shd w:val="clear" w:color="auto" w:fill="FFFFFF"/>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在政府采购活动中，采购人员</w:t>
      </w:r>
      <w:r>
        <w:rPr>
          <w:rFonts w:hint="eastAsia" w:cs="Helvetica"/>
          <w:color w:val="auto"/>
          <w:sz w:val="28"/>
          <w:szCs w:val="28"/>
          <w:highlight w:val="none"/>
        </w:rPr>
        <w:t>（如</w:t>
      </w:r>
      <w:r>
        <w:rPr>
          <w:rFonts w:hint="eastAsia"/>
          <w:color w:val="auto"/>
          <w:sz w:val="28"/>
          <w:szCs w:val="28"/>
          <w:highlight w:val="none"/>
        </w:rPr>
        <w:t>采购人内部负责采购项目的具体经办工作人员或直接分管采购项目的负责人、</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color w:val="auto"/>
          <w:sz w:val="28"/>
          <w:szCs w:val="28"/>
          <w:highlight w:val="none"/>
        </w:rPr>
        <w:t>负责采购项目的具体经办工作人员或直接分管采购活动的负责人等</w:t>
      </w:r>
      <w:r>
        <w:rPr>
          <w:rFonts w:hint="eastAsia" w:cs="Helvetica"/>
          <w:color w:val="auto"/>
          <w:sz w:val="28"/>
          <w:szCs w:val="28"/>
          <w:highlight w:val="none"/>
        </w:rPr>
        <w:t>）</w:t>
      </w:r>
      <w:r>
        <w:rPr>
          <w:rFonts w:hint="eastAsia" w:ascii="宋体" w:hAnsi="宋体" w:cs="Helvetica"/>
          <w:color w:val="auto"/>
          <w:sz w:val="28"/>
          <w:szCs w:val="28"/>
          <w:highlight w:val="none"/>
        </w:rPr>
        <w:t>及相关人员与</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有下列利害关系之一的，应当回避：</w:t>
      </w:r>
    </w:p>
    <w:p>
      <w:pPr>
        <w:shd w:val="clear" w:color="auto" w:fill="FFFFFF"/>
        <w:spacing w:line="360" w:lineRule="auto"/>
        <w:ind w:left="708" w:hanging="708" w:hangingChars="253"/>
        <w:rPr>
          <w:rFonts w:ascii="宋体" w:hAnsi="宋体" w:cs="Helvetica"/>
          <w:color w:val="auto"/>
          <w:sz w:val="28"/>
          <w:szCs w:val="28"/>
          <w:highlight w:val="none"/>
        </w:rPr>
      </w:pPr>
      <w:r>
        <w:rPr>
          <w:rFonts w:hint="eastAsia" w:ascii="宋体" w:hAnsi="宋体" w:cs="Helvetica"/>
          <w:color w:val="auto"/>
          <w:sz w:val="28"/>
          <w:szCs w:val="28"/>
          <w:highlight w:val="none"/>
        </w:rPr>
        <w:t>　　（一）参加采购活动前3年内与</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存在劳动关系；</w:t>
      </w:r>
    </w:p>
    <w:p>
      <w:pPr>
        <w:shd w:val="clear" w:color="auto" w:fill="FFFFFF"/>
        <w:spacing w:line="360" w:lineRule="auto"/>
        <w:rPr>
          <w:rFonts w:ascii="宋体" w:hAnsi="宋体" w:cs="Helvetica"/>
          <w:color w:val="auto"/>
          <w:sz w:val="28"/>
          <w:szCs w:val="28"/>
          <w:highlight w:val="none"/>
        </w:rPr>
      </w:pPr>
      <w:r>
        <w:rPr>
          <w:rFonts w:hint="eastAsia" w:ascii="宋体" w:hAnsi="宋体" w:cs="Helvetica"/>
          <w:color w:val="auto"/>
          <w:sz w:val="28"/>
          <w:szCs w:val="28"/>
          <w:highlight w:val="none"/>
        </w:rPr>
        <w:t>　　（二）参加采购活动前3年内担任</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的董事、监事；</w:t>
      </w:r>
    </w:p>
    <w:p>
      <w:pPr>
        <w:shd w:val="clear" w:color="auto" w:fill="FFFFFF"/>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（三）参加采购活动前3年内是</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的控股股东或者实际控制人；</w:t>
      </w:r>
    </w:p>
    <w:p>
      <w:pPr>
        <w:shd w:val="clear" w:color="auto" w:fill="FFFFFF"/>
        <w:spacing w:line="360" w:lineRule="auto"/>
        <w:ind w:firstLine="570"/>
        <w:rPr>
          <w:rFonts w:ascii="宋体" w:hAnsi="宋体" w:cs="Helvetica"/>
          <w:color w:val="auto"/>
          <w:sz w:val="28"/>
          <w:szCs w:val="28"/>
          <w:highlight w:val="none"/>
        </w:rPr>
      </w:pPr>
      <w:r>
        <w:rPr>
          <w:rFonts w:hint="eastAsia" w:ascii="宋体" w:hAnsi="宋体" w:cs="Helvetica"/>
          <w:color w:val="auto"/>
          <w:sz w:val="28"/>
          <w:szCs w:val="28"/>
          <w:highlight w:val="none"/>
        </w:rPr>
        <w:t>（四）与</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的法定代表人或者负责人有夫妻、直系血亲、三代以内旁系血亲或者近姻亲关系；</w:t>
      </w:r>
    </w:p>
    <w:p>
      <w:pPr>
        <w:shd w:val="clear" w:color="auto" w:fill="FFFFFF"/>
        <w:spacing w:line="360" w:lineRule="auto"/>
        <w:ind w:firstLine="570"/>
        <w:rPr>
          <w:rFonts w:ascii="宋体" w:hAnsi="宋体" w:cs="Helvetica"/>
          <w:color w:val="auto"/>
          <w:sz w:val="28"/>
          <w:szCs w:val="28"/>
          <w:highlight w:val="none"/>
        </w:rPr>
      </w:pPr>
      <w:r>
        <w:rPr>
          <w:rFonts w:hint="eastAsia" w:ascii="宋体" w:hAnsi="宋体" w:cs="Helvetica"/>
          <w:color w:val="auto"/>
          <w:sz w:val="28"/>
          <w:szCs w:val="28"/>
          <w:highlight w:val="none"/>
        </w:rPr>
        <w:t>（五）与</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有其他可能影响政府采购活动公平、公正进行的关系。</w:t>
      </w:r>
    </w:p>
    <w:p>
      <w:pPr>
        <w:shd w:val="clear" w:color="auto" w:fill="FFFFFF"/>
        <w:spacing w:line="360" w:lineRule="auto"/>
        <w:ind w:firstLine="570"/>
        <w:rPr>
          <w:rFonts w:ascii="宋体" w:hAnsi="宋体" w:cs="Helvetica"/>
          <w:color w:val="auto"/>
          <w:sz w:val="28"/>
          <w:szCs w:val="28"/>
          <w:highlight w:val="none"/>
        </w:rPr>
      </w:pPr>
      <w:r>
        <w:rPr>
          <w:rFonts w:hint="eastAsia" w:ascii="宋体" w:hAnsi="宋体"/>
          <w:color w:val="auto"/>
          <w:sz w:val="28"/>
          <w:szCs w:val="28"/>
          <w:highlight w:val="none"/>
        </w:rPr>
        <w:t>供应商</w:t>
      </w:r>
      <w:r>
        <w:rPr>
          <w:rFonts w:hint="eastAsia" w:ascii="宋体" w:hAnsi="宋体" w:cs="Helvetica"/>
          <w:color w:val="auto"/>
          <w:sz w:val="28"/>
          <w:szCs w:val="28"/>
          <w:highlight w:val="none"/>
        </w:rPr>
        <w:t>认为采购人员及相关人员与其他</w:t>
      </w:r>
      <w:r>
        <w:rPr>
          <w:rFonts w:hint="eastAsia" w:ascii="宋体" w:hAnsi="宋体"/>
          <w:color w:val="auto"/>
          <w:sz w:val="28"/>
          <w:szCs w:val="28"/>
          <w:highlight w:val="none"/>
        </w:rPr>
        <w:t>供应商</w:t>
      </w:r>
      <w:r>
        <w:rPr>
          <w:rFonts w:hint="eastAsia" w:ascii="宋体" w:hAnsi="宋体" w:cs="Helvetica"/>
          <w:color w:val="auto"/>
          <w:sz w:val="28"/>
          <w:szCs w:val="28"/>
          <w:highlight w:val="none"/>
        </w:rPr>
        <w:t>有利害关系的，可以向采购人或者</w:t>
      </w:r>
      <w:r>
        <w:rPr>
          <w:rFonts w:hint="eastAsia" w:ascii="宋体" w:hAnsi="宋体" w:cs="Arial"/>
          <w:color w:val="auto"/>
          <w:sz w:val="28"/>
          <w:szCs w:val="28"/>
          <w:highlight w:val="none"/>
        </w:rPr>
        <w:t>采购代理机构</w:t>
      </w:r>
      <w:r>
        <w:rPr>
          <w:rFonts w:hint="eastAsia" w:ascii="宋体" w:hAnsi="宋体" w:cs="Helvetica"/>
          <w:color w:val="auto"/>
          <w:sz w:val="28"/>
          <w:szCs w:val="28"/>
          <w:highlight w:val="none"/>
        </w:rPr>
        <w:t>书面提出回避申请，并说明理由。采购人或者</w:t>
      </w:r>
      <w:r>
        <w:rPr>
          <w:rFonts w:hint="eastAsia" w:ascii="宋体" w:hAnsi="宋体" w:cs="Arial"/>
          <w:color w:val="auto"/>
          <w:sz w:val="28"/>
          <w:szCs w:val="28"/>
          <w:highlight w:val="none"/>
        </w:rPr>
        <w:t>采购代理机构</w:t>
      </w:r>
      <w:r>
        <w:rPr>
          <w:rFonts w:hint="eastAsia" w:ascii="宋体" w:hAnsi="宋体" w:cs="Helvetica"/>
          <w:color w:val="auto"/>
          <w:sz w:val="28"/>
          <w:szCs w:val="28"/>
          <w:highlight w:val="none"/>
        </w:rPr>
        <w:t>应当及时询问被申请回避人员，有利害关系的被申请回避人员应当回避。</w:t>
      </w:r>
    </w:p>
    <w:p>
      <w:pPr>
        <w:keepNext/>
        <w:keepLines/>
        <w:numPr>
          <w:ilvl w:val="1"/>
          <w:numId w:val="5"/>
        </w:numPr>
        <w:spacing w:line="360" w:lineRule="auto"/>
        <w:jc w:val="left"/>
        <w:outlineLvl w:val="1"/>
        <w:rPr>
          <w:rFonts w:ascii="宋体" w:hAnsi="宋体"/>
          <w:b/>
          <w:bCs/>
          <w:color w:val="auto"/>
          <w:sz w:val="28"/>
          <w:szCs w:val="28"/>
          <w:highlight w:val="none"/>
        </w:rPr>
      </w:pPr>
      <w:bookmarkStart w:id="113" w:name="_Toc217446078"/>
      <w:bookmarkStart w:id="114" w:name="_Toc26482"/>
      <w:bookmarkStart w:id="115" w:name="_Toc18055"/>
      <w:r>
        <w:rPr>
          <w:rFonts w:hint="eastAsia" w:ascii="宋体" w:hAnsi="宋体"/>
          <w:b/>
          <w:bCs/>
          <w:color w:val="auto"/>
          <w:sz w:val="28"/>
          <w:szCs w:val="28"/>
          <w:highlight w:val="none"/>
        </w:rPr>
        <w:t>询问、质疑和投诉</w:t>
      </w:r>
      <w:bookmarkEnd w:id="113"/>
      <w:bookmarkEnd w:id="114"/>
      <w:bookmarkEnd w:id="115"/>
      <w:bookmarkStart w:id="116" w:name="_Toc217446079"/>
    </w:p>
    <w:bookmarkEnd w:id="107"/>
    <w:bookmarkEnd w:id="108"/>
    <w:bookmarkEnd w:id="116"/>
    <w:p>
      <w:pPr>
        <w:numPr>
          <w:ilvl w:val="0"/>
          <w:numId w:val="31"/>
        </w:numPr>
        <w:spacing w:line="500" w:lineRule="exact"/>
        <w:ind w:left="0" w:firstLine="567"/>
        <w:jc w:val="left"/>
        <w:rPr>
          <w:color w:val="auto"/>
          <w:sz w:val="28"/>
          <w:szCs w:val="28"/>
          <w:highlight w:val="none"/>
        </w:rPr>
      </w:pPr>
      <w:r>
        <w:rPr>
          <w:rFonts w:hint="eastAsia"/>
          <w:color w:val="auto"/>
          <w:sz w:val="28"/>
          <w:szCs w:val="28"/>
          <w:highlight w:val="none"/>
        </w:rPr>
        <w:t>询问、质疑、投诉的接收和处理严格按照《中华人民共和国政府采购法》、《中华人民共和国政府采购法实施条例》《中华人民共和国财政部货物和服务招投标管理办法》（财政部第</w:t>
      </w:r>
      <w:r>
        <w:rPr>
          <w:color w:val="auto"/>
          <w:sz w:val="28"/>
          <w:szCs w:val="28"/>
          <w:highlight w:val="none"/>
        </w:rPr>
        <w:t>87</w:t>
      </w:r>
      <w:r>
        <w:rPr>
          <w:rFonts w:hint="eastAsia"/>
          <w:color w:val="auto"/>
          <w:sz w:val="28"/>
          <w:szCs w:val="28"/>
          <w:highlight w:val="none"/>
        </w:rPr>
        <w:t>号令）和《政府采购质疑和投诉办法》（财政部</w:t>
      </w:r>
      <w:r>
        <w:rPr>
          <w:color w:val="auto"/>
          <w:sz w:val="28"/>
          <w:szCs w:val="28"/>
          <w:highlight w:val="none"/>
        </w:rPr>
        <w:t>94</w:t>
      </w:r>
      <w:r>
        <w:rPr>
          <w:rFonts w:hint="eastAsia"/>
          <w:color w:val="auto"/>
          <w:sz w:val="28"/>
          <w:szCs w:val="28"/>
          <w:highlight w:val="none"/>
        </w:rPr>
        <w:t>号令）的规定办理。</w:t>
      </w:r>
    </w:p>
    <w:p>
      <w:pPr>
        <w:numPr>
          <w:ilvl w:val="0"/>
          <w:numId w:val="31"/>
        </w:numPr>
        <w:spacing w:line="500" w:lineRule="exact"/>
        <w:ind w:left="0" w:firstLine="567"/>
        <w:jc w:val="left"/>
        <w:rPr>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询问、质疑的对象</w:t>
      </w:r>
    </w:p>
    <w:p>
      <w:pPr>
        <w:numPr>
          <w:ilvl w:val="1"/>
          <w:numId w:val="32"/>
        </w:numPr>
        <w:tabs>
          <w:tab w:val="left" w:pos="0"/>
          <w:tab w:val="left" w:pos="1276"/>
        </w:tabs>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w:t>
      </w:r>
      <w:r>
        <w:rPr>
          <w:rFonts w:hint="eastAsia" w:ascii="宋体" w:hAnsi="宋体"/>
          <w:color w:val="auto"/>
          <w:sz w:val="28"/>
          <w:szCs w:val="28"/>
          <w:highlight w:val="none"/>
        </w:rPr>
        <w:t>对招标文件中</w:t>
      </w:r>
      <w:r>
        <w:rPr>
          <w:rFonts w:hint="eastAsia"/>
          <w:color w:val="auto"/>
          <w:sz w:val="28"/>
          <w:szCs w:val="28"/>
          <w:highlight w:val="none"/>
        </w:rPr>
        <w:t>供应商</w:t>
      </w:r>
      <w:r>
        <w:rPr>
          <w:rFonts w:hint="eastAsia" w:ascii="宋体" w:hAnsi="宋体"/>
          <w:color w:val="auto"/>
          <w:sz w:val="28"/>
          <w:szCs w:val="28"/>
          <w:highlight w:val="none"/>
        </w:rPr>
        <w:t>参加本次政府采购活动应当具备的条件，招标项目技术、服务、商务及其他要求，评标细则及标准，和中标结果中关于资格审查提出询问或质疑的，应通过</w:t>
      </w:r>
      <w:r>
        <w:rPr>
          <w:rFonts w:hint="eastAsia"/>
          <w:color w:val="auto"/>
          <w:sz w:val="28"/>
          <w:szCs w:val="28"/>
          <w:highlight w:val="none"/>
        </w:rPr>
        <w:t>“政府采购云平台”</w:t>
      </w:r>
      <w:r>
        <w:rPr>
          <w:rFonts w:hint="eastAsia" w:ascii="宋体" w:hAnsi="宋体"/>
          <w:color w:val="auto"/>
          <w:sz w:val="28"/>
          <w:szCs w:val="28"/>
          <w:highlight w:val="none"/>
        </w:rPr>
        <w:t>向采购人提出；</w:t>
      </w:r>
    </w:p>
    <w:p>
      <w:pPr>
        <w:numPr>
          <w:ilvl w:val="1"/>
          <w:numId w:val="32"/>
        </w:numPr>
        <w:spacing w:after="120" w:line="500" w:lineRule="exact"/>
        <w:ind w:left="0" w:firstLine="567"/>
        <w:rPr>
          <w:rFonts w:ascii="宋体" w:hAnsi="宋体"/>
          <w:color w:val="auto"/>
          <w:sz w:val="28"/>
          <w:szCs w:val="28"/>
          <w:highlight w:val="none"/>
        </w:rPr>
      </w:pPr>
      <w:r>
        <w:rPr>
          <w:rFonts w:hint="eastAsia"/>
          <w:color w:val="auto"/>
          <w:sz w:val="28"/>
          <w:szCs w:val="28"/>
          <w:highlight w:val="none"/>
        </w:rPr>
        <w:t>供应商对除上述招标文件中的其他内容，采购过程及中标结果（除资格审查）提出询问或质疑的，应通过“政府采购云平台”向</w:t>
      </w:r>
      <w:r>
        <w:rPr>
          <w:rFonts w:hint="eastAsia"/>
          <w:color w:val="auto"/>
          <w:sz w:val="28"/>
          <w:szCs w:val="28"/>
          <w:highlight w:val="none"/>
          <w:lang w:eastAsia="zh-CN"/>
        </w:rPr>
        <w:t>区</w:t>
      </w:r>
      <w:r>
        <w:rPr>
          <w:rFonts w:hint="eastAsia"/>
          <w:color w:val="auto"/>
          <w:sz w:val="28"/>
          <w:szCs w:val="28"/>
          <w:highlight w:val="none"/>
        </w:rPr>
        <w:t>公资交易中心提出</w:t>
      </w:r>
      <w:r>
        <w:rPr>
          <w:rFonts w:hint="eastAsia" w:ascii="宋体" w:hAnsi="宋体"/>
          <w:color w:val="auto"/>
          <w:sz w:val="28"/>
          <w:szCs w:val="28"/>
          <w:highlight w:val="none"/>
        </w:rPr>
        <w:t>。</w:t>
      </w:r>
    </w:p>
    <w:p>
      <w:pPr>
        <w:numPr>
          <w:ilvl w:val="0"/>
          <w:numId w:val="31"/>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供应商提出的询问，应当明确询问事项，如以书面形式提出的，应由供应商签字并加盖公章。</w:t>
      </w:r>
    </w:p>
    <w:p>
      <w:pPr>
        <w:numPr>
          <w:ilvl w:val="0"/>
          <w:numId w:val="31"/>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供应商应在法定质疑期内一次性提出针对同一采购程序环节的质疑。</w:t>
      </w:r>
    </w:p>
    <w:p>
      <w:pPr>
        <w:numPr>
          <w:ilvl w:val="0"/>
          <w:numId w:val="31"/>
        </w:numPr>
        <w:tabs>
          <w:tab w:val="left" w:pos="1134"/>
        </w:tabs>
        <w:spacing w:after="120"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供应商提出质疑时应当准备的资料</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（一）质疑书正本1份；</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（二）法定代表人授权委托书1份（委托代理人办理质疑事宜的需提供）；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（三）营业执照或法人证书复印件1份（加盖公章）；</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（四）法定代表人身份证复印件1份；</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（五）委托代理人身份证复印件1份（委托代理人办理质疑事宜的需提供）；</w:t>
      </w:r>
    </w:p>
    <w:p>
      <w:pPr>
        <w:pStyle w:val="39"/>
        <w:shd w:val="clear" w:color="auto" w:fill="FFFFFF"/>
        <w:spacing w:before="0" w:beforeAutospacing="0" w:after="0" w:afterAutospacing="0" w:line="276" w:lineRule="auto"/>
        <w:ind w:firstLine="560" w:firstLineChars="200"/>
        <w:rPr>
          <w:rFonts w:cs="Helvetica"/>
          <w:color w:val="auto"/>
          <w:sz w:val="28"/>
          <w:szCs w:val="28"/>
          <w:highlight w:val="none"/>
        </w:rPr>
      </w:pPr>
      <w:r>
        <w:rPr>
          <w:rFonts w:hint="eastAsia" w:cs="Helvetica"/>
          <w:color w:val="auto"/>
          <w:sz w:val="28"/>
          <w:szCs w:val="28"/>
          <w:highlight w:val="none"/>
        </w:rPr>
        <w:t>（六）针对质疑事项必要的证明材料。</w:t>
      </w:r>
    </w:p>
    <w:p>
      <w:pPr>
        <w:numPr>
          <w:ilvl w:val="0"/>
          <w:numId w:val="31"/>
        </w:numPr>
        <w:tabs>
          <w:tab w:val="left" w:pos="1134"/>
        </w:tabs>
        <w:spacing w:line="500" w:lineRule="exact"/>
        <w:ind w:left="0" w:firstLine="567"/>
        <w:rPr>
          <w:rFonts w:ascii="宋体" w:hAnsi="宋体"/>
          <w:color w:val="auto"/>
          <w:sz w:val="28"/>
          <w:szCs w:val="28"/>
          <w:highlight w:val="none"/>
        </w:rPr>
      </w:pPr>
      <w:r>
        <w:rPr>
          <w:rFonts w:hint="eastAsia" w:ascii="宋体" w:hAnsi="宋体"/>
          <w:color w:val="auto"/>
          <w:sz w:val="28"/>
          <w:szCs w:val="28"/>
          <w:highlight w:val="none"/>
        </w:rPr>
        <w:t>供应商对采购人</w:t>
      </w:r>
      <w:r>
        <w:rPr>
          <w:rFonts w:ascii="宋体" w:hAnsi="宋体"/>
          <w:color w:val="auto"/>
          <w:sz w:val="28"/>
          <w:szCs w:val="28"/>
          <w:highlight w:val="none"/>
        </w:rPr>
        <w:t>或</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公资交易中心的质疑答复不满意，或者采购人</w:t>
      </w:r>
      <w:r>
        <w:rPr>
          <w:rFonts w:ascii="宋体" w:hAnsi="宋体"/>
          <w:color w:val="auto"/>
          <w:sz w:val="28"/>
          <w:szCs w:val="28"/>
          <w:highlight w:val="none"/>
        </w:rPr>
        <w:t>或</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公资交易中心未在规定期限内作出答复的，供应商可以在答复期满后15个工作日内向同级财政部门提起投诉。</w:t>
      </w:r>
    </w:p>
    <w:p>
      <w:pPr>
        <w:keepNext/>
        <w:keepLines/>
        <w:numPr>
          <w:ilvl w:val="1"/>
          <w:numId w:val="5"/>
        </w:numPr>
        <w:spacing w:before="260" w:line="360" w:lineRule="auto"/>
        <w:jc w:val="left"/>
        <w:outlineLvl w:val="1"/>
        <w:rPr>
          <w:rFonts w:ascii="宋体" w:hAnsi="宋体"/>
          <w:b/>
          <w:bCs/>
          <w:color w:val="auto"/>
          <w:sz w:val="28"/>
          <w:szCs w:val="28"/>
          <w:highlight w:val="none"/>
        </w:rPr>
      </w:pPr>
      <w:bookmarkStart w:id="117" w:name="_Toc16450"/>
      <w:bookmarkStart w:id="118" w:name="_Toc2833"/>
      <w:r>
        <w:rPr>
          <w:rFonts w:hint="eastAsia" w:ascii="宋体" w:hAnsi="宋体"/>
          <w:b/>
          <w:bCs/>
          <w:color w:val="auto"/>
          <w:sz w:val="28"/>
          <w:szCs w:val="28"/>
          <w:highlight w:val="none"/>
        </w:rPr>
        <w:t>中小企业政府采购信用融资</w:t>
      </w:r>
      <w:bookmarkEnd w:id="117"/>
      <w:bookmarkEnd w:id="118"/>
    </w:p>
    <w:p>
      <w:pPr>
        <w:numPr>
          <w:ilvl w:val="0"/>
          <w:numId w:val="0"/>
        </w:numPr>
        <w:tabs>
          <w:tab w:val="left" w:pos="1134"/>
        </w:tabs>
        <w:spacing w:line="500" w:lineRule="exact"/>
        <w:ind w:left="567" w:leftChars="0"/>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参加本次采购活动成交的中小企业无需提供财产抵押或第三方担保，</w:t>
      </w:r>
    </w:p>
    <w:p>
      <w:pPr>
        <w:numPr>
          <w:ilvl w:val="0"/>
          <w:numId w:val="0"/>
        </w:numPr>
        <w:tabs>
          <w:tab w:val="left" w:pos="1134"/>
        </w:tabs>
        <w:spacing w:line="500" w:lineRule="exact"/>
        <w:rPr>
          <w:rFonts w:hint="eastAsia" w:ascii="宋体" w:hAnsi="宋体" w:eastAsia="宋体" w:cs="Times New Roman"/>
          <w:color w:val="auto"/>
          <w:sz w:val="28"/>
          <w:szCs w:val="28"/>
          <w:highlight w:val="none"/>
        </w:rPr>
      </w:pPr>
      <w:r>
        <w:rPr>
          <w:rFonts w:hint="eastAsia" w:ascii="宋体" w:hAnsi="宋体" w:eastAsia="宋体" w:cs="Times New Roman"/>
          <w:color w:val="auto"/>
          <w:sz w:val="28"/>
          <w:szCs w:val="28"/>
          <w:highlight w:val="none"/>
        </w:rPr>
        <w:t>凭借政府采购合同可向融资机构申请融资。具体内容详见</w:t>
      </w:r>
      <w:r>
        <w:rPr>
          <w:rFonts w:hint="eastAsia" w:ascii="宋体" w:hAnsi="宋体" w:eastAsia="宋体" w:cs="Times New Roman"/>
          <w:color w:val="auto"/>
          <w:sz w:val="28"/>
          <w:szCs w:val="28"/>
          <w:highlight w:val="none"/>
          <w:lang w:eastAsia="zh-CN"/>
        </w:rPr>
        <w:t>附件</w:t>
      </w:r>
      <w:r>
        <w:rPr>
          <w:rFonts w:hint="eastAsia" w:ascii="宋体" w:hAnsi="宋体" w:eastAsia="宋体" w:cs="Times New Roman"/>
          <w:color w:val="auto"/>
          <w:sz w:val="28"/>
          <w:szCs w:val="28"/>
          <w:highlight w:val="none"/>
        </w:rPr>
        <w:t>《成都市温江区财政局关于公布温江区首批支持中小企业政府采购信用融资银行名单的公告》和《成都市财政局关于公布成都市首批在线开展政府采购信用融资业务银行名单的通知》（成财采〔2019〕49号）。</w:t>
      </w:r>
    </w:p>
    <w:p>
      <w:pPr>
        <w:tabs>
          <w:tab w:val="left" w:pos="1276"/>
        </w:tabs>
        <w:spacing w:line="360" w:lineRule="auto"/>
        <w:rPr>
          <w:rFonts w:ascii="宋体" w:hAnsi="宋体"/>
          <w:color w:val="auto"/>
          <w:sz w:val="28"/>
          <w:szCs w:val="28"/>
          <w:highlight w:val="none"/>
        </w:rPr>
      </w:pPr>
    </w:p>
    <w:p>
      <w:pPr>
        <w:tabs>
          <w:tab w:val="left" w:pos="1276"/>
        </w:tabs>
        <w:spacing w:line="360" w:lineRule="auto"/>
        <w:rPr>
          <w:rFonts w:ascii="宋体" w:hAnsi="宋体"/>
          <w:color w:val="auto"/>
          <w:sz w:val="28"/>
          <w:szCs w:val="28"/>
          <w:highlight w:val="none"/>
        </w:rPr>
      </w:pPr>
    </w:p>
    <w:p>
      <w:pPr>
        <w:tabs>
          <w:tab w:val="left" w:pos="1276"/>
        </w:tabs>
        <w:spacing w:line="360" w:lineRule="auto"/>
        <w:rPr>
          <w:rFonts w:ascii="宋体" w:hAnsi="宋体"/>
          <w:color w:val="auto"/>
          <w:sz w:val="28"/>
          <w:szCs w:val="28"/>
          <w:highlight w:val="none"/>
        </w:rPr>
      </w:pPr>
    </w:p>
    <w:p>
      <w:pPr>
        <w:pStyle w:val="2"/>
        <w:rPr>
          <w:rFonts w:ascii="宋体" w:hAnsi="宋体"/>
          <w:color w:val="auto"/>
          <w:sz w:val="28"/>
          <w:szCs w:val="28"/>
          <w:highlight w:val="none"/>
        </w:rPr>
      </w:pPr>
    </w:p>
    <w:p>
      <w:pPr>
        <w:rPr>
          <w:rFonts w:ascii="宋体" w:hAnsi="宋体"/>
          <w:color w:val="auto"/>
          <w:sz w:val="28"/>
          <w:szCs w:val="28"/>
          <w:highlight w:val="none"/>
        </w:rPr>
      </w:pPr>
    </w:p>
    <w:p>
      <w:pPr>
        <w:pStyle w:val="2"/>
        <w:rPr>
          <w:rFonts w:ascii="宋体" w:hAnsi="宋体"/>
          <w:color w:val="auto"/>
          <w:sz w:val="28"/>
          <w:szCs w:val="28"/>
          <w:highlight w:val="none"/>
        </w:rPr>
      </w:pPr>
    </w:p>
    <w:p>
      <w:pPr>
        <w:rPr>
          <w:rFonts w:ascii="宋体" w:hAnsi="宋体"/>
          <w:color w:val="auto"/>
          <w:sz w:val="28"/>
          <w:szCs w:val="28"/>
          <w:highlight w:val="none"/>
        </w:rPr>
      </w:pPr>
    </w:p>
    <w:p>
      <w:pPr>
        <w:pStyle w:val="2"/>
        <w:rPr>
          <w:rFonts w:ascii="宋体" w:hAnsi="宋体"/>
          <w:color w:val="auto"/>
          <w:sz w:val="28"/>
          <w:szCs w:val="28"/>
          <w:highlight w:val="none"/>
        </w:rPr>
      </w:pPr>
    </w:p>
    <w:p/>
    <w:p/>
    <w:p>
      <w:pPr>
        <w:keepNext/>
        <w:keepLines/>
        <w:numPr>
          <w:ilvl w:val="0"/>
          <w:numId w:val="5"/>
        </w:numPr>
        <w:spacing w:before="340" w:after="330" w:line="400" w:lineRule="exact"/>
        <w:jc w:val="center"/>
        <w:outlineLvl w:val="0"/>
        <w:rPr>
          <w:rFonts w:ascii="宋体" w:hAnsi="宋体"/>
          <w:b/>
          <w:bCs/>
          <w:color w:val="auto"/>
          <w:spacing w:val="-20"/>
          <w:kern w:val="44"/>
          <w:sz w:val="32"/>
          <w:szCs w:val="32"/>
          <w:highlight w:val="none"/>
        </w:rPr>
      </w:pPr>
      <w:bookmarkStart w:id="119" w:name="_Toc315871048"/>
      <w:bookmarkEnd w:id="119"/>
      <w:bookmarkStart w:id="120" w:name="_Toc316292052"/>
      <w:bookmarkEnd w:id="120"/>
      <w:bookmarkStart w:id="121" w:name="_Toc316292049"/>
      <w:bookmarkEnd w:id="121"/>
      <w:bookmarkStart w:id="122" w:name="_Toc315871050"/>
      <w:bookmarkEnd w:id="122"/>
      <w:bookmarkStart w:id="123" w:name="_Toc315871046"/>
      <w:bookmarkEnd w:id="123"/>
      <w:bookmarkStart w:id="124" w:name="_Toc315871047"/>
      <w:bookmarkEnd w:id="124"/>
      <w:bookmarkStart w:id="125" w:name="_Toc316292051"/>
      <w:bookmarkEnd w:id="125"/>
      <w:bookmarkStart w:id="126" w:name="_Toc315871049"/>
      <w:bookmarkEnd w:id="126"/>
      <w:bookmarkStart w:id="127" w:name="_Toc316292048"/>
      <w:bookmarkEnd w:id="127"/>
      <w:bookmarkStart w:id="128" w:name="_Toc316292050"/>
      <w:bookmarkEnd w:id="128"/>
      <w:bookmarkStart w:id="129" w:name="_Toc315871045"/>
      <w:bookmarkEnd w:id="129"/>
      <w:bookmarkStart w:id="130" w:name="_Toc13715"/>
      <w:bookmarkStart w:id="131" w:name="_Toc14349"/>
      <w:r>
        <w:rPr>
          <w:rFonts w:hint="eastAsia" w:ascii="宋体" w:hAnsi="宋体"/>
          <w:b/>
          <w:bCs/>
          <w:color w:val="auto"/>
          <w:spacing w:val="-20"/>
          <w:kern w:val="44"/>
          <w:sz w:val="32"/>
          <w:szCs w:val="32"/>
          <w:highlight w:val="none"/>
        </w:rPr>
        <w:t>投标文件格式</w:t>
      </w:r>
      <w:bookmarkEnd w:id="130"/>
      <w:bookmarkEnd w:id="131"/>
    </w:p>
    <w:p>
      <w:pPr>
        <w:keepNext/>
        <w:keepLines/>
        <w:numPr>
          <w:ilvl w:val="1"/>
          <w:numId w:val="5"/>
        </w:numPr>
        <w:spacing w:before="260" w:after="260" w:line="360" w:lineRule="auto"/>
        <w:jc w:val="left"/>
        <w:outlineLvl w:val="1"/>
        <w:rPr>
          <w:rFonts w:ascii="宋体" w:hAnsi="宋体"/>
          <w:b/>
          <w:bCs/>
          <w:color w:val="auto"/>
          <w:sz w:val="28"/>
          <w:szCs w:val="28"/>
          <w:highlight w:val="none"/>
        </w:rPr>
      </w:pPr>
      <w:bookmarkStart w:id="132" w:name="_Toc32232"/>
      <w:bookmarkStart w:id="133" w:name="_Toc10524"/>
      <w:r>
        <w:rPr>
          <w:rFonts w:hint="eastAsia" w:ascii="宋体" w:hAnsi="宋体"/>
          <w:b/>
          <w:bCs/>
          <w:color w:val="auto"/>
          <w:sz w:val="28"/>
          <w:szCs w:val="28"/>
          <w:highlight w:val="none"/>
        </w:rPr>
        <w:t>投标文件封面格式</w:t>
      </w:r>
      <w:bookmarkEnd w:id="132"/>
      <w:bookmarkEnd w:id="133"/>
    </w:p>
    <w:p>
      <w:pPr>
        <w:spacing w:line="360" w:lineRule="auto"/>
        <w:rPr>
          <w:rFonts w:ascii="宋体" w:hAnsi="宋体"/>
          <w:bCs/>
          <w:color w:val="auto"/>
          <w:szCs w:val="21"/>
          <w:highlight w:val="none"/>
        </w:rPr>
      </w:pPr>
    </w:p>
    <w:p>
      <w:pPr>
        <w:spacing w:line="360" w:lineRule="auto"/>
        <w:rPr>
          <w:rFonts w:ascii="宋体" w:hAnsi="宋体"/>
          <w:bCs/>
          <w:color w:val="auto"/>
          <w:szCs w:val="21"/>
          <w:highlight w:val="none"/>
        </w:rPr>
      </w:pPr>
    </w:p>
    <w:p>
      <w:pPr>
        <w:spacing w:line="360" w:lineRule="auto"/>
        <w:jc w:val="right"/>
        <w:rPr>
          <w:rFonts w:ascii="宋体" w:hAnsi="宋体"/>
          <w:color w:val="auto"/>
          <w:highlight w:val="none"/>
        </w:rPr>
      </w:pPr>
    </w:p>
    <w:p>
      <w:pPr>
        <w:spacing w:line="360" w:lineRule="auto"/>
        <w:jc w:val="center"/>
        <w:rPr>
          <w:rFonts w:ascii="宋体" w:hAnsi="宋体"/>
          <w:color w:val="auto"/>
          <w:spacing w:val="78"/>
          <w:sz w:val="96"/>
          <w:szCs w:val="120"/>
          <w:highlight w:val="none"/>
        </w:rPr>
      </w:pPr>
      <w:r>
        <w:rPr>
          <w:rFonts w:hint="eastAsia" w:ascii="宋体" w:hAnsi="宋体"/>
          <w:color w:val="auto"/>
          <w:spacing w:val="78"/>
          <w:sz w:val="96"/>
          <w:szCs w:val="120"/>
          <w:highlight w:val="none"/>
        </w:rPr>
        <w:t>投标文件</w:t>
      </w:r>
    </w:p>
    <w:p>
      <w:pPr>
        <w:spacing w:line="360" w:lineRule="auto"/>
        <w:jc w:val="center"/>
        <w:rPr>
          <w:rFonts w:ascii="宋体" w:hAnsi="宋体"/>
          <w:bCs/>
          <w:color w:val="auto"/>
          <w:sz w:val="36"/>
          <w:highlight w:val="none"/>
        </w:rPr>
      </w:pPr>
    </w:p>
    <w:p>
      <w:pPr>
        <w:spacing w:line="360" w:lineRule="auto"/>
        <w:jc w:val="center"/>
        <w:rPr>
          <w:rFonts w:ascii="宋体" w:hAnsi="宋体"/>
          <w:bCs/>
          <w:color w:val="auto"/>
          <w:sz w:val="36"/>
          <w:highlight w:val="none"/>
        </w:rPr>
      </w:pPr>
    </w:p>
    <w:p>
      <w:pPr>
        <w:spacing w:line="360" w:lineRule="auto"/>
        <w:ind w:left="1751" w:right="-254" w:rightChars="-121" w:hanging="1641" w:hangingChars="545"/>
        <w:rPr>
          <w:rFonts w:hint="eastAsia" w:ascii="宋体" w:hAnsi="宋体" w:eastAsia="宋体"/>
          <w:b/>
          <w:bCs/>
          <w:color w:val="auto"/>
          <w:sz w:val="30"/>
          <w:szCs w:val="30"/>
          <w:highlight w:val="none"/>
          <w:lang w:eastAsia="zh-CN"/>
        </w:rPr>
      </w:pPr>
      <w:r>
        <w:rPr>
          <w:rFonts w:hint="eastAsia" w:ascii="宋体" w:hAnsi="宋体"/>
          <w:b/>
          <w:bCs/>
          <w:color w:val="auto"/>
          <w:sz w:val="30"/>
          <w:szCs w:val="30"/>
          <w:highlight w:val="none"/>
        </w:rPr>
        <w:t>项目名称：成都市温江区智慧平安小区建设项目</w:t>
      </w:r>
    </w:p>
    <w:p>
      <w:pPr>
        <w:spacing w:line="360" w:lineRule="auto"/>
        <w:rPr>
          <w:rFonts w:hint="eastAsia" w:ascii="宋体" w:hAnsi="宋体" w:eastAsia="宋体"/>
          <w:b/>
          <w:color w:val="auto"/>
          <w:sz w:val="30"/>
          <w:szCs w:val="30"/>
          <w:highlight w:val="none"/>
          <w:u w:val="single"/>
          <w:lang w:eastAsia="zh-CN"/>
        </w:rPr>
      </w:pPr>
      <w:r>
        <w:rPr>
          <w:rFonts w:hint="eastAsia" w:ascii="宋体" w:hAnsi="宋体"/>
          <w:b/>
          <w:bCs/>
          <w:color w:val="auto"/>
          <w:sz w:val="30"/>
          <w:szCs w:val="30"/>
          <w:highlight w:val="none"/>
        </w:rPr>
        <w:t>项目编号：</w:t>
      </w:r>
      <w:r>
        <w:rPr>
          <w:rFonts w:hint="eastAsia" w:ascii="宋体" w:hAnsi="宋体"/>
          <w:b/>
          <w:bCs/>
          <w:color w:val="auto"/>
          <w:sz w:val="30"/>
          <w:szCs w:val="30"/>
          <w:highlight w:val="none"/>
          <w:lang w:eastAsia="zh-CN"/>
        </w:rPr>
        <w:t>温江政采（2021）A00</w:t>
      </w:r>
      <w:r>
        <w:rPr>
          <w:rFonts w:hint="eastAsia" w:ascii="宋体" w:hAnsi="宋体"/>
          <w:b/>
          <w:bCs/>
          <w:color w:val="auto"/>
          <w:sz w:val="30"/>
          <w:szCs w:val="30"/>
          <w:highlight w:val="none"/>
          <w:lang w:val="en-US" w:eastAsia="zh-CN"/>
        </w:rPr>
        <w:t>31</w:t>
      </w:r>
      <w:r>
        <w:rPr>
          <w:rFonts w:hint="eastAsia" w:ascii="宋体" w:hAnsi="宋体"/>
          <w:b/>
          <w:bCs/>
          <w:color w:val="auto"/>
          <w:sz w:val="30"/>
          <w:szCs w:val="30"/>
          <w:highlight w:val="none"/>
          <w:lang w:eastAsia="zh-CN"/>
        </w:rPr>
        <w:t>号</w:t>
      </w:r>
    </w:p>
    <w:p>
      <w:pPr>
        <w:spacing w:line="360" w:lineRule="auto"/>
        <w:rPr>
          <w:rFonts w:ascii="宋体" w:hAnsi="宋体"/>
          <w:b/>
          <w:bCs/>
          <w:color w:val="auto"/>
          <w:sz w:val="32"/>
          <w:szCs w:val="32"/>
          <w:highlight w:val="none"/>
        </w:rPr>
      </w:pPr>
    </w:p>
    <w:p>
      <w:pPr>
        <w:spacing w:line="360" w:lineRule="auto"/>
        <w:rPr>
          <w:rFonts w:ascii="宋体" w:hAnsi="宋体"/>
          <w:b/>
          <w:bCs/>
          <w:color w:val="auto"/>
          <w:sz w:val="32"/>
          <w:szCs w:val="32"/>
          <w:highlight w:val="none"/>
        </w:rPr>
      </w:pPr>
    </w:p>
    <w:p>
      <w:pPr>
        <w:spacing w:line="360" w:lineRule="auto"/>
        <w:rPr>
          <w:rFonts w:ascii="宋体" w:hAnsi="宋体"/>
          <w:b/>
          <w:bCs/>
          <w:color w:val="auto"/>
          <w:sz w:val="32"/>
          <w:szCs w:val="32"/>
          <w:highlight w:val="none"/>
        </w:rPr>
      </w:pPr>
    </w:p>
    <w:p>
      <w:pPr>
        <w:spacing w:line="360" w:lineRule="auto"/>
        <w:ind w:firstLine="630" w:firstLineChars="196"/>
        <w:rPr>
          <w:rFonts w:ascii="宋体" w:hAnsi="宋体"/>
          <w:b/>
          <w:bCs/>
          <w:color w:val="auto"/>
          <w:sz w:val="32"/>
          <w:szCs w:val="32"/>
          <w:highlight w:val="none"/>
        </w:rPr>
      </w:pPr>
      <w:r>
        <w:rPr>
          <w:rFonts w:hint="eastAsia" w:ascii="宋体" w:hAnsi="宋体"/>
          <w:b/>
          <w:bCs/>
          <w:color w:val="auto"/>
          <w:sz w:val="32"/>
          <w:szCs w:val="32"/>
          <w:highlight w:val="none"/>
        </w:rPr>
        <w:t>投标人名称：XXXX</w:t>
      </w:r>
    </w:p>
    <w:p>
      <w:pPr>
        <w:spacing w:line="360" w:lineRule="auto"/>
        <w:ind w:firstLine="569" w:firstLineChars="177"/>
        <w:rPr>
          <w:rFonts w:ascii="宋体" w:hAnsi="宋体"/>
          <w:b/>
          <w:bCs/>
          <w:color w:val="auto"/>
          <w:sz w:val="32"/>
          <w:szCs w:val="32"/>
          <w:highlight w:val="none"/>
        </w:rPr>
      </w:pPr>
      <w:r>
        <w:rPr>
          <w:rFonts w:hint="eastAsia" w:ascii="宋体" w:hAnsi="宋体"/>
          <w:b/>
          <w:bCs/>
          <w:color w:val="auto"/>
          <w:sz w:val="32"/>
          <w:szCs w:val="32"/>
          <w:highlight w:val="none"/>
        </w:rPr>
        <w:t>日       期：202X年XX月XX日</w:t>
      </w:r>
    </w:p>
    <w:p>
      <w:pPr>
        <w:spacing w:line="360" w:lineRule="auto"/>
        <w:ind w:firstLine="569" w:firstLineChars="177"/>
        <w:rPr>
          <w:rFonts w:ascii="宋体" w:hAnsi="宋体"/>
          <w:b/>
          <w:bCs/>
          <w:color w:val="auto"/>
          <w:sz w:val="32"/>
          <w:szCs w:val="32"/>
          <w:highlight w:val="none"/>
        </w:rPr>
      </w:pPr>
    </w:p>
    <w:p>
      <w:pPr>
        <w:spacing w:line="360" w:lineRule="auto"/>
        <w:ind w:firstLine="569" w:firstLineChars="177"/>
        <w:rPr>
          <w:rFonts w:ascii="宋体" w:hAnsi="宋体"/>
          <w:b/>
          <w:bCs/>
          <w:color w:val="auto"/>
          <w:sz w:val="32"/>
          <w:szCs w:val="32"/>
          <w:highlight w:val="none"/>
        </w:rPr>
      </w:pPr>
    </w:p>
    <w:p>
      <w:pPr>
        <w:spacing w:line="360" w:lineRule="auto"/>
        <w:ind w:firstLine="569" w:firstLineChars="177"/>
        <w:rPr>
          <w:rFonts w:ascii="宋体" w:hAnsi="宋体"/>
          <w:b/>
          <w:bCs/>
          <w:color w:val="auto"/>
          <w:sz w:val="32"/>
          <w:szCs w:val="32"/>
          <w:highlight w:val="none"/>
        </w:rPr>
      </w:pPr>
    </w:p>
    <w:p>
      <w:pPr>
        <w:spacing w:line="360" w:lineRule="auto"/>
        <w:ind w:firstLine="569" w:firstLineChars="177"/>
        <w:rPr>
          <w:rFonts w:ascii="宋体" w:hAnsi="宋体"/>
          <w:b/>
          <w:bCs/>
          <w:color w:val="auto"/>
          <w:sz w:val="32"/>
          <w:szCs w:val="32"/>
          <w:highlight w:val="none"/>
        </w:rPr>
      </w:pPr>
    </w:p>
    <w:p>
      <w:pPr>
        <w:keepNext/>
        <w:keepLines/>
        <w:numPr>
          <w:ilvl w:val="1"/>
          <w:numId w:val="5"/>
        </w:numPr>
        <w:spacing w:before="260" w:after="260" w:line="360" w:lineRule="auto"/>
        <w:jc w:val="left"/>
        <w:outlineLvl w:val="1"/>
        <w:rPr>
          <w:rFonts w:ascii="宋体" w:hAnsi="宋体"/>
          <w:b/>
          <w:bCs/>
          <w:color w:val="auto"/>
          <w:sz w:val="28"/>
          <w:szCs w:val="28"/>
          <w:highlight w:val="none"/>
        </w:rPr>
      </w:pPr>
      <w:bookmarkStart w:id="134" w:name="_Toc8963"/>
      <w:bookmarkStart w:id="135" w:name="_Toc18644"/>
      <w:r>
        <w:rPr>
          <w:rFonts w:hint="eastAsia" w:ascii="宋体" w:hAnsi="宋体"/>
          <w:b/>
          <w:bCs/>
          <w:color w:val="auto"/>
          <w:sz w:val="28"/>
          <w:szCs w:val="28"/>
          <w:highlight w:val="none"/>
        </w:rPr>
        <w:t>资格响应文件</w:t>
      </w:r>
      <w:bookmarkEnd w:id="134"/>
      <w:bookmarkEnd w:id="135"/>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关于投标人资格申明的函</w:t>
      </w:r>
    </w:p>
    <w:p>
      <w:pPr>
        <w:spacing w:line="360" w:lineRule="auto"/>
        <w:rPr>
          <w:rFonts w:ascii="宋体" w:hAnsi="宋体"/>
          <w:color w:val="auto"/>
          <w:sz w:val="28"/>
          <w:szCs w:val="28"/>
          <w:highlight w:val="none"/>
        </w:rPr>
      </w:pPr>
      <w:bookmarkStart w:id="136" w:name="_Toc238581782"/>
      <w:bookmarkStart w:id="137" w:name="_Toc119296788"/>
      <w:bookmarkStart w:id="138" w:name="_Toc119295087"/>
      <w:bookmarkStart w:id="139" w:name="_Toc52184753"/>
      <w:bookmarkStart w:id="140" w:name="_Toc146903609"/>
      <w:bookmarkStart w:id="141" w:name="_Toc119203988"/>
      <w:r>
        <w:rPr>
          <w:rFonts w:hint="eastAsia" w:ascii="宋体" w:hAnsi="宋体"/>
          <w:color w:val="auto"/>
          <w:sz w:val="28"/>
          <w:szCs w:val="28"/>
          <w:highlight w:val="none"/>
        </w:rPr>
        <w:t>致：成都市</w:t>
      </w:r>
      <w:r>
        <w:rPr>
          <w:rFonts w:hint="eastAsia" w:ascii="宋体" w:hAnsi="宋体"/>
          <w:color w:val="auto"/>
          <w:sz w:val="28"/>
          <w:szCs w:val="28"/>
          <w:highlight w:val="none"/>
          <w:lang w:eastAsia="zh-CN"/>
        </w:rPr>
        <w:t>温江区</w:t>
      </w:r>
      <w:r>
        <w:rPr>
          <w:rFonts w:hint="eastAsia" w:ascii="宋体" w:hAnsi="宋体"/>
          <w:color w:val="auto"/>
          <w:sz w:val="28"/>
          <w:szCs w:val="28"/>
          <w:highlight w:val="none"/>
        </w:rPr>
        <w:t>公共资源交易服务中心</w:t>
      </w:r>
      <w:bookmarkEnd w:id="136"/>
    </w:p>
    <w:p>
      <w:pPr>
        <w:spacing w:line="360" w:lineRule="auto"/>
        <w:ind w:firstLine="565" w:firstLineChars="202"/>
        <w:rPr>
          <w:rFonts w:ascii="宋体" w:hAnsi="宋体"/>
          <w:color w:val="auto"/>
          <w:sz w:val="28"/>
          <w:szCs w:val="28"/>
          <w:highlight w:val="none"/>
        </w:rPr>
      </w:pPr>
      <w:bookmarkStart w:id="142" w:name="_Toc238581783"/>
      <w:r>
        <w:rPr>
          <w:rFonts w:hint="eastAsia" w:ascii="宋体" w:hAnsi="宋体"/>
          <w:color w:val="auto"/>
          <w:sz w:val="28"/>
          <w:szCs w:val="28"/>
          <w:highlight w:val="none"/>
        </w:rPr>
        <w:t>关于我方对</w:t>
      </w:r>
      <w:r>
        <w:rPr>
          <w:rFonts w:hint="eastAsia" w:ascii="宋体" w:hAnsi="宋体"/>
          <w:b/>
          <w:color w:val="auto"/>
          <w:sz w:val="28"/>
          <w:szCs w:val="28"/>
          <w:highlight w:val="none"/>
          <w:u w:val="single"/>
          <w:lang w:eastAsia="zh-CN"/>
        </w:rPr>
        <w:t>成都市温江区智慧平安小区建设项目</w:t>
      </w:r>
      <w:r>
        <w:rPr>
          <w:rFonts w:hint="eastAsia" w:ascii="宋体" w:hAnsi="宋体"/>
          <w:b/>
          <w:color w:val="auto"/>
          <w:sz w:val="28"/>
          <w:szCs w:val="28"/>
          <w:highlight w:val="none"/>
          <w:u w:val="single"/>
        </w:rPr>
        <w:t>（项目编号：</w:t>
      </w:r>
      <w:r>
        <w:rPr>
          <w:rFonts w:hint="eastAsia" w:ascii="宋体" w:hAnsi="宋体"/>
          <w:b/>
          <w:color w:val="auto"/>
          <w:sz w:val="28"/>
          <w:szCs w:val="28"/>
          <w:highlight w:val="none"/>
          <w:u w:val="single"/>
          <w:lang w:eastAsia="zh-CN"/>
        </w:rPr>
        <w:t>温江政采（2021）A0031号</w:t>
      </w:r>
      <w:r>
        <w:rPr>
          <w:rFonts w:hint="eastAsia" w:ascii="宋体" w:hAnsi="宋体"/>
          <w:b/>
          <w:color w:val="auto"/>
          <w:sz w:val="28"/>
          <w:szCs w:val="28"/>
          <w:highlight w:val="none"/>
          <w:u w:val="single"/>
        </w:rPr>
        <w:t>）</w:t>
      </w:r>
      <w:r>
        <w:rPr>
          <w:rFonts w:hint="eastAsia" w:ascii="宋体" w:hAnsi="宋体"/>
          <w:color w:val="auto"/>
          <w:sz w:val="28"/>
          <w:szCs w:val="28"/>
          <w:highlight w:val="none"/>
        </w:rPr>
        <w:t>的公开招标，提交的下列文件和说明是准确的和真实的。</w:t>
      </w:r>
      <w:bookmarkEnd w:id="142"/>
    </w:p>
    <w:p>
      <w:pPr>
        <w:widowControl/>
        <w:numPr>
          <w:ilvl w:val="2"/>
          <w:numId w:val="33"/>
        </w:numPr>
        <w:spacing w:line="360" w:lineRule="auto"/>
        <w:ind w:left="0" w:firstLine="560" w:firstLineChars="200"/>
        <w:rPr>
          <w:rFonts w:ascii="宋体" w:hAnsi="宋体"/>
          <w:color w:val="auto"/>
          <w:sz w:val="28"/>
          <w:szCs w:val="28"/>
          <w:highlight w:val="none"/>
        </w:rPr>
      </w:pPr>
      <w:bookmarkStart w:id="143" w:name="_Toc238581784"/>
      <w:r>
        <w:rPr>
          <w:rFonts w:hint="eastAsia" w:ascii="宋体" w:hAnsi="宋体"/>
          <w:color w:val="auto"/>
          <w:sz w:val="28"/>
          <w:szCs w:val="28"/>
          <w:highlight w:val="none"/>
        </w:rPr>
        <w:t>投标人名称及概况：</w:t>
      </w:r>
      <w:bookmarkEnd w:id="137"/>
      <w:bookmarkEnd w:id="138"/>
      <w:bookmarkEnd w:id="139"/>
      <w:bookmarkEnd w:id="140"/>
      <w:bookmarkEnd w:id="141"/>
      <w:bookmarkEnd w:id="143"/>
    </w:p>
    <w:p>
      <w:pPr>
        <w:widowControl/>
        <w:numPr>
          <w:ilvl w:val="0"/>
          <w:numId w:val="34"/>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投标人名称：XXXX</w:t>
      </w:r>
    </w:p>
    <w:p>
      <w:pPr>
        <w:widowControl/>
        <w:numPr>
          <w:ilvl w:val="0"/>
          <w:numId w:val="34"/>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地址：XXXX           邮编：XXXX</w:t>
      </w:r>
    </w:p>
    <w:p>
      <w:pPr>
        <w:spacing w:line="360" w:lineRule="auto"/>
        <w:ind w:firstLine="700" w:firstLineChars="250"/>
        <w:rPr>
          <w:rFonts w:ascii="宋体" w:hAnsi="宋体"/>
          <w:color w:val="auto"/>
          <w:sz w:val="28"/>
          <w:szCs w:val="28"/>
          <w:highlight w:val="none"/>
          <w:u w:val="single"/>
        </w:rPr>
      </w:pPr>
      <w:r>
        <w:rPr>
          <w:rFonts w:hint="eastAsia" w:ascii="宋体" w:hAnsi="宋体"/>
          <w:color w:val="auto"/>
          <w:sz w:val="28"/>
          <w:szCs w:val="28"/>
          <w:highlight w:val="none"/>
        </w:rPr>
        <w:t>传真/电话：XXXX</w:t>
      </w:r>
    </w:p>
    <w:p>
      <w:pPr>
        <w:widowControl/>
        <w:numPr>
          <w:ilvl w:val="0"/>
          <w:numId w:val="34"/>
        </w:numPr>
        <w:spacing w:line="360" w:lineRule="auto"/>
        <w:ind w:left="0" w:firstLine="560" w:firstLineChars="200"/>
        <w:jc w:val="left"/>
        <w:rPr>
          <w:rFonts w:ascii="宋体" w:hAnsi="宋体"/>
          <w:color w:val="auto"/>
          <w:sz w:val="28"/>
          <w:szCs w:val="28"/>
          <w:highlight w:val="none"/>
        </w:rPr>
      </w:pPr>
      <w:r>
        <w:rPr>
          <w:rFonts w:hint="eastAsia" w:ascii="宋体" w:hAnsi="宋体"/>
          <w:color w:val="auto"/>
          <w:sz w:val="28"/>
          <w:szCs w:val="28"/>
          <w:highlight w:val="none"/>
        </w:rPr>
        <w:t>成立日期或注册日期：XXXX</w:t>
      </w:r>
    </w:p>
    <w:p>
      <w:pPr>
        <w:widowControl/>
        <w:numPr>
          <w:ilvl w:val="0"/>
          <w:numId w:val="34"/>
        </w:numPr>
        <w:spacing w:line="360" w:lineRule="auto"/>
        <w:ind w:left="0" w:firstLine="560" w:firstLineChars="200"/>
        <w:jc w:val="left"/>
        <w:rPr>
          <w:rFonts w:ascii="宋体" w:hAnsi="宋体"/>
          <w:color w:val="auto"/>
          <w:sz w:val="28"/>
          <w:szCs w:val="28"/>
          <w:highlight w:val="none"/>
          <w:u w:val="single"/>
        </w:rPr>
      </w:pPr>
      <w:r>
        <w:rPr>
          <w:rFonts w:hint="eastAsia" w:ascii="宋体" w:hAnsi="宋体"/>
          <w:color w:val="auto"/>
          <w:sz w:val="28"/>
          <w:szCs w:val="28"/>
          <w:highlight w:val="none"/>
        </w:rPr>
        <w:t>法定代表人姓名：XXXX</w:t>
      </w:r>
    </w:p>
    <w:p>
      <w:pPr>
        <w:widowControl/>
        <w:numPr>
          <w:ilvl w:val="2"/>
          <w:numId w:val="33"/>
        </w:numPr>
        <w:tabs>
          <w:tab w:val="left" w:pos="1276"/>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开户银行名称：XXXX</w:t>
      </w:r>
    </w:p>
    <w:p>
      <w:pPr>
        <w:spacing w:line="360" w:lineRule="auto"/>
        <w:ind w:firstLine="1260" w:firstLineChars="450"/>
        <w:rPr>
          <w:rFonts w:ascii="宋体" w:hAnsi="宋体"/>
          <w:color w:val="auto"/>
          <w:sz w:val="28"/>
          <w:szCs w:val="28"/>
          <w:highlight w:val="none"/>
          <w:u w:val="single"/>
        </w:rPr>
      </w:pPr>
      <w:r>
        <w:rPr>
          <w:rFonts w:hint="eastAsia" w:ascii="宋体" w:hAnsi="宋体"/>
          <w:color w:val="auto"/>
          <w:sz w:val="28"/>
          <w:szCs w:val="28"/>
          <w:highlight w:val="none"/>
        </w:rPr>
        <w:t>地址：XXXX</w:t>
      </w:r>
    </w:p>
    <w:p>
      <w:pPr>
        <w:spacing w:line="360" w:lineRule="auto"/>
        <w:ind w:firstLine="1260" w:firstLineChars="450"/>
        <w:rPr>
          <w:rFonts w:ascii="宋体" w:hAnsi="宋体"/>
          <w:color w:val="auto"/>
          <w:sz w:val="28"/>
          <w:szCs w:val="28"/>
          <w:highlight w:val="none"/>
        </w:rPr>
      </w:pPr>
      <w:r>
        <w:rPr>
          <w:rFonts w:hint="eastAsia" w:ascii="宋体" w:hAnsi="宋体"/>
          <w:color w:val="auto"/>
          <w:sz w:val="28"/>
          <w:szCs w:val="28"/>
          <w:highlight w:val="none"/>
        </w:rPr>
        <w:t>账号：XXXX</w:t>
      </w: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left="560"/>
        <w:rPr>
          <w:rFonts w:ascii="宋体" w:hAnsi="宋体"/>
          <w:color w:val="auto"/>
          <w:sz w:val="28"/>
          <w:szCs w:val="28"/>
          <w:highlight w:val="none"/>
        </w:rPr>
      </w:pP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w:t>
      </w:r>
      <w:r>
        <w:rPr>
          <w:rFonts w:hint="eastAsia" w:ascii="宋体" w:hAnsi="宋体"/>
          <w:color w:val="auto"/>
          <w:sz w:val="28"/>
          <w:szCs w:val="28"/>
          <w:highlight w:val="none"/>
          <w:u w:val="single"/>
        </w:rPr>
        <w:t>XXXX</w:t>
      </w:r>
    </w:p>
    <w:p>
      <w:pPr>
        <w:spacing w:line="360" w:lineRule="auto"/>
        <w:ind w:left="283" w:leftChars="135" w:firstLine="280" w:firstLineChars="100"/>
        <w:rPr>
          <w:rFonts w:ascii="宋体" w:hAnsi="宋体"/>
          <w:color w:val="auto"/>
          <w:sz w:val="28"/>
          <w:szCs w:val="28"/>
          <w:highlight w:val="none"/>
          <w:u w:val="single"/>
        </w:rPr>
      </w:pPr>
      <w:r>
        <w:rPr>
          <w:rFonts w:hint="eastAsia" w:ascii="宋体" w:hAnsi="宋体"/>
          <w:bCs/>
          <w:color w:val="auto"/>
          <w:sz w:val="28"/>
          <w:szCs w:val="28"/>
          <w:highlight w:val="none"/>
        </w:rPr>
        <w:t>日    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spacing w:line="380" w:lineRule="exact"/>
        <w:rPr>
          <w:rFonts w:ascii="宋体" w:hAnsi="宋体"/>
          <w:color w:val="auto"/>
          <w:sz w:val="28"/>
          <w:szCs w:val="28"/>
          <w:highlight w:val="none"/>
        </w:rPr>
      </w:pPr>
    </w:p>
    <w:p>
      <w:pPr>
        <w:spacing w:line="360" w:lineRule="auto"/>
        <w:rPr>
          <w:rFonts w:ascii="宋体" w:hAnsi="宋体"/>
          <w:b/>
          <w:bCs/>
          <w:color w:val="auto"/>
          <w:sz w:val="32"/>
          <w:szCs w:val="32"/>
          <w:highlight w:val="none"/>
        </w:rPr>
      </w:pP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致：成都市</w:t>
      </w:r>
      <w:r>
        <w:rPr>
          <w:rFonts w:hint="eastAsia" w:ascii="宋体" w:hAnsi="宋体"/>
          <w:color w:val="auto"/>
          <w:sz w:val="28"/>
          <w:szCs w:val="28"/>
          <w:highlight w:val="none"/>
          <w:lang w:eastAsia="zh-CN"/>
        </w:rPr>
        <w:t>温江区</w:t>
      </w:r>
      <w:r>
        <w:rPr>
          <w:rFonts w:hint="eastAsia" w:ascii="宋体" w:hAnsi="宋体"/>
          <w:color w:val="auto"/>
          <w:sz w:val="28"/>
          <w:szCs w:val="28"/>
          <w:highlight w:val="none"/>
        </w:rPr>
        <w:t>公共资源交易服务中心</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我单位作为</w:t>
      </w:r>
      <w:r>
        <w:rPr>
          <w:rFonts w:hint="eastAsia" w:ascii="宋体" w:hAnsi="宋体"/>
          <w:b/>
          <w:color w:val="auto"/>
          <w:sz w:val="28"/>
          <w:szCs w:val="28"/>
          <w:highlight w:val="none"/>
          <w:u w:val="single"/>
          <w:lang w:eastAsia="zh-CN"/>
        </w:rPr>
        <w:t>成都市温江区智慧平安小区建设项目</w:t>
      </w:r>
      <w:r>
        <w:rPr>
          <w:rFonts w:hint="eastAsia" w:ascii="宋体" w:hAnsi="宋体"/>
          <w:b/>
          <w:color w:val="auto"/>
          <w:sz w:val="28"/>
          <w:szCs w:val="28"/>
          <w:highlight w:val="none"/>
          <w:u w:val="single"/>
        </w:rPr>
        <w:t>（项目编号：</w:t>
      </w:r>
      <w:r>
        <w:rPr>
          <w:rFonts w:hint="eastAsia" w:ascii="宋体" w:hAnsi="宋体"/>
          <w:b/>
          <w:color w:val="auto"/>
          <w:sz w:val="28"/>
          <w:szCs w:val="28"/>
          <w:highlight w:val="none"/>
          <w:u w:val="single"/>
          <w:lang w:eastAsia="zh-CN"/>
        </w:rPr>
        <w:t>温江政采（2021）A0031号</w:t>
      </w:r>
      <w:r>
        <w:rPr>
          <w:rFonts w:hint="eastAsia" w:ascii="宋体" w:hAnsi="宋体"/>
          <w:b/>
          <w:color w:val="auto"/>
          <w:sz w:val="28"/>
          <w:szCs w:val="28"/>
          <w:highlight w:val="none"/>
          <w:u w:val="single"/>
        </w:rPr>
        <w:t>）</w:t>
      </w:r>
      <w:r>
        <w:rPr>
          <w:rFonts w:hint="eastAsia" w:ascii="宋体" w:hAnsi="宋体"/>
          <w:color w:val="auto"/>
          <w:sz w:val="28"/>
          <w:szCs w:val="28"/>
          <w:highlight w:val="none"/>
        </w:rPr>
        <w:t>的投标人，在此郑重声明：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一、我单位参加政府采购活动前三年内，在经营活动中</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重大违法记录。</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二、我单位</w:t>
      </w:r>
      <w:r>
        <w:rPr>
          <w:rFonts w:hint="eastAsia" w:ascii="宋体" w:hAnsi="宋体"/>
          <w:b/>
          <w:color w:val="auto"/>
          <w:sz w:val="28"/>
          <w:szCs w:val="28"/>
          <w:highlight w:val="none"/>
          <w:u w:val="single"/>
        </w:rPr>
        <w:t>（说明：填写“具有”或“不具有”）</w:t>
      </w:r>
      <w:r>
        <w:rPr>
          <w:rFonts w:hint="eastAsia" w:ascii="宋体" w:hAnsi="宋体"/>
          <w:color w:val="auto"/>
          <w:sz w:val="28"/>
          <w:szCs w:val="28"/>
          <w:highlight w:val="none"/>
        </w:rPr>
        <w:t>良好的商业信誉。</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三、与我单位负责人为同一人或者存在直接控股、管理关系的相关供应商：</w:t>
      </w:r>
      <w:r>
        <w:rPr>
          <w:rFonts w:hint="eastAsia" w:ascii="宋体" w:hAnsi="宋体"/>
          <w:b/>
          <w:color w:val="auto"/>
          <w:sz w:val="28"/>
          <w:szCs w:val="28"/>
          <w:highlight w:val="none"/>
          <w:u w:val="single"/>
        </w:rPr>
        <w:t>（说明：填写“无”或“（一）供应商名称１；（二）供应商名称２；（三）……”）</w:t>
      </w:r>
      <w:r>
        <w:rPr>
          <w:rFonts w:hint="eastAsia" w:ascii="宋体" w:hAnsi="宋体"/>
          <w:b/>
          <w:color w:val="auto"/>
          <w:sz w:val="28"/>
          <w:szCs w:val="28"/>
          <w:highlight w:val="none"/>
        </w:rPr>
        <w:t xml:space="preserve"> </w:t>
      </w:r>
      <w:r>
        <w:rPr>
          <w:rFonts w:hint="eastAsia" w:ascii="宋体" w:hAnsi="宋体"/>
          <w:color w:val="auto"/>
          <w:sz w:val="28"/>
          <w:szCs w:val="28"/>
          <w:highlight w:val="none"/>
        </w:rPr>
        <w:t>。</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四、在行贿犯罪信息查询期限内，我单位及我单位现任法定代表人、主要负责人</w:t>
      </w:r>
      <w:r>
        <w:rPr>
          <w:rFonts w:hint="eastAsia" w:ascii="宋体" w:hAnsi="宋体"/>
          <w:b/>
          <w:color w:val="auto"/>
          <w:sz w:val="28"/>
          <w:szCs w:val="28"/>
          <w:highlight w:val="none"/>
          <w:u w:val="single"/>
        </w:rPr>
        <w:t>（说明：填写“没有”或“有”）</w:t>
      </w:r>
      <w:r>
        <w:rPr>
          <w:rFonts w:hint="eastAsia" w:ascii="宋体" w:hAnsi="宋体"/>
          <w:color w:val="auto"/>
          <w:sz w:val="28"/>
          <w:szCs w:val="28"/>
          <w:highlight w:val="none"/>
        </w:rPr>
        <w:t>行贿犯罪记录。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五、我单位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失信被执行人、重大税收违法案件当事人名单。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我单位</w:t>
      </w:r>
      <w:r>
        <w:rPr>
          <w:rFonts w:hint="eastAsia" w:ascii="宋体" w:hAnsi="宋体"/>
          <w:b/>
          <w:color w:val="auto"/>
          <w:sz w:val="28"/>
          <w:szCs w:val="28"/>
          <w:highlight w:val="none"/>
          <w:u w:val="single"/>
        </w:rPr>
        <w:t>（说明：填写“未列入”或“被列入”）</w:t>
      </w:r>
      <w:r>
        <w:rPr>
          <w:rFonts w:hint="eastAsia" w:ascii="宋体" w:hAnsi="宋体"/>
          <w:color w:val="auto"/>
          <w:sz w:val="28"/>
          <w:szCs w:val="28"/>
          <w:highlight w:val="none"/>
        </w:rPr>
        <w:t>政府采购严重违法失信行为记录名单。</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六、我单位</w:t>
      </w:r>
      <w:r>
        <w:rPr>
          <w:rFonts w:hint="eastAsia" w:ascii="宋体" w:hAnsi="宋体"/>
          <w:b/>
          <w:color w:val="auto"/>
          <w:sz w:val="28"/>
          <w:szCs w:val="28"/>
          <w:highlight w:val="none"/>
          <w:u w:val="single"/>
        </w:rPr>
        <w:t>（说明：填写“未处于”或“处于”）</w:t>
      </w:r>
      <w:r>
        <w:rPr>
          <w:rFonts w:hint="eastAsia" w:ascii="宋体" w:hAnsi="宋体"/>
          <w:bCs/>
          <w:color w:val="auto"/>
          <w:sz w:val="28"/>
          <w:szCs w:val="28"/>
          <w:highlight w:val="none"/>
        </w:rPr>
        <w:t>被行政部门禁止参与政府采购活动的期限内。</w:t>
      </w:r>
    </w:p>
    <w:p>
      <w:pPr>
        <w:tabs>
          <w:tab w:val="left" w:pos="1260"/>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特此声明。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投标人名称：</w:t>
      </w:r>
      <w:r>
        <w:rPr>
          <w:rFonts w:hint="eastAsia" w:ascii="宋体" w:hAnsi="宋体"/>
          <w:color w:val="auto"/>
          <w:sz w:val="28"/>
          <w:szCs w:val="28"/>
          <w:highlight w:val="none"/>
          <w:u w:val="single"/>
        </w:rPr>
        <w:t>XXXX</w:t>
      </w:r>
    </w:p>
    <w:p>
      <w:pPr>
        <w:tabs>
          <w:tab w:val="left" w:pos="1260"/>
        </w:tabs>
        <w:spacing w:line="560" w:lineRule="exact"/>
        <w:ind w:firstLine="560" w:firstLineChars="200"/>
        <w:rPr>
          <w:rFonts w:ascii="宋体" w:hAnsi="宋体"/>
          <w:color w:val="auto"/>
          <w:sz w:val="28"/>
          <w:szCs w:val="28"/>
          <w:highlight w:val="none"/>
          <w:u w:val="single"/>
        </w:rPr>
      </w:pPr>
      <w:r>
        <w:rPr>
          <w:rFonts w:hint="eastAsia" w:ascii="宋体" w:hAnsi="宋体"/>
          <w:color w:val="auto"/>
          <w:sz w:val="28"/>
          <w:szCs w:val="28"/>
          <w:highlight w:val="none"/>
        </w:rPr>
        <w:t>日    期：202</w:t>
      </w:r>
      <w:r>
        <w:rPr>
          <w:rFonts w:hint="eastAsia" w:ascii="宋体" w:hAnsi="宋体"/>
          <w:color w:val="auto"/>
          <w:sz w:val="28"/>
          <w:szCs w:val="28"/>
          <w:highlight w:val="none"/>
          <w:u w:val="single"/>
        </w:rPr>
        <w:t>X</w:t>
      </w:r>
      <w:r>
        <w:rPr>
          <w:rFonts w:hint="eastAsia" w:ascii="宋体" w:hAnsi="宋体"/>
          <w:color w:val="auto"/>
          <w:sz w:val="28"/>
          <w:szCs w:val="28"/>
          <w:highlight w:val="none"/>
        </w:rPr>
        <w:t>年</w:t>
      </w:r>
      <w:r>
        <w:rPr>
          <w:rFonts w:hint="eastAsia" w:ascii="宋体" w:hAnsi="宋体"/>
          <w:color w:val="auto"/>
          <w:sz w:val="28"/>
          <w:szCs w:val="28"/>
          <w:highlight w:val="none"/>
          <w:u w:val="single"/>
        </w:rPr>
        <w:t>XX</w:t>
      </w:r>
      <w:r>
        <w:rPr>
          <w:rFonts w:hint="eastAsia" w:ascii="宋体" w:hAnsi="宋体"/>
          <w:color w:val="auto"/>
          <w:sz w:val="28"/>
          <w:szCs w:val="28"/>
          <w:highlight w:val="none"/>
        </w:rPr>
        <w:t>月</w:t>
      </w:r>
      <w:r>
        <w:rPr>
          <w:rFonts w:hint="eastAsia" w:ascii="宋体" w:hAnsi="宋体"/>
          <w:color w:val="auto"/>
          <w:sz w:val="28"/>
          <w:szCs w:val="28"/>
          <w:highlight w:val="none"/>
          <w:u w:val="single"/>
        </w:rPr>
        <w:t>XX</w:t>
      </w:r>
      <w:r>
        <w:rPr>
          <w:rFonts w:hint="eastAsia" w:ascii="宋体" w:hAnsi="宋体"/>
          <w:color w:val="auto"/>
          <w:sz w:val="28"/>
          <w:szCs w:val="28"/>
          <w:highlight w:val="none"/>
        </w:rPr>
        <w:t>日</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说明：</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1.对声明中第一条的说明：如投标人在参加政府采购活动前三年内，在经营活动中有重大违法记录的，应填写“有”，投标人将被认定投标无效或被取消中标资格；</w:t>
      </w:r>
      <w:r>
        <w:rPr>
          <w:rFonts w:ascii="宋体" w:hAnsi="宋体"/>
          <w:color w:val="auto"/>
          <w:sz w:val="28"/>
          <w:szCs w:val="28"/>
          <w:highlight w:val="none"/>
        </w:rPr>
        <w:t>重大违法记录中的较大数额罚款的具体金额标准</w:t>
      </w:r>
      <w:r>
        <w:rPr>
          <w:rFonts w:hint="eastAsia" w:ascii="宋体" w:hAnsi="宋体"/>
          <w:color w:val="auto"/>
          <w:sz w:val="28"/>
          <w:szCs w:val="28"/>
          <w:highlight w:val="none"/>
        </w:rPr>
        <w:t>是指</w:t>
      </w:r>
      <w:r>
        <w:rPr>
          <w:rFonts w:ascii="宋体" w:hAnsi="宋体"/>
          <w:color w:val="auto"/>
          <w:sz w:val="28"/>
          <w:szCs w:val="28"/>
          <w:highlight w:val="none"/>
        </w:rPr>
        <w:t>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2. 对声明中第三条的说明：单位负责人为同一人或者存在直接控股、管理关系的不同供应商，不得参加同一合同项下的政府采购活动；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3.对声明中第四条的说明：在行贿犯罪信息查询期限内，投标人根据中国裁判文书网（https://wenshu.court.gov.cn）查询结果，如果投标人及其现任法定代表人、主要负责人有行贿犯罪记录的，投标人应填写“有”，投标人将被认定投标无效或被取消中标资格；</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4.对声明中第五条的说明：投标人如被列入失信被执行人、重大税收违法案件当事人名单，应填写“被列入”，投标人将被认定投标无效或被取消中标资格；投标人如被列入政府采购严重违法失信行为记录名单，应填写“被列入”，投标人将被认定投标无效或被取消中标资格；</w:t>
      </w:r>
    </w:p>
    <w:p>
      <w:pPr>
        <w:tabs>
          <w:tab w:val="left" w:pos="1260"/>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5.对声明中第六条的说明：如投标人处于被行政部门禁止参加政府采购活动期限内的，该声明填“处于”，投标人将被认定投标无效或被取消中标资格。</w:t>
      </w: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tabs>
          <w:tab w:val="left" w:pos="1260"/>
        </w:tabs>
        <w:spacing w:line="560" w:lineRule="exact"/>
        <w:ind w:firstLine="560" w:firstLineChars="200"/>
        <w:rPr>
          <w:rFonts w:ascii="宋体" w:hAnsi="宋体"/>
          <w:color w:val="auto"/>
          <w:sz w:val="28"/>
          <w:szCs w:val="28"/>
          <w:highlight w:val="none"/>
        </w:rPr>
      </w:pP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投标人应提交的相关资格证明材料</w:t>
      </w:r>
    </w:p>
    <w:p>
      <w:pPr>
        <w:ind w:firstLine="560" w:firstLineChars="200"/>
        <w:rPr>
          <w:color w:val="auto"/>
          <w:sz w:val="28"/>
          <w:szCs w:val="28"/>
          <w:highlight w:val="none"/>
        </w:rPr>
      </w:pP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投标人按招标文件要求，应提供以下相关资格证明材料：</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一</w:t>
      </w:r>
      <w:r>
        <w:rPr>
          <w:rFonts w:ascii="宋体" w:hAnsi="宋体"/>
          <w:color w:val="auto"/>
          <w:kern w:val="0"/>
          <w:sz w:val="28"/>
          <w:szCs w:val="28"/>
          <w:highlight w:val="none"/>
        </w:rPr>
        <w:t>、</w:t>
      </w:r>
      <w:r>
        <w:rPr>
          <w:rFonts w:hint="eastAsia" w:ascii="宋体" w:hAnsi="宋体"/>
          <w:color w:val="auto"/>
          <w:kern w:val="0"/>
          <w:sz w:val="28"/>
          <w:szCs w:val="28"/>
          <w:highlight w:val="none"/>
        </w:rPr>
        <w:t>营业执照复印件（正本或副本）或法人证书复印件（正本或副本）；</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二</w:t>
      </w:r>
      <w:r>
        <w:rPr>
          <w:rFonts w:ascii="宋体" w:hAnsi="宋体"/>
          <w:color w:val="auto"/>
          <w:kern w:val="0"/>
          <w:sz w:val="28"/>
          <w:szCs w:val="28"/>
          <w:highlight w:val="none"/>
        </w:rPr>
        <w:t>、</w:t>
      </w:r>
      <w:r>
        <w:rPr>
          <w:rFonts w:hint="eastAsia" w:ascii="宋体" w:hAnsi="宋体"/>
          <w:color w:val="auto"/>
          <w:kern w:val="0"/>
          <w:sz w:val="28"/>
          <w:szCs w:val="28"/>
          <w:highlight w:val="none"/>
        </w:rPr>
        <w:t>2019或2020会计年度资产负债表复印件（说明：投标人成立时间至递交投标文件截止时间止不足一年的，提供成立后任意时段的资产负债表复印件）；</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三</w:t>
      </w:r>
      <w:r>
        <w:rPr>
          <w:rFonts w:ascii="宋体" w:hAnsi="宋体"/>
          <w:color w:val="auto"/>
          <w:kern w:val="0"/>
          <w:sz w:val="28"/>
          <w:szCs w:val="28"/>
          <w:highlight w:val="none"/>
        </w:rPr>
        <w:t>、</w:t>
      </w:r>
      <w:r>
        <w:rPr>
          <w:rFonts w:hint="eastAsia" w:ascii="宋体" w:hAnsi="宋体"/>
          <w:color w:val="auto"/>
          <w:kern w:val="0"/>
          <w:sz w:val="28"/>
          <w:szCs w:val="28"/>
          <w:highlight w:val="none"/>
        </w:rPr>
        <w:t>投标人缴纳2020或2021年任意时段的税收的银行电子回单或者行政部门出具的纳税证明或完税证明复印件；</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四</w:t>
      </w:r>
      <w:r>
        <w:rPr>
          <w:rFonts w:ascii="宋体" w:hAnsi="宋体"/>
          <w:color w:val="auto"/>
          <w:kern w:val="0"/>
          <w:sz w:val="28"/>
          <w:szCs w:val="28"/>
          <w:highlight w:val="none"/>
        </w:rPr>
        <w:t>、</w:t>
      </w:r>
      <w:r>
        <w:rPr>
          <w:rFonts w:hint="eastAsia" w:ascii="宋体" w:hAnsi="宋体"/>
          <w:color w:val="auto"/>
          <w:kern w:val="0"/>
          <w:sz w:val="28"/>
          <w:szCs w:val="28"/>
          <w:highlight w:val="none"/>
        </w:rPr>
        <w:t>采购人对投标人履行合同所必须的设备和专业技术能力无其他特殊要求，投标人具有有效的营业执照或法人证书即可，可不提供其他证明材料；</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五</w:t>
      </w:r>
      <w:r>
        <w:rPr>
          <w:rFonts w:ascii="宋体" w:hAnsi="宋体"/>
          <w:color w:val="auto"/>
          <w:kern w:val="0"/>
          <w:sz w:val="28"/>
          <w:szCs w:val="28"/>
          <w:highlight w:val="none"/>
        </w:rPr>
        <w:t>、</w:t>
      </w:r>
      <w:r>
        <w:rPr>
          <w:rFonts w:hint="eastAsia" w:ascii="宋体" w:hAnsi="宋体"/>
          <w:color w:val="auto"/>
          <w:kern w:val="0"/>
          <w:sz w:val="28"/>
          <w:szCs w:val="28"/>
          <w:highlight w:val="none"/>
        </w:rPr>
        <w:t>投标人缴纳2020或2021年任意时段的社保的银行电子回单或行政部门出具的社保缴纳证明材料复印件；</w:t>
      </w:r>
    </w:p>
    <w:p>
      <w:pPr>
        <w:pStyle w:val="80"/>
        <w:tabs>
          <w:tab w:val="left" w:pos="1134"/>
        </w:tabs>
        <w:spacing w:after="200" w:line="360" w:lineRule="auto"/>
        <w:ind w:firstLine="546" w:firstLineChars="0"/>
        <w:rPr>
          <w:rFonts w:ascii="宋体" w:hAnsi="宋体"/>
          <w:color w:val="auto"/>
          <w:kern w:val="0"/>
          <w:sz w:val="28"/>
          <w:szCs w:val="28"/>
          <w:highlight w:val="none"/>
        </w:rPr>
      </w:pPr>
      <w:r>
        <w:rPr>
          <w:rFonts w:hint="eastAsia" w:ascii="宋体" w:hAnsi="宋体"/>
          <w:color w:val="auto"/>
          <w:kern w:val="0"/>
          <w:sz w:val="28"/>
          <w:szCs w:val="28"/>
          <w:highlight w:val="none"/>
        </w:rPr>
        <w:t>六</w:t>
      </w:r>
      <w:r>
        <w:rPr>
          <w:rFonts w:ascii="宋体" w:hAnsi="宋体"/>
          <w:color w:val="auto"/>
          <w:kern w:val="0"/>
          <w:sz w:val="28"/>
          <w:szCs w:val="28"/>
          <w:highlight w:val="none"/>
        </w:rPr>
        <w:t>、</w:t>
      </w:r>
      <w:r>
        <w:rPr>
          <w:rFonts w:hint="eastAsia" w:ascii="宋体" w:hAnsi="宋体"/>
          <w:color w:val="auto"/>
          <w:kern w:val="0"/>
          <w:sz w:val="28"/>
          <w:szCs w:val="28"/>
          <w:highlight w:val="none"/>
        </w:rPr>
        <w:t>采购人对法律、行政法规规定的其他条件无其他特殊要求，投标人具有有效的营业执照或法人证书即可，可不提供其他证明材料。</w:t>
      </w:r>
    </w:p>
    <w:p>
      <w:pPr>
        <w:spacing w:line="360" w:lineRule="auto"/>
        <w:ind w:firstLine="560" w:firstLineChars="200"/>
        <w:rPr>
          <w:color w:val="auto"/>
          <w:sz w:val="28"/>
          <w:szCs w:val="28"/>
          <w:highlight w:val="none"/>
        </w:rPr>
      </w:pPr>
    </w:p>
    <w:p>
      <w:pPr>
        <w:spacing w:line="360" w:lineRule="auto"/>
        <w:ind w:firstLine="560" w:firstLineChars="200"/>
        <w:rPr>
          <w:color w:val="auto"/>
          <w:sz w:val="28"/>
          <w:szCs w:val="28"/>
          <w:highlight w:val="none"/>
        </w:rPr>
      </w:pPr>
    </w:p>
    <w:p>
      <w:pPr>
        <w:spacing w:line="360" w:lineRule="auto"/>
        <w:ind w:firstLine="560" w:firstLineChars="200"/>
        <w:rPr>
          <w:color w:val="auto"/>
          <w:sz w:val="28"/>
          <w:szCs w:val="28"/>
          <w:highlight w:val="none"/>
        </w:rPr>
      </w:pPr>
    </w:p>
    <w:p>
      <w:pPr>
        <w:spacing w:line="360" w:lineRule="auto"/>
        <w:ind w:firstLine="560" w:firstLineChars="200"/>
        <w:rPr>
          <w:color w:val="auto"/>
          <w:sz w:val="28"/>
          <w:szCs w:val="28"/>
          <w:highlight w:val="none"/>
        </w:rPr>
      </w:pPr>
    </w:p>
    <w:p>
      <w:pPr>
        <w:spacing w:line="360" w:lineRule="auto"/>
        <w:ind w:firstLine="560" w:firstLineChars="200"/>
        <w:rPr>
          <w:color w:val="auto"/>
          <w:sz w:val="28"/>
          <w:szCs w:val="28"/>
          <w:highlight w:val="none"/>
        </w:rPr>
      </w:pPr>
    </w:p>
    <w:p>
      <w:pPr>
        <w:spacing w:line="360" w:lineRule="auto"/>
        <w:ind w:firstLine="560" w:firstLineChars="200"/>
        <w:rPr>
          <w:color w:val="auto"/>
          <w:sz w:val="28"/>
          <w:szCs w:val="28"/>
          <w:highlight w:val="none"/>
        </w:rPr>
      </w:pPr>
    </w:p>
    <w:p>
      <w:pPr>
        <w:keepNext/>
        <w:keepLines/>
        <w:numPr>
          <w:ilvl w:val="1"/>
          <w:numId w:val="5"/>
        </w:numPr>
        <w:spacing w:line="360" w:lineRule="auto"/>
        <w:jc w:val="left"/>
        <w:outlineLvl w:val="1"/>
        <w:rPr>
          <w:rFonts w:ascii="宋体" w:hAnsi="宋体"/>
          <w:b/>
          <w:bCs/>
          <w:color w:val="auto"/>
          <w:sz w:val="28"/>
          <w:szCs w:val="28"/>
          <w:highlight w:val="none"/>
        </w:rPr>
      </w:pPr>
      <w:bookmarkStart w:id="144" w:name="_Toc26118"/>
      <w:bookmarkStart w:id="145" w:name="_Toc28348"/>
      <w:r>
        <w:rPr>
          <w:rFonts w:hint="eastAsia" w:ascii="宋体" w:hAnsi="宋体"/>
          <w:b/>
          <w:bCs/>
          <w:color w:val="auto"/>
          <w:sz w:val="28"/>
          <w:szCs w:val="28"/>
          <w:highlight w:val="none"/>
        </w:rPr>
        <w:t>商务技术响应文件</w:t>
      </w:r>
      <w:bookmarkEnd w:id="144"/>
      <w:bookmarkEnd w:id="145"/>
    </w:p>
    <w:p>
      <w:pPr>
        <w:keepNext/>
        <w:keepLines/>
        <w:numPr>
          <w:ilvl w:val="2"/>
          <w:numId w:val="5"/>
        </w:numPr>
        <w:spacing w:line="360" w:lineRule="auto"/>
        <w:ind w:left="569" w:hanging="569"/>
        <w:outlineLvl w:val="2"/>
        <w:rPr>
          <w:rFonts w:ascii="宋体" w:hAnsi="宋体"/>
          <w:b/>
          <w:bCs/>
          <w:color w:val="auto"/>
          <w:sz w:val="28"/>
          <w:szCs w:val="28"/>
          <w:highlight w:val="none"/>
        </w:rPr>
      </w:pPr>
      <w:r>
        <w:rPr>
          <w:rFonts w:hint="eastAsia" w:ascii="宋体" w:hAnsi="宋体"/>
          <w:b/>
          <w:bCs/>
          <w:color w:val="auto"/>
          <w:sz w:val="28"/>
          <w:szCs w:val="28"/>
          <w:highlight w:val="none"/>
        </w:rPr>
        <w:t>投标函</w:t>
      </w:r>
    </w:p>
    <w:p>
      <w:pPr>
        <w:spacing w:line="560" w:lineRule="exact"/>
        <w:rPr>
          <w:rFonts w:ascii="宋体" w:hAnsi="宋体"/>
          <w:bCs/>
          <w:color w:val="auto"/>
          <w:sz w:val="28"/>
          <w:szCs w:val="28"/>
          <w:highlight w:val="none"/>
        </w:rPr>
      </w:pPr>
      <w:r>
        <w:rPr>
          <w:rFonts w:hint="eastAsia" w:ascii="宋体" w:hAnsi="宋体"/>
          <w:bCs/>
          <w:color w:val="auto"/>
          <w:sz w:val="28"/>
          <w:szCs w:val="28"/>
          <w:highlight w:val="none"/>
        </w:rPr>
        <w:t>成都市</w:t>
      </w:r>
      <w:r>
        <w:rPr>
          <w:rFonts w:hint="eastAsia" w:ascii="宋体" w:hAnsi="宋体"/>
          <w:bCs/>
          <w:color w:val="auto"/>
          <w:sz w:val="28"/>
          <w:szCs w:val="28"/>
          <w:highlight w:val="none"/>
          <w:lang w:eastAsia="zh-CN"/>
        </w:rPr>
        <w:t>温江区</w:t>
      </w:r>
      <w:r>
        <w:rPr>
          <w:rFonts w:hint="eastAsia" w:ascii="宋体" w:hAnsi="宋体"/>
          <w:bCs/>
          <w:color w:val="auto"/>
          <w:sz w:val="28"/>
          <w:szCs w:val="28"/>
          <w:highlight w:val="none"/>
        </w:rPr>
        <w:t>公共资源交易服务中心：</w:t>
      </w:r>
    </w:p>
    <w:p>
      <w:pPr>
        <w:spacing w:line="560" w:lineRule="exact"/>
        <w:ind w:firstLine="565" w:firstLineChars="202"/>
        <w:rPr>
          <w:rFonts w:ascii="宋体" w:hAnsi="宋体"/>
          <w:bCs/>
          <w:color w:val="auto"/>
          <w:sz w:val="28"/>
          <w:szCs w:val="28"/>
          <w:highlight w:val="none"/>
        </w:rPr>
      </w:pPr>
      <w:r>
        <w:rPr>
          <w:rFonts w:hint="eastAsia" w:ascii="宋体" w:hAnsi="宋体"/>
          <w:bCs/>
          <w:color w:val="auto"/>
          <w:sz w:val="28"/>
          <w:szCs w:val="28"/>
          <w:highlight w:val="none"/>
        </w:rPr>
        <w:t>我方全面研究了“</w:t>
      </w:r>
      <w:r>
        <w:rPr>
          <w:rFonts w:hint="eastAsia" w:ascii="宋体" w:hAnsi="宋体"/>
          <w:b/>
          <w:color w:val="auto"/>
          <w:sz w:val="28"/>
          <w:szCs w:val="28"/>
          <w:highlight w:val="none"/>
          <w:u w:val="single"/>
          <w:lang w:eastAsia="zh-CN"/>
        </w:rPr>
        <w:t>成都市温江区智慧平安小区建设项目</w:t>
      </w:r>
      <w:r>
        <w:rPr>
          <w:rFonts w:hint="eastAsia" w:ascii="宋体" w:hAnsi="宋体"/>
          <w:b/>
          <w:bCs/>
          <w:color w:val="auto"/>
          <w:sz w:val="28"/>
          <w:szCs w:val="28"/>
          <w:highlight w:val="none"/>
          <w:u w:val="single"/>
        </w:rPr>
        <w:t>”（项目编号：</w:t>
      </w:r>
      <w:r>
        <w:rPr>
          <w:rFonts w:hint="eastAsia" w:ascii="宋体" w:hAnsi="宋体"/>
          <w:b/>
          <w:bCs/>
          <w:color w:val="auto"/>
          <w:sz w:val="28"/>
          <w:szCs w:val="28"/>
          <w:highlight w:val="none"/>
          <w:u w:val="single"/>
          <w:lang w:eastAsia="zh-CN"/>
        </w:rPr>
        <w:t>温江政采（2021）A0031号</w:t>
      </w:r>
      <w:r>
        <w:rPr>
          <w:rFonts w:hint="eastAsia" w:ascii="宋体" w:hAnsi="宋体"/>
          <w:b/>
          <w:bCs/>
          <w:color w:val="auto"/>
          <w:sz w:val="28"/>
          <w:szCs w:val="28"/>
          <w:highlight w:val="none"/>
          <w:u w:val="single"/>
        </w:rPr>
        <w:t>）</w:t>
      </w:r>
      <w:r>
        <w:rPr>
          <w:rFonts w:hint="eastAsia" w:ascii="宋体" w:hAnsi="宋体"/>
          <w:bCs/>
          <w:color w:val="auto"/>
          <w:sz w:val="28"/>
          <w:szCs w:val="28"/>
          <w:highlight w:val="none"/>
        </w:rPr>
        <w:t>招标文件，决定参加贵单位组织的本项目投标。我方授权</w:t>
      </w:r>
      <w:r>
        <w:rPr>
          <w:rFonts w:hint="eastAsia" w:ascii="宋体" w:hAnsi="宋体"/>
          <w:bCs/>
          <w:color w:val="auto"/>
          <w:sz w:val="28"/>
          <w:szCs w:val="28"/>
          <w:highlight w:val="none"/>
          <w:u w:val="single"/>
        </w:rPr>
        <w:t>XXXX（姓名、职务）</w:t>
      </w:r>
      <w:r>
        <w:rPr>
          <w:rFonts w:hint="eastAsia" w:ascii="宋体" w:hAnsi="宋体"/>
          <w:bCs/>
          <w:color w:val="auto"/>
          <w:sz w:val="28"/>
          <w:szCs w:val="28"/>
          <w:highlight w:val="none"/>
        </w:rPr>
        <w:t>代表我方</w:t>
      </w:r>
      <w:r>
        <w:rPr>
          <w:rFonts w:hint="eastAsia" w:ascii="宋体" w:hAnsi="宋体"/>
          <w:bCs/>
          <w:color w:val="auto"/>
          <w:sz w:val="28"/>
          <w:szCs w:val="28"/>
          <w:highlight w:val="none"/>
          <w:u w:val="single"/>
        </w:rPr>
        <w:t>XXXX（投标人名称）</w:t>
      </w:r>
      <w:r>
        <w:rPr>
          <w:rFonts w:hint="eastAsia" w:ascii="宋体" w:hAnsi="宋体"/>
          <w:bCs/>
          <w:color w:val="auto"/>
          <w:sz w:val="28"/>
          <w:szCs w:val="28"/>
          <w:highlight w:val="none"/>
        </w:rPr>
        <w:t>全权处理本项目投标的有关事宜。</w:t>
      </w:r>
    </w:p>
    <w:p>
      <w:pPr>
        <w:numPr>
          <w:ilvl w:val="1"/>
          <w:numId w:val="35"/>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我方自愿按照招标文件规定的各项要求向采购人提供所需货物及服务，</w:t>
      </w:r>
      <w:r>
        <w:rPr>
          <w:rFonts w:hint="eastAsia" w:ascii="宋体" w:hAnsi="宋体"/>
          <w:b/>
          <w:color w:val="auto"/>
          <w:sz w:val="28"/>
          <w:szCs w:val="28"/>
          <w:highlight w:val="none"/>
        </w:rPr>
        <w:t>投标报价以我方在政府采购云平台《开标一览表》中</w:t>
      </w:r>
      <w:r>
        <w:rPr>
          <w:rFonts w:ascii="宋体" w:hAnsi="宋体"/>
          <w:b/>
          <w:color w:val="auto"/>
          <w:sz w:val="28"/>
          <w:szCs w:val="28"/>
          <w:highlight w:val="none"/>
        </w:rPr>
        <w:t>填写的报价</w:t>
      </w:r>
      <w:r>
        <w:rPr>
          <w:rFonts w:hint="eastAsia" w:ascii="宋体" w:hAnsi="宋体"/>
          <w:b/>
          <w:color w:val="auto"/>
          <w:sz w:val="28"/>
          <w:szCs w:val="28"/>
          <w:highlight w:val="none"/>
        </w:rPr>
        <w:t>为准</w:t>
      </w:r>
      <w:r>
        <w:rPr>
          <w:rFonts w:hint="eastAsia" w:ascii="宋体" w:hAnsi="宋体"/>
          <w:color w:val="auto"/>
          <w:sz w:val="28"/>
          <w:szCs w:val="28"/>
          <w:highlight w:val="none"/>
        </w:rPr>
        <w:t>。</w:t>
      </w:r>
    </w:p>
    <w:p>
      <w:pPr>
        <w:numPr>
          <w:ilvl w:val="1"/>
          <w:numId w:val="35"/>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如果我方中标，我方将严格履行合同规定的责任和义务，否则将承担由此产生的一切责任。</w:t>
      </w:r>
    </w:p>
    <w:p>
      <w:pPr>
        <w:numPr>
          <w:ilvl w:val="1"/>
          <w:numId w:val="35"/>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我方已知晓全部招标文件的内容，包括修改文件（如有）以及全部相关资料和有关附件，并对上述文件均无异议。</w:t>
      </w:r>
    </w:p>
    <w:p>
      <w:pPr>
        <w:numPr>
          <w:ilvl w:val="1"/>
          <w:numId w:val="35"/>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投标有效期为从投标截止之日起120天。</w:t>
      </w:r>
    </w:p>
    <w:p>
      <w:pPr>
        <w:numPr>
          <w:ilvl w:val="1"/>
          <w:numId w:val="35"/>
        </w:numPr>
        <w:tabs>
          <w:tab w:val="left" w:pos="1134"/>
        </w:tabs>
        <w:spacing w:line="560" w:lineRule="exact"/>
        <w:ind w:left="0" w:firstLine="567"/>
        <w:rPr>
          <w:rFonts w:ascii="宋体" w:hAnsi="宋体"/>
          <w:color w:val="auto"/>
          <w:sz w:val="28"/>
          <w:szCs w:val="28"/>
          <w:highlight w:val="none"/>
        </w:rPr>
      </w:pPr>
      <w:r>
        <w:rPr>
          <w:rFonts w:hint="eastAsia" w:ascii="宋体" w:hAnsi="宋体"/>
          <w:color w:val="auto"/>
          <w:sz w:val="28"/>
          <w:szCs w:val="28"/>
          <w:highlight w:val="none"/>
        </w:rPr>
        <w:t>我方愿意提供贵中心可能另外要求的，与投标有关的文件资料，并保证我方已提供和将要提供的文件资料是真实、准确的，并对此承担一切法律后果。</w:t>
      </w:r>
    </w:p>
    <w:p>
      <w:pPr>
        <w:numPr>
          <w:ilvl w:val="1"/>
          <w:numId w:val="35"/>
        </w:numPr>
        <w:tabs>
          <w:tab w:val="left" w:pos="1134"/>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我单位联系方式：</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地    址：</w:t>
      </w:r>
      <w:r>
        <w:rPr>
          <w:rFonts w:hint="eastAsia" w:ascii="宋体" w:hAnsi="宋体"/>
          <w:color w:val="auto"/>
          <w:sz w:val="28"/>
          <w:szCs w:val="28"/>
          <w:highlight w:val="none"/>
          <w:u w:val="single"/>
        </w:rPr>
        <w:t>XXXX</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传    真：</w:t>
      </w:r>
      <w:r>
        <w:rPr>
          <w:rFonts w:hint="eastAsia" w:ascii="宋体" w:hAnsi="宋体"/>
          <w:color w:val="auto"/>
          <w:sz w:val="28"/>
          <w:szCs w:val="28"/>
          <w:highlight w:val="none"/>
          <w:u w:val="single"/>
        </w:rPr>
        <w:t>XXXX</w:t>
      </w:r>
    </w:p>
    <w:p>
      <w:pPr>
        <w:spacing w:line="360" w:lineRule="auto"/>
        <w:ind w:left="420" w:firstLine="565" w:firstLineChars="202"/>
        <w:rPr>
          <w:rFonts w:ascii="宋体" w:hAnsi="宋体"/>
          <w:color w:val="auto"/>
          <w:sz w:val="28"/>
          <w:szCs w:val="28"/>
          <w:highlight w:val="none"/>
          <w:u w:val="single"/>
        </w:rPr>
      </w:pPr>
      <w:r>
        <w:rPr>
          <w:rFonts w:hint="eastAsia" w:ascii="宋体" w:hAnsi="宋体"/>
          <w:color w:val="auto"/>
          <w:sz w:val="28"/>
          <w:szCs w:val="28"/>
          <w:highlight w:val="none"/>
        </w:rPr>
        <w:t>邮政编码：</w:t>
      </w:r>
      <w:r>
        <w:rPr>
          <w:rFonts w:hint="eastAsia" w:ascii="宋体" w:hAnsi="宋体"/>
          <w:color w:val="auto"/>
          <w:sz w:val="28"/>
          <w:szCs w:val="28"/>
          <w:highlight w:val="none"/>
          <w:u w:val="single"/>
        </w:rPr>
        <w:t>XXXX</w:t>
      </w:r>
    </w:p>
    <w:p>
      <w:pPr>
        <w:spacing w:after="120" w:line="360" w:lineRule="auto"/>
        <w:ind w:left="420" w:leftChars="200" w:firstLine="560" w:firstLine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spacing w:line="360" w:lineRule="auto"/>
        <w:ind w:left="283" w:leftChars="135" w:firstLine="700" w:firstLineChars="250"/>
        <w:rPr>
          <w:rFonts w:ascii="宋体" w:hAnsi="宋体"/>
          <w:bCs/>
          <w:color w:val="auto"/>
          <w:sz w:val="28"/>
          <w:highlight w:val="none"/>
          <w:u w:val="single"/>
        </w:rPr>
      </w:pPr>
      <w:r>
        <w:rPr>
          <w:rFonts w:hint="eastAsia" w:ascii="宋体" w:hAnsi="宋体"/>
          <w:bCs/>
          <w:color w:val="auto"/>
          <w:sz w:val="28"/>
          <w:szCs w:val="28"/>
          <w:highlight w:val="none"/>
        </w:rPr>
        <w:t>日    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spacing w:line="360" w:lineRule="auto"/>
        <w:ind w:left="283" w:leftChars="135" w:firstLine="700" w:firstLineChars="250"/>
        <w:rPr>
          <w:rFonts w:ascii="宋体" w:hAnsi="宋体"/>
          <w:color w:val="auto"/>
          <w:sz w:val="28"/>
          <w:szCs w:val="28"/>
          <w:highlight w:val="none"/>
          <w:u w:val="single"/>
        </w:rPr>
      </w:pPr>
    </w:p>
    <w:p>
      <w:pPr>
        <w:keepNext/>
        <w:keepLines/>
        <w:numPr>
          <w:ilvl w:val="2"/>
          <w:numId w:val="5"/>
        </w:numPr>
        <w:spacing w:line="360" w:lineRule="auto"/>
        <w:ind w:left="3119" w:hanging="3119"/>
        <w:outlineLvl w:val="2"/>
        <w:rPr>
          <w:rFonts w:ascii="宋体" w:hAnsi="宋体"/>
          <w:b/>
          <w:bCs/>
          <w:color w:val="auto"/>
          <w:sz w:val="28"/>
          <w:szCs w:val="28"/>
          <w:highlight w:val="none"/>
        </w:rPr>
      </w:pPr>
      <w:bookmarkStart w:id="146" w:name="_Toc314574804"/>
      <w:bookmarkStart w:id="147" w:name="_Toc239849853"/>
      <w:bookmarkStart w:id="148" w:name="_Toc231030275"/>
      <w:bookmarkStart w:id="149" w:name="_Toc265494342"/>
      <w:bookmarkStart w:id="150" w:name="_Toc229802674"/>
      <w:bookmarkStart w:id="151" w:name="_Toc240367172"/>
      <w:bookmarkStart w:id="152" w:name="_Toc240865266"/>
      <w:bookmarkStart w:id="153" w:name="_Toc237145395"/>
      <w:bookmarkStart w:id="154" w:name="_Toc239846734"/>
      <w:r>
        <w:rPr>
          <w:rFonts w:hint="eastAsia" w:ascii="宋体" w:hAnsi="宋体"/>
          <w:b/>
          <w:bCs/>
          <w:color w:val="auto"/>
          <w:sz w:val="28"/>
          <w:szCs w:val="28"/>
          <w:highlight w:val="none"/>
        </w:rPr>
        <w:t>法定代表人身份证明书</w:t>
      </w:r>
    </w:p>
    <w:p>
      <w:pPr>
        <w:tabs>
          <w:tab w:val="left" w:pos="6300"/>
        </w:tabs>
        <w:spacing w:line="360" w:lineRule="auto"/>
        <w:ind w:firstLine="573"/>
        <w:rPr>
          <w:rFonts w:ascii="宋体" w:hAnsi="宋体"/>
          <w:color w:val="auto"/>
          <w:sz w:val="28"/>
          <w:highlight w:val="none"/>
          <w:u w:val="single"/>
          <w:lang w:val="zh-CN"/>
        </w:rPr>
      </w:pPr>
    </w:p>
    <w:p>
      <w:pPr>
        <w:tabs>
          <w:tab w:val="left" w:pos="6300"/>
        </w:tabs>
        <w:spacing w:line="360" w:lineRule="auto"/>
        <w:ind w:firstLine="573"/>
        <w:rPr>
          <w:rFonts w:ascii="宋体" w:hAnsi="宋体"/>
          <w:color w:val="auto"/>
          <w:sz w:val="28"/>
          <w:highlight w:val="none"/>
          <w:lang w:val="zh-CN"/>
        </w:rPr>
      </w:pPr>
      <w:r>
        <w:rPr>
          <w:rFonts w:hint="eastAsia" w:ascii="宋体" w:hAnsi="宋体"/>
          <w:color w:val="auto"/>
          <w:sz w:val="28"/>
          <w:highlight w:val="none"/>
          <w:u w:val="single"/>
          <w:lang w:val="zh-CN"/>
        </w:rPr>
        <w:t>XXXX（法定代表人姓名）</w:t>
      </w:r>
      <w:r>
        <w:rPr>
          <w:rFonts w:hint="eastAsia" w:ascii="宋体" w:hAnsi="宋体"/>
          <w:color w:val="auto"/>
          <w:sz w:val="28"/>
          <w:highlight w:val="none"/>
          <w:lang w:val="zh-CN"/>
        </w:rPr>
        <w:t>在</w:t>
      </w:r>
      <w:r>
        <w:rPr>
          <w:rFonts w:hint="eastAsia" w:ascii="宋体" w:hAnsi="宋体"/>
          <w:color w:val="auto"/>
          <w:sz w:val="28"/>
          <w:highlight w:val="none"/>
          <w:u w:val="single"/>
          <w:lang w:val="zh-CN"/>
        </w:rPr>
        <w:t>XXXX（投标人名称）</w:t>
      </w:r>
      <w:r>
        <w:rPr>
          <w:rFonts w:hint="eastAsia" w:ascii="宋体" w:hAnsi="宋体"/>
          <w:color w:val="auto"/>
          <w:sz w:val="28"/>
          <w:highlight w:val="none"/>
          <w:lang w:val="zh-CN"/>
        </w:rPr>
        <w:t>处 任</w:t>
      </w:r>
      <w:r>
        <w:rPr>
          <w:rFonts w:hint="eastAsia" w:ascii="宋体" w:hAnsi="宋体"/>
          <w:color w:val="auto"/>
          <w:sz w:val="28"/>
          <w:highlight w:val="none"/>
          <w:u w:val="single"/>
          <w:lang w:val="zh-CN"/>
        </w:rPr>
        <w:t>XXXX（职务名称）</w:t>
      </w:r>
      <w:r>
        <w:rPr>
          <w:rFonts w:hint="eastAsia" w:ascii="宋体" w:hAnsi="宋体"/>
          <w:color w:val="auto"/>
          <w:sz w:val="28"/>
          <w:highlight w:val="none"/>
          <w:lang w:val="zh-CN"/>
        </w:rPr>
        <w:t>职务，是</w:t>
      </w:r>
      <w:r>
        <w:rPr>
          <w:rFonts w:hint="eastAsia" w:ascii="宋体" w:hAnsi="宋体"/>
          <w:color w:val="auto"/>
          <w:sz w:val="28"/>
          <w:highlight w:val="none"/>
          <w:u w:val="single"/>
          <w:lang w:val="zh-CN"/>
        </w:rPr>
        <w:t>XXXX（投标人名称）</w:t>
      </w:r>
      <w:r>
        <w:rPr>
          <w:rFonts w:hint="eastAsia" w:ascii="宋体" w:hAnsi="宋体"/>
          <w:color w:val="auto"/>
          <w:sz w:val="28"/>
          <w:highlight w:val="none"/>
          <w:lang w:val="zh-CN"/>
        </w:rPr>
        <w:t>的法定代表人。</w:t>
      </w: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ind w:firstLine="573"/>
        <w:rPr>
          <w:rFonts w:ascii="宋体" w:hAnsi="宋体"/>
          <w:color w:val="auto"/>
          <w:sz w:val="28"/>
          <w:highlight w:val="none"/>
          <w:lang w:val="zh-CN"/>
        </w:rPr>
      </w:pPr>
    </w:p>
    <w:p>
      <w:pPr>
        <w:tabs>
          <w:tab w:val="left" w:pos="6300"/>
        </w:tabs>
        <w:spacing w:line="360" w:lineRule="auto"/>
        <w:ind w:firstLine="573"/>
        <w:rPr>
          <w:rFonts w:ascii="宋体" w:hAnsi="宋体"/>
          <w:color w:val="auto"/>
          <w:sz w:val="28"/>
          <w:highlight w:val="none"/>
          <w:lang w:val="zh-CN"/>
        </w:rPr>
      </w:pPr>
    </w:p>
    <w:p>
      <w:pPr>
        <w:tabs>
          <w:tab w:val="left" w:pos="6300"/>
        </w:tabs>
        <w:spacing w:line="360" w:lineRule="auto"/>
        <w:ind w:firstLine="573"/>
        <w:rPr>
          <w:rFonts w:ascii="宋体" w:hAnsi="宋体"/>
          <w:color w:val="auto"/>
          <w:sz w:val="28"/>
          <w:highlight w:val="none"/>
          <w:lang w:val="zh-CN"/>
        </w:rPr>
      </w:pPr>
    </w:p>
    <w:p>
      <w:pPr>
        <w:tabs>
          <w:tab w:val="left" w:pos="6300"/>
        </w:tabs>
        <w:spacing w:line="360" w:lineRule="auto"/>
        <w:ind w:firstLine="573"/>
        <w:rPr>
          <w:rFonts w:ascii="宋体" w:hAnsi="宋体"/>
          <w:color w:val="auto"/>
          <w:sz w:val="28"/>
          <w:highlight w:val="none"/>
          <w:lang w:val="zh-CN"/>
        </w:rPr>
      </w:pPr>
      <w:bookmarkStart w:id="155" w:name="_Toc263768866"/>
      <w:r>
        <w:rPr>
          <w:rFonts w:hint="eastAsia" w:ascii="宋体" w:hAnsi="宋体"/>
          <w:color w:val="auto"/>
          <w:sz w:val="28"/>
          <w:highlight w:val="none"/>
          <w:lang w:val="zh-CN"/>
        </w:rPr>
        <w:t>特此证明。</w:t>
      </w:r>
      <w:bookmarkEnd w:id="155"/>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tabs>
          <w:tab w:val="left" w:pos="6300"/>
        </w:tabs>
        <w:spacing w:line="360" w:lineRule="auto"/>
        <w:rPr>
          <w:rFonts w:ascii="宋体" w:hAnsi="宋体"/>
          <w:color w:val="auto"/>
          <w:sz w:val="28"/>
          <w:highlight w:val="none"/>
          <w:lang w:val="zh-CN"/>
        </w:rPr>
      </w:pPr>
    </w:p>
    <w:p>
      <w:pPr>
        <w:spacing w:line="360" w:lineRule="auto"/>
        <w:rPr>
          <w:rFonts w:ascii="宋体" w:hAnsi="宋体"/>
          <w:color w:val="auto"/>
          <w:sz w:val="28"/>
          <w:highlight w:val="none"/>
          <w:lang w:val="zh-CN"/>
        </w:rPr>
      </w:pPr>
      <w:r>
        <w:rPr>
          <w:rFonts w:hint="eastAsia" w:ascii="宋体" w:hAnsi="宋体"/>
          <w:color w:val="auto"/>
          <w:sz w:val="28"/>
          <w:highlight w:val="none"/>
          <w:lang w:val="zh-CN"/>
        </w:rPr>
        <w:t>投标人名称：</w:t>
      </w:r>
      <w:r>
        <w:rPr>
          <w:rFonts w:hint="eastAsia" w:ascii="宋体" w:hAnsi="宋体"/>
          <w:color w:val="auto"/>
          <w:sz w:val="28"/>
          <w:highlight w:val="none"/>
          <w:u w:val="single"/>
          <w:lang w:val="zh-CN"/>
        </w:rPr>
        <w:t>XXXX</w:t>
      </w:r>
    </w:p>
    <w:p>
      <w:pPr>
        <w:spacing w:line="360" w:lineRule="auto"/>
        <w:rPr>
          <w:rFonts w:ascii="宋体" w:hAnsi="宋体"/>
          <w:b/>
          <w:color w:val="auto"/>
          <w:sz w:val="28"/>
          <w:highlight w:val="none"/>
          <w:u w:val="single"/>
          <w:lang w:val="zh-CN"/>
        </w:rPr>
      </w:pPr>
      <w:r>
        <w:rPr>
          <w:rFonts w:hint="eastAsia" w:ascii="宋体" w:hAnsi="宋体"/>
          <w:color w:val="auto"/>
          <w:sz w:val="28"/>
          <w:highlight w:val="none"/>
        </w:rPr>
        <w:t>日期：</w:t>
      </w:r>
      <w:r>
        <w:rPr>
          <w:rFonts w:hint="eastAsia" w:ascii="宋体" w:hAnsi="宋体"/>
          <w:bCs/>
          <w:color w:val="auto"/>
          <w:sz w:val="28"/>
          <w:highlight w:val="none"/>
        </w:rPr>
        <w:t>20</w:t>
      </w:r>
      <w:r>
        <w:rPr>
          <w:rFonts w:hint="eastAsia" w:ascii="宋体" w:hAnsi="宋体"/>
          <w:color w:val="auto"/>
          <w:sz w:val="28"/>
          <w:highlight w:val="none"/>
          <w:lang w:val="zh-CN"/>
        </w:rPr>
        <w:t>2</w:t>
      </w:r>
      <w:r>
        <w:rPr>
          <w:rFonts w:hint="eastAsia" w:ascii="宋体" w:hAnsi="宋体"/>
          <w:color w:val="auto"/>
          <w:sz w:val="28"/>
          <w:highlight w:val="none"/>
          <w:u w:val="single"/>
          <w:lang w:val="zh-CN"/>
        </w:rPr>
        <w:t>X</w:t>
      </w:r>
      <w:r>
        <w:rPr>
          <w:rFonts w:hint="eastAsia" w:ascii="宋体" w:hAnsi="宋体"/>
          <w:bCs/>
          <w:color w:val="auto"/>
          <w:sz w:val="28"/>
          <w:highlight w:val="none"/>
        </w:rPr>
        <w:t>年</w:t>
      </w:r>
      <w:r>
        <w:rPr>
          <w:rFonts w:hint="eastAsia" w:ascii="宋体" w:hAnsi="宋体"/>
          <w:color w:val="auto"/>
          <w:sz w:val="28"/>
          <w:highlight w:val="none"/>
          <w:u w:val="single"/>
          <w:lang w:val="zh-CN"/>
        </w:rPr>
        <w:t>XX</w:t>
      </w:r>
      <w:r>
        <w:rPr>
          <w:rFonts w:hint="eastAsia" w:ascii="宋体" w:hAnsi="宋体"/>
          <w:bCs/>
          <w:color w:val="auto"/>
          <w:sz w:val="28"/>
          <w:highlight w:val="none"/>
        </w:rPr>
        <w:t>月</w:t>
      </w:r>
      <w:r>
        <w:rPr>
          <w:rFonts w:hint="eastAsia" w:ascii="宋体" w:hAnsi="宋体"/>
          <w:color w:val="auto"/>
          <w:sz w:val="28"/>
          <w:highlight w:val="none"/>
          <w:u w:val="single"/>
          <w:lang w:val="zh-CN"/>
        </w:rPr>
        <w:t>XX</w:t>
      </w:r>
      <w:r>
        <w:rPr>
          <w:rFonts w:hint="eastAsia" w:ascii="宋体" w:hAnsi="宋体"/>
          <w:bCs/>
          <w:color w:val="auto"/>
          <w:sz w:val="28"/>
          <w:highlight w:val="none"/>
        </w:rPr>
        <w:t>日</w:t>
      </w:r>
    </w:p>
    <w:p>
      <w:pPr>
        <w:spacing w:after="180" w:line="360" w:lineRule="auto"/>
        <w:ind w:firstLine="568" w:firstLineChars="202"/>
        <w:rPr>
          <w:rFonts w:ascii="宋体" w:hAnsi="宋体"/>
          <w:b/>
          <w:color w:val="auto"/>
          <w:sz w:val="28"/>
          <w:szCs w:val="28"/>
          <w:highlight w:val="none"/>
        </w:rPr>
      </w:pPr>
    </w:p>
    <w:p>
      <w:pPr>
        <w:spacing w:after="180" w:line="360" w:lineRule="auto"/>
        <w:ind w:firstLine="568" w:firstLineChars="202"/>
        <w:rPr>
          <w:rFonts w:ascii="宋体" w:hAnsi="宋体"/>
          <w:b/>
          <w:color w:val="auto"/>
          <w:sz w:val="28"/>
          <w:szCs w:val="28"/>
          <w:highlight w:val="none"/>
        </w:rPr>
      </w:pPr>
      <w:r>
        <w:rPr>
          <w:rFonts w:hint="eastAsia" w:ascii="宋体" w:hAnsi="宋体"/>
          <w:b/>
          <w:color w:val="auto"/>
          <w:sz w:val="28"/>
          <w:szCs w:val="28"/>
          <w:highlight w:val="none"/>
        </w:rPr>
        <w:t>说明：上述证明文件在投标文件中附有法定代表人身份证复印件（身份证两面均应复印）或护照复印件（投标人的法定代表人为外籍人士的，则提供护照复印件）时才能生效。</w:t>
      </w:r>
    </w:p>
    <w:p>
      <w:pPr>
        <w:spacing w:after="180" w:line="300" w:lineRule="auto"/>
        <w:rPr>
          <w:rFonts w:ascii="宋体" w:hAnsi="宋体"/>
          <w:b/>
          <w:color w:val="auto"/>
          <w:sz w:val="28"/>
          <w:szCs w:val="28"/>
          <w:highlight w:val="none"/>
        </w:rPr>
      </w:pPr>
    </w:p>
    <w:bookmarkEnd w:id="146"/>
    <w:bookmarkEnd w:id="147"/>
    <w:bookmarkEnd w:id="148"/>
    <w:bookmarkEnd w:id="149"/>
    <w:bookmarkEnd w:id="150"/>
    <w:bookmarkEnd w:id="151"/>
    <w:bookmarkEnd w:id="152"/>
    <w:bookmarkEnd w:id="153"/>
    <w:bookmarkEnd w:id="154"/>
    <w:p>
      <w:pPr>
        <w:rPr>
          <w:color w:val="auto"/>
          <w:highlight w:val="none"/>
        </w:rPr>
      </w:pPr>
      <w:bookmarkStart w:id="156" w:name="_Toc315871054"/>
      <w:bookmarkEnd w:id="156"/>
      <w:bookmarkStart w:id="157" w:name="_Toc263768870"/>
      <w:bookmarkStart w:id="158" w:name="_Toc220299393"/>
      <w:bookmarkStart w:id="159" w:name="_Toc302997926"/>
      <w:bookmarkStart w:id="160" w:name="_Toc263753605"/>
      <w:bookmarkStart w:id="161" w:name="_Toc217446083"/>
    </w:p>
    <w:p>
      <w:pPr>
        <w:rPr>
          <w:color w:val="auto"/>
          <w:highlight w:val="none"/>
        </w:rPr>
      </w:pPr>
    </w:p>
    <w:p>
      <w:pPr>
        <w:rPr>
          <w:color w:val="auto"/>
          <w:highlight w:val="none"/>
        </w:rPr>
      </w:pPr>
    </w:p>
    <w:bookmarkEnd w:id="157"/>
    <w:bookmarkEnd w:id="158"/>
    <w:bookmarkEnd w:id="159"/>
    <w:bookmarkEnd w:id="160"/>
    <w:bookmarkEnd w:id="161"/>
    <w:p>
      <w:pPr>
        <w:pStyle w:val="5"/>
        <w:numPr>
          <w:ilvl w:val="2"/>
          <w:numId w:val="5"/>
        </w:numPr>
        <w:spacing w:after="200" w:line="240" w:lineRule="auto"/>
        <w:ind w:left="851" w:hanging="851"/>
        <w:rPr>
          <w:color w:val="auto"/>
          <w:highlight w:val="none"/>
        </w:rPr>
      </w:pPr>
      <w:bookmarkStart w:id="162" w:name="_Toc68703944"/>
      <w:bookmarkStart w:id="163" w:name="_Toc316475719"/>
      <w:r>
        <w:rPr>
          <w:rFonts w:hint="eastAsia"/>
          <w:color w:val="auto"/>
          <w:highlight w:val="none"/>
        </w:rPr>
        <w:t>投标产品技术性能、技术参数和配置的详细描述</w:t>
      </w:r>
      <w:bookmarkEnd w:id="162"/>
    </w:p>
    <w:p>
      <w:pPr>
        <w:snapToGrid w:val="0"/>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项目名称：</w:t>
      </w:r>
      <w:r>
        <w:rPr>
          <w:rFonts w:hint="eastAsia" w:ascii="宋体" w:hAnsi="宋体"/>
          <w:b/>
          <w:color w:val="auto"/>
          <w:sz w:val="28"/>
          <w:szCs w:val="28"/>
          <w:highlight w:val="none"/>
          <w:u w:val="single"/>
          <w:lang w:eastAsia="zh-CN"/>
        </w:rPr>
        <w:t>成都市温江区智慧平安小区建设项目</w:t>
      </w:r>
    </w:p>
    <w:p>
      <w:pPr>
        <w:snapToGrid w:val="0"/>
        <w:spacing w:line="360" w:lineRule="auto"/>
        <w:rPr>
          <w:rFonts w:hint="eastAsia" w:ascii="宋体" w:hAnsi="宋体" w:eastAsia="宋体"/>
          <w:b/>
          <w:color w:val="auto"/>
          <w:sz w:val="28"/>
          <w:szCs w:val="28"/>
          <w:highlight w:val="none"/>
          <w:lang w:eastAsia="zh-CN"/>
        </w:rPr>
      </w:pPr>
      <w:r>
        <w:rPr>
          <w:rFonts w:hint="eastAsia" w:ascii="宋体" w:hAnsi="宋体"/>
          <w:b/>
          <w:color w:val="auto"/>
          <w:sz w:val="28"/>
          <w:szCs w:val="28"/>
          <w:highlight w:val="none"/>
        </w:rPr>
        <w:t>项目编号：</w:t>
      </w:r>
      <w:r>
        <w:rPr>
          <w:rFonts w:hint="eastAsia" w:ascii="宋体" w:hAnsi="宋体"/>
          <w:b/>
          <w:color w:val="auto"/>
          <w:sz w:val="28"/>
          <w:szCs w:val="28"/>
          <w:highlight w:val="none"/>
          <w:u w:val="single"/>
          <w:lang w:eastAsia="zh-CN"/>
        </w:rPr>
        <w:t>温江政采（2021）A0031号</w:t>
      </w: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ascii="宋体" w:hAnsi="宋体"/>
          <w:bCs/>
          <w:color w:val="auto"/>
          <w:sz w:val="28"/>
          <w:highlight w:val="none"/>
          <w:u w:val="singl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widowControl/>
        <w:spacing w:line="360" w:lineRule="auto"/>
        <w:jc w:val="left"/>
        <w:rPr>
          <w:rFonts w:ascii="宋体" w:hAnsi="宋体"/>
          <w:color w:val="auto"/>
          <w:kern w:val="0"/>
          <w:sz w:val="28"/>
          <w:highlight w:val="yellow"/>
        </w:rPr>
        <w:sectPr>
          <w:pgSz w:w="11906" w:h="16838"/>
          <w:pgMar w:top="1440" w:right="1474" w:bottom="1440" w:left="1474" w:header="851" w:footer="992" w:gutter="0"/>
          <w:cols w:space="720" w:num="1"/>
        </w:sectPr>
      </w:pPr>
    </w:p>
    <w:p>
      <w:pPr>
        <w:pStyle w:val="5"/>
        <w:numPr>
          <w:ilvl w:val="2"/>
          <w:numId w:val="5"/>
        </w:numPr>
        <w:spacing w:after="200" w:line="240" w:lineRule="auto"/>
        <w:ind w:left="851" w:hanging="851"/>
        <w:rPr>
          <w:rFonts w:hint="eastAsia"/>
          <w:color w:val="auto"/>
          <w:highlight w:val="none"/>
        </w:rPr>
      </w:pPr>
      <w:r>
        <w:rPr>
          <w:rFonts w:hint="eastAsia"/>
          <w:color w:val="auto"/>
          <w:highlight w:val="none"/>
          <w:lang w:val="en-US" w:eastAsia="zh-CN"/>
        </w:rPr>
        <w:t>安装调试</w:t>
      </w:r>
      <w:r>
        <w:rPr>
          <w:rFonts w:hint="eastAsia"/>
          <w:color w:val="auto"/>
          <w:highlight w:val="none"/>
        </w:rPr>
        <w:t>方案</w:t>
      </w:r>
    </w:p>
    <w:p>
      <w:pPr>
        <w:snapToGrid w:val="0"/>
        <w:spacing w:line="360"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项目名称：</w:t>
      </w:r>
      <w:r>
        <w:rPr>
          <w:rFonts w:hint="eastAsia" w:ascii="宋体" w:hAnsi="宋体"/>
          <w:b/>
          <w:color w:val="auto"/>
          <w:sz w:val="24"/>
          <w:szCs w:val="24"/>
          <w:highlight w:val="none"/>
          <w:u w:val="single"/>
          <w:lang w:eastAsia="zh-CN"/>
        </w:rPr>
        <w:t>成都市温江区智慧平安小区建设项目</w:t>
      </w:r>
    </w:p>
    <w:p>
      <w:pPr>
        <w:snapToGrid w:val="0"/>
        <w:spacing w:line="360"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项目编号：</w:t>
      </w:r>
      <w:r>
        <w:rPr>
          <w:rFonts w:hint="eastAsia" w:ascii="宋体" w:hAnsi="宋体"/>
          <w:b/>
          <w:color w:val="auto"/>
          <w:sz w:val="24"/>
          <w:szCs w:val="24"/>
          <w:highlight w:val="none"/>
          <w:u w:val="single"/>
          <w:lang w:eastAsia="zh-CN"/>
        </w:rPr>
        <w:t>温江政采（2021）A0031号</w:t>
      </w: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yellow"/>
        </w:rPr>
      </w:pPr>
    </w:p>
    <w:p>
      <w:pPr>
        <w:snapToGrid w:val="0"/>
        <w:spacing w:line="360" w:lineRule="auto"/>
        <w:rPr>
          <w:rFonts w:ascii="宋体" w:hAnsi="宋体"/>
          <w:b/>
          <w:color w:val="auto"/>
          <w:sz w:val="28"/>
          <w:szCs w:val="28"/>
          <w:highlight w:val="none"/>
        </w:rPr>
      </w:pPr>
    </w:p>
    <w:p>
      <w:pPr>
        <w:snapToGrid w:val="0"/>
        <w:spacing w:line="360" w:lineRule="auto"/>
        <w:rPr>
          <w:rFonts w:ascii="宋体" w:hAnsi="宋体"/>
          <w:b/>
          <w:color w:val="auto"/>
          <w:sz w:val="28"/>
          <w:szCs w:val="28"/>
          <w:highlight w:val="none"/>
        </w:rPr>
      </w:pP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ascii="宋体" w:hAnsi="宋体"/>
          <w:bCs/>
          <w:color w:val="auto"/>
          <w:sz w:val="28"/>
          <w:highlight w:val="none"/>
          <w:u w:val="singl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adjustRightInd w:val="0"/>
        <w:spacing w:line="400" w:lineRule="exact"/>
        <w:ind w:firstLine="422" w:firstLineChars="150"/>
        <w:rPr>
          <w:rFonts w:ascii="宋体" w:hAnsi="宋体"/>
          <w:b/>
          <w:color w:val="auto"/>
          <w:sz w:val="28"/>
          <w:szCs w:val="28"/>
          <w:highlight w:val="yellow"/>
        </w:rPr>
      </w:pPr>
    </w:p>
    <w:p>
      <w:pPr>
        <w:pStyle w:val="2"/>
        <w:rPr>
          <w:color w:val="auto"/>
          <w:highlight w:val="yellow"/>
        </w:rPr>
      </w:pPr>
    </w:p>
    <w:p>
      <w:pPr>
        <w:pStyle w:val="2"/>
        <w:rPr>
          <w:color w:val="auto"/>
          <w:highlight w:val="yellow"/>
        </w:rPr>
      </w:pPr>
    </w:p>
    <w:p>
      <w:pPr>
        <w:adjustRightInd w:val="0"/>
        <w:spacing w:line="400" w:lineRule="exact"/>
        <w:ind w:firstLine="422" w:firstLineChars="150"/>
        <w:rPr>
          <w:rFonts w:ascii="宋体" w:hAnsi="宋体"/>
          <w:b/>
          <w:color w:val="auto"/>
          <w:sz w:val="28"/>
          <w:szCs w:val="28"/>
          <w:highlight w:val="yellow"/>
        </w:rPr>
      </w:pPr>
    </w:p>
    <w:p>
      <w:pPr>
        <w:keepNext/>
        <w:keepLines/>
        <w:numPr>
          <w:ilvl w:val="2"/>
          <w:numId w:val="5"/>
        </w:numPr>
        <w:spacing w:line="360" w:lineRule="auto"/>
        <w:outlineLvl w:val="2"/>
        <w:rPr>
          <w:rFonts w:ascii="宋体" w:hAnsi="宋体"/>
          <w:b/>
          <w:color w:val="auto"/>
          <w:sz w:val="28"/>
          <w:szCs w:val="28"/>
          <w:highlight w:val="none"/>
        </w:rPr>
      </w:pPr>
      <w:bookmarkStart w:id="164" w:name="_Toc68703946"/>
      <w:r>
        <w:rPr>
          <w:rFonts w:hint="eastAsia" w:ascii="宋体" w:hAnsi="宋体"/>
          <w:b/>
          <w:color w:val="auto"/>
          <w:sz w:val="28"/>
          <w:szCs w:val="28"/>
          <w:highlight w:val="none"/>
          <w:lang w:val="en-US" w:eastAsia="zh-CN"/>
        </w:rPr>
        <w:t>运维服务</w:t>
      </w:r>
      <w:r>
        <w:rPr>
          <w:rFonts w:hint="eastAsia" w:ascii="宋体" w:hAnsi="宋体"/>
          <w:b/>
          <w:color w:val="auto"/>
          <w:sz w:val="28"/>
          <w:szCs w:val="28"/>
          <w:highlight w:val="none"/>
        </w:rPr>
        <w:t>方案</w:t>
      </w:r>
      <w:bookmarkEnd w:id="164"/>
    </w:p>
    <w:p>
      <w:pPr>
        <w:snapToGrid w:val="0"/>
        <w:spacing w:line="360"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项目名称：</w:t>
      </w:r>
      <w:r>
        <w:rPr>
          <w:rFonts w:hint="eastAsia" w:ascii="宋体" w:hAnsi="宋体"/>
          <w:b/>
          <w:color w:val="auto"/>
          <w:sz w:val="24"/>
          <w:szCs w:val="24"/>
          <w:highlight w:val="none"/>
          <w:u w:val="single"/>
          <w:lang w:eastAsia="zh-CN"/>
        </w:rPr>
        <w:t>成都市温江区智慧平安小区建设项目</w:t>
      </w:r>
    </w:p>
    <w:p>
      <w:pPr>
        <w:snapToGrid w:val="0"/>
        <w:spacing w:line="360"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项目编号：</w:t>
      </w:r>
      <w:r>
        <w:rPr>
          <w:rFonts w:hint="eastAsia" w:ascii="宋体" w:hAnsi="宋体"/>
          <w:b/>
          <w:color w:val="auto"/>
          <w:sz w:val="24"/>
          <w:szCs w:val="24"/>
          <w:highlight w:val="none"/>
          <w:u w:val="single"/>
          <w:lang w:eastAsia="zh-CN"/>
        </w:rPr>
        <w:t>温江政采（2021）A0031号</w:t>
      </w:r>
    </w:p>
    <w:p>
      <w:pPr>
        <w:ind w:firstLine="565" w:firstLineChars="202"/>
        <w:rPr>
          <w:rFonts w:ascii="宋体" w:hAnsi="宋体"/>
          <w:color w:val="auto"/>
          <w:sz w:val="28"/>
          <w:highlight w:val="none"/>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ind w:firstLine="565" w:firstLineChars="202"/>
        <w:rPr>
          <w:rFonts w:ascii="宋体" w:hAnsi="宋体"/>
          <w:color w:val="auto"/>
          <w:sz w:val="28"/>
          <w:highlight w:val="yellow"/>
        </w:rPr>
      </w:pPr>
    </w:p>
    <w:p>
      <w:pPr>
        <w:pStyle w:val="2"/>
        <w:rPr>
          <w:rFonts w:ascii="宋体" w:hAnsi="宋体"/>
          <w:color w:val="auto"/>
          <w:sz w:val="28"/>
          <w:highlight w:val="yellow"/>
        </w:rPr>
      </w:pPr>
    </w:p>
    <w:p>
      <w:pPr>
        <w:rPr>
          <w:rFonts w:ascii="宋体" w:hAnsi="宋体"/>
          <w:color w:val="auto"/>
          <w:sz w:val="28"/>
          <w:highlight w:val="yellow"/>
        </w:rPr>
      </w:pPr>
    </w:p>
    <w:p>
      <w:pPr>
        <w:pStyle w:val="2"/>
        <w:rPr>
          <w:rFonts w:ascii="宋体" w:hAnsi="宋体"/>
          <w:color w:val="auto"/>
          <w:sz w:val="28"/>
          <w:highlight w:val="yellow"/>
        </w:rPr>
      </w:pPr>
    </w:p>
    <w:p>
      <w:pPr>
        <w:rPr>
          <w:rFonts w:ascii="宋体" w:hAnsi="宋体"/>
          <w:color w:val="auto"/>
          <w:sz w:val="28"/>
          <w:highlight w:val="yellow"/>
        </w:rPr>
      </w:pPr>
    </w:p>
    <w:p>
      <w:pPr>
        <w:pStyle w:val="2"/>
        <w:rPr>
          <w:rFonts w:ascii="宋体" w:hAnsi="宋体"/>
          <w:color w:val="auto"/>
          <w:sz w:val="28"/>
          <w:highlight w:val="yellow"/>
        </w:rPr>
      </w:pPr>
    </w:p>
    <w:p>
      <w:pPr>
        <w:rPr>
          <w:rFonts w:ascii="宋体" w:hAnsi="宋体"/>
          <w:color w:val="auto"/>
          <w:sz w:val="28"/>
          <w:highlight w:val="yellow"/>
        </w:rPr>
      </w:pPr>
    </w:p>
    <w:p>
      <w:pPr>
        <w:pStyle w:val="2"/>
        <w:rPr>
          <w:rFonts w:ascii="宋体" w:hAnsi="宋体"/>
          <w:color w:val="auto"/>
          <w:sz w:val="28"/>
          <w:highlight w:val="yellow"/>
        </w:rPr>
      </w:pPr>
    </w:p>
    <w:p>
      <w:pPr>
        <w:rPr>
          <w:rFonts w:ascii="宋体" w:hAnsi="宋体"/>
          <w:color w:val="auto"/>
          <w:sz w:val="28"/>
          <w:highlight w:val="yellow"/>
        </w:rPr>
      </w:pPr>
    </w:p>
    <w:p>
      <w:pPr>
        <w:pStyle w:val="2"/>
        <w:rPr>
          <w:rFonts w:ascii="宋体" w:hAnsi="宋体"/>
          <w:color w:val="auto"/>
          <w:sz w:val="28"/>
          <w:highlight w:val="yellow"/>
        </w:rPr>
      </w:pPr>
    </w:p>
    <w:p>
      <w:pPr>
        <w:rPr>
          <w:rFonts w:ascii="宋体" w:hAnsi="宋体"/>
          <w:color w:val="auto"/>
          <w:sz w:val="28"/>
          <w:highlight w:val="yellow"/>
        </w:rPr>
      </w:pPr>
    </w:p>
    <w:p>
      <w:pPr>
        <w:pStyle w:val="2"/>
        <w:rPr>
          <w:rFonts w:ascii="宋体" w:hAnsi="宋体"/>
          <w:color w:val="auto"/>
          <w:sz w:val="28"/>
          <w:highlight w:val="none"/>
        </w:rPr>
      </w:pPr>
    </w:p>
    <w:p>
      <w:pPr>
        <w:rPr>
          <w:rFonts w:ascii="宋体" w:hAnsi="宋体"/>
          <w:color w:val="auto"/>
          <w:sz w:val="28"/>
          <w:highlight w:val="none"/>
        </w:rPr>
      </w:pPr>
    </w:p>
    <w:p>
      <w:pPr>
        <w:pStyle w:val="2"/>
        <w:rPr>
          <w:color w:val="auto"/>
          <w:highlight w:val="none"/>
        </w:rPr>
      </w:pPr>
    </w:p>
    <w:p>
      <w:pPr>
        <w:ind w:firstLine="565" w:firstLineChars="202"/>
        <w:rPr>
          <w:rFonts w:ascii="宋体" w:hAnsi="宋体"/>
          <w:color w:val="auto"/>
          <w:sz w:val="28"/>
          <w:highlight w:val="none"/>
        </w:rPr>
      </w:pP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ascii="宋体" w:hAnsi="宋体"/>
          <w:color w:val="auto"/>
          <w:kern w:val="0"/>
          <w:sz w:val="28"/>
          <w:highlight w:val="none"/>
        </w:rPr>
        <w:sectPr>
          <w:pgSz w:w="11906" w:h="16838"/>
          <w:pgMar w:top="1440" w:right="1474" w:bottom="1440" w:left="1474" w:header="851" w:footer="992" w:gutter="0"/>
          <w:cols w:space="720" w:num="1"/>
        </w:sect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p>
    <w:p>
      <w:pPr>
        <w:pStyle w:val="2"/>
        <w:rPr>
          <w:color w:val="auto"/>
          <w:highlight w:val="none"/>
        </w:rPr>
      </w:pPr>
    </w:p>
    <w:p>
      <w:pPr>
        <w:keepNext/>
        <w:keepLines/>
        <w:numPr>
          <w:ilvl w:val="2"/>
          <w:numId w:val="5"/>
        </w:numPr>
        <w:spacing w:line="360" w:lineRule="auto"/>
        <w:outlineLvl w:val="2"/>
        <w:rPr>
          <w:rFonts w:ascii="宋体" w:hAnsi="宋体"/>
          <w:b/>
          <w:color w:val="auto"/>
          <w:sz w:val="28"/>
          <w:szCs w:val="28"/>
          <w:highlight w:val="none"/>
        </w:rPr>
      </w:pPr>
      <w:r>
        <w:rPr>
          <w:rFonts w:hint="eastAsia" w:ascii="宋体" w:hAnsi="宋体"/>
          <w:b/>
          <w:color w:val="auto"/>
          <w:sz w:val="28"/>
          <w:szCs w:val="28"/>
          <w:highlight w:val="none"/>
        </w:rPr>
        <w:t>承诺函</w:t>
      </w:r>
    </w:p>
    <w:p>
      <w:pPr>
        <w:snapToGrid w:val="0"/>
        <w:spacing w:line="360" w:lineRule="auto"/>
        <w:rPr>
          <w:rFonts w:hint="eastAsia" w:ascii="宋体" w:hAnsi="宋体" w:eastAsia="宋体"/>
          <w:b/>
          <w:color w:val="auto"/>
          <w:sz w:val="24"/>
          <w:szCs w:val="24"/>
          <w:highlight w:val="none"/>
          <w:lang w:eastAsia="zh-CN"/>
        </w:rPr>
      </w:pPr>
      <w:r>
        <w:rPr>
          <w:rFonts w:hint="eastAsia" w:ascii="宋体" w:hAnsi="宋体"/>
          <w:b/>
          <w:color w:val="auto"/>
          <w:sz w:val="24"/>
          <w:szCs w:val="24"/>
          <w:highlight w:val="none"/>
        </w:rPr>
        <w:t>项目名称：</w:t>
      </w:r>
      <w:r>
        <w:rPr>
          <w:rFonts w:hint="eastAsia" w:ascii="宋体" w:hAnsi="宋体"/>
          <w:b/>
          <w:color w:val="auto"/>
          <w:sz w:val="24"/>
          <w:szCs w:val="24"/>
          <w:highlight w:val="none"/>
          <w:u w:val="single"/>
          <w:lang w:eastAsia="zh-CN"/>
        </w:rPr>
        <w:t>成都市温江区智慧平安小区建设项目</w:t>
      </w:r>
    </w:p>
    <w:p>
      <w:pPr>
        <w:snapToGrid w:val="0"/>
        <w:spacing w:line="360" w:lineRule="auto"/>
        <w:rPr>
          <w:rFonts w:hint="eastAsia" w:ascii="宋体" w:hAnsi="宋体"/>
          <w:b/>
          <w:color w:val="auto"/>
          <w:sz w:val="24"/>
          <w:szCs w:val="24"/>
          <w:highlight w:val="none"/>
          <w:u w:val="single"/>
          <w:lang w:eastAsia="zh-CN"/>
        </w:rPr>
      </w:pPr>
      <w:r>
        <w:rPr>
          <w:rFonts w:hint="eastAsia" w:ascii="宋体" w:hAnsi="宋体"/>
          <w:b/>
          <w:color w:val="auto"/>
          <w:sz w:val="24"/>
          <w:szCs w:val="24"/>
          <w:highlight w:val="none"/>
        </w:rPr>
        <w:t>项目编号：</w:t>
      </w:r>
      <w:r>
        <w:rPr>
          <w:rFonts w:hint="eastAsia" w:ascii="宋体" w:hAnsi="宋体"/>
          <w:b/>
          <w:color w:val="auto"/>
          <w:sz w:val="24"/>
          <w:szCs w:val="24"/>
          <w:highlight w:val="none"/>
          <w:u w:val="single"/>
          <w:lang w:eastAsia="zh-CN"/>
        </w:rPr>
        <w:t>温江政采（2021）A0031号</w:t>
      </w:r>
    </w:p>
    <w:p>
      <w:pPr>
        <w:pStyle w:val="2"/>
        <w:rPr>
          <w:rFonts w:hint="eastAsia"/>
          <w:color w:val="auto"/>
          <w:highlight w:val="none"/>
          <w:lang w:eastAsia="zh-CN"/>
        </w:rPr>
      </w:pPr>
    </w:p>
    <w:p>
      <w:pPr>
        <w:snapToGrid w:val="0"/>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我单位作为参加本项目的投标人，在此郑重承诺：</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一、为本项目提供的所有产品、辅材中属于《国家强制性产品认证目录》范围内产品的，均通过国家强制性产品认证并取得认证证书。</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二、为本项目提供的所有产品、辅材符合现行的强制性国家相关标准、行业标准。</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三、为本项目提供的所有产品中属于节能产品政府采购品目清单中的政府强制采购产品的，均具有国家确定的认证机构出具的有效期内的节能产品认证证书。</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四、为本项目提供的所有产品中属于3C认证产品的，均具有3C产品认证证书，并在中标后签订合同之前提供证书复印件加盖公章。</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五、智慧平安小区管理服务平台与新冠疫情防控结合，实现戴口罩人脸识别（除人脸识别外可通过业主卡、APP预约、指纹、现场登记等多种方式进出小区）和天府健康码同一认证及居家留观智能化服务管理。能够实现系统对接以及数据共享（预留标准数据接口，对接区智慧治理中心、数字城管平台、天府市民云、温江市民之声等有关系统平台，对接数据不再额外收取费用）。</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六、设备及智慧平安小区管理服务平台能够与四川省省级智慧平安小区（AI能力层）及成都市智慧安防小区信息管理平台对接，小区人员注册信息、人员进出记录、车辆进出记录等信息能够与四川省和成都市智慧小区平台（AI能力层）实现数据共享，对接数据不再额外收取费用。</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七、智慧平安小区管理服务平台能够按照“统一标准、统一归集”的原则，将智慧小区产生的人、车等主要流量数据接入“大联动.微治理”体系平台，实现数据共享，对接数据不再额外收取费用。</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八、该平台属于政法委所有，建设方不得私自留存相关数据，平台部署于政务云（相关单位须在取得政法委同意的前提下，开展数据共享交换）。</w:t>
      </w:r>
    </w:p>
    <w:p>
      <w:pPr>
        <w:snapToGrid w:val="0"/>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九、保密要求：中标后，中标人须与采购方签订保密协议。中标人须保证系统信息安全、网络安全，且所有参与本项目建设的人员必须是符合保密要求的非境外人员，且能严格遵守国家保密的有关规定，保守信息安全秘密，须符合《保密法》相关规定，不得将系统文件下载外泄。</w:t>
      </w:r>
    </w:p>
    <w:p>
      <w:pPr>
        <w:snapToGrid w:val="0"/>
        <w:spacing w:line="360" w:lineRule="auto"/>
        <w:ind w:firstLine="480" w:firstLineChars="200"/>
        <w:rPr>
          <w:color w:val="auto"/>
          <w:sz w:val="24"/>
          <w:szCs w:val="24"/>
          <w:highlight w:val="none"/>
        </w:rPr>
      </w:pPr>
      <w:r>
        <w:rPr>
          <w:rFonts w:hint="eastAsia" w:ascii="宋体" w:hAnsi="宋体"/>
          <w:color w:val="auto"/>
          <w:sz w:val="24"/>
          <w:szCs w:val="24"/>
          <w:highlight w:val="none"/>
        </w:rPr>
        <w:t>特此承诺。</w:t>
      </w:r>
    </w:p>
    <w:p>
      <w:pPr>
        <w:spacing w:after="120" w:line="360" w:lineRule="auto"/>
        <w:ind w:left="420" w:leftChars="200"/>
        <w:rPr>
          <w:rFonts w:ascii="宋体" w:hAnsi="宋体"/>
          <w:bCs/>
          <w:color w:val="auto"/>
          <w:sz w:val="28"/>
          <w:szCs w:val="28"/>
          <w:highlight w:val="none"/>
        </w:rPr>
      </w:pPr>
      <w:r>
        <w:rPr>
          <w:rFonts w:hint="eastAsia" w:ascii="宋体" w:hAnsi="宋体"/>
          <w:bCs/>
          <w:color w:val="auto"/>
          <w:sz w:val="28"/>
          <w:szCs w:val="28"/>
          <w:highlight w:val="none"/>
        </w:rPr>
        <w:t>投标人名称：</w:t>
      </w:r>
      <w:r>
        <w:rPr>
          <w:rFonts w:hint="eastAsia" w:ascii="宋体" w:hAnsi="宋体"/>
          <w:bCs/>
          <w:color w:val="auto"/>
          <w:sz w:val="28"/>
          <w:szCs w:val="28"/>
          <w:highlight w:val="none"/>
          <w:u w:val="single"/>
        </w:rPr>
        <w:t>XXXX</w:t>
      </w:r>
    </w:p>
    <w:p>
      <w:pPr>
        <w:adjustRightInd w:val="0"/>
        <w:spacing w:line="400" w:lineRule="exact"/>
        <w:ind w:firstLine="420" w:firstLineChars="150"/>
        <w:rPr>
          <w:rFonts w:ascii="宋体" w:hAnsi="宋体"/>
          <w:bCs/>
          <w:color w:val="auto"/>
          <w:sz w:val="28"/>
          <w:highlight w:val="none"/>
        </w:rPr>
      </w:pPr>
      <w:r>
        <w:rPr>
          <w:rFonts w:hint="eastAsia" w:ascii="宋体" w:hAnsi="宋体"/>
          <w:color w:val="auto"/>
          <w:sz w:val="28"/>
          <w:highlight w:val="none"/>
        </w:rPr>
        <w:t>日期：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pStyle w:val="2"/>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Pr>
        <w:rPr>
          <w:color w:val="auto"/>
          <w:highlight w:val="none"/>
        </w:rPr>
      </w:pPr>
    </w:p>
    <w:p>
      <w:pPr>
        <w:pStyle w:val="2"/>
        <w:rPr>
          <w:color w:val="auto"/>
          <w:highlight w:val="none"/>
        </w:rPr>
      </w:pPr>
    </w:p>
    <w:p/>
    <w:p>
      <w:pPr>
        <w:keepNext/>
        <w:keepLines/>
        <w:numPr>
          <w:ilvl w:val="1"/>
          <w:numId w:val="5"/>
        </w:numPr>
        <w:spacing w:before="260" w:after="260" w:line="360" w:lineRule="auto"/>
        <w:jc w:val="left"/>
        <w:outlineLvl w:val="1"/>
        <w:rPr>
          <w:rFonts w:ascii="宋体" w:hAnsi="宋体"/>
          <w:b/>
          <w:color w:val="auto"/>
          <w:sz w:val="28"/>
          <w:highlight w:val="none"/>
        </w:rPr>
      </w:pPr>
      <w:bookmarkStart w:id="165" w:name="_Toc23102"/>
      <w:bookmarkStart w:id="166" w:name="_Toc31352"/>
      <w:r>
        <w:rPr>
          <w:rFonts w:hint="eastAsia" w:ascii="宋体" w:hAnsi="宋体"/>
          <w:b/>
          <w:color w:val="auto"/>
          <w:sz w:val="28"/>
          <w:highlight w:val="none"/>
        </w:rPr>
        <w:t>报价</w:t>
      </w:r>
      <w:r>
        <w:rPr>
          <w:rFonts w:hint="eastAsia" w:ascii="宋体" w:hAnsi="宋体"/>
          <w:b/>
          <w:bCs/>
          <w:color w:val="auto"/>
          <w:sz w:val="28"/>
          <w:szCs w:val="28"/>
          <w:highlight w:val="none"/>
        </w:rPr>
        <w:t>要求</w:t>
      </w:r>
      <w:r>
        <w:rPr>
          <w:rFonts w:hint="eastAsia" w:ascii="宋体" w:hAnsi="宋体"/>
          <w:b/>
          <w:color w:val="auto"/>
          <w:sz w:val="28"/>
          <w:highlight w:val="none"/>
        </w:rPr>
        <w:t>响应文件</w:t>
      </w:r>
      <w:bookmarkEnd w:id="165"/>
      <w:bookmarkEnd w:id="166"/>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kern w:val="0"/>
          <w:sz w:val="28"/>
          <w:szCs w:val="28"/>
          <w:highlight w:val="none"/>
        </w:rPr>
        <w:t>开标一览表</w:t>
      </w:r>
    </w:p>
    <w:p>
      <w:pPr>
        <w:tabs>
          <w:tab w:val="left" w:pos="1134"/>
        </w:tabs>
        <w:spacing w:line="560" w:lineRule="exact"/>
        <w:ind w:firstLine="427" w:firstLineChars="152"/>
        <w:rPr>
          <w:rFonts w:ascii="宋体" w:hAnsi="宋体"/>
          <w:b/>
          <w:bCs/>
          <w:color w:val="auto"/>
          <w:sz w:val="28"/>
          <w:szCs w:val="28"/>
          <w:highlight w:val="none"/>
        </w:rPr>
      </w:pPr>
      <w:r>
        <w:rPr>
          <w:rFonts w:hint="eastAsia" w:ascii="宋体" w:hAnsi="宋体"/>
          <w:b/>
          <w:bCs/>
          <w:color w:val="auto"/>
          <w:sz w:val="28"/>
          <w:szCs w:val="28"/>
          <w:highlight w:val="none"/>
        </w:rPr>
        <w:t xml:space="preserve">标项1： </w:t>
      </w:r>
    </w:p>
    <w:tbl>
      <w:tblPr>
        <w:tblStyle w:val="44"/>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jc w:val="center"/>
              <w:rPr>
                <w:rFonts w:ascii="宋体" w:hAnsi="宋体"/>
                <w:color w:val="auto"/>
                <w:kern w:val="0"/>
                <w:sz w:val="28"/>
                <w:szCs w:val="28"/>
                <w:highlight w:val="none"/>
              </w:rPr>
            </w:pPr>
            <w:r>
              <w:rPr>
                <w:rFonts w:hint="eastAsia" w:ascii="宋体" w:hAnsi="宋体"/>
                <w:color w:val="auto"/>
                <w:kern w:val="0"/>
                <w:sz w:val="28"/>
                <w:szCs w:val="28"/>
                <w:highlight w:val="none"/>
              </w:rPr>
              <w:t>投标报价（元）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62" w:type="dxa"/>
            <w:tcBorders>
              <w:top w:val="single" w:color="auto" w:sz="4" w:space="0"/>
              <w:left w:val="single" w:color="auto" w:sz="4" w:space="0"/>
              <w:bottom w:val="single" w:color="auto" w:sz="4" w:space="0"/>
              <w:right w:val="single" w:color="auto" w:sz="4" w:space="0"/>
            </w:tcBorders>
          </w:tcPr>
          <w:p>
            <w:pPr>
              <w:tabs>
                <w:tab w:val="left" w:pos="1134"/>
              </w:tabs>
              <w:spacing w:line="560" w:lineRule="exact"/>
              <w:rPr>
                <w:rFonts w:ascii="宋体" w:hAnsi="宋体"/>
                <w:color w:val="auto"/>
                <w:kern w:val="0"/>
                <w:sz w:val="28"/>
                <w:szCs w:val="28"/>
                <w:highlight w:val="none"/>
              </w:rPr>
            </w:pPr>
          </w:p>
        </w:tc>
      </w:tr>
    </w:tbl>
    <w:p>
      <w:pPr>
        <w:tabs>
          <w:tab w:val="left" w:pos="1134"/>
        </w:tabs>
        <w:spacing w:line="560" w:lineRule="exact"/>
        <w:ind w:firstLine="425" w:firstLineChars="152"/>
        <w:rPr>
          <w:rFonts w:ascii="宋体" w:hAnsi="宋体"/>
          <w:color w:val="auto"/>
          <w:sz w:val="28"/>
          <w:szCs w:val="28"/>
          <w:highlight w:val="none"/>
        </w:rPr>
      </w:pPr>
    </w:p>
    <w:p>
      <w:pPr>
        <w:tabs>
          <w:tab w:val="left" w:pos="1134"/>
        </w:tabs>
        <w:spacing w:line="560" w:lineRule="exact"/>
        <w:ind w:firstLine="0" w:firstLineChars="0"/>
        <w:rPr>
          <w:rFonts w:ascii="宋体" w:hAnsi="宋体"/>
          <w:b/>
          <w:bCs/>
          <w:color w:val="auto"/>
          <w:sz w:val="28"/>
          <w:highlight w:val="none"/>
        </w:rPr>
      </w:pPr>
      <w:r>
        <w:rPr>
          <w:rFonts w:hint="eastAsia" w:ascii="宋体" w:hAnsi="宋体"/>
          <w:b/>
          <w:color w:val="auto"/>
          <w:sz w:val="28"/>
          <w:szCs w:val="28"/>
          <w:highlight w:val="none"/>
        </w:rPr>
        <w:t>投标报价以投标人在政府采购云平台开标一览表中填写的报价为准。</w:t>
      </w:r>
    </w:p>
    <w:p>
      <w:pPr>
        <w:snapToGrid w:val="0"/>
        <w:spacing w:line="500" w:lineRule="exact"/>
        <w:ind w:left="1445" w:right="-57" w:rightChars="-27" w:hanging="1445" w:hangingChars="514"/>
        <w:rPr>
          <w:rFonts w:ascii="宋体" w:hAnsi="宋体"/>
          <w:b/>
          <w:bCs/>
          <w:color w:val="auto"/>
          <w:sz w:val="28"/>
          <w:highlight w:val="none"/>
          <w:u w:val="single"/>
        </w:rPr>
      </w:pPr>
    </w:p>
    <w:p>
      <w:pPr>
        <w:spacing w:line="360" w:lineRule="auto"/>
        <w:rPr>
          <w:rFonts w:ascii="宋体" w:hAnsi="宋体"/>
          <w:b/>
          <w:color w:val="auto"/>
          <w:sz w:val="28"/>
          <w:szCs w:val="28"/>
          <w:highlight w:val="none"/>
          <w:u w:val="singl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spacing w:line="440" w:lineRule="atLeast"/>
        <w:ind w:firstLine="419" w:firstLineChars="149"/>
        <w:rPr>
          <w:rFonts w:ascii="宋体" w:hAnsi="宋体"/>
          <w:b/>
          <w:color w:val="auto"/>
          <w:sz w:val="28"/>
          <w:szCs w:val="28"/>
          <w:highlight w:val="none"/>
        </w:rPr>
      </w:pPr>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分项报价明细表</w:t>
      </w:r>
    </w:p>
    <w:p>
      <w:pPr>
        <w:snapToGrid w:val="0"/>
        <w:spacing w:line="440" w:lineRule="exact"/>
        <w:ind w:right="-624" w:rightChars="-297"/>
        <w:rPr>
          <w:rFonts w:hint="eastAsia" w:ascii="宋体" w:hAnsi="宋体" w:eastAsia="宋体"/>
          <w:b/>
          <w:color w:val="auto"/>
          <w:sz w:val="28"/>
          <w:highlight w:val="none"/>
          <w:lang w:eastAsia="zh-CN"/>
        </w:rPr>
      </w:pPr>
      <w:r>
        <w:rPr>
          <w:rFonts w:hint="eastAsia" w:ascii="宋体" w:hAnsi="宋体"/>
          <w:b/>
          <w:color w:val="auto"/>
          <w:sz w:val="28"/>
          <w:highlight w:val="none"/>
        </w:rPr>
        <w:t>项目名称：</w:t>
      </w:r>
      <w:r>
        <w:rPr>
          <w:rFonts w:hint="eastAsia" w:ascii="宋体" w:hAnsi="宋体"/>
          <w:b/>
          <w:color w:val="auto"/>
          <w:sz w:val="28"/>
          <w:szCs w:val="28"/>
          <w:highlight w:val="none"/>
          <w:u w:val="single"/>
          <w:lang w:eastAsia="zh-CN"/>
        </w:rPr>
        <w:t>成都市温江区智慧平安小区建设项目</w:t>
      </w:r>
    </w:p>
    <w:p>
      <w:pPr>
        <w:tabs>
          <w:tab w:val="left" w:pos="7560"/>
        </w:tabs>
        <w:spacing w:after="180" w:line="440" w:lineRule="exact"/>
        <w:rPr>
          <w:rFonts w:hint="eastAsia" w:ascii="宋体" w:hAnsi="宋体" w:eastAsia="宋体"/>
          <w:b/>
          <w:color w:val="auto"/>
          <w:sz w:val="28"/>
          <w:szCs w:val="20"/>
          <w:highlight w:val="none"/>
          <w:lang w:eastAsia="zh-CN"/>
        </w:rPr>
      </w:pPr>
      <w:r>
        <w:rPr>
          <w:rFonts w:hint="eastAsia" w:ascii="宋体" w:hAnsi="宋体"/>
          <w:b/>
          <w:color w:val="auto"/>
          <w:sz w:val="28"/>
          <w:szCs w:val="20"/>
          <w:highlight w:val="none"/>
        </w:rPr>
        <w:t>项目编号：</w:t>
      </w:r>
      <w:r>
        <w:rPr>
          <w:rFonts w:hint="eastAsia" w:ascii="宋体" w:hAnsi="宋体"/>
          <w:b/>
          <w:color w:val="auto"/>
          <w:sz w:val="28"/>
          <w:szCs w:val="20"/>
          <w:highlight w:val="none"/>
          <w:u w:val="single"/>
          <w:lang w:eastAsia="zh-CN"/>
        </w:rPr>
        <w:t>温江政采（2021）A0031号</w:t>
      </w:r>
    </w:p>
    <w:p>
      <w:pPr>
        <w:numPr>
          <w:ilvl w:val="0"/>
          <w:numId w:val="36"/>
        </w:numPr>
        <w:tabs>
          <w:tab w:val="left" w:pos="630"/>
          <w:tab w:val="left" w:pos="7560"/>
        </w:tabs>
        <w:spacing w:after="200" w:line="360" w:lineRule="auto"/>
        <w:ind w:left="0" w:firstLine="0"/>
        <w:rPr>
          <w:rFonts w:ascii="宋体" w:hAnsi="宋体"/>
          <w:b/>
          <w:color w:val="auto"/>
          <w:sz w:val="28"/>
          <w:highlight w:val="none"/>
        </w:rPr>
      </w:pPr>
      <w:r>
        <w:rPr>
          <w:rFonts w:hint="eastAsia" w:ascii="宋体" w:hAnsi="宋体"/>
          <w:b/>
          <w:color w:val="auto"/>
          <w:sz w:val="28"/>
          <w:highlight w:val="none"/>
        </w:rPr>
        <w:t>分项报价明细表（说明：投标人应根据其投标报价的构成提供详细的分项价格明细表</w:t>
      </w:r>
      <w:r>
        <w:rPr>
          <w:rFonts w:hint="eastAsia" w:ascii="宋体" w:hAnsi="宋体"/>
          <w:b/>
          <w:color w:val="auto"/>
          <w:sz w:val="28"/>
          <w:highlight w:val="none"/>
          <w:lang w:eastAsia="zh-CN"/>
        </w:rPr>
        <w:t>，</w:t>
      </w:r>
      <w:r>
        <w:rPr>
          <w:rFonts w:hint="eastAsia" w:ascii="宋体" w:hAnsi="宋体"/>
          <w:b/>
          <w:color w:val="auto"/>
          <w:sz w:val="28"/>
          <w:highlight w:val="none"/>
          <w:lang w:val="en-US" w:eastAsia="zh-CN"/>
        </w:rPr>
        <w:t>如表格不能满足需要，可自行制表填写</w:t>
      </w:r>
      <w:r>
        <w:rPr>
          <w:rFonts w:hint="eastAsia" w:ascii="宋体" w:hAnsi="宋体"/>
          <w:b/>
          <w:color w:val="auto"/>
          <w:sz w:val="28"/>
          <w:highlight w:val="none"/>
        </w:rPr>
        <w:t>。）</w:t>
      </w:r>
    </w:p>
    <w:tbl>
      <w:tblPr>
        <w:tblStyle w:val="43"/>
        <w:tblW w:w="5197"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1"/>
        <w:gridCol w:w="1576"/>
        <w:gridCol w:w="594"/>
        <w:gridCol w:w="890"/>
        <w:gridCol w:w="1119"/>
        <w:gridCol w:w="1472"/>
        <w:gridCol w:w="1027"/>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566"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序号</w:t>
            </w:r>
          </w:p>
        </w:tc>
        <w:tc>
          <w:tcPr>
            <w:tcW w:w="1534"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产品名称</w:t>
            </w:r>
          </w:p>
        </w:tc>
        <w:tc>
          <w:tcPr>
            <w:tcW w:w="578"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品牌</w:t>
            </w:r>
          </w:p>
        </w:tc>
        <w:tc>
          <w:tcPr>
            <w:tcW w:w="866"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规格型号</w:t>
            </w:r>
          </w:p>
        </w:tc>
        <w:tc>
          <w:tcPr>
            <w:tcW w:w="1089"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生产厂商</w:t>
            </w:r>
          </w:p>
        </w:tc>
        <w:tc>
          <w:tcPr>
            <w:tcW w:w="1433"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数量（单位）</w:t>
            </w:r>
          </w:p>
        </w:tc>
        <w:tc>
          <w:tcPr>
            <w:tcW w:w="1000"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
                <w:bCs/>
                <w:color w:val="auto"/>
                <w:szCs w:val="21"/>
                <w:highlight w:val="none"/>
              </w:rPr>
            </w:pPr>
            <w:r>
              <w:rPr>
                <w:rFonts w:hint="eastAsia" w:ascii="宋体" w:hAnsi="宋体"/>
                <w:b/>
                <w:szCs w:val="28"/>
              </w:rPr>
              <w:t>单价</w:t>
            </w:r>
          </w:p>
        </w:tc>
        <w:tc>
          <w:tcPr>
            <w:tcW w:w="1556"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hint="default" w:ascii="宋体" w:hAnsi="宋体" w:eastAsia="宋体"/>
                <w:b/>
                <w:bCs/>
                <w:color w:val="auto"/>
                <w:szCs w:val="21"/>
                <w:highlight w:val="none"/>
                <w:lang w:val="en-US" w:eastAsia="zh-CN"/>
              </w:rPr>
            </w:pPr>
            <w:r>
              <w:rPr>
                <w:rFonts w:hint="eastAsia" w:ascii="宋体" w:hAnsi="宋体"/>
                <w:b/>
                <w:szCs w:val="28"/>
              </w:rPr>
              <w:t>总价</w:t>
            </w:r>
            <w:r>
              <w:rPr>
                <w:rFonts w:hint="eastAsia" w:ascii="宋体" w:hAnsi="宋体"/>
                <w:b/>
                <w:szCs w:val="28"/>
                <w:lang w:eastAsia="zh-CN"/>
              </w:rPr>
              <w:t>（</w:t>
            </w:r>
            <w:r>
              <w:rPr>
                <w:rFonts w:hint="eastAsia" w:ascii="宋体" w:hAnsi="宋体"/>
                <w:b/>
                <w:szCs w:val="28"/>
                <w:lang w:val="en-US" w:eastAsia="zh-CN"/>
              </w:rPr>
              <w:t>单价</w:t>
            </w:r>
            <w:r>
              <w:rPr>
                <w:rFonts w:hint="eastAsia" w:ascii="宋体" w:hAnsi="宋体"/>
                <w:b/>
                <w:bCs/>
                <w:szCs w:val="21"/>
              </w:rPr>
              <w:t>×数量</w:t>
            </w:r>
            <w:r>
              <w:rPr>
                <w:rFonts w:hint="eastAsia" w:ascii="宋体" w:hAnsi="宋体"/>
                <w:b/>
                <w:szCs w:val="28"/>
                <w:lang w:eastAsia="zh-CN"/>
              </w:rPr>
              <w:t>）</w:t>
            </w:r>
            <w:r>
              <w:rPr>
                <w:rFonts w:hint="eastAsia" w:ascii="宋体" w:hAnsi="宋体"/>
                <w:b/>
                <w:szCs w:val="28"/>
                <w:lang w:val="en-US" w:eastAsia="zh-CN"/>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ascii="黑体" w:hAnsi="黑体" w:eastAsia="黑体" w:cs="黑体"/>
                <w:kern w:val="2"/>
                <w:sz w:val="24"/>
                <w:szCs w:val="24"/>
                <w:lang w:val="en-US" w:eastAsia="zh-CN" w:bidi="ar-SA"/>
              </w:rPr>
            </w:pPr>
            <w:r>
              <w:rPr>
                <w:rFonts w:hint="eastAsia" w:ascii="黑体" w:hAnsi="黑体" w:eastAsia="黑体" w:cs="黑体"/>
                <w:sz w:val="24"/>
                <w:szCs w:val="24"/>
              </w:rPr>
              <w:t>1</w:t>
            </w:r>
          </w:p>
        </w:tc>
        <w:tc>
          <w:tcPr>
            <w:tcW w:w="1534"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ascii="黑体" w:hAnsi="黑体" w:eastAsia="黑体" w:cs="黑体"/>
                <w:kern w:val="2"/>
                <w:sz w:val="24"/>
                <w:szCs w:val="24"/>
                <w:lang w:val="en-US" w:eastAsia="zh-CN" w:bidi="ar-SA"/>
              </w:rPr>
            </w:pPr>
            <w:r>
              <w:rPr>
                <w:rFonts w:hint="eastAsia" w:ascii="仿宋_GB2312" w:hAnsi="仿宋_GB2312" w:eastAsia="仿宋_GB2312" w:cs="仿宋_GB2312"/>
                <w:color w:val="000000"/>
                <w:kern w:val="0"/>
                <w:sz w:val="24"/>
                <w:szCs w:val="24"/>
                <w:lang w:bidi="ar"/>
              </w:rPr>
              <w:t>人脸识别一体机</w:t>
            </w:r>
          </w:p>
        </w:tc>
        <w:tc>
          <w:tcPr>
            <w:tcW w:w="578"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ascii="黑体" w:hAnsi="黑体" w:eastAsia="黑体" w:cs="黑体"/>
                <w:kern w:val="2"/>
                <w:sz w:val="24"/>
                <w:szCs w:val="24"/>
                <w:lang w:val="en-US" w:eastAsia="zh-CN" w:bidi="ar-SA"/>
              </w:rPr>
            </w:pPr>
          </w:p>
        </w:tc>
        <w:tc>
          <w:tcPr>
            <w:tcW w:w="866"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hint="eastAsia" w:ascii="黑体" w:hAnsi="黑体" w:eastAsia="黑体" w:cs="黑体"/>
                <w:kern w:val="2"/>
                <w:sz w:val="24"/>
                <w:szCs w:val="24"/>
                <w:lang w:val="en-US" w:eastAsia="zh-CN" w:bidi="ar-SA"/>
              </w:rPr>
            </w:pPr>
          </w:p>
        </w:tc>
        <w:tc>
          <w:tcPr>
            <w:tcW w:w="1089"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Cs/>
                <w:color w:val="auto"/>
                <w:szCs w:val="21"/>
                <w:highlight w:val="none"/>
              </w:rPr>
            </w:pPr>
          </w:p>
        </w:tc>
        <w:tc>
          <w:tcPr>
            <w:tcW w:w="1433"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ascii="黑体" w:hAnsi="黑体" w:eastAsia="黑体" w:cs="黑体"/>
                <w:kern w:val="2"/>
                <w:sz w:val="24"/>
                <w:szCs w:val="24"/>
                <w:lang w:val="en-US" w:eastAsia="zh-CN" w:bidi="ar-SA"/>
              </w:rPr>
            </w:pPr>
            <w:r>
              <w:rPr>
                <w:rFonts w:hint="eastAsia" w:ascii="仿宋_GB2312" w:hAnsi="仿宋_GB2312" w:eastAsia="仿宋_GB2312" w:cs="仿宋_GB2312"/>
                <w:color w:val="000000"/>
                <w:kern w:val="0"/>
                <w:sz w:val="24"/>
                <w:szCs w:val="24"/>
                <w:lang w:bidi="ar"/>
              </w:rPr>
              <w:t>96台</w:t>
            </w:r>
          </w:p>
        </w:tc>
        <w:tc>
          <w:tcPr>
            <w:tcW w:w="1000" w:type="dxa"/>
            <w:tcBorders>
              <w:top w:val="single" w:color="auto" w:sz="2" w:space="0"/>
              <w:left w:val="single" w:color="auto" w:sz="2" w:space="0"/>
              <w:bottom w:val="single" w:color="auto" w:sz="2" w:space="0"/>
              <w:right w:val="single" w:color="auto" w:sz="2" w:space="0"/>
            </w:tcBorders>
            <w:vAlign w:val="center"/>
          </w:tcPr>
          <w:p>
            <w:pPr>
              <w:snapToGrid w:val="0"/>
              <w:spacing w:after="200" w:line="300" w:lineRule="exact"/>
              <w:jc w:val="center"/>
              <w:rPr>
                <w:rFonts w:hint="eastAsia" w:ascii="黑体" w:hAnsi="黑体" w:eastAsia="黑体" w:cs="黑体"/>
                <w:kern w:val="2"/>
                <w:sz w:val="24"/>
                <w:szCs w:val="24"/>
                <w:lang w:val="en-US" w:eastAsia="zh-CN" w:bidi="ar-SA"/>
              </w:rPr>
            </w:pPr>
          </w:p>
        </w:tc>
        <w:tc>
          <w:tcPr>
            <w:tcW w:w="1556"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2" w:space="0"/>
              <w:left w:val="single" w:color="auto" w:sz="2" w:space="0"/>
              <w:bottom w:val="single" w:color="auto" w:sz="2" w:space="0"/>
              <w:right w:val="single" w:color="auto" w:sz="4" w:space="0"/>
            </w:tcBorders>
            <w:vAlign w:val="center"/>
          </w:tcPr>
          <w:p>
            <w:pPr>
              <w:snapToGrid w:val="0"/>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w:t>
            </w:r>
          </w:p>
        </w:tc>
        <w:tc>
          <w:tcPr>
            <w:tcW w:w="1534" w:type="dxa"/>
            <w:tcBorders>
              <w:top w:val="single" w:color="auto" w:sz="2" w:space="0"/>
              <w:left w:val="single" w:color="auto" w:sz="4" w:space="0"/>
              <w:bottom w:val="single" w:color="auto" w:sz="2" w:space="0"/>
              <w:right w:val="single" w:color="auto" w:sz="2" w:space="0"/>
            </w:tcBorders>
            <w:vAlign w:val="center"/>
          </w:tcPr>
          <w:p>
            <w:pPr>
              <w:snapToGrid w:val="0"/>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人脸抓拍机</w:t>
            </w:r>
          </w:p>
        </w:tc>
        <w:tc>
          <w:tcPr>
            <w:tcW w:w="578" w:type="dxa"/>
            <w:tcBorders>
              <w:top w:val="single" w:color="auto" w:sz="2" w:space="0"/>
              <w:left w:val="single" w:color="auto" w:sz="2" w:space="0"/>
              <w:bottom w:val="single" w:color="auto" w:sz="2" w:space="0"/>
              <w:right w:val="single" w:color="auto" w:sz="4"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2" w:space="0"/>
              <w:left w:val="single" w:color="auto" w:sz="4" w:space="0"/>
              <w:bottom w:val="single" w:color="auto" w:sz="2" w:space="0"/>
              <w:right w:val="single" w:color="auto" w:sz="4" w:space="0"/>
            </w:tcBorders>
            <w:vAlign w:val="center"/>
          </w:tcPr>
          <w:p>
            <w:pPr>
              <w:snapToGrid w:val="0"/>
              <w:spacing w:after="200" w:line="300" w:lineRule="exact"/>
              <w:jc w:val="center"/>
              <w:rPr>
                <w:rFonts w:ascii="仿宋_GB2312" w:hAnsi="仿宋_GB2312" w:eastAsia="仿宋_GB2312" w:cs="仿宋_GB2312"/>
                <w:kern w:val="2"/>
                <w:sz w:val="24"/>
                <w:szCs w:val="24"/>
                <w:lang w:val="en-US" w:eastAsia="zh-CN" w:bidi="ar-SA"/>
              </w:rPr>
            </w:pPr>
          </w:p>
        </w:tc>
        <w:tc>
          <w:tcPr>
            <w:tcW w:w="1089" w:type="dxa"/>
            <w:tcBorders>
              <w:top w:val="single" w:color="auto" w:sz="2" w:space="0"/>
              <w:left w:val="single" w:color="auto" w:sz="4" w:space="0"/>
              <w:bottom w:val="single" w:color="auto" w:sz="2" w:space="0"/>
              <w:right w:val="single" w:color="auto" w:sz="4" w:space="0"/>
            </w:tcBorders>
            <w:vAlign w:val="center"/>
          </w:tcPr>
          <w:p>
            <w:pPr>
              <w:pStyle w:val="315"/>
              <w:snapToGrid w:val="0"/>
              <w:spacing w:line="360" w:lineRule="auto"/>
              <w:jc w:val="center"/>
              <w:rPr>
                <w:rFonts w:ascii="宋体" w:hAnsi="宋体"/>
                <w:bCs/>
                <w:color w:val="auto"/>
                <w:szCs w:val="21"/>
                <w:highlight w:val="none"/>
              </w:rPr>
            </w:pPr>
          </w:p>
        </w:tc>
        <w:tc>
          <w:tcPr>
            <w:tcW w:w="1433" w:type="dxa"/>
            <w:tcBorders>
              <w:top w:val="single" w:color="auto" w:sz="2" w:space="0"/>
              <w:left w:val="single" w:color="auto" w:sz="4" w:space="0"/>
              <w:bottom w:val="single" w:color="auto" w:sz="2" w:space="0"/>
              <w:right w:val="single" w:color="auto" w:sz="4"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8台</w:t>
            </w:r>
          </w:p>
        </w:tc>
        <w:tc>
          <w:tcPr>
            <w:tcW w:w="1000" w:type="dxa"/>
            <w:tcBorders>
              <w:top w:val="single" w:color="auto" w:sz="2" w:space="0"/>
              <w:left w:val="single" w:color="auto" w:sz="4" w:space="0"/>
              <w:bottom w:val="single" w:color="auto" w:sz="2" w:space="0"/>
              <w:right w:val="single" w:color="auto" w:sz="2" w:space="0"/>
            </w:tcBorders>
            <w:vAlign w:val="center"/>
          </w:tcPr>
          <w:p>
            <w:pPr>
              <w:snapToGrid w:val="0"/>
              <w:spacing w:after="200" w:line="300" w:lineRule="exact"/>
              <w:jc w:val="center"/>
              <w:rPr>
                <w:rFonts w:ascii="仿宋_GB2312" w:hAnsi="仿宋_GB2312" w:eastAsia="仿宋_GB2312" w:cs="仿宋_GB2312"/>
                <w:kern w:val="2"/>
                <w:sz w:val="24"/>
                <w:szCs w:val="24"/>
                <w:lang w:val="en-US" w:eastAsia="zh-CN" w:bidi="ar-SA"/>
              </w:rPr>
            </w:pPr>
          </w:p>
        </w:tc>
        <w:tc>
          <w:tcPr>
            <w:tcW w:w="1556" w:type="dxa"/>
            <w:tcBorders>
              <w:top w:val="single" w:color="auto" w:sz="2" w:space="0"/>
              <w:left w:val="single" w:color="auto" w:sz="2" w:space="0"/>
              <w:bottom w:val="single" w:color="auto" w:sz="2" w:space="0"/>
              <w:right w:val="single" w:color="auto" w:sz="2" w:space="0"/>
            </w:tcBorders>
            <w:vAlign w:val="center"/>
          </w:tcPr>
          <w:p>
            <w:pPr>
              <w:pStyle w:val="315"/>
              <w:snapToGrid w:val="0"/>
              <w:spacing w:line="360" w:lineRule="auto"/>
              <w:jc w:val="center"/>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6" w:type="dxa"/>
            <w:tcBorders>
              <w:top w:val="single" w:color="auto" w:sz="4" w:space="0"/>
              <w:left w:val="single" w:color="auto" w:sz="2" w:space="0"/>
              <w:bottom w:val="single" w:color="auto" w:sz="4" w:space="0"/>
              <w:right w:val="single" w:color="auto" w:sz="4" w:space="0"/>
            </w:tcBorders>
            <w:vAlign w:val="center"/>
          </w:tcPr>
          <w:p>
            <w:pPr>
              <w:snapToGrid w:val="0"/>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w:t>
            </w:r>
          </w:p>
        </w:tc>
        <w:tc>
          <w:tcPr>
            <w:tcW w:w="1534" w:type="dxa"/>
            <w:tcBorders>
              <w:top w:val="single" w:color="auto" w:sz="4" w:space="0"/>
              <w:left w:val="single" w:color="auto" w:sz="4" w:space="0"/>
              <w:bottom w:val="single" w:color="auto" w:sz="4" w:space="0"/>
              <w:right w:val="single" w:color="auto" w:sz="4" w:space="0"/>
            </w:tcBorders>
            <w:vAlign w:val="center"/>
          </w:tcPr>
          <w:p>
            <w:pPr>
              <w:snapToGrid w:val="0"/>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补光灯</w:t>
            </w:r>
          </w:p>
        </w:tc>
        <w:tc>
          <w:tcPr>
            <w:tcW w:w="578" w:type="dxa"/>
            <w:tcBorders>
              <w:top w:val="single" w:color="auto" w:sz="4" w:space="0"/>
              <w:left w:val="single" w:color="auto" w:sz="4" w:space="0"/>
              <w:bottom w:val="single" w:color="auto" w:sz="4" w:space="0"/>
              <w:right w:val="single" w:color="auto" w:sz="4"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49" w:firstLineChars="833"/>
              <w:jc w:val="left"/>
              <w:rPr>
                <w:rFonts w:ascii="宋体" w:hAnsi="宋体"/>
                <w:bCs/>
                <w:color w:val="auto"/>
                <w:szCs w:val="21"/>
                <w:highlight w:val="none"/>
              </w:rPr>
            </w:pPr>
          </w:p>
        </w:tc>
        <w:tc>
          <w:tcPr>
            <w:tcW w:w="1433" w:type="dxa"/>
            <w:tcBorders>
              <w:top w:val="single" w:color="auto" w:sz="4" w:space="0"/>
              <w:left w:val="single" w:color="auto" w:sz="4" w:space="0"/>
              <w:bottom w:val="single" w:color="auto" w:sz="4" w:space="0"/>
              <w:right w:val="single" w:color="auto" w:sz="4"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8套</w:t>
            </w:r>
          </w:p>
        </w:tc>
        <w:tc>
          <w:tcPr>
            <w:tcW w:w="1000" w:type="dxa"/>
            <w:tcBorders>
              <w:top w:val="single" w:color="auto" w:sz="4" w:space="0"/>
              <w:left w:val="single" w:color="auto" w:sz="4" w:space="0"/>
              <w:bottom w:val="single" w:color="auto" w:sz="4" w:space="0"/>
              <w:right w:val="single" w:color="auto" w:sz="2" w:space="0"/>
            </w:tcBorders>
            <w:vAlign w:val="center"/>
          </w:tcPr>
          <w:p>
            <w:pPr>
              <w:snapToGrid w:val="0"/>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jc w:val="left"/>
              <w:rPr>
                <w:rFonts w:ascii="宋体" w:hAnsi="宋体"/>
                <w:bCs/>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ascii="黑体" w:hAnsi="黑体" w:eastAsia="黑体" w:cs="黑体"/>
                <w:kern w:val="2"/>
                <w:sz w:val="24"/>
                <w:szCs w:val="24"/>
                <w:lang w:val="en-US" w:eastAsia="zh-CN" w:bidi="ar-SA"/>
              </w:rPr>
            </w:pPr>
            <w:r>
              <w:rPr>
                <w:rFonts w:hint="eastAsia" w:ascii="黑体" w:hAnsi="黑体" w:eastAsia="黑体" w:cs="黑体"/>
                <w:sz w:val="24"/>
                <w:szCs w:val="24"/>
              </w:rPr>
              <w:t>4</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人脸比对模块</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1台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5</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16路视频存储器</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1台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6</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24口数据交换设备</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1台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7</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硬盘</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3台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8</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显示终端</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1台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9</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立柱</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96根</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10</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防撞柱</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96根</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11</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自动门</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31套</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12</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开门机</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7台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13</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定制门</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3套</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14</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红外防夹装置</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58对</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15</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8口数据接入设备</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86台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16</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弱电箱</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83台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17</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PVC管</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8450米</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18</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超五类网线</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7250米</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19</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电源线</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7200米</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20</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信号线</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089" w:type="dxa"/>
            <w:tcBorders>
              <w:top w:val="single" w:color="auto" w:sz="4" w:space="0"/>
              <w:left w:val="single" w:color="auto" w:sz="4" w:space="0"/>
              <w:bottom w:val="single" w:color="auto" w:sz="4" w:space="0"/>
              <w:right w:val="single" w:color="auto" w:sz="4" w:space="0"/>
            </w:tcBorders>
            <w:vAlign w:val="top"/>
          </w:tcPr>
          <w:p>
            <w:pPr>
              <w:pStyle w:val="315"/>
              <w:snapToGrid w:val="0"/>
              <w:spacing w:line="360" w:lineRule="auto"/>
              <w:ind w:firstLine="1756" w:firstLineChars="833"/>
              <w:rPr>
                <w:rFonts w:hint="eastAsia" w:ascii="宋体" w:hAnsi="宋体"/>
                <w:b/>
                <w:szCs w:val="28"/>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2450米</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c>
          <w:tcPr>
            <w:tcW w:w="1556" w:type="dxa"/>
            <w:tcBorders>
              <w:top w:val="single" w:color="auto" w:sz="4" w:space="0"/>
              <w:left w:val="single" w:color="auto" w:sz="2" w:space="0"/>
              <w:bottom w:val="single" w:color="auto" w:sz="4" w:space="0"/>
              <w:right w:val="single" w:color="auto" w:sz="2" w:space="0"/>
            </w:tcBorders>
            <w:vAlign w:val="center"/>
          </w:tcPr>
          <w:p>
            <w:pPr>
              <w:pStyle w:val="315"/>
              <w:snapToGrid w:val="0"/>
              <w:spacing w:line="360" w:lineRule="auto"/>
              <w:rPr>
                <w:rFonts w:hint="eastAsia" w:ascii="宋体" w:hAnsi="宋体"/>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4"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21</w:t>
            </w:r>
          </w:p>
        </w:tc>
        <w:tc>
          <w:tcPr>
            <w:tcW w:w="1534"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人脸采集USB摄像机</w:t>
            </w:r>
          </w:p>
        </w:tc>
        <w:tc>
          <w:tcPr>
            <w:tcW w:w="578"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tcBorders>
              <w:top w:val="single" w:color="auto" w:sz="4" w:space="0"/>
              <w:left w:val="single" w:color="auto" w:sz="4" w:space="0"/>
              <w:bottom w:val="single" w:color="auto" w:sz="4"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23台</w:t>
            </w:r>
          </w:p>
        </w:tc>
        <w:tc>
          <w:tcPr>
            <w:tcW w:w="1000" w:type="dxa"/>
            <w:tcBorders>
              <w:top w:val="single" w:color="auto" w:sz="4" w:space="0"/>
              <w:left w:val="single" w:color="auto" w:sz="4" w:space="0"/>
              <w:bottom w:val="single" w:color="auto" w:sz="4" w:space="0"/>
              <w:right w:val="single" w:color="auto" w:sz="2"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tcBorders>
              <w:top w:val="single" w:color="auto" w:sz="4" w:space="0"/>
              <w:left w:val="single" w:color="auto" w:sz="2" w:space="0"/>
              <w:bottom w:val="single" w:color="auto" w:sz="4"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tcBorders>
              <w:top w:val="single" w:color="auto" w:sz="4" w:space="0"/>
              <w:left w:val="single" w:color="auto" w:sz="2" w:space="0"/>
              <w:bottom w:val="single" w:color="auto" w:sz="2" w:space="0"/>
              <w:right w:val="single" w:color="auto" w:sz="4" w:space="0"/>
            </w:tcBorders>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22</w:t>
            </w:r>
          </w:p>
        </w:tc>
        <w:tc>
          <w:tcPr>
            <w:tcW w:w="1534" w:type="dxa"/>
            <w:tcBorders>
              <w:top w:val="single" w:color="auto" w:sz="4" w:space="0"/>
              <w:left w:val="single" w:color="auto" w:sz="4" w:space="0"/>
              <w:bottom w:val="single" w:color="auto" w:sz="2"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身份证阅读器</w:t>
            </w:r>
          </w:p>
        </w:tc>
        <w:tc>
          <w:tcPr>
            <w:tcW w:w="578" w:type="dxa"/>
            <w:tcBorders>
              <w:top w:val="single" w:color="auto" w:sz="4" w:space="0"/>
              <w:left w:val="single" w:color="auto" w:sz="4" w:space="0"/>
              <w:bottom w:val="single" w:color="auto" w:sz="2"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tcBorders>
              <w:top w:val="single" w:color="auto" w:sz="4" w:space="0"/>
              <w:left w:val="single" w:color="auto" w:sz="4" w:space="0"/>
              <w:bottom w:val="single" w:color="auto" w:sz="2"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tcBorders>
              <w:top w:val="single" w:color="auto" w:sz="4" w:space="0"/>
              <w:left w:val="single" w:color="auto" w:sz="4" w:space="0"/>
              <w:bottom w:val="single" w:color="auto" w:sz="2" w:space="0"/>
              <w:right w:val="single" w:color="auto" w:sz="4"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tcBorders>
              <w:top w:val="single" w:color="auto" w:sz="4" w:space="0"/>
              <w:left w:val="single" w:color="auto" w:sz="4" w:space="0"/>
              <w:bottom w:val="single" w:color="auto" w:sz="2" w:space="0"/>
              <w:right w:val="single" w:color="auto" w:sz="4"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23台</w:t>
            </w:r>
          </w:p>
        </w:tc>
        <w:tc>
          <w:tcPr>
            <w:tcW w:w="1000" w:type="dxa"/>
            <w:tcBorders>
              <w:top w:val="single" w:color="auto" w:sz="4" w:space="0"/>
              <w:left w:val="single" w:color="auto" w:sz="4" w:space="0"/>
              <w:bottom w:val="single" w:color="auto" w:sz="2" w:space="0"/>
              <w:right w:val="single" w:color="auto" w:sz="2" w:space="0"/>
            </w:tcBorders>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tcBorders>
              <w:top w:val="single" w:color="auto" w:sz="4" w:space="0"/>
              <w:left w:val="single" w:color="auto" w:sz="2" w:space="0"/>
              <w:bottom w:val="single" w:color="auto" w:sz="2" w:space="0"/>
              <w:right w:val="single" w:color="auto" w:sz="2" w:space="0"/>
            </w:tcBorders>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23</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人脸识别终端</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23台</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24</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车牌识别一体机</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86台</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25</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高清车牌识别辅助相机</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2台</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26</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栅栏式道闸</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41台</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27</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收费管理端</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32台</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28</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减速带</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234米</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29</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护栏</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98米</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30</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4芯光纤</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1800米</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31</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光纤收发器</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7对</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32</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管线预埋</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color w:val="000000"/>
                <w:kern w:val="0"/>
                <w:sz w:val="24"/>
                <w:szCs w:val="24"/>
                <w:lang w:bidi="ar"/>
              </w:rPr>
              <w:t>32处</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33</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治安警务管理平台研发</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566" w:type="dxa"/>
            <w:vAlign w:val="center"/>
          </w:tcPr>
          <w:p>
            <w:pPr>
              <w:spacing w:after="200" w:line="300" w:lineRule="exact"/>
              <w:jc w:val="center"/>
              <w:rPr>
                <w:rFonts w:hint="eastAsia" w:ascii="黑体" w:hAnsi="黑体" w:eastAsia="黑体" w:cs="黑体"/>
                <w:kern w:val="2"/>
                <w:sz w:val="24"/>
                <w:szCs w:val="24"/>
                <w:lang w:val="en-US" w:eastAsia="zh-CN" w:bidi="ar-SA"/>
              </w:rPr>
            </w:pPr>
            <w:r>
              <w:rPr>
                <w:rFonts w:hint="eastAsia" w:ascii="黑体" w:hAnsi="黑体" w:eastAsia="黑体" w:cs="黑体"/>
                <w:sz w:val="24"/>
                <w:szCs w:val="24"/>
              </w:rPr>
              <w:t>34</w:t>
            </w:r>
          </w:p>
        </w:tc>
        <w:tc>
          <w:tcPr>
            <w:tcW w:w="1534" w:type="dxa"/>
            <w:vAlign w:val="center"/>
          </w:tcPr>
          <w:p>
            <w:pPr>
              <w:spacing w:after="200" w:line="300" w:lineRule="exact"/>
              <w:jc w:val="left"/>
              <w:rPr>
                <w:rFonts w:hint="eastAsia"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bidi="ar"/>
              </w:rPr>
              <w:t>智慧平安小区管理服务平台研发</w:t>
            </w:r>
          </w:p>
        </w:tc>
        <w:tc>
          <w:tcPr>
            <w:tcW w:w="578"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866"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089"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433"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1000" w:type="dxa"/>
            <w:vAlign w:val="center"/>
          </w:tcPr>
          <w:p>
            <w:pPr>
              <w:spacing w:after="200" w:line="300" w:lineRule="exact"/>
              <w:jc w:val="left"/>
              <w:rPr>
                <w:rFonts w:hint="eastAsia" w:ascii="仿宋_GB2312" w:hAnsi="仿宋_GB2312" w:eastAsia="仿宋_GB2312" w:cs="仿宋_GB2312"/>
                <w:color w:val="000000"/>
                <w:kern w:val="0"/>
                <w:sz w:val="24"/>
                <w:szCs w:val="24"/>
                <w:lang w:bidi="ar"/>
              </w:rPr>
            </w:pPr>
          </w:p>
        </w:tc>
        <w:tc>
          <w:tcPr>
            <w:tcW w:w="1556" w:type="dxa"/>
            <w:vAlign w:val="center"/>
          </w:tcPr>
          <w:p>
            <w:pPr>
              <w:spacing w:after="200" w:line="300" w:lineRule="exact"/>
              <w:jc w:val="center"/>
              <w:rPr>
                <w:rFonts w:hint="eastAsia" w:ascii="仿宋_GB2312" w:hAnsi="仿宋_GB2312" w:eastAsia="仿宋_GB2312" w:cs="仿宋_GB2312"/>
                <w:kern w:val="2"/>
                <w:sz w:val="24"/>
                <w:szCs w:val="24"/>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 w:hRule="atLeast"/>
        </w:trPr>
        <w:tc>
          <w:tcPr>
            <w:tcW w:w="7066" w:type="dxa"/>
            <w:gridSpan w:val="7"/>
            <w:vAlign w:val="center"/>
          </w:tcPr>
          <w:p>
            <w:pPr>
              <w:spacing w:after="200" w:line="300" w:lineRule="exact"/>
              <w:jc w:val="center"/>
              <w:rPr>
                <w:rFonts w:hint="default" w:ascii="仿宋_GB2312" w:hAnsi="仿宋_GB2312" w:eastAsia="仿宋_GB2312" w:cs="仿宋_GB2312"/>
                <w:color w:val="000000"/>
                <w:kern w:val="0"/>
                <w:sz w:val="24"/>
                <w:szCs w:val="24"/>
                <w:lang w:val="en-US" w:eastAsia="zh-CN" w:bidi="ar"/>
              </w:rPr>
            </w:pPr>
            <w:r>
              <w:rPr>
                <w:rFonts w:hint="eastAsia" w:ascii="仿宋_GB2312" w:hAnsi="仿宋_GB2312" w:eastAsia="仿宋_GB2312" w:cs="仿宋_GB2312"/>
                <w:color w:val="000000"/>
                <w:kern w:val="0"/>
                <w:sz w:val="24"/>
                <w:szCs w:val="24"/>
                <w:lang w:val="en-US" w:eastAsia="zh-CN" w:bidi="ar"/>
              </w:rPr>
              <w:t>投标报价（总价合计）</w:t>
            </w:r>
          </w:p>
        </w:tc>
        <w:tc>
          <w:tcPr>
            <w:tcW w:w="1556" w:type="dxa"/>
            <w:vAlign w:val="center"/>
          </w:tcPr>
          <w:p>
            <w:pPr>
              <w:spacing w:after="200" w:line="300" w:lineRule="exact"/>
              <w:jc w:val="center"/>
              <w:rPr>
                <w:rFonts w:hint="eastAsia" w:ascii="仿宋_GB2312" w:hAnsi="仿宋_GB2312" w:eastAsia="仿宋_GB2312" w:cs="仿宋_GB2312"/>
                <w:sz w:val="24"/>
                <w:szCs w:val="24"/>
              </w:rPr>
            </w:pPr>
          </w:p>
        </w:tc>
      </w:tr>
    </w:tbl>
    <w:p>
      <w:pPr>
        <w:spacing w:line="440" w:lineRule="atLeast"/>
        <w:ind w:firstLine="419" w:firstLineChars="149"/>
        <w:rPr>
          <w:rFonts w:hint="eastAsia" w:ascii="宋体" w:hAnsi="宋体"/>
          <w:b/>
          <w:color w:val="auto"/>
          <w:sz w:val="28"/>
          <w:szCs w:val="28"/>
          <w:highlight w:val="none"/>
        </w:rPr>
      </w:pPr>
      <w:r>
        <w:rPr>
          <w:rFonts w:hint="eastAsia" w:ascii="宋体" w:hAnsi="宋体"/>
          <w:b/>
          <w:color w:val="auto"/>
          <w:sz w:val="28"/>
          <w:szCs w:val="28"/>
          <w:highlight w:val="none"/>
        </w:rPr>
        <w:t>说明：</w:t>
      </w:r>
    </w:p>
    <w:p>
      <w:pPr>
        <w:spacing w:line="440" w:lineRule="atLeast"/>
        <w:ind w:firstLine="419" w:firstLineChars="149"/>
        <w:rPr>
          <w:rFonts w:hint="eastAsia" w:ascii="宋体" w:hAnsi="宋体"/>
          <w:b/>
          <w:color w:val="auto"/>
          <w:sz w:val="28"/>
          <w:szCs w:val="28"/>
          <w:highlight w:val="none"/>
        </w:rPr>
      </w:pPr>
      <w:r>
        <w:rPr>
          <w:rFonts w:hint="eastAsia" w:ascii="宋体" w:hAnsi="宋体"/>
          <w:b/>
          <w:color w:val="auto"/>
          <w:sz w:val="28"/>
          <w:szCs w:val="28"/>
          <w:highlight w:val="none"/>
        </w:rPr>
        <w:t>1、进口产品是指通过中国海关报关验放进入中国境内且产自关境外的产品。</w:t>
      </w:r>
    </w:p>
    <w:p>
      <w:pPr>
        <w:spacing w:line="440" w:lineRule="atLeast"/>
        <w:ind w:firstLine="419" w:firstLineChars="149"/>
        <w:rPr>
          <w:rFonts w:ascii="宋体" w:hAnsi="宋体"/>
          <w:b/>
          <w:color w:val="auto"/>
          <w:sz w:val="28"/>
          <w:szCs w:val="28"/>
          <w:highlight w:val="none"/>
        </w:rPr>
      </w:pPr>
      <w:r>
        <w:rPr>
          <w:rFonts w:hint="eastAsia" w:ascii="宋体" w:hAnsi="宋体"/>
          <w:b/>
          <w:color w:val="auto"/>
          <w:sz w:val="28"/>
          <w:szCs w:val="28"/>
          <w:highlight w:val="none"/>
        </w:rPr>
        <w:t>2、分项报价明细表格式中要求填写品牌、规格型号、制造商、进口或国产的，投标人必须载明其投标产品的品牌、规格型号、制造商、进口或国产。</w:t>
      </w:r>
    </w:p>
    <w:p>
      <w:pPr>
        <w:numPr>
          <w:ilvl w:val="0"/>
          <w:numId w:val="36"/>
        </w:numPr>
        <w:tabs>
          <w:tab w:val="left" w:pos="630"/>
          <w:tab w:val="left" w:pos="3414"/>
          <w:tab w:val="left" w:pos="7560"/>
        </w:tabs>
        <w:spacing w:after="200" w:line="360" w:lineRule="auto"/>
        <w:ind w:left="0" w:firstLine="0"/>
        <w:rPr>
          <w:rFonts w:ascii="宋体" w:hAnsi="宋体"/>
          <w:b/>
          <w:color w:val="auto"/>
          <w:sz w:val="28"/>
          <w:highlight w:val="none"/>
        </w:rPr>
      </w:pPr>
      <w:r>
        <w:rPr>
          <w:rFonts w:hint="eastAsia" w:ascii="宋体" w:hAnsi="宋体"/>
          <w:b/>
          <w:color w:val="auto"/>
          <w:sz w:val="28"/>
          <w:szCs w:val="28"/>
          <w:highlight w:val="none"/>
        </w:rPr>
        <w:t>投标人</w:t>
      </w:r>
      <w:r>
        <w:rPr>
          <w:rFonts w:hint="eastAsia" w:ascii="宋体" w:hAnsi="宋体"/>
          <w:b/>
          <w:color w:val="auto"/>
          <w:sz w:val="28"/>
          <w:highlight w:val="none"/>
        </w:rPr>
        <w:t>投标产品中为监狱企业制造的货物清单及价格（说明：</w:t>
      </w:r>
      <w:r>
        <w:rPr>
          <w:rFonts w:ascii="宋体" w:hAnsi="宋体"/>
          <w:b/>
          <w:color w:val="auto"/>
          <w:sz w:val="28"/>
          <w:highlight w:val="none"/>
        </w:rPr>
        <w:t>1、提供由省级以上监狱管理局、戒毒管理局（含新疆生产建设兵团）出具的</w:t>
      </w:r>
      <w:r>
        <w:rPr>
          <w:rFonts w:hint="eastAsia" w:ascii="宋体" w:hAnsi="宋体"/>
          <w:b/>
          <w:color w:val="auto"/>
          <w:sz w:val="28"/>
          <w:highlight w:val="none"/>
        </w:rPr>
        <w:t>制造</w:t>
      </w:r>
      <w:r>
        <w:rPr>
          <w:rFonts w:ascii="宋体" w:hAnsi="宋体"/>
          <w:b/>
          <w:color w:val="auto"/>
          <w:sz w:val="28"/>
          <w:highlight w:val="none"/>
        </w:rPr>
        <w:t>商属于监狱企业的证明文件复印件；2、如未提供</w:t>
      </w:r>
      <w:r>
        <w:rPr>
          <w:rFonts w:hint="eastAsia" w:ascii="宋体" w:hAnsi="宋体"/>
          <w:b/>
          <w:color w:val="auto"/>
          <w:sz w:val="28"/>
          <w:highlight w:val="none"/>
        </w:rPr>
        <w:t>货物</w:t>
      </w:r>
      <w:r>
        <w:rPr>
          <w:rFonts w:ascii="宋体" w:hAnsi="宋体"/>
          <w:b/>
          <w:color w:val="auto"/>
          <w:sz w:val="28"/>
          <w:highlight w:val="none"/>
        </w:rPr>
        <w:t>清单及价格以及相关证明材料复印件，则不能享受对监狱企业</w:t>
      </w:r>
      <w:r>
        <w:rPr>
          <w:rFonts w:hint="eastAsia" w:ascii="宋体" w:hAnsi="宋体"/>
          <w:b/>
          <w:color w:val="auto"/>
          <w:sz w:val="28"/>
          <w:highlight w:val="none"/>
        </w:rPr>
        <w:t>制造的货物</w:t>
      </w:r>
      <w:r>
        <w:rPr>
          <w:rFonts w:ascii="宋体" w:hAnsi="宋体"/>
          <w:b/>
          <w:color w:val="auto"/>
          <w:sz w:val="28"/>
          <w:highlight w:val="none"/>
        </w:rPr>
        <w:t>的价格扣除，但不影响投标文件的有效性。）</w:t>
      </w:r>
    </w:p>
    <w:tbl>
      <w:tblPr>
        <w:tblStyle w:val="43"/>
        <w:tblW w:w="92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694"/>
        <w:gridCol w:w="1253"/>
        <w:gridCol w:w="1272"/>
        <w:gridCol w:w="1389"/>
        <w:gridCol w:w="587"/>
        <w:gridCol w:w="12"/>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序号</w:t>
            </w:r>
          </w:p>
        </w:tc>
        <w:tc>
          <w:tcPr>
            <w:tcW w:w="172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lang w:val="en-US" w:eastAsia="zh-CN"/>
              </w:rPr>
              <w:t>产品</w:t>
            </w:r>
            <w:r>
              <w:rPr>
                <w:rFonts w:hint="eastAsia" w:ascii="宋体" w:hAnsi="宋体"/>
                <w:b/>
                <w:color w:val="auto"/>
                <w:highlight w:val="none"/>
              </w:rPr>
              <w:t>名称</w:t>
            </w:r>
          </w:p>
        </w:tc>
        <w:tc>
          <w:tcPr>
            <w:tcW w:w="694"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品牌</w:t>
            </w:r>
          </w:p>
        </w:tc>
        <w:tc>
          <w:tcPr>
            <w:tcW w:w="1253"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规格型号</w:t>
            </w:r>
          </w:p>
        </w:tc>
        <w:tc>
          <w:tcPr>
            <w:tcW w:w="1272"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lang w:val="en-US" w:eastAsia="zh-CN"/>
              </w:rPr>
              <w:t>生产厂</w:t>
            </w:r>
            <w:r>
              <w:rPr>
                <w:rFonts w:hint="eastAsia" w:ascii="宋体" w:hAnsi="宋体"/>
                <w:b/>
                <w:color w:val="auto"/>
                <w:highlight w:val="none"/>
              </w:rPr>
              <w:t>商</w:t>
            </w:r>
          </w:p>
        </w:tc>
        <w:tc>
          <w:tcPr>
            <w:tcW w:w="1389" w:type="dxa"/>
            <w:vAlign w:val="center"/>
          </w:tcPr>
          <w:p>
            <w:pPr>
              <w:spacing w:before="156" w:beforeLines="50" w:line="360" w:lineRule="auto"/>
              <w:jc w:val="center"/>
              <w:rPr>
                <w:rFonts w:hint="eastAsia" w:ascii="宋体" w:hAnsi="宋体" w:eastAsia="宋体"/>
                <w:b/>
                <w:color w:val="auto"/>
                <w:highlight w:val="none"/>
                <w:lang w:eastAsia="zh-CN"/>
              </w:rPr>
            </w:pPr>
            <w:r>
              <w:rPr>
                <w:rFonts w:hint="eastAsia" w:ascii="宋体" w:hAnsi="宋体"/>
                <w:b/>
                <w:color w:val="auto"/>
                <w:highlight w:val="none"/>
              </w:rPr>
              <w:t>数量</w:t>
            </w:r>
            <w:r>
              <w:rPr>
                <w:rFonts w:hint="eastAsia" w:ascii="宋体" w:hAnsi="宋体"/>
                <w:b/>
                <w:color w:val="auto"/>
                <w:highlight w:val="none"/>
                <w:lang w:eastAsia="zh-CN"/>
              </w:rPr>
              <w:t>（</w:t>
            </w:r>
            <w:r>
              <w:rPr>
                <w:rFonts w:hint="eastAsia" w:ascii="宋体" w:hAnsi="宋体"/>
                <w:b/>
                <w:color w:val="auto"/>
                <w:highlight w:val="none"/>
                <w:lang w:val="en-US" w:eastAsia="zh-CN"/>
              </w:rPr>
              <w:t>单位</w:t>
            </w:r>
            <w:r>
              <w:rPr>
                <w:rFonts w:hint="eastAsia" w:ascii="宋体" w:hAnsi="宋体"/>
                <w:b/>
                <w:color w:val="auto"/>
                <w:highlight w:val="none"/>
                <w:lang w:eastAsia="zh-CN"/>
              </w:rPr>
              <w:t>）</w:t>
            </w:r>
          </w:p>
        </w:tc>
        <w:tc>
          <w:tcPr>
            <w:tcW w:w="599" w:type="dxa"/>
            <w:gridSpan w:val="2"/>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单价</w:t>
            </w:r>
          </w:p>
        </w:tc>
        <w:tc>
          <w:tcPr>
            <w:tcW w:w="1406"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694" w:type="dxa"/>
            <w:vAlign w:val="center"/>
          </w:tcPr>
          <w:p>
            <w:pPr>
              <w:spacing w:line="360" w:lineRule="auto"/>
              <w:jc w:val="center"/>
              <w:rPr>
                <w:rFonts w:ascii="宋体" w:hAnsi="宋体"/>
                <w:color w:val="auto"/>
                <w:highlight w:val="none"/>
              </w:rPr>
            </w:pPr>
          </w:p>
        </w:tc>
        <w:tc>
          <w:tcPr>
            <w:tcW w:w="1253" w:type="dxa"/>
            <w:vAlign w:val="center"/>
          </w:tcPr>
          <w:p>
            <w:pPr>
              <w:spacing w:line="360" w:lineRule="auto"/>
              <w:jc w:val="center"/>
              <w:rPr>
                <w:rFonts w:ascii="宋体" w:hAnsi="宋体"/>
                <w:color w:val="auto"/>
                <w:highlight w:val="none"/>
              </w:rPr>
            </w:pPr>
          </w:p>
        </w:tc>
        <w:tc>
          <w:tcPr>
            <w:tcW w:w="1272" w:type="dxa"/>
            <w:vAlign w:val="center"/>
          </w:tcPr>
          <w:p>
            <w:pPr>
              <w:spacing w:line="360" w:lineRule="auto"/>
              <w:jc w:val="center"/>
              <w:rPr>
                <w:rFonts w:ascii="宋体" w:hAnsi="宋体"/>
                <w:color w:val="auto"/>
                <w:highlight w:val="none"/>
              </w:rPr>
            </w:pPr>
          </w:p>
        </w:tc>
        <w:tc>
          <w:tcPr>
            <w:tcW w:w="1389" w:type="dxa"/>
            <w:vAlign w:val="center"/>
          </w:tcPr>
          <w:p>
            <w:pPr>
              <w:spacing w:line="360" w:lineRule="auto"/>
              <w:jc w:val="center"/>
              <w:rPr>
                <w:rFonts w:ascii="宋体" w:hAnsi="宋体"/>
                <w:color w:val="auto"/>
                <w:highlight w:val="none"/>
              </w:rPr>
            </w:pPr>
          </w:p>
        </w:tc>
        <w:tc>
          <w:tcPr>
            <w:tcW w:w="599" w:type="dxa"/>
            <w:gridSpan w:val="2"/>
            <w:vAlign w:val="center"/>
          </w:tcPr>
          <w:p>
            <w:pPr>
              <w:spacing w:line="360" w:lineRule="auto"/>
              <w:jc w:val="center"/>
              <w:rPr>
                <w:rFonts w:ascii="宋体" w:hAnsi="宋体"/>
                <w:color w:val="auto"/>
                <w:highlight w:val="none"/>
              </w:rPr>
            </w:pPr>
          </w:p>
        </w:tc>
        <w:tc>
          <w:tcPr>
            <w:tcW w:w="1406"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694" w:type="dxa"/>
            <w:vAlign w:val="center"/>
          </w:tcPr>
          <w:p>
            <w:pPr>
              <w:spacing w:line="360" w:lineRule="auto"/>
              <w:jc w:val="center"/>
              <w:rPr>
                <w:rFonts w:ascii="宋体" w:hAnsi="宋体"/>
                <w:color w:val="auto"/>
                <w:highlight w:val="none"/>
              </w:rPr>
            </w:pPr>
          </w:p>
        </w:tc>
        <w:tc>
          <w:tcPr>
            <w:tcW w:w="1253" w:type="dxa"/>
            <w:vAlign w:val="center"/>
          </w:tcPr>
          <w:p>
            <w:pPr>
              <w:spacing w:line="360" w:lineRule="auto"/>
              <w:jc w:val="center"/>
              <w:rPr>
                <w:rFonts w:ascii="宋体" w:hAnsi="宋体"/>
                <w:color w:val="auto"/>
                <w:highlight w:val="none"/>
              </w:rPr>
            </w:pPr>
          </w:p>
        </w:tc>
        <w:tc>
          <w:tcPr>
            <w:tcW w:w="1272" w:type="dxa"/>
            <w:vAlign w:val="center"/>
          </w:tcPr>
          <w:p>
            <w:pPr>
              <w:spacing w:line="360" w:lineRule="auto"/>
              <w:jc w:val="center"/>
              <w:rPr>
                <w:rFonts w:ascii="宋体" w:hAnsi="宋体"/>
                <w:color w:val="auto"/>
                <w:highlight w:val="none"/>
              </w:rPr>
            </w:pPr>
          </w:p>
        </w:tc>
        <w:tc>
          <w:tcPr>
            <w:tcW w:w="1389" w:type="dxa"/>
            <w:vAlign w:val="center"/>
          </w:tcPr>
          <w:p>
            <w:pPr>
              <w:spacing w:line="360" w:lineRule="auto"/>
              <w:jc w:val="center"/>
              <w:rPr>
                <w:rFonts w:ascii="宋体" w:hAnsi="宋体"/>
                <w:color w:val="auto"/>
                <w:highlight w:val="none"/>
              </w:rPr>
            </w:pPr>
          </w:p>
        </w:tc>
        <w:tc>
          <w:tcPr>
            <w:tcW w:w="599" w:type="dxa"/>
            <w:gridSpan w:val="2"/>
            <w:vAlign w:val="center"/>
          </w:tcPr>
          <w:p>
            <w:pPr>
              <w:spacing w:line="360" w:lineRule="auto"/>
              <w:jc w:val="center"/>
              <w:rPr>
                <w:rFonts w:ascii="宋体" w:hAnsi="宋体"/>
                <w:color w:val="auto"/>
                <w:highlight w:val="none"/>
              </w:rPr>
            </w:pPr>
          </w:p>
        </w:tc>
        <w:tc>
          <w:tcPr>
            <w:tcW w:w="1406"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694" w:type="dxa"/>
            <w:vAlign w:val="center"/>
          </w:tcPr>
          <w:p>
            <w:pPr>
              <w:spacing w:line="360" w:lineRule="auto"/>
              <w:jc w:val="center"/>
              <w:rPr>
                <w:rFonts w:ascii="宋体" w:hAnsi="宋体"/>
                <w:color w:val="auto"/>
                <w:highlight w:val="none"/>
              </w:rPr>
            </w:pPr>
          </w:p>
        </w:tc>
        <w:tc>
          <w:tcPr>
            <w:tcW w:w="1253" w:type="dxa"/>
            <w:vAlign w:val="center"/>
          </w:tcPr>
          <w:p>
            <w:pPr>
              <w:spacing w:line="360" w:lineRule="auto"/>
              <w:jc w:val="center"/>
              <w:rPr>
                <w:rFonts w:ascii="宋体" w:hAnsi="宋体"/>
                <w:color w:val="auto"/>
                <w:highlight w:val="none"/>
              </w:rPr>
            </w:pPr>
          </w:p>
        </w:tc>
        <w:tc>
          <w:tcPr>
            <w:tcW w:w="1272" w:type="dxa"/>
            <w:vAlign w:val="center"/>
          </w:tcPr>
          <w:p>
            <w:pPr>
              <w:spacing w:line="360" w:lineRule="auto"/>
              <w:jc w:val="center"/>
              <w:rPr>
                <w:rFonts w:ascii="宋体" w:hAnsi="宋体"/>
                <w:color w:val="auto"/>
                <w:highlight w:val="none"/>
              </w:rPr>
            </w:pPr>
          </w:p>
        </w:tc>
        <w:tc>
          <w:tcPr>
            <w:tcW w:w="1389" w:type="dxa"/>
            <w:vAlign w:val="center"/>
          </w:tcPr>
          <w:p>
            <w:pPr>
              <w:spacing w:line="360" w:lineRule="auto"/>
              <w:jc w:val="center"/>
              <w:rPr>
                <w:rFonts w:ascii="宋体" w:hAnsi="宋体"/>
                <w:color w:val="auto"/>
                <w:highlight w:val="none"/>
              </w:rPr>
            </w:pPr>
          </w:p>
        </w:tc>
        <w:tc>
          <w:tcPr>
            <w:tcW w:w="599" w:type="dxa"/>
            <w:gridSpan w:val="2"/>
            <w:vAlign w:val="center"/>
          </w:tcPr>
          <w:p>
            <w:pPr>
              <w:spacing w:line="360" w:lineRule="auto"/>
              <w:jc w:val="center"/>
              <w:rPr>
                <w:rFonts w:ascii="宋体" w:hAnsi="宋体"/>
                <w:color w:val="auto"/>
                <w:highlight w:val="none"/>
              </w:rPr>
            </w:pPr>
          </w:p>
        </w:tc>
        <w:tc>
          <w:tcPr>
            <w:tcW w:w="1406"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7875" w:type="dxa"/>
            <w:gridSpan w:val="7"/>
            <w:vAlign w:val="center"/>
          </w:tcPr>
          <w:p>
            <w:pPr>
              <w:spacing w:line="360" w:lineRule="auto"/>
              <w:jc w:val="center"/>
              <w:rPr>
                <w:rFonts w:ascii="宋体" w:hAnsi="宋体"/>
                <w:color w:val="auto"/>
                <w:highlight w:val="none"/>
              </w:rPr>
            </w:pPr>
            <w:r>
              <w:rPr>
                <w:rFonts w:hint="eastAsia" w:ascii="宋体" w:hAnsi="宋体" w:cs="宋体"/>
                <w:b/>
                <w:color w:val="auto"/>
                <w:highlight w:val="none"/>
              </w:rPr>
              <w:t>监狱企业制造的货物</w:t>
            </w:r>
            <w:r>
              <w:rPr>
                <w:rFonts w:hint="eastAsia" w:ascii="宋体" w:hAnsi="宋体"/>
                <w:b/>
                <w:color w:val="auto"/>
                <w:highlight w:val="none"/>
              </w:rPr>
              <w:t>总价合计</w:t>
            </w:r>
          </w:p>
        </w:tc>
        <w:tc>
          <w:tcPr>
            <w:tcW w:w="1418" w:type="dxa"/>
            <w:gridSpan w:val="2"/>
            <w:vAlign w:val="center"/>
          </w:tcPr>
          <w:p>
            <w:pPr>
              <w:spacing w:line="360" w:lineRule="auto"/>
              <w:rPr>
                <w:rFonts w:ascii="宋体" w:hAnsi="宋体"/>
                <w:color w:val="auto"/>
                <w:highlight w:val="none"/>
              </w:rPr>
            </w:pPr>
            <w:r>
              <w:rPr>
                <w:rFonts w:hint="eastAsia" w:ascii="宋体" w:hAnsi="宋体"/>
                <w:color w:val="auto"/>
                <w:highlight w:val="none"/>
              </w:rPr>
              <w:t>￥</w:t>
            </w:r>
          </w:p>
        </w:tc>
      </w:tr>
    </w:tbl>
    <w:p>
      <w:pPr>
        <w:numPr>
          <w:ilvl w:val="0"/>
          <w:numId w:val="36"/>
        </w:numPr>
        <w:tabs>
          <w:tab w:val="left" w:pos="630"/>
          <w:tab w:val="left" w:pos="7560"/>
        </w:tabs>
        <w:spacing w:after="200" w:line="360" w:lineRule="auto"/>
        <w:ind w:left="0" w:firstLine="0"/>
        <w:rPr>
          <w:rFonts w:ascii="宋体" w:hAnsi="宋体"/>
          <w:b/>
          <w:color w:val="auto"/>
          <w:sz w:val="28"/>
          <w:highlight w:val="none"/>
        </w:rPr>
      </w:pPr>
      <w:r>
        <w:rPr>
          <w:rFonts w:hint="eastAsia" w:ascii="宋体" w:hAnsi="宋体"/>
          <w:b/>
          <w:color w:val="auto"/>
          <w:sz w:val="28"/>
          <w:highlight w:val="none"/>
        </w:rPr>
        <w:t>投标人投标产品中为残疾人福利性单位制造的货物清单及价格（说明：如未提供则不能享受对残疾人福利性单位制造的货物的价格扣除）</w:t>
      </w:r>
    </w:p>
    <w:tbl>
      <w:tblPr>
        <w:tblStyle w:val="43"/>
        <w:tblW w:w="10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60"/>
        <w:gridCol w:w="1720"/>
        <w:gridCol w:w="1133"/>
        <w:gridCol w:w="1703"/>
        <w:gridCol w:w="1197"/>
        <w:gridCol w:w="1323"/>
        <w:gridCol w:w="740"/>
        <w:gridCol w:w="13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6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序号</w:t>
            </w:r>
          </w:p>
        </w:tc>
        <w:tc>
          <w:tcPr>
            <w:tcW w:w="172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lang w:val="en-US" w:eastAsia="zh-CN"/>
              </w:rPr>
              <w:t>产品</w:t>
            </w:r>
            <w:r>
              <w:rPr>
                <w:rFonts w:hint="eastAsia" w:ascii="宋体" w:hAnsi="宋体"/>
                <w:b/>
                <w:color w:val="auto"/>
                <w:highlight w:val="none"/>
              </w:rPr>
              <w:t>名称</w:t>
            </w:r>
          </w:p>
        </w:tc>
        <w:tc>
          <w:tcPr>
            <w:tcW w:w="1133" w:type="dxa"/>
          </w:tcPr>
          <w:p>
            <w:pPr>
              <w:spacing w:before="156" w:beforeLines="50" w:line="360" w:lineRule="auto"/>
              <w:ind w:firstLine="211" w:firstLineChars="100"/>
              <w:jc w:val="both"/>
              <w:rPr>
                <w:rFonts w:ascii="宋体" w:hAnsi="宋体"/>
                <w:b/>
                <w:color w:val="auto"/>
                <w:highlight w:val="none"/>
              </w:rPr>
            </w:pPr>
            <w:r>
              <w:rPr>
                <w:rFonts w:hint="eastAsia" w:ascii="宋体" w:hAnsi="宋体"/>
                <w:b/>
                <w:color w:val="auto"/>
                <w:highlight w:val="none"/>
              </w:rPr>
              <w:t>品牌</w:t>
            </w:r>
          </w:p>
        </w:tc>
        <w:tc>
          <w:tcPr>
            <w:tcW w:w="1703"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规格型号</w:t>
            </w:r>
          </w:p>
        </w:tc>
        <w:tc>
          <w:tcPr>
            <w:tcW w:w="1197"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lang w:val="en-US" w:eastAsia="zh-CN"/>
              </w:rPr>
              <w:t>生产厂</w:t>
            </w:r>
            <w:r>
              <w:rPr>
                <w:rFonts w:hint="eastAsia" w:ascii="宋体" w:hAnsi="宋体"/>
                <w:b/>
                <w:color w:val="auto"/>
                <w:highlight w:val="none"/>
              </w:rPr>
              <w:t>商</w:t>
            </w:r>
          </w:p>
        </w:tc>
        <w:tc>
          <w:tcPr>
            <w:tcW w:w="1323" w:type="dxa"/>
            <w:vAlign w:val="center"/>
          </w:tcPr>
          <w:p>
            <w:pPr>
              <w:spacing w:before="156" w:beforeLines="50" w:line="360" w:lineRule="auto"/>
              <w:jc w:val="center"/>
              <w:rPr>
                <w:rFonts w:hint="eastAsia" w:ascii="宋体" w:hAnsi="宋体" w:eastAsia="宋体"/>
                <w:b/>
                <w:color w:val="auto"/>
                <w:highlight w:val="none"/>
                <w:lang w:eastAsia="zh-CN"/>
              </w:rPr>
            </w:pPr>
            <w:r>
              <w:rPr>
                <w:rFonts w:hint="eastAsia" w:ascii="宋体" w:hAnsi="宋体"/>
                <w:b/>
                <w:color w:val="auto"/>
                <w:highlight w:val="none"/>
              </w:rPr>
              <w:t>数量</w:t>
            </w:r>
            <w:r>
              <w:rPr>
                <w:rFonts w:hint="eastAsia" w:ascii="宋体" w:hAnsi="宋体"/>
                <w:b/>
                <w:color w:val="auto"/>
                <w:highlight w:val="none"/>
                <w:lang w:eastAsia="zh-CN"/>
              </w:rPr>
              <w:t>（</w:t>
            </w:r>
            <w:r>
              <w:rPr>
                <w:rFonts w:hint="eastAsia" w:ascii="宋体" w:hAnsi="宋体"/>
                <w:b/>
                <w:color w:val="auto"/>
                <w:highlight w:val="none"/>
                <w:lang w:val="en-US" w:eastAsia="zh-CN"/>
              </w:rPr>
              <w:t>单位</w:t>
            </w:r>
            <w:r>
              <w:rPr>
                <w:rFonts w:hint="eastAsia" w:ascii="宋体" w:hAnsi="宋体"/>
                <w:b/>
                <w:color w:val="auto"/>
                <w:highlight w:val="none"/>
                <w:lang w:eastAsia="zh-CN"/>
              </w:rPr>
              <w:t>）</w:t>
            </w:r>
          </w:p>
        </w:tc>
        <w:tc>
          <w:tcPr>
            <w:tcW w:w="740"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单价</w:t>
            </w:r>
          </w:p>
        </w:tc>
        <w:tc>
          <w:tcPr>
            <w:tcW w:w="1346" w:type="dxa"/>
            <w:vAlign w:val="center"/>
          </w:tcPr>
          <w:p>
            <w:pPr>
              <w:spacing w:before="156" w:beforeLines="50" w:line="360" w:lineRule="auto"/>
              <w:jc w:val="center"/>
              <w:rPr>
                <w:rFonts w:ascii="宋体" w:hAnsi="宋体"/>
                <w:b/>
                <w:color w:val="auto"/>
                <w:highlight w:val="none"/>
              </w:rPr>
            </w:pPr>
            <w:r>
              <w:rPr>
                <w:rFonts w:hint="eastAsia" w:ascii="宋体" w:hAnsi="宋体"/>
                <w:b/>
                <w:color w:val="auto"/>
                <w:highlight w:val="none"/>
              </w:rPr>
              <w:t>总价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1133" w:type="dxa"/>
          </w:tcPr>
          <w:p>
            <w:pPr>
              <w:spacing w:line="360" w:lineRule="auto"/>
              <w:jc w:val="center"/>
              <w:rPr>
                <w:rFonts w:ascii="宋体" w:hAnsi="宋体"/>
                <w:color w:val="auto"/>
                <w:highlight w:val="none"/>
              </w:rPr>
            </w:pPr>
          </w:p>
        </w:tc>
        <w:tc>
          <w:tcPr>
            <w:tcW w:w="1703" w:type="dxa"/>
            <w:vAlign w:val="center"/>
          </w:tcPr>
          <w:p>
            <w:pPr>
              <w:spacing w:line="360" w:lineRule="auto"/>
              <w:jc w:val="center"/>
              <w:rPr>
                <w:rFonts w:ascii="宋体" w:hAnsi="宋体"/>
                <w:color w:val="auto"/>
                <w:highlight w:val="none"/>
              </w:rPr>
            </w:pPr>
          </w:p>
        </w:tc>
        <w:tc>
          <w:tcPr>
            <w:tcW w:w="1197" w:type="dxa"/>
            <w:vAlign w:val="center"/>
          </w:tcPr>
          <w:p>
            <w:pPr>
              <w:spacing w:line="360" w:lineRule="auto"/>
              <w:jc w:val="center"/>
              <w:rPr>
                <w:rFonts w:ascii="宋体" w:hAnsi="宋体"/>
                <w:color w:val="auto"/>
                <w:highlight w:val="none"/>
              </w:rPr>
            </w:pPr>
          </w:p>
        </w:tc>
        <w:tc>
          <w:tcPr>
            <w:tcW w:w="1323" w:type="dxa"/>
            <w:vAlign w:val="center"/>
          </w:tcPr>
          <w:p>
            <w:pPr>
              <w:spacing w:line="360" w:lineRule="auto"/>
              <w:jc w:val="center"/>
              <w:rPr>
                <w:rFonts w:ascii="宋体" w:hAnsi="宋体"/>
                <w:color w:val="auto"/>
                <w:highlight w:val="none"/>
              </w:rPr>
            </w:pPr>
          </w:p>
        </w:tc>
        <w:tc>
          <w:tcPr>
            <w:tcW w:w="740" w:type="dxa"/>
            <w:vAlign w:val="center"/>
          </w:tcPr>
          <w:p>
            <w:pPr>
              <w:spacing w:line="360" w:lineRule="auto"/>
              <w:jc w:val="center"/>
              <w:rPr>
                <w:rFonts w:ascii="宋体" w:hAnsi="宋体"/>
                <w:color w:val="auto"/>
                <w:highlight w:val="none"/>
              </w:rPr>
            </w:pPr>
          </w:p>
        </w:tc>
        <w:tc>
          <w:tcPr>
            <w:tcW w:w="1346"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960" w:type="dxa"/>
            <w:vAlign w:val="center"/>
          </w:tcPr>
          <w:p>
            <w:pPr>
              <w:snapToGrid w:val="0"/>
              <w:spacing w:line="360" w:lineRule="auto"/>
              <w:jc w:val="center"/>
              <w:rPr>
                <w:rFonts w:ascii="宋体" w:hAnsi="宋体"/>
                <w:color w:val="auto"/>
                <w:highlight w:val="none"/>
              </w:rPr>
            </w:pPr>
          </w:p>
        </w:tc>
        <w:tc>
          <w:tcPr>
            <w:tcW w:w="1720" w:type="dxa"/>
            <w:vAlign w:val="center"/>
          </w:tcPr>
          <w:p>
            <w:pPr>
              <w:spacing w:line="360" w:lineRule="auto"/>
              <w:jc w:val="center"/>
              <w:rPr>
                <w:rFonts w:ascii="宋体" w:hAnsi="宋体"/>
                <w:color w:val="auto"/>
                <w:highlight w:val="none"/>
              </w:rPr>
            </w:pPr>
          </w:p>
        </w:tc>
        <w:tc>
          <w:tcPr>
            <w:tcW w:w="1133" w:type="dxa"/>
          </w:tcPr>
          <w:p>
            <w:pPr>
              <w:spacing w:line="360" w:lineRule="auto"/>
              <w:jc w:val="center"/>
              <w:rPr>
                <w:rFonts w:ascii="宋体" w:hAnsi="宋体"/>
                <w:color w:val="auto"/>
                <w:highlight w:val="none"/>
              </w:rPr>
            </w:pPr>
          </w:p>
        </w:tc>
        <w:tc>
          <w:tcPr>
            <w:tcW w:w="1703" w:type="dxa"/>
            <w:vAlign w:val="center"/>
          </w:tcPr>
          <w:p>
            <w:pPr>
              <w:spacing w:line="360" w:lineRule="auto"/>
              <w:jc w:val="center"/>
              <w:rPr>
                <w:rFonts w:ascii="宋体" w:hAnsi="宋体"/>
                <w:color w:val="auto"/>
                <w:highlight w:val="none"/>
              </w:rPr>
            </w:pPr>
          </w:p>
        </w:tc>
        <w:tc>
          <w:tcPr>
            <w:tcW w:w="1197" w:type="dxa"/>
            <w:vAlign w:val="center"/>
          </w:tcPr>
          <w:p>
            <w:pPr>
              <w:spacing w:line="360" w:lineRule="auto"/>
              <w:jc w:val="center"/>
              <w:rPr>
                <w:rFonts w:ascii="宋体" w:hAnsi="宋体"/>
                <w:color w:val="auto"/>
                <w:highlight w:val="none"/>
              </w:rPr>
            </w:pPr>
          </w:p>
        </w:tc>
        <w:tc>
          <w:tcPr>
            <w:tcW w:w="1323" w:type="dxa"/>
            <w:vAlign w:val="center"/>
          </w:tcPr>
          <w:p>
            <w:pPr>
              <w:spacing w:line="360" w:lineRule="auto"/>
              <w:jc w:val="center"/>
              <w:rPr>
                <w:rFonts w:ascii="宋体" w:hAnsi="宋体"/>
                <w:color w:val="auto"/>
                <w:highlight w:val="none"/>
              </w:rPr>
            </w:pPr>
          </w:p>
        </w:tc>
        <w:tc>
          <w:tcPr>
            <w:tcW w:w="740" w:type="dxa"/>
            <w:vAlign w:val="center"/>
          </w:tcPr>
          <w:p>
            <w:pPr>
              <w:spacing w:line="360" w:lineRule="auto"/>
              <w:jc w:val="center"/>
              <w:rPr>
                <w:rFonts w:ascii="宋体" w:hAnsi="宋体"/>
                <w:color w:val="auto"/>
                <w:highlight w:val="none"/>
              </w:rPr>
            </w:pPr>
          </w:p>
        </w:tc>
        <w:tc>
          <w:tcPr>
            <w:tcW w:w="1346" w:type="dxa"/>
            <w:vAlign w:val="center"/>
          </w:tcPr>
          <w:p>
            <w:pPr>
              <w:spacing w:line="360" w:lineRule="auto"/>
              <w:jc w:val="center"/>
              <w:rPr>
                <w:rFonts w:ascii="宋体" w:hAnsi="宋体"/>
                <w:color w:val="auto"/>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 w:hRule="atLeast"/>
          <w:jc w:val="center"/>
        </w:trPr>
        <w:tc>
          <w:tcPr>
            <w:tcW w:w="8776" w:type="dxa"/>
            <w:gridSpan w:val="7"/>
          </w:tcPr>
          <w:p>
            <w:pPr>
              <w:spacing w:line="360" w:lineRule="auto"/>
              <w:jc w:val="center"/>
              <w:rPr>
                <w:rFonts w:ascii="宋体" w:hAnsi="宋体"/>
                <w:color w:val="auto"/>
                <w:highlight w:val="none"/>
              </w:rPr>
            </w:pPr>
            <w:r>
              <w:rPr>
                <w:rFonts w:hint="eastAsia" w:ascii="宋体" w:hAnsi="宋体" w:cs="宋体"/>
                <w:b/>
                <w:color w:val="auto"/>
                <w:highlight w:val="none"/>
              </w:rPr>
              <w:t>残疾人福利性单位制造的货物</w:t>
            </w:r>
            <w:r>
              <w:rPr>
                <w:rFonts w:hint="eastAsia" w:ascii="宋体" w:hAnsi="宋体"/>
                <w:b/>
                <w:color w:val="auto"/>
                <w:highlight w:val="none"/>
              </w:rPr>
              <w:t>总价合计</w:t>
            </w:r>
          </w:p>
        </w:tc>
        <w:tc>
          <w:tcPr>
            <w:tcW w:w="1346" w:type="dxa"/>
            <w:vAlign w:val="center"/>
          </w:tcPr>
          <w:p>
            <w:pPr>
              <w:spacing w:line="360" w:lineRule="auto"/>
              <w:rPr>
                <w:rFonts w:ascii="宋体" w:hAnsi="宋体"/>
                <w:color w:val="auto"/>
                <w:highlight w:val="none"/>
              </w:rPr>
            </w:pPr>
            <w:r>
              <w:rPr>
                <w:rFonts w:hint="eastAsia" w:ascii="宋体" w:hAnsi="宋体"/>
                <w:color w:val="auto"/>
                <w:highlight w:val="none"/>
              </w:rPr>
              <w:t>￥</w:t>
            </w:r>
          </w:p>
        </w:tc>
      </w:tr>
    </w:tbl>
    <w:p>
      <w:pPr>
        <w:spacing w:line="360" w:lineRule="auto"/>
        <w:rPr>
          <w:rFonts w:ascii="宋体" w:hAnsi="宋体"/>
          <w:color w:val="auto"/>
          <w:sz w:val="28"/>
          <w:highlight w:val="none"/>
          <w:lang w:val="zh-CN"/>
        </w:rPr>
      </w:pPr>
      <w:r>
        <w:rPr>
          <w:rFonts w:hint="eastAsia" w:ascii="宋体" w:hAnsi="宋体"/>
          <w:color w:val="auto"/>
          <w:sz w:val="28"/>
          <w:highlight w:val="none"/>
          <w:lang w:val="zh-CN"/>
        </w:rPr>
        <w:t>投标人名称：</w:t>
      </w:r>
      <w:r>
        <w:rPr>
          <w:rFonts w:ascii="宋体" w:hAnsi="宋体"/>
          <w:color w:val="auto"/>
          <w:sz w:val="28"/>
          <w:highlight w:val="none"/>
          <w:u w:val="single"/>
          <w:lang w:val="zh-CN"/>
        </w:rPr>
        <w:t>XXXXXXXX</w:t>
      </w:r>
    </w:p>
    <w:p>
      <w:pPr>
        <w:pStyle w:val="13"/>
        <w:spacing w:after="0" w:line="240" w:lineRule="auto"/>
        <w:ind w:firstLine="0"/>
        <w:rPr>
          <w:rFonts w:ascii="宋体" w:hAnsi="宋体"/>
          <w:bCs/>
          <w:color w:val="auto"/>
          <w:sz w:val="28"/>
          <w:highlight w:val="none"/>
        </w:rPr>
      </w:pPr>
      <w:r>
        <w:rPr>
          <w:rFonts w:ascii="宋体" w:hAnsi="宋体"/>
          <w:color w:val="auto"/>
          <w:sz w:val="28"/>
          <w:highlight w:val="none"/>
        </w:rPr>
        <w:t>日期：</w:t>
      </w:r>
      <w:r>
        <w:rPr>
          <w:rFonts w:ascii="宋体" w:hAnsi="宋体"/>
          <w:bCs/>
          <w:color w:val="auto"/>
          <w:sz w:val="28"/>
          <w:highlight w:val="none"/>
        </w:rPr>
        <w:t>202X年XX月XX日</w:t>
      </w:r>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中小企业声明函</w:t>
      </w:r>
    </w:p>
    <w:p>
      <w:pPr>
        <w:spacing w:line="588" w:lineRule="exact"/>
        <w:jc w:val="center"/>
        <w:rPr>
          <w:rFonts w:ascii="宋体" w:hAnsi="宋体"/>
          <w:b/>
          <w:color w:val="auto"/>
          <w:spacing w:val="6"/>
          <w:sz w:val="28"/>
          <w:szCs w:val="28"/>
          <w:highlight w:val="none"/>
        </w:rPr>
      </w:pPr>
      <w:r>
        <w:rPr>
          <w:rFonts w:hint="eastAsia" w:ascii="宋体" w:hAnsi="宋体"/>
          <w:b/>
          <w:color w:val="auto"/>
          <w:spacing w:val="6"/>
          <w:sz w:val="28"/>
          <w:szCs w:val="28"/>
          <w:highlight w:val="none"/>
        </w:rPr>
        <w:t>中小企业声明函</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本公司郑重声明，根据《政府采购促进中小企业发展管理办法》（财库﹝2020﹞46 号）的规定，本公司参加</w:t>
      </w:r>
      <w:r>
        <w:rPr>
          <w:rFonts w:hint="eastAsia" w:ascii="宋体" w:hAnsi="宋体"/>
          <w:b/>
          <w:color w:val="auto"/>
          <w:sz w:val="28"/>
          <w:szCs w:val="28"/>
          <w:highlight w:val="none"/>
          <w:u w:val="single"/>
          <w:lang w:eastAsia="zh-CN"/>
        </w:rPr>
        <w:t>中共成都市温江区委政法委员会</w:t>
      </w:r>
      <w:r>
        <w:rPr>
          <w:rFonts w:hint="eastAsia" w:ascii="宋体" w:hAnsi="宋体"/>
          <w:color w:val="auto"/>
          <w:sz w:val="28"/>
          <w:szCs w:val="28"/>
          <w:highlight w:val="none"/>
        </w:rPr>
        <w:t>（单位名称）的</w:t>
      </w:r>
      <w:r>
        <w:rPr>
          <w:rFonts w:hint="eastAsia" w:ascii="宋体" w:hAnsi="宋体"/>
          <w:b/>
          <w:color w:val="auto"/>
          <w:sz w:val="28"/>
          <w:szCs w:val="28"/>
          <w:highlight w:val="none"/>
          <w:u w:val="single"/>
          <w:lang w:eastAsia="zh-CN"/>
        </w:rPr>
        <w:t>成都市温江区智慧平安小区建设项目</w:t>
      </w:r>
      <w:r>
        <w:rPr>
          <w:rFonts w:hint="eastAsia" w:ascii="宋体" w:hAnsi="宋体"/>
          <w:color w:val="auto"/>
          <w:sz w:val="28"/>
          <w:szCs w:val="28"/>
          <w:highlight w:val="none"/>
        </w:rPr>
        <w:t>（项目名称）采购活动，</w:t>
      </w:r>
      <w:r>
        <w:rPr>
          <w:rFonts w:hint="eastAsia" w:ascii="宋体" w:hAnsi="宋体"/>
          <w:b/>
          <w:bCs/>
          <w:color w:val="auto"/>
          <w:sz w:val="28"/>
          <w:szCs w:val="28"/>
          <w:highlight w:val="none"/>
        </w:rPr>
        <w:t>提供的货物全部由符合政策要求的中小企业制造</w:t>
      </w:r>
      <w:r>
        <w:rPr>
          <w:rFonts w:hint="eastAsia" w:ascii="宋体" w:hAnsi="宋体"/>
          <w:color w:val="auto"/>
          <w:sz w:val="28"/>
          <w:szCs w:val="28"/>
          <w:highlight w:val="none"/>
        </w:rPr>
        <w:t>。相关企业的具体情况如下：</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 xml:space="preserve"> 1.</w:t>
      </w:r>
      <w:r>
        <w:rPr>
          <w:rFonts w:hint="eastAsia" w:ascii="宋体" w:hAnsi="宋体"/>
          <w:color w:val="auto"/>
          <w:sz w:val="28"/>
          <w:szCs w:val="28"/>
          <w:highlight w:val="none"/>
          <w:u w:val="single"/>
        </w:rPr>
        <w:t xml:space="preserve"> ___XXXX____</w:t>
      </w:r>
      <w:r>
        <w:rPr>
          <w:rFonts w:hint="eastAsia" w:ascii="宋体" w:hAnsi="宋体"/>
          <w:color w:val="auto"/>
          <w:sz w:val="28"/>
          <w:szCs w:val="28"/>
          <w:highlight w:val="none"/>
        </w:rPr>
        <w:t>（标的名称），属于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 行业；制造商为</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万元，属于</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（中型企业、小型企业、微型企业）；</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 xml:space="preserve">2. </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（标的名称），属于</w:t>
      </w:r>
      <w:r>
        <w:rPr>
          <w:rFonts w:hint="eastAsia" w:ascii="宋体" w:hAnsi="宋体"/>
          <w:color w:val="auto"/>
          <w:sz w:val="28"/>
          <w:szCs w:val="28"/>
          <w:highlight w:val="none"/>
          <w:u w:val="single"/>
        </w:rPr>
        <w:t>___XXXX____</w:t>
      </w:r>
      <w:r>
        <w:rPr>
          <w:rFonts w:hint="eastAsia" w:ascii="宋体" w:hAnsi="宋体"/>
          <w:color w:val="auto"/>
          <w:sz w:val="28"/>
          <w:szCs w:val="28"/>
          <w:highlight w:val="none"/>
        </w:rPr>
        <w:t>（采购文件中明确的所属行业） 行业；制造商为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（企业名称），从业人员</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人，营业收入为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万元，资产总额为</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万元，属于</w:t>
      </w:r>
      <w:r>
        <w:rPr>
          <w:rFonts w:hint="eastAsia" w:ascii="宋体" w:hAnsi="宋体"/>
          <w:color w:val="auto"/>
          <w:sz w:val="28"/>
          <w:szCs w:val="28"/>
          <w:highlight w:val="none"/>
          <w:u w:val="single"/>
        </w:rPr>
        <w:t>__XXXX__</w:t>
      </w:r>
      <w:r>
        <w:rPr>
          <w:rFonts w:hint="eastAsia" w:ascii="宋体" w:hAnsi="宋体"/>
          <w:color w:val="auto"/>
          <w:sz w:val="28"/>
          <w:szCs w:val="28"/>
          <w:highlight w:val="none"/>
        </w:rPr>
        <w:t>（中型企业、小型企业、微型企业）；</w:t>
      </w:r>
    </w:p>
    <w:p>
      <w:pPr>
        <w:spacing w:line="480" w:lineRule="exact"/>
        <w:ind w:firstLine="563"/>
        <w:rPr>
          <w:rFonts w:ascii="宋体" w:hAnsi="宋体"/>
          <w:color w:val="auto"/>
          <w:sz w:val="28"/>
          <w:szCs w:val="28"/>
          <w:highlight w:val="none"/>
        </w:rPr>
      </w:pPr>
      <w:r>
        <w:rPr>
          <w:rFonts w:ascii="宋体" w:hAnsi="宋体"/>
          <w:color w:val="auto"/>
          <w:sz w:val="28"/>
          <w:szCs w:val="28"/>
          <w:highlight w:val="none"/>
        </w:rPr>
        <w:t>…………</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以上企业，不属于大企业的分支机构，不存在控股股东 为大企业的情形，也不存在与大企业的负责人为同一人的情形。</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本企业对上述声明内容的真实性负责。如有虚假，将依法承担相应责任。</w:t>
      </w:r>
    </w:p>
    <w:p>
      <w:pPr>
        <w:spacing w:line="480" w:lineRule="exact"/>
        <w:ind w:firstLine="5040" w:firstLineChars="1800"/>
        <w:rPr>
          <w:rFonts w:ascii="宋体" w:hAnsi="宋体"/>
          <w:color w:val="auto"/>
          <w:sz w:val="28"/>
          <w:szCs w:val="28"/>
          <w:highlight w:val="none"/>
        </w:rPr>
      </w:pPr>
      <w:r>
        <w:rPr>
          <w:rFonts w:hint="eastAsia" w:ascii="宋体" w:hAnsi="宋体"/>
          <w:color w:val="auto"/>
          <w:sz w:val="28"/>
          <w:szCs w:val="28"/>
          <w:highlight w:val="none"/>
        </w:rPr>
        <w:t>企业名称：</w:t>
      </w:r>
      <w:r>
        <w:rPr>
          <w:rFonts w:hint="eastAsia" w:ascii="宋体" w:hAnsi="宋体"/>
          <w:color w:val="auto"/>
          <w:sz w:val="28"/>
          <w:szCs w:val="28"/>
          <w:highlight w:val="none"/>
          <w:u w:val="single"/>
        </w:rPr>
        <w:t>___XXXX____</w:t>
      </w:r>
    </w:p>
    <w:p>
      <w:pPr>
        <w:spacing w:line="480" w:lineRule="exact"/>
        <w:ind w:firstLine="563"/>
        <w:rPr>
          <w:rFonts w:ascii="宋体" w:hAnsi="宋体"/>
          <w:color w:val="auto"/>
          <w:sz w:val="28"/>
          <w:szCs w:val="28"/>
          <w:highlight w:val="none"/>
        </w:rPr>
      </w:pPr>
      <w:r>
        <w:rPr>
          <w:rFonts w:hint="eastAsia" w:ascii="宋体" w:hAnsi="宋体"/>
          <w:color w:val="auto"/>
          <w:sz w:val="28"/>
          <w:szCs w:val="28"/>
          <w:highlight w:val="none"/>
        </w:rPr>
        <w:t xml:space="preserve">                                日 期：</w:t>
      </w:r>
      <w:r>
        <w:rPr>
          <w:rFonts w:ascii="宋体" w:hAnsi="宋体"/>
          <w:color w:val="auto"/>
          <w:sz w:val="28"/>
          <w:szCs w:val="28"/>
          <w:highlight w:val="none"/>
          <w:u w:val="single"/>
        </w:rPr>
        <w:t>202X</w:t>
      </w:r>
      <w:r>
        <w:rPr>
          <w:rFonts w:hint="eastAsia" w:ascii="宋体" w:hAnsi="宋体"/>
          <w:color w:val="auto"/>
          <w:sz w:val="28"/>
          <w:highlight w:val="none"/>
        </w:rPr>
        <w:t>年</w:t>
      </w:r>
      <w:r>
        <w:rPr>
          <w:rFonts w:ascii="宋体" w:hAnsi="宋体"/>
          <w:color w:val="auto"/>
          <w:sz w:val="28"/>
          <w:szCs w:val="28"/>
          <w:highlight w:val="none"/>
          <w:u w:val="single"/>
        </w:rPr>
        <w:t>XX</w:t>
      </w:r>
      <w:r>
        <w:rPr>
          <w:rFonts w:hint="eastAsia" w:ascii="宋体" w:hAnsi="宋体"/>
          <w:color w:val="auto"/>
          <w:sz w:val="28"/>
          <w:highlight w:val="none"/>
        </w:rPr>
        <w:t>月</w:t>
      </w:r>
      <w:r>
        <w:rPr>
          <w:rFonts w:ascii="宋体" w:hAnsi="宋体"/>
          <w:color w:val="auto"/>
          <w:sz w:val="28"/>
          <w:szCs w:val="28"/>
          <w:highlight w:val="none"/>
          <w:u w:val="single"/>
        </w:rPr>
        <w:t>XX</w:t>
      </w:r>
      <w:r>
        <w:rPr>
          <w:rFonts w:hint="eastAsia" w:ascii="宋体" w:hAnsi="宋体"/>
          <w:color w:val="auto"/>
          <w:sz w:val="28"/>
          <w:highlight w:val="none"/>
        </w:rPr>
        <w:t>日</w:t>
      </w:r>
    </w:p>
    <w:p>
      <w:pPr>
        <w:pStyle w:val="80"/>
        <w:tabs>
          <w:tab w:val="left" w:pos="567"/>
          <w:tab w:val="left" w:pos="709"/>
          <w:tab w:val="left" w:pos="851"/>
        </w:tabs>
        <w:spacing w:before="60" w:line="480" w:lineRule="exact"/>
        <w:ind w:firstLine="0" w:firstLineChars="0"/>
        <w:rPr>
          <w:rFonts w:hint="eastAsia" w:ascii="宋体" w:hAnsi="宋体"/>
          <w:b/>
          <w:color w:val="auto"/>
          <w:sz w:val="28"/>
          <w:szCs w:val="28"/>
          <w:highlight w:val="none"/>
        </w:rPr>
      </w:pPr>
    </w:p>
    <w:p>
      <w:pPr>
        <w:pStyle w:val="80"/>
        <w:tabs>
          <w:tab w:val="left" w:pos="567"/>
          <w:tab w:val="left" w:pos="709"/>
          <w:tab w:val="left" w:pos="851"/>
        </w:tabs>
        <w:spacing w:before="60" w:line="480" w:lineRule="exact"/>
        <w:ind w:firstLine="0" w:firstLineChars="0"/>
        <w:rPr>
          <w:rFonts w:hint="eastAsia" w:ascii="宋体" w:hAnsi="宋体"/>
          <w:b/>
          <w:color w:val="auto"/>
          <w:sz w:val="28"/>
          <w:szCs w:val="28"/>
          <w:highlight w:val="none"/>
          <w:lang w:val="en-US" w:eastAsia="zh-CN"/>
        </w:rPr>
      </w:pPr>
      <w:r>
        <w:rPr>
          <w:rFonts w:hint="eastAsia" w:ascii="宋体" w:hAnsi="宋体"/>
          <w:b/>
          <w:color w:val="auto"/>
          <w:sz w:val="28"/>
          <w:szCs w:val="28"/>
          <w:highlight w:val="none"/>
        </w:rPr>
        <w:t>说明：</w:t>
      </w:r>
      <w:r>
        <w:rPr>
          <w:rFonts w:hint="eastAsia" w:ascii="宋体" w:hAnsi="宋体"/>
          <w:b/>
          <w:color w:val="auto"/>
          <w:sz w:val="28"/>
          <w:szCs w:val="28"/>
          <w:highlight w:val="none"/>
          <w:lang w:val="en-US" w:eastAsia="zh-CN"/>
        </w:rPr>
        <w:t>1.如未提供中小企业声明函，则其投标产品中的小型、微型企业制造的货物不能享受招标文件规定的价格扣除，但不影响投标人投标文件的有效性）；</w:t>
      </w:r>
    </w:p>
    <w:p>
      <w:pPr>
        <w:pStyle w:val="80"/>
        <w:tabs>
          <w:tab w:val="left" w:pos="567"/>
          <w:tab w:val="left" w:pos="709"/>
          <w:tab w:val="left" w:pos="851"/>
        </w:tabs>
        <w:spacing w:before="60" w:line="480" w:lineRule="exact"/>
        <w:ind w:firstLine="0" w:firstLineChars="0"/>
        <w:rPr>
          <w:rFonts w:ascii="宋体" w:hAnsi="宋体"/>
          <w:b/>
          <w:color w:val="auto"/>
          <w:sz w:val="28"/>
          <w:szCs w:val="28"/>
          <w:highlight w:val="none"/>
        </w:rPr>
      </w:pPr>
      <w:r>
        <w:rPr>
          <w:rFonts w:hint="eastAsia" w:ascii="宋体" w:hAnsi="宋体"/>
          <w:b/>
          <w:color w:val="auto"/>
          <w:sz w:val="28"/>
          <w:szCs w:val="28"/>
          <w:highlight w:val="none"/>
          <w:lang w:val="en-US" w:eastAsia="zh-CN"/>
        </w:rPr>
        <w:t>2.</w:t>
      </w:r>
      <w:r>
        <w:rPr>
          <w:rFonts w:ascii="宋体" w:hAnsi="宋体"/>
          <w:b/>
          <w:color w:val="auto"/>
          <w:sz w:val="28"/>
          <w:szCs w:val="28"/>
          <w:highlight w:val="none"/>
        </w:rPr>
        <w:t>从业人员、营业收入、资产总额填报上</w:t>
      </w:r>
      <w:r>
        <w:rPr>
          <w:rFonts w:hint="eastAsia" w:ascii="宋体" w:hAnsi="宋体"/>
          <w:b/>
          <w:color w:val="auto"/>
          <w:sz w:val="28"/>
          <w:szCs w:val="28"/>
          <w:highlight w:val="none"/>
        </w:rPr>
        <w:t>一</w:t>
      </w:r>
      <w:r>
        <w:rPr>
          <w:rFonts w:ascii="宋体" w:hAnsi="宋体"/>
          <w:b/>
          <w:color w:val="auto"/>
          <w:sz w:val="28"/>
          <w:szCs w:val="28"/>
          <w:highlight w:val="none"/>
        </w:rPr>
        <w:t>年度数据，无上一年度</w:t>
      </w:r>
      <w:r>
        <w:rPr>
          <w:rFonts w:hint="eastAsia" w:ascii="宋体" w:hAnsi="宋体"/>
          <w:b/>
          <w:color w:val="auto"/>
          <w:sz w:val="28"/>
          <w:szCs w:val="28"/>
          <w:highlight w:val="none"/>
        </w:rPr>
        <w:t>数据</w:t>
      </w:r>
      <w:r>
        <w:rPr>
          <w:rFonts w:ascii="宋体" w:hAnsi="宋体"/>
          <w:b/>
          <w:color w:val="auto"/>
          <w:sz w:val="28"/>
          <w:szCs w:val="28"/>
          <w:highlight w:val="none"/>
        </w:rPr>
        <w:t>的新成立企业可不填报。</w:t>
      </w:r>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残疾人福利性单位声明函</w:t>
      </w:r>
    </w:p>
    <w:p>
      <w:pPr>
        <w:spacing w:line="588" w:lineRule="exact"/>
        <w:ind w:firstLine="562" w:firstLineChars="200"/>
        <w:jc w:val="center"/>
        <w:rPr>
          <w:b/>
          <w:color w:val="auto"/>
          <w:sz w:val="28"/>
          <w:szCs w:val="28"/>
          <w:highlight w:val="none"/>
        </w:rPr>
      </w:pPr>
      <w:r>
        <w:rPr>
          <w:rFonts w:hint="eastAsia"/>
          <w:b/>
          <w:color w:val="auto"/>
          <w:sz w:val="28"/>
          <w:szCs w:val="28"/>
          <w:highlight w:val="none"/>
        </w:rPr>
        <w:t>残疾人福利性单位声明函</w:t>
      </w:r>
    </w:p>
    <w:p>
      <w:pPr>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olor w:val="auto"/>
          <w:spacing w:val="6"/>
          <w:sz w:val="28"/>
          <w:szCs w:val="28"/>
          <w:highlight w:val="none"/>
          <w:u w:val="single"/>
        </w:rPr>
        <w:t>XXXX单位的XXXX项目</w:t>
      </w:r>
      <w:r>
        <w:rPr>
          <w:rFonts w:hint="eastAsia" w:ascii="宋体" w:hAnsi="宋体"/>
          <w:color w:val="auto"/>
          <w:spacing w:val="6"/>
          <w:sz w:val="28"/>
          <w:szCs w:val="28"/>
          <w:highlight w:val="none"/>
        </w:rPr>
        <w:t>采购活动提供本单位制造的货物，或者提供其他残疾人福利性单位制造的货物（不包括使用非残疾人福利性单位注册商标的货物）。</w:t>
      </w:r>
    </w:p>
    <w:p>
      <w:pPr>
        <w:spacing w:line="360" w:lineRule="auto"/>
        <w:ind w:firstLine="584" w:firstLineChars="200"/>
        <w:rPr>
          <w:rFonts w:ascii="宋体" w:hAnsi="宋体"/>
          <w:color w:val="auto"/>
          <w:spacing w:val="6"/>
          <w:sz w:val="28"/>
          <w:szCs w:val="28"/>
          <w:highlight w:val="none"/>
        </w:rPr>
      </w:pPr>
      <w:r>
        <w:rPr>
          <w:rFonts w:hint="eastAsia" w:ascii="宋体" w:hAnsi="宋体"/>
          <w:color w:val="auto"/>
          <w:spacing w:val="6"/>
          <w:sz w:val="28"/>
          <w:szCs w:val="28"/>
          <w:highlight w:val="none"/>
        </w:rPr>
        <w:t>本单位对上述声明的真实性负责。如有虚假，将依法承担相应责任。</w:t>
      </w:r>
    </w:p>
    <w:p>
      <w:pPr>
        <w:spacing w:line="360" w:lineRule="auto"/>
        <w:ind w:firstLine="584" w:firstLineChars="200"/>
        <w:rPr>
          <w:rFonts w:ascii="宋体" w:hAnsi="宋体"/>
          <w:color w:val="auto"/>
          <w:spacing w:val="6"/>
          <w:sz w:val="28"/>
          <w:szCs w:val="28"/>
          <w:highlight w:val="none"/>
        </w:rPr>
      </w:pPr>
    </w:p>
    <w:p>
      <w:pPr>
        <w:spacing w:line="588" w:lineRule="exact"/>
        <w:rPr>
          <w:rFonts w:ascii="宋体" w:hAnsi="宋体"/>
          <w:color w:val="auto"/>
          <w:spacing w:val="6"/>
          <w:sz w:val="28"/>
          <w:szCs w:val="28"/>
          <w:highlight w:val="none"/>
        </w:rPr>
      </w:pPr>
    </w:p>
    <w:p>
      <w:pPr>
        <w:spacing w:line="588" w:lineRule="exact"/>
        <w:ind w:firstLine="584" w:firstLineChars="200"/>
        <w:rPr>
          <w:rFonts w:ascii="宋体" w:hAnsi="宋体"/>
          <w:color w:val="auto"/>
          <w:spacing w:val="6"/>
          <w:sz w:val="28"/>
          <w:szCs w:val="28"/>
          <w:highlight w:val="none"/>
        </w:rPr>
      </w:pPr>
    </w:p>
    <w:p>
      <w:pPr>
        <w:spacing w:line="588" w:lineRule="exact"/>
        <w:ind w:firstLine="584" w:firstLineChars="200"/>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r>
        <w:rPr>
          <w:rFonts w:hint="eastAsia" w:ascii="宋体" w:hAnsi="宋体"/>
          <w:color w:val="auto"/>
          <w:spacing w:val="6"/>
          <w:sz w:val="28"/>
          <w:szCs w:val="28"/>
          <w:highlight w:val="none"/>
        </w:rPr>
        <w:t>单位名称：</w:t>
      </w:r>
      <w:r>
        <w:rPr>
          <w:rFonts w:hint="eastAsia" w:ascii="宋体" w:hAnsi="宋体"/>
          <w:color w:val="auto"/>
          <w:spacing w:val="6"/>
          <w:sz w:val="28"/>
          <w:szCs w:val="28"/>
          <w:highlight w:val="none"/>
          <w:u w:val="single"/>
        </w:rPr>
        <w:t>XXXX</w:t>
      </w:r>
    </w:p>
    <w:p>
      <w:pPr>
        <w:tabs>
          <w:tab w:val="left" w:pos="3969"/>
        </w:tabs>
        <w:spacing w:line="588" w:lineRule="exact"/>
        <w:ind w:right="-58"/>
        <w:rPr>
          <w:rFonts w:ascii="宋体" w:hAnsi="宋体"/>
          <w:color w:val="auto"/>
          <w:spacing w:val="6"/>
          <w:sz w:val="28"/>
          <w:szCs w:val="28"/>
          <w:highlight w:val="none"/>
        </w:rPr>
      </w:pPr>
      <w:r>
        <w:rPr>
          <w:rFonts w:hint="eastAsia" w:ascii="宋体" w:hAnsi="宋体"/>
          <w:color w:val="auto"/>
          <w:spacing w:val="6"/>
          <w:sz w:val="28"/>
          <w:szCs w:val="28"/>
          <w:highlight w:val="none"/>
        </w:rPr>
        <w:t>日  期：</w:t>
      </w:r>
      <w:r>
        <w:rPr>
          <w:rFonts w:hint="eastAsia" w:ascii="宋体" w:hAnsi="宋体"/>
          <w:bCs/>
          <w:color w:val="auto"/>
          <w:sz w:val="28"/>
          <w:highlight w:val="none"/>
        </w:rPr>
        <w:t>202</w:t>
      </w:r>
      <w:r>
        <w:rPr>
          <w:rFonts w:hint="eastAsia" w:ascii="宋体" w:hAnsi="宋体"/>
          <w:bCs/>
          <w:color w:val="auto"/>
          <w:sz w:val="28"/>
          <w:highlight w:val="none"/>
          <w:u w:val="single"/>
        </w:rPr>
        <w:t>X</w:t>
      </w:r>
      <w:r>
        <w:rPr>
          <w:rFonts w:hint="eastAsia" w:ascii="宋体" w:hAnsi="宋体"/>
          <w:bCs/>
          <w:color w:val="auto"/>
          <w:sz w:val="28"/>
          <w:highlight w:val="none"/>
        </w:rPr>
        <w:t>年</w:t>
      </w:r>
      <w:r>
        <w:rPr>
          <w:rFonts w:hint="eastAsia" w:ascii="宋体" w:hAnsi="宋体"/>
          <w:bCs/>
          <w:color w:val="auto"/>
          <w:sz w:val="28"/>
          <w:highlight w:val="none"/>
          <w:u w:val="single"/>
        </w:rPr>
        <w:t>XX</w:t>
      </w:r>
      <w:r>
        <w:rPr>
          <w:rFonts w:hint="eastAsia" w:ascii="宋体" w:hAnsi="宋体"/>
          <w:bCs/>
          <w:color w:val="auto"/>
          <w:sz w:val="28"/>
          <w:highlight w:val="none"/>
        </w:rPr>
        <w:t>月</w:t>
      </w:r>
      <w:r>
        <w:rPr>
          <w:rFonts w:hint="eastAsia" w:ascii="宋体" w:hAnsi="宋体"/>
          <w:bCs/>
          <w:color w:val="auto"/>
          <w:sz w:val="28"/>
          <w:highlight w:val="none"/>
          <w:u w:val="single"/>
        </w:rPr>
        <w:t>XX</w:t>
      </w:r>
      <w:r>
        <w:rPr>
          <w:rFonts w:hint="eastAsia" w:ascii="宋体" w:hAnsi="宋体"/>
          <w:bCs/>
          <w:color w:val="auto"/>
          <w:sz w:val="28"/>
          <w:highlight w:val="none"/>
        </w:rPr>
        <w:t>日</w:t>
      </w:r>
    </w:p>
    <w:p>
      <w:pPr>
        <w:tabs>
          <w:tab w:val="left" w:pos="3969"/>
        </w:tabs>
        <w:spacing w:line="588" w:lineRule="exact"/>
        <w:ind w:right="-58"/>
        <w:rPr>
          <w:rFonts w:ascii="宋体" w:hAnsi="宋体"/>
          <w:color w:val="auto"/>
          <w:spacing w:val="6"/>
          <w:sz w:val="28"/>
          <w:szCs w:val="28"/>
          <w:highlight w:val="none"/>
        </w:rPr>
      </w:pPr>
    </w:p>
    <w:p>
      <w:pPr>
        <w:spacing w:line="588" w:lineRule="exact"/>
        <w:ind w:firstLine="563"/>
        <w:rPr>
          <w:rFonts w:ascii="宋体" w:hAnsi="宋体"/>
          <w:b/>
          <w:color w:val="auto"/>
          <w:sz w:val="28"/>
          <w:szCs w:val="28"/>
          <w:highlight w:val="none"/>
        </w:rPr>
      </w:pPr>
      <w:r>
        <w:rPr>
          <w:rFonts w:hint="eastAsia" w:ascii="宋体" w:hAnsi="宋体"/>
          <w:b/>
          <w:color w:val="auto"/>
          <w:spacing w:val="6"/>
          <w:sz w:val="28"/>
          <w:szCs w:val="28"/>
          <w:highlight w:val="none"/>
        </w:rPr>
        <w:t>说明：</w:t>
      </w:r>
      <w:r>
        <w:rPr>
          <w:rFonts w:hint="eastAsia" w:ascii="宋体" w:hAnsi="宋体"/>
          <w:b/>
          <w:color w:val="auto"/>
          <w:sz w:val="28"/>
          <w:szCs w:val="28"/>
          <w:highlight w:val="none"/>
        </w:rPr>
        <w:t>如未提供残疾人福利性单位声明函的，不能享受招标文件规定的价格扣除，但不影响投标人投标文件的有效性。</w:t>
      </w:r>
    </w:p>
    <w:p>
      <w:pPr>
        <w:spacing w:line="588" w:lineRule="exact"/>
        <w:ind w:firstLine="563"/>
        <w:rPr>
          <w:rFonts w:ascii="宋体" w:hAnsi="宋体"/>
          <w:b/>
          <w:color w:val="auto"/>
          <w:sz w:val="28"/>
          <w:szCs w:val="28"/>
          <w:highlight w:val="none"/>
        </w:rPr>
      </w:pPr>
    </w:p>
    <w:p>
      <w:pPr>
        <w:rPr>
          <w:color w:val="auto"/>
          <w:highlight w:val="none"/>
        </w:rPr>
      </w:pPr>
    </w:p>
    <w:p>
      <w:pPr>
        <w:rPr>
          <w:color w:val="auto"/>
          <w:highlight w:val="none"/>
        </w:rPr>
      </w:pPr>
    </w:p>
    <w:p>
      <w:pPr>
        <w:rPr>
          <w:color w:val="auto"/>
          <w:highlight w:val="none"/>
        </w:rPr>
      </w:pPr>
    </w:p>
    <w:p>
      <w:pPr>
        <w:keepNext/>
        <w:keepLines/>
        <w:numPr>
          <w:ilvl w:val="2"/>
          <w:numId w:val="5"/>
        </w:numPr>
        <w:spacing w:line="360" w:lineRule="auto"/>
        <w:ind w:left="3119" w:hanging="3119"/>
        <w:outlineLvl w:val="2"/>
        <w:rPr>
          <w:rFonts w:ascii="宋体" w:hAnsi="宋体"/>
          <w:color w:val="auto"/>
          <w:sz w:val="28"/>
          <w:highlight w:val="none"/>
        </w:rPr>
      </w:pPr>
      <w:r>
        <w:rPr>
          <w:rFonts w:hint="eastAsia" w:ascii="宋体" w:hAnsi="宋体"/>
          <w:b/>
          <w:color w:val="auto"/>
          <w:sz w:val="28"/>
          <w:szCs w:val="28"/>
          <w:highlight w:val="none"/>
        </w:rPr>
        <w:t>投标产品</w:t>
      </w:r>
      <w:r>
        <w:rPr>
          <w:rFonts w:ascii="宋体" w:hAnsi="宋体"/>
          <w:b/>
          <w:color w:val="auto"/>
          <w:sz w:val="28"/>
          <w:szCs w:val="28"/>
          <w:highlight w:val="none"/>
        </w:rPr>
        <w:t>制造商属于监狱企业的证明文件复印件</w:t>
      </w: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firstLine="708" w:firstLineChars="253"/>
        <w:rPr>
          <w:rFonts w:ascii="宋体" w:hAnsi="宋体"/>
          <w:color w:val="auto"/>
          <w:spacing w:val="6"/>
          <w:sz w:val="28"/>
          <w:szCs w:val="28"/>
          <w:highlight w:val="none"/>
        </w:rPr>
      </w:pPr>
      <w:r>
        <w:rPr>
          <w:rFonts w:hint="eastAsia"/>
          <w:color w:val="auto"/>
          <w:sz w:val="28"/>
          <w:szCs w:val="28"/>
          <w:highlight w:val="none"/>
        </w:rPr>
        <w:t>投标</w:t>
      </w:r>
      <w:r>
        <w:rPr>
          <w:color w:val="auto"/>
          <w:sz w:val="28"/>
          <w:szCs w:val="28"/>
          <w:highlight w:val="none"/>
        </w:rPr>
        <w:t>投标产品中为监狱企业制造的货物应提供由省级以上监狱管理局、戒毒管理局（含新疆生产建设兵团）出具的制造商属于监狱企业的证明文件复印件</w:t>
      </w:r>
      <w:r>
        <w:rPr>
          <w:rFonts w:hint="eastAsia"/>
          <w:color w:val="auto"/>
          <w:sz w:val="28"/>
          <w:szCs w:val="28"/>
          <w:highlight w:val="none"/>
        </w:rPr>
        <w:t>。</w:t>
      </w: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tabs>
          <w:tab w:val="left" w:pos="3969"/>
        </w:tabs>
        <w:spacing w:line="588" w:lineRule="exact"/>
        <w:ind w:right="-58"/>
        <w:rPr>
          <w:rFonts w:ascii="宋体" w:hAnsi="宋体"/>
          <w:color w:val="auto"/>
          <w:spacing w:val="6"/>
          <w:sz w:val="28"/>
          <w:szCs w:val="28"/>
          <w:highlight w:val="none"/>
        </w:rPr>
      </w:pPr>
    </w:p>
    <w:p>
      <w:pPr>
        <w:spacing w:line="588" w:lineRule="exact"/>
        <w:ind w:firstLine="563"/>
        <w:rPr>
          <w:rFonts w:ascii="宋体" w:hAnsi="宋体"/>
          <w:b/>
          <w:color w:val="auto"/>
          <w:sz w:val="28"/>
          <w:szCs w:val="28"/>
          <w:highlight w:val="none"/>
        </w:rPr>
      </w:pPr>
      <w:r>
        <w:rPr>
          <w:rFonts w:hint="eastAsia" w:ascii="宋体" w:hAnsi="宋体"/>
          <w:b/>
          <w:color w:val="auto"/>
          <w:spacing w:val="6"/>
          <w:sz w:val="28"/>
          <w:szCs w:val="28"/>
          <w:highlight w:val="none"/>
        </w:rPr>
        <w:t>说明：</w:t>
      </w:r>
      <w:r>
        <w:rPr>
          <w:rFonts w:hint="eastAsia" w:ascii="宋体" w:hAnsi="宋体"/>
          <w:b/>
          <w:color w:val="auto"/>
          <w:sz w:val="28"/>
          <w:szCs w:val="28"/>
          <w:highlight w:val="none"/>
        </w:rPr>
        <w:t>如未提供投标产品</w:t>
      </w:r>
      <w:r>
        <w:rPr>
          <w:rFonts w:ascii="宋体" w:hAnsi="宋体"/>
          <w:b/>
          <w:color w:val="auto"/>
          <w:sz w:val="28"/>
          <w:szCs w:val="28"/>
          <w:highlight w:val="none"/>
        </w:rPr>
        <w:t>制造商属于监狱企业的证明文件</w:t>
      </w:r>
      <w:r>
        <w:rPr>
          <w:rFonts w:hint="eastAsia" w:ascii="宋体" w:hAnsi="宋体"/>
          <w:b/>
          <w:color w:val="auto"/>
          <w:sz w:val="28"/>
          <w:szCs w:val="28"/>
          <w:highlight w:val="none"/>
        </w:rPr>
        <w:t>复印件的，不能享受招标文件规定的价格扣除，但不影响投标人投标文件的有效性。</w:t>
      </w:r>
    </w:p>
    <w:p>
      <w:pPr>
        <w:rPr>
          <w:rFonts w:ascii="宋体" w:hAnsi="宋体"/>
          <w:bCs/>
          <w:color w:val="auto"/>
          <w:sz w:val="28"/>
          <w:highlight w:val="none"/>
        </w:rPr>
      </w:pPr>
    </w:p>
    <w:bookmarkEnd w:id="163"/>
    <w:p>
      <w:pPr>
        <w:keepNext/>
        <w:keepLines/>
        <w:numPr>
          <w:ilvl w:val="0"/>
          <w:numId w:val="5"/>
        </w:numPr>
        <w:spacing w:line="360" w:lineRule="auto"/>
        <w:ind w:left="0" w:firstLine="0"/>
        <w:jc w:val="center"/>
        <w:outlineLvl w:val="0"/>
        <w:rPr>
          <w:rFonts w:ascii="宋体" w:hAnsi="宋体"/>
          <w:b/>
          <w:bCs/>
          <w:color w:val="auto"/>
          <w:spacing w:val="-20"/>
          <w:kern w:val="44"/>
          <w:sz w:val="32"/>
          <w:szCs w:val="32"/>
          <w:highlight w:val="none"/>
        </w:rPr>
      </w:pPr>
      <w:bookmarkStart w:id="167" w:name="_Toc30969"/>
      <w:bookmarkStart w:id="168" w:name="_Toc217446093"/>
      <w:bookmarkStart w:id="169" w:name="_Toc2329"/>
      <w:bookmarkStart w:id="170" w:name="_Toc316292231"/>
      <w:bookmarkStart w:id="171" w:name="_Toc321382057"/>
      <w:r>
        <w:rPr>
          <w:rFonts w:hint="eastAsia" w:ascii="宋体" w:hAnsi="宋体"/>
          <w:b/>
          <w:bCs/>
          <w:color w:val="auto"/>
          <w:spacing w:val="-20"/>
          <w:kern w:val="44"/>
          <w:sz w:val="32"/>
          <w:szCs w:val="32"/>
          <w:highlight w:val="none"/>
        </w:rPr>
        <w:t>招标项目技术、服务、商务及其他要求</w:t>
      </w:r>
      <w:bookmarkEnd w:id="167"/>
      <w:bookmarkEnd w:id="168"/>
      <w:bookmarkEnd w:id="169"/>
    </w:p>
    <w:p>
      <w:pPr>
        <w:keepNext/>
        <w:keepLines/>
        <w:spacing w:line="400" w:lineRule="exact"/>
        <w:ind w:left="567" w:hanging="567"/>
        <w:jc w:val="left"/>
        <w:outlineLvl w:val="1"/>
        <w:rPr>
          <w:rFonts w:cs="Times New Roman"/>
          <w:b/>
          <w:bCs/>
          <w:sz w:val="28"/>
          <w:szCs w:val="28"/>
        </w:rPr>
      </w:pPr>
      <w:bookmarkStart w:id="172" w:name="_Toc30056"/>
      <w:bookmarkStart w:id="173" w:name="_Toc79061653"/>
      <w:bookmarkStart w:id="174" w:name="_Toc3334"/>
      <w:bookmarkStart w:id="175" w:name="_Toc19248"/>
      <w:bookmarkStart w:id="176" w:name="_Toc27442"/>
      <w:bookmarkStart w:id="177" w:name="_Toc54857463"/>
      <w:bookmarkStart w:id="178" w:name="_Toc529173741"/>
      <w:bookmarkStart w:id="179" w:name="_Toc72309528"/>
      <w:bookmarkStart w:id="180" w:name="_Toc513796936"/>
      <w:bookmarkStart w:id="181" w:name="_Toc12170"/>
      <w:bookmarkStart w:id="182" w:name="_Toc24972"/>
      <w:bookmarkStart w:id="183" w:name="_Toc533672602"/>
      <w:bookmarkStart w:id="184" w:name="_Toc24356563"/>
      <w:bookmarkStart w:id="185" w:name="_Toc9486"/>
      <w:bookmarkStart w:id="186" w:name="_Toc4509120"/>
      <w:r>
        <w:rPr>
          <w:rFonts w:hint="eastAsia" w:cs="Times New Roman"/>
          <w:b/>
          <w:bCs/>
          <w:sz w:val="28"/>
          <w:szCs w:val="28"/>
          <w:lang w:val="en-US" w:eastAsia="zh-CN"/>
        </w:rPr>
        <w:t>4.1</w:t>
      </w:r>
      <w:r>
        <w:rPr>
          <w:rFonts w:hint="eastAsia" w:cs="Times New Roman"/>
          <w:b/>
          <w:bCs/>
          <w:sz w:val="28"/>
          <w:szCs w:val="28"/>
        </w:rPr>
        <w:t>技术、服务要求</w:t>
      </w:r>
      <w:bookmarkEnd w:id="172"/>
      <w:bookmarkEnd w:id="173"/>
    </w:p>
    <w:p>
      <w:pPr>
        <w:keepNext/>
        <w:keepLines/>
        <w:spacing w:line="400" w:lineRule="exact"/>
        <w:ind w:left="567" w:hanging="567"/>
        <w:jc w:val="left"/>
        <w:outlineLvl w:val="1"/>
        <w:rPr>
          <w:rFonts w:hint="eastAsia" w:cs="Times New Roman"/>
          <w:b/>
          <w:bCs/>
          <w:sz w:val="24"/>
          <w:szCs w:val="24"/>
        </w:rPr>
      </w:pPr>
      <w:bookmarkStart w:id="187" w:name="_Toc79061654"/>
      <w:bookmarkStart w:id="188" w:name="_Toc11259"/>
      <w:r>
        <w:rPr>
          <w:rFonts w:hint="eastAsia" w:cs="Times New Roman"/>
          <w:b/>
          <w:bCs/>
          <w:sz w:val="24"/>
          <w:szCs w:val="24"/>
          <w:lang w:val="en-US" w:eastAsia="zh-CN"/>
        </w:rPr>
        <w:t>4</w:t>
      </w:r>
      <w:r>
        <w:rPr>
          <w:rFonts w:hint="eastAsia" w:cs="Times New Roman"/>
          <w:b/>
          <w:bCs/>
          <w:sz w:val="24"/>
          <w:szCs w:val="24"/>
        </w:rPr>
        <w:t>.1.1项目名称：成都市温江区智慧平安小区建设项目</w:t>
      </w:r>
      <w:bookmarkEnd w:id="187"/>
      <w:bookmarkEnd w:id="188"/>
    </w:p>
    <w:p>
      <w:pPr>
        <w:keepNext/>
        <w:keepLines/>
        <w:spacing w:line="400" w:lineRule="exact"/>
        <w:ind w:left="567" w:hanging="567"/>
        <w:jc w:val="left"/>
        <w:outlineLvl w:val="1"/>
        <w:rPr>
          <w:rFonts w:hint="eastAsia" w:cs="Times New Roman"/>
          <w:b/>
          <w:bCs/>
          <w:sz w:val="24"/>
          <w:szCs w:val="24"/>
        </w:rPr>
      </w:pPr>
      <w:bookmarkStart w:id="189" w:name="_Toc79061655"/>
      <w:bookmarkStart w:id="190" w:name="_Toc5241"/>
      <w:r>
        <w:rPr>
          <w:rFonts w:hint="eastAsia" w:cs="Times New Roman"/>
          <w:b/>
          <w:bCs/>
          <w:sz w:val="24"/>
          <w:szCs w:val="24"/>
          <w:lang w:val="en-US" w:eastAsia="zh-CN"/>
        </w:rPr>
        <w:t>4</w:t>
      </w:r>
      <w:r>
        <w:rPr>
          <w:rFonts w:hint="eastAsia" w:cs="Times New Roman"/>
          <w:b/>
          <w:bCs/>
          <w:sz w:val="24"/>
          <w:szCs w:val="24"/>
        </w:rPr>
        <w:t>.1.2项目概况：</w:t>
      </w:r>
      <w:bookmarkEnd w:id="189"/>
      <w:bookmarkEnd w:id="190"/>
    </w:p>
    <w:p>
      <w:pPr>
        <w:spacing w:line="360" w:lineRule="exact"/>
        <w:ind w:firstLine="480" w:firstLineChars="200"/>
        <w:rPr>
          <w:rFonts w:hint="eastAsia"/>
          <w:sz w:val="24"/>
          <w:szCs w:val="24"/>
          <w:lang w:bidi="ar"/>
        </w:rPr>
      </w:pPr>
      <w:r>
        <w:rPr>
          <w:rFonts w:hint="eastAsia"/>
          <w:sz w:val="24"/>
          <w:szCs w:val="24"/>
          <w:lang w:bidi="ar"/>
        </w:rPr>
        <w:t>本项目提供32个拆迁安置小区和农民集中居住区的平安智慧小区建设所需的信息系统集成设备及安装维护服务。</w:t>
      </w:r>
    </w:p>
    <w:p>
      <w:pPr>
        <w:spacing w:line="360" w:lineRule="exact"/>
        <w:rPr>
          <w:rFonts w:hint="eastAsia"/>
          <w:b/>
          <w:bCs/>
          <w:sz w:val="24"/>
          <w:szCs w:val="24"/>
          <w:lang w:bidi="ar"/>
        </w:rPr>
      </w:pPr>
      <w:r>
        <w:rPr>
          <w:rFonts w:hint="eastAsia" w:ascii="Calibri" w:hAnsi="Calibri" w:cs="Times New Roman"/>
          <w:b/>
          <w:bCs/>
          <w:sz w:val="24"/>
          <w:szCs w:val="28"/>
        </w:rPr>
        <w:t>一</w:t>
      </w:r>
      <w:r>
        <w:rPr>
          <w:rFonts w:hint="eastAsia"/>
          <w:b/>
          <w:bCs/>
          <w:sz w:val="24"/>
          <w:szCs w:val="24"/>
          <w:lang w:bidi="ar"/>
        </w:rPr>
        <w:t>、本项目的核心产品为“人脸识别一体机”。</w:t>
      </w:r>
    </w:p>
    <w:p>
      <w:pPr>
        <w:spacing w:line="360" w:lineRule="exact"/>
        <w:rPr>
          <w:rFonts w:hint="eastAsia"/>
          <w:sz w:val="24"/>
          <w:szCs w:val="24"/>
          <w:lang w:bidi="ar"/>
        </w:rPr>
      </w:pPr>
      <w:r>
        <w:rPr>
          <w:rFonts w:hint="eastAsia"/>
          <w:sz w:val="24"/>
          <w:szCs w:val="24"/>
          <w:lang w:bidi="ar"/>
        </w:rPr>
        <w:t>二、标的名称及所属行业</w:t>
      </w:r>
    </w:p>
    <w:tbl>
      <w:tblPr>
        <w:tblStyle w:val="43"/>
        <w:tblW w:w="8481" w:type="dxa"/>
        <w:tblInd w:w="1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6"/>
        <w:gridCol w:w="3647"/>
        <w:gridCol w:w="1045"/>
        <w:gridCol w:w="30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序号</w:t>
            </w:r>
          </w:p>
        </w:tc>
        <w:tc>
          <w:tcPr>
            <w:tcW w:w="3647"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标的名称</w:t>
            </w:r>
          </w:p>
        </w:tc>
        <w:tc>
          <w:tcPr>
            <w:tcW w:w="1045"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数量</w:t>
            </w:r>
          </w:p>
        </w:tc>
        <w:tc>
          <w:tcPr>
            <w:tcW w:w="3083" w:type="dxa"/>
            <w:noWrap/>
            <w:vAlign w:val="center"/>
          </w:tcPr>
          <w:p>
            <w:pPr>
              <w:spacing w:after="200" w:line="300" w:lineRule="exact"/>
              <w:jc w:val="center"/>
              <w:rPr>
                <w:rFonts w:hint="eastAsia" w:ascii="黑体" w:hAnsi="黑体" w:eastAsia="黑体" w:cs="黑体"/>
                <w:sz w:val="24"/>
                <w:szCs w:val="24"/>
              </w:rPr>
            </w:pPr>
            <w:r>
              <w:rPr>
                <w:rFonts w:hint="eastAsia" w:ascii="黑体" w:hAnsi="黑体" w:eastAsia="黑体" w:cs="黑体"/>
                <w:sz w:val="24"/>
                <w:szCs w:val="24"/>
              </w:rPr>
              <w:t>标的物所属行业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hint="eastAsia" w:ascii="黑体" w:hAnsi="黑体" w:eastAsia="黑体" w:cs="黑体"/>
                <w:sz w:val="24"/>
                <w:szCs w:val="24"/>
              </w:rPr>
            </w:pPr>
            <w:r>
              <w:rPr>
                <w:rFonts w:hint="eastAsia" w:ascii="黑体" w:hAnsi="黑体" w:eastAsia="黑体" w:cs="黑体"/>
                <w:sz w:val="24"/>
                <w:szCs w:val="24"/>
              </w:rPr>
              <w:t>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人脸识别一体机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96台</w:t>
            </w:r>
          </w:p>
        </w:tc>
        <w:tc>
          <w:tcPr>
            <w:tcW w:w="3083"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人脸抓拍机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补光灯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1"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人脸比对模块</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16路视频存储器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24口数据交换设备</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硬盘</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显示终端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立柱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防撞柱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96根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自动门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31套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开门机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定制门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3套</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红外防夹装置</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58对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8口数据接入设备</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86台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弱电箱</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PVC管</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8450米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超五类网线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7250米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2"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19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电源线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7200米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信号线</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2450米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人脸采集USB摄像机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身份证阅读器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人脸识别终端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车牌识别一体机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86台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25</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高清车牌识别辅助相机</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26</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栅栏式道闸</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41台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27</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收费管理端</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32台</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28</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减速带</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234米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29</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护栏</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98米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1"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30</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4芯光纤</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1800米</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31</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光纤收发器</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7对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工业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32</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管线预埋</w:t>
            </w:r>
          </w:p>
        </w:tc>
        <w:tc>
          <w:tcPr>
            <w:tcW w:w="1045"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color w:val="000000"/>
                <w:kern w:val="0"/>
                <w:sz w:val="24"/>
                <w:szCs w:val="24"/>
                <w:lang w:bidi="ar"/>
              </w:rPr>
              <w:t>32处</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建筑业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8"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33</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治安警务管理平台研发</w:t>
            </w:r>
          </w:p>
        </w:tc>
        <w:tc>
          <w:tcPr>
            <w:tcW w:w="1045"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软件和信息技术服务业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trPr>
        <w:tc>
          <w:tcPr>
            <w:tcW w:w="706" w:type="dxa"/>
            <w:noWrap/>
            <w:vAlign w:val="center"/>
          </w:tcPr>
          <w:p>
            <w:pPr>
              <w:spacing w:after="200" w:line="300" w:lineRule="exact"/>
              <w:jc w:val="center"/>
              <w:rPr>
                <w:rFonts w:ascii="黑体" w:hAnsi="黑体" w:eastAsia="黑体" w:cs="黑体"/>
                <w:sz w:val="24"/>
                <w:szCs w:val="24"/>
              </w:rPr>
            </w:pPr>
            <w:r>
              <w:rPr>
                <w:rFonts w:hint="eastAsia" w:ascii="黑体" w:hAnsi="黑体" w:eastAsia="黑体" w:cs="黑体"/>
                <w:sz w:val="24"/>
                <w:szCs w:val="24"/>
              </w:rPr>
              <w:t>34</w:t>
            </w:r>
          </w:p>
        </w:tc>
        <w:tc>
          <w:tcPr>
            <w:tcW w:w="3647" w:type="dxa"/>
            <w:noWrap/>
            <w:vAlign w:val="center"/>
          </w:tcPr>
          <w:p>
            <w:pPr>
              <w:spacing w:after="200" w:line="300" w:lineRule="exact"/>
              <w:jc w:val="center"/>
              <w:rPr>
                <w:rFonts w:hint="eastAsia" w:ascii="仿宋_GB2312" w:hAnsi="仿宋_GB2312" w:eastAsia="仿宋_GB2312" w:cs="仿宋_GB2312"/>
                <w:color w:val="000000"/>
                <w:kern w:val="0"/>
                <w:sz w:val="24"/>
                <w:szCs w:val="24"/>
                <w:lang w:bidi="ar"/>
              </w:rPr>
            </w:pPr>
            <w:r>
              <w:rPr>
                <w:rFonts w:hint="eastAsia" w:ascii="仿宋_GB2312" w:hAnsi="仿宋_GB2312" w:eastAsia="仿宋_GB2312" w:cs="仿宋_GB2312"/>
                <w:color w:val="000000"/>
                <w:kern w:val="0"/>
                <w:sz w:val="24"/>
                <w:szCs w:val="24"/>
                <w:lang w:bidi="ar"/>
              </w:rPr>
              <w:t>智慧平安小区管理服务平台研发</w:t>
            </w:r>
          </w:p>
        </w:tc>
        <w:tc>
          <w:tcPr>
            <w:tcW w:w="1045" w:type="dxa"/>
            <w:noWrap/>
            <w:vAlign w:val="center"/>
          </w:tcPr>
          <w:p>
            <w:pPr>
              <w:spacing w:after="200" w:line="300" w:lineRule="exact"/>
              <w:jc w:val="center"/>
              <w:rPr>
                <w:rFonts w:ascii="仿宋_GB2312" w:hAnsi="仿宋_GB2312" w:eastAsia="仿宋_GB2312" w:cs="仿宋_GB2312"/>
                <w:sz w:val="24"/>
                <w:szCs w:val="24"/>
              </w:rPr>
            </w:pPr>
            <w:r>
              <w:rPr>
                <w:rFonts w:hint="eastAsia" w:ascii="仿宋_GB2312" w:hAnsi="仿宋_GB2312" w:eastAsia="仿宋_GB2312" w:cs="仿宋_GB2312"/>
                <w:sz w:val="24"/>
                <w:szCs w:val="24"/>
                <w:lang w:val="en-US" w:eastAsia="zh-CN"/>
              </w:rPr>
              <w:t>1</w:t>
            </w:r>
            <w:r>
              <w:rPr>
                <w:rFonts w:hint="eastAsia" w:ascii="仿宋_GB2312" w:hAnsi="仿宋_GB2312" w:eastAsia="仿宋_GB2312" w:cs="仿宋_GB2312"/>
                <w:sz w:val="24"/>
                <w:szCs w:val="24"/>
              </w:rPr>
              <w:t>项</w:t>
            </w:r>
          </w:p>
        </w:tc>
        <w:tc>
          <w:tcPr>
            <w:tcW w:w="3083" w:type="dxa"/>
            <w:noWrap/>
            <w:vAlign w:val="center"/>
          </w:tcPr>
          <w:p>
            <w:pPr>
              <w:spacing w:after="200" w:line="300" w:lineRule="exact"/>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软件和信息技术服务业</w:t>
            </w:r>
          </w:p>
        </w:tc>
      </w:tr>
    </w:tbl>
    <w:p>
      <w:pPr>
        <w:keepNext/>
        <w:keepLines/>
        <w:spacing w:line="400" w:lineRule="exact"/>
        <w:ind w:left="567" w:hanging="567"/>
        <w:jc w:val="left"/>
        <w:outlineLvl w:val="1"/>
        <w:rPr>
          <w:rFonts w:cs="Times New Roman"/>
          <w:b/>
          <w:bCs/>
          <w:sz w:val="24"/>
          <w:szCs w:val="24"/>
        </w:rPr>
      </w:pPr>
      <w:bookmarkStart w:id="191" w:name="_Toc10380"/>
      <w:bookmarkStart w:id="192" w:name="_Toc79061656"/>
      <w:r>
        <w:rPr>
          <w:rFonts w:hint="eastAsia" w:cs="Times New Roman"/>
          <w:b/>
          <w:bCs/>
          <w:sz w:val="24"/>
          <w:szCs w:val="24"/>
          <w:lang w:val="en-US" w:eastAsia="zh-CN"/>
        </w:rPr>
        <w:t>4</w:t>
      </w:r>
      <w:r>
        <w:rPr>
          <w:rFonts w:hint="eastAsia" w:cs="Times New Roman"/>
          <w:b/>
          <w:bCs/>
          <w:sz w:val="24"/>
          <w:szCs w:val="24"/>
        </w:rPr>
        <w:t>.1.3技术参数及要求</w:t>
      </w:r>
      <w:bookmarkEnd w:id="191"/>
      <w:bookmarkEnd w:id="192"/>
    </w:p>
    <w:p>
      <w:pPr>
        <w:spacing w:line="360" w:lineRule="exact"/>
        <w:ind w:firstLine="480" w:firstLineChars="200"/>
        <w:rPr>
          <w:rFonts w:hint="eastAsia"/>
          <w:sz w:val="24"/>
          <w:szCs w:val="24"/>
          <w:lang w:bidi="ar"/>
        </w:rPr>
      </w:pPr>
      <w:r>
        <w:rPr>
          <w:rFonts w:hint="eastAsia"/>
          <w:sz w:val="24"/>
          <w:szCs w:val="24"/>
          <w:lang w:bidi="ar"/>
        </w:rPr>
        <w:t>详见附件。</w:t>
      </w:r>
    </w:p>
    <w:p>
      <w:pPr>
        <w:keepNext/>
        <w:keepLines/>
        <w:spacing w:line="400" w:lineRule="exact"/>
        <w:ind w:left="567" w:hanging="567"/>
        <w:jc w:val="left"/>
        <w:outlineLvl w:val="1"/>
        <w:rPr>
          <w:rFonts w:hint="eastAsia" w:cs="Times New Roman"/>
          <w:b/>
          <w:bCs/>
          <w:sz w:val="24"/>
          <w:szCs w:val="24"/>
        </w:rPr>
      </w:pPr>
      <w:bookmarkStart w:id="193" w:name="_Toc27935"/>
      <w:bookmarkStart w:id="194" w:name="_Toc79061657"/>
      <w:r>
        <w:rPr>
          <w:rFonts w:hint="eastAsia" w:cs="Times New Roman"/>
          <w:b/>
          <w:bCs/>
          <w:sz w:val="24"/>
          <w:szCs w:val="24"/>
          <w:lang w:val="en-US" w:eastAsia="zh-CN"/>
        </w:rPr>
        <w:t>4</w:t>
      </w:r>
      <w:r>
        <w:rPr>
          <w:rFonts w:hint="eastAsia" w:cs="Times New Roman"/>
          <w:b/>
          <w:bCs/>
          <w:sz w:val="24"/>
          <w:szCs w:val="24"/>
        </w:rPr>
        <w:t>.1.4服务要求</w:t>
      </w:r>
      <w:bookmarkEnd w:id="193"/>
      <w:bookmarkEnd w:id="194"/>
    </w:p>
    <w:p>
      <w:pPr>
        <w:spacing w:line="360" w:lineRule="exact"/>
        <w:ind w:firstLine="480" w:firstLineChars="200"/>
        <w:rPr>
          <w:rFonts w:hint="eastAsia" w:ascii="Calibri" w:hAnsi="Calibri" w:eastAsia="宋体" w:cs="Times New Roman"/>
          <w:sz w:val="24"/>
          <w:szCs w:val="24"/>
          <w:lang w:eastAsia="zh-CN" w:bidi="ar"/>
        </w:rPr>
      </w:pPr>
      <w:r>
        <w:rPr>
          <w:rFonts w:hint="eastAsia"/>
          <w:sz w:val="24"/>
          <w:szCs w:val="24"/>
          <w:lang w:bidi="ar"/>
        </w:rPr>
        <w:t>详见附件</w:t>
      </w:r>
      <w:r>
        <w:rPr>
          <w:rFonts w:hint="eastAsia"/>
          <w:sz w:val="24"/>
          <w:szCs w:val="24"/>
          <w:lang w:eastAsia="zh-CN" w:bidi="ar"/>
        </w:rPr>
        <w:t>。</w:t>
      </w:r>
    </w:p>
    <w:p>
      <w:pPr>
        <w:keepNext/>
        <w:keepLines/>
        <w:spacing w:line="400" w:lineRule="exact"/>
        <w:ind w:left="567" w:hanging="567"/>
        <w:jc w:val="left"/>
        <w:outlineLvl w:val="1"/>
        <w:rPr>
          <w:rFonts w:hint="eastAsia" w:cs="Times New Roman"/>
          <w:b/>
          <w:bCs/>
          <w:sz w:val="28"/>
          <w:szCs w:val="28"/>
        </w:rPr>
      </w:pPr>
      <w:bookmarkStart w:id="195" w:name="_Toc79061658"/>
      <w:bookmarkStart w:id="196" w:name="_Toc8368"/>
      <w:r>
        <w:rPr>
          <w:rFonts w:hint="eastAsia" w:cs="Times New Roman"/>
          <w:b/>
          <w:bCs/>
          <w:sz w:val="28"/>
          <w:szCs w:val="28"/>
          <w:lang w:val="en-US" w:eastAsia="zh-CN"/>
        </w:rPr>
        <w:t>4</w:t>
      </w:r>
      <w:r>
        <w:rPr>
          <w:rFonts w:hint="eastAsia" w:cs="Times New Roman"/>
          <w:b/>
          <w:bCs/>
          <w:sz w:val="28"/>
          <w:szCs w:val="28"/>
        </w:rPr>
        <w:t>.2商务要求</w:t>
      </w:r>
      <w:bookmarkEnd w:id="195"/>
      <w:bookmarkEnd w:id="196"/>
    </w:p>
    <w:p>
      <w:pPr>
        <w:spacing w:line="360" w:lineRule="exact"/>
        <w:ind w:firstLine="480" w:firstLineChars="200"/>
        <w:rPr>
          <w:rFonts w:hint="eastAsia" w:ascii="Calibri" w:hAnsi="Calibri" w:cs="Times New Roman"/>
          <w:sz w:val="24"/>
          <w:szCs w:val="24"/>
          <w:lang w:bidi="ar"/>
        </w:rPr>
      </w:pPr>
      <w:r>
        <w:rPr>
          <w:rFonts w:hint="eastAsia" w:ascii="Calibri" w:hAnsi="Calibri" w:cs="Times New Roman"/>
          <w:sz w:val="24"/>
          <w:szCs w:val="24"/>
          <w:lang w:bidi="ar"/>
        </w:rPr>
        <w:t>1、交付周期</w:t>
      </w:r>
    </w:p>
    <w:p>
      <w:pPr>
        <w:spacing w:line="360" w:lineRule="exact"/>
        <w:ind w:firstLine="480" w:firstLineChars="200"/>
        <w:rPr>
          <w:rFonts w:hint="eastAsia" w:ascii="Calibri" w:hAnsi="Calibri" w:cs="Times New Roman"/>
          <w:sz w:val="24"/>
          <w:szCs w:val="24"/>
          <w:lang w:bidi="ar"/>
        </w:rPr>
      </w:pPr>
      <w:r>
        <w:rPr>
          <w:rFonts w:hint="eastAsia" w:ascii="Calibri" w:hAnsi="Calibri" w:cs="Times New Roman"/>
          <w:sz w:val="24"/>
          <w:szCs w:val="24"/>
          <w:lang w:bidi="ar"/>
        </w:rPr>
        <w:t>（1）建设服务期：合同签订日起6个月内完成项目前期建设，并交采购人初验、试运行。试运行1月后如未满足正常运行要求，采购人有权要求其整改，直至达到验收标准。</w:t>
      </w:r>
    </w:p>
    <w:p>
      <w:pPr>
        <w:spacing w:line="360" w:lineRule="exact"/>
        <w:ind w:firstLine="480" w:firstLineChars="200"/>
        <w:rPr>
          <w:rFonts w:ascii="Calibri" w:hAnsi="Calibri" w:cs="Times New Roman"/>
          <w:sz w:val="24"/>
          <w:szCs w:val="24"/>
          <w:lang w:bidi="ar"/>
        </w:rPr>
      </w:pPr>
      <w:r>
        <w:rPr>
          <w:rFonts w:hint="eastAsia" w:ascii="Calibri" w:hAnsi="Calibri" w:cs="Times New Roman"/>
          <w:sz w:val="24"/>
          <w:szCs w:val="24"/>
          <w:lang w:bidi="ar"/>
        </w:rPr>
        <w:t>（2）运维周期：自验收合格之日起，提供三年的运维服务。</w:t>
      </w:r>
    </w:p>
    <w:p>
      <w:pPr>
        <w:spacing w:line="360" w:lineRule="exact"/>
        <w:ind w:firstLine="480" w:firstLineChars="200"/>
        <w:rPr>
          <w:sz w:val="24"/>
          <w:szCs w:val="24"/>
          <w:lang w:bidi="ar"/>
        </w:rPr>
      </w:pPr>
      <w:r>
        <w:rPr>
          <w:rFonts w:hint="eastAsia"/>
          <w:sz w:val="24"/>
          <w:szCs w:val="24"/>
          <w:lang w:bidi="ar"/>
        </w:rPr>
        <w:t>2、</w:t>
      </w:r>
      <w:r>
        <w:rPr>
          <w:sz w:val="24"/>
          <w:szCs w:val="24"/>
          <w:lang w:bidi="ar"/>
        </w:rPr>
        <w:t>付款方式和付款时间：签订合同后预付30%合同款，主要设备安装完成后支付10%合同款，验收合格支付至合同金额的95%，余款作为质保金在三年运维期满后支付。本项目为交钥匙工程，合同履行期间采购人不承担额外费用。</w:t>
      </w:r>
    </w:p>
    <w:p>
      <w:pPr>
        <w:spacing w:line="360" w:lineRule="exact"/>
        <w:ind w:firstLine="480" w:firstLineChars="200"/>
        <w:rPr>
          <w:sz w:val="24"/>
          <w:szCs w:val="24"/>
          <w:lang w:bidi="ar"/>
        </w:rPr>
      </w:pPr>
      <w:r>
        <w:rPr>
          <w:rFonts w:hint="eastAsia"/>
          <w:sz w:val="24"/>
          <w:szCs w:val="24"/>
          <w:lang w:bidi="ar"/>
        </w:rPr>
        <w:t>3、</w:t>
      </w:r>
      <w:r>
        <w:rPr>
          <w:sz w:val="24"/>
          <w:szCs w:val="24"/>
          <w:lang w:bidi="ar"/>
        </w:rPr>
        <w:t>安装调试所需工具设施物料由成交</w:t>
      </w:r>
      <w:r>
        <w:rPr>
          <w:rFonts w:hint="eastAsia"/>
          <w:sz w:val="24"/>
          <w:szCs w:val="24"/>
          <w:lang w:bidi="ar"/>
        </w:rPr>
        <w:t>投标人</w:t>
      </w:r>
      <w:r>
        <w:rPr>
          <w:sz w:val="24"/>
          <w:szCs w:val="24"/>
          <w:lang w:bidi="ar"/>
        </w:rPr>
        <w:t>自备、自费运到现场，完工后自费搬走。在生产、运输、装卸、安装、运维等过程中发生的任何安全事故均由中标</w:t>
      </w:r>
      <w:r>
        <w:rPr>
          <w:rFonts w:hint="eastAsia"/>
          <w:sz w:val="24"/>
          <w:szCs w:val="24"/>
          <w:lang w:bidi="ar"/>
        </w:rPr>
        <w:t>投标人</w:t>
      </w:r>
      <w:r>
        <w:rPr>
          <w:sz w:val="24"/>
          <w:szCs w:val="24"/>
          <w:lang w:bidi="ar"/>
        </w:rPr>
        <w:t xml:space="preserve">负责，同时因漏电、雷击、人为攀爬、民事纠纷等造成的后果也均由中标人负责。 </w:t>
      </w:r>
    </w:p>
    <w:p>
      <w:pPr>
        <w:spacing w:line="360" w:lineRule="exact"/>
        <w:ind w:firstLine="480" w:firstLineChars="200"/>
        <w:rPr>
          <w:rFonts w:hint="eastAsia"/>
          <w:sz w:val="24"/>
          <w:szCs w:val="24"/>
          <w:lang w:eastAsia="zh-CN" w:bidi="ar"/>
        </w:rPr>
      </w:pPr>
      <w:r>
        <w:rPr>
          <w:sz w:val="24"/>
          <w:szCs w:val="24"/>
          <w:lang w:bidi="ar"/>
        </w:rPr>
        <w:t>★4、智慧平安小区管理服务平台与新冠疫情防控结合，实现戴口罩人脸识别（除人脸识别外可通过业主卡、APP预约、指纹、现场登记等多种方式进出小区）和天府健康码同一认证及居家留观智能化服务管理。能够实现系统对接以及数据共享（预留标准数据接口，对接区智慧治理中心、数字城管平台、天府市民云、温江市民之声等有关系统平台，对接数据不再额外收取费用）。</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sz w:val="24"/>
          <w:szCs w:val="24"/>
          <w:lang w:bidi="ar"/>
        </w:rPr>
      </w:pPr>
      <w:r>
        <w:rPr>
          <w:sz w:val="24"/>
          <w:szCs w:val="24"/>
          <w:lang w:bidi="ar"/>
        </w:rPr>
        <w:t>★5、设备及智慧平安小区管理服务平台能够与四川省省级智慧平安小区（AI能力层）及成都市智慧安防小区信息管理平台对接，小区人员注册信息、人员进出记录、车辆进出记录等信息能够与四川省和成都市智慧小区平台（AI能力层）实现数据共享，对接数据不再额外收取费用。（</w:t>
      </w:r>
      <w:r>
        <w:rPr>
          <w:rFonts w:hint="eastAsia"/>
          <w:sz w:val="24"/>
          <w:szCs w:val="24"/>
          <w:lang w:bidi="ar"/>
        </w:rPr>
        <w:t>投标人</w:t>
      </w:r>
      <w:r>
        <w:rPr>
          <w:sz w:val="24"/>
          <w:szCs w:val="24"/>
          <w:lang w:bidi="ar"/>
        </w:rPr>
        <w:t>须按</w:t>
      </w:r>
      <w:r>
        <w:rPr>
          <w:rFonts w:hint="eastAsia"/>
          <w:sz w:val="24"/>
          <w:szCs w:val="24"/>
          <w:lang w:bidi="ar"/>
        </w:rPr>
        <w:t>招标文件第3章投标文件格式</w:t>
      </w:r>
      <w:r>
        <w:rPr>
          <w:sz w:val="24"/>
          <w:szCs w:val="24"/>
          <w:lang w:bidi="ar"/>
        </w:rPr>
        <w:t xml:space="preserve"> </w:t>
      </w:r>
      <w:r>
        <w:rPr>
          <w:rFonts w:hint="eastAsia"/>
          <w:sz w:val="24"/>
          <w:szCs w:val="24"/>
          <w:lang w:val="en-US" w:eastAsia="zh-CN" w:bidi="ar"/>
        </w:rPr>
        <w:t>3.3.6</w:t>
      </w:r>
      <w:r>
        <w:rPr>
          <w:sz w:val="24"/>
          <w:szCs w:val="24"/>
          <w:lang w:bidi="ar"/>
        </w:rPr>
        <w:t>承诺函的格式及要求提供承诺函加盖公章装入响应文件)</w:t>
      </w:r>
    </w:p>
    <w:p>
      <w:pPr>
        <w:spacing w:line="360" w:lineRule="exact"/>
        <w:ind w:firstLine="480" w:firstLineChars="200"/>
        <w:rPr>
          <w:rFonts w:hint="eastAsia"/>
          <w:sz w:val="24"/>
          <w:szCs w:val="24"/>
          <w:lang w:eastAsia="zh-CN" w:bidi="ar"/>
        </w:rPr>
      </w:pPr>
      <w:r>
        <w:rPr>
          <w:sz w:val="24"/>
          <w:szCs w:val="24"/>
          <w:lang w:bidi="ar"/>
        </w:rPr>
        <w:t>★6、智慧平安小区管理服务平台能够按照“统一标准、统一归集”的原则，将智慧小区产生的人、车等主要流量数据接入“大联动.微治理”体系平台，实现数据共享，对接数据不再额外收取费用。</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sz w:val="24"/>
          <w:szCs w:val="24"/>
          <w:lang w:eastAsia="zh-CN" w:bidi="ar"/>
        </w:rPr>
      </w:pPr>
      <w:r>
        <w:rPr>
          <w:sz w:val="24"/>
          <w:szCs w:val="24"/>
          <w:lang w:bidi="ar"/>
        </w:rPr>
        <w:t>★7、该平台属于政法委所有，建设方不得私自留存相关数据，平台部署于政务云（相关单位须在取得政法委同意的前提下，开展数据共享交换）。</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eastAsia="宋体"/>
          <w:sz w:val="24"/>
          <w:szCs w:val="24"/>
          <w:lang w:eastAsia="zh-CN" w:bidi="ar"/>
        </w:rPr>
      </w:pPr>
      <w:r>
        <w:rPr>
          <w:sz w:val="24"/>
          <w:szCs w:val="24"/>
          <w:lang w:bidi="ar"/>
        </w:rPr>
        <w:t>★8、保密要求：中标后，中标人须与采购方签订保密协议。中标人须保证系统信息安全、网络安全，且所有参与本项目建设的人员必须是符合保密要求的非境外人员，且能严格遵守国家保密的有关规定，保守信息安全秘密，须符合《保密法》相关规定，不得将系统文件下载外泄。</w:t>
      </w:r>
      <w:r>
        <w:rPr>
          <w:rFonts w:hint="eastAsia"/>
          <w:sz w:val="24"/>
          <w:szCs w:val="24"/>
          <w:lang w:eastAsia="zh-CN" w:bidi="ar"/>
        </w:rPr>
        <w:t>（投标人须按招标文件第3章投标文件格式 3.3.6承诺函的格式及要求提供承诺函加盖公章装入响应文件)</w:t>
      </w:r>
    </w:p>
    <w:p>
      <w:pPr>
        <w:pStyle w:val="2"/>
        <w:rPr>
          <w:rFonts w:hint="eastAsia" w:cs="Times New Roman"/>
          <w:sz w:val="24"/>
          <w:szCs w:val="24"/>
          <w:lang w:bidi="ar"/>
        </w:rPr>
      </w:pPr>
      <w:r>
        <w:rPr>
          <w:rFonts w:hint="eastAsia"/>
          <w:sz w:val="24"/>
          <w:szCs w:val="24"/>
          <w:lang w:bidi="ar"/>
        </w:rPr>
        <w:t xml:space="preserve">    9、本项目质保期为三年。自验收合格之日起，中标单位负责提供软件系统运行维护（含第一年的网络链路费用，每个小区上行带宽20M以上）和硬件设备维修材料并免费维修，保证软件功能、设备及网络正常使用。在售后服务期内由中标人提供7×24小时的服务保障及系统故障电话申报。疑难问题（不危及运行）在半小时内答复用户，4小时内处理完故障；重大问题（危及运行）在1小时内派技术人员到现场解决，3小时内恢复系统运行；特大问题（系统不能正常运行）在半小时内派技术人员到现场解决，2小时内恢复系统运行，不能处理应提供备用机。如中标人售后服务未按约定履行，采购人有权按约定扣减质保金。</w:t>
      </w:r>
    </w:p>
    <w:p>
      <w:pPr>
        <w:pStyle w:val="2"/>
        <w:numPr>
          <w:ilvl w:val="0"/>
          <w:numId w:val="37"/>
        </w:numPr>
        <w:ind w:firstLine="480" w:firstLineChars="200"/>
        <w:jc w:val="both"/>
        <w:rPr>
          <w:rFonts w:hint="eastAsia"/>
          <w:sz w:val="24"/>
          <w:szCs w:val="24"/>
          <w:lang w:bidi="ar"/>
        </w:rPr>
      </w:pPr>
      <w:r>
        <w:rPr>
          <w:rFonts w:hint="eastAsia"/>
          <w:sz w:val="24"/>
          <w:szCs w:val="24"/>
          <w:lang w:bidi="ar"/>
        </w:rPr>
        <w:t>验收或考核：严格按照财政部《关于进一步加强政府采购需求和履约验收管理的指导意见》（财库〔2016〕205号）及其他国家相关法律法规的要求组织验收或考核。</w:t>
      </w:r>
    </w:p>
    <w:p>
      <w:pPr>
        <w:spacing w:line="360" w:lineRule="exact"/>
        <w:ind w:firstLine="480" w:firstLineChars="200"/>
        <w:rPr>
          <w:sz w:val="24"/>
          <w:szCs w:val="24"/>
          <w:lang w:bidi="ar"/>
        </w:rPr>
      </w:pPr>
      <w:r>
        <w:rPr>
          <w:rFonts w:hint="eastAsia"/>
          <w:sz w:val="24"/>
          <w:szCs w:val="24"/>
          <w:lang w:bidi="ar"/>
        </w:rPr>
        <w:t>11</w:t>
      </w:r>
      <w:r>
        <w:rPr>
          <w:sz w:val="24"/>
          <w:szCs w:val="24"/>
          <w:lang w:bidi="ar"/>
        </w:rPr>
        <w:t>、</w:t>
      </w:r>
      <w:r>
        <w:rPr>
          <w:rFonts w:hint="eastAsia"/>
          <w:sz w:val="24"/>
          <w:szCs w:val="24"/>
          <w:lang w:bidi="ar"/>
        </w:rPr>
        <w:t>违约责任</w:t>
      </w:r>
    </w:p>
    <w:p>
      <w:pPr>
        <w:spacing w:line="360" w:lineRule="exact"/>
        <w:ind w:firstLine="480" w:firstLineChars="200"/>
        <w:rPr>
          <w:rFonts w:hint="eastAsia"/>
          <w:sz w:val="24"/>
          <w:szCs w:val="24"/>
          <w:lang w:bidi="ar"/>
        </w:rPr>
      </w:pPr>
      <w:r>
        <w:rPr>
          <w:rFonts w:hint="eastAsia"/>
          <w:sz w:val="24"/>
          <w:szCs w:val="24"/>
          <w:lang w:bidi="ar"/>
        </w:rPr>
        <w:t>（1）甲方违约责任</w:t>
      </w:r>
    </w:p>
    <w:p>
      <w:pPr>
        <w:spacing w:line="360" w:lineRule="exact"/>
        <w:ind w:firstLine="480" w:firstLineChars="200"/>
        <w:rPr>
          <w:rFonts w:hint="eastAsia"/>
          <w:sz w:val="24"/>
          <w:szCs w:val="24"/>
          <w:lang w:bidi="ar"/>
        </w:rPr>
      </w:pPr>
      <w:r>
        <w:rPr>
          <w:rFonts w:hint="eastAsia"/>
          <w:sz w:val="24"/>
          <w:szCs w:val="24"/>
          <w:lang w:bidi="ar"/>
        </w:rPr>
        <w:t>一、甲方无正当理由拒收货物的，甲方应偿付合同总价百分之五的违约金；</w:t>
      </w:r>
    </w:p>
    <w:p>
      <w:pPr>
        <w:spacing w:line="360" w:lineRule="exact"/>
        <w:ind w:firstLine="480" w:firstLineChars="200"/>
        <w:rPr>
          <w:rFonts w:hint="eastAsia"/>
          <w:sz w:val="24"/>
          <w:szCs w:val="24"/>
          <w:lang w:bidi="ar"/>
        </w:rPr>
      </w:pPr>
      <w:r>
        <w:rPr>
          <w:rFonts w:hint="eastAsia"/>
          <w:sz w:val="24"/>
          <w:szCs w:val="24"/>
          <w:lang w:bidi="ar"/>
        </w:rPr>
        <w:t>二、甲方逾期支付货款的，除应及时付足货款外，应向乙方偿付欠款总额万分之十/天的违约金；逾期付款超过60天的，乙方有权终止合同；</w:t>
      </w:r>
    </w:p>
    <w:p>
      <w:pPr>
        <w:spacing w:line="360" w:lineRule="exact"/>
        <w:ind w:firstLine="480" w:firstLineChars="200"/>
        <w:rPr>
          <w:rFonts w:hint="eastAsia"/>
          <w:sz w:val="24"/>
          <w:szCs w:val="24"/>
          <w:lang w:bidi="ar"/>
        </w:rPr>
      </w:pPr>
      <w:r>
        <w:rPr>
          <w:rFonts w:hint="eastAsia"/>
          <w:sz w:val="24"/>
          <w:szCs w:val="24"/>
          <w:lang w:bidi="ar"/>
        </w:rPr>
        <w:t>三、甲方偿付的违约金不足以弥补乙方损失的，还应按乙方损失尚未弥补的部分，支付赔偿金给乙方。</w:t>
      </w:r>
    </w:p>
    <w:p>
      <w:pPr>
        <w:spacing w:line="360" w:lineRule="exact"/>
        <w:ind w:firstLine="480" w:firstLineChars="200"/>
        <w:rPr>
          <w:rFonts w:hint="eastAsia"/>
          <w:sz w:val="24"/>
          <w:szCs w:val="24"/>
          <w:lang w:bidi="ar"/>
        </w:rPr>
      </w:pPr>
      <w:r>
        <w:rPr>
          <w:rFonts w:hint="eastAsia"/>
          <w:sz w:val="24"/>
          <w:szCs w:val="24"/>
          <w:lang w:bidi="ar"/>
        </w:rPr>
        <w:t>（2）乙方违约责任</w:t>
      </w:r>
    </w:p>
    <w:p>
      <w:pPr>
        <w:spacing w:line="360" w:lineRule="exact"/>
        <w:ind w:firstLine="480" w:firstLineChars="200"/>
        <w:rPr>
          <w:rFonts w:hint="eastAsia"/>
          <w:sz w:val="24"/>
          <w:szCs w:val="24"/>
          <w:lang w:bidi="ar"/>
        </w:rPr>
      </w:pPr>
      <w:bookmarkStart w:id="197" w:name="八、争议解决办法"/>
      <w:bookmarkEnd w:id="197"/>
      <w:bookmarkStart w:id="198" w:name="_bookmark112"/>
      <w:bookmarkEnd w:id="198"/>
      <w:r>
        <w:rPr>
          <w:rFonts w:hint="eastAsia"/>
          <w:sz w:val="24"/>
          <w:szCs w:val="24"/>
          <w:lang w:bidi="ar"/>
        </w:rPr>
        <w:t>一、乙方交付的货物质量不符合合同规定的，乙方应向甲方支付合同总价的百分之十的违约金，并须在合同规定的交货时间内更换合格的货物给甲方，否则，视作乙方不能交付货物而违约，按本条本款下述第“（2）”项规定由乙方偿付违约赔偿金给甲方。</w:t>
      </w:r>
    </w:p>
    <w:p>
      <w:pPr>
        <w:spacing w:line="360" w:lineRule="exact"/>
        <w:ind w:firstLine="480" w:firstLineChars="200"/>
        <w:rPr>
          <w:rFonts w:hint="eastAsia"/>
          <w:sz w:val="24"/>
          <w:szCs w:val="24"/>
          <w:lang w:bidi="ar"/>
        </w:rPr>
      </w:pPr>
      <w:r>
        <w:rPr>
          <w:rFonts w:hint="eastAsia"/>
          <w:sz w:val="24"/>
          <w:szCs w:val="24"/>
          <w:lang w:bidi="ar"/>
        </w:rPr>
        <w:t>二、乙方不能交付货物或逾期交付货物而违约的，除应及时交足货物外，应向甲方偿付逾期交货部分货款总额的万分之十/天的违约金；逾期交货超过30天，甲方有权终止合同，乙方则应按合同总价的百分之十的款额向甲方偿付赔偿金，并须全额退还甲方已经付给乙方的货款及其利息。</w:t>
      </w:r>
    </w:p>
    <w:p>
      <w:pPr>
        <w:spacing w:line="360" w:lineRule="exact"/>
        <w:ind w:firstLine="480" w:firstLineChars="200"/>
        <w:rPr>
          <w:rFonts w:hint="eastAsia"/>
          <w:sz w:val="24"/>
          <w:szCs w:val="24"/>
          <w:lang w:bidi="ar"/>
        </w:rPr>
      </w:pPr>
      <w:r>
        <w:rPr>
          <w:rFonts w:hint="eastAsia"/>
          <w:sz w:val="24"/>
          <w:szCs w:val="24"/>
          <w:lang w:bidi="ar"/>
        </w:rPr>
        <w:t>三、乙方货物经甲方送交具有法定资格条件的质量技术监督机构检测后，如检测结果认定货物质量不符合本合同规定标准的，则视为乙方没有按时交货而违约，乙方须在10天内无条件更换合格的货物，如逾期不能更换合格的货物，甲方有权终止本合同，乙方应另付合同总价的百分之十的赔偿金给甲方。</w:t>
      </w:r>
    </w:p>
    <w:p>
      <w:pPr>
        <w:spacing w:line="360" w:lineRule="exact"/>
        <w:ind w:firstLine="480" w:firstLineChars="200"/>
        <w:rPr>
          <w:rFonts w:hint="eastAsia"/>
          <w:sz w:val="24"/>
          <w:szCs w:val="24"/>
          <w:lang w:bidi="ar"/>
        </w:rPr>
      </w:pPr>
      <w:r>
        <w:rPr>
          <w:rFonts w:hint="eastAsia"/>
          <w:sz w:val="24"/>
          <w:szCs w:val="24"/>
          <w:lang w:bidi="ar"/>
        </w:rPr>
        <w:t>四、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十向甲方支付违约金。</w:t>
      </w:r>
    </w:p>
    <w:p>
      <w:pPr>
        <w:spacing w:line="360" w:lineRule="exact"/>
        <w:ind w:firstLine="480" w:firstLineChars="200"/>
        <w:rPr>
          <w:rFonts w:hint="eastAsia"/>
          <w:sz w:val="24"/>
          <w:szCs w:val="24"/>
          <w:lang w:bidi="ar"/>
        </w:rPr>
      </w:pPr>
      <w:r>
        <w:rPr>
          <w:rFonts w:hint="eastAsia"/>
          <w:sz w:val="24"/>
          <w:szCs w:val="24"/>
          <w:lang w:bidi="ar"/>
        </w:rPr>
        <w:t>五、乙方偿付的违约金不足以弥补甲方损失的，还应按甲方损失尚未弥补的部分，支付赔偿金给甲方。</w:t>
      </w:r>
    </w:p>
    <w:p>
      <w:pPr>
        <w:keepNext/>
        <w:keepLines/>
        <w:spacing w:line="400" w:lineRule="exact"/>
        <w:ind w:left="567" w:hanging="567"/>
        <w:jc w:val="left"/>
        <w:outlineLvl w:val="1"/>
        <w:rPr>
          <w:rFonts w:hint="eastAsia" w:cs="Times New Roman"/>
          <w:b/>
          <w:bCs/>
          <w:sz w:val="28"/>
          <w:szCs w:val="28"/>
        </w:rPr>
      </w:pPr>
      <w:bookmarkStart w:id="199" w:name="_Toc79061659"/>
      <w:bookmarkStart w:id="200" w:name="_Toc14099"/>
      <w:r>
        <w:rPr>
          <w:rFonts w:hint="eastAsia" w:cs="Times New Roman"/>
          <w:b/>
          <w:bCs/>
          <w:sz w:val="28"/>
          <w:szCs w:val="28"/>
          <w:lang w:val="en-US" w:eastAsia="zh-CN"/>
        </w:rPr>
        <w:t>4</w:t>
      </w:r>
      <w:r>
        <w:rPr>
          <w:rFonts w:hint="eastAsia" w:cs="Times New Roman"/>
          <w:b/>
          <w:bCs/>
          <w:sz w:val="28"/>
          <w:szCs w:val="28"/>
        </w:rPr>
        <w:t>.3其他要求</w:t>
      </w:r>
      <w:bookmarkEnd w:id="199"/>
      <w:bookmarkEnd w:id="200"/>
    </w:p>
    <w:p>
      <w:pPr>
        <w:spacing w:line="360" w:lineRule="exact"/>
        <w:ind w:firstLine="480" w:firstLineChars="200"/>
        <w:rPr>
          <w:rFonts w:hint="eastAsia"/>
          <w:sz w:val="24"/>
          <w:szCs w:val="24"/>
          <w:lang w:bidi="ar"/>
        </w:rPr>
      </w:pPr>
      <w:r>
        <w:rPr>
          <w:rFonts w:hint="eastAsia"/>
          <w:sz w:val="24"/>
          <w:szCs w:val="24"/>
          <w:lang w:bidi="ar"/>
        </w:rPr>
        <w:t>★一、在评标过程中，评标委员会认为投标人投标报价明显低于其他通过符合性审查投标人的投标报价，有可能影响产品质量或者不能诚信履约的，评标委员会应当要求其在合理的时间内提供书面说明，必要时提交相关证明材料。投标人提交的书面说明、相关证明材料（如涉及），应当加盖投标人（法定名称）电子签章，在评标委员会要求的时间内通过政府采购云平台进行递交，否则无效。如因断电、断网、系统故障或其他不可抗力等因素，导致系统无法使用的，由投标人按评标委员会的要求进行澄清或者说明。投标人不能证明其投标报价合理性的，评标委员会应当将其投标文件作为无效处理。</w:t>
      </w:r>
    </w:p>
    <w:p>
      <w:pPr>
        <w:spacing w:line="360" w:lineRule="exact"/>
        <w:ind w:firstLine="480" w:firstLineChars="200"/>
        <w:rPr>
          <w:rFonts w:hint="eastAsia"/>
          <w:sz w:val="24"/>
          <w:szCs w:val="24"/>
          <w:lang w:eastAsia="zh-CN" w:bidi="ar"/>
        </w:rPr>
      </w:pPr>
      <w:r>
        <w:rPr>
          <w:rFonts w:hint="eastAsia"/>
          <w:sz w:val="24"/>
          <w:szCs w:val="24"/>
          <w:lang w:bidi="ar"/>
        </w:rPr>
        <w:t>★二、投标人为本项目提供的所有产品、辅材中属于《国家强制性产品认证目录》范围内产品的，均通过国家强制性产品认证并取得认证证书。</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sz w:val="24"/>
          <w:szCs w:val="24"/>
          <w:lang w:eastAsia="zh-CN" w:bidi="ar"/>
        </w:rPr>
      </w:pPr>
      <w:r>
        <w:rPr>
          <w:rFonts w:hint="eastAsia"/>
          <w:sz w:val="24"/>
          <w:szCs w:val="24"/>
          <w:lang w:bidi="ar"/>
        </w:rPr>
        <w:t>★三、投标人为本项目提供的所有产品、辅材符合现行的强制性国家相关标准、行业标准。</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sz w:val="24"/>
          <w:szCs w:val="24"/>
          <w:lang w:eastAsia="zh-CN" w:bidi="ar"/>
        </w:rPr>
      </w:pPr>
      <w:r>
        <w:rPr>
          <w:rFonts w:hint="eastAsia"/>
          <w:sz w:val="24"/>
          <w:szCs w:val="24"/>
          <w:lang w:bidi="ar"/>
        </w:rPr>
        <w:t>★四、投标人为本项目提供的所有产品中属于节能产品政府采购品目清单中的政府强制采购产品的，均应具有国家确定的认证机构出具的有效期内的节能产品认证证书。</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sz w:val="24"/>
          <w:szCs w:val="24"/>
          <w:lang w:eastAsia="zh-CN" w:bidi="ar"/>
        </w:rPr>
      </w:pPr>
      <w:r>
        <w:rPr>
          <w:rFonts w:hint="eastAsia"/>
          <w:sz w:val="24"/>
          <w:szCs w:val="24"/>
          <w:lang w:bidi="ar"/>
        </w:rPr>
        <w:t>★五、投标人为本项目提供的所有产品中属于3C认证产品的，均具有3C产品认证证书，并在中标后签订合同之前提供证书复印件加盖公章。</w:t>
      </w:r>
      <w:r>
        <w:rPr>
          <w:rFonts w:hint="eastAsia"/>
          <w:sz w:val="24"/>
          <w:szCs w:val="24"/>
          <w:lang w:eastAsia="zh-CN" w:bidi="ar"/>
        </w:rPr>
        <w:t>（投标人须按招标文件第3章投标文件格式 3.3.6承诺函的格式及要求提供承诺函加盖公章装入响应文件)</w:t>
      </w:r>
    </w:p>
    <w:p>
      <w:pPr>
        <w:spacing w:line="360" w:lineRule="exact"/>
        <w:ind w:firstLine="480" w:firstLineChars="200"/>
        <w:rPr>
          <w:rFonts w:hint="eastAsia"/>
          <w:sz w:val="24"/>
          <w:szCs w:val="24"/>
          <w:lang w:bidi="ar"/>
        </w:rPr>
      </w:pPr>
      <w:r>
        <w:rPr>
          <w:rFonts w:hint="eastAsia"/>
          <w:sz w:val="24"/>
          <w:szCs w:val="24"/>
          <w:lang w:bidi="ar"/>
        </w:rPr>
        <w:t>六、根据投标人提供的项目安装调试方案进行综合评审，方案包括但不限于：①项目的进度安排及保障措施、②安装人员配置及分工、③设备保护措施及调试方案等内容。</w:t>
      </w:r>
    </w:p>
    <w:p>
      <w:pPr>
        <w:spacing w:line="360" w:lineRule="exact"/>
        <w:ind w:firstLine="480" w:firstLineChars="200"/>
        <w:rPr>
          <w:sz w:val="24"/>
          <w:szCs w:val="24"/>
          <w:lang w:bidi="ar"/>
        </w:rPr>
      </w:pPr>
      <w:r>
        <w:rPr>
          <w:rFonts w:hint="eastAsia"/>
          <w:sz w:val="24"/>
          <w:szCs w:val="24"/>
          <w:lang w:bidi="ar"/>
        </w:rPr>
        <w:t>七、投标人承诺在售后服务期内提供7×24小时的服务保障及系统故障电话申报。疑难问题（不危及运行）在半小时内答复用户，4小时内处理完故障；重大问题（危及运行）在1小时内派技术人员到现场解决，3小时内恢复系统运行；特大问题（系统不能正常运行）在半小时内派技术人员到现场解决，2小时内恢复系统运行，不能处理应提供备用机。</w:t>
      </w:r>
    </w:p>
    <w:p>
      <w:pPr>
        <w:spacing w:line="360" w:lineRule="exact"/>
        <w:ind w:firstLine="480" w:firstLineChars="200"/>
        <w:rPr>
          <w:rFonts w:hint="eastAsia"/>
          <w:sz w:val="24"/>
          <w:szCs w:val="24"/>
          <w:lang w:bidi="ar"/>
        </w:rPr>
      </w:pPr>
      <w:r>
        <w:rPr>
          <w:rFonts w:hint="eastAsia"/>
          <w:sz w:val="24"/>
          <w:szCs w:val="24"/>
          <w:lang w:bidi="ar"/>
        </w:rPr>
        <w:t>八、投标人提供的运维服务方案方案包括但不限于：①运维服务体系、②运维目标、③运维巡检计划、④应急响应措施、⑤档案建立制度及措施、⑥质保措施、⑦培训内容、（包含师资设置、培训时间安排和培训周期）等内容。</w:t>
      </w:r>
    </w:p>
    <w:p>
      <w:pPr>
        <w:spacing w:line="360" w:lineRule="exact"/>
        <w:ind w:firstLine="480" w:firstLineChars="200"/>
        <w:rPr>
          <w:rFonts w:hint="eastAsia"/>
          <w:sz w:val="24"/>
          <w:szCs w:val="24"/>
          <w:lang w:bidi="ar"/>
        </w:rPr>
      </w:pPr>
      <w:r>
        <w:rPr>
          <w:rFonts w:hint="eastAsia"/>
          <w:sz w:val="24"/>
          <w:szCs w:val="24"/>
          <w:lang w:bidi="ar"/>
        </w:rPr>
        <w:t>九、投标人具有有效的质量管理体系证书和类似智慧管家、智慧警务、智慧物业等计算机软件著作权登记证书的（名称有细微区别的视为相同）</w:t>
      </w:r>
    </w:p>
    <w:p>
      <w:pPr>
        <w:spacing w:line="360" w:lineRule="exact"/>
        <w:ind w:firstLine="480" w:firstLineChars="200"/>
        <w:rPr>
          <w:rFonts w:hint="eastAsia"/>
          <w:sz w:val="24"/>
          <w:szCs w:val="24"/>
          <w:lang w:bidi="ar"/>
        </w:rPr>
      </w:pPr>
      <w:r>
        <w:rPr>
          <w:rFonts w:hint="eastAsia"/>
          <w:sz w:val="24"/>
          <w:szCs w:val="24"/>
          <w:lang w:bidi="ar"/>
        </w:rPr>
        <w:t>十、投标人自2017年1月1日（含1日）至今，具有类似项目业绩。</w:t>
      </w:r>
    </w:p>
    <w:p>
      <w:pPr>
        <w:rPr>
          <w:rFonts w:hint="eastAsia" w:hAnsi="Times New Roman" w:cs="Times New Roman"/>
          <w:b/>
          <w:bCs/>
          <w:sz w:val="32"/>
          <w:szCs w:val="36"/>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pStyle w:val="42"/>
        <w:ind w:firstLine="180"/>
        <w:rPr>
          <w:rFonts w:hint="eastAsia"/>
          <w:lang w:val="en-US" w:eastAsia="zh-CN"/>
        </w:rPr>
      </w:pPr>
    </w:p>
    <w:p>
      <w:pPr>
        <w:widowControl/>
        <w:spacing w:line="400" w:lineRule="exact"/>
        <w:jc w:val="left"/>
        <w:rPr>
          <w:rFonts w:hint="eastAsia" w:hAnsi="Times New Roman" w:cs="Times New Roman"/>
          <w:b/>
          <w:bCs/>
          <w:sz w:val="32"/>
          <w:szCs w:val="36"/>
        </w:rPr>
      </w:pPr>
      <w:r>
        <w:rPr>
          <w:rFonts w:hint="eastAsia" w:hAnsi="Times New Roman" w:cs="Times New Roman"/>
          <w:b/>
          <w:bCs/>
          <w:sz w:val="32"/>
          <w:szCs w:val="36"/>
        </w:rPr>
        <w:t>附件：</w:t>
      </w:r>
    </w:p>
    <w:p>
      <w:pPr>
        <w:ind w:firstLine="2811" w:firstLineChars="500"/>
        <w:rPr>
          <w:rFonts w:cs="Times New Roman"/>
          <w:b/>
          <w:sz w:val="56"/>
          <w:szCs w:val="56"/>
        </w:rPr>
      </w:pPr>
      <w:r>
        <w:rPr>
          <w:rFonts w:hint="eastAsia" w:cs="Times New Roman"/>
          <w:b/>
          <w:sz w:val="56"/>
          <w:szCs w:val="56"/>
        </w:rPr>
        <w:t>成都市温江区</w:t>
      </w:r>
    </w:p>
    <w:p>
      <w:pPr>
        <w:ind w:firstLine="1687" w:firstLineChars="300"/>
        <w:rPr>
          <w:rFonts w:cs="Times New Roman"/>
          <w:b/>
          <w:sz w:val="56"/>
          <w:szCs w:val="56"/>
        </w:rPr>
      </w:pPr>
      <w:r>
        <w:rPr>
          <w:rFonts w:hint="eastAsia" w:cs="Times New Roman"/>
          <w:b/>
          <w:sz w:val="56"/>
          <w:szCs w:val="56"/>
        </w:rPr>
        <w:t>智慧平安小区建设项目</w:t>
      </w:r>
    </w:p>
    <w:p>
      <w:pPr>
        <w:pStyle w:val="4"/>
        <w:numPr>
          <w:ilvl w:val="1"/>
          <w:numId w:val="0"/>
        </w:numPr>
      </w:pPr>
    </w:p>
    <w:p>
      <w:pPr>
        <w:widowControl/>
        <w:ind w:firstLine="3855" w:firstLineChars="400"/>
        <w:rPr>
          <w:rFonts w:cs="Times New Roman"/>
          <w:b/>
          <w:color w:val="000000"/>
          <w:kern w:val="0"/>
          <w:sz w:val="96"/>
          <w:szCs w:val="96"/>
          <w:lang w:bidi="ar"/>
        </w:rPr>
      </w:pPr>
      <w:r>
        <w:rPr>
          <w:rFonts w:hint="eastAsia" w:cs="Times New Roman"/>
          <w:b/>
          <w:color w:val="000000"/>
          <w:kern w:val="0"/>
          <w:sz w:val="96"/>
          <w:szCs w:val="96"/>
          <w:lang w:bidi="ar"/>
        </w:rPr>
        <w:t>技</w:t>
      </w:r>
    </w:p>
    <w:p>
      <w:pPr>
        <w:pStyle w:val="4"/>
        <w:numPr>
          <w:ilvl w:val="1"/>
          <w:numId w:val="0"/>
        </w:numPr>
      </w:pPr>
    </w:p>
    <w:p>
      <w:pPr>
        <w:widowControl/>
        <w:ind w:firstLine="3855" w:firstLineChars="400"/>
        <w:rPr>
          <w:rFonts w:cs="Times New Roman"/>
          <w:b/>
          <w:color w:val="000000"/>
          <w:kern w:val="0"/>
          <w:sz w:val="96"/>
          <w:szCs w:val="96"/>
          <w:lang w:bidi="ar"/>
        </w:rPr>
      </w:pPr>
      <w:r>
        <w:rPr>
          <w:rFonts w:hint="eastAsia" w:cs="Times New Roman"/>
          <w:b/>
          <w:color w:val="000000"/>
          <w:kern w:val="0"/>
          <w:sz w:val="96"/>
          <w:szCs w:val="96"/>
          <w:lang w:bidi="ar"/>
        </w:rPr>
        <w:t>术</w:t>
      </w:r>
    </w:p>
    <w:p>
      <w:pPr>
        <w:pStyle w:val="4"/>
        <w:numPr>
          <w:ilvl w:val="1"/>
          <w:numId w:val="0"/>
        </w:numPr>
      </w:pPr>
    </w:p>
    <w:p>
      <w:pPr>
        <w:widowControl/>
        <w:ind w:firstLine="3855" w:firstLineChars="400"/>
        <w:rPr>
          <w:rFonts w:cs="Times New Roman"/>
          <w:b/>
          <w:color w:val="000000"/>
          <w:kern w:val="0"/>
          <w:sz w:val="96"/>
          <w:szCs w:val="96"/>
          <w:lang w:bidi="ar"/>
        </w:rPr>
      </w:pPr>
      <w:r>
        <w:rPr>
          <w:rFonts w:hint="eastAsia" w:cs="Times New Roman"/>
          <w:b/>
          <w:color w:val="000000"/>
          <w:kern w:val="0"/>
          <w:sz w:val="96"/>
          <w:szCs w:val="96"/>
          <w:lang w:bidi="ar"/>
        </w:rPr>
        <w:t>方</w:t>
      </w:r>
    </w:p>
    <w:p>
      <w:pPr>
        <w:pStyle w:val="4"/>
        <w:numPr>
          <w:ilvl w:val="1"/>
          <w:numId w:val="0"/>
        </w:numPr>
      </w:pPr>
    </w:p>
    <w:p>
      <w:pPr>
        <w:ind w:firstLine="3855" w:firstLineChars="400"/>
        <w:rPr>
          <w:rFonts w:cs="Times New Roman"/>
          <w:b/>
          <w:color w:val="000000"/>
          <w:kern w:val="0"/>
          <w:sz w:val="96"/>
          <w:szCs w:val="96"/>
          <w:lang w:bidi="ar"/>
        </w:rPr>
      </w:pPr>
      <w:r>
        <w:rPr>
          <w:rFonts w:hint="eastAsia" w:cs="Times New Roman"/>
          <w:b/>
          <w:color w:val="000000"/>
          <w:kern w:val="0"/>
          <w:sz w:val="96"/>
          <w:szCs w:val="96"/>
          <w:lang w:bidi="ar"/>
        </w:rPr>
        <w:t>案</w:t>
      </w:r>
    </w:p>
    <w:p>
      <w:pPr>
        <w:ind w:firstLine="480"/>
        <w:rPr>
          <w:rFonts w:cs="Times New Roman"/>
        </w:rPr>
      </w:pPr>
    </w:p>
    <w:p>
      <w:pPr>
        <w:pStyle w:val="4"/>
        <w:numPr>
          <w:ilvl w:val="1"/>
          <w:numId w:val="0"/>
        </w:numPr>
      </w:pPr>
    </w:p>
    <w:p>
      <w:pPr>
        <w:ind w:firstLine="480"/>
        <w:rPr>
          <w:rFonts w:cs="Times New Roman"/>
          <w:u w:val="single"/>
        </w:rPr>
      </w:pPr>
    </w:p>
    <w:p>
      <w:pPr>
        <w:widowControl/>
        <w:ind w:firstLine="482"/>
        <w:jc w:val="center"/>
        <w:rPr>
          <w:rFonts w:cs="Times New Roman"/>
          <w:b/>
          <w:bCs/>
          <w:color w:val="000000"/>
          <w:kern w:val="0"/>
          <w:szCs w:val="24"/>
          <w:lang w:bidi="ar"/>
        </w:rPr>
      </w:pPr>
    </w:p>
    <w:p>
      <w:pPr>
        <w:jc w:val="center"/>
        <w:rPr>
          <w:rFonts w:cs="Times New Roman"/>
          <w:b/>
          <w:bCs/>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start="1"/>
          <w:cols w:space="720" w:num="1"/>
          <w:docGrid w:type="lines" w:linePitch="312" w:charSpace="0"/>
        </w:sectPr>
      </w:pPr>
    </w:p>
    <w:p>
      <w:pPr>
        <w:widowControl/>
        <w:jc w:val="center"/>
        <w:outlineLvl w:val="0"/>
        <w:rPr>
          <w:rFonts w:cs="Times New Roman"/>
          <w:b/>
          <w:bCs/>
        </w:rPr>
      </w:pPr>
      <w:bookmarkStart w:id="201" w:name="_Toc27763"/>
      <w:bookmarkStart w:id="202" w:name="_Toc3594"/>
      <w:bookmarkStart w:id="203" w:name="_Toc1641"/>
      <w:bookmarkStart w:id="204" w:name="_Toc31241"/>
      <w:bookmarkStart w:id="205" w:name="_Toc17744"/>
      <w:bookmarkStart w:id="206" w:name="_Toc7580"/>
      <w:bookmarkStart w:id="207" w:name="_Toc7128"/>
      <w:bookmarkStart w:id="208" w:name="_Toc20477"/>
      <w:bookmarkStart w:id="209" w:name="_Toc12738"/>
      <w:bookmarkStart w:id="210" w:name="_Toc471"/>
      <w:bookmarkStart w:id="211" w:name="_Toc22675"/>
      <w:bookmarkStart w:id="212" w:name="_Toc11994"/>
      <w:bookmarkStart w:id="213" w:name="_Toc21772"/>
      <w:bookmarkStart w:id="214" w:name="_Toc15356"/>
      <w:bookmarkStart w:id="215" w:name="_Toc27656"/>
      <w:bookmarkStart w:id="216" w:name="_Toc79061660"/>
      <w:bookmarkStart w:id="217" w:name="_Toc3381"/>
      <w:bookmarkStart w:id="218" w:name="_Toc28819"/>
      <w:bookmarkStart w:id="219" w:name="_Toc1429"/>
      <w:bookmarkStart w:id="220" w:name="_Toc29537"/>
      <w:bookmarkStart w:id="221" w:name="_Toc26532"/>
      <w:r>
        <w:rPr>
          <w:rFonts w:hint="eastAsia" w:cs="Times New Roman"/>
          <w:b/>
          <w:bCs/>
          <w:color w:val="000000"/>
          <w:kern w:val="0"/>
          <w:sz w:val="44"/>
          <w:szCs w:val="44"/>
          <w:lang w:bidi="ar"/>
        </w:rPr>
        <w:t>第一章 项目简介</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p>
    <w:p>
      <w:pPr>
        <w:outlineLvl w:val="1"/>
        <w:rPr>
          <w:rFonts w:cs="Times New Roman"/>
          <w:color w:val="000000"/>
          <w:kern w:val="0"/>
          <w:sz w:val="32"/>
          <w:szCs w:val="32"/>
          <w:lang w:bidi="ar"/>
        </w:rPr>
      </w:pPr>
      <w:bookmarkStart w:id="222" w:name="_Toc19416"/>
      <w:bookmarkStart w:id="223" w:name="_Toc9374"/>
      <w:bookmarkStart w:id="224" w:name="_Toc25003"/>
      <w:bookmarkStart w:id="225" w:name="_Toc25578"/>
      <w:bookmarkStart w:id="226" w:name="_Toc7511"/>
      <w:bookmarkStart w:id="227" w:name="_Toc294"/>
      <w:bookmarkStart w:id="228" w:name="_Toc26202"/>
      <w:bookmarkStart w:id="229" w:name="_Toc11414"/>
      <w:bookmarkStart w:id="230" w:name="_Toc10466"/>
      <w:bookmarkStart w:id="231" w:name="_Toc79061661"/>
      <w:bookmarkStart w:id="232" w:name="_Toc32296"/>
      <w:bookmarkStart w:id="233" w:name="_Toc13776"/>
      <w:bookmarkStart w:id="234" w:name="_Toc21556"/>
      <w:bookmarkStart w:id="235" w:name="_Toc14094"/>
      <w:bookmarkStart w:id="236" w:name="_Toc23702"/>
      <w:bookmarkStart w:id="237" w:name="_Toc31552"/>
      <w:bookmarkStart w:id="238" w:name="_Toc3646"/>
      <w:bookmarkStart w:id="239" w:name="_Toc31432"/>
      <w:bookmarkStart w:id="240" w:name="_Toc1926"/>
      <w:bookmarkStart w:id="241" w:name="_Toc2052"/>
      <w:bookmarkStart w:id="242" w:name="_Toc23595"/>
      <w:r>
        <w:rPr>
          <w:rFonts w:hint="eastAsia" w:cs="Times New Roman"/>
          <w:b/>
          <w:bCs/>
          <w:color w:val="000000"/>
          <w:kern w:val="0"/>
          <w:sz w:val="32"/>
          <w:szCs w:val="32"/>
          <w:lang w:bidi="ar"/>
        </w:rPr>
        <w:t>1.1 项目名称：</w:t>
      </w:r>
      <w:r>
        <w:rPr>
          <w:rFonts w:hint="eastAsia" w:cs="Times New Roman"/>
          <w:color w:val="000000"/>
          <w:kern w:val="0"/>
          <w:sz w:val="32"/>
          <w:szCs w:val="32"/>
          <w:lang w:bidi="ar"/>
        </w:rPr>
        <w:t xml:space="preserve"> 成都市温江区智慧平安小区建设项目</w:t>
      </w:r>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p>
    <w:p>
      <w:pPr>
        <w:outlineLvl w:val="1"/>
        <w:rPr>
          <w:rFonts w:cs="Times New Roman"/>
          <w:b/>
          <w:bCs/>
          <w:kern w:val="0"/>
          <w:sz w:val="32"/>
          <w:szCs w:val="32"/>
          <w:lang w:bidi="ar"/>
        </w:rPr>
      </w:pPr>
      <w:bookmarkStart w:id="243" w:name="_Toc1652"/>
      <w:bookmarkStart w:id="244" w:name="_Toc632"/>
      <w:bookmarkStart w:id="245" w:name="_Toc5967"/>
      <w:bookmarkStart w:id="246" w:name="_Toc16793"/>
      <w:bookmarkStart w:id="247" w:name="_Toc13414"/>
      <w:bookmarkStart w:id="248" w:name="_Toc29421"/>
      <w:bookmarkStart w:id="249" w:name="_Toc6932"/>
      <w:bookmarkStart w:id="250" w:name="_Toc22299"/>
      <w:bookmarkStart w:id="251" w:name="_Toc24163"/>
      <w:bookmarkStart w:id="252" w:name="_Toc32239"/>
      <w:bookmarkStart w:id="253" w:name="_Toc27884"/>
      <w:bookmarkStart w:id="254" w:name="_Toc28623"/>
      <w:bookmarkStart w:id="255" w:name="_Toc79061662"/>
      <w:bookmarkStart w:id="256" w:name="_Toc22252"/>
      <w:bookmarkStart w:id="257" w:name="_Toc6755"/>
      <w:bookmarkStart w:id="258" w:name="_Toc6065"/>
      <w:bookmarkStart w:id="259" w:name="_Toc480"/>
      <w:bookmarkStart w:id="260" w:name="_Toc10876"/>
      <w:bookmarkStart w:id="261" w:name="_Toc4824"/>
      <w:bookmarkStart w:id="262" w:name="_Toc32099"/>
      <w:bookmarkStart w:id="263" w:name="_Toc29286"/>
      <w:r>
        <w:rPr>
          <w:rFonts w:hint="eastAsia" w:cs="Times New Roman"/>
          <w:b/>
          <w:bCs/>
          <w:kern w:val="0"/>
          <w:sz w:val="32"/>
          <w:szCs w:val="32"/>
          <w:lang w:bidi="ar"/>
        </w:rPr>
        <w:t>1.2 项目建设单位</w:t>
      </w:r>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pPr>
        <w:ind w:firstLine="482"/>
        <w:rPr>
          <w:rFonts w:cs="Times New Roman"/>
          <w:snapToGrid w:val="0"/>
        </w:rPr>
      </w:pPr>
      <w:r>
        <w:rPr>
          <w:rFonts w:hint="eastAsia" w:cs="Times New Roman"/>
          <w:b/>
          <w:bCs/>
          <w:kern w:val="0"/>
          <w:szCs w:val="24"/>
          <w:lang w:bidi="ar"/>
        </w:rPr>
        <w:t xml:space="preserve">单位名称 </w:t>
      </w:r>
      <w:r>
        <w:rPr>
          <w:rFonts w:hint="eastAsia" w:cs="Times New Roman"/>
          <w:b/>
          <w:bCs/>
          <w:kern w:val="0"/>
          <w:szCs w:val="21"/>
          <w:lang w:bidi="ar"/>
        </w:rPr>
        <w:t>：</w:t>
      </w:r>
      <w:r>
        <w:rPr>
          <w:rFonts w:hint="eastAsia" w:cs="Times New Roman"/>
          <w:snapToGrid w:val="0"/>
        </w:rPr>
        <w:t>中共成都市温江区委政法委员会</w:t>
      </w:r>
    </w:p>
    <w:p>
      <w:pPr>
        <w:widowControl/>
        <w:ind w:firstLine="482"/>
        <w:jc w:val="left"/>
        <w:rPr>
          <w:rFonts w:cs="Times New Roman"/>
          <w:snapToGrid w:val="0"/>
        </w:rPr>
      </w:pPr>
      <w:r>
        <w:rPr>
          <w:rFonts w:hint="eastAsia" w:cs="Times New Roman"/>
          <w:b/>
          <w:bCs/>
          <w:kern w:val="0"/>
          <w:szCs w:val="24"/>
          <w:lang w:bidi="ar"/>
        </w:rPr>
        <w:t>单位职能:</w:t>
      </w:r>
      <w:r>
        <w:rPr>
          <w:rFonts w:hint="eastAsia" w:ascii="Calibri" w:hAnsi="Calibri" w:cs="Times New Roman"/>
          <w:szCs w:val="24"/>
        </w:rPr>
        <w:t xml:space="preserve"> </w:t>
      </w:r>
      <w:r>
        <w:rPr>
          <w:rFonts w:hint="eastAsia" w:cs="Times New Roman"/>
          <w:snapToGrid w:val="0"/>
        </w:rPr>
        <w:t>深入贯彻党中央决定以及省委、市委、区委决策，对政法工作研究提出全局性部署，推进平安温江、法治温江建设，加强过硬队伍建设，深化智能化建设，坚决维护国家政治安全、确保社会大局稳定、促进社会公平正义、保障人民安居乐业等等。</w:t>
      </w:r>
    </w:p>
    <w:p>
      <w:pPr>
        <w:widowControl/>
        <w:jc w:val="left"/>
        <w:outlineLvl w:val="1"/>
        <w:rPr>
          <w:rFonts w:cs="Times New Roman"/>
          <w:b/>
          <w:bCs/>
          <w:kern w:val="0"/>
          <w:sz w:val="32"/>
          <w:szCs w:val="32"/>
          <w:lang w:bidi="ar"/>
        </w:rPr>
      </w:pPr>
      <w:bookmarkStart w:id="264" w:name="_Toc21855"/>
      <w:bookmarkStart w:id="265" w:name="_Toc10935"/>
      <w:bookmarkStart w:id="266" w:name="_Toc28585"/>
      <w:bookmarkStart w:id="267" w:name="_Toc11991"/>
      <w:bookmarkStart w:id="268" w:name="_Toc25964"/>
      <w:bookmarkStart w:id="269" w:name="_Toc19833"/>
      <w:bookmarkStart w:id="270" w:name="_Toc17659"/>
      <w:bookmarkStart w:id="271" w:name="_Toc31998"/>
      <w:bookmarkStart w:id="272" w:name="_Toc29166"/>
      <w:bookmarkStart w:id="273" w:name="_Toc20454"/>
      <w:bookmarkStart w:id="274" w:name="_Toc8419"/>
      <w:bookmarkStart w:id="275" w:name="_Toc25474"/>
      <w:bookmarkStart w:id="276" w:name="_Toc3065"/>
      <w:bookmarkStart w:id="277" w:name="_Toc13050"/>
      <w:bookmarkStart w:id="278" w:name="_Toc13337"/>
      <w:bookmarkStart w:id="279" w:name="_Toc23760"/>
      <w:bookmarkStart w:id="280" w:name="_Toc2069"/>
      <w:bookmarkStart w:id="281" w:name="_Toc31400"/>
      <w:bookmarkStart w:id="282" w:name="_Toc9440"/>
      <w:bookmarkStart w:id="283" w:name="_Toc79061663"/>
      <w:bookmarkStart w:id="284" w:name="_Toc26005"/>
      <w:r>
        <w:rPr>
          <w:rFonts w:hint="eastAsia" w:cs="Times New Roman"/>
          <w:b/>
          <w:bCs/>
          <w:kern w:val="0"/>
          <w:sz w:val="32"/>
          <w:szCs w:val="32"/>
          <w:lang w:bidi="ar"/>
        </w:rPr>
        <w:t>1.3 方案编制单位</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Pr>
          <w:rFonts w:hint="eastAsia" w:cs="Times New Roman"/>
          <w:b/>
          <w:bCs/>
          <w:kern w:val="0"/>
          <w:sz w:val="32"/>
          <w:szCs w:val="32"/>
          <w:lang w:bidi="ar"/>
        </w:rPr>
        <w:t xml:space="preserve"> </w:t>
      </w:r>
    </w:p>
    <w:p>
      <w:pPr>
        <w:widowControl/>
        <w:ind w:firstLine="482"/>
        <w:jc w:val="left"/>
        <w:rPr>
          <w:rFonts w:cs="Times New Roman"/>
          <w:snapToGrid w:val="0"/>
        </w:rPr>
      </w:pPr>
      <w:r>
        <w:rPr>
          <w:rFonts w:hint="eastAsia" w:cs="Times New Roman"/>
          <w:b/>
          <w:bCs/>
          <w:kern w:val="0"/>
          <w:szCs w:val="24"/>
          <w:lang w:bidi="ar"/>
        </w:rPr>
        <w:t>单位名称：</w:t>
      </w:r>
      <w:r>
        <w:rPr>
          <w:rFonts w:hint="eastAsia" w:cs="Times New Roman"/>
          <w:snapToGrid w:val="0"/>
        </w:rPr>
        <w:t>中共成都市温江区委政法委员会</w:t>
      </w:r>
    </w:p>
    <w:p>
      <w:pPr>
        <w:widowControl/>
        <w:jc w:val="left"/>
        <w:outlineLvl w:val="1"/>
        <w:rPr>
          <w:rFonts w:cs="Times New Roman"/>
          <w:b/>
          <w:bCs/>
          <w:kern w:val="0"/>
          <w:sz w:val="32"/>
          <w:szCs w:val="32"/>
          <w:lang w:bidi="ar"/>
        </w:rPr>
      </w:pPr>
      <w:bookmarkStart w:id="285" w:name="_Toc32283"/>
      <w:bookmarkStart w:id="286" w:name="_Toc32444"/>
      <w:bookmarkStart w:id="287" w:name="_Toc16197"/>
      <w:bookmarkStart w:id="288" w:name="_Toc22426"/>
      <w:bookmarkStart w:id="289" w:name="_Toc21881"/>
      <w:bookmarkStart w:id="290" w:name="_Toc28214"/>
      <w:bookmarkStart w:id="291" w:name="_Toc13790"/>
      <w:bookmarkStart w:id="292" w:name="_Toc10571"/>
      <w:bookmarkStart w:id="293" w:name="_Toc13579"/>
      <w:bookmarkStart w:id="294" w:name="_Toc25299"/>
      <w:bookmarkStart w:id="295" w:name="_Toc79061664"/>
      <w:bookmarkStart w:id="296" w:name="_Toc27285"/>
      <w:bookmarkStart w:id="297" w:name="_Toc3890"/>
      <w:bookmarkStart w:id="298" w:name="_Toc3089"/>
      <w:bookmarkStart w:id="299" w:name="_Toc5895"/>
      <w:bookmarkStart w:id="300" w:name="_Toc842"/>
      <w:bookmarkStart w:id="301" w:name="_Toc26646"/>
      <w:bookmarkStart w:id="302" w:name="_Toc30202"/>
      <w:bookmarkStart w:id="303" w:name="_Toc4350"/>
      <w:bookmarkStart w:id="304" w:name="_Toc8032"/>
      <w:bookmarkStart w:id="305" w:name="_Toc31131"/>
      <w:r>
        <w:rPr>
          <w:rFonts w:hint="eastAsia" w:cs="Times New Roman"/>
          <w:b/>
          <w:bCs/>
          <w:kern w:val="0"/>
          <w:sz w:val="32"/>
          <w:szCs w:val="32"/>
          <w:lang w:bidi="ar"/>
        </w:rPr>
        <w:t>1.4 项目建设相关依据文件</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r>
        <w:rPr>
          <w:rFonts w:hint="eastAsia" w:cs="Times New Roman"/>
          <w:b/>
          <w:bCs/>
          <w:kern w:val="0"/>
          <w:sz w:val="32"/>
          <w:szCs w:val="32"/>
          <w:lang w:bidi="ar"/>
        </w:rPr>
        <w:t xml:space="preserve"> </w:t>
      </w:r>
    </w:p>
    <w:p>
      <w:pPr>
        <w:widowControl/>
        <w:jc w:val="left"/>
        <w:outlineLvl w:val="2"/>
        <w:rPr>
          <w:rFonts w:cs="Times New Roman"/>
          <w:b/>
          <w:bCs/>
          <w:kern w:val="0"/>
          <w:sz w:val="28"/>
          <w:szCs w:val="28"/>
          <w:lang w:bidi="ar"/>
        </w:rPr>
      </w:pPr>
      <w:bookmarkStart w:id="306" w:name="_Toc79061665"/>
      <w:r>
        <w:rPr>
          <w:rFonts w:hint="eastAsia" w:cs="Times New Roman"/>
          <w:b/>
          <w:bCs/>
          <w:kern w:val="0"/>
          <w:sz w:val="28"/>
          <w:szCs w:val="28"/>
          <w:lang w:bidi="ar"/>
        </w:rPr>
        <w:t>1.4.1 政策文件</w:t>
      </w:r>
      <w:bookmarkEnd w:id="306"/>
      <w:r>
        <w:rPr>
          <w:rFonts w:hint="eastAsia" w:cs="Times New Roman"/>
          <w:b/>
          <w:bCs/>
          <w:kern w:val="0"/>
          <w:sz w:val="28"/>
          <w:szCs w:val="28"/>
          <w:lang w:bidi="ar"/>
        </w:rPr>
        <w:t xml:space="preserve"> </w:t>
      </w:r>
    </w:p>
    <w:p>
      <w:pPr>
        <w:widowControl/>
        <w:ind w:firstLine="480"/>
        <w:jc w:val="left"/>
        <w:rPr>
          <w:rFonts w:cs="Times New Roman"/>
          <w:color w:val="000000"/>
          <w:kern w:val="0"/>
          <w:szCs w:val="24"/>
          <w:lang w:bidi="ar"/>
        </w:rPr>
      </w:pPr>
      <w:r>
        <w:rPr>
          <w:rFonts w:hint="eastAsia" w:cs="Times New Roman"/>
          <w:color w:val="000000"/>
          <w:kern w:val="0"/>
          <w:szCs w:val="24"/>
          <w:lang w:bidi="ar"/>
        </w:rPr>
        <w:t>1. 《中共中央关于坚持和完善中国特色社会主义制度、推进国家治理体系和治理能力现代化若干重大问题的决定》</w:t>
      </w:r>
    </w:p>
    <w:p>
      <w:pPr>
        <w:widowControl/>
        <w:ind w:firstLine="480"/>
        <w:jc w:val="left"/>
        <w:rPr>
          <w:rFonts w:cs="Times New Roman"/>
          <w:color w:val="000000"/>
          <w:kern w:val="0"/>
          <w:szCs w:val="24"/>
          <w:lang w:bidi="ar"/>
        </w:rPr>
      </w:pPr>
      <w:r>
        <w:rPr>
          <w:rFonts w:hint="eastAsia" w:cs="Times New Roman"/>
          <w:color w:val="000000"/>
          <w:kern w:val="0"/>
          <w:szCs w:val="24"/>
          <w:lang w:bidi="ar"/>
        </w:rPr>
        <w:t>2. 成都市委办公厅、市政府办公厅印发《关于深化和完善城镇居民小区治理的意见》的通知（成委厅﹝2020﹞40号）</w:t>
      </w:r>
    </w:p>
    <w:p>
      <w:pPr>
        <w:widowControl/>
        <w:ind w:firstLine="480"/>
        <w:jc w:val="left"/>
        <w:rPr>
          <w:rFonts w:cs="Times New Roman"/>
          <w:kern w:val="0"/>
          <w:szCs w:val="24"/>
          <w:lang w:bidi="ar"/>
        </w:rPr>
      </w:pPr>
      <w:r>
        <w:rPr>
          <w:rFonts w:hint="eastAsia" w:cs="Times New Roman"/>
          <w:kern w:val="0"/>
          <w:szCs w:val="24"/>
          <w:lang w:bidi="ar"/>
        </w:rPr>
        <w:t>3.成都市人民政府《（关于印发成都市智慧建设行动方案（2020-2022）的通知）》（成府发﹝2020﹞25号）</w:t>
      </w:r>
    </w:p>
    <w:p>
      <w:pPr>
        <w:widowControl/>
        <w:ind w:firstLine="480"/>
        <w:jc w:val="left"/>
        <w:rPr>
          <w:rFonts w:hint="eastAsia" w:cs="Times New Roman"/>
          <w:kern w:val="0"/>
          <w:szCs w:val="24"/>
          <w:lang w:bidi="ar"/>
        </w:rPr>
      </w:pPr>
      <w:r>
        <w:rPr>
          <w:rFonts w:hint="eastAsia" w:cs="Times New Roman"/>
          <w:kern w:val="0"/>
          <w:szCs w:val="24"/>
          <w:lang w:bidi="ar"/>
        </w:rPr>
        <w:t>4.成都市市委政法委《关于深入推进“一个平台统调”的通知》（</w:t>
      </w:r>
      <w:r>
        <w:rPr>
          <w:rFonts w:hint="eastAsia" w:cs="Times New Roman"/>
          <w:kern w:val="0"/>
          <w:sz w:val="24"/>
          <w:szCs w:val="24"/>
          <w:lang w:bidi="ar"/>
        </w:rPr>
        <w:t>成政法委〔2021〕8号</w:t>
      </w:r>
      <w:r>
        <w:rPr>
          <w:rFonts w:hint="eastAsia" w:cs="Times New Roman"/>
          <w:kern w:val="0"/>
          <w:szCs w:val="24"/>
          <w:lang w:bidi="ar"/>
        </w:rPr>
        <w:t>）</w:t>
      </w:r>
    </w:p>
    <w:p>
      <w:pPr>
        <w:widowControl/>
        <w:ind w:firstLine="480"/>
        <w:jc w:val="left"/>
        <w:rPr>
          <w:rFonts w:hint="eastAsia" w:cs="Times New Roman"/>
          <w:kern w:val="0"/>
          <w:szCs w:val="24"/>
          <w:lang w:bidi="ar"/>
        </w:rPr>
      </w:pPr>
      <w:r>
        <w:rPr>
          <w:rFonts w:hint="eastAsia" w:cs="Times New Roman"/>
          <w:kern w:val="0"/>
          <w:szCs w:val="24"/>
          <w:lang w:bidi="ar"/>
        </w:rPr>
        <w:t>5.成都市市委社治委</w:t>
      </w:r>
      <w:r>
        <w:rPr>
          <w:rFonts w:hint="eastAsia"/>
          <w:kern w:val="0"/>
          <w:sz w:val="24"/>
          <w:szCs w:val="24"/>
          <w:lang w:bidi="ar"/>
        </w:rPr>
        <w:t>《天府智慧小区建设导则》（1.0版）</w:t>
      </w:r>
    </w:p>
    <w:p>
      <w:pPr>
        <w:widowControl/>
        <w:ind w:firstLine="480"/>
        <w:jc w:val="left"/>
        <w:rPr>
          <w:rFonts w:cs="Times New Roman"/>
          <w:color w:val="000000"/>
          <w:kern w:val="0"/>
          <w:szCs w:val="24"/>
          <w:lang w:bidi="ar"/>
        </w:rPr>
      </w:pPr>
      <w:r>
        <w:rPr>
          <w:rFonts w:hint="eastAsia" w:cs="Times New Roman"/>
          <w:kern w:val="0"/>
          <w:szCs w:val="24"/>
          <w:lang w:bidi="ar"/>
        </w:rPr>
        <w:t>6.中共成都市温</w:t>
      </w:r>
      <w:r>
        <w:rPr>
          <w:rFonts w:hint="eastAsia" w:cs="Times New Roman"/>
          <w:color w:val="000000"/>
          <w:kern w:val="0"/>
          <w:szCs w:val="24"/>
          <w:lang w:bidi="ar"/>
        </w:rPr>
        <w:t>江区委全面深化改革委员会关于印发《中共成都市温江区委全面深化改革委员会2020年度改革任务清单》的通知（温改委﹝2020﹞2号）</w:t>
      </w:r>
    </w:p>
    <w:p>
      <w:pPr>
        <w:widowControl/>
        <w:jc w:val="left"/>
        <w:outlineLvl w:val="2"/>
        <w:rPr>
          <w:rFonts w:cs="Times New Roman"/>
          <w:b/>
          <w:bCs/>
          <w:kern w:val="0"/>
          <w:sz w:val="28"/>
          <w:szCs w:val="28"/>
          <w:lang w:bidi="ar"/>
        </w:rPr>
      </w:pPr>
      <w:bookmarkStart w:id="307" w:name="_Toc79061666"/>
      <w:r>
        <w:rPr>
          <w:rFonts w:hint="eastAsia" w:cs="Times New Roman"/>
          <w:b/>
          <w:bCs/>
          <w:kern w:val="0"/>
          <w:sz w:val="28"/>
          <w:szCs w:val="28"/>
          <w:lang w:bidi="ar"/>
        </w:rPr>
        <w:t>1.4.2 标准规范</w:t>
      </w:r>
      <w:bookmarkEnd w:id="307"/>
    </w:p>
    <w:p>
      <w:pPr>
        <w:widowControl/>
        <w:ind w:firstLine="480"/>
        <w:jc w:val="left"/>
        <w:rPr>
          <w:rFonts w:cs="Times New Roman"/>
          <w:snapToGrid w:val="0"/>
        </w:rPr>
      </w:pPr>
      <w:r>
        <w:rPr>
          <w:rFonts w:cs="Times New Roman"/>
          <w:snapToGrid w:val="0"/>
        </w:rPr>
        <w:t>GB50311-2016《综合布线系统工程设计规范》</w:t>
      </w:r>
    </w:p>
    <w:p>
      <w:pPr>
        <w:widowControl/>
        <w:ind w:firstLine="480"/>
        <w:jc w:val="left"/>
        <w:rPr>
          <w:rFonts w:cs="Times New Roman"/>
          <w:snapToGrid w:val="0"/>
        </w:rPr>
      </w:pPr>
      <w:r>
        <w:rPr>
          <w:rFonts w:cs="Times New Roman"/>
          <w:snapToGrid w:val="0"/>
        </w:rPr>
        <w:t>GB50312-2016《综合布线系统工程验收规范》</w:t>
      </w:r>
    </w:p>
    <w:p>
      <w:pPr>
        <w:widowControl/>
        <w:ind w:firstLine="480"/>
        <w:jc w:val="left"/>
        <w:rPr>
          <w:rFonts w:cs="Times New Roman"/>
          <w:snapToGrid w:val="0"/>
        </w:rPr>
      </w:pPr>
      <w:r>
        <w:rPr>
          <w:rFonts w:cs="Times New Roman"/>
          <w:snapToGrid w:val="0"/>
        </w:rPr>
        <w:t>GB50396-2016《出入口控制系统工程设计规范》</w:t>
      </w:r>
    </w:p>
    <w:p>
      <w:pPr>
        <w:widowControl/>
        <w:ind w:firstLine="480"/>
        <w:jc w:val="left"/>
        <w:rPr>
          <w:rFonts w:cs="Times New Roman"/>
          <w:snapToGrid w:val="0"/>
        </w:rPr>
      </w:pPr>
      <w:r>
        <w:rPr>
          <w:rFonts w:cs="Times New Roman"/>
          <w:snapToGrid w:val="0"/>
        </w:rPr>
        <w:t>GB50373-2019《通信管道与通道工程设计规范》</w:t>
      </w:r>
    </w:p>
    <w:p>
      <w:pPr>
        <w:widowControl/>
        <w:ind w:firstLine="480"/>
        <w:jc w:val="left"/>
        <w:rPr>
          <w:rFonts w:cs="Times New Roman"/>
          <w:snapToGrid w:val="0"/>
        </w:rPr>
      </w:pPr>
      <w:r>
        <w:rPr>
          <w:rFonts w:cs="Times New Roman"/>
          <w:snapToGrid w:val="0"/>
        </w:rPr>
        <w:t>GB50339-2016《智能建筑工程质量验收规范》</w:t>
      </w:r>
    </w:p>
    <w:p>
      <w:pPr>
        <w:widowControl/>
        <w:ind w:firstLine="480"/>
        <w:jc w:val="left"/>
        <w:rPr>
          <w:rFonts w:cs="Times New Roman"/>
          <w:snapToGrid w:val="0"/>
        </w:rPr>
      </w:pPr>
      <w:r>
        <w:rPr>
          <w:rFonts w:cs="Times New Roman"/>
          <w:snapToGrid w:val="0"/>
        </w:rPr>
        <w:t>GB50254-259-96《电气装置安装工程施工及验收规范》</w:t>
      </w:r>
    </w:p>
    <w:p>
      <w:pPr>
        <w:widowControl/>
        <w:ind w:firstLine="480"/>
        <w:rPr>
          <w:rFonts w:cs="Times New Roman"/>
          <w:snapToGrid w:val="0"/>
        </w:rPr>
      </w:pPr>
      <w:r>
        <w:rPr>
          <w:rFonts w:hint="eastAsia" w:cs="Times New Roman"/>
          <w:snapToGrid w:val="0"/>
        </w:rPr>
        <w:t>GB50169-92《电气装置安装工程接地装置施工及验收规范》</w:t>
      </w:r>
    </w:p>
    <w:p>
      <w:pPr>
        <w:widowControl/>
        <w:ind w:firstLine="480"/>
        <w:rPr>
          <w:rFonts w:cs="Times New Roman"/>
          <w:color w:val="000000"/>
          <w:kern w:val="0"/>
          <w:szCs w:val="24"/>
          <w:lang w:bidi="ar"/>
        </w:rPr>
      </w:pPr>
      <w:r>
        <w:rPr>
          <w:rFonts w:hint="eastAsia" w:cs="Times New Roman"/>
          <w:color w:val="000000"/>
          <w:kern w:val="0"/>
          <w:szCs w:val="24"/>
          <w:lang w:bidi="ar"/>
        </w:rPr>
        <w:t>GB/T25724-2017《公共安全视频监控数字视音频编解码技术要求》</w:t>
      </w:r>
    </w:p>
    <w:p>
      <w:pPr>
        <w:widowControl/>
        <w:ind w:firstLine="480"/>
        <w:rPr>
          <w:rFonts w:cs="Times New Roman"/>
          <w:snapToGrid w:val="0"/>
          <w:lang w:bidi="ar"/>
        </w:rPr>
      </w:pPr>
      <w:r>
        <w:rPr>
          <w:rFonts w:ascii="Calibri" w:hAnsi="Calibri" w:cs="Times New Roman"/>
        </w:rPr>
        <w:fldChar w:fldCharType="begin"/>
      </w:r>
      <w:r>
        <w:rPr>
          <w:rFonts w:ascii="Calibri" w:hAnsi="Calibri" w:cs="Times New Roman"/>
        </w:rPr>
        <w:instrText xml:space="preserve"> HYPERLINK "https://www.baidu.com/link?url=p5pxJ5IlFdq-vUx1wgvCrrLgzkWy8-EcqjXB2hEvV_U4joJLkKaNjdRoFYIWEnF28JyCqbaijPsXvxEqKw52nK&amp;ck=6595.7.26.265.605.561.369.292&amp;shh=www.baidu.com&amp;sht=62095104_23_oem_dg&amp;wd=&amp;eqid=e96b45250002b11f000000065fb792d0" \t "https://www.baidu.com/_blank" </w:instrText>
      </w:r>
      <w:r>
        <w:rPr>
          <w:rFonts w:ascii="Calibri" w:hAnsi="Calibri" w:cs="Times New Roman"/>
        </w:rPr>
        <w:fldChar w:fldCharType="separate"/>
      </w:r>
      <w:r>
        <w:rPr>
          <w:rFonts w:cs="Times New Roman"/>
          <w:snapToGrid w:val="0"/>
        </w:rPr>
        <w:t>GAT 367-2016</w:t>
      </w:r>
      <w:r>
        <w:rPr>
          <w:rFonts w:cs="Times New Roman"/>
          <w:snapToGrid w:val="0"/>
        </w:rPr>
        <w:fldChar w:fldCharType="end"/>
      </w:r>
      <w:r>
        <w:rPr>
          <w:rFonts w:hint="eastAsia" w:cs="Times New Roman"/>
          <w:snapToGrid w:val="0"/>
        </w:rPr>
        <w:t>《视频安防监控系统技术要求》</w:t>
      </w:r>
    </w:p>
    <w:p>
      <w:pPr>
        <w:widowControl/>
        <w:ind w:firstLine="480"/>
        <w:jc w:val="left"/>
        <w:rPr>
          <w:rFonts w:cs="Times New Roman"/>
          <w:snapToGrid w:val="0"/>
          <w:lang w:bidi="ar"/>
        </w:rPr>
      </w:pPr>
      <w:r>
        <w:rPr>
          <w:rFonts w:cs="Times New Roman"/>
          <w:snapToGrid w:val="0"/>
          <w:lang w:bidi="ar"/>
        </w:rPr>
        <w:t>GB35114《公共安全视频监控联网信息安全技术要求》</w:t>
      </w:r>
    </w:p>
    <w:p>
      <w:pPr>
        <w:ind w:firstLine="480"/>
        <w:rPr>
          <w:rFonts w:cs="Times New Roman"/>
          <w:snapToGrid w:val="0"/>
        </w:rPr>
      </w:pPr>
      <w:r>
        <w:rPr>
          <w:rFonts w:hint="eastAsia" w:cs="Times New Roman"/>
          <w:snapToGrid w:val="0"/>
        </w:rPr>
        <w:t>GA∕T 1399.1-2017 《公安视频图像分析系统 第 1 部分：通用技术要求》</w:t>
      </w:r>
    </w:p>
    <w:p>
      <w:pPr>
        <w:widowControl/>
        <w:ind w:firstLine="480"/>
        <w:rPr>
          <w:rFonts w:cs="Times New Roman"/>
          <w:snapToGrid w:val="0"/>
        </w:rPr>
      </w:pPr>
      <w:r>
        <w:rPr>
          <w:rFonts w:cs="Times New Roman"/>
          <w:snapToGrid w:val="0"/>
        </w:rPr>
        <w:t>GA/T 1334-2016   《安防人脸识别应用 视频人脸图像提取技术要求》</w:t>
      </w:r>
    </w:p>
    <w:p>
      <w:pPr>
        <w:ind w:firstLine="480"/>
        <w:rPr>
          <w:rFonts w:cs="Times New Roman"/>
          <w:snapToGrid w:val="0"/>
        </w:rPr>
      </w:pPr>
      <w:r>
        <w:rPr>
          <w:rFonts w:cs="Times New Roman"/>
          <w:snapToGrid w:val="0"/>
        </w:rPr>
        <w:t>GA/T 1324-2017    《安全防范、人脸识别应用、静态人脸图像采集规范》</w:t>
      </w:r>
    </w:p>
    <w:p>
      <w:pPr>
        <w:widowControl/>
        <w:ind w:firstLine="480"/>
        <w:jc w:val="left"/>
        <w:rPr>
          <w:rFonts w:cs="Times New Roman"/>
          <w:snapToGrid w:val="0"/>
        </w:rPr>
      </w:pPr>
      <w:r>
        <w:rPr>
          <w:rFonts w:cs="Times New Roman"/>
          <w:snapToGrid w:val="0"/>
        </w:rPr>
        <w:t>GA/T1325-2017    《安全防范、人脸识别应用、视频图像采集规范》</w:t>
      </w:r>
    </w:p>
    <w:p>
      <w:pPr>
        <w:ind w:firstLine="480"/>
        <w:rPr>
          <w:rFonts w:cs="Times New Roman"/>
          <w:color w:val="000000"/>
          <w:kern w:val="0"/>
          <w:szCs w:val="24"/>
          <w:lang w:bidi="ar"/>
        </w:rPr>
      </w:pPr>
      <w:r>
        <w:rPr>
          <w:rFonts w:hint="eastAsia" w:cs="Times New Roman"/>
          <w:color w:val="000000"/>
          <w:kern w:val="0"/>
          <w:szCs w:val="24"/>
          <w:lang w:bidi="ar"/>
        </w:rPr>
        <w:t>GB/T 28181-2016 《安全防范视频监控联网系统信息传输、交换、控制技术要求》</w:t>
      </w:r>
    </w:p>
    <w:p>
      <w:pPr>
        <w:widowControl/>
        <w:ind w:firstLine="480"/>
        <w:jc w:val="left"/>
        <w:rPr>
          <w:rFonts w:cs="Times New Roman"/>
          <w:snapToGrid w:val="0"/>
        </w:rPr>
      </w:pPr>
    </w:p>
    <w:p>
      <w:pPr>
        <w:outlineLvl w:val="1"/>
        <w:rPr>
          <w:rFonts w:cs="Times New Roman"/>
          <w:b/>
          <w:bCs/>
        </w:rPr>
      </w:pPr>
      <w:bookmarkStart w:id="308" w:name="_Toc18938"/>
      <w:bookmarkStart w:id="309" w:name="_Toc2037"/>
      <w:bookmarkStart w:id="310" w:name="_Toc9667"/>
      <w:bookmarkStart w:id="311" w:name="_Toc16924"/>
      <w:bookmarkStart w:id="312" w:name="_Toc32699"/>
      <w:bookmarkStart w:id="313" w:name="_Toc7350"/>
      <w:bookmarkStart w:id="314" w:name="_Toc79061667"/>
      <w:bookmarkStart w:id="315" w:name="_Toc6152"/>
      <w:bookmarkStart w:id="316" w:name="_Toc1381"/>
      <w:bookmarkStart w:id="317" w:name="_Toc13569"/>
      <w:bookmarkStart w:id="318" w:name="_Toc5460"/>
      <w:bookmarkStart w:id="319" w:name="_Toc22606"/>
      <w:bookmarkStart w:id="320" w:name="_Toc21220"/>
      <w:bookmarkStart w:id="321" w:name="_Toc23690"/>
      <w:bookmarkStart w:id="322" w:name="_Toc30379"/>
      <w:bookmarkStart w:id="323" w:name="_Toc11163"/>
      <w:bookmarkStart w:id="324" w:name="_Toc16502"/>
      <w:bookmarkStart w:id="325" w:name="_Toc25098"/>
      <w:bookmarkStart w:id="326" w:name="_Toc30683"/>
      <w:bookmarkStart w:id="327" w:name="_Toc22070"/>
      <w:bookmarkStart w:id="328" w:name="_Toc15049"/>
      <w:r>
        <w:rPr>
          <w:rFonts w:hint="eastAsia" w:cs="Times New Roman"/>
          <w:b/>
          <w:bCs/>
          <w:color w:val="000000"/>
          <w:kern w:val="0"/>
          <w:sz w:val="32"/>
          <w:szCs w:val="32"/>
          <w:lang w:bidi="ar"/>
        </w:rPr>
        <w:t>1.5 项目概述</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r>
        <w:rPr>
          <w:rFonts w:hint="eastAsia" w:cs="Times New Roman"/>
          <w:b/>
          <w:bCs/>
          <w:color w:val="000000"/>
          <w:kern w:val="0"/>
          <w:sz w:val="32"/>
          <w:szCs w:val="32"/>
          <w:lang w:bidi="ar"/>
        </w:rPr>
        <w:t xml:space="preserve"> </w:t>
      </w:r>
    </w:p>
    <w:p>
      <w:pPr>
        <w:widowControl/>
        <w:jc w:val="left"/>
        <w:outlineLvl w:val="2"/>
        <w:rPr>
          <w:rFonts w:cs="Times New Roman"/>
          <w:b/>
          <w:bCs/>
          <w:kern w:val="0"/>
          <w:sz w:val="28"/>
          <w:szCs w:val="28"/>
          <w:lang w:bidi="ar"/>
        </w:rPr>
      </w:pPr>
      <w:bookmarkStart w:id="329" w:name="_Toc79061668"/>
      <w:r>
        <w:rPr>
          <w:rFonts w:hint="eastAsia" w:cs="Times New Roman"/>
          <w:b/>
          <w:bCs/>
          <w:kern w:val="0"/>
          <w:sz w:val="28"/>
          <w:szCs w:val="28"/>
          <w:lang w:bidi="ar"/>
        </w:rPr>
        <w:t>1.5.1 建设目标</w:t>
      </w:r>
      <w:bookmarkEnd w:id="329"/>
    </w:p>
    <w:p>
      <w:pPr>
        <w:widowControl/>
        <w:ind w:firstLine="480"/>
        <w:jc w:val="left"/>
        <w:rPr>
          <w:rFonts w:cs="Times New Roman"/>
          <w:snapToGrid w:val="0"/>
        </w:rPr>
      </w:pPr>
      <w:r>
        <w:rPr>
          <w:rFonts w:cs="Times New Roman"/>
          <w:snapToGrid w:val="0"/>
        </w:rPr>
        <w:t>通过</w:t>
      </w:r>
      <w:r>
        <w:rPr>
          <w:rFonts w:hint="eastAsia" w:ascii="Calibri" w:hAnsi="Calibri" w:cs="Times New Roman"/>
        </w:rPr>
        <w:t>“</w:t>
      </w:r>
      <w:r>
        <w:rPr>
          <w:rFonts w:hint="eastAsia" w:ascii="Calibri" w:hAnsi="Calibri" w:cs="Times New Roman"/>
          <w:lang w:bidi="ar"/>
        </w:rPr>
        <w:t>智慧平安小区治安警务管理平台</w:t>
      </w:r>
      <w:r>
        <w:rPr>
          <w:rFonts w:hint="eastAsia" w:ascii="Calibri" w:hAnsi="Calibri" w:cs="Times New Roman"/>
        </w:rPr>
        <w:t>”、“</w:t>
      </w:r>
      <w:r>
        <w:rPr>
          <w:rFonts w:hint="eastAsia" w:ascii="Calibri" w:hAnsi="Calibri" w:cs="Times New Roman"/>
          <w:lang w:bidi="ar"/>
        </w:rPr>
        <w:t>智慧平安小区管理服务平台</w:t>
      </w:r>
      <w:r>
        <w:rPr>
          <w:rFonts w:hint="eastAsia" w:ascii="Calibri" w:hAnsi="Calibri" w:cs="Times New Roman"/>
        </w:rPr>
        <w:t>”</w:t>
      </w:r>
      <w:r>
        <w:rPr>
          <w:rFonts w:cs="Times New Roman"/>
          <w:snapToGrid w:val="0"/>
        </w:rPr>
        <w:t>，建立起“人防部署到位、物防设施完善”的技防设施，充分利用互联网、物联网、数据挖掘、信息可视化、视频智能分析等先进技术构建“一张防控网络、一套运行机制”的社会治安防控工作新格局，强化平台实有人口、房屋、社会治理、城市管理、治安防控和大数据运用五大功能，对各类事件做到预知、预判、预防、预警和有效处置，切实加强小区的安全保障能力和应急响应能力。</w:t>
      </w:r>
    </w:p>
    <w:p>
      <w:pPr>
        <w:widowControl/>
        <w:jc w:val="left"/>
        <w:outlineLvl w:val="2"/>
        <w:rPr>
          <w:rFonts w:cs="Times New Roman"/>
          <w:b/>
          <w:bCs/>
          <w:kern w:val="0"/>
          <w:sz w:val="28"/>
          <w:szCs w:val="28"/>
          <w:lang w:bidi="ar"/>
        </w:rPr>
      </w:pPr>
      <w:bookmarkStart w:id="330" w:name="_Toc79061669"/>
      <w:r>
        <w:rPr>
          <w:rFonts w:hint="eastAsia" w:cs="Times New Roman"/>
          <w:b/>
          <w:bCs/>
          <w:kern w:val="0"/>
          <w:sz w:val="28"/>
          <w:szCs w:val="28"/>
          <w:lang w:bidi="ar"/>
        </w:rPr>
        <w:t>1.5.2 建设规模</w:t>
      </w:r>
      <w:bookmarkEnd w:id="330"/>
      <w:r>
        <w:rPr>
          <w:rFonts w:hint="eastAsia" w:cs="Times New Roman"/>
          <w:b/>
          <w:bCs/>
          <w:kern w:val="0"/>
          <w:sz w:val="28"/>
          <w:szCs w:val="28"/>
          <w:lang w:bidi="ar"/>
        </w:rPr>
        <w:t xml:space="preserve"> </w:t>
      </w:r>
    </w:p>
    <w:p>
      <w:pPr>
        <w:widowControl/>
        <w:ind w:firstLine="512"/>
        <w:jc w:val="left"/>
        <w:rPr>
          <w:rFonts w:cs="Times New Roman"/>
          <w:color w:val="000000"/>
          <w:kern w:val="0"/>
          <w:sz w:val="32"/>
          <w:szCs w:val="32"/>
          <w:lang w:bidi="ar"/>
        </w:rPr>
      </w:pPr>
      <w:r>
        <w:rPr>
          <w:rFonts w:hint="eastAsia" w:cs="Times New Roman"/>
          <w:spacing w:val="8"/>
        </w:rPr>
        <w:t xml:space="preserve">在全区范围内选择32个拆迁安置小区和农民集中居住区的智慧平安小区建设任务。具体方案详见第三章。 </w:t>
      </w:r>
    </w:p>
    <w:p>
      <w:pPr>
        <w:widowControl/>
        <w:jc w:val="left"/>
        <w:outlineLvl w:val="2"/>
        <w:rPr>
          <w:rFonts w:cs="Times New Roman"/>
          <w:b/>
          <w:bCs/>
          <w:kern w:val="0"/>
          <w:sz w:val="28"/>
          <w:szCs w:val="28"/>
          <w:lang w:bidi="ar"/>
        </w:rPr>
      </w:pPr>
      <w:bookmarkStart w:id="331" w:name="_Toc79061670"/>
      <w:r>
        <w:rPr>
          <w:rFonts w:hint="eastAsia" w:cs="Times New Roman"/>
          <w:b/>
          <w:bCs/>
          <w:kern w:val="0"/>
          <w:sz w:val="28"/>
          <w:szCs w:val="28"/>
          <w:lang w:bidi="ar"/>
        </w:rPr>
        <w:t>1.5.3 建设内容</w:t>
      </w:r>
      <w:bookmarkEnd w:id="331"/>
    </w:p>
    <w:p>
      <w:pPr>
        <w:ind w:firstLine="480"/>
        <w:rPr>
          <w:rFonts w:ascii="Calibri" w:hAnsi="Calibri" w:cs="Times New Roman"/>
        </w:rPr>
      </w:pPr>
      <w:r>
        <w:rPr>
          <w:rFonts w:hint="eastAsia" w:ascii="Calibri" w:hAnsi="Calibri" w:cs="Times New Roman"/>
        </w:rPr>
        <w:t>1.智慧服务。与天府市民云、数字城管平台、温江市民之声、</w:t>
      </w:r>
      <w:r>
        <w:rPr>
          <w:rFonts w:hint="eastAsia"/>
          <w:sz w:val="24"/>
          <w:szCs w:val="24"/>
        </w:rPr>
        <w:t>四川省省级智慧平安小区（AI能力层）、</w:t>
      </w:r>
      <w:r>
        <w:rPr>
          <w:rFonts w:hint="eastAsia" w:ascii="Calibri" w:hAnsi="Calibri" w:cs="Times New Roman"/>
        </w:rPr>
        <w:t>成都市智慧安防小区信息管理平台等公共服务应用系统及社区智慧大脑的链接融合，重点围绕群众生产生活需求,搭建智能化服务管理平台，打造便民化小区。</w:t>
      </w:r>
    </w:p>
    <w:p>
      <w:pPr>
        <w:ind w:firstLine="480"/>
        <w:rPr>
          <w:rFonts w:hint="eastAsia" w:ascii="Calibri" w:hAnsi="Calibri" w:cs="Times New Roman"/>
        </w:rPr>
      </w:pPr>
      <w:r>
        <w:rPr>
          <w:rFonts w:hint="eastAsia" w:ascii="Calibri" w:hAnsi="Calibri" w:cs="Times New Roman"/>
        </w:rPr>
        <w:t>2.智慧管控。以“</w:t>
      </w:r>
      <w:r>
        <w:rPr>
          <w:rFonts w:hint="eastAsia" w:ascii="Calibri" w:hAnsi="Calibri" w:cs="Times New Roman"/>
          <w:lang w:bidi="ar"/>
        </w:rPr>
        <w:t>智慧平安小区治安警务管理平台</w:t>
      </w:r>
      <w:r>
        <w:rPr>
          <w:rFonts w:hint="eastAsia" w:ascii="Calibri" w:hAnsi="Calibri" w:cs="Times New Roman"/>
        </w:rPr>
        <w:t>”、“</w:t>
      </w:r>
      <w:r>
        <w:rPr>
          <w:rFonts w:hint="eastAsia" w:ascii="Calibri" w:hAnsi="Calibri" w:cs="Times New Roman"/>
          <w:lang w:bidi="ar"/>
        </w:rPr>
        <w:t>智慧平安小区管理服务平台</w:t>
      </w:r>
      <w:r>
        <w:rPr>
          <w:rFonts w:hint="eastAsia" w:ascii="Calibri" w:hAnsi="Calibri" w:cs="Times New Roman"/>
        </w:rPr>
        <w:t>”智慧打防控管体系为支撑，实现数</w:t>
      </w:r>
      <w:r>
        <w:rPr>
          <w:rFonts w:hint="eastAsia" w:ascii="Calibri" w:hAnsi="Calibri" w:cs="Times New Roman"/>
          <w:szCs w:val="20"/>
        </w:rPr>
        <w:t>据应用“自动预警”无遗漏</w:t>
      </w:r>
      <w:r>
        <w:rPr>
          <w:rFonts w:hint="eastAsia" w:ascii="Calibri" w:hAnsi="Calibri" w:cs="Times New Roman"/>
        </w:rPr>
        <w:t>，分类分层向社区民警和社区工作者推送比对信息和工作指令。</w:t>
      </w:r>
      <w:r>
        <w:rPr>
          <w:rFonts w:ascii="Calibri" w:hAnsi="Calibri" w:cs="Times New Roman"/>
        </w:rPr>
        <w:t>并和新冠疫情防控结合，</w:t>
      </w:r>
      <w:r>
        <w:rPr>
          <w:rFonts w:hint="eastAsia" w:ascii="Calibri" w:hAnsi="Calibri" w:cs="Times New Roman"/>
        </w:rPr>
        <w:t>实现</w:t>
      </w:r>
      <w:r>
        <w:rPr>
          <w:rFonts w:ascii="Calibri" w:hAnsi="Calibri" w:cs="Times New Roman"/>
        </w:rPr>
        <w:t>戴口罩人脸识别</w:t>
      </w:r>
      <w:r>
        <w:rPr>
          <w:rFonts w:hint="eastAsia" w:ascii="Arial" w:hAnsi="Arial"/>
          <w:sz w:val="24"/>
          <w:szCs w:val="20"/>
          <w:lang w:bidi="ar"/>
        </w:rPr>
        <w:t>（除人脸识别外可通过业主卡、APP预约、指纹</w:t>
      </w:r>
      <w:r>
        <w:rPr>
          <w:rFonts w:hint="eastAsia" w:ascii="Calibri" w:hAnsi="Calibri"/>
          <w:sz w:val="24"/>
          <w:szCs w:val="20"/>
          <w:lang w:bidi="ar"/>
        </w:rPr>
        <w:t>、现场登记</w:t>
      </w:r>
      <w:r>
        <w:rPr>
          <w:rFonts w:hint="eastAsia" w:ascii="Arial" w:hAnsi="Arial"/>
          <w:sz w:val="24"/>
          <w:szCs w:val="20"/>
          <w:lang w:bidi="ar"/>
        </w:rPr>
        <w:t>等多种方式进出小区，以下同）</w:t>
      </w:r>
      <w:r>
        <w:rPr>
          <w:rFonts w:ascii="Calibri" w:hAnsi="Calibri" w:cs="Times New Roman"/>
        </w:rPr>
        <w:t>和天府健康码同一认证及居家留观智能化服务管理</w:t>
      </w:r>
      <w:r>
        <w:rPr>
          <w:rFonts w:hint="eastAsia" w:ascii="Calibri" w:hAnsi="Calibri" w:cs="Times New Roman"/>
        </w:rPr>
        <w:t>。</w:t>
      </w:r>
    </w:p>
    <w:p>
      <w:pPr>
        <w:ind w:firstLine="480"/>
        <w:rPr>
          <w:rFonts w:hint="eastAsia" w:ascii="Calibri" w:hAnsi="Calibri"/>
          <w:lang w:bidi="ar"/>
        </w:rPr>
      </w:pPr>
      <w:r>
        <w:rPr>
          <w:rFonts w:hint="eastAsia" w:ascii="Calibri" w:hAnsi="Calibri"/>
          <w:lang w:bidi="ar"/>
        </w:rPr>
        <w:t>3.数据融合。</w:t>
      </w:r>
      <w:r>
        <w:rPr>
          <w:rFonts w:hint="eastAsia" w:ascii="Arial" w:hAnsi="Arial"/>
          <w:sz w:val="24"/>
          <w:lang w:bidi="ar"/>
        </w:rPr>
        <w:t>智慧平安小区管理服务平台能够按照“统一标准、统一归集”的原则，将智慧小区产生的人、车等主要流量数据接入“大联动.微治理”体系平台，实现数据共享</w:t>
      </w:r>
      <w:r>
        <w:rPr>
          <w:rFonts w:hint="eastAsia" w:ascii="Calibri" w:hAnsi="Calibri"/>
          <w:sz w:val="24"/>
          <w:lang w:bidi="ar"/>
        </w:rPr>
        <w:t>。</w:t>
      </w:r>
    </w:p>
    <w:p>
      <w:pPr>
        <w:widowControl/>
        <w:jc w:val="left"/>
        <w:outlineLvl w:val="2"/>
        <w:rPr>
          <w:rFonts w:cs="Times New Roman"/>
          <w:b/>
          <w:bCs/>
          <w:kern w:val="0"/>
          <w:sz w:val="28"/>
          <w:szCs w:val="28"/>
          <w:lang w:bidi="ar"/>
        </w:rPr>
      </w:pPr>
      <w:bookmarkStart w:id="332" w:name="_Toc79061671"/>
      <w:r>
        <w:rPr>
          <w:rFonts w:hint="eastAsia" w:cs="Times New Roman"/>
          <w:b/>
          <w:bCs/>
          <w:kern w:val="0"/>
          <w:sz w:val="28"/>
          <w:szCs w:val="28"/>
          <w:lang w:bidi="ar"/>
        </w:rPr>
        <w:t>1.5.4 交付周期</w:t>
      </w:r>
      <w:bookmarkEnd w:id="332"/>
    </w:p>
    <w:p>
      <w:pPr>
        <w:pStyle w:val="13"/>
        <w:spacing w:line="460" w:lineRule="exact"/>
        <w:ind w:firstLine="480"/>
        <w:contextualSpacing/>
        <w:rPr>
          <w:rFonts w:ascii="宋体" w:hAnsi="宋体"/>
        </w:rPr>
      </w:pPr>
      <w:r>
        <w:rPr>
          <w:rFonts w:hint="eastAsia" w:ascii="宋体" w:hAnsi="宋体"/>
        </w:rPr>
        <w:t>1、前期建设服务期限要求：合同签订日起</w:t>
      </w:r>
      <w:r>
        <w:rPr>
          <w:rFonts w:hint="eastAsia" w:ascii="宋体" w:hAnsi="宋体"/>
          <w:lang w:val="en-US" w:eastAsia="zh-CN"/>
        </w:rPr>
        <w:t>6个月</w:t>
      </w:r>
      <w:r>
        <w:rPr>
          <w:rFonts w:hint="eastAsia" w:ascii="宋体" w:hAnsi="宋体"/>
        </w:rPr>
        <w:t>内完成。</w:t>
      </w:r>
    </w:p>
    <w:p>
      <w:pPr>
        <w:tabs>
          <w:tab w:val="left" w:pos="1155"/>
        </w:tabs>
        <w:spacing w:line="460" w:lineRule="exact"/>
        <w:ind w:firstLine="480"/>
        <w:jc w:val="left"/>
        <w:rPr>
          <w:rFonts w:cs="Times New Roman"/>
          <w:color w:val="000000"/>
          <w:kern w:val="0"/>
          <w:sz w:val="32"/>
          <w:szCs w:val="32"/>
          <w:lang w:bidi="ar"/>
        </w:rPr>
      </w:pPr>
      <w:r>
        <w:rPr>
          <w:rFonts w:hint="eastAsia" w:cs="Times New Roman"/>
        </w:rPr>
        <w:t>2、运维周期：自验收合格之日起，提供三年的运维服务。</w:t>
      </w:r>
    </w:p>
    <w:p>
      <w:pPr>
        <w:widowControl/>
        <w:jc w:val="center"/>
        <w:rPr>
          <w:rFonts w:cs="Times New Roman"/>
          <w:b/>
          <w:bCs/>
          <w:color w:val="000000"/>
          <w:kern w:val="0"/>
          <w:sz w:val="44"/>
          <w:szCs w:val="44"/>
          <w:lang w:bidi="ar"/>
        </w:rPr>
      </w:pPr>
      <w:bookmarkStart w:id="333" w:name="_Toc11846"/>
      <w:bookmarkStart w:id="334" w:name="_Toc19146"/>
      <w:bookmarkStart w:id="335" w:name="_Toc14982"/>
      <w:bookmarkStart w:id="336" w:name="_Toc18250"/>
      <w:bookmarkStart w:id="337" w:name="_Toc7796"/>
      <w:bookmarkStart w:id="338" w:name="_Toc22730"/>
      <w:bookmarkStart w:id="339" w:name="_Toc23202"/>
      <w:bookmarkStart w:id="340" w:name="_Toc16997"/>
      <w:bookmarkStart w:id="341" w:name="_Toc22929"/>
    </w:p>
    <w:p>
      <w:pPr>
        <w:widowControl/>
        <w:jc w:val="center"/>
        <w:rPr>
          <w:rFonts w:cs="Times New Roman"/>
          <w:b/>
          <w:bCs/>
          <w:color w:val="000000"/>
          <w:kern w:val="0"/>
          <w:sz w:val="44"/>
          <w:szCs w:val="44"/>
          <w:lang w:bidi="ar"/>
        </w:rPr>
      </w:pPr>
    </w:p>
    <w:p>
      <w:pPr>
        <w:widowControl/>
        <w:jc w:val="center"/>
        <w:outlineLvl w:val="0"/>
        <w:rPr>
          <w:rFonts w:cs="Times New Roman"/>
          <w:b/>
          <w:bCs/>
        </w:rPr>
      </w:pPr>
      <w:bookmarkStart w:id="342" w:name="_Toc26486"/>
      <w:bookmarkStart w:id="343" w:name="_Toc6129"/>
      <w:bookmarkStart w:id="344" w:name="_Toc79061672"/>
      <w:bookmarkStart w:id="345" w:name="_Toc22075"/>
      <w:bookmarkStart w:id="346" w:name="_Toc4871"/>
      <w:bookmarkStart w:id="347" w:name="_Toc16523"/>
      <w:bookmarkStart w:id="348" w:name="_Toc22537"/>
      <w:bookmarkStart w:id="349" w:name="_Toc20316"/>
      <w:bookmarkStart w:id="350" w:name="_Toc24097"/>
      <w:bookmarkStart w:id="351" w:name="_Toc25587"/>
      <w:bookmarkStart w:id="352" w:name="_Toc25962"/>
      <w:bookmarkStart w:id="353" w:name="_Toc2756"/>
      <w:r>
        <w:rPr>
          <w:rFonts w:hint="eastAsia" w:cs="Times New Roman"/>
          <w:b/>
          <w:bCs/>
          <w:color w:val="000000"/>
          <w:kern w:val="0"/>
          <w:sz w:val="44"/>
          <w:szCs w:val="44"/>
          <w:lang w:bidi="ar"/>
        </w:rPr>
        <w:t>第二章 需求分析</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p>
    <w:p>
      <w:pPr>
        <w:widowControl/>
        <w:jc w:val="left"/>
        <w:outlineLvl w:val="1"/>
        <w:rPr>
          <w:rFonts w:cs="Times New Roman"/>
          <w:b/>
          <w:bCs/>
          <w:color w:val="000000"/>
          <w:kern w:val="0"/>
          <w:sz w:val="32"/>
          <w:szCs w:val="32"/>
          <w:lang w:bidi="ar"/>
        </w:rPr>
      </w:pPr>
      <w:bookmarkStart w:id="354" w:name="_Toc31901"/>
      <w:bookmarkStart w:id="355" w:name="_Toc14617"/>
      <w:bookmarkStart w:id="356" w:name="_Toc7478"/>
      <w:bookmarkStart w:id="357" w:name="_Toc15637"/>
      <w:bookmarkStart w:id="358" w:name="_Toc23369"/>
      <w:bookmarkStart w:id="359" w:name="_Toc11275"/>
      <w:bookmarkStart w:id="360" w:name="_Toc2953"/>
      <w:bookmarkStart w:id="361" w:name="_Toc25788"/>
      <w:bookmarkStart w:id="362" w:name="_Toc79061673"/>
      <w:bookmarkStart w:id="363" w:name="_Toc7402"/>
      <w:bookmarkStart w:id="364" w:name="_Toc2812"/>
      <w:bookmarkStart w:id="365" w:name="_Toc3640"/>
      <w:bookmarkStart w:id="366" w:name="_Toc8530"/>
      <w:bookmarkStart w:id="367" w:name="_Toc8640"/>
      <w:bookmarkStart w:id="368" w:name="_Toc20455"/>
      <w:bookmarkStart w:id="369" w:name="_Toc13276"/>
      <w:bookmarkStart w:id="370" w:name="_Toc9141"/>
      <w:bookmarkStart w:id="371" w:name="_Toc1136"/>
      <w:r>
        <w:rPr>
          <w:rFonts w:hint="eastAsia" w:cs="Times New Roman"/>
          <w:b/>
          <w:bCs/>
          <w:color w:val="000000"/>
          <w:kern w:val="0"/>
          <w:sz w:val="32"/>
          <w:szCs w:val="32"/>
          <w:lang w:bidi="ar"/>
        </w:rPr>
        <w:t>2.1 需求分析</w:t>
      </w:r>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r>
        <w:rPr>
          <w:rFonts w:hint="eastAsia" w:cs="Times New Roman"/>
          <w:b/>
          <w:bCs/>
          <w:color w:val="000000"/>
          <w:kern w:val="0"/>
          <w:sz w:val="32"/>
          <w:szCs w:val="32"/>
          <w:lang w:bidi="ar"/>
        </w:rPr>
        <w:t xml:space="preserve"> </w:t>
      </w:r>
    </w:p>
    <w:p>
      <w:pPr>
        <w:ind w:firstLine="480"/>
        <w:rPr>
          <w:rFonts w:ascii="Calibri" w:hAnsi="Calibri" w:cs="Times New Roman"/>
        </w:rPr>
      </w:pPr>
      <w:bookmarkStart w:id="372" w:name="_Toc9803"/>
      <w:bookmarkStart w:id="373" w:name="_Toc18438"/>
      <w:bookmarkStart w:id="374" w:name="_Toc1211"/>
      <w:bookmarkStart w:id="375" w:name="_Toc14182"/>
      <w:bookmarkStart w:id="376" w:name="_Toc22544"/>
      <w:bookmarkStart w:id="377" w:name="_Toc19695"/>
      <w:r>
        <w:rPr>
          <w:rFonts w:hint="eastAsia" w:ascii="Calibri" w:hAnsi="Calibri" w:cs="Times New Roman"/>
        </w:rPr>
        <w:t>1.</w:t>
      </w:r>
      <w:r>
        <w:rPr>
          <w:rFonts w:ascii="Calibri" w:hAnsi="Calibri" w:cs="Times New Roman"/>
        </w:rPr>
        <w:t>“一标三实”信息采集投入与产出矛盾日益突出，信息采集手段亟待实现新突破。围绕“人、房、物、业”开展的“标准地址和实有人口、实有房屋、实有单位”信息采集录入工作存在“入户难、进门难、走访难、采录难、更新难、维护难”等问题。由于人员匮乏，人少事多，基层民警和信息采集人员单纯追求信息采集进度和数量，不能确保信息准确、完整、鲜活，很难做到数据库的及时更新，人员的投入与产出不成正比。</w:t>
      </w:r>
    </w:p>
    <w:p>
      <w:pPr>
        <w:ind w:firstLine="480"/>
        <w:rPr>
          <w:rFonts w:ascii="Calibri" w:hAnsi="Calibri" w:cs="Times New Roman"/>
        </w:rPr>
      </w:pPr>
      <w:r>
        <w:rPr>
          <w:rFonts w:hint="eastAsia" w:ascii="Calibri" w:hAnsi="Calibri" w:cs="Times New Roman"/>
        </w:rPr>
        <w:t>2.</w:t>
      </w:r>
      <w:r>
        <w:rPr>
          <w:rFonts w:ascii="Calibri" w:hAnsi="Calibri" w:cs="Times New Roman"/>
        </w:rPr>
        <w:t>侵财型案件高发与防控能力矛盾日益突出，战斗力生成模式亟待新改进。随着经济快速发展，“人、房、车、路、网、场、组织”等社会治安构成要素不断膨胀，犯罪活动向“流窜化、职业化、集团化、高智商化、虚拟化”方向发展。</w:t>
      </w:r>
      <w:r>
        <w:rPr>
          <w:rFonts w:hint="eastAsia" w:ascii="Calibri" w:hAnsi="Calibri" w:cs="Times New Roman"/>
        </w:rPr>
        <w:t>亟需</w:t>
      </w:r>
      <w:r>
        <w:rPr>
          <w:rFonts w:ascii="Calibri" w:hAnsi="Calibri" w:cs="Times New Roman"/>
        </w:rPr>
        <w:t>通过资源整合共享、横向打通业务来适应新时期下打击防控工作的变革需求，向信息化要警力、要战斗力。</w:t>
      </w:r>
    </w:p>
    <w:p>
      <w:pPr>
        <w:ind w:firstLine="480"/>
        <w:rPr>
          <w:rFonts w:ascii="Calibri" w:hAnsi="Calibri" w:cs="Times New Roman"/>
        </w:rPr>
      </w:pPr>
      <w:r>
        <w:rPr>
          <w:rFonts w:ascii="Calibri" w:hAnsi="Calibri" w:cs="Times New Roman"/>
        </w:rPr>
        <w:t xml:space="preserve"> </w:t>
      </w:r>
      <w:r>
        <w:rPr>
          <w:rFonts w:hint="eastAsia" w:ascii="Calibri" w:hAnsi="Calibri" w:cs="Times New Roman"/>
        </w:rPr>
        <w:t>3.</w:t>
      </w:r>
      <w:r>
        <w:rPr>
          <w:rFonts w:ascii="Calibri" w:hAnsi="Calibri" w:cs="Times New Roman"/>
        </w:rPr>
        <w:t>小区业态发展不均衡和小区治理难矛盾日益突出，创新基层社会治理亟待新作为。近年来，我区农集区发展经历了自建开放式小区—统规自建半封闭—统规统建的历程，全区小区治安防控状态良莠不齐，治安防范措施和防范制度较为薄弱，小区封闭性差，出入口多，安保人员对出入人员、车辆不能完全做到查清底数。特别是农集区和老旧小区，基本处于“无人防、无技防、无组织”状态，缺乏单独门禁系统，人员复杂，流动频繁，管理混乱，治安、刑事案件时有发生，存在严重安全隐患。</w:t>
      </w:r>
    </w:p>
    <w:p>
      <w:pPr>
        <w:ind w:firstLine="480"/>
        <w:rPr>
          <w:rFonts w:ascii="Calibri" w:hAnsi="Calibri" w:cs="Times New Roman"/>
        </w:rPr>
      </w:pPr>
      <w:r>
        <w:rPr>
          <w:rFonts w:hint="eastAsia" w:ascii="Calibri" w:hAnsi="Calibri" w:cs="Times New Roman"/>
        </w:rPr>
        <w:t>4.</w:t>
      </w:r>
      <w:r>
        <w:rPr>
          <w:rFonts w:ascii="Calibri" w:hAnsi="Calibri" w:cs="Times New Roman"/>
        </w:rPr>
        <w:t>传统重点人员管控模式与灵通情报信息的现实需求矛盾日益突出，全方位动态管控亟待新手段。重点人员脱离管制的现象越发严重，尤其是很多重点人员为脱离公安机关管控范围，往往居无定所、人户分离，对社会治安秩序形成了严重危害。</w:t>
      </w:r>
    </w:p>
    <w:p>
      <w:pPr>
        <w:widowControl/>
        <w:ind w:firstLine="480"/>
        <w:rPr>
          <w:rFonts w:ascii="Calibri" w:hAnsi="Calibri" w:cs="Times New Roman"/>
          <w:lang w:bidi="ar"/>
        </w:rPr>
      </w:pPr>
      <w:r>
        <w:rPr>
          <w:rFonts w:ascii="Calibri" w:hAnsi="Calibri" w:cs="Times New Roman"/>
        </w:rPr>
        <w:t>5.</w:t>
      </w:r>
      <w:r>
        <w:rPr>
          <w:rFonts w:hint="eastAsia" w:ascii="Calibri" w:hAnsi="Calibri" w:cs="Times New Roman"/>
        </w:rPr>
        <w:t>碎片化信息分布状态与及时高效决策的现实需求矛盾日益突出，信息资源整合应用亟待新业绩。在公安传统侦查方式中，照片比对只能依靠人工方式进行，工作量巨大、速度慢、效率低、无法适应业务需要。业务条块分割的传统格局使信息资源呈现碎片化、原始化状态，大量闲置浪费，难以及时形成足够的情报信息，无法满足高效决策、支撑勤务和服务便民的需要。</w:t>
      </w:r>
      <w:bookmarkStart w:id="378" w:name="_Toc21967"/>
      <w:bookmarkStart w:id="379" w:name="_Toc7966"/>
      <w:bookmarkStart w:id="380" w:name="_Toc31661"/>
    </w:p>
    <w:p>
      <w:pPr>
        <w:widowControl/>
        <w:ind w:firstLine="883"/>
        <w:jc w:val="center"/>
        <w:outlineLvl w:val="0"/>
        <w:rPr>
          <w:rFonts w:cs="Times New Roman"/>
          <w:b/>
          <w:bCs/>
        </w:rPr>
      </w:pPr>
      <w:bookmarkStart w:id="381" w:name="_Toc23044"/>
      <w:bookmarkStart w:id="382" w:name="_Toc4132"/>
      <w:bookmarkStart w:id="383" w:name="_Toc7192"/>
      <w:bookmarkStart w:id="384" w:name="_Toc79061674"/>
      <w:bookmarkStart w:id="385" w:name="_Toc25353"/>
      <w:bookmarkStart w:id="386" w:name="_Toc19383"/>
      <w:bookmarkStart w:id="387" w:name="_Toc10300"/>
      <w:bookmarkStart w:id="388" w:name="_Toc13977"/>
      <w:bookmarkStart w:id="389" w:name="_Toc8455"/>
      <w:bookmarkStart w:id="390" w:name="_Toc26521"/>
      <w:bookmarkStart w:id="391" w:name="_Toc32405"/>
      <w:bookmarkStart w:id="392" w:name="_Toc16647"/>
      <w:r>
        <w:rPr>
          <w:rFonts w:hint="eastAsia" w:cs="Times New Roman"/>
          <w:b/>
          <w:bCs/>
          <w:color w:val="000000"/>
          <w:kern w:val="0"/>
          <w:sz w:val="44"/>
          <w:szCs w:val="44"/>
          <w:lang w:bidi="ar"/>
        </w:rPr>
        <w:t xml:space="preserve">第三章 </w:t>
      </w:r>
      <w:bookmarkEnd w:id="372"/>
      <w:bookmarkEnd w:id="373"/>
      <w:bookmarkEnd w:id="374"/>
      <w:bookmarkEnd w:id="375"/>
      <w:bookmarkEnd w:id="376"/>
      <w:bookmarkEnd w:id="377"/>
      <w:bookmarkEnd w:id="378"/>
      <w:bookmarkEnd w:id="379"/>
      <w:r>
        <w:rPr>
          <w:rFonts w:hint="eastAsia" w:cs="Times New Roman"/>
          <w:b/>
          <w:bCs/>
          <w:color w:val="000000"/>
          <w:kern w:val="0"/>
          <w:sz w:val="44"/>
          <w:szCs w:val="44"/>
          <w:lang w:bidi="ar"/>
        </w:rPr>
        <w:t>总体设计</w:t>
      </w:r>
      <w:bookmarkEnd w:id="380"/>
      <w:bookmarkEnd w:id="381"/>
      <w:bookmarkEnd w:id="382"/>
      <w:bookmarkEnd w:id="383"/>
      <w:bookmarkEnd w:id="384"/>
      <w:bookmarkEnd w:id="385"/>
      <w:bookmarkEnd w:id="386"/>
      <w:bookmarkEnd w:id="387"/>
      <w:bookmarkEnd w:id="388"/>
      <w:bookmarkEnd w:id="389"/>
      <w:bookmarkEnd w:id="390"/>
      <w:bookmarkEnd w:id="391"/>
      <w:bookmarkEnd w:id="392"/>
    </w:p>
    <w:p>
      <w:pPr>
        <w:widowControl/>
        <w:jc w:val="left"/>
        <w:outlineLvl w:val="1"/>
        <w:rPr>
          <w:rFonts w:cs="Times New Roman"/>
          <w:b/>
          <w:bCs/>
          <w:color w:val="000000"/>
          <w:kern w:val="0"/>
          <w:sz w:val="32"/>
          <w:szCs w:val="32"/>
          <w:lang w:bidi="ar"/>
        </w:rPr>
      </w:pPr>
      <w:bookmarkStart w:id="393" w:name="_Toc7672"/>
      <w:bookmarkStart w:id="394" w:name="_Toc11031"/>
      <w:bookmarkStart w:id="395" w:name="_Toc32443"/>
      <w:bookmarkStart w:id="396" w:name="_Toc16174"/>
      <w:bookmarkStart w:id="397" w:name="_Toc16977"/>
      <w:bookmarkStart w:id="398" w:name="_Toc79061675"/>
      <w:bookmarkStart w:id="399" w:name="_Toc781"/>
      <w:bookmarkStart w:id="400" w:name="_Toc10700"/>
      <w:bookmarkStart w:id="401" w:name="_Toc29356"/>
      <w:bookmarkStart w:id="402" w:name="_Toc4299"/>
      <w:bookmarkStart w:id="403" w:name="_Toc27579"/>
      <w:bookmarkStart w:id="404" w:name="_Toc18977"/>
      <w:bookmarkStart w:id="405" w:name="_Toc2968"/>
      <w:r>
        <w:rPr>
          <w:rFonts w:hint="eastAsia" w:cs="Times New Roman"/>
          <w:b/>
          <w:bCs/>
          <w:color w:val="000000"/>
          <w:kern w:val="0"/>
          <w:sz w:val="32"/>
          <w:szCs w:val="32"/>
          <w:lang w:bidi="ar"/>
        </w:rPr>
        <w:t>3.1. 应用架构</w:t>
      </w:r>
      <w:bookmarkEnd w:id="393"/>
      <w:bookmarkEnd w:id="394"/>
      <w:bookmarkEnd w:id="395"/>
      <w:bookmarkEnd w:id="396"/>
      <w:bookmarkEnd w:id="397"/>
      <w:bookmarkEnd w:id="398"/>
      <w:bookmarkEnd w:id="399"/>
      <w:bookmarkEnd w:id="400"/>
      <w:bookmarkEnd w:id="401"/>
      <w:bookmarkEnd w:id="402"/>
      <w:bookmarkEnd w:id="403"/>
      <w:bookmarkEnd w:id="404"/>
      <w:bookmarkEnd w:id="405"/>
    </w:p>
    <w:p>
      <w:pPr>
        <w:widowControl/>
        <w:outlineLvl w:val="2"/>
        <w:rPr>
          <w:rFonts w:cs="Times New Roman"/>
          <w:b/>
          <w:bCs/>
          <w:color w:val="000000"/>
          <w:kern w:val="0"/>
          <w:sz w:val="28"/>
          <w:szCs w:val="28"/>
          <w:lang w:bidi="ar"/>
        </w:rPr>
      </w:pPr>
      <w:bookmarkStart w:id="406" w:name="_Toc79061676"/>
      <w:r>
        <w:rPr>
          <w:rFonts w:hint="eastAsia" w:cs="Times New Roman"/>
          <w:b/>
          <w:bCs/>
          <w:color w:val="000000"/>
          <w:kern w:val="0"/>
          <w:sz w:val="28"/>
          <w:szCs w:val="28"/>
          <w:lang w:bidi="ar"/>
        </w:rPr>
        <w:t>3.1.1“智慧平安小区”</w:t>
      </w:r>
      <w:bookmarkEnd w:id="406"/>
    </w:p>
    <w:p>
      <w:pPr>
        <w:pStyle w:val="317"/>
        <w:ind w:firstLine="480"/>
      </w:pPr>
      <w:r>
        <w:rPr>
          <w:rFonts w:hint="eastAsia"/>
        </w:rPr>
        <w:t>智慧平安小区</w:t>
      </w:r>
      <w:r>
        <w:t>是以信息化为基础，整合社区多种资源为目的而建设的智能化系统，是一个完善的整体</w:t>
      </w:r>
      <w:r>
        <w:rPr>
          <w:rFonts w:hint="eastAsia"/>
        </w:rPr>
        <w:t>。智慧平安小区从架构设计上主要包含智慧平安小区管理服务平台和智慧平安小区警务管理平台，智慧平安小区管理服务平台，以信息化为基础完善提升管理效率；智慧平安小区警务管理平台主要是整合社区资源，与警务数据打通，完成协同应用，便民服务，安全高效治理社区。</w:t>
      </w:r>
    </w:p>
    <w:p>
      <w:pPr>
        <w:pStyle w:val="317"/>
        <w:ind w:firstLine="480"/>
      </w:pPr>
      <w:r>
        <w:rPr>
          <w:rFonts w:hint="eastAsia"/>
        </w:rPr>
        <w:t>智慧平安小区管理服务平台主要实现系统对接（预留标准数据接口，无条件配合对接区智慧治理中心、数字城管平台、大联动微治理平台、天府市民云、温江市民之声等温江区有关系统平台的数据对接工作，不再额外收取费用）以及数据共享。</w:t>
      </w:r>
    </w:p>
    <w:p>
      <w:pPr>
        <w:pStyle w:val="317"/>
        <w:ind w:firstLine="480"/>
      </w:pPr>
      <w:r>
        <w:rPr>
          <w:rFonts w:hint="eastAsia"/>
        </w:rPr>
        <w:t>智慧平安小区警务管理平台主要实现数据汇聚、数据治理以及数据应用。</w:t>
      </w:r>
    </w:p>
    <w:p>
      <w:pPr>
        <w:pStyle w:val="317"/>
        <w:ind w:firstLine="480"/>
        <w:rPr>
          <w:rFonts w:hint="eastAsia"/>
          <w:szCs w:val="24"/>
        </w:rPr>
      </w:pPr>
      <w:r>
        <w:rPr>
          <w:rFonts w:hint="eastAsia"/>
        </w:rPr>
        <w:t>在系统架构设计上，应注重开放性与数据的分析及应用，其中开放性体现在：</w:t>
      </w:r>
      <w:r>
        <w:rPr>
          <w:rFonts w:hint="eastAsia"/>
          <w:szCs w:val="24"/>
        </w:rPr>
        <w:t>按照“统一标准、统一归集”的原则，将智慧小区产生的人、车等主要流量数据须按照智慧小区部分数据标准设计（详见附件1），并接入“大联动”平台，其余感知数据明确标准后可持续开展数据接入工作。按照《天府智慧小区建设导则1.0版》“1+4+N”工作要求，</w:t>
      </w:r>
      <w:r>
        <w:rPr>
          <w:rFonts w:hint="eastAsia" w:ascii="Times New Roman"/>
          <w:szCs w:val="24"/>
        </w:rPr>
        <w:t>将</w:t>
      </w:r>
      <w:r>
        <w:rPr>
          <w:rFonts w:hint="eastAsia"/>
          <w:szCs w:val="24"/>
        </w:rPr>
        <w:t>网格化服务管理体系进一步向小区延伸，打造诉求“一键通”场景，将智慧小区平台收集的居民诉求信息从小区内循环体系拓展到大联动微治理体系进行流转（诉求数据标准见附件2），推动基层自主开发的微信公众号、微信小程序等与大联动平台打通， 形成事件运行闭环，完善市民诉求“全响应体系”。</w:t>
      </w:r>
    </w:p>
    <w:p>
      <w:pPr>
        <w:pStyle w:val="317"/>
        <w:ind w:firstLine="480"/>
        <w:rPr>
          <w:rFonts w:hint="eastAsia"/>
          <w:szCs w:val="24"/>
        </w:rPr>
      </w:pPr>
    </w:p>
    <w:p>
      <w:pPr>
        <w:pStyle w:val="317"/>
        <w:ind w:firstLine="480"/>
        <w:rPr>
          <w:rFonts w:hint="eastAsia"/>
          <w:szCs w:val="24"/>
        </w:rPr>
      </w:pPr>
    </w:p>
    <w:p>
      <w:pPr>
        <w:pStyle w:val="317"/>
        <w:ind w:firstLine="480"/>
        <w:rPr>
          <w:rFonts w:hint="eastAsia"/>
          <w:szCs w:val="24"/>
        </w:rPr>
      </w:pPr>
    </w:p>
    <w:p>
      <w:pPr>
        <w:pStyle w:val="317"/>
        <w:ind w:firstLine="480"/>
        <w:rPr>
          <w:rFonts w:hint="eastAsia"/>
          <w:szCs w:val="24"/>
        </w:rPr>
      </w:pPr>
    </w:p>
    <w:p>
      <w:pPr>
        <w:spacing w:line="700" w:lineRule="exact"/>
        <w:rPr>
          <w:rFonts w:hint="eastAsia" w:ascii="Calibri" w:hAnsi="Calibri" w:eastAsia="方正黑体简体" w:cs="Times New Roman"/>
          <w:sz w:val="32"/>
          <w:szCs w:val="32"/>
        </w:rPr>
      </w:pPr>
      <w:r>
        <w:rPr>
          <w:rFonts w:hint="eastAsia" w:ascii="Calibri" w:hAnsi="Calibri" w:eastAsia="方正黑体简体" w:cs="Times New Roman"/>
          <w:sz w:val="32"/>
          <w:szCs w:val="32"/>
        </w:rPr>
        <w:t>附件</w:t>
      </w:r>
      <w:r>
        <w:rPr>
          <w:rFonts w:ascii="Calibri" w:hAnsi="Calibri" w:eastAsia="方正黑体简体" w:cs="Times New Roman"/>
          <w:sz w:val="32"/>
          <w:szCs w:val="32"/>
        </w:rPr>
        <w:t>1</w:t>
      </w:r>
    </w:p>
    <w:p>
      <w:pPr>
        <w:spacing w:line="700" w:lineRule="exact"/>
        <w:jc w:val="center"/>
        <w:rPr>
          <w:rFonts w:hint="eastAsia" w:ascii="方正小标宋简体" w:hAnsi="黑体" w:eastAsia="方正小标宋简体" w:cs="Times New Roman"/>
          <w:sz w:val="30"/>
          <w:szCs w:val="30"/>
        </w:rPr>
      </w:pPr>
      <w:r>
        <w:rPr>
          <w:rFonts w:hint="eastAsia" w:ascii="方正小标宋简体" w:hAnsi="黑体" w:eastAsia="方正小标宋简体" w:cs="Times New Roman"/>
          <w:sz w:val="30"/>
          <w:szCs w:val="30"/>
        </w:rPr>
        <w:t>智慧小区部分数据标准</w:t>
      </w:r>
    </w:p>
    <w:p>
      <w:pPr>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1-</w:t>
      </w:r>
      <w:r>
        <w:rPr>
          <w:rFonts w:hint="eastAsia" w:ascii="Calibri" w:cs="Times New Roman"/>
          <w:b/>
          <w:sz w:val="24"/>
        </w:rPr>
        <w:t>场所数据标准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860"/>
        <w:gridCol w:w="1102"/>
        <w:gridCol w:w="1276"/>
        <w:gridCol w:w="1282"/>
        <w:gridCol w:w="1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rPr>
                <w:rFonts w:ascii="Calibri" w:hAnsi="Calibri" w:cs="Times New Roman"/>
                <w:sz w:val="24"/>
              </w:rPr>
            </w:pPr>
            <w:r>
              <w:rPr>
                <w:rFonts w:hint="eastAsia" w:ascii="Calibri" w:cs="Times New Roman"/>
                <w:b/>
                <w:bCs/>
              </w:rPr>
              <w:t>名称</w:t>
            </w:r>
          </w:p>
        </w:tc>
        <w:tc>
          <w:tcPr>
            <w:tcW w:w="1860" w:type="dxa"/>
            <w:noWrap w:val="0"/>
            <w:vAlign w:val="top"/>
          </w:tcPr>
          <w:p>
            <w:pPr>
              <w:rPr>
                <w:rFonts w:ascii="Calibri" w:hAnsi="Calibri" w:cs="Times New Roman"/>
                <w:sz w:val="24"/>
              </w:rPr>
            </w:pPr>
            <w:r>
              <w:rPr>
                <w:rFonts w:hint="eastAsia" w:ascii="Calibri" w:cs="Times New Roman"/>
                <w:b/>
                <w:bCs/>
              </w:rPr>
              <w:t>标识符</w:t>
            </w:r>
          </w:p>
        </w:tc>
        <w:tc>
          <w:tcPr>
            <w:tcW w:w="1102" w:type="dxa"/>
            <w:noWrap w:val="0"/>
            <w:vAlign w:val="top"/>
          </w:tcPr>
          <w:p>
            <w:pPr>
              <w:rPr>
                <w:rFonts w:ascii="Calibri" w:hAnsi="Calibri" w:cs="Times New Roman"/>
                <w:sz w:val="24"/>
              </w:rPr>
            </w:pPr>
            <w:r>
              <w:rPr>
                <w:rFonts w:hint="eastAsia" w:ascii="Calibri" w:cs="Times New Roman"/>
                <w:b/>
                <w:bCs/>
              </w:rPr>
              <w:t>类型</w:t>
            </w:r>
          </w:p>
        </w:tc>
        <w:tc>
          <w:tcPr>
            <w:tcW w:w="1276" w:type="dxa"/>
            <w:noWrap w:val="0"/>
            <w:vAlign w:val="top"/>
          </w:tcPr>
          <w:p>
            <w:pPr>
              <w:rPr>
                <w:rFonts w:ascii="Calibri" w:hAnsi="Calibri" w:cs="Times New Roman"/>
                <w:sz w:val="24"/>
              </w:rPr>
            </w:pPr>
            <w:r>
              <w:rPr>
                <w:rFonts w:hint="eastAsia" w:ascii="Calibri" w:cs="Times New Roman"/>
                <w:b/>
                <w:bCs/>
              </w:rPr>
              <w:t>长度</w:t>
            </w:r>
          </w:p>
        </w:tc>
        <w:tc>
          <w:tcPr>
            <w:tcW w:w="1282" w:type="dxa"/>
            <w:noWrap w:val="0"/>
            <w:vAlign w:val="top"/>
          </w:tcPr>
          <w:p>
            <w:pPr>
              <w:rPr>
                <w:rFonts w:ascii="Calibri" w:hAnsi="Calibri" w:cs="Times New Roman"/>
                <w:sz w:val="24"/>
              </w:rPr>
            </w:pPr>
            <w:r>
              <w:rPr>
                <w:rFonts w:hint="eastAsia" w:ascii="Calibri" w:cs="Times New Roman"/>
                <w:b/>
                <w:bCs/>
              </w:rPr>
              <w:t>必选</w:t>
            </w:r>
            <w:r>
              <w:rPr>
                <w:rFonts w:ascii="Calibri" w:hAnsi="Calibri" w:cs="Times New Roman"/>
                <w:b/>
                <w:bCs/>
              </w:rPr>
              <w:t>/</w:t>
            </w:r>
            <w:r>
              <w:rPr>
                <w:rFonts w:hint="eastAsia" w:ascii="Calibri" w:cs="Times New Roman"/>
                <w:b/>
                <w:bCs/>
              </w:rPr>
              <w:t>可选</w:t>
            </w:r>
          </w:p>
        </w:tc>
        <w:tc>
          <w:tcPr>
            <w:tcW w:w="1553" w:type="dxa"/>
            <w:noWrap w:val="0"/>
            <w:vAlign w:val="top"/>
          </w:tcPr>
          <w:p>
            <w:pPr>
              <w:rPr>
                <w:rFonts w:ascii="Calibri" w:hAnsi="Calibri" w:cs="Times New Roman"/>
                <w:sz w:val="24"/>
              </w:rPr>
            </w:pPr>
            <w:r>
              <w:rPr>
                <w:rFonts w:hint="eastAsia" w:ascii="Calibri" w:cs="Times New Roman"/>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场所标识</w:t>
            </w:r>
          </w:p>
        </w:tc>
        <w:tc>
          <w:tcPr>
            <w:tcW w:w="1860" w:type="dxa"/>
            <w:noWrap w:val="0"/>
            <w:vAlign w:val="top"/>
          </w:tcPr>
          <w:p>
            <w:pPr>
              <w:spacing w:line="300" w:lineRule="exact"/>
              <w:rPr>
                <w:rFonts w:ascii="Calibri" w:hAnsi="Calibri" w:cs="Times New Roman"/>
                <w:sz w:val="24"/>
              </w:rPr>
            </w:pPr>
            <w:r>
              <w:rPr>
                <w:rFonts w:ascii="Calibri" w:hAnsi="Calibri" w:cs="Times New Roman"/>
              </w:rPr>
              <w:t>PlaceID</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50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场所名称</w:t>
            </w:r>
          </w:p>
        </w:tc>
        <w:tc>
          <w:tcPr>
            <w:tcW w:w="1860" w:type="dxa"/>
            <w:noWrap w:val="0"/>
            <w:vAlign w:val="top"/>
          </w:tcPr>
          <w:p>
            <w:pPr>
              <w:spacing w:line="300" w:lineRule="exact"/>
              <w:rPr>
                <w:rFonts w:ascii="Calibri" w:hAnsi="Calibri" w:cs="Times New Roman"/>
                <w:sz w:val="24"/>
              </w:rPr>
            </w:pPr>
            <w:r>
              <w:rPr>
                <w:rFonts w:ascii="Calibri" w:hAnsi="Calibri" w:cs="Times New Roman"/>
              </w:rPr>
              <w:t>PlaceName</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30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场所类型</w:t>
            </w:r>
          </w:p>
        </w:tc>
        <w:tc>
          <w:tcPr>
            <w:tcW w:w="1860" w:type="dxa"/>
            <w:noWrap w:val="0"/>
            <w:vAlign w:val="top"/>
          </w:tcPr>
          <w:p>
            <w:pPr>
              <w:spacing w:line="300" w:lineRule="exact"/>
              <w:rPr>
                <w:rFonts w:ascii="Calibri" w:hAnsi="Calibri" w:cs="Times New Roman"/>
                <w:sz w:val="24"/>
              </w:rPr>
            </w:pPr>
            <w:r>
              <w:rPr>
                <w:rFonts w:ascii="Calibri" w:hAnsi="Calibri" w:cs="Times New Roman"/>
              </w:rPr>
              <w:t>PlaceType</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2</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rPr>
                <w:rFonts w:ascii="Calibri" w:hAnsi="Calibri" w:cs="Times New Roman"/>
                <w:sz w:val="24"/>
              </w:rPr>
            </w:pPr>
            <w:r>
              <w:rPr>
                <w:rFonts w:hint="eastAsia" w:ascii="Calibri" w:cs="Times New Roman"/>
                <w:sz w:val="24"/>
              </w:rPr>
              <w:t>码表：</w:t>
            </w:r>
            <w:r>
              <w:rPr>
                <w:rFonts w:hint="eastAsia" w:ascii="Calibri" w:cs="Times New Roman"/>
              </w:rPr>
              <w:t>小区、学校、商业停车场、车站、医院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所属区县</w:t>
            </w:r>
          </w:p>
        </w:tc>
        <w:tc>
          <w:tcPr>
            <w:tcW w:w="1860" w:type="dxa"/>
            <w:noWrap w:val="0"/>
            <w:vAlign w:val="top"/>
          </w:tcPr>
          <w:p>
            <w:pPr>
              <w:spacing w:line="300" w:lineRule="exact"/>
              <w:rPr>
                <w:rFonts w:ascii="Calibri" w:hAnsi="Calibri" w:cs="Times New Roman"/>
                <w:sz w:val="24"/>
              </w:rPr>
            </w:pPr>
            <w:r>
              <w:rPr>
                <w:rFonts w:ascii="Calibri" w:hAnsi="Calibri" w:cs="Times New Roman"/>
              </w:rPr>
              <w:t>BelongCounty</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20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所属街道</w:t>
            </w:r>
          </w:p>
        </w:tc>
        <w:tc>
          <w:tcPr>
            <w:tcW w:w="1860" w:type="dxa"/>
            <w:noWrap w:val="0"/>
            <w:vAlign w:val="top"/>
          </w:tcPr>
          <w:p>
            <w:pPr>
              <w:spacing w:line="300" w:lineRule="exact"/>
              <w:rPr>
                <w:rFonts w:ascii="Calibri" w:hAnsi="Calibri" w:cs="Times New Roman"/>
                <w:sz w:val="24"/>
              </w:rPr>
            </w:pPr>
            <w:r>
              <w:rPr>
                <w:rFonts w:ascii="Calibri" w:hAnsi="Calibri" w:cs="Times New Roman"/>
              </w:rPr>
              <w:t>BelongStreet</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20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所属社区</w:t>
            </w:r>
          </w:p>
        </w:tc>
        <w:tc>
          <w:tcPr>
            <w:tcW w:w="1860" w:type="dxa"/>
            <w:noWrap w:val="0"/>
            <w:vAlign w:val="top"/>
          </w:tcPr>
          <w:p>
            <w:pPr>
              <w:spacing w:line="300" w:lineRule="exact"/>
              <w:rPr>
                <w:rFonts w:ascii="Calibri" w:hAnsi="Calibri" w:cs="Times New Roman"/>
                <w:sz w:val="24"/>
              </w:rPr>
            </w:pPr>
            <w:r>
              <w:rPr>
                <w:rFonts w:ascii="Calibri" w:hAnsi="Calibri" w:cs="Times New Roman"/>
              </w:rPr>
              <w:t>BelongCommunity</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20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82" w:type="dxa"/>
            <w:noWrap w:val="0"/>
            <w:vAlign w:val="top"/>
          </w:tcPr>
          <w:p>
            <w:pPr>
              <w:spacing w:line="300" w:lineRule="exact"/>
              <w:rPr>
                <w:rFonts w:ascii="Calibri" w:hAnsi="Calibri" w:cs="Times New Roman"/>
                <w:sz w:val="24"/>
              </w:rPr>
            </w:pPr>
            <w:r>
              <w:rPr>
                <w:rFonts w:hint="eastAsia" w:ascii="Calibri" w:cs="Times New Roman"/>
              </w:rPr>
              <w:t>场所地址</w:t>
            </w:r>
          </w:p>
        </w:tc>
        <w:tc>
          <w:tcPr>
            <w:tcW w:w="1860" w:type="dxa"/>
            <w:noWrap w:val="0"/>
            <w:vAlign w:val="top"/>
          </w:tcPr>
          <w:p>
            <w:pPr>
              <w:spacing w:line="300" w:lineRule="exact"/>
              <w:rPr>
                <w:rFonts w:ascii="Calibri" w:hAnsi="Calibri" w:cs="Times New Roman"/>
                <w:sz w:val="24"/>
              </w:rPr>
            </w:pPr>
            <w:r>
              <w:rPr>
                <w:rFonts w:ascii="Calibri" w:hAnsi="Calibri" w:cs="Times New Roman"/>
              </w:rPr>
              <w:t>PlaceAddress</w:t>
            </w:r>
          </w:p>
        </w:tc>
        <w:tc>
          <w:tcPr>
            <w:tcW w:w="1102" w:type="dxa"/>
            <w:noWrap w:val="0"/>
            <w:vAlign w:val="top"/>
          </w:tcPr>
          <w:p>
            <w:pPr>
              <w:spacing w:line="300" w:lineRule="exact"/>
              <w:rPr>
                <w:rFonts w:ascii="Calibri" w:hAnsi="Calibri" w:cs="Times New Roman"/>
                <w:sz w:val="24"/>
              </w:rPr>
            </w:pPr>
            <w:r>
              <w:rPr>
                <w:rFonts w:ascii="Calibri" w:hAnsi="Calibri" w:cs="Times New Roman"/>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rPr>
              <w:t>100</w:t>
            </w:r>
          </w:p>
        </w:tc>
        <w:tc>
          <w:tcPr>
            <w:tcW w:w="1282" w:type="dxa"/>
            <w:noWrap w:val="0"/>
            <w:vAlign w:val="top"/>
          </w:tcPr>
          <w:p>
            <w:pPr>
              <w:spacing w:line="300" w:lineRule="exact"/>
              <w:rPr>
                <w:rFonts w:ascii="Calibri" w:hAnsi="Calibri" w:cs="Times New Roman"/>
                <w:sz w:val="24"/>
              </w:rPr>
            </w:pPr>
            <w:r>
              <w:rPr>
                <w:rFonts w:ascii="Calibri" w:hAnsi="Calibri" w:cs="Times New Roman"/>
              </w:rPr>
              <w:t>R</w:t>
            </w:r>
          </w:p>
        </w:tc>
        <w:tc>
          <w:tcPr>
            <w:tcW w:w="1553" w:type="dxa"/>
            <w:noWrap w:val="0"/>
            <w:vAlign w:val="top"/>
          </w:tcPr>
          <w:p>
            <w:pPr>
              <w:spacing w:line="300" w:lineRule="exact"/>
              <w:ind w:firstLine="480" w:firstLineChars="200"/>
              <w:outlineLvl w:val="2"/>
              <w:rPr>
                <w:rFonts w:ascii="Calibri" w:hAnsi="Calibri" w:cs="Times New Roman"/>
                <w:sz w:val="24"/>
              </w:rPr>
            </w:pPr>
          </w:p>
        </w:tc>
      </w:tr>
    </w:tbl>
    <w:p>
      <w:pPr>
        <w:spacing w:line="300" w:lineRule="exact"/>
        <w:ind w:firstLine="3132" w:firstLineChars="1300"/>
        <w:rPr>
          <w:rFonts w:ascii="Calibri" w:hAnsi="Calibri" w:cs="Times New Roman"/>
          <w:b/>
          <w:sz w:val="24"/>
        </w:rPr>
      </w:pPr>
    </w:p>
    <w:p>
      <w:pPr>
        <w:spacing w:line="300" w:lineRule="exact"/>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2-</w:t>
      </w:r>
      <w:r>
        <w:rPr>
          <w:rFonts w:hint="eastAsia" w:ascii="Calibri" w:cs="Times New Roman"/>
          <w:b/>
          <w:sz w:val="24"/>
        </w:rPr>
        <w:t>道闸数据标准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2"/>
        <w:gridCol w:w="1803"/>
        <w:gridCol w:w="1383"/>
        <w:gridCol w:w="1383"/>
        <w:gridCol w:w="1247"/>
        <w:gridCol w:w="1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382"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1803"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383"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383"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247"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519"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b/>
                <w:sz w:val="24"/>
              </w:rPr>
              <w:t>道闸</w:t>
            </w:r>
            <w:r>
              <w:rPr>
                <w:rFonts w:hint="eastAsia" w:ascii="Calibri" w:cs="Times New Roman"/>
                <w:sz w:val="24"/>
              </w:rPr>
              <w:t>标识</w:t>
            </w:r>
          </w:p>
        </w:tc>
        <w:tc>
          <w:tcPr>
            <w:tcW w:w="1803" w:type="dxa"/>
            <w:noWrap w:val="0"/>
            <w:vAlign w:val="top"/>
          </w:tcPr>
          <w:p>
            <w:pPr>
              <w:spacing w:line="300" w:lineRule="exact"/>
              <w:rPr>
                <w:rFonts w:ascii="Calibri" w:hAnsi="Calibri" w:cs="Times New Roman"/>
                <w:sz w:val="24"/>
              </w:rPr>
            </w:pPr>
            <w:r>
              <w:rPr>
                <w:rFonts w:ascii="Calibri" w:hAnsi="Calibri" w:cs="Times New Roman"/>
                <w:sz w:val="24"/>
              </w:rPr>
              <w:t>BayonetID</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1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b/>
                <w:sz w:val="24"/>
              </w:rPr>
              <w:t>道闸</w:t>
            </w:r>
            <w:r>
              <w:rPr>
                <w:rFonts w:hint="eastAsia" w:ascii="Calibri" w:cs="Times New Roman"/>
                <w:sz w:val="24"/>
              </w:rPr>
              <w:t>名称</w:t>
            </w:r>
          </w:p>
        </w:tc>
        <w:tc>
          <w:tcPr>
            <w:tcW w:w="1803" w:type="dxa"/>
            <w:noWrap w:val="0"/>
            <w:vAlign w:val="top"/>
          </w:tcPr>
          <w:p>
            <w:pPr>
              <w:spacing w:line="300" w:lineRule="exact"/>
              <w:jc w:val="left"/>
              <w:rPr>
                <w:rFonts w:ascii="Calibri" w:hAnsi="Calibri" w:cs="Times New Roman"/>
                <w:sz w:val="24"/>
              </w:rPr>
            </w:pPr>
            <w:r>
              <w:rPr>
                <w:rFonts w:ascii="Calibri" w:hAnsi="Calibri" w:cs="Times New Roman"/>
                <w:sz w:val="24"/>
              </w:rPr>
              <w:t>BayonetName</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30</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1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b/>
                <w:sz w:val="24"/>
              </w:rPr>
              <w:t>道闸</w:t>
            </w:r>
            <w:r>
              <w:rPr>
                <w:rFonts w:hint="eastAsia" w:ascii="Calibri" w:cs="Times New Roman"/>
                <w:sz w:val="24"/>
              </w:rPr>
              <w:t>类型</w:t>
            </w:r>
          </w:p>
        </w:tc>
        <w:tc>
          <w:tcPr>
            <w:tcW w:w="1803" w:type="dxa"/>
            <w:noWrap w:val="0"/>
            <w:vAlign w:val="top"/>
          </w:tcPr>
          <w:p>
            <w:pPr>
              <w:spacing w:line="300" w:lineRule="exact"/>
              <w:rPr>
                <w:rFonts w:ascii="Calibri" w:hAnsi="Calibri" w:cs="Times New Roman"/>
                <w:sz w:val="24"/>
              </w:rPr>
            </w:pPr>
            <w:r>
              <w:rPr>
                <w:rFonts w:ascii="Calibri" w:hAnsi="Calibri" w:cs="Times New Roman"/>
                <w:sz w:val="24"/>
              </w:rPr>
              <w:t>BayonetType</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2</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19" w:type="dxa"/>
            <w:noWrap w:val="0"/>
            <w:vAlign w:val="top"/>
          </w:tcPr>
          <w:p>
            <w:pPr>
              <w:spacing w:line="300" w:lineRule="exact"/>
              <w:rPr>
                <w:rFonts w:ascii="Calibri" w:hAnsi="Calibri" w:cs="Times New Roman"/>
                <w:sz w:val="24"/>
              </w:rPr>
            </w:pPr>
            <w:r>
              <w:rPr>
                <w:rFonts w:hint="eastAsia" w:ascii="Calibri" w:cs="Times New Roman"/>
                <w:sz w:val="24"/>
              </w:rPr>
              <w:t>码表：全结构化摄像机、车辆卡口摄像机、普通摄像机等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sz w:val="24"/>
              </w:rPr>
              <w:t>场所标识</w:t>
            </w:r>
          </w:p>
        </w:tc>
        <w:tc>
          <w:tcPr>
            <w:tcW w:w="1803"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19" w:type="dxa"/>
            <w:noWrap w:val="0"/>
            <w:vAlign w:val="top"/>
          </w:tcPr>
          <w:p>
            <w:pPr>
              <w:spacing w:line="300" w:lineRule="exact"/>
              <w:rPr>
                <w:rFonts w:ascii="Calibri" w:hAnsi="Calibri" w:cs="Times New Roman"/>
                <w:sz w:val="24"/>
              </w:rPr>
            </w:pPr>
            <w:r>
              <w:rPr>
                <w:rFonts w:hint="eastAsia" w:ascii="Calibri" w:cs="Times New Roman"/>
                <w:sz w:val="24"/>
              </w:rPr>
              <w:t>关联场所表中的场所标识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sz w:val="24"/>
              </w:rPr>
              <w:t>经纬度</w:t>
            </w:r>
          </w:p>
        </w:tc>
        <w:tc>
          <w:tcPr>
            <w:tcW w:w="1803" w:type="dxa"/>
            <w:noWrap w:val="0"/>
            <w:vAlign w:val="top"/>
          </w:tcPr>
          <w:p>
            <w:pPr>
              <w:spacing w:line="300" w:lineRule="exact"/>
              <w:rPr>
                <w:rFonts w:ascii="Calibri" w:hAnsi="Calibri" w:cs="Times New Roman"/>
                <w:sz w:val="24"/>
              </w:rPr>
            </w:pPr>
            <w:r>
              <w:rPr>
                <w:rFonts w:ascii="Calibri" w:hAnsi="Calibri" w:cs="Times New Roman"/>
                <w:sz w:val="24"/>
              </w:rPr>
              <w:t>LonLat</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30</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1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2" w:type="dxa"/>
            <w:noWrap w:val="0"/>
            <w:vAlign w:val="top"/>
          </w:tcPr>
          <w:p>
            <w:pPr>
              <w:spacing w:line="300" w:lineRule="exact"/>
              <w:rPr>
                <w:rFonts w:ascii="Calibri" w:hAnsi="Calibri" w:cs="Times New Roman"/>
                <w:sz w:val="24"/>
              </w:rPr>
            </w:pPr>
            <w:r>
              <w:rPr>
                <w:rFonts w:hint="eastAsia" w:ascii="Calibri" w:cs="Times New Roman"/>
                <w:sz w:val="24"/>
              </w:rPr>
              <w:t>卡口地址</w:t>
            </w:r>
          </w:p>
        </w:tc>
        <w:tc>
          <w:tcPr>
            <w:tcW w:w="1803" w:type="dxa"/>
            <w:noWrap w:val="0"/>
            <w:vAlign w:val="top"/>
          </w:tcPr>
          <w:p>
            <w:pPr>
              <w:spacing w:line="300" w:lineRule="exact"/>
              <w:rPr>
                <w:rFonts w:ascii="Calibri" w:hAnsi="Calibri" w:cs="Times New Roman"/>
                <w:sz w:val="24"/>
              </w:rPr>
            </w:pPr>
            <w:r>
              <w:rPr>
                <w:rFonts w:ascii="Calibri" w:hAnsi="Calibri" w:cs="Times New Roman"/>
                <w:sz w:val="24"/>
              </w:rPr>
              <w:t>BayonetAddress</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83" w:type="dxa"/>
            <w:noWrap w:val="0"/>
            <w:vAlign w:val="top"/>
          </w:tcPr>
          <w:p>
            <w:pPr>
              <w:spacing w:line="300" w:lineRule="exact"/>
              <w:rPr>
                <w:rFonts w:ascii="Calibri" w:hAnsi="Calibri" w:cs="Times New Roman"/>
                <w:sz w:val="24"/>
              </w:rPr>
            </w:pPr>
            <w:r>
              <w:rPr>
                <w:rFonts w:ascii="Calibri" w:hAnsi="Calibri" w:cs="Times New Roman"/>
                <w:sz w:val="24"/>
              </w:rPr>
              <w:t>100</w:t>
            </w:r>
          </w:p>
        </w:tc>
        <w:tc>
          <w:tcPr>
            <w:tcW w:w="1247"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19" w:type="dxa"/>
            <w:noWrap w:val="0"/>
            <w:vAlign w:val="top"/>
          </w:tcPr>
          <w:p>
            <w:pPr>
              <w:spacing w:line="300" w:lineRule="exact"/>
              <w:ind w:firstLine="480" w:firstLineChars="200"/>
              <w:outlineLvl w:val="2"/>
              <w:rPr>
                <w:rFonts w:ascii="Calibri" w:hAnsi="Calibri" w:cs="Times New Roman"/>
                <w:sz w:val="24"/>
              </w:rPr>
            </w:pPr>
          </w:p>
        </w:tc>
      </w:tr>
    </w:tbl>
    <w:p>
      <w:pPr>
        <w:spacing w:line="300" w:lineRule="exact"/>
        <w:ind w:firstLine="3132" w:firstLineChars="1300"/>
        <w:rPr>
          <w:rFonts w:ascii="Calibri" w:hAnsi="Calibri" w:cs="Times New Roman"/>
          <w:b/>
          <w:sz w:val="24"/>
        </w:rPr>
      </w:pPr>
    </w:p>
    <w:p>
      <w:pPr>
        <w:spacing w:line="300" w:lineRule="exact"/>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3-</w:t>
      </w:r>
      <w:r>
        <w:rPr>
          <w:rFonts w:hint="eastAsia" w:ascii="Calibri" w:cs="Times New Roman"/>
          <w:b/>
          <w:sz w:val="24"/>
        </w:rPr>
        <w:t>人口数据标准：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0"/>
        <w:gridCol w:w="1847"/>
        <w:gridCol w:w="1276"/>
        <w:gridCol w:w="1417"/>
        <w:gridCol w:w="1418"/>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1847"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276"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417"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418"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417"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人员标识</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PersonID</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姓名</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PersonName</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30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证件类型</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IDType</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证件号码</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IDNumber</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人员类型</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PersonType</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rPr>
                <w:rFonts w:ascii="Calibri" w:hAnsi="Calibri" w:cs="Times New Roman"/>
                <w:sz w:val="24"/>
              </w:rPr>
            </w:pPr>
            <w:r>
              <w:rPr>
                <w:rFonts w:hint="eastAsia" w:ascii="Calibri" w:cs="Times New Roman"/>
                <w:sz w:val="24"/>
              </w:rPr>
              <w:t>码表：住户、租户、物业人员、服务人员、访客人员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场所标识</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rPr>
                <w:rFonts w:ascii="Calibri" w:hAnsi="Calibri" w:cs="Times New Roman"/>
                <w:sz w:val="24"/>
              </w:rPr>
            </w:pPr>
            <w:r>
              <w:rPr>
                <w:rFonts w:hint="eastAsia" w:ascii="Calibri" w:cs="Times New Roman"/>
                <w:sz w:val="24"/>
              </w:rPr>
              <w:t>关联场所表中的场所标识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居住地址</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LiveAddress</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100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户籍地</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Register</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性别</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Gender</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名族</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Nation</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学历</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Education</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政治面貌</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Political</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婚姻状况</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MaritalStatus</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z w:val="24"/>
              </w:rPr>
            </w:pPr>
            <w:r>
              <w:rPr>
                <w:rFonts w:hint="eastAsia" w:ascii="Calibri" w:cs="Times New Roman"/>
                <w:sz w:val="24"/>
              </w:rPr>
              <w:t>联系方式</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Phone</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417"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80" w:type="dxa"/>
            <w:noWrap w:val="0"/>
            <w:vAlign w:val="top"/>
          </w:tcPr>
          <w:p>
            <w:pPr>
              <w:spacing w:line="300" w:lineRule="exact"/>
              <w:rPr>
                <w:rFonts w:ascii="Calibri" w:hAnsi="Calibri" w:cs="Times New Roman"/>
                <w:strike/>
                <w:color w:val="FF0000"/>
                <w:sz w:val="24"/>
              </w:rPr>
            </w:pPr>
            <w:r>
              <w:rPr>
                <w:rFonts w:hint="eastAsia" w:ascii="Calibri" w:cs="Times New Roman"/>
                <w:sz w:val="24"/>
              </w:rPr>
              <w:t>照片</w:t>
            </w:r>
          </w:p>
        </w:tc>
        <w:tc>
          <w:tcPr>
            <w:tcW w:w="1847" w:type="dxa"/>
            <w:noWrap w:val="0"/>
            <w:vAlign w:val="top"/>
          </w:tcPr>
          <w:p>
            <w:pPr>
              <w:spacing w:line="300" w:lineRule="exact"/>
              <w:rPr>
                <w:rFonts w:ascii="Calibri" w:hAnsi="Calibri" w:cs="Times New Roman"/>
                <w:sz w:val="24"/>
              </w:rPr>
            </w:pPr>
            <w:r>
              <w:rPr>
                <w:rFonts w:ascii="Calibri" w:hAnsi="Calibri" w:cs="Times New Roman"/>
                <w:sz w:val="24"/>
              </w:rPr>
              <w:t>Image</w:t>
            </w:r>
          </w:p>
        </w:tc>
        <w:tc>
          <w:tcPr>
            <w:tcW w:w="1276" w:type="dxa"/>
            <w:noWrap w:val="0"/>
            <w:vAlign w:val="top"/>
          </w:tcPr>
          <w:p>
            <w:pPr>
              <w:spacing w:line="300" w:lineRule="exact"/>
              <w:ind w:firstLine="480" w:firstLineChars="200"/>
              <w:outlineLvl w:val="2"/>
              <w:rPr>
                <w:rFonts w:ascii="Calibri" w:hAnsi="Calibri" w:cs="Times New Roman"/>
                <w:sz w:val="24"/>
              </w:rPr>
            </w:pPr>
          </w:p>
        </w:tc>
        <w:tc>
          <w:tcPr>
            <w:tcW w:w="1417" w:type="dxa"/>
            <w:noWrap w:val="0"/>
            <w:vAlign w:val="top"/>
          </w:tcPr>
          <w:p>
            <w:pPr>
              <w:spacing w:line="300" w:lineRule="exact"/>
              <w:ind w:firstLine="480" w:firstLineChars="200"/>
              <w:outlineLvl w:val="2"/>
              <w:rPr>
                <w:rFonts w:ascii="Calibri" w:hAnsi="Calibri" w:cs="Times New Roman"/>
                <w:sz w:val="24"/>
              </w:rPr>
            </w:pPr>
          </w:p>
        </w:tc>
        <w:tc>
          <w:tcPr>
            <w:tcW w:w="1418"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bl>
    <w:p>
      <w:pPr>
        <w:spacing w:line="300" w:lineRule="exact"/>
        <w:rPr>
          <w:rFonts w:ascii="Calibri" w:hAnsi="Calibri" w:eastAsia="方正仿宋简体" w:cs="Times New Roman"/>
          <w:sz w:val="24"/>
        </w:rPr>
      </w:pPr>
    </w:p>
    <w:p>
      <w:pPr>
        <w:spacing w:line="300" w:lineRule="exact"/>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4-</w:t>
      </w:r>
      <w:r>
        <w:rPr>
          <w:rFonts w:hint="eastAsia" w:ascii="Calibri" w:cs="Times New Roman"/>
          <w:b/>
          <w:sz w:val="24"/>
        </w:rPr>
        <w:t>人流数据标准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8"/>
        <w:gridCol w:w="1776"/>
        <w:gridCol w:w="1349"/>
        <w:gridCol w:w="1339"/>
        <w:gridCol w:w="1339"/>
        <w:gridCol w:w="147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1776"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349"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339"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339"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470"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人流标识</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PersonFlowID</w:t>
            </w:r>
          </w:p>
        </w:tc>
        <w:tc>
          <w:tcPr>
            <w:tcW w:w="1349" w:type="dxa"/>
            <w:noWrap w:val="0"/>
            <w:vAlign w:val="top"/>
          </w:tcPr>
          <w:p>
            <w:pPr>
              <w:spacing w:line="300" w:lineRule="exact"/>
              <w:ind w:firstLine="480" w:firstLineChars="200"/>
              <w:outlineLvl w:val="2"/>
              <w:rPr>
                <w:rFonts w:ascii="Calibri" w:hAnsi="Calibri" w:cs="Times New Roman"/>
                <w:sz w:val="24"/>
              </w:rPr>
            </w:pPr>
          </w:p>
        </w:tc>
        <w:tc>
          <w:tcPr>
            <w:tcW w:w="1339" w:type="dxa"/>
            <w:noWrap w:val="0"/>
            <w:vAlign w:val="top"/>
          </w:tcPr>
          <w:p>
            <w:pPr>
              <w:spacing w:line="300" w:lineRule="exact"/>
              <w:ind w:firstLine="480" w:firstLineChars="200"/>
              <w:outlineLvl w:val="2"/>
              <w:rPr>
                <w:rFonts w:ascii="Calibri" w:hAnsi="Calibri" w:cs="Times New Roman"/>
                <w:sz w:val="24"/>
              </w:rPr>
            </w:pPr>
          </w:p>
        </w:tc>
        <w:tc>
          <w:tcPr>
            <w:tcW w:w="1339" w:type="dxa"/>
            <w:noWrap w:val="0"/>
            <w:vAlign w:val="top"/>
          </w:tcPr>
          <w:p>
            <w:pPr>
              <w:spacing w:line="300" w:lineRule="exact"/>
              <w:ind w:firstLine="480" w:firstLineChars="200"/>
              <w:outlineLvl w:val="2"/>
              <w:rPr>
                <w:rFonts w:ascii="Calibri" w:hAnsi="Calibri" w:cs="Times New Roman"/>
                <w:sz w:val="24"/>
              </w:rPr>
            </w:pPr>
          </w:p>
        </w:tc>
        <w:tc>
          <w:tcPr>
            <w:tcW w:w="147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场所标识</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关联场所表中的场所标识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姓名</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证件号</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IDNumber</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人员类型</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PersonType</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码表：住户、租户、物业人员、服务人员、访客人员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进出时间</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InOutTime</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date</w:t>
            </w:r>
          </w:p>
        </w:tc>
        <w:tc>
          <w:tcPr>
            <w:tcW w:w="1339" w:type="dxa"/>
            <w:noWrap w:val="0"/>
            <w:vAlign w:val="top"/>
          </w:tcPr>
          <w:p>
            <w:pPr>
              <w:spacing w:line="300" w:lineRule="exact"/>
              <w:ind w:firstLine="480" w:firstLineChars="200"/>
              <w:outlineLvl w:val="2"/>
              <w:rPr>
                <w:rFonts w:ascii="Calibri" w:hAnsi="Calibri" w:cs="Times New Roman"/>
                <w:sz w:val="24"/>
              </w:rPr>
            </w:pP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ascii="Calibri" w:hAnsi="Calibri" w:cs="Times New Roman"/>
                <w:sz w:val="24"/>
              </w:rPr>
              <w:t>yyyy-mm-dd hh24:mi:ss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通行方向</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TrafficDirection</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进、出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通行方式</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TrafficType</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码表：</w:t>
            </w:r>
            <w:r>
              <w:rPr>
                <w:rFonts w:hint="eastAsia" w:ascii="Calibri" w:cs="Times New Roman"/>
              </w:rPr>
              <w:t>刷脸、二维码、</w:t>
            </w:r>
            <w:r>
              <w:rPr>
                <w:rFonts w:ascii="Calibri" w:hAnsi="Calibri" w:cs="Times New Roman"/>
              </w:rPr>
              <w:t>IC</w:t>
            </w:r>
            <w:r>
              <w:rPr>
                <w:rFonts w:hint="eastAsia" w:ascii="Calibri" w:cs="Times New Roman"/>
              </w:rPr>
              <w:t>卡、指纹、云对讲、密码、登记、天府健康通等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抓拍照片</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images</w:t>
            </w:r>
          </w:p>
        </w:tc>
        <w:tc>
          <w:tcPr>
            <w:tcW w:w="1349" w:type="dxa"/>
            <w:noWrap w:val="0"/>
            <w:vAlign w:val="top"/>
          </w:tcPr>
          <w:p>
            <w:pPr>
              <w:spacing w:line="300" w:lineRule="exact"/>
              <w:ind w:firstLine="480" w:firstLineChars="200"/>
              <w:outlineLvl w:val="2"/>
              <w:rPr>
                <w:rFonts w:ascii="Calibri" w:hAnsi="Calibri" w:cs="Times New Roman"/>
                <w:sz w:val="24"/>
              </w:rPr>
            </w:pPr>
          </w:p>
        </w:tc>
        <w:tc>
          <w:tcPr>
            <w:tcW w:w="1339" w:type="dxa"/>
            <w:noWrap w:val="0"/>
            <w:vAlign w:val="top"/>
          </w:tcPr>
          <w:p>
            <w:pPr>
              <w:spacing w:line="300" w:lineRule="exact"/>
              <w:ind w:firstLine="480" w:firstLineChars="200"/>
              <w:outlineLvl w:val="2"/>
              <w:rPr>
                <w:rFonts w:ascii="Calibri" w:hAnsi="Calibri" w:cs="Times New Roman"/>
                <w:sz w:val="24"/>
              </w:rPr>
            </w:pP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可包含</w:t>
            </w:r>
            <w:r>
              <w:rPr>
                <w:rFonts w:ascii="Calibri" w:hAnsi="Calibri" w:cs="Times New Roman"/>
                <w:sz w:val="24"/>
              </w:rPr>
              <w:t>0</w:t>
            </w:r>
            <w:r>
              <w:rPr>
                <w:rFonts w:hint="eastAsia" w:ascii="Calibri" w:cs="Times New Roman"/>
                <w:sz w:val="24"/>
              </w:rPr>
              <w:t>个或者多个子图像对象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访问地址</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VisitAddress</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38" w:type="dxa"/>
            <w:noWrap w:val="0"/>
            <w:vAlign w:val="top"/>
          </w:tcPr>
          <w:p>
            <w:pPr>
              <w:spacing w:line="300" w:lineRule="exact"/>
              <w:rPr>
                <w:rFonts w:ascii="Calibri" w:hAnsi="Calibri" w:cs="Times New Roman"/>
                <w:sz w:val="24"/>
              </w:rPr>
            </w:pPr>
            <w:r>
              <w:rPr>
                <w:rFonts w:hint="eastAsia" w:ascii="Calibri" w:cs="Times New Roman"/>
                <w:sz w:val="24"/>
              </w:rPr>
              <w:t>道闸标识</w:t>
            </w:r>
          </w:p>
        </w:tc>
        <w:tc>
          <w:tcPr>
            <w:tcW w:w="1776" w:type="dxa"/>
            <w:noWrap w:val="0"/>
            <w:vAlign w:val="top"/>
          </w:tcPr>
          <w:p>
            <w:pPr>
              <w:spacing w:line="300" w:lineRule="exact"/>
              <w:rPr>
                <w:rFonts w:ascii="Calibri" w:hAnsi="Calibri" w:cs="Times New Roman"/>
                <w:sz w:val="24"/>
              </w:rPr>
            </w:pPr>
            <w:r>
              <w:rPr>
                <w:rFonts w:ascii="Calibri" w:hAnsi="Calibri" w:cs="Times New Roman"/>
                <w:sz w:val="24"/>
              </w:rPr>
              <w:t>BayonetID</w:t>
            </w:r>
          </w:p>
        </w:tc>
        <w:tc>
          <w:tcPr>
            <w:tcW w:w="1349"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39"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70" w:type="dxa"/>
            <w:noWrap w:val="0"/>
            <w:vAlign w:val="top"/>
          </w:tcPr>
          <w:p>
            <w:pPr>
              <w:spacing w:line="300" w:lineRule="exact"/>
              <w:rPr>
                <w:rFonts w:ascii="Calibri" w:hAnsi="Calibri" w:cs="Times New Roman"/>
                <w:sz w:val="24"/>
              </w:rPr>
            </w:pPr>
            <w:r>
              <w:rPr>
                <w:rFonts w:hint="eastAsia" w:ascii="Calibri" w:cs="Times New Roman"/>
                <w:sz w:val="24"/>
              </w:rPr>
              <w:t>关联道闸表中的道闸标识</w:t>
            </w:r>
          </w:p>
        </w:tc>
      </w:tr>
    </w:tbl>
    <w:p>
      <w:pPr>
        <w:spacing w:line="300" w:lineRule="exact"/>
        <w:rPr>
          <w:rFonts w:ascii="Calibri" w:hAnsi="Calibri" w:eastAsia="方正仿宋简体" w:cs="Times New Roman"/>
          <w:sz w:val="24"/>
        </w:rPr>
      </w:pPr>
    </w:p>
    <w:p>
      <w:pPr>
        <w:spacing w:line="300" w:lineRule="exact"/>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5-</w:t>
      </w:r>
      <w:r>
        <w:rPr>
          <w:rFonts w:hint="eastAsia" w:ascii="Calibri" w:cs="Times New Roman"/>
          <w:b/>
          <w:sz w:val="24"/>
        </w:rPr>
        <w:t>车辆数据标准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2121"/>
        <w:gridCol w:w="1200"/>
        <w:gridCol w:w="1215"/>
        <w:gridCol w:w="1276"/>
        <w:gridCol w:w="14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2121"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200"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215"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276"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417"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车辆标识</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VehicleID</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车辆类型</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VehicleType</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车牌号</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VehicleNumber</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rPr>
                <w:rFonts w:ascii="Calibri" w:hAnsi="Calibri" w:cs="Times New Roman"/>
                <w:sz w:val="24"/>
              </w:rPr>
            </w:pPr>
            <w:r>
              <w:rPr>
                <w:rFonts w:ascii="Calibri" w:hAnsi="Calibri" w:cs="Times New Roman"/>
                <w:sz w:val="24"/>
              </w:rPr>
              <w:t>10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车主姓名</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OwnerName</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车主证件号</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IDNumber</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车主联系方式</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OwnerPhone</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场所标识</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200"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15"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417"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0"/>
            <w:vAlign w:val="top"/>
          </w:tcPr>
          <w:p>
            <w:pPr>
              <w:spacing w:line="300" w:lineRule="exact"/>
              <w:rPr>
                <w:rFonts w:ascii="Calibri" w:hAnsi="Calibri" w:cs="Times New Roman"/>
                <w:sz w:val="24"/>
              </w:rPr>
            </w:pPr>
            <w:r>
              <w:rPr>
                <w:rFonts w:hint="eastAsia" w:ascii="Calibri" w:cs="Times New Roman"/>
                <w:sz w:val="24"/>
              </w:rPr>
              <w:t>照片</w:t>
            </w:r>
          </w:p>
        </w:tc>
        <w:tc>
          <w:tcPr>
            <w:tcW w:w="2121" w:type="dxa"/>
            <w:noWrap w:val="0"/>
            <w:vAlign w:val="top"/>
          </w:tcPr>
          <w:p>
            <w:pPr>
              <w:spacing w:line="300" w:lineRule="exact"/>
              <w:rPr>
                <w:rFonts w:ascii="Calibri" w:hAnsi="Calibri" w:cs="Times New Roman"/>
                <w:sz w:val="24"/>
              </w:rPr>
            </w:pPr>
            <w:r>
              <w:rPr>
                <w:rFonts w:ascii="Calibri" w:hAnsi="Calibri" w:cs="Times New Roman"/>
                <w:sz w:val="24"/>
              </w:rPr>
              <w:t>images</w:t>
            </w:r>
          </w:p>
        </w:tc>
        <w:tc>
          <w:tcPr>
            <w:tcW w:w="1200" w:type="dxa"/>
            <w:noWrap w:val="0"/>
            <w:vAlign w:val="top"/>
          </w:tcPr>
          <w:p>
            <w:pPr>
              <w:spacing w:line="300" w:lineRule="exact"/>
              <w:ind w:firstLine="480" w:firstLineChars="200"/>
              <w:outlineLvl w:val="2"/>
              <w:rPr>
                <w:rFonts w:ascii="Calibri" w:hAnsi="Calibri" w:cs="Times New Roman"/>
                <w:sz w:val="24"/>
              </w:rPr>
            </w:pPr>
          </w:p>
        </w:tc>
        <w:tc>
          <w:tcPr>
            <w:tcW w:w="1215"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417" w:type="dxa"/>
            <w:noWrap w:val="0"/>
            <w:vAlign w:val="top"/>
          </w:tcPr>
          <w:p>
            <w:pPr>
              <w:spacing w:line="300" w:lineRule="exact"/>
              <w:ind w:firstLine="480" w:firstLineChars="200"/>
              <w:outlineLvl w:val="2"/>
              <w:rPr>
                <w:rFonts w:ascii="Calibri" w:hAnsi="Calibri" w:cs="Times New Roman"/>
                <w:sz w:val="24"/>
              </w:rPr>
            </w:pPr>
          </w:p>
        </w:tc>
      </w:tr>
    </w:tbl>
    <w:p>
      <w:pPr>
        <w:spacing w:line="300" w:lineRule="exact"/>
        <w:rPr>
          <w:rFonts w:ascii="Calibri" w:hAnsi="Calibri" w:eastAsia="方正仿宋简体" w:cs="Times New Roman"/>
          <w:sz w:val="24"/>
        </w:rPr>
      </w:pPr>
    </w:p>
    <w:p>
      <w:pPr>
        <w:spacing w:line="300" w:lineRule="exact"/>
        <w:ind w:firstLine="3132" w:firstLineChars="1300"/>
        <w:rPr>
          <w:rFonts w:ascii="Calibri" w:hAnsi="Calibri" w:cs="Times New Roman"/>
          <w:b/>
          <w:sz w:val="24"/>
        </w:rPr>
      </w:pPr>
      <w:r>
        <w:rPr>
          <w:rFonts w:hint="eastAsia" w:ascii="Calibri" w:cs="Times New Roman"/>
          <w:b/>
          <w:sz w:val="24"/>
        </w:rPr>
        <w:t>表</w:t>
      </w:r>
      <w:r>
        <w:rPr>
          <w:rFonts w:ascii="Calibri" w:hAnsi="Calibri" w:cs="Times New Roman"/>
          <w:b/>
          <w:sz w:val="24"/>
        </w:rPr>
        <w:t>6-</w:t>
      </w:r>
      <w:r>
        <w:rPr>
          <w:rFonts w:hint="eastAsia" w:ascii="Calibri" w:cs="Times New Roman"/>
          <w:b/>
          <w:sz w:val="24"/>
        </w:rPr>
        <w:t>车流数据标准：</w:t>
      </w: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2"/>
        <w:gridCol w:w="2030"/>
        <w:gridCol w:w="1321"/>
        <w:gridCol w:w="1301"/>
        <w:gridCol w:w="1301"/>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2030"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321"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301"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301"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500"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车流标识</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VehicleFlowID</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车牌类型</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LicensePlateType</w:t>
            </w:r>
          </w:p>
          <w:p>
            <w:pPr>
              <w:spacing w:line="300" w:lineRule="exact"/>
              <w:ind w:firstLine="480" w:firstLineChars="200"/>
              <w:outlineLvl w:val="2"/>
              <w:rPr>
                <w:rFonts w:ascii="Calibri" w:hAnsi="Calibri" w:cs="Times New Roman"/>
                <w:sz w:val="24"/>
              </w:rPr>
            </w:pP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车牌号</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VehicleNumber</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10</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过场类型</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PassType</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rPr>
                <w:rFonts w:ascii="Calibri" w:hAnsi="Calibri" w:cs="Times New Roman"/>
                <w:sz w:val="24"/>
              </w:rPr>
            </w:pPr>
            <w:r>
              <w:rPr>
                <w:rFonts w:hint="eastAsia" w:ascii="Calibri" w:cs="Times New Roman"/>
                <w:sz w:val="24"/>
              </w:rPr>
              <w:t>码表：进场、出场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过场时间</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PassTime</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date</w:t>
            </w:r>
          </w:p>
        </w:tc>
        <w:tc>
          <w:tcPr>
            <w:tcW w:w="1301" w:type="dxa"/>
            <w:noWrap w:val="0"/>
            <w:vAlign w:val="top"/>
          </w:tcPr>
          <w:p>
            <w:pPr>
              <w:spacing w:line="300" w:lineRule="exact"/>
              <w:ind w:firstLine="480" w:firstLineChars="200"/>
              <w:outlineLvl w:val="2"/>
              <w:rPr>
                <w:rFonts w:ascii="Calibri" w:hAnsi="Calibri" w:cs="Times New Roman"/>
                <w:sz w:val="24"/>
              </w:rPr>
            </w:pP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场所标识</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PlaceID</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rPr>
                <w:rFonts w:ascii="Calibri" w:hAnsi="Calibri" w:cs="Times New Roman"/>
                <w:sz w:val="24"/>
              </w:rPr>
            </w:pPr>
            <w:r>
              <w:rPr>
                <w:rFonts w:hint="eastAsia" w:ascii="Calibri" w:cs="Times New Roman"/>
                <w:sz w:val="24"/>
              </w:rPr>
              <w:t>关联场所表中的场所标识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道闸标识</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BayonetID</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rPr>
                <w:rFonts w:ascii="Calibri" w:hAnsi="Calibri" w:cs="Times New Roman"/>
                <w:sz w:val="24"/>
              </w:rPr>
            </w:pPr>
            <w:r>
              <w:rPr>
                <w:rFonts w:hint="eastAsia" w:ascii="Calibri" w:cs="Times New Roman"/>
                <w:sz w:val="24"/>
              </w:rPr>
              <w:t>关联道闸表中的道闸标识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02" w:type="dxa"/>
            <w:noWrap w:val="0"/>
            <w:vAlign w:val="top"/>
          </w:tcPr>
          <w:p>
            <w:pPr>
              <w:spacing w:line="300" w:lineRule="exact"/>
              <w:rPr>
                <w:rFonts w:ascii="Calibri" w:hAnsi="Calibri" w:cs="Times New Roman"/>
                <w:sz w:val="24"/>
              </w:rPr>
            </w:pPr>
            <w:r>
              <w:rPr>
                <w:rFonts w:hint="eastAsia" w:ascii="Calibri" w:cs="Times New Roman"/>
                <w:sz w:val="24"/>
              </w:rPr>
              <w:t>车辆标识</w:t>
            </w:r>
          </w:p>
        </w:tc>
        <w:tc>
          <w:tcPr>
            <w:tcW w:w="2030" w:type="dxa"/>
            <w:noWrap w:val="0"/>
            <w:vAlign w:val="top"/>
          </w:tcPr>
          <w:p>
            <w:pPr>
              <w:spacing w:line="300" w:lineRule="exact"/>
              <w:rPr>
                <w:rFonts w:ascii="Calibri" w:hAnsi="Calibri" w:cs="Times New Roman"/>
                <w:sz w:val="24"/>
              </w:rPr>
            </w:pPr>
            <w:r>
              <w:rPr>
                <w:rFonts w:ascii="Calibri" w:hAnsi="Calibri" w:cs="Times New Roman"/>
                <w:sz w:val="24"/>
              </w:rPr>
              <w:t>VehicleID</w:t>
            </w:r>
          </w:p>
        </w:tc>
        <w:tc>
          <w:tcPr>
            <w:tcW w:w="1321"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301"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00" w:type="dxa"/>
            <w:noWrap w:val="0"/>
            <w:vAlign w:val="top"/>
          </w:tcPr>
          <w:p>
            <w:pPr>
              <w:spacing w:line="300" w:lineRule="exact"/>
              <w:rPr>
                <w:rFonts w:ascii="Calibri" w:hAnsi="Calibri" w:cs="Times New Roman"/>
                <w:sz w:val="24"/>
              </w:rPr>
            </w:pPr>
            <w:r>
              <w:rPr>
                <w:rFonts w:hint="eastAsia" w:ascii="Calibri" w:cs="Times New Roman"/>
                <w:sz w:val="24"/>
              </w:rPr>
              <w:t>关联车辆表中的车辆标识</w:t>
            </w:r>
          </w:p>
        </w:tc>
      </w:tr>
    </w:tbl>
    <w:p>
      <w:pPr>
        <w:spacing w:before="156" w:beforeLines="50" w:after="156" w:afterLines="50" w:line="360" w:lineRule="auto"/>
        <w:rPr>
          <w:rFonts w:hint="eastAsia" w:ascii="Calibri" w:hAnsi="Calibri" w:eastAsia="方正黑体简体" w:cs="Times New Roman"/>
          <w:sz w:val="32"/>
          <w:szCs w:val="32"/>
        </w:rPr>
      </w:pPr>
    </w:p>
    <w:p>
      <w:pPr>
        <w:spacing w:before="156" w:beforeLines="50" w:after="156" w:afterLines="50" w:line="360" w:lineRule="auto"/>
        <w:rPr>
          <w:rFonts w:hint="eastAsia" w:ascii="Calibri" w:hAnsi="Calibri" w:eastAsia="方正黑体简体" w:cs="Times New Roman"/>
          <w:sz w:val="32"/>
          <w:szCs w:val="32"/>
        </w:rPr>
      </w:pPr>
    </w:p>
    <w:p>
      <w:pPr>
        <w:spacing w:before="156" w:beforeLines="50" w:after="156" w:afterLines="50" w:line="360" w:lineRule="auto"/>
        <w:rPr>
          <w:rFonts w:ascii="Calibri" w:hAnsi="Calibri" w:eastAsia="方正黑体简体" w:cs="Times New Roman"/>
          <w:sz w:val="32"/>
          <w:szCs w:val="32"/>
        </w:rPr>
      </w:pPr>
      <w:r>
        <w:rPr>
          <w:rFonts w:hint="eastAsia" w:ascii="Calibri" w:hAnsi="Calibri" w:eastAsia="方正黑体简体" w:cs="Times New Roman"/>
          <w:sz w:val="32"/>
          <w:szCs w:val="32"/>
        </w:rPr>
        <w:t>附件</w:t>
      </w:r>
      <w:r>
        <w:rPr>
          <w:rFonts w:ascii="Calibri" w:hAnsi="Calibri" w:eastAsia="方正黑体简体" w:cs="Times New Roman"/>
          <w:sz w:val="32"/>
          <w:szCs w:val="32"/>
        </w:rPr>
        <w:t>2</w:t>
      </w:r>
    </w:p>
    <w:p>
      <w:pPr>
        <w:spacing w:line="700" w:lineRule="exact"/>
        <w:jc w:val="center"/>
        <w:rPr>
          <w:rFonts w:hint="eastAsia" w:ascii="方正小标宋简体" w:hAnsi="黑体" w:eastAsia="方正小标宋简体" w:cs="Times New Roman"/>
          <w:sz w:val="30"/>
          <w:szCs w:val="30"/>
        </w:rPr>
      </w:pPr>
      <w:r>
        <w:rPr>
          <w:rFonts w:hint="eastAsia" w:ascii="方正小标宋简体" w:hAnsi="黑体" w:eastAsia="方正小标宋简体" w:cs="Times New Roman"/>
          <w:sz w:val="30"/>
          <w:szCs w:val="30"/>
        </w:rPr>
        <w:t>诉求事件数据标准</w:t>
      </w:r>
    </w:p>
    <w:p>
      <w:pPr>
        <w:spacing w:line="700" w:lineRule="exact"/>
        <w:jc w:val="center"/>
        <w:rPr>
          <w:rFonts w:hint="eastAsia" w:ascii="方正小标宋简体" w:hAnsi="黑体" w:eastAsia="方正小标宋简体" w:cs="Times New Roman"/>
          <w:sz w:val="44"/>
          <w:szCs w:val="44"/>
        </w:rPr>
      </w:pPr>
    </w:p>
    <w:tbl>
      <w:tblPr>
        <w:tblStyle w:val="4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7"/>
        <w:gridCol w:w="1845"/>
        <w:gridCol w:w="1102"/>
        <w:gridCol w:w="1276"/>
        <w:gridCol w:w="1276"/>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b/>
                <w:bCs/>
                <w:sz w:val="24"/>
              </w:rPr>
            </w:pPr>
            <w:r>
              <w:rPr>
                <w:rFonts w:hint="eastAsia" w:ascii="Calibri" w:cs="Times New Roman"/>
                <w:b/>
                <w:bCs/>
                <w:sz w:val="24"/>
              </w:rPr>
              <w:t>名称</w:t>
            </w:r>
          </w:p>
        </w:tc>
        <w:tc>
          <w:tcPr>
            <w:tcW w:w="1845" w:type="dxa"/>
            <w:noWrap w:val="0"/>
            <w:vAlign w:val="top"/>
          </w:tcPr>
          <w:p>
            <w:pPr>
              <w:spacing w:line="300" w:lineRule="exact"/>
              <w:rPr>
                <w:rFonts w:ascii="Calibri" w:hAnsi="Calibri" w:cs="Times New Roman"/>
                <w:b/>
                <w:bCs/>
                <w:sz w:val="24"/>
              </w:rPr>
            </w:pPr>
            <w:r>
              <w:rPr>
                <w:rFonts w:hint="eastAsia" w:ascii="Calibri" w:cs="Times New Roman"/>
                <w:b/>
                <w:bCs/>
                <w:sz w:val="24"/>
              </w:rPr>
              <w:t>标识符</w:t>
            </w:r>
          </w:p>
        </w:tc>
        <w:tc>
          <w:tcPr>
            <w:tcW w:w="1102" w:type="dxa"/>
            <w:noWrap w:val="0"/>
            <w:vAlign w:val="top"/>
          </w:tcPr>
          <w:p>
            <w:pPr>
              <w:spacing w:line="300" w:lineRule="exact"/>
              <w:rPr>
                <w:rFonts w:ascii="Calibri" w:hAnsi="Calibri" w:cs="Times New Roman"/>
                <w:b/>
                <w:bCs/>
                <w:sz w:val="24"/>
              </w:rPr>
            </w:pPr>
            <w:r>
              <w:rPr>
                <w:rFonts w:hint="eastAsia" w:ascii="Calibri" w:cs="Times New Roman"/>
                <w:b/>
                <w:bCs/>
                <w:sz w:val="24"/>
              </w:rPr>
              <w:t>类型</w:t>
            </w:r>
          </w:p>
        </w:tc>
        <w:tc>
          <w:tcPr>
            <w:tcW w:w="1276" w:type="dxa"/>
            <w:noWrap w:val="0"/>
            <w:vAlign w:val="top"/>
          </w:tcPr>
          <w:p>
            <w:pPr>
              <w:spacing w:line="300" w:lineRule="exact"/>
              <w:rPr>
                <w:rFonts w:ascii="Calibri" w:hAnsi="Calibri" w:cs="Times New Roman"/>
                <w:b/>
                <w:bCs/>
                <w:sz w:val="24"/>
              </w:rPr>
            </w:pPr>
            <w:r>
              <w:rPr>
                <w:rFonts w:hint="eastAsia" w:ascii="Calibri" w:cs="Times New Roman"/>
                <w:b/>
                <w:bCs/>
                <w:sz w:val="24"/>
              </w:rPr>
              <w:t>长度</w:t>
            </w:r>
          </w:p>
        </w:tc>
        <w:tc>
          <w:tcPr>
            <w:tcW w:w="1276" w:type="dxa"/>
            <w:noWrap w:val="0"/>
            <w:vAlign w:val="top"/>
          </w:tcPr>
          <w:p>
            <w:pPr>
              <w:spacing w:line="300" w:lineRule="exact"/>
              <w:rPr>
                <w:rFonts w:ascii="Calibri" w:hAnsi="Calibri" w:cs="Times New Roman"/>
                <w:b/>
                <w:bCs/>
                <w:sz w:val="24"/>
              </w:rPr>
            </w:pPr>
            <w:r>
              <w:rPr>
                <w:rFonts w:hint="eastAsia" w:ascii="Calibri" w:cs="Times New Roman"/>
                <w:b/>
                <w:bCs/>
                <w:sz w:val="24"/>
              </w:rPr>
              <w:t>必选</w:t>
            </w:r>
            <w:r>
              <w:rPr>
                <w:rFonts w:ascii="Calibri" w:hAnsi="Calibri" w:cs="Times New Roman"/>
                <w:b/>
                <w:bCs/>
                <w:sz w:val="24"/>
              </w:rPr>
              <w:t>/</w:t>
            </w:r>
            <w:r>
              <w:rPr>
                <w:rFonts w:hint="eastAsia" w:ascii="Calibri" w:cs="Times New Roman"/>
                <w:b/>
                <w:bCs/>
                <w:sz w:val="24"/>
              </w:rPr>
              <w:t>可选</w:t>
            </w:r>
          </w:p>
        </w:tc>
        <w:tc>
          <w:tcPr>
            <w:tcW w:w="1559" w:type="dxa"/>
            <w:noWrap w:val="0"/>
            <w:vAlign w:val="top"/>
          </w:tcPr>
          <w:p>
            <w:pPr>
              <w:spacing w:line="300" w:lineRule="exact"/>
              <w:rPr>
                <w:rFonts w:ascii="Calibri" w:hAnsi="Calibri" w:cs="Times New Roman"/>
                <w:b/>
                <w:bCs/>
                <w:sz w:val="24"/>
              </w:rPr>
            </w:pPr>
            <w:r>
              <w:rPr>
                <w:rFonts w:hint="eastAsia" w:ascii="Calibri" w:cs="Times New Roman"/>
                <w:b/>
                <w:bCs/>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第三方系统事件办理唯一编号</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dldcode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事件标题</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eventtitle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事件大类</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sjddl</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事件小类</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eventcategory</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10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事件细类</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eventclass</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15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诉求类型</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shuqiu_type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sz w:val="24"/>
              </w:rPr>
            </w:pPr>
            <w:r>
              <w:rPr>
                <w:rFonts w:hint="eastAsia" w:ascii="Calibri" w:cs="Times New Roman"/>
                <w:kern w:val="0"/>
                <w:sz w:val="24"/>
              </w:rPr>
              <w:t>事件规模</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eventtype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事件发生地址</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eventaddress</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100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事件等级</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eventlevel</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事件描述</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eventcontent</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2000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经度</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eventlongitude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30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纬度</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eventlatitude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30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事件发生街道</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eventjd</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事件发生社区</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eventsq</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事件发生网格</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eventwg</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备注</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answerremake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事件涉及人数</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eventsjrs</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int</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提供人姓名</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tgrxm</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提供人联系方式</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tgrlxfs</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20</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提供人性别</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tgrxb</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信息来源</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informsource_value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b/>
                <w:bCs/>
                <w:sz w:val="24"/>
              </w:rPr>
            </w:pPr>
            <w:r>
              <w:rPr>
                <w:rFonts w:ascii="Calibri" w:hAnsi="Calibri" w:cs="Times New Roman"/>
                <w:sz w:val="24"/>
              </w:rPr>
              <w:t>R</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码表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是否自处理</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self_flag</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5</w:t>
            </w: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ind w:firstLine="480" w:firstLineChars="200"/>
              <w:outlineLvl w:val="2"/>
              <w:rPr>
                <w:rFonts w:ascii="Calibri" w:hAnsi="Calibri" w:cs="Times New Roman"/>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创建时间</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createtime</w:t>
            </w:r>
          </w:p>
        </w:tc>
        <w:tc>
          <w:tcPr>
            <w:tcW w:w="1102" w:type="dxa"/>
            <w:noWrap w:val="0"/>
            <w:vAlign w:val="top"/>
          </w:tcPr>
          <w:p>
            <w:pPr>
              <w:spacing w:line="300" w:lineRule="exact"/>
              <w:rPr>
                <w:rFonts w:ascii="Calibri" w:hAnsi="Calibri" w:cs="Times New Roman"/>
                <w:sz w:val="24"/>
              </w:rPr>
            </w:pPr>
            <w:r>
              <w:rPr>
                <w:rFonts w:ascii="Calibri" w:hAnsi="Calibri" w:cs="Times New Roman"/>
                <w:sz w:val="24"/>
              </w:rPr>
              <w:t>string</w:t>
            </w:r>
          </w:p>
        </w:tc>
        <w:tc>
          <w:tcPr>
            <w:tcW w:w="1276"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R</w:t>
            </w:r>
          </w:p>
        </w:tc>
        <w:tc>
          <w:tcPr>
            <w:tcW w:w="1559" w:type="dxa"/>
            <w:noWrap w:val="0"/>
            <w:vAlign w:val="top"/>
          </w:tcPr>
          <w:p>
            <w:pPr>
              <w:spacing w:line="300" w:lineRule="exact"/>
              <w:rPr>
                <w:rFonts w:ascii="Calibri" w:hAnsi="Calibri" w:cs="Times New Roman"/>
                <w:sz w:val="24"/>
              </w:rPr>
            </w:pPr>
            <w:r>
              <w:rPr>
                <w:rFonts w:ascii="Calibri" w:hAnsi="Calibri" w:cs="Times New Roman"/>
                <w:sz w:val="24"/>
              </w:rPr>
              <w:t>yyyy-mm-dd hh24:mi:ss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当事人</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persons</w:t>
            </w:r>
          </w:p>
        </w:tc>
        <w:tc>
          <w:tcPr>
            <w:tcW w:w="1102"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当事人集合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97" w:type="dxa"/>
            <w:noWrap w:val="0"/>
            <w:vAlign w:val="top"/>
          </w:tcPr>
          <w:p>
            <w:pPr>
              <w:spacing w:line="300" w:lineRule="exact"/>
              <w:rPr>
                <w:rFonts w:ascii="Calibri" w:hAnsi="Calibri" w:cs="Times New Roman"/>
                <w:kern w:val="0"/>
                <w:sz w:val="24"/>
              </w:rPr>
            </w:pPr>
            <w:r>
              <w:rPr>
                <w:rFonts w:hint="eastAsia" w:ascii="Calibri" w:cs="Times New Roman"/>
                <w:kern w:val="0"/>
                <w:sz w:val="24"/>
              </w:rPr>
              <w:t>图片附件</w:t>
            </w:r>
          </w:p>
        </w:tc>
        <w:tc>
          <w:tcPr>
            <w:tcW w:w="1845" w:type="dxa"/>
            <w:noWrap w:val="0"/>
            <w:vAlign w:val="top"/>
          </w:tcPr>
          <w:p>
            <w:pPr>
              <w:spacing w:line="300" w:lineRule="exact"/>
              <w:rPr>
                <w:rFonts w:ascii="Calibri" w:hAnsi="Calibri" w:cs="Times New Roman"/>
                <w:sz w:val="24"/>
              </w:rPr>
            </w:pPr>
            <w:r>
              <w:rPr>
                <w:rFonts w:ascii="Calibri" w:hAnsi="Calibri" w:cs="Times New Roman"/>
                <w:kern w:val="0"/>
                <w:sz w:val="24"/>
              </w:rPr>
              <w:t>medialib</w:t>
            </w:r>
          </w:p>
        </w:tc>
        <w:tc>
          <w:tcPr>
            <w:tcW w:w="1102"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ind w:firstLine="480" w:firstLineChars="200"/>
              <w:outlineLvl w:val="2"/>
              <w:rPr>
                <w:rFonts w:ascii="Calibri" w:hAnsi="Calibri" w:cs="Times New Roman"/>
                <w:sz w:val="24"/>
              </w:rPr>
            </w:pPr>
          </w:p>
        </w:tc>
        <w:tc>
          <w:tcPr>
            <w:tcW w:w="1276" w:type="dxa"/>
            <w:noWrap w:val="0"/>
            <w:vAlign w:val="top"/>
          </w:tcPr>
          <w:p>
            <w:pPr>
              <w:spacing w:line="300" w:lineRule="exact"/>
              <w:rPr>
                <w:rFonts w:ascii="Calibri" w:hAnsi="Calibri" w:cs="Times New Roman"/>
                <w:sz w:val="24"/>
              </w:rPr>
            </w:pPr>
            <w:r>
              <w:rPr>
                <w:rFonts w:ascii="Calibri" w:hAnsi="Calibri" w:cs="Times New Roman"/>
                <w:sz w:val="24"/>
              </w:rPr>
              <w:t>O</w:t>
            </w:r>
          </w:p>
        </w:tc>
        <w:tc>
          <w:tcPr>
            <w:tcW w:w="1559" w:type="dxa"/>
            <w:noWrap w:val="0"/>
            <w:vAlign w:val="top"/>
          </w:tcPr>
          <w:p>
            <w:pPr>
              <w:spacing w:line="300" w:lineRule="exact"/>
              <w:rPr>
                <w:rFonts w:ascii="Calibri" w:hAnsi="Calibri" w:cs="Times New Roman"/>
                <w:sz w:val="24"/>
              </w:rPr>
            </w:pPr>
            <w:r>
              <w:rPr>
                <w:rFonts w:hint="eastAsia" w:ascii="Calibri" w:cs="Times New Roman"/>
                <w:sz w:val="24"/>
              </w:rPr>
              <w:t>附件集合</w:t>
            </w:r>
          </w:p>
        </w:tc>
      </w:tr>
    </w:tbl>
    <w:p>
      <w:pPr>
        <w:pStyle w:val="317"/>
        <w:ind w:firstLine="480"/>
        <w:rPr>
          <w:rFonts w:hint="eastAsia"/>
          <w:szCs w:val="24"/>
        </w:rPr>
      </w:pPr>
    </w:p>
    <w:p>
      <w:pPr>
        <w:pStyle w:val="317"/>
        <w:ind w:firstLine="480"/>
        <w:rPr>
          <w:rFonts w:hint="eastAsia"/>
          <w:szCs w:val="24"/>
        </w:rPr>
      </w:pPr>
    </w:p>
    <w:p>
      <w:pPr>
        <w:widowControl/>
        <w:jc w:val="left"/>
        <w:outlineLvl w:val="1"/>
        <w:rPr>
          <w:rFonts w:hint="eastAsia" w:cs="Times New Roman"/>
          <w:b/>
          <w:bCs/>
          <w:color w:val="000000"/>
          <w:kern w:val="0"/>
          <w:sz w:val="32"/>
          <w:szCs w:val="32"/>
          <w:lang w:bidi="ar"/>
        </w:rPr>
      </w:pPr>
      <w:bookmarkStart w:id="407" w:name="_Toc19750"/>
      <w:bookmarkStart w:id="408" w:name="_Toc29324"/>
      <w:bookmarkStart w:id="409" w:name="_Toc32042"/>
      <w:bookmarkStart w:id="410" w:name="_Toc16709"/>
      <w:bookmarkStart w:id="411" w:name="_Toc5775"/>
      <w:bookmarkStart w:id="412" w:name="_Toc44337710"/>
      <w:bookmarkStart w:id="413" w:name="_Toc3647"/>
      <w:bookmarkStart w:id="414" w:name="_Toc32104"/>
      <w:bookmarkStart w:id="415" w:name="_Toc31367"/>
      <w:bookmarkStart w:id="416" w:name="_Toc32744"/>
    </w:p>
    <w:p>
      <w:pPr>
        <w:widowControl/>
        <w:jc w:val="left"/>
        <w:outlineLvl w:val="1"/>
        <w:rPr>
          <w:rFonts w:cs="Times New Roman"/>
          <w:b/>
          <w:bCs/>
          <w:color w:val="000000"/>
          <w:kern w:val="0"/>
          <w:sz w:val="32"/>
          <w:szCs w:val="32"/>
          <w:lang w:bidi="ar"/>
        </w:rPr>
      </w:pPr>
      <w:bookmarkStart w:id="417" w:name="_Toc79061677"/>
      <w:bookmarkStart w:id="418" w:name="_Toc27657"/>
      <w:bookmarkStart w:id="419" w:name="_Toc12074"/>
      <w:bookmarkStart w:id="420" w:name="_Toc8860"/>
      <w:r>
        <w:rPr>
          <w:rFonts w:hint="eastAsia" w:cs="Times New Roman"/>
          <w:b/>
          <w:bCs/>
          <w:color w:val="000000"/>
          <w:kern w:val="0"/>
          <w:sz w:val="32"/>
          <w:szCs w:val="32"/>
          <w:lang w:bidi="ar"/>
        </w:rPr>
        <w:t>3.2. 系统拓扑</w:t>
      </w:r>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p>
    <w:p>
      <w:pPr>
        <w:widowControl/>
        <w:ind w:firstLine="562"/>
        <w:outlineLvl w:val="2"/>
        <w:rPr>
          <w:rFonts w:ascii="Calibri" w:hAnsi="Calibri" w:cs="Times New Roman"/>
        </w:rPr>
      </w:pPr>
      <w:bookmarkStart w:id="421" w:name="_Toc79061678"/>
      <w:bookmarkStart w:id="422" w:name="_Toc19775"/>
      <w:bookmarkStart w:id="423" w:name="_Toc405"/>
      <w:bookmarkStart w:id="424" w:name="_Toc28161"/>
      <w:bookmarkStart w:id="425" w:name="_Toc6746"/>
      <w:bookmarkStart w:id="426" w:name="_Toc22526"/>
      <w:bookmarkStart w:id="427" w:name="_Toc7503"/>
      <w:bookmarkStart w:id="428" w:name="_Toc27928"/>
      <w:r>
        <w:rPr>
          <w:rFonts w:hint="eastAsia" w:cs="Times New Roman"/>
          <w:b/>
          <w:bCs/>
          <w:color w:val="000000"/>
          <w:kern w:val="0"/>
          <w:sz w:val="28"/>
          <w:szCs w:val="28"/>
          <w:lang w:bidi="ar"/>
        </w:rPr>
        <w:t>3.2.1“智慧平安小区”</w:t>
      </w:r>
      <w:bookmarkEnd w:id="421"/>
    </w:p>
    <w:p>
      <w:pPr>
        <w:pStyle w:val="317"/>
        <w:ind w:firstLine="480"/>
      </w:pPr>
      <w:r>
        <w:rPr>
          <w:rFonts w:hint="eastAsia"/>
        </w:rPr>
        <w:t>智慧平安小区系统采用组件架构，每个组件承担不同能力，从能力上分为共性业务组件、通用服务组件、基础环境组件。</w:t>
      </w:r>
    </w:p>
    <w:p>
      <w:pPr>
        <w:pStyle w:val="317"/>
        <w:ind w:firstLine="480"/>
      </w:pPr>
      <w:r>
        <w:drawing>
          <wp:anchor distT="0" distB="0" distL="114300" distR="114300" simplePos="0" relativeHeight="251659264" behindDoc="1" locked="0" layoutInCell="1" allowOverlap="1">
            <wp:simplePos x="0" y="0"/>
            <wp:positionH relativeFrom="column">
              <wp:posOffset>-144145</wp:posOffset>
            </wp:positionH>
            <wp:positionV relativeFrom="paragraph">
              <wp:posOffset>861060</wp:posOffset>
            </wp:positionV>
            <wp:extent cx="5541010" cy="4603750"/>
            <wp:effectExtent l="0" t="0" r="8890" b="6350"/>
            <wp:wrapNone/>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2"/>
                    <a:stretch>
                      <a:fillRect/>
                    </a:stretch>
                  </pic:blipFill>
                  <pic:spPr>
                    <a:xfrm>
                      <a:off x="0" y="0"/>
                      <a:ext cx="5541010" cy="4603750"/>
                    </a:xfrm>
                    <a:prstGeom prst="rect">
                      <a:avLst/>
                    </a:prstGeom>
                    <a:noFill/>
                    <a:ln>
                      <a:noFill/>
                    </a:ln>
                  </pic:spPr>
                </pic:pic>
              </a:graphicData>
            </a:graphic>
          </wp:anchor>
        </w:drawing>
      </w:r>
      <w:r>
        <w:rPr>
          <w:rFonts w:hint="eastAsia"/>
        </w:rPr>
        <w:t>业务整体分为：智慧平安小区警务管理平台、智慧平安小区管理服务平台，每类业务由各自领域的组件组合而成。业务组件依赖通用服务组件及基础环境组件的能力。</w:t>
      </w: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317"/>
        <w:ind w:left="480" w:firstLine="0" w:firstLineChars="0"/>
        <w:jc w:val="center"/>
      </w:pPr>
    </w:p>
    <w:p>
      <w:pPr>
        <w:pStyle w:val="14"/>
        <w:numPr>
          <w:ilvl w:val="0"/>
          <w:numId w:val="38"/>
        </w:numPr>
        <w:spacing w:before="163" w:after="163"/>
        <w:ind w:firstLine="480"/>
        <w:rPr>
          <w:rFonts w:eastAsia="宋体"/>
        </w:rPr>
      </w:pPr>
      <w:r>
        <w:rPr>
          <w:rFonts w:ascii="宋体" w:hAnsi="宋体" w:eastAsia="宋体"/>
          <w:szCs w:val="21"/>
        </w:rPr>
        <w:t>系统</w:t>
      </w:r>
      <w:r>
        <w:rPr>
          <w:rFonts w:hint="eastAsia" w:ascii="宋体" w:hAnsi="宋体" w:eastAsia="宋体"/>
          <w:szCs w:val="21"/>
        </w:rPr>
        <w:t>示意</w:t>
      </w:r>
      <w:r>
        <w:rPr>
          <w:rFonts w:ascii="宋体" w:hAnsi="宋体" w:eastAsia="宋体"/>
          <w:szCs w:val="21"/>
        </w:rPr>
        <w:t>图</w:t>
      </w:r>
    </w:p>
    <w:p>
      <w:pPr>
        <w:ind w:firstLine="643"/>
        <w:rPr>
          <w:rFonts w:cs="Times New Roman"/>
          <w:b/>
          <w:bCs/>
          <w:color w:val="000000"/>
          <w:kern w:val="0"/>
          <w:sz w:val="32"/>
          <w:szCs w:val="32"/>
          <w:lang w:bidi="ar"/>
        </w:rPr>
      </w:pPr>
    </w:p>
    <w:p>
      <w:pPr>
        <w:ind w:firstLine="643"/>
        <w:rPr>
          <w:rFonts w:cs="Times New Roman"/>
          <w:b/>
          <w:bCs/>
          <w:color w:val="000000"/>
          <w:kern w:val="0"/>
          <w:sz w:val="32"/>
          <w:szCs w:val="32"/>
          <w:lang w:bidi="ar"/>
        </w:rPr>
      </w:pPr>
    </w:p>
    <w:p>
      <w:pPr>
        <w:ind w:firstLine="643"/>
        <w:rPr>
          <w:rFonts w:cs="Times New Roman"/>
          <w:b/>
          <w:bCs/>
          <w:color w:val="000000"/>
          <w:kern w:val="0"/>
          <w:sz w:val="32"/>
          <w:szCs w:val="32"/>
          <w:lang w:bidi="ar"/>
        </w:rPr>
      </w:pPr>
    </w:p>
    <w:p>
      <w:pPr>
        <w:widowControl/>
        <w:rPr>
          <w:rFonts w:cs="Times New Roman"/>
          <w:b/>
          <w:bCs/>
          <w:color w:val="000000"/>
          <w:kern w:val="0"/>
          <w:sz w:val="28"/>
          <w:szCs w:val="28"/>
          <w:lang w:bidi="ar"/>
        </w:rPr>
      </w:pPr>
      <w:r>
        <w:rPr>
          <w:b/>
          <w:bCs/>
          <w:color w:val="000000"/>
          <w:kern w:val="0"/>
          <w:sz w:val="28"/>
          <w:szCs w:val="28"/>
        </w:rPr>
        <w:drawing>
          <wp:inline distT="0" distB="0" distL="114300" distR="114300">
            <wp:extent cx="5267960" cy="2931795"/>
            <wp:effectExtent l="0" t="0" r="2540" b="1905"/>
            <wp:docPr id="3" name="图片 1" descr="1606010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1606010704(1)"/>
                    <pic:cNvPicPr>
                      <a:picLocks noChangeAspect="1"/>
                    </pic:cNvPicPr>
                  </pic:nvPicPr>
                  <pic:blipFill>
                    <a:blip r:embed="rId13"/>
                    <a:stretch>
                      <a:fillRect/>
                    </a:stretch>
                  </pic:blipFill>
                  <pic:spPr>
                    <a:xfrm>
                      <a:off x="0" y="0"/>
                      <a:ext cx="5267960" cy="2931795"/>
                    </a:xfrm>
                    <a:prstGeom prst="rect">
                      <a:avLst/>
                    </a:prstGeom>
                    <a:noFill/>
                    <a:ln>
                      <a:noFill/>
                    </a:ln>
                  </pic:spPr>
                </pic:pic>
              </a:graphicData>
            </a:graphic>
          </wp:inline>
        </w:drawing>
      </w:r>
    </w:p>
    <w:p>
      <w:pPr>
        <w:pStyle w:val="14"/>
        <w:widowControl/>
        <w:numPr>
          <w:ilvl w:val="0"/>
          <w:numId w:val="38"/>
        </w:numPr>
        <w:spacing w:before="163" w:after="163"/>
        <w:ind w:firstLine="480"/>
        <w:rPr>
          <w:rFonts w:ascii="宋体" w:hAnsi="宋体" w:eastAsia="宋体"/>
          <w:b/>
          <w:bCs/>
          <w:color w:val="000000"/>
          <w:kern w:val="0"/>
          <w:sz w:val="32"/>
          <w:szCs w:val="32"/>
          <w:lang w:bidi="ar"/>
        </w:rPr>
      </w:pPr>
      <w:r>
        <w:rPr>
          <w:rFonts w:hint="eastAsia" w:eastAsia="宋体"/>
        </w:rPr>
        <w:t>数据流向图</w:t>
      </w:r>
    </w:p>
    <w:p>
      <w:pPr>
        <w:ind w:firstLine="643"/>
        <w:rPr>
          <w:rFonts w:cs="Times New Roman"/>
          <w:b/>
          <w:bCs/>
          <w:color w:val="000000"/>
          <w:kern w:val="0"/>
          <w:sz w:val="32"/>
          <w:szCs w:val="32"/>
          <w:lang w:bidi="ar"/>
        </w:rPr>
      </w:pPr>
    </w:p>
    <w:p>
      <w:pPr>
        <w:widowControl/>
        <w:jc w:val="left"/>
        <w:outlineLvl w:val="1"/>
        <w:rPr>
          <w:rFonts w:cs="Times New Roman"/>
          <w:b/>
          <w:bCs/>
          <w:color w:val="000000"/>
          <w:kern w:val="0"/>
          <w:sz w:val="32"/>
          <w:szCs w:val="32"/>
          <w:lang w:bidi="ar"/>
        </w:rPr>
      </w:pPr>
      <w:bookmarkStart w:id="429" w:name="_Toc7964"/>
      <w:bookmarkStart w:id="430" w:name="_Toc21453"/>
      <w:bookmarkStart w:id="431" w:name="_Toc6477"/>
      <w:bookmarkStart w:id="432" w:name="_Toc12800"/>
      <w:bookmarkStart w:id="433" w:name="_Toc79061679"/>
      <w:bookmarkStart w:id="434" w:name="_Toc2588"/>
      <w:bookmarkStart w:id="435" w:name="_Toc29441"/>
      <w:bookmarkStart w:id="436" w:name="_Toc19100"/>
      <w:bookmarkStart w:id="437" w:name="_Toc18233"/>
      <w:bookmarkStart w:id="438" w:name="_Toc21948"/>
      <w:bookmarkStart w:id="439" w:name="_Toc690"/>
      <w:bookmarkStart w:id="440" w:name="_Toc18049"/>
      <w:bookmarkStart w:id="441" w:name="_Toc18235"/>
      <w:r>
        <w:rPr>
          <w:rFonts w:hint="eastAsia" w:cs="Times New Roman"/>
          <w:b/>
          <w:bCs/>
          <w:color w:val="000000"/>
          <w:kern w:val="0"/>
          <w:sz w:val="32"/>
          <w:szCs w:val="32"/>
          <w:lang w:bidi="ar"/>
        </w:rPr>
        <w:t>3.3 设计思路及原则</w:t>
      </w:r>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r>
        <w:rPr>
          <w:rFonts w:hint="eastAsia" w:cs="Times New Roman"/>
          <w:b/>
          <w:bCs/>
          <w:color w:val="000000"/>
          <w:kern w:val="0"/>
          <w:sz w:val="32"/>
          <w:szCs w:val="32"/>
          <w:lang w:bidi="ar"/>
        </w:rPr>
        <w:t xml:space="preserve"> </w:t>
      </w:r>
    </w:p>
    <w:p>
      <w:pPr>
        <w:widowControl/>
        <w:ind w:firstLine="562"/>
        <w:outlineLvl w:val="2"/>
        <w:rPr>
          <w:rFonts w:ascii="Calibri" w:hAnsi="Calibri" w:cs="Times New Roman"/>
        </w:rPr>
      </w:pPr>
      <w:bookmarkStart w:id="442" w:name="_Toc79061680"/>
      <w:r>
        <w:rPr>
          <w:rFonts w:hint="eastAsia" w:cs="Times New Roman"/>
          <w:b/>
          <w:bCs/>
          <w:color w:val="000000"/>
          <w:kern w:val="0"/>
          <w:sz w:val="28"/>
          <w:szCs w:val="28"/>
          <w:lang w:bidi="ar"/>
        </w:rPr>
        <w:t>3.3.1“智慧平安小区”</w:t>
      </w:r>
      <w:bookmarkEnd w:id="442"/>
    </w:p>
    <w:p>
      <w:pPr>
        <w:widowControl/>
        <w:numPr>
          <w:ilvl w:val="1"/>
          <w:numId w:val="0"/>
        </w:numPr>
        <w:ind w:firstLine="420" w:firstLineChars="200"/>
        <w:jc w:val="left"/>
        <w:rPr>
          <w:rFonts w:cs="Times New Roman"/>
          <w:b/>
          <w:bCs/>
          <w:color w:val="000000"/>
          <w:kern w:val="0"/>
          <w:sz w:val="32"/>
          <w:szCs w:val="32"/>
          <w:lang w:bidi="ar"/>
        </w:rPr>
      </w:pPr>
      <w:bookmarkStart w:id="443" w:name="_Toc10626"/>
      <w:bookmarkStart w:id="444" w:name="_Toc30886"/>
      <w:bookmarkStart w:id="445" w:name="_Toc13086"/>
      <w:bookmarkStart w:id="446" w:name="_Toc32465"/>
      <w:bookmarkStart w:id="447" w:name="_Toc19204"/>
      <w:bookmarkStart w:id="448" w:name="_Toc4545"/>
      <w:bookmarkStart w:id="449" w:name="_Toc24994"/>
      <w:bookmarkStart w:id="450" w:name="_Toc22616"/>
      <w:bookmarkStart w:id="451" w:name="_Toc15755"/>
      <w:bookmarkStart w:id="452" w:name="_Toc22630"/>
      <w:r>
        <w:rPr>
          <w:rFonts w:hint="eastAsia" w:cs="Times New Roman"/>
        </w:rPr>
        <w:t>通过开展智慧平安小区建设，全面适时采集进出小区的人员、车辆信息，为社区干部、网格员及时掌握小区实有人口动态情况提供便利，为进出小区外来人群、流动人口服务管理创造条件，为小区孤寡老人、留守儿童等特殊人群的关爱服务提供保障，推动院落居民自主服务、自我管理，群防群治、共建共享。同时，借助智慧平台，与公安机关等部门信息开展关联比对，做到对高危人群和违法犯罪人员的预防预警，最大限度提升小区院落防控智能化、精准化水平。</w:t>
      </w:r>
      <w:bookmarkEnd w:id="443"/>
      <w:bookmarkEnd w:id="444"/>
      <w:bookmarkEnd w:id="445"/>
      <w:bookmarkStart w:id="453" w:name="_Toc24670"/>
      <w:bookmarkStart w:id="454" w:name="_Toc29031"/>
    </w:p>
    <w:p>
      <w:pPr>
        <w:widowControl/>
        <w:jc w:val="left"/>
        <w:outlineLvl w:val="1"/>
        <w:rPr>
          <w:rFonts w:cs="Times New Roman"/>
          <w:b/>
          <w:bCs/>
          <w:color w:val="000000"/>
          <w:kern w:val="0"/>
          <w:sz w:val="32"/>
          <w:szCs w:val="32"/>
          <w:lang w:bidi="ar"/>
        </w:rPr>
      </w:pPr>
      <w:bookmarkStart w:id="455" w:name="_Toc79061681"/>
      <w:bookmarkStart w:id="456" w:name="_Toc9364"/>
      <w:bookmarkStart w:id="457" w:name="_Toc3752"/>
      <w:bookmarkStart w:id="458" w:name="_Toc3518"/>
      <w:bookmarkStart w:id="459" w:name="_Toc16212"/>
      <w:bookmarkStart w:id="460" w:name="_Toc7036"/>
      <w:bookmarkStart w:id="461" w:name="_Toc11513"/>
      <w:bookmarkStart w:id="462" w:name="_Toc3635"/>
      <w:bookmarkStart w:id="463" w:name="_Toc7057"/>
      <w:bookmarkStart w:id="464" w:name="_Toc298"/>
      <w:bookmarkStart w:id="465" w:name="_Toc9820"/>
      <w:r>
        <w:rPr>
          <w:rFonts w:hint="eastAsia" w:cs="Times New Roman"/>
          <w:b/>
          <w:bCs/>
          <w:color w:val="000000"/>
          <w:kern w:val="0"/>
          <w:sz w:val="32"/>
          <w:szCs w:val="32"/>
          <w:lang w:bidi="ar"/>
        </w:rPr>
        <w:t>3.4 设计对象及范围</w:t>
      </w:r>
      <w:bookmarkEnd w:id="453"/>
      <w:bookmarkEnd w:id="454"/>
      <w:bookmarkEnd w:id="455"/>
      <w:bookmarkEnd w:id="456"/>
      <w:bookmarkEnd w:id="457"/>
      <w:bookmarkEnd w:id="458"/>
      <w:bookmarkEnd w:id="459"/>
      <w:bookmarkEnd w:id="460"/>
      <w:bookmarkEnd w:id="461"/>
      <w:bookmarkEnd w:id="462"/>
      <w:bookmarkEnd w:id="463"/>
      <w:bookmarkEnd w:id="464"/>
      <w:bookmarkEnd w:id="465"/>
      <w:r>
        <w:rPr>
          <w:rFonts w:hint="eastAsia" w:cs="Times New Roman"/>
          <w:b/>
          <w:bCs/>
          <w:color w:val="000000"/>
          <w:kern w:val="0"/>
          <w:sz w:val="32"/>
          <w:szCs w:val="32"/>
          <w:lang w:bidi="ar"/>
        </w:rPr>
        <w:t xml:space="preserve"> </w:t>
      </w:r>
    </w:p>
    <w:p>
      <w:pPr>
        <w:widowControl/>
        <w:ind w:firstLine="562"/>
        <w:outlineLvl w:val="2"/>
        <w:rPr>
          <w:rFonts w:ascii="Calibri" w:hAnsi="Calibri" w:cs="Times New Roman"/>
        </w:rPr>
      </w:pPr>
      <w:bookmarkStart w:id="466" w:name="_Toc79061682"/>
      <w:r>
        <w:rPr>
          <w:rFonts w:hint="eastAsia" w:cs="Times New Roman"/>
          <w:b/>
          <w:bCs/>
          <w:color w:val="000000"/>
          <w:kern w:val="0"/>
          <w:sz w:val="28"/>
          <w:szCs w:val="28"/>
          <w:lang w:bidi="ar"/>
        </w:rPr>
        <w:t>3.4.1“智慧平安小区”</w:t>
      </w:r>
      <w:bookmarkEnd w:id="466"/>
    </w:p>
    <w:bookmarkEnd w:id="446"/>
    <w:bookmarkEnd w:id="447"/>
    <w:bookmarkEnd w:id="448"/>
    <w:bookmarkEnd w:id="449"/>
    <w:bookmarkEnd w:id="450"/>
    <w:bookmarkEnd w:id="451"/>
    <w:bookmarkEnd w:id="452"/>
    <w:p>
      <w:pPr>
        <w:widowControl/>
        <w:ind w:firstLine="480"/>
        <w:jc w:val="left"/>
        <w:rPr>
          <w:rFonts w:cs="Times New Roman"/>
          <w:color w:val="000000"/>
          <w:kern w:val="0"/>
          <w:szCs w:val="24"/>
          <w:lang w:bidi="ar"/>
        </w:rPr>
      </w:pPr>
      <w:r>
        <w:rPr>
          <w:rFonts w:hint="eastAsia" w:cs="Times New Roman"/>
          <w:color w:val="000000"/>
          <w:kern w:val="0"/>
          <w:szCs w:val="24"/>
          <w:lang w:bidi="ar"/>
        </w:rPr>
        <w:t>本次建设范围为温江区32个小区，分别为：</w:t>
      </w:r>
    </w:p>
    <w:tbl>
      <w:tblPr>
        <w:tblStyle w:val="43"/>
        <w:tblW w:w="8262" w:type="dxa"/>
        <w:tblInd w:w="0" w:type="dxa"/>
        <w:tblLayout w:type="fixed"/>
        <w:tblCellMar>
          <w:top w:w="0" w:type="dxa"/>
          <w:left w:w="0" w:type="dxa"/>
          <w:bottom w:w="0" w:type="dxa"/>
          <w:right w:w="0" w:type="dxa"/>
        </w:tblCellMar>
      </w:tblPr>
      <w:tblGrid>
        <w:gridCol w:w="2664"/>
        <w:gridCol w:w="2883"/>
        <w:gridCol w:w="2715"/>
      </w:tblGrid>
      <w:tr>
        <w:tblPrEx>
          <w:tblCellMar>
            <w:top w:w="0" w:type="dxa"/>
            <w:left w:w="0" w:type="dxa"/>
            <w:bottom w:w="0" w:type="dxa"/>
            <w:right w:w="0" w:type="dxa"/>
          </w:tblCellMar>
        </w:tblPrEx>
        <w:trPr>
          <w:trHeight w:val="90"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金马街道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1、蓉西新城A区</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2、鱼凫小区B区</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3、新春苑</w:t>
            </w:r>
          </w:p>
        </w:tc>
      </w:tr>
      <w:tr>
        <w:tblPrEx>
          <w:tblCellMar>
            <w:top w:w="0" w:type="dxa"/>
            <w:left w:w="0" w:type="dxa"/>
            <w:bottom w:w="0" w:type="dxa"/>
            <w:right w:w="0" w:type="dxa"/>
          </w:tblCellMar>
        </w:tblPrEx>
        <w:trPr>
          <w:trHeight w:val="380"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万春镇</w:t>
            </w:r>
          </w:p>
        </w:tc>
      </w:tr>
      <w:tr>
        <w:tblPrEx>
          <w:tblCellMar>
            <w:top w:w="0" w:type="dxa"/>
            <w:left w:w="0" w:type="dxa"/>
            <w:bottom w:w="0" w:type="dxa"/>
            <w:right w:w="0" w:type="dxa"/>
          </w:tblCellMar>
        </w:tblPrEx>
        <w:trPr>
          <w:trHeight w:val="528"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1、报恩家园</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2、春江里</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528"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天府街道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1、学府芳邻3期</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528"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公平街道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1、长安盛景2期</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312"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柳城街道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1、上河居</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2、柳欣源</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3、逸然居</w:t>
            </w:r>
          </w:p>
        </w:tc>
      </w:tr>
      <w:tr>
        <w:tblPrEx>
          <w:tblCellMar>
            <w:top w:w="0" w:type="dxa"/>
            <w:left w:w="0" w:type="dxa"/>
            <w:bottom w:w="0" w:type="dxa"/>
            <w:right w:w="0" w:type="dxa"/>
          </w:tblCellMar>
        </w:tblPrEx>
        <w:trPr>
          <w:trHeight w:val="528"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4、万春苑小区</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5、金博林居A区</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6、金博林居C区</w:t>
            </w:r>
          </w:p>
        </w:tc>
      </w:tr>
      <w:tr>
        <w:tblPrEx>
          <w:tblCellMar>
            <w:top w:w="0" w:type="dxa"/>
            <w:left w:w="0" w:type="dxa"/>
            <w:bottom w:w="0" w:type="dxa"/>
            <w:right w:w="0" w:type="dxa"/>
          </w:tblCellMar>
        </w:tblPrEx>
        <w:trPr>
          <w:trHeight w:val="312"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和盛镇</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1、东宫美阁</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2、湖畔湾</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3、和美盛景2期</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4、柳岸花邻A1</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5、柳岸花邻A2</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6、柳岸花邻A3</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7、柳岸花邻A4</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8、柳岸花邻B1</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9、柳岸花邻B2</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10、柳岸花邻B3</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11、柳岸花邻B4</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12、柳岸花邻C1</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40"/>
              <w:jc w:val="left"/>
              <w:textAlignment w:val="center"/>
              <w:rPr>
                <w:rFonts w:cs="Times New Roman"/>
                <w:color w:val="000000"/>
                <w:sz w:val="22"/>
              </w:rPr>
            </w:pPr>
            <w:r>
              <w:rPr>
                <w:rFonts w:hint="eastAsia" w:cs="Times New Roman"/>
                <w:color w:val="000000"/>
                <w:kern w:val="0"/>
                <w:sz w:val="22"/>
                <w:lang w:bidi="ar"/>
              </w:rPr>
              <w:t>13、柳岸花邻C2</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cs="Times New Roman"/>
                <w:color w:val="000000"/>
                <w:sz w:val="22"/>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jc w:val="center"/>
              <w:rPr>
                <w:rFonts w:cs="Times New Roman"/>
                <w:color w:val="000000"/>
                <w:sz w:val="22"/>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312"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永宁街道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1、芙蓉家苑62号院</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2、康城嘉苑1、2期</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 xml:space="preserve"> 3、田园花篱</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4、芙蓉水居一期</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312"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寿安镇</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1、金河阳光苑</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r>
        <w:tblPrEx>
          <w:tblCellMar>
            <w:top w:w="0" w:type="dxa"/>
            <w:left w:w="0" w:type="dxa"/>
            <w:bottom w:w="0" w:type="dxa"/>
            <w:right w:w="0" w:type="dxa"/>
          </w:tblCellMar>
        </w:tblPrEx>
        <w:trPr>
          <w:trHeight w:val="312" w:hRule="atLeast"/>
        </w:trPr>
        <w:tc>
          <w:tcPr>
            <w:tcW w:w="8262" w:type="dxa"/>
            <w:gridSpan w:val="3"/>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2"/>
              <w:jc w:val="center"/>
              <w:textAlignment w:val="center"/>
              <w:rPr>
                <w:rFonts w:cs="Times New Roman"/>
                <w:b/>
                <w:color w:val="000000"/>
                <w:szCs w:val="24"/>
              </w:rPr>
            </w:pPr>
            <w:r>
              <w:rPr>
                <w:rFonts w:hint="eastAsia" w:cs="Times New Roman"/>
                <w:b/>
                <w:color w:val="000000"/>
                <w:kern w:val="0"/>
                <w:szCs w:val="24"/>
                <w:lang w:bidi="ar"/>
              </w:rPr>
              <w:t>涌泉街道</w:t>
            </w:r>
          </w:p>
        </w:tc>
      </w:tr>
      <w:tr>
        <w:tblPrEx>
          <w:tblCellMar>
            <w:top w:w="0" w:type="dxa"/>
            <w:left w:w="0" w:type="dxa"/>
            <w:bottom w:w="0" w:type="dxa"/>
            <w:right w:w="0" w:type="dxa"/>
          </w:tblCellMar>
        </w:tblPrEx>
        <w:trPr>
          <w:trHeight w:val="312" w:hRule="atLeast"/>
        </w:trPr>
        <w:tc>
          <w:tcPr>
            <w:tcW w:w="2664"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left"/>
              <w:textAlignment w:val="center"/>
              <w:rPr>
                <w:rFonts w:cs="Times New Roman"/>
                <w:color w:val="000000"/>
                <w:szCs w:val="24"/>
              </w:rPr>
            </w:pPr>
            <w:r>
              <w:rPr>
                <w:rFonts w:hint="eastAsia" w:cs="Times New Roman"/>
                <w:color w:val="000000"/>
                <w:kern w:val="0"/>
                <w:szCs w:val="24"/>
                <w:lang w:bidi="ar"/>
              </w:rPr>
              <w:t>1、宁和苑</w:t>
            </w:r>
          </w:p>
        </w:tc>
        <w:tc>
          <w:tcPr>
            <w:tcW w:w="2883"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c>
          <w:tcPr>
            <w:tcW w:w="2715" w:type="dxa"/>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w:t>
            </w:r>
          </w:p>
        </w:tc>
      </w:tr>
    </w:tbl>
    <w:p>
      <w:pPr>
        <w:widowControl/>
        <w:rPr>
          <w:rFonts w:cs="Times New Roman"/>
          <w:b/>
          <w:bCs/>
          <w:color w:val="000000"/>
          <w:kern w:val="0"/>
          <w:sz w:val="44"/>
          <w:szCs w:val="44"/>
          <w:lang w:bidi="ar"/>
        </w:rPr>
      </w:pPr>
      <w:bookmarkStart w:id="467" w:name="_Toc13223"/>
      <w:bookmarkStart w:id="468" w:name="_Toc9737"/>
      <w:bookmarkStart w:id="469" w:name="_Toc9650"/>
      <w:bookmarkStart w:id="470" w:name="_Toc21600"/>
      <w:bookmarkStart w:id="471" w:name="_Toc17293"/>
    </w:p>
    <w:p>
      <w:pPr>
        <w:widowControl/>
        <w:jc w:val="center"/>
        <w:outlineLvl w:val="0"/>
        <w:rPr>
          <w:rFonts w:cs="Times New Roman"/>
          <w:b/>
          <w:bCs/>
          <w:color w:val="000000"/>
          <w:kern w:val="0"/>
          <w:sz w:val="44"/>
          <w:szCs w:val="44"/>
          <w:lang w:bidi="ar"/>
        </w:rPr>
      </w:pPr>
      <w:bookmarkStart w:id="472" w:name="_Toc22488"/>
      <w:bookmarkStart w:id="473" w:name="_Toc5745"/>
      <w:bookmarkStart w:id="474" w:name="_Toc32761"/>
      <w:bookmarkStart w:id="475" w:name="_Toc79061683"/>
      <w:bookmarkStart w:id="476" w:name="_Toc27648"/>
      <w:bookmarkStart w:id="477" w:name="_Toc24608"/>
      <w:bookmarkStart w:id="478" w:name="_Toc11775"/>
      <w:bookmarkStart w:id="479" w:name="_Toc26334"/>
      <w:bookmarkStart w:id="480" w:name="_Toc28427"/>
      <w:bookmarkStart w:id="481" w:name="_Toc9352"/>
      <w:bookmarkStart w:id="482" w:name="_Toc29745"/>
      <w:bookmarkStart w:id="483" w:name="_Toc9572"/>
      <w:r>
        <w:rPr>
          <w:rFonts w:hint="eastAsia" w:cs="Times New Roman"/>
          <w:b/>
          <w:bCs/>
          <w:color w:val="000000"/>
          <w:kern w:val="0"/>
          <w:sz w:val="44"/>
          <w:szCs w:val="44"/>
          <w:lang w:bidi="ar"/>
        </w:rPr>
        <w:t>第四章</w:t>
      </w:r>
      <w:bookmarkStart w:id="484" w:name="_Toc44337713"/>
      <w:r>
        <w:rPr>
          <w:rFonts w:hint="eastAsia" w:cs="Times New Roman"/>
          <w:b/>
          <w:bCs/>
          <w:color w:val="000000"/>
          <w:kern w:val="0"/>
          <w:sz w:val="44"/>
          <w:szCs w:val="44"/>
          <w:lang w:bidi="ar"/>
        </w:rPr>
        <w:t xml:space="preserve"> </w:t>
      </w:r>
      <w:bookmarkEnd w:id="467"/>
      <w:bookmarkEnd w:id="468"/>
      <w:bookmarkEnd w:id="469"/>
      <w:bookmarkEnd w:id="470"/>
      <w:bookmarkEnd w:id="471"/>
      <w:bookmarkEnd w:id="472"/>
      <w:bookmarkEnd w:id="484"/>
      <w:r>
        <w:rPr>
          <w:rFonts w:hint="eastAsia" w:cs="Times New Roman"/>
          <w:b/>
          <w:bCs/>
          <w:color w:val="000000"/>
          <w:kern w:val="0"/>
          <w:sz w:val="44"/>
          <w:szCs w:val="44"/>
          <w:lang w:bidi="ar"/>
        </w:rPr>
        <w:t>系统详细设计</w:t>
      </w:r>
      <w:bookmarkEnd w:id="473"/>
      <w:bookmarkEnd w:id="474"/>
      <w:bookmarkEnd w:id="475"/>
      <w:bookmarkEnd w:id="476"/>
      <w:bookmarkEnd w:id="477"/>
      <w:bookmarkEnd w:id="478"/>
      <w:bookmarkEnd w:id="479"/>
      <w:bookmarkEnd w:id="480"/>
      <w:bookmarkEnd w:id="481"/>
      <w:bookmarkEnd w:id="482"/>
      <w:bookmarkEnd w:id="483"/>
    </w:p>
    <w:p>
      <w:pPr>
        <w:widowControl/>
        <w:jc w:val="left"/>
        <w:outlineLvl w:val="1"/>
        <w:rPr>
          <w:rFonts w:cs="Times New Roman"/>
          <w:b/>
          <w:bCs/>
          <w:color w:val="000000"/>
          <w:kern w:val="0"/>
          <w:sz w:val="32"/>
          <w:szCs w:val="32"/>
          <w:lang w:bidi="ar"/>
        </w:rPr>
      </w:pPr>
      <w:bookmarkStart w:id="485" w:name="_Toc27205"/>
      <w:bookmarkStart w:id="486" w:name="_Toc2390"/>
      <w:bookmarkStart w:id="487" w:name="_Toc44337714"/>
      <w:bookmarkStart w:id="488" w:name="_Toc79061684"/>
      <w:bookmarkStart w:id="489" w:name="_Toc5988"/>
      <w:bookmarkStart w:id="490" w:name="_Toc18189"/>
      <w:bookmarkStart w:id="491" w:name="_Toc24080"/>
      <w:bookmarkStart w:id="492" w:name="_Toc28084"/>
      <w:bookmarkStart w:id="493" w:name="_Toc3447"/>
      <w:bookmarkStart w:id="494" w:name="_Toc2853"/>
      <w:bookmarkStart w:id="495" w:name="_Toc26943"/>
      <w:bookmarkStart w:id="496" w:name="_Toc15886"/>
      <w:bookmarkStart w:id="497" w:name="_Toc21252"/>
      <w:bookmarkStart w:id="498" w:name="_Toc4763"/>
      <w:bookmarkStart w:id="499" w:name="_Toc31647"/>
      <w:r>
        <w:rPr>
          <w:rFonts w:hint="eastAsia" w:cs="Times New Roman"/>
          <w:b/>
          <w:bCs/>
          <w:color w:val="000000"/>
          <w:kern w:val="0"/>
          <w:sz w:val="32"/>
          <w:szCs w:val="32"/>
          <w:lang w:bidi="ar"/>
        </w:rPr>
        <w:t>4.1设计概述</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p>
    <w:p>
      <w:pPr>
        <w:widowControl/>
        <w:ind w:firstLine="562"/>
        <w:outlineLvl w:val="2"/>
        <w:rPr>
          <w:rFonts w:ascii="Calibri" w:hAnsi="Calibri" w:cs="Times New Roman"/>
        </w:rPr>
      </w:pPr>
      <w:bookmarkStart w:id="500" w:name="_Toc79061685"/>
      <w:r>
        <w:rPr>
          <w:rFonts w:hint="eastAsia" w:cs="Times New Roman"/>
          <w:b/>
          <w:bCs/>
          <w:color w:val="000000"/>
          <w:kern w:val="0"/>
          <w:sz w:val="28"/>
          <w:szCs w:val="28"/>
          <w:lang w:bidi="ar"/>
        </w:rPr>
        <w:t>4.1.1“智慧平安小区”</w:t>
      </w:r>
      <w:bookmarkEnd w:id="500"/>
    </w:p>
    <w:p>
      <w:pPr>
        <w:widowControl/>
        <w:ind w:firstLine="480"/>
        <w:rPr>
          <w:rFonts w:cs="Times New Roman"/>
          <w:szCs w:val="24"/>
          <w:lang w:val="zh-CN"/>
        </w:rPr>
      </w:pPr>
      <w:r>
        <w:rPr>
          <w:rFonts w:hint="eastAsia" w:cs="Times New Roman"/>
          <w:szCs w:val="24"/>
          <w:lang w:val="zh-CN"/>
        </w:rPr>
        <w:t>智慧平安小区主要通过智能化手段来提升社区的安全等级，以安防为媒介，不依靠人力助力社区的</w:t>
      </w:r>
      <w:r>
        <w:rPr>
          <w:rFonts w:cs="Times New Roman"/>
          <w:szCs w:val="24"/>
          <w:lang w:val="zh-CN"/>
        </w:rPr>
        <w:t>安全</w:t>
      </w:r>
      <w:r>
        <w:rPr>
          <w:rFonts w:hint="eastAsia" w:cs="Times New Roman"/>
          <w:szCs w:val="24"/>
          <w:lang w:val="zh-CN"/>
        </w:rPr>
        <w:t>升级，提升社区管理</w:t>
      </w:r>
      <w:r>
        <w:rPr>
          <w:rFonts w:cs="Times New Roman"/>
          <w:szCs w:val="24"/>
          <w:lang w:val="zh-CN"/>
        </w:rPr>
        <w:t>能力</w:t>
      </w:r>
      <w:r>
        <w:rPr>
          <w:rFonts w:hint="eastAsia" w:cs="Times New Roman"/>
          <w:szCs w:val="24"/>
          <w:lang w:val="zh-CN"/>
        </w:rPr>
        <w:t>，</w:t>
      </w:r>
      <w:r>
        <w:rPr>
          <w:rFonts w:cs="Times New Roman"/>
          <w:szCs w:val="24"/>
          <w:lang w:val="zh-CN"/>
        </w:rPr>
        <w:t>为</w:t>
      </w:r>
      <w:r>
        <w:rPr>
          <w:rFonts w:hint="eastAsia" w:cs="Times New Roman"/>
          <w:szCs w:val="24"/>
          <w:lang w:val="zh-CN"/>
        </w:rPr>
        <w:t>社区</w:t>
      </w:r>
      <w:r>
        <w:rPr>
          <w:rFonts w:cs="Times New Roman"/>
          <w:szCs w:val="24"/>
          <w:lang w:val="zh-CN"/>
        </w:rPr>
        <w:t>的智能化发展提供</w:t>
      </w:r>
      <w:r>
        <w:rPr>
          <w:rFonts w:hint="eastAsia" w:cs="Times New Roman"/>
          <w:szCs w:val="24"/>
          <w:lang w:val="zh-CN"/>
        </w:rPr>
        <w:t>强有力</w:t>
      </w:r>
      <w:r>
        <w:rPr>
          <w:rFonts w:cs="Times New Roman"/>
          <w:szCs w:val="24"/>
          <w:lang w:val="zh-CN"/>
        </w:rPr>
        <w:t>的数据应用支撑。</w:t>
      </w:r>
    </w:p>
    <w:p>
      <w:pPr>
        <w:widowControl/>
        <w:jc w:val="left"/>
        <w:outlineLvl w:val="1"/>
        <w:rPr>
          <w:rFonts w:cs="Times New Roman"/>
          <w:b/>
          <w:bCs/>
          <w:color w:val="000000"/>
          <w:kern w:val="0"/>
          <w:sz w:val="32"/>
          <w:szCs w:val="32"/>
          <w:lang w:bidi="ar"/>
        </w:rPr>
      </w:pPr>
      <w:bookmarkStart w:id="501" w:name="_Toc370"/>
      <w:bookmarkStart w:id="502" w:name="_Toc1245"/>
      <w:bookmarkStart w:id="503" w:name="_Toc11946"/>
      <w:bookmarkStart w:id="504" w:name="_Toc5715"/>
      <w:bookmarkStart w:id="505" w:name="_Toc9935"/>
      <w:bookmarkStart w:id="506" w:name="_Toc27052"/>
      <w:bookmarkStart w:id="507" w:name="_Toc12332"/>
      <w:bookmarkStart w:id="508" w:name="_Toc14215"/>
      <w:bookmarkStart w:id="509" w:name="_Toc15404"/>
      <w:bookmarkStart w:id="510" w:name="_Toc28174"/>
      <w:bookmarkStart w:id="511" w:name="_Toc17279"/>
      <w:bookmarkStart w:id="512" w:name="_Toc7776"/>
      <w:bookmarkStart w:id="513" w:name="_Toc79061686"/>
      <w:r>
        <w:rPr>
          <w:rFonts w:hint="eastAsia" w:cs="Times New Roman"/>
          <w:b/>
          <w:bCs/>
          <w:color w:val="000000"/>
          <w:kern w:val="0"/>
          <w:sz w:val="32"/>
          <w:szCs w:val="32"/>
          <w:lang w:bidi="ar"/>
        </w:rPr>
        <w:t>4.2应用架构</w:t>
      </w:r>
      <w:bookmarkEnd w:id="501"/>
      <w:bookmarkEnd w:id="502"/>
      <w:bookmarkEnd w:id="503"/>
      <w:bookmarkEnd w:id="504"/>
      <w:bookmarkEnd w:id="505"/>
      <w:bookmarkEnd w:id="506"/>
      <w:bookmarkEnd w:id="507"/>
      <w:bookmarkEnd w:id="508"/>
      <w:bookmarkEnd w:id="509"/>
      <w:bookmarkEnd w:id="510"/>
      <w:bookmarkEnd w:id="511"/>
      <w:bookmarkEnd w:id="512"/>
      <w:bookmarkEnd w:id="513"/>
    </w:p>
    <w:p>
      <w:pPr>
        <w:widowControl/>
        <w:ind w:firstLine="562"/>
        <w:outlineLvl w:val="2"/>
        <w:rPr>
          <w:rFonts w:cs="Times New Roman"/>
          <w:b/>
          <w:bCs/>
          <w:color w:val="000000"/>
          <w:kern w:val="0"/>
          <w:sz w:val="28"/>
          <w:szCs w:val="28"/>
          <w:lang w:bidi="ar"/>
        </w:rPr>
      </w:pPr>
      <w:r>
        <w:drawing>
          <wp:anchor distT="0" distB="0" distL="114300" distR="114300" simplePos="0" relativeHeight="251661312" behindDoc="1" locked="0" layoutInCell="1" allowOverlap="1">
            <wp:simplePos x="0" y="0"/>
            <wp:positionH relativeFrom="column">
              <wp:posOffset>229235</wp:posOffset>
            </wp:positionH>
            <wp:positionV relativeFrom="paragraph">
              <wp:posOffset>311150</wp:posOffset>
            </wp:positionV>
            <wp:extent cx="4553585" cy="3192780"/>
            <wp:effectExtent l="0" t="0" r="5715" b="7620"/>
            <wp:wrapNone/>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14"/>
                    <a:stretch>
                      <a:fillRect/>
                    </a:stretch>
                  </pic:blipFill>
                  <pic:spPr>
                    <a:xfrm>
                      <a:off x="0" y="0"/>
                      <a:ext cx="4553585" cy="3192780"/>
                    </a:xfrm>
                    <a:prstGeom prst="rect">
                      <a:avLst/>
                    </a:prstGeom>
                    <a:noFill/>
                    <a:ln>
                      <a:noFill/>
                    </a:ln>
                  </pic:spPr>
                </pic:pic>
              </a:graphicData>
            </a:graphic>
          </wp:anchor>
        </w:drawing>
      </w:r>
      <w:bookmarkStart w:id="514" w:name="_Toc79061687"/>
      <w:r>
        <w:rPr>
          <w:rFonts w:hint="eastAsia" w:cs="Times New Roman"/>
          <w:b/>
          <w:bCs/>
          <w:color w:val="000000"/>
          <w:kern w:val="0"/>
          <w:sz w:val="28"/>
          <w:szCs w:val="28"/>
          <w:lang w:bidi="ar"/>
        </w:rPr>
        <w:t>4.2.1“智慧平安小区”</w:t>
      </w:r>
      <w:bookmarkEnd w:id="514"/>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widowControl/>
        <w:ind w:firstLine="480"/>
        <w:jc w:val="center"/>
        <w:rPr>
          <w:rFonts w:ascii="Calibri" w:hAnsi="Calibri" w:cs="Times New Roman"/>
        </w:rPr>
      </w:pPr>
    </w:p>
    <w:p>
      <w:pPr>
        <w:pStyle w:val="2"/>
        <w:rPr>
          <w:rFonts w:cs="Times New Roman"/>
        </w:rPr>
      </w:pPr>
    </w:p>
    <w:p>
      <w:pPr>
        <w:pStyle w:val="14"/>
        <w:widowControl/>
        <w:numPr>
          <w:ilvl w:val="0"/>
          <w:numId w:val="38"/>
        </w:numPr>
        <w:spacing w:before="163" w:after="163"/>
        <w:ind w:firstLine="480"/>
        <w:rPr>
          <w:rFonts w:eastAsia="宋体"/>
        </w:rPr>
      </w:pPr>
      <w:r>
        <w:rPr>
          <w:rFonts w:hint="eastAsia" w:ascii="宋体" w:hAnsi="宋体" w:eastAsia="宋体"/>
          <w:szCs w:val="21"/>
        </w:rPr>
        <w:t>智能安防</w:t>
      </w:r>
      <w:r>
        <w:rPr>
          <w:rFonts w:ascii="宋体" w:hAnsi="宋体" w:eastAsia="宋体"/>
          <w:szCs w:val="21"/>
        </w:rPr>
        <w:t>拓扑图</w:t>
      </w:r>
      <w:bookmarkStart w:id="515" w:name="_Toc7285"/>
    </w:p>
    <w:p>
      <w:pPr>
        <w:widowControl/>
        <w:jc w:val="center"/>
        <w:rPr>
          <w:rFonts w:cs="Times New Roman"/>
          <w:b/>
          <w:bCs/>
          <w:color w:val="000000"/>
          <w:kern w:val="0"/>
          <w:sz w:val="32"/>
          <w:szCs w:val="32"/>
          <w:lang w:bidi="ar"/>
        </w:rPr>
      </w:pPr>
    </w:p>
    <w:p>
      <w:pPr>
        <w:widowControl/>
        <w:jc w:val="left"/>
        <w:outlineLvl w:val="1"/>
        <w:rPr>
          <w:rFonts w:cs="Times New Roman"/>
          <w:b/>
          <w:bCs/>
          <w:color w:val="000000"/>
          <w:kern w:val="0"/>
          <w:sz w:val="32"/>
          <w:szCs w:val="32"/>
          <w:lang w:bidi="ar"/>
        </w:rPr>
      </w:pPr>
      <w:bookmarkStart w:id="516" w:name="_Toc2917"/>
      <w:bookmarkStart w:id="517" w:name="_Toc25638"/>
      <w:bookmarkStart w:id="518" w:name="_Toc22778"/>
      <w:bookmarkStart w:id="519" w:name="_Toc31273"/>
      <w:bookmarkStart w:id="520" w:name="_Toc20313"/>
      <w:bookmarkStart w:id="521" w:name="_Toc25581"/>
      <w:bookmarkStart w:id="522" w:name="_Toc9895"/>
      <w:bookmarkStart w:id="523" w:name="_Toc15692"/>
      <w:bookmarkStart w:id="524" w:name="_Toc79061688"/>
      <w:bookmarkStart w:id="525" w:name="_Toc32623"/>
      <w:bookmarkStart w:id="526" w:name="_Toc20863"/>
      <w:bookmarkStart w:id="527" w:name="_Toc27454"/>
      <w:bookmarkStart w:id="528" w:name="_Toc9757"/>
      <w:bookmarkStart w:id="529" w:name="_Toc25293"/>
      <w:bookmarkStart w:id="530" w:name="_Toc3896"/>
      <w:bookmarkStart w:id="531" w:name="_Toc15262"/>
      <w:r>
        <w:rPr>
          <w:rFonts w:hint="eastAsia" w:cs="Times New Roman"/>
          <w:b/>
          <w:bCs/>
          <w:color w:val="000000"/>
          <w:kern w:val="0"/>
          <w:sz w:val="32"/>
          <w:szCs w:val="32"/>
          <w:lang w:bidi="ar"/>
        </w:rPr>
        <w:t>4.3管理平台系统</w:t>
      </w:r>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Pr>
          <w:rFonts w:hint="eastAsia" w:cs="Times New Roman"/>
          <w:b/>
          <w:bCs/>
          <w:color w:val="000000"/>
          <w:kern w:val="0"/>
          <w:sz w:val="32"/>
          <w:szCs w:val="32"/>
          <w:lang w:bidi="ar"/>
        </w:rPr>
        <w:t xml:space="preserve"> </w:t>
      </w:r>
    </w:p>
    <w:p>
      <w:pPr>
        <w:widowControl/>
        <w:jc w:val="left"/>
        <w:outlineLvl w:val="2"/>
        <w:rPr>
          <w:rFonts w:cs="Times New Roman"/>
          <w:b/>
          <w:bCs/>
          <w:kern w:val="0"/>
          <w:sz w:val="28"/>
          <w:szCs w:val="28"/>
          <w:lang w:bidi="ar"/>
        </w:rPr>
      </w:pPr>
      <w:bookmarkStart w:id="532" w:name="_Toc20427"/>
      <w:bookmarkStart w:id="533" w:name="_Toc79061689"/>
      <w:bookmarkStart w:id="534" w:name="_Toc4044"/>
      <w:r>
        <w:rPr>
          <w:rFonts w:hint="eastAsia" w:cs="Times New Roman"/>
          <w:b/>
          <w:bCs/>
          <w:kern w:val="0"/>
          <w:sz w:val="28"/>
          <w:szCs w:val="28"/>
          <w:lang w:bidi="ar"/>
        </w:rPr>
        <w:t>4.3.1</w:t>
      </w:r>
      <w:bookmarkEnd w:id="532"/>
      <w:r>
        <w:rPr>
          <w:rFonts w:hint="eastAsia" w:cs="Times New Roman"/>
          <w:b/>
          <w:bCs/>
          <w:kern w:val="0"/>
          <w:sz w:val="28"/>
          <w:szCs w:val="28"/>
          <w:lang w:bidi="ar"/>
        </w:rPr>
        <w:t>智慧平安小区治安警务管理平台</w:t>
      </w:r>
      <w:bookmarkEnd w:id="533"/>
      <w:bookmarkEnd w:id="534"/>
    </w:p>
    <w:p>
      <w:pPr>
        <w:pStyle w:val="88"/>
        <w:snapToGrid w:val="0"/>
        <w:spacing w:line="480" w:lineRule="exact"/>
        <w:ind w:firstLine="480"/>
        <w:rPr>
          <w:color w:val="000000"/>
        </w:rPr>
      </w:pPr>
      <w:r>
        <w:rPr>
          <w:rFonts w:hint="eastAsia"/>
          <w:color w:val="000000"/>
        </w:rPr>
        <w:t>治安警务管理平台的顶层设计应站在全局的高度，采用大数据分析和AI人工智能技术，从业务和技术两大范畴，从业务架构、应用架构、数据架构、基础设施架构四个方面，提供基于建设需求的人员、</w:t>
      </w:r>
      <w:r>
        <w:rPr>
          <w:rFonts w:hint="eastAsia"/>
        </w:rPr>
        <w:t>房屋、车辆等信息的大数据分析和联动共享，能够对影响社会风险的警情等数据进行可</w:t>
      </w:r>
      <w:r>
        <w:rPr>
          <w:rFonts w:hint="eastAsia"/>
          <w:color w:val="000000"/>
        </w:rPr>
        <w:t>视化、精细化的掌控，为政府相关部门日常管理、应急指挥提供决策依据。该平台属于政法委所有，建设方不得私自留存相关数据，平台部署于政务云（相关单位须在取得政法委同意的前提下，开展数据共享交换）具体功能实现如下：</w:t>
      </w:r>
    </w:p>
    <w:p>
      <w:pPr>
        <w:pStyle w:val="88"/>
        <w:adjustRightInd w:val="0"/>
        <w:snapToGrid w:val="0"/>
        <w:spacing w:line="480" w:lineRule="exact"/>
        <w:ind w:firstLine="480"/>
        <w:rPr>
          <w:color w:val="000000"/>
        </w:rPr>
      </w:pPr>
      <w:r>
        <w:rPr>
          <w:rFonts w:hint="eastAsia"/>
          <w:color w:val="000000"/>
        </w:rPr>
        <w:t>1.小区数据，统计平台中的小区数量，不同类型的小区占比；</w:t>
      </w:r>
    </w:p>
    <w:p>
      <w:pPr>
        <w:pStyle w:val="88"/>
        <w:adjustRightInd w:val="0"/>
        <w:snapToGrid w:val="0"/>
        <w:spacing w:line="480" w:lineRule="exact"/>
        <w:ind w:firstLine="470" w:firstLineChars="196"/>
        <w:rPr>
          <w:color w:val="000000"/>
        </w:rPr>
      </w:pPr>
      <w:r>
        <w:rPr>
          <w:rFonts w:hint="eastAsia"/>
          <w:color w:val="000000"/>
        </w:rPr>
        <w:t>2.房屋数据，统计房屋总量和入住率，以及房屋不同使用类型的占比；</w:t>
      </w:r>
    </w:p>
    <w:p>
      <w:pPr>
        <w:pStyle w:val="88"/>
        <w:adjustRightInd w:val="0"/>
        <w:snapToGrid w:val="0"/>
        <w:spacing w:line="480" w:lineRule="exact"/>
        <w:ind w:firstLine="470" w:firstLineChars="196"/>
        <w:rPr>
          <w:color w:val="000000"/>
        </w:rPr>
      </w:pPr>
      <w:r>
        <w:rPr>
          <w:rFonts w:hint="eastAsia"/>
          <w:color w:val="000000"/>
        </w:rPr>
        <w:t>3.人口数据，统计人口总数以及流动人口和常住人口的数量和占比；</w:t>
      </w:r>
    </w:p>
    <w:p>
      <w:pPr>
        <w:pStyle w:val="88"/>
        <w:adjustRightInd w:val="0"/>
        <w:snapToGrid w:val="0"/>
        <w:spacing w:line="480" w:lineRule="exact"/>
        <w:ind w:firstLine="470" w:firstLineChars="196"/>
        <w:rPr>
          <w:color w:val="000000"/>
        </w:rPr>
      </w:pPr>
      <w:r>
        <w:rPr>
          <w:rFonts w:hint="eastAsia"/>
          <w:color w:val="000000"/>
        </w:rPr>
        <w:t>4.出行记录，统计实时人流量和实时车流量；</w:t>
      </w:r>
    </w:p>
    <w:p>
      <w:pPr>
        <w:pStyle w:val="88"/>
        <w:adjustRightInd w:val="0"/>
        <w:snapToGrid w:val="0"/>
        <w:spacing w:line="480" w:lineRule="exact"/>
        <w:ind w:firstLine="470" w:firstLineChars="196"/>
        <w:rPr>
          <w:color w:val="000000"/>
        </w:rPr>
      </w:pPr>
      <w:r>
        <w:rPr>
          <w:rFonts w:hint="eastAsia"/>
          <w:color w:val="000000"/>
        </w:rPr>
        <w:t>5.居民活动轨迹，将人员和车辆活跃的位置投射到二维地图上进行直观的展示；</w:t>
      </w:r>
    </w:p>
    <w:p>
      <w:pPr>
        <w:pStyle w:val="88"/>
        <w:adjustRightInd w:val="0"/>
        <w:snapToGrid w:val="0"/>
        <w:spacing w:line="480" w:lineRule="exact"/>
        <w:ind w:firstLine="470" w:firstLineChars="196"/>
        <w:rPr>
          <w:color w:val="000000"/>
        </w:rPr>
      </w:pPr>
      <w:r>
        <w:rPr>
          <w:rFonts w:hint="eastAsia"/>
          <w:color w:val="000000"/>
        </w:rPr>
        <w:t>6.今日告警，轮播的形式展示不同类型的实时告警，如人员黑名单/车辆黑名单/人流告警/尾随告警/周界告警；</w:t>
      </w:r>
    </w:p>
    <w:p>
      <w:pPr>
        <w:pStyle w:val="88"/>
        <w:adjustRightInd w:val="0"/>
        <w:snapToGrid w:val="0"/>
        <w:spacing w:line="480" w:lineRule="exact"/>
        <w:ind w:firstLine="470" w:firstLineChars="196"/>
        <w:rPr>
          <w:color w:val="000000"/>
        </w:rPr>
      </w:pPr>
      <w:r>
        <w:rPr>
          <w:rFonts w:hint="eastAsia"/>
          <w:color w:val="000000"/>
        </w:rPr>
        <w:t>7.安全指数排行，由高到低展示系统内各小区的安全指数得分；</w:t>
      </w:r>
    </w:p>
    <w:p>
      <w:pPr>
        <w:pStyle w:val="88"/>
        <w:adjustRightInd w:val="0"/>
        <w:snapToGrid w:val="0"/>
        <w:spacing w:line="480" w:lineRule="exact"/>
        <w:ind w:firstLine="470" w:firstLineChars="196"/>
        <w:rPr>
          <w:color w:val="000000"/>
        </w:rPr>
      </w:pPr>
      <w:r>
        <w:rPr>
          <w:rFonts w:hint="eastAsia"/>
          <w:color w:val="000000"/>
        </w:rPr>
        <w:t>8.人防数据，雷达图展示社区人防力量；</w:t>
      </w:r>
    </w:p>
    <w:p>
      <w:pPr>
        <w:pStyle w:val="88"/>
        <w:adjustRightInd w:val="0"/>
        <w:snapToGrid w:val="0"/>
        <w:spacing w:line="480" w:lineRule="exact"/>
        <w:ind w:firstLine="470" w:firstLineChars="196"/>
        <w:rPr>
          <w:color w:val="000000"/>
        </w:rPr>
      </w:pPr>
      <w:r>
        <w:rPr>
          <w:rFonts w:hint="eastAsia"/>
          <w:color w:val="000000"/>
        </w:rPr>
        <w:t>9.物防数据，柱状图展示区域内物防力量总和，如应急灯，灭火器的数量；</w:t>
      </w:r>
    </w:p>
    <w:p>
      <w:pPr>
        <w:pStyle w:val="88"/>
        <w:adjustRightInd w:val="0"/>
        <w:snapToGrid w:val="0"/>
        <w:spacing w:line="480" w:lineRule="exact"/>
        <w:ind w:firstLine="470" w:firstLineChars="196"/>
        <w:rPr>
          <w:color w:val="000000"/>
        </w:rPr>
      </w:pPr>
      <w:r>
        <w:rPr>
          <w:rFonts w:hint="eastAsia"/>
          <w:color w:val="000000"/>
        </w:rPr>
        <w:t>10.技防数据，柱状图展示区域内技防力量总和，如人流预警系统，视频监控系统的数量；</w:t>
      </w:r>
    </w:p>
    <w:p>
      <w:pPr>
        <w:pStyle w:val="88"/>
        <w:adjustRightInd w:val="0"/>
        <w:snapToGrid w:val="0"/>
        <w:spacing w:line="480" w:lineRule="exact"/>
        <w:ind w:firstLine="470" w:firstLineChars="196"/>
        <w:rPr>
          <w:color w:val="000000"/>
        </w:rPr>
      </w:pPr>
      <w:r>
        <w:rPr>
          <w:rFonts w:hint="eastAsia"/>
          <w:color w:val="000000"/>
        </w:rPr>
        <w:t>11.安防巡查，柱状图和折线图的复合图表形式展示安防巡查情况，反应了综合的巡查次数和巡查合格率；</w:t>
      </w:r>
    </w:p>
    <w:p>
      <w:pPr>
        <w:pStyle w:val="88"/>
        <w:adjustRightInd w:val="0"/>
        <w:snapToGrid w:val="0"/>
        <w:spacing w:line="480" w:lineRule="exact"/>
        <w:ind w:firstLine="470" w:firstLineChars="196"/>
        <w:rPr>
          <w:color w:val="000000"/>
        </w:rPr>
      </w:pPr>
      <w:r>
        <w:rPr>
          <w:rFonts w:hint="eastAsia"/>
          <w:color w:val="000000"/>
        </w:rPr>
        <w:t>12.特殊群体，条形图统计系统内的关爱人员和重点关注人员各类型的总量；</w:t>
      </w:r>
    </w:p>
    <w:p>
      <w:pPr>
        <w:pStyle w:val="88"/>
        <w:adjustRightInd w:val="0"/>
        <w:snapToGrid w:val="0"/>
        <w:spacing w:line="480" w:lineRule="exact"/>
        <w:ind w:firstLine="470" w:firstLineChars="196"/>
        <w:rPr>
          <w:color w:val="000000"/>
        </w:rPr>
      </w:pPr>
      <w:r>
        <w:rPr>
          <w:rFonts w:hint="eastAsia"/>
          <w:color w:val="000000"/>
        </w:rPr>
        <w:t>（一）以图搜图模块：</w:t>
      </w:r>
    </w:p>
    <w:p>
      <w:pPr>
        <w:pStyle w:val="88"/>
        <w:adjustRightInd w:val="0"/>
        <w:snapToGrid w:val="0"/>
        <w:spacing w:line="480" w:lineRule="exact"/>
        <w:ind w:firstLine="470" w:firstLineChars="196"/>
        <w:rPr>
          <w:color w:val="000000"/>
        </w:rPr>
      </w:pPr>
      <w:r>
        <w:rPr>
          <w:rFonts w:hint="eastAsia"/>
          <w:color w:val="000000"/>
        </w:rPr>
        <w:t>通过上传本地图片，系统将通过人脸识别算法，将图片中包含的人脸全部提取出来，并按照设置的相似度范围，逐一进行人脸比对，并将系统中的人员信息按相似度从高到低展示出来。鼠标移入人员头像区域，展示出该人员基本信息，点击可进入到人员详情页面。</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7456" behindDoc="0" locked="0" layoutInCell="1" allowOverlap="1">
            <wp:simplePos x="0" y="0"/>
            <wp:positionH relativeFrom="column">
              <wp:posOffset>137160</wp:posOffset>
            </wp:positionH>
            <wp:positionV relativeFrom="paragraph">
              <wp:posOffset>92710</wp:posOffset>
            </wp:positionV>
            <wp:extent cx="5270500" cy="463550"/>
            <wp:effectExtent l="0" t="0" r="0" b="6350"/>
            <wp:wrapTopAndBottom/>
            <wp:docPr id="8" name="图片 22" descr="16059379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2" descr="1605937981(1)"/>
                    <pic:cNvPicPr>
                      <a:picLocks noChangeAspect="1"/>
                    </pic:cNvPicPr>
                  </pic:nvPicPr>
                  <pic:blipFill>
                    <a:blip r:embed="rId15"/>
                    <a:stretch>
                      <a:fillRect/>
                    </a:stretch>
                  </pic:blipFill>
                  <pic:spPr>
                    <a:xfrm>
                      <a:off x="0" y="0"/>
                      <a:ext cx="5270500" cy="463550"/>
                    </a:xfrm>
                    <a:prstGeom prst="rect">
                      <a:avLst/>
                    </a:prstGeom>
                    <a:noFill/>
                    <a:ln>
                      <a:noFill/>
                    </a:ln>
                  </pic:spPr>
                </pic:pic>
              </a:graphicData>
            </a:graphic>
          </wp:anchor>
        </w:drawing>
      </w:r>
    </w:p>
    <w:p>
      <w:pPr>
        <w:pStyle w:val="88"/>
        <w:adjustRightInd w:val="0"/>
        <w:snapToGrid w:val="0"/>
        <w:spacing w:line="480" w:lineRule="exact"/>
        <w:ind w:firstLine="470" w:firstLineChars="196"/>
        <w:rPr>
          <w:color w:val="000000"/>
        </w:rPr>
      </w:pPr>
      <w:r>
        <w:rPr>
          <w:rFonts w:hint="eastAsia"/>
          <w:color w:val="000000"/>
        </w:rPr>
        <w:t>（二）小区管理模块：</w:t>
      </w:r>
    </w:p>
    <w:p>
      <w:pPr>
        <w:pStyle w:val="88"/>
        <w:adjustRightInd w:val="0"/>
        <w:snapToGrid w:val="0"/>
        <w:spacing w:line="480" w:lineRule="exact"/>
        <w:ind w:firstLine="470" w:firstLineChars="196"/>
        <w:rPr>
          <w:color w:val="000000"/>
        </w:rPr>
      </w:pPr>
      <w:r>
        <w:rPr>
          <w:rFonts w:hint="eastAsia"/>
          <w:color w:val="000000"/>
        </w:rPr>
        <w:t>1.小区数据，二维地图直观展示小区在各个区域内的数量分布情况，条形图展示各个行政区域内的小区数量；</w:t>
      </w:r>
    </w:p>
    <w:p>
      <w:pPr>
        <w:pStyle w:val="88"/>
        <w:adjustRightInd w:val="0"/>
        <w:snapToGrid w:val="0"/>
        <w:spacing w:line="480" w:lineRule="exact"/>
        <w:ind w:firstLine="470" w:firstLineChars="196"/>
        <w:rPr>
          <w:color w:val="000000"/>
        </w:rPr>
      </w:pPr>
      <w:r>
        <w:rPr>
          <w:rFonts w:hint="eastAsia"/>
          <w:color w:val="000000"/>
        </w:rPr>
        <w:t>2.鼠标移入条形图，显示区域名称，小区数量，房屋数量和人口数量；</w:t>
      </w:r>
    </w:p>
    <w:p>
      <w:pPr>
        <w:pStyle w:val="88"/>
        <w:adjustRightInd w:val="0"/>
        <w:snapToGrid w:val="0"/>
        <w:spacing w:line="480" w:lineRule="exact"/>
        <w:ind w:firstLine="470" w:firstLineChars="196"/>
        <w:rPr>
          <w:color w:val="000000"/>
        </w:rPr>
      </w:pPr>
      <w:r>
        <w:rPr>
          <w:rFonts w:hint="eastAsia"/>
          <w:color w:val="000000"/>
        </w:rPr>
        <w:t>列：</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2336" behindDoc="0" locked="0" layoutInCell="1" allowOverlap="1">
            <wp:simplePos x="0" y="0"/>
            <wp:positionH relativeFrom="column">
              <wp:posOffset>838200</wp:posOffset>
            </wp:positionH>
            <wp:positionV relativeFrom="paragraph">
              <wp:posOffset>40005</wp:posOffset>
            </wp:positionV>
            <wp:extent cx="3587115" cy="2512060"/>
            <wp:effectExtent l="0" t="0" r="6985" b="2540"/>
            <wp:wrapTopAndBottom/>
            <wp:docPr id="2" name="图片 17" descr="16059264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1605926454(1)"/>
                    <pic:cNvPicPr>
                      <a:picLocks noChangeAspect="1"/>
                    </pic:cNvPicPr>
                  </pic:nvPicPr>
                  <pic:blipFill>
                    <a:blip r:embed="rId16"/>
                    <a:stretch>
                      <a:fillRect/>
                    </a:stretch>
                  </pic:blipFill>
                  <pic:spPr>
                    <a:xfrm>
                      <a:off x="0" y="0"/>
                      <a:ext cx="3587115" cy="2512060"/>
                    </a:xfrm>
                    <a:prstGeom prst="rect">
                      <a:avLst/>
                    </a:prstGeom>
                    <a:noFill/>
                    <a:ln>
                      <a:noFill/>
                    </a:ln>
                  </pic:spPr>
                </pic:pic>
              </a:graphicData>
            </a:graphic>
          </wp:anchor>
        </w:drawing>
      </w:r>
    </w:p>
    <w:p>
      <w:pPr>
        <w:pStyle w:val="88"/>
        <w:numPr>
          <w:ilvl w:val="0"/>
          <w:numId w:val="39"/>
        </w:numPr>
        <w:adjustRightInd w:val="0"/>
        <w:snapToGrid w:val="0"/>
        <w:spacing w:line="480" w:lineRule="exact"/>
        <w:ind w:firstLine="470" w:firstLineChars="196"/>
        <w:rPr>
          <w:color w:val="000000"/>
        </w:rPr>
      </w:pPr>
      <w:r>
        <w:rPr>
          <w:rFonts w:hint="eastAsia"/>
          <w:color w:val="000000"/>
        </w:rPr>
        <w:t>仪表盘展示混合式、开放式、封闭式不同类型的小区数量和占比；</w:t>
      </w:r>
    </w:p>
    <w:p>
      <w:pPr>
        <w:pStyle w:val="88"/>
        <w:adjustRightInd w:val="0"/>
        <w:snapToGrid w:val="0"/>
        <w:spacing w:line="480" w:lineRule="exact"/>
        <w:rPr>
          <w:color w:val="000000"/>
        </w:rPr>
      </w:pPr>
      <w:r>
        <w:rPr>
          <w:color w:val="000000"/>
        </w:rPr>
        <w:drawing>
          <wp:anchor distT="0" distB="0" distL="114300" distR="114300" simplePos="0" relativeHeight="251666432" behindDoc="0" locked="0" layoutInCell="1" allowOverlap="1">
            <wp:simplePos x="0" y="0"/>
            <wp:positionH relativeFrom="column">
              <wp:posOffset>863600</wp:posOffset>
            </wp:positionH>
            <wp:positionV relativeFrom="paragraph">
              <wp:posOffset>146050</wp:posOffset>
            </wp:positionV>
            <wp:extent cx="3581400" cy="1493520"/>
            <wp:effectExtent l="0" t="0" r="0" b="5080"/>
            <wp:wrapTopAndBottom/>
            <wp:docPr id="5" name="图片 21" descr="1605937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1" descr="1605937885(1)"/>
                    <pic:cNvPicPr>
                      <a:picLocks noChangeAspect="1"/>
                    </pic:cNvPicPr>
                  </pic:nvPicPr>
                  <pic:blipFill>
                    <a:blip r:embed="rId17"/>
                    <a:stretch>
                      <a:fillRect/>
                    </a:stretch>
                  </pic:blipFill>
                  <pic:spPr>
                    <a:xfrm>
                      <a:off x="0" y="0"/>
                      <a:ext cx="3581400" cy="1493520"/>
                    </a:xfrm>
                    <a:prstGeom prst="rect">
                      <a:avLst/>
                    </a:prstGeom>
                    <a:noFill/>
                    <a:ln>
                      <a:noFill/>
                    </a:ln>
                  </pic:spPr>
                </pic:pic>
              </a:graphicData>
            </a:graphic>
          </wp:anchor>
        </w:drawing>
      </w:r>
    </w:p>
    <w:p>
      <w:pPr>
        <w:pStyle w:val="88"/>
        <w:adjustRightInd w:val="0"/>
        <w:snapToGrid w:val="0"/>
        <w:spacing w:line="480" w:lineRule="exact"/>
        <w:ind w:firstLine="470" w:firstLineChars="196"/>
        <w:rPr>
          <w:color w:val="000000"/>
        </w:rPr>
      </w:pPr>
      <w:r>
        <w:rPr>
          <w:rFonts w:hint="eastAsia"/>
          <w:color w:val="000000"/>
        </w:rPr>
        <w:t>4.用列表的形式展示系统中的小区摘要信息，如小区名称，类型，详细地址，经纬度，房屋数量，人口数量，用电量，用水量，天然气用量。并可根据小区名称快速查找。</w:t>
      </w:r>
    </w:p>
    <w:p>
      <w:pPr>
        <w:pStyle w:val="88"/>
        <w:adjustRightInd w:val="0"/>
        <w:snapToGrid w:val="0"/>
        <w:spacing w:line="480" w:lineRule="exact"/>
        <w:ind w:firstLine="470" w:firstLineChars="196"/>
        <w:rPr>
          <w:color w:val="000000"/>
        </w:rPr>
      </w:pPr>
      <w:r>
        <w:rPr>
          <w:rFonts w:hint="eastAsia"/>
          <w:color w:val="000000"/>
        </w:rPr>
        <w:t>（三）房屋管理模块：</w:t>
      </w:r>
    </w:p>
    <w:p>
      <w:pPr>
        <w:pStyle w:val="88"/>
        <w:adjustRightInd w:val="0"/>
        <w:snapToGrid w:val="0"/>
        <w:spacing w:line="480" w:lineRule="exact"/>
        <w:ind w:firstLine="470" w:firstLineChars="196"/>
        <w:rPr>
          <w:color w:val="000000"/>
        </w:rPr>
      </w:pPr>
      <w:r>
        <w:rPr>
          <w:rFonts w:hint="eastAsia"/>
          <w:color w:val="000000"/>
        </w:rPr>
        <w:t>1.房屋数据，二维热力地图直观展示房屋在各个区域内的数量分布情况，颜色越深的地方房屋密度越大；</w:t>
      </w:r>
    </w:p>
    <w:p>
      <w:pPr>
        <w:pStyle w:val="88"/>
        <w:adjustRightInd w:val="0"/>
        <w:snapToGrid w:val="0"/>
        <w:spacing w:line="480" w:lineRule="exact"/>
        <w:ind w:firstLine="470" w:firstLineChars="196"/>
        <w:rPr>
          <w:color w:val="000000"/>
        </w:rPr>
      </w:pPr>
      <w:r>
        <w:rPr>
          <w:rFonts w:hint="eastAsia"/>
          <w:color w:val="000000"/>
        </w:rPr>
        <w:t>2.条形图展示各个行政区域内的房屋总量，鼠标移入条形图，显示区域名称，小区数量，住户数和入住率；</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3360" behindDoc="0" locked="0" layoutInCell="1" allowOverlap="1">
            <wp:simplePos x="0" y="0"/>
            <wp:positionH relativeFrom="column">
              <wp:posOffset>1787525</wp:posOffset>
            </wp:positionH>
            <wp:positionV relativeFrom="paragraph">
              <wp:posOffset>36830</wp:posOffset>
            </wp:positionV>
            <wp:extent cx="2354580" cy="1851660"/>
            <wp:effectExtent l="0" t="0" r="7620" b="2540"/>
            <wp:wrapTopAndBottom/>
            <wp:docPr id="9" name="图片 18" descr="1605936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8" descr="1605936934(1)"/>
                    <pic:cNvPicPr>
                      <a:picLocks noChangeAspect="1"/>
                    </pic:cNvPicPr>
                  </pic:nvPicPr>
                  <pic:blipFill>
                    <a:blip r:embed="rId18"/>
                    <a:stretch>
                      <a:fillRect/>
                    </a:stretch>
                  </pic:blipFill>
                  <pic:spPr>
                    <a:xfrm>
                      <a:off x="0" y="0"/>
                      <a:ext cx="2354580" cy="1851660"/>
                    </a:xfrm>
                    <a:prstGeom prst="rect">
                      <a:avLst/>
                    </a:prstGeom>
                    <a:noFill/>
                    <a:ln>
                      <a:noFill/>
                    </a:ln>
                  </pic:spPr>
                </pic:pic>
              </a:graphicData>
            </a:graphic>
          </wp:anchor>
        </w:drawing>
      </w:r>
      <w:r>
        <w:rPr>
          <w:rFonts w:hint="eastAsia"/>
          <w:color w:val="000000"/>
        </w:rPr>
        <w:t>3.房屋数据统计中，统计了管控范围内的小区总数量，房屋数以及入住率；</w:t>
      </w:r>
    </w:p>
    <w:p>
      <w:pPr>
        <w:pStyle w:val="88"/>
        <w:adjustRightInd w:val="0"/>
        <w:snapToGrid w:val="0"/>
        <w:spacing w:line="480" w:lineRule="exact"/>
        <w:ind w:firstLine="470" w:firstLineChars="196"/>
        <w:rPr>
          <w:color w:val="000000"/>
        </w:rPr>
      </w:pPr>
      <w:r>
        <w:rPr>
          <w:rFonts w:hint="eastAsia"/>
          <w:color w:val="000000"/>
        </w:rPr>
        <w:t>4.通过柱状图和折线图的复合图表展示了房屋数量和入住率的变化情况；</w:t>
      </w:r>
    </w:p>
    <w:p>
      <w:pPr>
        <w:pStyle w:val="88"/>
        <w:adjustRightInd w:val="0"/>
        <w:snapToGrid w:val="0"/>
        <w:spacing w:line="480" w:lineRule="exact"/>
        <w:ind w:firstLine="470" w:firstLineChars="196"/>
        <w:rPr>
          <w:color w:val="000000"/>
        </w:rPr>
      </w:pPr>
      <w:r>
        <w:rPr>
          <w:rFonts w:hint="eastAsia"/>
          <w:color w:val="000000"/>
        </w:rPr>
        <w:t>5.用环形百分比图表分别展示自住、出租、商用、空置、其他不同类型的房屋使用状态的占比；</w:t>
      </w:r>
    </w:p>
    <w:p>
      <w:pPr>
        <w:pStyle w:val="88"/>
        <w:adjustRightInd w:val="0"/>
        <w:snapToGrid w:val="0"/>
        <w:spacing w:line="480" w:lineRule="exact"/>
        <w:ind w:firstLine="470" w:firstLineChars="196"/>
        <w:rPr>
          <w:color w:val="000000"/>
        </w:rPr>
      </w:pPr>
      <w:r>
        <w:rPr>
          <w:rFonts w:hint="eastAsia"/>
          <w:color w:val="000000"/>
        </w:rPr>
        <w:t>6.房屋商用数据，用柱状图展示了不同区域内商用房屋的数量，降序排列；</w:t>
      </w:r>
    </w:p>
    <w:p>
      <w:pPr>
        <w:pStyle w:val="88"/>
        <w:adjustRightInd w:val="0"/>
        <w:snapToGrid w:val="0"/>
        <w:spacing w:line="480" w:lineRule="exact"/>
        <w:ind w:firstLine="470" w:firstLineChars="196"/>
        <w:rPr>
          <w:color w:val="000000"/>
        </w:rPr>
      </w:pPr>
      <w:r>
        <w:rPr>
          <w:rFonts w:hint="eastAsia"/>
          <w:color w:val="000000"/>
        </w:rPr>
        <w:t>7.房屋数据列表，用可视化的方式直观的展示了各个单元具体每层楼的房屋，用不同的颜色表示不同的房屋用途，鼠标移入到房屋上，可以展示房屋的基本信息，如：房号、房屋面积、业主姓名、成员数量和水电气用量。</w:t>
      </w:r>
    </w:p>
    <w:p>
      <w:pPr>
        <w:pStyle w:val="88"/>
        <w:adjustRightInd w:val="0"/>
        <w:snapToGrid w:val="0"/>
        <w:spacing w:line="480" w:lineRule="exact"/>
        <w:ind w:firstLine="470" w:firstLineChars="196"/>
        <w:rPr>
          <w:color w:val="000000"/>
        </w:rPr>
      </w:pPr>
      <w:r>
        <w:rPr>
          <w:rFonts w:hint="eastAsia"/>
          <w:color w:val="000000"/>
        </w:rPr>
        <w:t>（四）人口管理模块：</w:t>
      </w:r>
    </w:p>
    <w:p>
      <w:pPr>
        <w:pStyle w:val="88"/>
        <w:adjustRightInd w:val="0"/>
        <w:snapToGrid w:val="0"/>
        <w:spacing w:line="480" w:lineRule="exact"/>
        <w:ind w:firstLine="470" w:firstLineChars="196"/>
        <w:rPr>
          <w:color w:val="000000"/>
        </w:rPr>
      </w:pPr>
      <w:r>
        <w:rPr>
          <w:rFonts w:hint="eastAsia"/>
          <w:color w:val="000000"/>
        </w:rPr>
        <w:t>1.人口数据，二维热力地图直观展示人口在各个区域内的数量分布情况，颜色越深的地方人口密度越大；</w:t>
      </w:r>
    </w:p>
    <w:p>
      <w:pPr>
        <w:pStyle w:val="88"/>
        <w:adjustRightInd w:val="0"/>
        <w:snapToGrid w:val="0"/>
        <w:spacing w:line="480" w:lineRule="exact"/>
        <w:ind w:firstLine="470" w:firstLineChars="196"/>
        <w:rPr>
          <w:color w:val="000000"/>
        </w:rPr>
      </w:pPr>
      <w:r>
        <w:rPr>
          <w:rFonts w:hint="eastAsia"/>
          <w:color w:val="000000"/>
        </w:rPr>
        <w:t>2.条形图展示各个行政区域内的人口总量，鼠标移入条形图，显示区域名称，小区数量，人口数量，常住人口数量和流动人口数量；</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4384" behindDoc="0" locked="0" layoutInCell="1" allowOverlap="1">
            <wp:simplePos x="0" y="0"/>
            <wp:positionH relativeFrom="column">
              <wp:posOffset>264160</wp:posOffset>
            </wp:positionH>
            <wp:positionV relativeFrom="paragraph">
              <wp:posOffset>956310</wp:posOffset>
            </wp:positionV>
            <wp:extent cx="4591685" cy="1719580"/>
            <wp:effectExtent l="0" t="0" r="5715" b="7620"/>
            <wp:wrapTopAndBottom/>
            <wp:docPr id="11" name="图片 19" descr="16059370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9" descr="1605937091(1)"/>
                    <pic:cNvPicPr>
                      <a:picLocks noChangeAspect="1"/>
                    </pic:cNvPicPr>
                  </pic:nvPicPr>
                  <pic:blipFill>
                    <a:blip r:embed="rId19"/>
                    <a:stretch>
                      <a:fillRect/>
                    </a:stretch>
                  </pic:blipFill>
                  <pic:spPr>
                    <a:xfrm>
                      <a:off x="0" y="0"/>
                      <a:ext cx="4591685" cy="1719580"/>
                    </a:xfrm>
                    <a:prstGeom prst="rect">
                      <a:avLst/>
                    </a:prstGeom>
                    <a:noFill/>
                    <a:ln>
                      <a:noFill/>
                    </a:ln>
                  </pic:spPr>
                </pic:pic>
              </a:graphicData>
            </a:graphic>
          </wp:anchor>
        </w:drawing>
      </w:r>
      <w:r>
        <w:rPr>
          <w:rFonts w:hint="eastAsia"/>
          <w:color w:val="000000"/>
        </w:rPr>
        <w:t>3.人口数据统计中，统计了管控范围内的小区总数，人口总数，男女占比和具体数量，常住人口和流动人口占比，以及年龄段分布，分别统计了17岁以下，17至34岁，35至60岁，60岁以上四个年龄段的人数；</w:t>
      </w:r>
    </w:p>
    <w:p>
      <w:pPr>
        <w:pStyle w:val="88"/>
        <w:adjustRightInd w:val="0"/>
        <w:snapToGrid w:val="0"/>
        <w:spacing w:line="480" w:lineRule="exact"/>
        <w:ind w:firstLine="470" w:firstLineChars="196"/>
        <w:rPr>
          <w:color w:val="000000"/>
        </w:rPr>
      </w:pP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5408" behindDoc="0" locked="0" layoutInCell="1" allowOverlap="1">
            <wp:simplePos x="0" y="0"/>
            <wp:positionH relativeFrom="column">
              <wp:posOffset>95250</wp:posOffset>
            </wp:positionH>
            <wp:positionV relativeFrom="paragraph">
              <wp:posOffset>680720</wp:posOffset>
            </wp:positionV>
            <wp:extent cx="5268595" cy="565150"/>
            <wp:effectExtent l="0" t="0" r="1905" b="6350"/>
            <wp:wrapTopAndBottom/>
            <wp:docPr id="12" name="图片 20" descr="1605937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0" descr="1605937300(1)"/>
                    <pic:cNvPicPr>
                      <a:picLocks noChangeAspect="1"/>
                    </pic:cNvPicPr>
                  </pic:nvPicPr>
                  <pic:blipFill>
                    <a:blip r:embed="rId20"/>
                    <a:stretch>
                      <a:fillRect/>
                    </a:stretch>
                  </pic:blipFill>
                  <pic:spPr>
                    <a:xfrm>
                      <a:off x="0" y="0"/>
                      <a:ext cx="5268595" cy="565150"/>
                    </a:xfrm>
                    <a:prstGeom prst="rect">
                      <a:avLst/>
                    </a:prstGeom>
                    <a:noFill/>
                    <a:ln>
                      <a:noFill/>
                    </a:ln>
                  </pic:spPr>
                </pic:pic>
              </a:graphicData>
            </a:graphic>
          </wp:anchor>
        </w:drawing>
      </w:r>
      <w:r>
        <w:rPr>
          <w:rFonts w:hint="eastAsia"/>
          <w:color w:val="000000"/>
        </w:rPr>
        <w:t>4.人口数据列表，逐条展示了系统中的住户信息，可根据姓名，身份证号，手机号码进行精确查找，根据年龄范围，性别，人口类型进行筛选；</w:t>
      </w:r>
    </w:p>
    <w:p>
      <w:pPr>
        <w:pStyle w:val="88"/>
        <w:adjustRightInd w:val="0"/>
        <w:snapToGrid w:val="0"/>
        <w:spacing w:line="480" w:lineRule="exact"/>
        <w:ind w:firstLine="470" w:firstLineChars="196"/>
        <w:rPr>
          <w:color w:val="000000"/>
        </w:rPr>
      </w:pPr>
      <w:r>
        <w:rPr>
          <w:rFonts w:hint="eastAsia"/>
          <w:color w:val="000000"/>
        </w:rPr>
        <w:t>5.点击详情，跳转到个人详情页面。 详情页面从基本信息，关系网格图，出行轨迹几个方面详细介绍了个人情况；</w:t>
      </w:r>
    </w:p>
    <w:p>
      <w:pPr>
        <w:pStyle w:val="88"/>
        <w:adjustRightInd w:val="0"/>
        <w:snapToGrid w:val="0"/>
        <w:spacing w:line="480" w:lineRule="exact"/>
        <w:ind w:firstLine="470" w:firstLineChars="196"/>
        <w:rPr>
          <w:color w:val="000000"/>
        </w:rPr>
      </w:pPr>
      <w:r>
        <w:rPr>
          <w:rFonts w:hint="eastAsia"/>
          <w:color w:val="000000"/>
        </w:rPr>
        <w:t>6.基本信息包括：姓名，性别，民族，籍贯，手机号码，身份证号码，居住地等，个人关联的房屋档案，每个房屋的同住人员以及个人关联的车辆档案；</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8480" behindDoc="0" locked="0" layoutInCell="1" allowOverlap="1">
            <wp:simplePos x="0" y="0"/>
            <wp:positionH relativeFrom="column">
              <wp:posOffset>-8890</wp:posOffset>
            </wp:positionH>
            <wp:positionV relativeFrom="paragraph">
              <wp:posOffset>125095</wp:posOffset>
            </wp:positionV>
            <wp:extent cx="5269865" cy="293370"/>
            <wp:effectExtent l="0" t="0" r="635" b="11430"/>
            <wp:wrapTopAndBottom/>
            <wp:docPr id="6" name="图片 26" descr="1605939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6" descr="1605939117(1)"/>
                    <pic:cNvPicPr>
                      <a:picLocks noChangeAspect="1"/>
                    </pic:cNvPicPr>
                  </pic:nvPicPr>
                  <pic:blipFill>
                    <a:blip r:embed="rId21"/>
                    <a:stretch>
                      <a:fillRect/>
                    </a:stretch>
                  </pic:blipFill>
                  <pic:spPr>
                    <a:xfrm>
                      <a:off x="0" y="0"/>
                      <a:ext cx="5269865" cy="293370"/>
                    </a:xfrm>
                    <a:prstGeom prst="rect">
                      <a:avLst/>
                    </a:prstGeom>
                    <a:noFill/>
                    <a:ln>
                      <a:noFill/>
                    </a:ln>
                  </pic:spPr>
                </pic:pic>
              </a:graphicData>
            </a:graphic>
          </wp:anchor>
        </w:drawing>
      </w:r>
      <w:r>
        <w:rPr>
          <w:rFonts w:hint="eastAsia"/>
          <w:color w:val="000000"/>
        </w:rPr>
        <w:t>7.关系网格图将个人相关联的信息链接在一起，形成信息网络图，高效率获取目标相关联信息，快速展示人与人的关系，人员与车辆，人员与房屋，人员与活动地点等关联关系，技术可应用到可疑人推荐，寻找失联人员，信用验证等；</w:t>
      </w:r>
    </w:p>
    <w:p>
      <w:pPr>
        <w:pStyle w:val="88"/>
        <w:adjustRightInd w:val="0"/>
        <w:snapToGrid w:val="0"/>
        <w:spacing w:line="480" w:lineRule="exact"/>
        <w:ind w:firstLine="470" w:firstLineChars="196"/>
        <w:rPr>
          <w:color w:val="000000"/>
        </w:rPr>
      </w:pPr>
      <w:r>
        <w:rPr>
          <w:rFonts w:hint="eastAsia"/>
          <w:color w:val="000000"/>
        </w:rPr>
        <w:t>8.活动时序图，以时间轴的形式，展示了个人近期的开门行为和停车行为；</w:t>
      </w:r>
    </w:p>
    <w:p>
      <w:pPr>
        <w:pStyle w:val="88"/>
        <w:adjustRightInd w:val="0"/>
        <w:snapToGrid w:val="0"/>
        <w:spacing w:line="480" w:lineRule="exact"/>
        <w:ind w:firstLine="470" w:firstLineChars="196"/>
        <w:rPr>
          <w:color w:val="000000"/>
        </w:rPr>
      </w:pPr>
      <w:r>
        <w:rPr>
          <w:rFonts w:hint="eastAsia"/>
          <w:color w:val="000000"/>
        </w:rPr>
        <w:t>9.行为轨迹和车型轨迹展示了个人详细的开门情况和停车情况，可自由设置开始时间和结束时间进行精确查找。</w:t>
      </w:r>
    </w:p>
    <w:p>
      <w:pPr>
        <w:pStyle w:val="88"/>
        <w:adjustRightInd w:val="0"/>
        <w:snapToGrid w:val="0"/>
        <w:spacing w:line="480" w:lineRule="exact"/>
        <w:ind w:firstLine="470" w:firstLineChars="196"/>
        <w:rPr>
          <w:color w:val="000000"/>
        </w:rPr>
      </w:pPr>
      <w:r>
        <w:rPr>
          <w:rFonts w:hint="eastAsia"/>
          <w:color w:val="000000"/>
        </w:rPr>
        <w:t>（五）出行管理模块：</w:t>
      </w:r>
    </w:p>
    <w:p>
      <w:pPr>
        <w:pStyle w:val="88"/>
        <w:adjustRightInd w:val="0"/>
        <w:snapToGrid w:val="0"/>
        <w:spacing w:line="480" w:lineRule="exact"/>
        <w:ind w:firstLine="470" w:firstLineChars="196"/>
        <w:rPr>
          <w:color w:val="000000"/>
        </w:rPr>
      </w:pPr>
      <w:r>
        <w:rPr>
          <w:color w:val="000000"/>
        </w:rPr>
        <w:drawing>
          <wp:anchor distT="0" distB="0" distL="114300" distR="114300" simplePos="0" relativeHeight="251669504" behindDoc="0" locked="0" layoutInCell="1" allowOverlap="1">
            <wp:simplePos x="0" y="0"/>
            <wp:positionH relativeFrom="column">
              <wp:posOffset>552450</wp:posOffset>
            </wp:positionH>
            <wp:positionV relativeFrom="paragraph">
              <wp:posOffset>629285</wp:posOffset>
            </wp:positionV>
            <wp:extent cx="3966210" cy="2348865"/>
            <wp:effectExtent l="0" t="0" r="8890" b="635"/>
            <wp:wrapTopAndBottom/>
            <wp:docPr id="13" name="图片 28" descr="1605939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8" descr="1605939199(1)"/>
                    <pic:cNvPicPr>
                      <a:picLocks noChangeAspect="1"/>
                    </pic:cNvPicPr>
                  </pic:nvPicPr>
                  <pic:blipFill>
                    <a:blip r:embed="rId22"/>
                    <a:stretch>
                      <a:fillRect/>
                    </a:stretch>
                  </pic:blipFill>
                  <pic:spPr>
                    <a:xfrm>
                      <a:off x="0" y="0"/>
                      <a:ext cx="3966210" cy="2348865"/>
                    </a:xfrm>
                    <a:prstGeom prst="rect">
                      <a:avLst/>
                    </a:prstGeom>
                    <a:noFill/>
                    <a:ln>
                      <a:noFill/>
                    </a:ln>
                  </pic:spPr>
                </pic:pic>
              </a:graphicData>
            </a:graphic>
          </wp:anchor>
        </w:drawing>
      </w:r>
      <w:r>
        <w:rPr>
          <w:rFonts w:hint="eastAsia"/>
          <w:color w:val="000000"/>
        </w:rPr>
        <w:t>1.出行记录，出行数据统计，展示了管控区域内的人员开门次数统计和车场停车次数统计，并投射在二维热力地图上，直观展示了对应区域的出行频繁状况；</w:t>
      </w:r>
    </w:p>
    <w:p>
      <w:pPr>
        <w:pStyle w:val="88"/>
        <w:adjustRightInd w:val="0"/>
        <w:snapToGrid w:val="0"/>
        <w:spacing w:line="480" w:lineRule="exact"/>
        <w:ind w:firstLine="470" w:firstLineChars="196"/>
        <w:rPr>
          <w:color w:val="000000"/>
        </w:rPr>
      </w:pPr>
      <w:r>
        <w:rPr>
          <w:rFonts w:hint="eastAsia"/>
          <w:color w:val="000000"/>
        </w:rPr>
        <w:t>2.实时人流量统计了当天的实时开门次数，并用折线图展示，每小时刷新一次统计情况，右侧用列表展示了实时的开门记录，可查看开门抓拍照片；</w:t>
      </w:r>
    </w:p>
    <w:p>
      <w:pPr>
        <w:pStyle w:val="88"/>
        <w:adjustRightInd w:val="0"/>
        <w:snapToGrid w:val="0"/>
        <w:spacing w:line="480" w:lineRule="exact"/>
        <w:ind w:firstLine="470" w:firstLineChars="196"/>
        <w:rPr>
          <w:color w:val="000000"/>
        </w:rPr>
      </w:pPr>
      <w:r>
        <w:rPr>
          <w:rFonts w:hint="eastAsia"/>
          <w:color w:val="000000"/>
        </w:rPr>
        <w:t>3.实时车流量统计了当天的实时停车次数，分别统计进场和出场的次数，并用折线图展示，每小时刷新一次统计情况，右侧用列表展示了实时的停车记录，可查看停车抓拍照片；</w:t>
      </w:r>
    </w:p>
    <w:p>
      <w:pPr>
        <w:pStyle w:val="88"/>
        <w:adjustRightInd w:val="0"/>
        <w:snapToGrid w:val="0"/>
        <w:spacing w:line="480" w:lineRule="exact"/>
        <w:ind w:firstLine="470" w:firstLineChars="196"/>
        <w:rPr>
          <w:color w:val="000000"/>
        </w:rPr>
      </w:pPr>
      <w:r>
        <w:rPr>
          <w:rFonts w:hint="eastAsia"/>
          <w:color w:val="000000"/>
        </w:rPr>
        <w:t>（六）特殊人群管理模块：</w:t>
      </w:r>
    </w:p>
    <w:p>
      <w:pPr>
        <w:pStyle w:val="88"/>
        <w:adjustRightInd w:val="0"/>
        <w:snapToGrid w:val="0"/>
        <w:spacing w:line="480" w:lineRule="exact"/>
        <w:ind w:firstLine="470" w:firstLineChars="196"/>
        <w:rPr>
          <w:color w:val="000000"/>
        </w:rPr>
      </w:pPr>
      <w:r>
        <w:rPr>
          <w:rFonts w:hint="eastAsia"/>
          <w:color w:val="000000"/>
        </w:rPr>
        <w:t>1.特殊群体，在二维热力地图上，展示了管控范围内特殊群体的分布情况；</w:t>
      </w:r>
    </w:p>
    <w:p>
      <w:pPr>
        <w:pStyle w:val="88"/>
        <w:adjustRightInd w:val="0"/>
        <w:snapToGrid w:val="0"/>
        <w:spacing w:line="480" w:lineRule="exact"/>
        <w:ind w:firstLine="470" w:firstLineChars="196"/>
        <w:rPr>
          <w:color w:val="000000"/>
        </w:rPr>
      </w:pPr>
      <w:r>
        <w:rPr>
          <w:rFonts w:hint="eastAsia"/>
          <w:color w:val="000000"/>
        </w:rPr>
        <w:t>2.特殊群体统计，展示了关爱人员和重点关注人员的数量及占比，柱状图展示关爱人员和重点关注人员的数量，直观表现出各细分类型的特殊群体的数量；</w:t>
      </w:r>
    </w:p>
    <w:p>
      <w:pPr>
        <w:pStyle w:val="88"/>
        <w:adjustRightInd w:val="0"/>
        <w:snapToGrid w:val="0"/>
        <w:spacing w:line="480" w:lineRule="exact"/>
        <w:ind w:firstLine="470" w:firstLineChars="196"/>
        <w:rPr>
          <w:color w:val="000000"/>
        </w:rPr>
      </w:pPr>
      <w:r>
        <w:rPr>
          <w:rFonts w:hint="eastAsia"/>
          <w:color w:val="000000"/>
        </w:rPr>
        <w:t>3.特殊群体列表，逐条展示了特殊群体的详细信息；</w:t>
      </w:r>
    </w:p>
    <w:p>
      <w:pPr>
        <w:pStyle w:val="88"/>
        <w:adjustRightInd w:val="0"/>
        <w:snapToGrid w:val="0"/>
        <w:spacing w:line="480" w:lineRule="exact"/>
        <w:ind w:firstLine="470" w:firstLineChars="196"/>
        <w:rPr>
          <w:color w:val="000000"/>
        </w:rPr>
      </w:pPr>
      <w:r>
        <w:rPr>
          <w:rFonts w:hint="eastAsia"/>
          <w:color w:val="000000"/>
        </w:rPr>
        <w:t>4.并支持姓名，身份证号，手机号码精确查找，支持年龄段筛选。可人为添加、编辑、删除特殊人员信息，支持批量导出特殊群体信息；</w:t>
      </w:r>
    </w:p>
    <w:p>
      <w:pPr>
        <w:pStyle w:val="88"/>
        <w:adjustRightInd w:val="0"/>
        <w:snapToGrid w:val="0"/>
        <w:spacing w:line="480" w:lineRule="exact"/>
        <w:ind w:firstLine="470" w:firstLineChars="196"/>
        <w:rPr>
          <w:color w:val="000000"/>
        </w:rPr>
      </w:pPr>
      <w:r>
        <w:rPr>
          <w:rFonts w:hint="eastAsia"/>
          <w:color w:val="000000"/>
        </w:rPr>
        <w:t>（七）治安防范体系：</w:t>
      </w:r>
    </w:p>
    <w:p>
      <w:pPr>
        <w:pStyle w:val="88"/>
        <w:adjustRightInd w:val="0"/>
        <w:snapToGrid w:val="0"/>
        <w:spacing w:line="480" w:lineRule="exact"/>
        <w:ind w:firstLine="470" w:firstLineChars="196"/>
        <w:rPr>
          <w:color w:val="000000"/>
        </w:rPr>
      </w:pPr>
      <w:r>
        <w:rPr>
          <w:rFonts w:hint="eastAsia"/>
          <w:color w:val="000000"/>
        </w:rPr>
        <w:t>1.治安防范体系，用柱状图直观展示了管控范围内各行政区域内的人防物防技防配备力量，用雷达图展示了管控范围内汇总的三防力量；</w:t>
      </w:r>
    </w:p>
    <w:p>
      <w:pPr>
        <w:pStyle w:val="88"/>
        <w:adjustRightInd w:val="0"/>
        <w:snapToGrid w:val="0"/>
        <w:spacing w:line="480" w:lineRule="exact"/>
        <w:ind w:firstLine="470" w:firstLineChars="196"/>
        <w:rPr>
          <w:color w:val="000000"/>
        </w:rPr>
      </w:pPr>
      <w:r>
        <w:rPr>
          <w:rFonts w:hint="eastAsia"/>
          <w:color w:val="000000"/>
        </w:rPr>
        <w:t>2.人防数据，统计了社区民警，专职保安队伍，义务治安巡逻队伍的数量，点击详情，进入到人防列表页面，可对管控范围内的社区民警进行增删改查，可为每个社区民警分配管控的小区，可针对每个小区分别进行专职保安队伍和义务治安巡逻队伍的增删改查管理；</w:t>
      </w:r>
    </w:p>
    <w:p>
      <w:pPr>
        <w:pStyle w:val="88"/>
        <w:adjustRightInd w:val="0"/>
        <w:snapToGrid w:val="0"/>
        <w:spacing w:line="480" w:lineRule="exact"/>
        <w:ind w:firstLine="470" w:firstLineChars="196"/>
        <w:rPr>
          <w:color w:val="000000"/>
        </w:rPr>
      </w:pPr>
      <w:r>
        <w:rPr>
          <w:rFonts w:hint="eastAsia"/>
          <w:color w:val="000000"/>
        </w:rPr>
        <w:t>3.物防数据，统计了管控范围内各物防类目的总数量，点击详情，可查看和修改每个小区的物防配备数量；</w:t>
      </w:r>
    </w:p>
    <w:p>
      <w:pPr>
        <w:pStyle w:val="88"/>
        <w:adjustRightInd w:val="0"/>
        <w:snapToGrid w:val="0"/>
        <w:spacing w:line="480" w:lineRule="exact"/>
        <w:ind w:firstLine="470" w:firstLineChars="196"/>
        <w:rPr>
          <w:color w:val="000000"/>
        </w:rPr>
      </w:pPr>
      <w:r>
        <w:rPr>
          <w:rFonts w:hint="eastAsia"/>
          <w:color w:val="000000"/>
        </w:rPr>
        <w:t>4.技防数据，统计了管控范围内各技防类目的总数量，点击详情，可查看和修改每个小区的技防配备数量。</w:t>
      </w:r>
    </w:p>
    <w:p>
      <w:pPr>
        <w:pStyle w:val="88"/>
        <w:adjustRightInd w:val="0"/>
        <w:snapToGrid w:val="0"/>
        <w:spacing w:line="480" w:lineRule="exact"/>
        <w:ind w:firstLine="470" w:firstLineChars="196"/>
        <w:rPr>
          <w:color w:val="000000"/>
        </w:rPr>
      </w:pPr>
      <w:r>
        <w:rPr>
          <w:rFonts w:hint="eastAsia"/>
          <w:color w:val="000000"/>
        </w:rPr>
        <w:t>（八）安防巡查模块：</w:t>
      </w:r>
    </w:p>
    <w:p>
      <w:pPr>
        <w:pStyle w:val="88"/>
        <w:adjustRightInd w:val="0"/>
        <w:snapToGrid w:val="0"/>
        <w:spacing w:line="480" w:lineRule="exact"/>
        <w:ind w:firstLine="470" w:firstLineChars="196"/>
        <w:rPr>
          <w:color w:val="000000"/>
        </w:rPr>
      </w:pPr>
      <w:r>
        <w:rPr>
          <w:rFonts w:hint="eastAsia"/>
          <w:color w:val="000000"/>
        </w:rPr>
        <w:t>1.安防巡查，二维热力地图展示了管控范围内的巡查合格情况，条形图展示管控范围内各行政区域的巡查合格率；</w:t>
      </w:r>
    </w:p>
    <w:p>
      <w:pPr>
        <w:pStyle w:val="88"/>
        <w:adjustRightInd w:val="0"/>
        <w:snapToGrid w:val="0"/>
        <w:spacing w:line="480" w:lineRule="exact"/>
        <w:ind w:firstLine="470" w:firstLineChars="196"/>
        <w:rPr>
          <w:color w:val="000000"/>
        </w:rPr>
      </w:pPr>
      <w:r>
        <w:rPr>
          <w:rFonts w:hint="eastAsia"/>
          <w:color w:val="000000"/>
        </w:rPr>
        <w:t>2.安防巡查数据统计，统计了小区总数，巡查总次数，可查看实时巡查情况，按周按月查看巡查情况，巡查次数和巡查合格率的双轴图直观表现的指定时段内的巡查情况，并分别统计已完成，未完成，迟到和漏巡的次数；</w:t>
      </w:r>
    </w:p>
    <w:p>
      <w:pPr>
        <w:pStyle w:val="88"/>
        <w:adjustRightInd w:val="0"/>
        <w:snapToGrid w:val="0"/>
        <w:spacing w:line="480" w:lineRule="exact"/>
        <w:ind w:firstLine="470" w:firstLineChars="196"/>
        <w:rPr>
          <w:color w:val="000000"/>
        </w:rPr>
      </w:pPr>
      <w:r>
        <w:rPr>
          <w:rFonts w:hint="eastAsia"/>
          <w:color w:val="000000"/>
        </w:rPr>
        <w:t>3.安防巡查时序图，用时间轴的形式，将各个时段内应巡查的次数，准时、未巡、漏巡、延误的次数以及该时段内的巡查合格率分别统计出来。</w:t>
      </w:r>
    </w:p>
    <w:p>
      <w:pPr>
        <w:pStyle w:val="88"/>
        <w:adjustRightInd w:val="0"/>
        <w:snapToGrid w:val="0"/>
        <w:spacing w:line="480" w:lineRule="exact"/>
        <w:ind w:firstLine="470" w:firstLineChars="196"/>
        <w:rPr>
          <w:color w:val="000000"/>
        </w:rPr>
      </w:pPr>
      <w:r>
        <w:rPr>
          <w:rFonts w:hint="eastAsia"/>
          <w:color w:val="000000"/>
        </w:rPr>
        <w:t>（九）安全分析模块：</w:t>
      </w:r>
    </w:p>
    <w:p>
      <w:pPr>
        <w:pStyle w:val="88"/>
        <w:adjustRightInd w:val="0"/>
        <w:snapToGrid w:val="0"/>
        <w:spacing w:line="480" w:lineRule="exact"/>
        <w:ind w:firstLine="470" w:firstLineChars="196"/>
        <w:rPr>
          <w:color w:val="000000"/>
        </w:rPr>
      </w:pPr>
      <w:r>
        <w:rPr>
          <w:rFonts w:hint="eastAsia"/>
          <w:color w:val="000000"/>
        </w:rPr>
        <w:t>1.安全指数排行，用二维热力地图的形式将系统通过指定算法计算得出的小区安全指数展示出来，颜色越深表示安全指数越低；</w:t>
      </w:r>
    </w:p>
    <w:p>
      <w:pPr>
        <w:pStyle w:val="88"/>
        <w:adjustRightInd w:val="0"/>
        <w:snapToGrid w:val="0"/>
        <w:spacing w:line="480" w:lineRule="exact"/>
        <w:ind w:firstLine="470" w:firstLineChars="196"/>
        <w:rPr>
          <w:color w:val="000000"/>
        </w:rPr>
      </w:pPr>
      <w:r>
        <w:rPr>
          <w:rFonts w:hint="eastAsia"/>
          <w:color w:val="000000"/>
        </w:rPr>
        <w:t>2.安全指数排行将管控范围内的小区安全得分降序排列，点击详情，可查看该小区具体的得分情况；</w:t>
      </w:r>
    </w:p>
    <w:p>
      <w:pPr>
        <w:pStyle w:val="88"/>
        <w:adjustRightInd w:val="0"/>
        <w:snapToGrid w:val="0"/>
        <w:spacing w:line="480" w:lineRule="exact"/>
        <w:ind w:firstLine="470" w:firstLineChars="196"/>
        <w:rPr>
          <w:color w:val="000000"/>
        </w:rPr>
      </w:pPr>
      <w:r>
        <w:rPr>
          <w:rFonts w:hint="eastAsia"/>
          <w:color w:val="000000"/>
        </w:rPr>
        <w:t>3.小区安全指数分别从告警数量，告警处置，重点人员，外来人员，云巡查，三防，6个纬度进行加权计算得出；</w:t>
      </w:r>
    </w:p>
    <w:p>
      <w:pPr>
        <w:pStyle w:val="88"/>
        <w:adjustRightInd w:val="0"/>
        <w:snapToGrid w:val="0"/>
        <w:spacing w:line="480" w:lineRule="exact"/>
        <w:ind w:firstLine="470" w:firstLineChars="196"/>
        <w:rPr>
          <w:color w:val="000000"/>
        </w:rPr>
      </w:pPr>
      <w:r>
        <w:rPr>
          <w:rFonts w:hint="eastAsia"/>
          <w:color w:val="000000"/>
        </w:rPr>
        <w:t>4.支持查看实时，最近7天，最近30天的得分情况。</w:t>
      </w:r>
    </w:p>
    <w:p>
      <w:pPr>
        <w:pStyle w:val="88"/>
        <w:adjustRightInd w:val="0"/>
        <w:snapToGrid w:val="0"/>
        <w:spacing w:line="480" w:lineRule="exact"/>
        <w:ind w:firstLine="470" w:firstLineChars="196"/>
        <w:rPr>
          <w:color w:val="000000"/>
        </w:rPr>
      </w:pPr>
      <w:r>
        <w:rPr>
          <w:rFonts w:hint="eastAsia"/>
          <w:color w:val="000000"/>
        </w:rPr>
        <w:t>（十）实时监控模块：</w:t>
      </w:r>
    </w:p>
    <w:p>
      <w:pPr>
        <w:pStyle w:val="88"/>
        <w:adjustRightInd w:val="0"/>
        <w:snapToGrid w:val="0"/>
        <w:spacing w:line="480" w:lineRule="exact"/>
        <w:ind w:firstLine="470" w:firstLineChars="196"/>
        <w:rPr>
          <w:color w:val="000000"/>
        </w:rPr>
      </w:pPr>
      <w:r>
        <w:rPr>
          <w:rFonts w:hint="eastAsia"/>
          <w:color w:val="000000"/>
        </w:rPr>
        <w:t>1.实时监控，将各个小区的摄像头监控画面接入到平台，可预览实时视频；</w:t>
      </w:r>
    </w:p>
    <w:p>
      <w:pPr>
        <w:pStyle w:val="88"/>
        <w:adjustRightInd w:val="0"/>
        <w:snapToGrid w:val="0"/>
        <w:spacing w:line="480" w:lineRule="exact"/>
        <w:ind w:firstLine="470" w:firstLineChars="196"/>
        <w:rPr>
          <w:color w:val="000000"/>
        </w:rPr>
      </w:pPr>
      <w:r>
        <w:rPr>
          <w:rFonts w:hint="eastAsia"/>
          <w:color w:val="000000"/>
        </w:rPr>
        <w:t>2.并通过人脸识别算法，实时分析出出现在画面中的人脸，是否为社区登记住户；</w:t>
      </w:r>
    </w:p>
    <w:p>
      <w:pPr>
        <w:pStyle w:val="88"/>
        <w:adjustRightInd w:val="0"/>
        <w:snapToGrid w:val="0"/>
        <w:spacing w:line="480" w:lineRule="exact"/>
        <w:ind w:firstLine="470" w:firstLineChars="196"/>
        <w:rPr>
          <w:color w:val="000000"/>
        </w:rPr>
      </w:pPr>
      <w:r>
        <w:rPr>
          <w:rFonts w:hint="eastAsia"/>
          <w:color w:val="000000"/>
        </w:rPr>
        <w:t>3.同时可将路过的人的人脸和人体抠图保存下来，便于后期的模型训练和人体视频结构化的应用。</w:t>
      </w:r>
    </w:p>
    <w:p>
      <w:pPr>
        <w:pStyle w:val="88"/>
        <w:adjustRightInd w:val="0"/>
        <w:snapToGrid w:val="0"/>
        <w:spacing w:line="480" w:lineRule="exact"/>
        <w:ind w:firstLine="470" w:firstLineChars="196"/>
        <w:rPr>
          <w:color w:val="000000"/>
        </w:rPr>
      </w:pPr>
      <w:r>
        <w:rPr>
          <w:rFonts w:hint="eastAsia"/>
          <w:color w:val="000000"/>
        </w:rPr>
        <w:t>（十一）实时告警模块：</w:t>
      </w:r>
    </w:p>
    <w:p>
      <w:pPr>
        <w:pStyle w:val="88"/>
        <w:adjustRightInd w:val="0"/>
        <w:snapToGrid w:val="0"/>
        <w:spacing w:line="480" w:lineRule="exact"/>
        <w:ind w:firstLine="470" w:firstLineChars="196"/>
        <w:rPr>
          <w:color w:val="000000"/>
        </w:rPr>
      </w:pPr>
      <w:r>
        <w:rPr>
          <w:rFonts w:hint="eastAsia"/>
          <w:color w:val="000000"/>
        </w:rPr>
        <w:t>1.实时告警，二维地图展示告警出现的位置，列表展示当前产生的告警；</w:t>
      </w:r>
    </w:p>
    <w:p>
      <w:pPr>
        <w:pStyle w:val="88"/>
        <w:adjustRightInd w:val="0"/>
        <w:snapToGrid w:val="0"/>
        <w:spacing w:line="480" w:lineRule="exact"/>
        <w:ind w:firstLine="470" w:firstLineChars="196"/>
        <w:rPr>
          <w:color w:val="000000"/>
        </w:rPr>
      </w:pPr>
      <w:r>
        <w:rPr>
          <w:rFonts w:hint="eastAsia"/>
          <w:color w:val="000000"/>
        </w:rPr>
        <w:t>2.告警详情，列表展示系统中产生的告警，告警类型包括人黑名单告警，车黑名单告警，人流聚集告警，尾随告警，当社区安装周界系统时，平台也支持接入周界告警；</w:t>
      </w:r>
    </w:p>
    <w:p>
      <w:pPr>
        <w:pStyle w:val="88"/>
        <w:adjustRightInd w:val="0"/>
        <w:snapToGrid w:val="0"/>
        <w:spacing w:line="480" w:lineRule="exact"/>
        <w:ind w:firstLine="470" w:firstLineChars="196"/>
        <w:rPr>
          <w:color w:val="000000"/>
        </w:rPr>
      </w:pPr>
      <w:r>
        <w:rPr>
          <w:rFonts w:hint="eastAsia"/>
          <w:color w:val="000000"/>
        </w:rPr>
        <w:t>3.告警等级分为红色、橙色、黄色、蓝色告警。点击处置，可对告警进行人为处置备注；</w:t>
      </w:r>
    </w:p>
    <w:p>
      <w:pPr>
        <w:pStyle w:val="88"/>
        <w:adjustRightInd w:val="0"/>
        <w:snapToGrid w:val="0"/>
        <w:spacing w:line="480" w:lineRule="exact"/>
        <w:ind w:firstLine="470" w:firstLineChars="196"/>
        <w:rPr>
          <w:color w:val="000000"/>
        </w:rPr>
      </w:pPr>
      <w:r>
        <w:rPr>
          <w:rFonts w:hint="eastAsia"/>
          <w:color w:val="000000"/>
        </w:rPr>
        <w:t>4.告警分析，将系统中产生的告警按告警类别进行统计，按处置状态统计，按告警级别统计；</w:t>
      </w:r>
    </w:p>
    <w:p>
      <w:pPr>
        <w:pStyle w:val="88"/>
        <w:adjustRightInd w:val="0"/>
        <w:snapToGrid w:val="0"/>
        <w:spacing w:line="480" w:lineRule="exact"/>
        <w:ind w:firstLine="470" w:firstLineChars="196"/>
        <w:rPr>
          <w:color w:val="000000"/>
        </w:rPr>
      </w:pPr>
      <w:r>
        <w:rPr>
          <w:rFonts w:hint="eastAsia"/>
          <w:color w:val="000000"/>
        </w:rPr>
        <w:t>5.提供告警趋势走向分析折线图，地域警情分析人力图和条形图。</w:t>
      </w:r>
    </w:p>
    <w:p>
      <w:pPr>
        <w:pStyle w:val="88"/>
        <w:adjustRightInd w:val="0"/>
        <w:snapToGrid w:val="0"/>
        <w:spacing w:line="480" w:lineRule="exact"/>
        <w:ind w:firstLine="470" w:firstLineChars="196"/>
        <w:rPr>
          <w:color w:val="000000"/>
        </w:rPr>
      </w:pPr>
      <w:r>
        <w:rPr>
          <w:rFonts w:hint="eastAsia"/>
          <w:color w:val="000000"/>
        </w:rPr>
        <w:t>（十二）GIS管理模块：</w:t>
      </w:r>
    </w:p>
    <w:p>
      <w:pPr>
        <w:pStyle w:val="88"/>
        <w:adjustRightInd w:val="0"/>
        <w:snapToGrid w:val="0"/>
        <w:spacing w:line="480" w:lineRule="exact"/>
        <w:ind w:firstLine="470" w:firstLineChars="196"/>
        <w:rPr>
          <w:color w:val="000000"/>
        </w:rPr>
      </w:pPr>
      <w:r>
        <w:rPr>
          <w:rFonts w:hint="eastAsia"/>
          <w:color w:val="000000"/>
        </w:rPr>
        <w:t>1.三维GIS地图，使用专业3D绘制软件，用专业地图软件的three.js技术将3D模型加载至相关对接地图上，对管控范围内的小区进行还原建模，可全方位立体查看小区空间状况；</w:t>
      </w:r>
    </w:p>
    <w:p>
      <w:pPr>
        <w:pStyle w:val="88"/>
        <w:adjustRightInd w:val="0"/>
        <w:snapToGrid w:val="0"/>
        <w:spacing w:line="480" w:lineRule="exact"/>
        <w:ind w:firstLine="470" w:firstLineChars="196"/>
        <w:rPr>
          <w:color w:val="000000"/>
        </w:rPr>
      </w:pPr>
      <w:r>
        <w:rPr>
          <w:rFonts w:hint="eastAsia"/>
          <w:color w:val="000000"/>
        </w:rPr>
        <w:t>2.直接点击模型上的房屋，自动搜索出该房屋居住的人员信息；</w:t>
      </w:r>
    </w:p>
    <w:p>
      <w:pPr>
        <w:pStyle w:val="88"/>
        <w:adjustRightInd w:val="0"/>
        <w:snapToGrid w:val="0"/>
        <w:spacing w:line="480" w:lineRule="exact"/>
        <w:ind w:firstLine="470" w:firstLineChars="196"/>
        <w:rPr>
          <w:color w:val="000000"/>
        </w:rPr>
      </w:pPr>
      <w:r>
        <w:rPr>
          <w:rFonts w:hint="eastAsia"/>
          <w:color w:val="000000"/>
        </w:rPr>
        <w:t>3.使查看住户信息的方式更直观。同时，提供了一些列的3D地图操作工具。</w:t>
      </w:r>
    </w:p>
    <w:p>
      <w:pPr>
        <w:pStyle w:val="88"/>
        <w:adjustRightInd w:val="0"/>
        <w:snapToGrid w:val="0"/>
        <w:spacing w:line="480" w:lineRule="exact"/>
        <w:ind w:firstLine="470" w:firstLineChars="196"/>
        <w:rPr>
          <w:color w:val="000000"/>
        </w:rPr>
      </w:pPr>
      <w:r>
        <w:rPr>
          <w:rFonts w:hint="eastAsia"/>
          <w:color w:val="000000"/>
        </w:rPr>
        <w:t>（十三）安防管理模块：</w:t>
      </w:r>
    </w:p>
    <w:p>
      <w:pPr>
        <w:pStyle w:val="88"/>
        <w:adjustRightInd w:val="0"/>
        <w:snapToGrid w:val="0"/>
        <w:spacing w:line="480" w:lineRule="exact"/>
        <w:ind w:firstLine="470" w:firstLineChars="196"/>
        <w:rPr>
          <w:color w:val="000000"/>
        </w:rPr>
      </w:pPr>
      <w:r>
        <w:rPr>
          <w:rFonts w:hint="eastAsia"/>
          <w:color w:val="000000"/>
        </w:rPr>
        <w:t>1.安防设置，人员黑名单，可对系统中要布控的人脸进行增删改查，支持根据姓名精确查找，根据录入时间查找；</w:t>
      </w:r>
    </w:p>
    <w:p>
      <w:pPr>
        <w:pStyle w:val="88"/>
        <w:adjustRightInd w:val="0"/>
        <w:snapToGrid w:val="0"/>
        <w:spacing w:line="480" w:lineRule="exact"/>
        <w:ind w:firstLine="470" w:firstLineChars="196"/>
        <w:rPr>
          <w:color w:val="000000"/>
        </w:rPr>
      </w:pPr>
      <w:r>
        <w:rPr>
          <w:rFonts w:hint="eastAsia"/>
          <w:color w:val="000000"/>
        </w:rPr>
        <w:t>2.车辆黑名单，可对系统中要布控的车牌进行增删改查，支持根据车牌号码和车主姓名，录入时间进行查找；</w:t>
      </w:r>
    </w:p>
    <w:p>
      <w:pPr>
        <w:pStyle w:val="88"/>
        <w:adjustRightInd w:val="0"/>
        <w:snapToGrid w:val="0"/>
        <w:spacing w:line="480" w:lineRule="exact"/>
        <w:ind w:firstLine="470" w:firstLineChars="196"/>
        <w:rPr>
          <w:color w:val="000000"/>
        </w:rPr>
      </w:pPr>
      <w:r>
        <w:rPr>
          <w:rFonts w:hint="eastAsia"/>
          <w:color w:val="000000"/>
        </w:rPr>
        <w:t>3.安防巡查标准，定义每个时间段内应巡查的次数，用于计算巡查合格率；</w:t>
      </w:r>
    </w:p>
    <w:p>
      <w:pPr>
        <w:pStyle w:val="88"/>
        <w:adjustRightInd w:val="0"/>
        <w:snapToGrid w:val="0"/>
        <w:spacing w:line="480" w:lineRule="exact"/>
        <w:ind w:firstLine="470" w:firstLineChars="196"/>
        <w:rPr>
          <w:color w:val="000000"/>
        </w:rPr>
      </w:pPr>
      <w:r>
        <w:rPr>
          <w:rFonts w:hint="eastAsia"/>
          <w:color w:val="000000"/>
        </w:rPr>
        <w:t>4.安全指数标准，用于定义计算小区安全指数各个指标的权重值；</w:t>
      </w:r>
    </w:p>
    <w:p>
      <w:pPr>
        <w:pStyle w:val="88"/>
        <w:adjustRightInd w:val="0"/>
        <w:snapToGrid w:val="0"/>
        <w:spacing w:line="480" w:lineRule="exact"/>
        <w:ind w:firstLine="470" w:firstLineChars="196"/>
        <w:rPr>
          <w:b/>
          <w:bCs/>
          <w:sz w:val="28"/>
          <w:szCs w:val="28"/>
          <w:lang w:bidi="ar"/>
        </w:rPr>
      </w:pPr>
      <w:r>
        <w:rPr>
          <w:rFonts w:hint="eastAsia"/>
          <w:color w:val="000000"/>
        </w:rPr>
        <w:t>5.治安防范标准，用于自定义系统中的物防类目和技防类目，并为每个小区设置标准的物防和技防数量，用于计算小区安全指数。</w:t>
      </w:r>
      <w:bookmarkStart w:id="535" w:name="_Toc29247"/>
      <w:bookmarkStart w:id="536" w:name="_Toc13649"/>
    </w:p>
    <w:p>
      <w:pPr>
        <w:widowControl/>
        <w:jc w:val="left"/>
        <w:outlineLvl w:val="2"/>
        <w:rPr>
          <w:rFonts w:cs="Times New Roman"/>
          <w:b/>
          <w:bCs/>
          <w:kern w:val="0"/>
          <w:sz w:val="28"/>
          <w:szCs w:val="28"/>
          <w:lang w:bidi="ar"/>
        </w:rPr>
      </w:pPr>
      <w:bookmarkStart w:id="537" w:name="_Toc79061690"/>
      <w:r>
        <w:rPr>
          <w:rFonts w:hint="eastAsia" w:cs="Times New Roman"/>
          <w:b/>
          <w:bCs/>
          <w:kern w:val="0"/>
          <w:sz w:val="28"/>
          <w:szCs w:val="28"/>
          <w:lang w:bidi="ar"/>
        </w:rPr>
        <w:t>4.3.2</w:t>
      </w:r>
      <w:bookmarkEnd w:id="535"/>
      <w:bookmarkEnd w:id="536"/>
      <w:r>
        <w:rPr>
          <w:rFonts w:hint="eastAsia" w:cs="Times New Roman"/>
          <w:b/>
          <w:bCs/>
          <w:kern w:val="0"/>
          <w:sz w:val="28"/>
          <w:szCs w:val="28"/>
          <w:lang w:bidi="ar"/>
        </w:rPr>
        <w:t>智慧平安小区管理服务平台</w:t>
      </w:r>
      <w:bookmarkEnd w:id="537"/>
    </w:p>
    <w:p>
      <w:pPr>
        <w:adjustRightInd w:val="0"/>
        <w:snapToGrid w:val="0"/>
        <w:spacing w:line="480" w:lineRule="exact"/>
        <w:ind w:firstLine="480"/>
        <w:rPr>
          <w:rFonts w:cs="Times New Roman"/>
          <w:kern w:val="0"/>
          <w:szCs w:val="24"/>
        </w:rPr>
      </w:pPr>
      <w:r>
        <w:rPr>
          <w:rFonts w:hint="eastAsia" w:cs="Times New Roman"/>
          <w:color w:val="000000"/>
          <w:kern w:val="0"/>
          <w:szCs w:val="24"/>
        </w:rPr>
        <w:t>智慧平安小区管理服务平台每个小区需配备单独接口账号及业主手机微信小程序账号，为业主生活提供便捷，</w:t>
      </w:r>
      <w:r>
        <w:rPr>
          <w:rFonts w:hint="eastAsia" w:cs="Times New Roman"/>
          <w:kern w:val="0"/>
          <w:szCs w:val="24"/>
        </w:rPr>
        <w:t>该微信小程序实现人房录入。</w:t>
      </w:r>
      <w:r>
        <w:rPr>
          <w:rFonts w:hint="eastAsia" w:cs="Times New Roman"/>
          <w:szCs w:val="24"/>
        </w:rPr>
        <w:t>该平台属于政法委所有，建设方不得私自留存相关数据。</w:t>
      </w:r>
      <w:r>
        <w:rPr>
          <w:rFonts w:hint="eastAsia"/>
          <w:szCs w:val="21"/>
          <w:lang w:bidi="ar"/>
        </w:rPr>
        <w:t>建立详细完备的设备分布及链路资料档案和网络运行档案，为保证智慧小区网络稳定运行提供良好的物质条件。</w:t>
      </w:r>
      <w:r>
        <w:rPr>
          <w:rFonts w:hint="eastAsia" w:cs="Times New Roman"/>
          <w:szCs w:val="24"/>
        </w:rPr>
        <w:t>平台部署于政务云（相关单位须在取得政法委同意的前提下，开展数据共享交换），相关部门使用时，需使用对应账号</w:t>
      </w:r>
      <w:r>
        <w:rPr>
          <w:rFonts w:hint="eastAsia" w:cs="Times New Roman"/>
          <w:kern w:val="0"/>
          <w:szCs w:val="24"/>
        </w:rPr>
        <w:t>及密码登录，仅可分权限查看所管辖小区的信息，提供应符合并具备以下功能要求：</w:t>
      </w:r>
    </w:p>
    <w:p>
      <w:pPr>
        <w:pStyle w:val="88"/>
        <w:numPr>
          <w:ilvl w:val="0"/>
          <w:numId w:val="40"/>
        </w:numPr>
        <w:adjustRightInd w:val="0"/>
        <w:snapToGrid w:val="0"/>
        <w:ind w:left="-5" w:firstLine="425"/>
      </w:pPr>
      <w:r>
        <w:rPr>
          <w:rFonts w:hint="eastAsia"/>
        </w:rPr>
        <w:t>智慧平安小区管理服务平台与微信小程序实现人房录入，致力于为业主提供智慧便捷的生活方式。</w:t>
      </w:r>
    </w:p>
    <w:p>
      <w:pPr>
        <w:pStyle w:val="88"/>
        <w:adjustRightInd w:val="0"/>
        <w:snapToGrid w:val="0"/>
        <w:ind w:firstLine="480" w:firstLineChars="200"/>
        <w:rPr>
          <w:color w:val="000000"/>
        </w:rPr>
      </w:pPr>
      <w:r>
        <w:rPr>
          <w:rFonts w:hint="eastAsia"/>
        </w:rPr>
        <w:t>①微信小程序通过互联网与电子政务外网指定开放的端</w:t>
      </w:r>
      <w:r>
        <w:rPr>
          <w:rFonts w:hint="eastAsia"/>
          <w:color w:val="000000"/>
        </w:rPr>
        <w:t>口进行通信，交互过程中实行授权访问(注:该外网端口需要向政务云备案申请才能使用，保证端口安全)。</w:t>
      </w:r>
    </w:p>
    <w:p>
      <w:pPr>
        <w:pStyle w:val="88"/>
        <w:adjustRightInd w:val="0"/>
        <w:snapToGrid w:val="0"/>
        <w:ind w:firstLine="480" w:firstLineChars="200"/>
        <w:rPr>
          <w:color w:val="000000"/>
        </w:rPr>
      </w:pPr>
      <w:r>
        <w:rPr>
          <w:rFonts w:hint="eastAsia"/>
          <w:color w:val="000000"/>
        </w:rPr>
        <w:t>②数据传输协议采用https传输，加密证书为权威CA机构颁发认证。</w:t>
      </w:r>
    </w:p>
    <w:p>
      <w:pPr>
        <w:pStyle w:val="88"/>
        <w:adjustRightInd w:val="0"/>
        <w:snapToGrid w:val="0"/>
        <w:ind w:firstLine="480" w:firstLineChars="200"/>
        <w:rPr>
          <w:color w:val="000000"/>
        </w:rPr>
      </w:pPr>
      <w:r>
        <w:rPr>
          <w:rFonts w:hint="eastAsia"/>
          <w:color w:val="000000"/>
        </w:rPr>
        <w:t>③数据传输时加密，使用时解密，采用 MD5加密保证数据一致性，加上AES加密，保证数据安全。</w:t>
      </w:r>
    </w:p>
    <w:p>
      <w:pPr>
        <w:pStyle w:val="88"/>
        <w:numPr>
          <w:ilvl w:val="0"/>
          <w:numId w:val="40"/>
        </w:numPr>
        <w:adjustRightInd w:val="0"/>
        <w:snapToGrid w:val="0"/>
        <w:ind w:left="-5" w:firstLine="425"/>
        <w:rPr>
          <w:color w:val="000000"/>
        </w:rPr>
      </w:pPr>
      <w:r>
        <w:rPr>
          <w:rFonts w:hint="eastAsia"/>
          <w:color w:val="000000"/>
        </w:rPr>
        <w:t>可查询实时业主开门记录、访客记录；</w:t>
      </w:r>
    </w:p>
    <w:p>
      <w:pPr>
        <w:pStyle w:val="88"/>
        <w:numPr>
          <w:ilvl w:val="0"/>
          <w:numId w:val="40"/>
        </w:numPr>
        <w:adjustRightInd w:val="0"/>
        <w:snapToGrid w:val="0"/>
        <w:ind w:left="-5" w:firstLine="425"/>
        <w:rPr>
          <w:color w:val="000000"/>
        </w:rPr>
      </w:pPr>
      <w:r>
        <w:rPr>
          <w:rFonts w:hint="eastAsia"/>
          <w:color w:val="000000"/>
        </w:rPr>
        <w:t>可查询车辆进出记录、场内车辆记录（含图片、车牌号、进出时间）；</w:t>
      </w:r>
    </w:p>
    <w:p>
      <w:pPr>
        <w:pStyle w:val="88"/>
        <w:numPr>
          <w:ilvl w:val="0"/>
          <w:numId w:val="40"/>
        </w:numPr>
        <w:adjustRightInd w:val="0"/>
        <w:snapToGrid w:val="0"/>
        <w:ind w:left="-5" w:firstLine="425"/>
        <w:rPr>
          <w:color w:val="000000"/>
        </w:rPr>
      </w:pPr>
      <w:r>
        <w:rPr>
          <w:rFonts w:hint="eastAsia"/>
          <w:color w:val="000000"/>
        </w:rPr>
        <w:t>楼栋档案：支持批量导入楼栋单元信息，支持用楼栋编码搜索楼栋信息；</w:t>
      </w:r>
    </w:p>
    <w:p>
      <w:pPr>
        <w:pStyle w:val="88"/>
        <w:numPr>
          <w:ilvl w:val="0"/>
          <w:numId w:val="40"/>
        </w:numPr>
        <w:adjustRightInd w:val="0"/>
        <w:snapToGrid w:val="0"/>
        <w:ind w:left="-5" w:firstLine="425"/>
        <w:rPr>
          <w:color w:val="000000"/>
        </w:rPr>
      </w:pPr>
      <w:r>
        <w:rPr>
          <w:rFonts w:hint="eastAsia"/>
          <w:color w:val="000000"/>
        </w:rPr>
        <w:t>房屋档案：支持批量导入、导出房屋资料和编辑修改和删除已添加的业主信息；</w:t>
      </w:r>
    </w:p>
    <w:p>
      <w:pPr>
        <w:pStyle w:val="88"/>
        <w:numPr>
          <w:ilvl w:val="0"/>
          <w:numId w:val="40"/>
        </w:numPr>
        <w:adjustRightInd w:val="0"/>
        <w:snapToGrid w:val="0"/>
        <w:ind w:left="-5" w:firstLine="425"/>
      </w:pPr>
      <w:r>
        <w:rPr>
          <w:rFonts w:hint="eastAsia"/>
          <w:color w:val="000000"/>
        </w:rPr>
        <w:t>住户管理：支持批量导入、导出住户资料和编辑修改和删除已添加的住户信息。只有通过认证的住户方可使用所在小区的功能，包括手机开门、可视对讲、投诉、报修、接收公告、查看并缴纳费用；</w:t>
      </w:r>
    </w:p>
    <w:p>
      <w:pPr>
        <w:pStyle w:val="88"/>
        <w:numPr>
          <w:ilvl w:val="0"/>
          <w:numId w:val="40"/>
        </w:numPr>
        <w:adjustRightInd w:val="0"/>
        <w:snapToGrid w:val="0"/>
        <w:ind w:left="-5" w:firstLine="425"/>
        <w:rPr>
          <w:color w:val="000000"/>
        </w:rPr>
      </w:pPr>
      <w:r>
        <w:rPr>
          <w:rFonts w:hint="eastAsia"/>
          <w:color w:val="000000"/>
        </w:rPr>
        <w:t>身份认证管理：支持业主、家属或租客在微信小程序前端填写个人信息资料提交进行身份认证，可以进行审核、“通过”或“驳回”房屋认证申请等操作；</w:t>
      </w:r>
    </w:p>
    <w:p>
      <w:pPr>
        <w:pStyle w:val="88"/>
        <w:numPr>
          <w:ilvl w:val="0"/>
          <w:numId w:val="40"/>
        </w:numPr>
        <w:adjustRightInd w:val="0"/>
        <w:snapToGrid w:val="0"/>
        <w:ind w:left="-5" w:firstLine="425"/>
        <w:rPr>
          <w:color w:val="000000"/>
        </w:rPr>
      </w:pPr>
      <w:r>
        <w:rPr>
          <w:rFonts w:hint="eastAsia"/>
          <w:color w:val="000000"/>
        </w:rPr>
        <w:t>公告管理：安装了微信小程序的住户可收到推送和查看、评价，向住户发布的公告信息；</w:t>
      </w:r>
    </w:p>
    <w:p>
      <w:pPr>
        <w:pStyle w:val="88"/>
        <w:numPr>
          <w:ilvl w:val="0"/>
          <w:numId w:val="40"/>
        </w:numPr>
        <w:adjustRightInd w:val="0"/>
        <w:snapToGrid w:val="0"/>
        <w:ind w:left="-5" w:firstLine="425"/>
        <w:rPr>
          <w:color w:val="000000"/>
          <w:lang w:bidi="ar"/>
        </w:rPr>
      </w:pPr>
      <w:r>
        <w:rPr>
          <w:rFonts w:hint="eastAsia"/>
          <w:color w:val="000000"/>
        </w:rPr>
        <w:t>投诉管理：可以录入投诉信息，微信小程序前端用户提交的投诉也会同步显示。支持按受理日期、处理状态、查找关键字等维度进行搜索，支持表格导出投诉管理数据。</w:t>
      </w:r>
    </w:p>
    <w:p>
      <w:pPr>
        <w:pStyle w:val="88"/>
        <w:adjustRightInd w:val="0"/>
        <w:snapToGrid w:val="0"/>
        <w:ind w:left="425"/>
        <w:rPr>
          <w:color w:val="000000"/>
          <w:lang w:bidi="ar"/>
        </w:rPr>
      </w:pPr>
      <w:r>
        <w:rPr>
          <w:rFonts w:ascii="Times New Roman" w:hAnsi="Times New Roman" w:cs="Times New Roman"/>
          <w:color w:val="000000"/>
        </w:rPr>
        <w:t>（10）</w:t>
      </w:r>
      <w:r>
        <w:rPr>
          <w:rFonts w:hint="eastAsia"/>
          <w:color w:val="000000"/>
          <w:lang w:bidi="ar"/>
        </w:rPr>
        <w:t>人脸识别门禁</w:t>
      </w:r>
      <w:bookmarkEnd w:id="499"/>
      <w:bookmarkEnd w:id="515"/>
      <w:bookmarkEnd w:id="531"/>
      <w:r>
        <w:rPr>
          <w:rFonts w:hint="eastAsia"/>
          <w:color w:val="000000"/>
          <w:lang w:bidi="ar"/>
        </w:rPr>
        <w:t>系统</w:t>
      </w:r>
    </w:p>
    <w:p>
      <w:pPr>
        <w:widowControl/>
        <w:jc w:val="left"/>
        <w:rPr>
          <w:rFonts w:cs="Times New Roman"/>
          <w:b/>
          <w:bCs/>
          <w:kern w:val="0"/>
          <w:szCs w:val="24"/>
          <w:lang w:bidi="ar"/>
        </w:rPr>
      </w:pPr>
      <w:r>
        <w:rPr>
          <w:rFonts w:hint="eastAsia" w:cs="Times New Roman"/>
          <w:b/>
          <w:bCs/>
          <w:kern w:val="0"/>
          <w:szCs w:val="24"/>
          <w:lang w:bidi="ar"/>
        </w:rPr>
        <w:t>1、系统概述</w:t>
      </w:r>
    </w:p>
    <w:p>
      <w:pPr>
        <w:ind w:firstLine="480"/>
        <w:jc w:val="left"/>
        <w:rPr>
          <w:rFonts w:ascii="Verdana" w:hAnsi="Verdana" w:cs="Times New Roman"/>
          <w:color w:val="000000"/>
          <w:szCs w:val="28"/>
          <w:lang w:val="zh-CN"/>
        </w:rPr>
      </w:pPr>
      <w:r>
        <w:rPr>
          <w:rFonts w:hint="eastAsia" w:ascii="Verdana" w:hAnsi="Verdana" w:cs="Times New Roman"/>
          <w:color w:val="000000"/>
          <w:szCs w:val="28"/>
          <w:lang w:val="zh-CN"/>
        </w:rPr>
        <w:t>基于人脸的方式通行整个社区，变革人员通行模式，包含着人员种类为业主，预约访客，临时访客，社区经常出入人员（快递，外卖等），通过基于人脸的通行模式，革新社区生活，实现无接触归家，保障用户健康安全</w:t>
      </w:r>
      <w:r>
        <w:rPr>
          <w:rFonts w:hint="eastAsia" w:cs="Times New Roman"/>
          <w:szCs w:val="24"/>
        </w:rPr>
        <w:t>，如部分居民不愿意使用人脸认证的居民可办理进出卡使用刷卡进出小区。</w:t>
      </w:r>
    </w:p>
    <w:p>
      <w:pPr>
        <w:ind w:firstLine="480"/>
        <w:jc w:val="left"/>
        <w:rPr>
          <w:rFonts w:cs="Times New Roman"/>
          <w:szCs w:val="24"/>
        </w:rPr>
      </w:pPr>
      <w:r>
        <w:rPr>
          <w:rFonts w:hint="eastAsia" w:cs="Times New Roman"/>
          <w:szCs w:val="24"/>
        </w:rPr>
        <w:t>进出人员均需人脸识别认证后方可通行，同时系统自动抓取通行人员通行时的抓拍图片作为记录，抓拍照片每张照片约为150KB，每月估算32个小区照片320W张，每月估算储存960G,照片需要保存半年以上，照片存储于专网的政务云，建设方不得留存相关数据（相关单位须在取得政法委同意的前提下开展数据共享交换），存储量不低于5T；外部来访人员则需进行扫描二维码经全国人口数据库认证，登记成功后，才能通过自拍的人脸识别成功后进入小区。</w:t>
      </w:r>
    </w:p>
    <w:p>
      <w:pPr>
        <w:ind w:firstLine="480"/>
        <w:rPr>
          <w:rFonts w:cs="Times New Roman"/>
          <w:szCs w:val="24"/>
        </w:rPr>
      </w:pPr>
      <w:r>
        <w:rPr>
          <w:rFonts w:hint="eastAsia" w:cs="Times New Roman"/>
          <w:szCs w:val="24"/>
        </w:rPr>
        <w:t>人口数据库认证：</w:t>
      </w:r>
    </w:p>
    <w:p>
      <w:pPr>
        <w:ind w:firstLine="480"/>
        <w:rPr>
          <w:rFonts w:hint="eastAsia" w:cs="Times New Roman"/>
          <w:szCs w:val="24"/>
        </w:rPr>
      </w:pPr>
      <w:r>
        <w:rPr>
          <w:rFonts w:hint="eastAsia" w:cs="Times New Roman"/>
          <w:szCs w:val="24"/>
        </w:rPr>
        <w:t>①由中标单位须独力向省公安厅（AI能力层）申请开通智慧小区对接，获取相应接口令牌、账户及密码，调用人口数据库等应用。项目建设完成后，相关接口令牌、账户及密码须无条件向政法委移交，移交后，中标单位不得私自留存（提供承诺书，并加盖公章）。</w:t>
      </w:r>
    </w:p>
    <w:p>
      <w:pPr>
        <w:ind w:firstLine="480"/>
        <w:rPr>
          <w:rFonts w:cs="Times New Roman"/>
          <w:szCs w:val="24"/>
        </w:rPr>
      </w:pPr>
      <w:r>
        <w:rPr>
          <w:rFonts w:hint="eastAsia" w:cs="Times New Roman"/>
          <w:szCs w:val="24"/>
        </w:rPr>
        <w:t>②认证的结果分为两方面：</w:t>
      </w:r>
    </w:p>
    <w:p>
      <w:pPr>
        <w:ind w:firstLine="480"/>
        <w:rPr>
          <w:rFonts w:cs="Times New Roman"/>
          <w:szCs w:val="24"/>
        </w:rPr>
      </w:pPr>
      <w:r>
        <w:rPr>
          <w:rFonts w:hint="eastAsia" w:cs="Times New Roman"/>
          <w:szCs w:val="24"/>
        </w:rPr>
        <w:t>(1)人证比对，判断是该人员是否是本人(不是本人，注册失败，立即提示到手机页面上)</w:t>
      </w:r>
    </w:p>
    <w:p>
      <w:pPr>
        <w:ind w:firstLine="480"/>
        <w:rPr>
          <w:rFonts w:cs="Times New Roman"/>
          <w:szCs w:val="24"/>
        </w:rPr>
      </w:pPr>
      <w:r>
        <w:rPr>
          <w:rFonts w:hint="eastAsia" w:cs="Times New Roman"/>
          <w:szCs w:val="24"/>
        </w:rPr>
        <w:t>(2)是否属于公安重点人员，如果是重点人员，会推送告警信息到辖区民警的手机上，并且可以实现开门或不开门)</w:t>
      </w:r>
    </w:p>
    <w:p>
      <w:pPr>
        <w:ind w:firstLine="480"/>
        <w:rPr>
          <w:rFonts w:cs="Times New Roman"/>
          <w:szCs w:val="24"/>
        </w:rPr>
      </w:pPr>
      <w:r>
        <w:rPr>
          <w:rFonts w:hint="eastAsia" w:cs="Times New Roman"/>
          <w:szCs w:val="24"/>
        </w:rPr>
        <w:t>③登记成功会在手机端提示注册成功，并可以立即刷脸开门，门口面板机的显示屏上会出现相应的人员信息</w:t>
      </w:r>
    </w:p>
    <w:p>
      <w:pPr>
        <w:ind w:firstLine="480"/>
        <w:jc w:val="left"/>
        <w:rPr>
          <w:rFonts w:cs="Times New Roman"/>
          <w:szCs w:val="24"/>
          <w:lang w:bidi="ar"/>
        </w:rPr>
      </w:pPr>
      <w:r>
        <w:rPr>
          <w:rFonts w:hint="eastAsia" w:cs="Times New Roman"/>
          <w:szCs w:val="24"/>
        </w:rPr>
        <w:t>后端</w:t>
      </w:r>
      <w:r>
        <w:rPr>
          <w:rFonts w:hint="eastAsia" w:cs="Times New Roman"/>
          <w:szCs w:val="24"/>
          <w:lang w:bidi="ar"/>
        </w:rPr>
        <w:t>人脸识终端需配合小区新增录入人员时具有：</w:t>
      </w:r>
    </w:p>
    <w:p>
      <w:pPr>
        <w:ind w:firstLine="480"/>
        <w:jc w:val="left"/>
        <w:rPr>
          <w:rFonts w:cs="Times New Roman"/>
          <w:szCs w:val="24"/>
          <w:lang w:bidi="ar"/>
        </w:rPr>
      </w:pPr>
      <w:r>
        <w:rPr>
          <w:rFonts w:hint="eastAsia" w:cs="Times New Roman"/>
          <w:szCs w:val="24"/>
          <w:lang w:bidi="ar"/>
        </w:rPr>
        <w:t>（1）黑名单/白名单报警功能 可将居民身份证机读信息与设置的黑名单信息比对，如信息一致可通过公安网或移动警务给属地公安机关发送报警信息。可通过手机短信报警。</w:t>
      </w:r>
    </w:p>
    <w:p>
      <w:pPr>
        <w:ind w:firstLine="480"/>
        <w:jc w:val="left"/>
        <w:rPr>
          <w:rFonts w:cs="Times New Roman"/>
          <w:szCs w:val="24"/>
          <w:lang w:bidi="ar"/>
        </w:rPr>
      </w:pPr>
      <w:r>
        <w:drawing>
          <wp:anchor distT="0" distB="0" distL="114300" distR="114300" simplePos="0" relativeHeight="251660288" behindDoc="1" locked="0" layoutInCell="1" allowOverlap="1">
            <wp:simplePos x="0" y="0"/>
            <wp:positionH relativeFrom="column">
              <wp:posOffset>69215</wp:posOffset>
            </wp:positionH>
            <wp:positionV relativeFrom="paragraph">
              <wp:posOffset>556895</wp:posOffset>
            </wp:positionV>
            <wp:extent cx="5130800" cy="2957195"/>
            <wp:effectExtent l="0" t="0" r="0" b="1905"/>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23"/>
                    <a:stretch>
                      <a:fillRect/>
                    </a:stretch>
                  </pic:blipFill>
                  <pic:spPr>
                    <a:xfrm>
                      <a:off x="0" y="0"/>
                      <a:ext cx="5130800" cy="2957195"/>
                    </a:xfrm>
                    <a:prstGeom prst="rect">
                      <a:avLst/>
                    </a:prstGeom>
                    <a:noFill/>
                    <a:ln>
                      <a:noFill/>
                    </a:ln>
                  </pic:spPr>
                </pic:pic>
              </a:graphicData>
            </a:graphic>
          </wp:anchor>
        </w:drawing>
      </w:r>
      <w:r>
        <w:rPr>
          <w:rFonts w:hint="eastAsia" w:cs="Times New Roman"/>
          <w:szCs w:val="24"/>
          <w:lang w:bidi="ar"/>
        </w:rPr>
        <w:t>（2）无证核验 实时抓拍现场活体人脸图像，将活体人脸图像和手动输入的身份证号及姓名提交至中华人民共和国公安部可信身份认证平台（CTID）进行核验，实现人证同一性验证，或者通过健康码（二维码）核验。</w:t>
      </w:r>
    </w:p>
    <w:p>
      <w:pPr>
        <w:widowControl/>
        <w:jc w:val="left"/>
        <w:rPr>
          <w:rFonts w:cs="Times New Roman"/>
          <w:b/>
          <w:bCs/>
          <w:kern w:val="0"/>
          <w:szCs w:val="24"/>
          <w:lang w:bidi="ar"/>
        </w:rPr>
      </w:pPr>
      <w:r>
        <w:rPr>
          <w:rFonts w:hint="eastAsia" w:cs="Times New Roman"/>
          <w:b/>
          <w:bCs/>
          <w:kern w:val="0"/>
          <w:szCs w:val="24"/>
          <w:lang w:bidi="ar"/>
        </w:rPr>
        <w:t>2、系统设计</w:t>
      </w: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ind w:firstLine="480"/>
        <w:jc w:val="left"/>
        <w:rPr>
          <w:rFonts w:ascii="Calibri" w:hAnsi="Calibri" w:cs="Times New Roman"/>
        </w:rPr>
      </w:pPr>
    </w:p>
    <w:p>
      <w:pPr>
        <w:jc w:val="left"/>
        <w:rPr>
          <w:rFonts w:ascii="Calibri" w:hAnsi="Calibri" w:cs="Times New Roman"/>
        </w:rPr>
      </w:pPr>
    </w:p>
    <w:p>
      <w:pPr>
        <w:ind w:firstLine="480"/>
        <w:jc w:val="left"/>
        <w:rPr>
          <w:rFonts w:ascii="Calibri" w:hAnsi="Calibri" w:cs="Times New Roman"/>
        </w:rPr>
      </w:pPr>
    </w:p>
    <w:p>
      <w:pPr>
        <w:pStyle w:val="14"/>
        <w:numPr>
          <w:ilvl w:val="0"/>
          <w:numId w:val="38"/>
        </w:numPr>
        <w:spacing w:before="163" w:after="163"/>
        <w:ind w:firstLine="480"/>
        <w:rPr>
          <w:rFonts w:ascii="宋体" w:hAnsi="宋体" w:eastAsia="宋体"/>
          <w:b/>
          <w:bCs/>
          <w:kern w:val="0"/>
          <w:sz w:val="28"/>
          <w:szCs w:val="28"/>
          <w:lang w:bidi="ar"/>
        </w:rPr>
      </w:pPr>
      <w:r>
        <w:rPr>
          <w:rFonts w:hint="eastAsia" w:ascii="宋体" w:hAnsi="宋体" w:eastAsia="宋体"/>
          <w:szCs w:val="21"/>
        </w:rPr>
        <w:t>人脸识别门禁</w:t>
      </w:r>
      <w:r>
        <w:rPr>
          <w:rFonts w:ascii="宋体" w:hAnsi="宋体" w:eastAsia="宋体"/>
          <w:szCs w:val="21"/>
        </w:rPr>
        <w:t>系统拓扑图</w:t>
      </w:r>
    </w:p>
    <w:p>
      <w:pPr>
        <w:widowControl/>
        <w:jc w:val="left"/>
        <w:rPr>
          <w:rFonts w:cs="Times New Roman"/>
          <w:b/>
          <w:bCs/>
          <w:kern w:val="0"/>
          <w:szCs w:val="24"/>
          <w:lang w:bidi="ar"/>
        </w:rPr>
      </w:pPr>
      <w:r>
        <w:rPr>
          <w:rFonts w:hint="eastAsia" w:cs="Times New Roman"/>
          <w:b/>
          <w:bCs/>
          <w:kern w:val="0"/>
          <w:szCs w:val="24"/>
          <w:lang w:bidi="ar"/>
        </w:rPr>
        <w:t>3、前端设计</w:t>
      </w:r>
    </w:p>
    <w:p>
      <w:pPr>
        <w:ind w:firstLine="480"/>
        <w:jc w:val="left"/>
        <w:rPr>
          <w:rFonts w:cs="Times New Roman"/>
          <w:szCs w:val="24"/>
        </w:rPr>
      </w:pPr>
      <w:r>
        <w:rPr>
          <w:rFonts w:hint="eastAsia" w:cs="Times New Roman"/>
          <w:szCs w:val="24"/>
        </w:rPr>
        <w:t>门禁点设计原则如下</w:t>
      </w:r>
      <w:r>
        <w:rPr>
          <w:rFonts w:cs="Times New Roman"/>
          <w:szCs w:val="24"/>
        </w:rPr>
        <w:t>：</w:t>
      </w:r>
    </w:p>
    <w:p>
      <w:pPr>
        <w:ind w:firstLine="480"/>
        <w:jc w:val="left"/>
        <w:rPr>
          <w:rFonts w:cs="Times New Roman"/>
          <w:szCs w:val="24"/>
        </w:rPr>
      </w:pPr>
      <w:r>
        <w:rPr>
          <w:rFonts w:hint="eastAsia" w:cs="Times New Roman"/>
          <w:szCs w:val="24"/>
        </w:rPr>
        <w:t>门禁点设计主要考虑受控区域的进出权限控制，结合受控区域的环境特点与实际应用需求，通过对进出通道设置门禁设备，限定不同人员的出入权限，并对人员进出信息进行记录等。在针对不同受控区域进行门禁点配置时，应遵循以下原则。</w:t>
      </w:r>
    </w:p>
    <w:p>
      <w:pPr>
        <w:pStyle w:val="80"/>
        <w:widowControl/>
        <w:spacing w:line="360" w:lineRule="auto"/>
        <w:ind w:left="480" w:firstLine="0" w:firstLineChars="0"/>
        <w:jc w:val="left"/>
        <w:rPr>
          <w:rFonts w:ascii="宋体" w:hAnsi="宋体"/>
          <w:sz w:val="24"/>
        </w:rPr>
      </w:pPr>
      <w:r>
        <w:rPr>
          <w:rFonts w:hint="eastAsia" w:ascii="宋体" w:hAnsi="宋体"/>
          <w:sz w:val="24"/>
        </w:rPr>
        <w:t>（1）按需确定受控区域</w:t>
      </w:r>
    </w:p>
    <w:p>
      <w:pPr>
        <w:ind w:firstLine="480"/>
        <w:jc w:val="left"/>
        <w:rPr>
          <w:rFonts w:cs="Times New Roman"/>
          <w:szCs w:val="24"/>
        </w:rPr>
      </w:pPr>
      <w:r>
        <w:rPr>
          <w:rFonts w:hint="eastAsia" w:cs="Times New Roman"/>
          <w:szCs w:val="24"/>
        </w:rPr>
        <w:t>门禁点设计应首先确定受控区域与控制需求，需要在主要出入口设置门禁点。</w:t>
      </w:r>
    </w:p>
    <w:p>
      <w:pPr>
        <w:pStyle w:val="80"/>
        <w:widowControl/>
        <w:spacing w:line="360" w:lineRule="auto"/>
        <w:ind w:left="480" w:firstLine="0" w:firstLineChars="0"/>
        <w:jc w:val="left"/>
        <w:rPr>
          <w:rFonts w:ascii="宋体" w:hAnsi="宋体"/>
          <w:sz w:val="24"/>
        </w:rPr>
      </w:pPr>
      <w:r>
        <w:rPr>
          <w:rFonts w:hint="eastAsia" w:ascii="宋体" w:hAnsi="宋体"/>
          <w:sz w:val="24"/>
        </w:rPr>
        <w:t>（2）全面的点位设置</w:t>
      </w:r>
    </w:p>
    <w:p>
      <w:pPr>
        <w:ind w:firstLine="480"/>
        <w:jc w:val="left"/>
        <w:rPr>
          <w:rFonts w:cs="Times New Roman"/>
          <w:szCs w:val="24"/>
        </w:rPr>
      </w:pPr>
      <w:r>
        <w:rPr>
          <w:rFonts w:hint="eastAsia" w:cs="Times New Roman"/>
          <w:szCs w:val="24"/>
        </w:rPr>
        <w:t>对于需要进行通行权限控制的区域，应全面考虑该区域的进出通道，对所有可能进入该受控区域的出入口设置门禁点。</w:t>
      </w:r>
    </w:p>
    <w:p>
      <w:pPr>
        <w:pStyle w:val="80"/>
        <w:widowControl/>
        <w:spacing w:line="360" w:lineRule="auto"/>
        <w:ind w:left="480" w:firstLine="0" w:firstLineChars="0"/>
        <w:jc w:val="left"/>
        <w:rPr>
          <w:rFonts w:ascii="宋体" w:hAnsi="宋体"/>
          <w:sz w:val="24"/>
        </w:rPr>
      </w:pPr>
      <w:r>
        <w:rPr>
          <w:rFonts w:hint="eastAsia" w:ascii="宋体" w:hAnsi="宋体"/>
          <w:sz w:val="24"/>
        </w:rPr>
        <w:t>（3）配合门禁控制逻辑</w:t>
      </w:r>
    </w:p>
    <w:p>
      <w:pPr>
        <w:ind w:firstLine="480"/>
        <w:jc w:val="left"/>
        <w:rPr>
          <w:rFonts w:cs="Times New Roman"/>
          <w:szCs w:val="24"/>
        </w:rPr>
      </w:pPr>
      <w:r>
        <w:rPr>
          <w:rFonts w:hint="eastAsia" w:cs="Times New Roman"/>
          <w:szCs w:val="24"/>
        </w:rPr>
        <w:t>门禁点配置需要与系统控制逻辑相对应，如单向控制只需在进门或出门处设置门禁点，双向门禁控制则需要在进出两边均设置门禁点。</w:t>
      </w:r>
    </w:p>
    <w:p>
      <w:pPr>
        <w:pStyle w:val="80"/>
        <w:widowControl/>
        <w:spacing w:line="360" w:lineRule="auto"/>
        <w:ind w:left="480" w:firstLine="0" w:firstLineChars="0"/>
        <w:jc w:val="left"/>
        <w:rPr>
          <w:rFonts w:ascii="宋体" w:hAnsi="宋体"/>
          <w:sz w:val="24"/>
        </w:rPr>
      </w:pPr>
      <w:r>
        <w:rPr>
          <w:rFonts w:hint="eastAsia" w:ascii="宋体" w:hAnsi="宋体"/>
          <w:sz w:val="24"/>
        </w:rPr>
        <w:t>（4）合理经济的门禁点汇聚方式</w:t>
      </w:r>
    </w:p>
    <w:p>
      <w:pPr>
        <w:ind w:firstLine="480"/>
        <w:jc w:val="left"/>
        <w:rPr>
          <w:rFonts w:cs="Times New Roman"/>
          <w:szCs w:val="24"/>
        </w:rPr>
      </w:pPr>
      <w:r>
        <w:rPr>
          <w:rFonts w:hint="eastAsia" w:cs="Times New Roman"/>
          <w:szCs w:val="24"/>
        </w:rPr>
        <w:t>门禁点需要与管理中心进行数据通讯，因此各门禁点与管理中心之间需要建设通讯线路。基于节省线材与施工的考虑，门禁点较多的情况下需要将多个点位进行汇聚。在门禁点位设计过程中，应考虑门禁控制器的上下行通讯方式以及单台控制器接入门禁点数量等，选择较为合理、经济的汇聚方式。</w:t>
      </w:r>
    </w:p>
    <w:p>
      <w:pPr>
        <w:widowControl/>
        <w:jc w:val="left"/>
        <w:rPr>
          <w:rFonts w:cs="Times New Roman"/>
          <w:b/>
          <w:bCs/>
          <w:kern w:val="0"/>
          <w:szCs w:val="24"/>
          <w:lang w:bidi="ar"/>
        </w:rPr>
      </w:pPr>
      <w:r>
        <w:rPr>
          <w:rFonts w:hint="eastAsia" w:cs="Times New Roman"/>
          <w:b/>
          <w:bCs/>
          <w:kern w:val="0"/>
          <w:szCs w:val="24"/>
          <w:lang w:bidi="ar"/>
        </w:rPr>
        <w:t>4、传输网络设计</w:t>
      </w:r>
    </w:p>
    <w:p>
      <w:pPr>
        <w:numPr>
          <w:ilvl w:val="0"/>
          <w:numId w:val="41"/>
        </w:numPr>
        <w:ind w:firstLine="480"/>
        <w:jc w:val="left"/>
        <w:rPr>
          <w:rFonts w:cs="Times New Roman"/>
          <w:szCs w:val="24"/>
        </w:rPr>
      </w:pPr>
      <w:r>
        <w:rPr>
          <w:rFonts w:hint="eastAsia" w:cs="Times New Roman"/>
          <w:szCs w:val="24"/>
        </w:rPr>
        <w:t>门禁一体机通过</w:t>
      </w:r>
      <w:r>
        <w:rPr>
          <w:rFonts w:cs="Times New Roman"/>
          <w:szCs w:val="24"/>
        </w:rPr>
        <w:t>TCP/IP</w:t>
      </w:r>
      <w:r>
        <w:rPr>
          <w:rFonts w:hint="eastAsia" w:cs="Times New Roman"/>
          <w:szCs w:val="24"/>
        </w:rPr>
        <w:t>或</w:t>
      </w:r>
      <w:r>
        <w:rPr>
          <w:rFonts w:cs="Times New Roman"/>
          <w:szCs w:val="24"/>
        </w:rPr>
        <w:t>WIFI</w:t>
      </w:r>
      <w:r>
        <w:rPr>
          <w:rFonts w:hint="eastAsia" w:cs="Times New Roman"/>
          <w:szCs w:val="24"/>
        </w:rPr>
        <w:t>（可定制</w:t>
      </w:r>
      <w:r>
        <w:rPr>
          <w:rFonts w:cs="Times New Roman"/>
          <w:szCs w:val="24"/>
        </w:rPr>
        <w:t>4G/3G/GPRS</w:t>
      </w:r>
      <w:r>
        <w:rPr>
          <w:rFonts w:hint="eastAsia" w:cs="Times New Roman"/>
          <w:szCs w:val="24"/>
        </w:rPr>
        <w:t>）接入管理中心；</w:t>
      </w:r>
    </w:p>
    <w:p>
      <w:pPr>
        <w:ind w:firstLine="480"/>
        <w:jc w:val="left"/>
        <w:rPr>
          <w:rFonts w:cs="Times New Roman"/>
          <w:szCs w:val="24"/>
        </w:rPr>
      </w:pPr>
      <w:r>
        <w:rPr>
          <w:rFonts w:hint="eastAsia" w:cs="Times New Roman"/>
          <w:szCs w:val="24"/>
        </w:rPr>
        <w:t>2、门禁一体机下行通过多芯信号线接入：输出门锁开关控制信号与报警联动信号等；</w:t>
      </w:r>
    </w:p>
    <w:p>
      <w:pPr>
        <w:widowControl/>
        <w:jc w:val="left"/>
        <w:rPr>
          <w:rFonts w:cs="Times New Roman"/>
          <w:b/>
          <w:bCs/>
          <w:kern w:val="0"/>
          <w:szCs w:val="24"/>
          <w:lang w:bidi="ar"/>
        </w:rPr>
      </w:pPr>
      <w:bookmarkStart w:id="538" w:name="_Toc509302042"/>
      <w:bookmarkStart w:id="539" w:name="_Toc44337815"/>
      <w:bookmarkStart w:id="540" w:name="_Toc507528401"/>
      <w:bookmarkStart w:id="541" w:name="_Toc36216201"/>
      <w:r>
        <w:rPr>
          <w:rFonts w:hint="eastAsia" w:cs="Times New Roman"/>
          <w:b/>
          <w:bCs/>
          <w:kern w:val="0"/>
          <w:szCs w:val="24"/>
          <w:lang w:bidi="ar"/>
        </w:rPr>
        <w:t>5、系统部署</w:t>
      </w:r>
      <w:bookmarkEnd w:id="538"/>
      <w:bookmarkEnd w:id="539"/>
      <w:bookmarkEnd w:id="540"/>
      <w:bookmarkEnd w:id="541"/>
    </w:p>
    <w:p>
      <w:pPr>
        <w:pStyle w:val="80"/>
        <w:widowControl/>
        <w:spacing w:line="360" w:lineRule="auto"/>
        <w:ind w:left="480" w:firstLine="0" w:firstLineChars="0"/>
        <w:jc w:val="left"/>
        <w:rPr>
          <w:rFonts w:ascii="宋体" w:hAnsi="宋体"/>
          <w:sz w:val="24"/>
        </w:rPr>
      </w:pPr>
      <w:r>
        <w:rPr>
          <w:rFonts w:hint="eastAsia" w:ascii="宋体" w:hAnsi="宋体"/>
          <w:sz w:val="24"/>
        </w:rPr>
        <w:t>（1）进门：身份识别；选用设备：人脸识别一体机进行人脸识别、或刷卡进入。</w:t>
      </w:r>
    </w:p>
    <w:p>
      <w:pPr>
        <w:ind w:firstLine="480"/>
        <w:jc w:val="left"/>
        <w:rPr>
          <w:rFonts w:cs="Times New Roman"/>
          <w:szCs w:val="24"/>
        </w:rPr>
      </w:pPr>
      <w:r>
        <w:rPr>
          <w:rFonts w:hint="eastAsia" w:cs="Times New Roman"/>
          <w:szCs w:val="24"/>
        </w:rPr>
        <w:t>管理中心完成权限下发，用户到达前端识别设备进行身份识别。前端识别设备将获取的身份信息并传送到一体机或控制器内部进行数据分析和对比，同时一体机或控制器内部自动判断当前时间该用户是否允许出入，若允许进入门禁控制器中的继电器将操作电子锁开门。同时比对成功后输出界面文字显示，并将人员身份信息及现场抓拍图片上传至后台进行完整记录。</w:t>
      </w:r>
    </w:p>
    <w:p>
      <w:pPr>
        <w:pStyle w:val="80"/>
        <w:widowControl/>
        <w:spacing w:line="360" w:lineRule="auto"/>
        <w:ind w:left="480" w:firstLine="0" w:firstLineChars="0"/>
        <w:jc w:val="left"/>
        <w:rPr>
          <w:rFonts w:ascii="宋体" w:hAnsi="宋体"/>
          <w:sz w:val="24"/>
        </w:rPr>
      </w:pPr>
      <w:r>
        <w:rPr>
          <w:rFonts w:hint="eastAsia" w:ascii="宋体" w:hAnsi="宋体"/>
          <w:sz w:val="24"/>
        </w:rPr>
        <w:t>（2）出门：身份识别；选用设备：人脸识别一体机进行人脸识别、或刷卡进入。</w:t>
      </w:r>
    </w:p>
    <w:p>
      <w:pPr>
        <w:ind w:firstLine="480"/>
        <w:jc w:val="left"/>
        <w:rPr>
          <w:rFonts w:ascii="Calibri" w:hAnsi="Calibri" w:cs="Times New Roman"/>
        </w:rPr>
      </w:pPr>
      <w:r>
        <w:rPr>
          <w:rFonts w:hint="eastAsia" w:cs="Times New Roman"/>
          <w:szCs w:val="24"/>
        </w:rPr>
        <w:t>访客一体机或管理中心完成权限下发，用户到达前端识别设备进行身份识别。前端识别设备将获取的身份信息并传送到一体机或控制器内部进行数据分析和对比，同时一体机或控制器内部自动判断当前时间该用户是否允许出入，若允许进入门禁控制器中的继电器将操作电子锁开门。同时比对成功后输出界面文字显示，并将人员身份信息及现场抓拍图片上传至后台进行完整记录。</w:t>
      </w:r>
    </w:p>
    <w:p>
      <w:pPr>
        <w:widowControl/>
        <w:jc w:val="left"/>
        <w:rPr>
          <w:rFonts w:cs="Times New Roman"/>
          <w:b/>
          <w:bCs/>
          <w:kern w:val="0"/>
          <w:szCs w:val="24"/>
          <w:lang w:bidi="ar"/>
        </w:rPr>
      </w:pPr>
      <w:r>
        <w:rPr>
          <w:rFonts w:hint="eastAsia" w:cs="Times New Roman"/>
          <w:b/>
          <w:bCs/>
          <w:kern w:val="0"/>
          <w:szCs w:val="24"/>
          <w:lang w:bidi="ar"/>
        </w:rPr>
        <w:t>6、应用功能</w:t>
      </w:r>
    </w:p>
    <w:p>
      <w:pPr>
        <w:ind w:firstLine="480"/>
        <w:jc w:val="left"/>
        <w:rPr>
          <w:rFonts w:cs="Times New Roman"/>
          <w:sz w:val="28"/>
          <w:szCs w:val="28"/>
          <w:lang w:val="zh-CN"/>
        </w:rPr>
      </w:pPr>
      <w:r>
        <w:rPr>
          <w:rStyle w:val="318"/>
          <w:rFonts w:hint="eastAsia" w:ascii="宋体" w:hAnsi="宋体"/>
        </w:rPr>
        <w:t>应用功能说明</w:t>
      </w:r>
      <w:r>
        <w:rPr>
          <w:rFonts w:hint="eastAsia" w:cs="Times New Roman"/>
          <w:sz w:val="28"/>
          <w:szCs w:val="28"/>
          <w:lang w:val="zh-CN"/>
        </w:rPr>
        <w:t>：</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1</w:t>
      </w:r>
      <w:r>
        <w:rPr>
          <w:rFonts w:hint="eastAsia" w:ascii="Calibri" w:hAnsi="Calibri" w:cs="Times New Roman"/>
          <w:lang w:val="zh-CN"/>
        </w:rPr>
        <w:t>）小区内部居民</w:t>
      </w:r>
      <w:r>
        <w:rPr>
          <w:rFonts w:ascii="Calibri" w:hAnsi="Calibri" w:cs="Times New Roman"/>
        </w:rPr>
        <w:t>注册</w:t>
      </w:r>
      <w:r>
        <w:rPr>
          <w:rFonts w:hint="eastAsia" w:ascii="Calibri" w:hAnsi="Calibri" w:cs="Times New Roman"/>
          <w:lang w:val="zh-CN"/>
        </w:rPr>
        <w:t>授权</w:t>
      </w:r>
    </w:p>
    <w:p>
      <w:pPr>
        <w:ind w:firstLine="480"/>
        <w:jc w:val="left"/>
        <w:rPr>
          <w:rFonts w:cs="Times New Roman"/>
        </w:rPr>
      </w:pPr>
      <w:r>
        <w:rPr>
          <w:rFonts w:hint="eastAsia" w:cs="Times New Roman"/>
          <w:lang w:val="zh-CN"/>
        </w:rPr>
        <w:t>内部</w:t>
      </w:r>
      <w:r>
        <w:rPr>
          <w:rFonts w:cs="Times New Roman"/>
          <w:lang w:val="zh-CN"/>
        </w:rPr>
        <w:t>人员</w:t>
      </w:r>
      <w:r>
        <w:rPr>
          <w:rFonts w:hint="eastAsia" w:cs="Times New Roman"/>
          <w:lang w:val="zh-CN"/>
        </w:rPr>
        <w:t>注册可采用微信小程序注册</w:t>
      </w:r>
      <w:r>
        <w:rPr>
          <w:rFonts w:cs="Times New Roman"/>
          <w:lang w:val="zh-CN"/>
        </w:rPr>
        <w:t>或者中心注册</w:t>
      </w:r>
      <w:r>
        <w:rPr>
          <w:rFonts w:hint="eastAsia" w:cs="Times New Roman"/>
          <w:lang w:val="zh-CN"/>
        </w:rPr>
        <w:t>方式</w:t>
      </w:r>
      <w:r>
        <w:rPr>
          <w:rFonts w:hint="eastAsia" w:cs="Times New Roman"/>
        </w:rPr>
        <w:t>,</w:t>
      </w:r>
      <w:r>
        <w:rPr>
          <w:rFonts w:hint="eastAsia" w:cs="Times New Roman"/>
          <w:lang w:val="zh-CN"/>
        </w:rPr>
        <w:t>微信小程序</w:t>
      </w:r>
      <w:r>
        <w:rPr>
          <w:rFonts w:hint="eastAsia" w:cs="Times New Roman"/>
        </w:rPr>
        <w:t>是为居民提供便利与</w:t>
      </w:r>
      <w:r>
        <w:rPr>
          <w:rFonts w:hint="eastAsia" w:ascii="Calibri" w:hAnsi="Calibri" w:cs="Times New Roman"/>
        </w:rPr>
        <w:t>智慧平安小区管理服务平台</w:t>
      </w:r>
      <w:r>
        <w:rPr>
          <w:rFonts w:hint="eastAsia" w:cs="Times New Roman"/>
        </w:rPr>
        <w:t>配套所开发，为保护小区居民的信息安全仅限小区内部人员使用。</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2</w:t>
      </w:r>
      <w:r>
        <w:rPr>
          <w:rFonts w:hint="eastAsia" w:ascii="Calibri" w:hAnsi="Calibri" w:cs="Times New Roman"/>
          <w:lang w:val="zh-CN"/>
        </w:rPr>
        <w:t>）人脸闸机认证</w:t>
      </w:r>
    </w:p>
    <w:p>
      <w:pPr>
        <w:ind w:firstLine="480"/>
        <w:jc w:val="left"/>
        <w:rPr>
          <w:rFonts w:cs="Times New Roman"/>
          <w:lang w:val="zh-CN"/>
        </w:rPr>
      </w:pPr>
      <w:r>
        <w:rPr>
          <w:rFonts w:hint="eastAsia" w:cs="Times New Roman"/>
          <w:lang w:val="zh-CN"/>
        </w:rPr>
        <w:t>人脸</w:t>
      </w:r>
      <w:r>
        <w:rPr>
          <w:rFonts w:cs="Times New Roman"/>
          <w:lang w:val="zh-CN"/>
        </w:rPr>
        <w:t>闸机</w:t>
      </w:r>
      <w:r>
        <w:rPr>
          <w:rFonts w:hint="eastAsia" w:cs="Times New Roman"/>
          <w:lang w:val="zh-CN"/>
        </w:rPr>
        <w:t>可</w:t>
      </w:r>
      <w:r>
        <w:rPr>
          <w:rFonts w:cs="Times New Roman"/>
          <w:lang w:val="zh-CN"/>
        </w:rPr>
        <w:t>灵活支持认证方式，</w:t>
      </w:r>
      <w:r>
        <w:rPr>
          <w:rFonts w:hint="eastAsia" w:cs="Times New Roman"/>
          <w:lang w:val="zh-CN"/>
        </w:rPr>
        <w:t>刷人脸智能模式、刷卡模式</w:t>
      </w:r>
      <w:r>
        <w:rPr>
          <w:rFonts w:cs="Times New Roman"/>
          <w:lang w:val="zh-CN"/>
        </w:rPr>
        <w:t>。</w:t>
      </w:r>
      <w:r>
        <w:rPr>
          <w:rFonts w:hint="eastAsia" w:cs="Times New Roman"/>
          <w:lang w:val="zh-CN"/>
        </w:rPr>
        <w:t>从</w:t>
      </w:r>
      <w:r>
        <w:rPr>
          <w:rFonts w:cs="Times New Roman"/>
          <w:lang w:val="zh-CN"/>
        </w:rPr>
        <w:t>安全性和便捷性角度出发，选择</w:t>
      </w:r>
      <w:r>
        <w:rPr>
          <w:rFonts w:hint="eastAsia" w:cs="Times New Roman"/>
          <w:lang w:val="zh-CN"/>
        </w:rPr>
        <w:t>最佳</w:t>
      </w:r>
      <w:r>
        <w:rPr>
          <w:rFonts w:cs="Times New Roman"/>
          <w:lang w:val="zh-CN"/>
        </w:rPr>
        <w:t>的认证方式。</w:t>
      </w:r>
    </w:p>
    <w:p>
      <w:pPr>
        <w:ind w:firstLine="480"/>
        <w:jc w:val="left"/>
        <w:rPr>
          <w:rFonts w:cs="Times New Roman"/>
          <w:lang w:val="zh-CN"/>
        </w:rPr>
      </w:pPr>
      <w:r>
        <w:rPr>
          <w:rFonts w:hint="eastAsia" w:cs="Times New Roman"/>
          <w:lang w:val="zh-CN"/>
        </w:rPr>
        <w:t>比对结果</w:t>
      </w:r>
      <w:r>
        <w:rPr>
          <w:rFonts w:cs="Times New Roman"/>
          <w:lang w:val="zh-CN"/>
        </w:rPr>
        <w:t>为合法人员时，</w:t>
      </w:r>
      <w:r>
        <w:rPr>
          <w:rFonts w:hint="eastAsia" w:cs="Times New Roman"/>
          <w:lang w:val="zh-CN"/>
        </w:rPr>
        <w:t>闸机</w:t>
      </w:r>
      <w:r>
        <w:rPr>
          <w:rFonts w:cs="Times New Roman"/>
          <w:lang w:val="zh-CN"/>
        </w:rPr>
        <w:t>自动打开</w:t>
      </w:r>
      <w:r>
        <w:rPr>
          <w:rFonts w:hint="eastAsia" w:cs="Times New Roman"/>
          <w:lang w:val="zh-CN"/>
        </w:rPr>
        <w:t>放行；</w:t>
      </w:r>
      <w:r>
        <w:rPr>
          <w:rFonts w:cs="Times New Roman"/>
          <w:lang w:val="zh-CN"/>
        </w:rPr>
        <w:t>比对</w:t>
      </w:r>
      <w:r>
        <w:rPr>
          <w:rFonts w:hint="eastAsia" w:cs="Times New Roman"/>
          <w:lang w:val="zh-CN"/>
        </w:rPr>
        <w:t>提示</w:t>
      </w:r>
      <w:r>
        <w:rPr>
          <w:rFonts w:cs="Times New Roman"/>
          <w:lang w:val="zh-CN"/>
        </w:rPr>
        <w:t>为黑名单时，</w:t>
      </w:r>
      <w:r>
        <w:rPr>
          <w:rFonts w:hint="eastAsia" w:cs="Times New Roman"/>
          <w:lang w:val="zh-CN"/>
        </w:rPr>
        <w:t>后台自动提示</w:t>
      </w:r>
      <w:r>
        <w:rPr>
          <w:rFonts w:cs="Times New Roman"/>
          <w:lang w:val="zh-CN"/>
        </w:rPr>
        <w:t>报警信息</w:t>
      </w:r>
      <w:r>
        <w:rPr>
          <w:rFonts w:hint="eastAsia" w:cs="Times New Roman"/>
          <w:lang w:val="zh-CN"/>
        </w:rPr>
        <w:t>，</w:t>
      </w:r>
      <w:r>
        <w:rPr>
          <w:rFonts w:cs="Times New Roman"/>
          <w:lang w:val="zh-CN"/>
        </w:rPr>
        <w:t>启动</w:t>
      </w:r>
      <w:r>
        <w:rPr>
          <w:rFonts w:hint="eastAsia" w:cs="Times New Roman"/>
          <w:lang w:val="zh-CN"/>
        </w:rPr>
        <w:t>处置</w:t>
      </w:r>
      <w:r>
        <w:rPr>
          <w:rFonts w:cs="Times New Roman"/>
          <w:lang w:val="zh-CN"/>
        </w:rPr>
        <w:t>预案</w:t>
      </w:r>
      <w:r>
        <w:rPr>
          <w:rFonts w:hint="eastAsia" w:cs="Times New Roman"/>
          <w:lang w:val="zh-CN"/>
        </w:rPr>
        <w:t>；</w:t>
      </w:r>
      <w:r>
        <w:rPr>
          <w:rFonts w:cs="Times New Roman"/>
          <w:lang w:val="zh-CN"/>
        </w:rPr>
        <w:t>比对</w:t>
      </w:r>
      <w:r>
        <w:rPr>
          <w:rFonts w:hint="eastAsia" w:cs="Times New Roman"/>
          <w:lang w:val="zh-CN"/>
        </w:rPr>
        <w:t>失败</w:t>
      </w:r>
      <w:r>
        <w:rPr>
          <w:rFonts w:cs="Times New Roman"/>
          <w:lang w:val="zh-CN"/>
        </w:rPr>
        <w:t>时，可以再次比对或者人工</w:t>
      </w:r>
      <w:r>
        <w:rPr>
          <w:rFonts w:hint="eastAsia" w:cs="Times New Roman"/>
          <w:lang w:val="zh-CN"/>
        </w:rPr>
        <w:t>干预</w:t>
      </w:r>
      <w:r>
        <w:rPr>
          <w:rFonts w:cs="Times New Roman"/>
          <w:lang w:val="zh-CN"/>
        </w:rPr>
        <w:t>来确认身份。</w:t>
      </w:r>
    </w:p>
    <w:p>
      <w:pPr>
        <w:ind w:firstLine="480"/>
        <w:jc w:val="left"/>
        <w:rPr>
          <w:rFonts w:cs="Times New Roman"/>
          <w:lang w:val="zh-CN"/>
        </w:rPr>
      </w:pPr>
      <w:r>
        <w:rPr>
          <w:rFonts w:hint="eastAsia" w:cs="Times New Roman"/>
          <w:lang w:val="zh-CN"/>
        </w:rPr>
        <w:t>如发生紧急情况相关工作人员可一键使自动门断电，无需验证门自动打开处于常开状态，应对突发情况方便居民撤离。</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3</w:t>
      </w:r>
      <w:r>
        <w:rPr>
          <w:rFonts w:hint="eastAsia" w:ascii="Calibri" w:hAnsi="Calibri" w:cs="Times New Roman"/>
          <w:lang w:val="zh-CN"/>
        </w:rPr>
        <w:t>）黑名单报警</w:t>
      </w:r>
    </w:p>
    <w:p>
      <w:pPr>
        <w:ind w:firstLine="480"/>
        <w:jc w:val="left"/>
        <w:rPr>
          <w:rFonts w:cs="Times New Roman"/>
          <w:lang w:val="zh-CN"/>
        </w:rPr>
      </w:pPr>
      <w:r>
        <w:rPr>
          <w:rFonts w:hint="eastAsia" w:cs="Times New Roman"/>
          <w:lang w:val="zh-CN"/>
        </w:rPr>
        <w:t>当</w:t>
      </w:r>
      <w:r>
        <w:rPr>
          <w:rFonts w:cs="Times New Roman"/>
          <w:lang w:val="zh-CN"/>
        </w:rPr>
        <w:t>系统</w:t>
      </w:r>
      <w:r>
        <w:rPr>
          <w:rFonts w:hint="eastAsia" w:cs="Times New Roman"/>
          <w:lang w:val="zh-CN"/>
        </w:rPr>
        <w:t>识别</w:t>
      </w:r>
      <w:r>
        <w:rPr>
          <w:rFonts w:cs="Times New Roman"/>
          <w:lang w:val="zh-CN"/>
        </w:rPr>
        <w:t>到</w:t>
      </w:r>
      <w:r>
        <w:rPr>
          <w:rFonts w:hint="eastAsia" w:cs="Times New Roman"/>
          <w:lang w:val="zh-CN"/>
        </w:rPr>
        <w:t>当前</w:t>
      </w:r>
      <w:r>
        <w:rPr>
          <w:rFonts w:cs="Times New Roman"/>
          <w:lang w:val="zh-CN"/>
        </w:rPr>
        <w:t>人员</w:t>
      </w:r>
      <w:r>
        <w:rPr>
          <w:rFonts w:hint="eastAsia" w:cs="Times New Roman"/>
          <w:lang w:val="zh-CN"/>
        </w:rPr>
        <w:t>为</w:t>
      </w:r>
      <w:r>
        <w:rPr>
          <w:rFonts w:cs="Times New Roman"/>
          <w:lang w:val="zh-CN"/>
        </w:rPr>
        <w:t>黑名单人员时，会</w:t>
      </w:r>
      <w:r>
        <w:rPr>
          <w:rFonts w:hint="eastAsia" w:cs="Times New Roman"/>
          <w:lang w:val="zh-CN"/>
        </w:rPr>
        <w:t>在</w:t>
      </w:r>
      <w:r>
        <w:rPr>
          <w:rFonts w:cs="Times New Roman"/>
          <w:lang w:val="zh-CN"/>
        </w:rPr>
        <w:t>中心平台</w:t>
      </w:r>
      <w:r>
        <w:rPr>
          <w:rFonts w:hint="eastAsia" w:cs="Times New Roman"/>
          <w:lang w:val="zh-CN"/>
        </w:rPr>
        <w:t>产生</w:t>
      </w:r>
      <w:r>
        <w:rPr>
          <w:rFonts w:cs="Times New Roman"/>
          <w:lang w:val="zh-CN"/>
        </w:rPr>
        <w:t>报警</w:t>
      </w:r>
      <w:r>
        <w:rPr>
          <w:rFonts w:hint="eastAsia" w:cs="Times New Roman"/>
          <w:lang w:val="zh-CN"/>
        </w:rPr>
        <w:t>事件</w:t>
      </w:r>
      <w:r>
        <w:rPr>
          <w:rFonts w:cs="Times New Roman"/>
          <w:lang w:val="zh-CN"/>
        </w:rPr>
        <w:t>提示，并启动</w:t>
      </w:r>
      <w:r>
        <w:rPr>
          <w:rFonts w:hint="eastAsia" w:cs="Times New Roman"/>
          <w:lang w:val="zh-CN"/>
        </w:rPr>
        <w:t>处置</w:t>
      </w:r>
      <w:r>
        <w:rPr>
          <w:rFonts w:cs="Times New Roman"/>
          <w:lang w:val="zh-CN"/>
        </w:rPr>
        <w:t>预案，如</w:t>
      </w:r>
      <w:r>
        <w:rPr>
          <w:rFonts w:hint="eastAsia" w:cs="Times New Roman"/>
          <w:lang w:val="zh-CN"/>
        </w:rPr>
        <w:t>管理</w:t>
      </w:r>
      <w:r>
        <w:rPr>
          <w:rFonts w:cs="Times New Roman"/>
          <w:lang w:val="zh-CN"/>
        </w:rPr>
        <w:t>中心</w:t>
      </w:r>
      <w:r>
        <w:rPr>
          <w:rFonts w:hint="eastAsia" w:cs="Times New Roman"/>
          <w:lang w:val="zh-CN"/>
        </w:rPr>
        <w:t>屏幕</w:t>
      </w:r>
      <w:r>
        <w:rPr>
          <w:rFonts w:cs="Times New Roman"/>
          <w:lang w:val="zh-CN"/>
        </w:rPr>
        <w:t>弹窗、声光报警</w:t>
      </w:r>
      <w:r>
        <w:rPr>
          <w:rFonts w:hint="eastAsia" w:cs="Times New Roman"/>
          <w:lang w:val="zh-CN"/>
        </w:rPr>
        <w:t>、给</w:t>
      </w:r>
      <w:r>
        <w:rPr>
          <w:rFonts w:cs="Times New Roman"/>
          <w:lang w:val="zh-CN"/>
        </w:rPr>
        <w:t>安保人员</w:t>
      </w:r>
      <w:r>
        <w:rPr>
          <w:rFonts w:hint="eastAsia" w:cs="Times New Roman"/>
          <w:lang w:val="zh-CN"/>
        </w:rPr>
        <w:t>发送提示</w:t>
      </w:r>
      <w:r>
        <w:rPr>
          <w:rFonts w:cs="Times New Roman"/>
          <w:lang w:val="zh-CN"/>
        </w:rPr>
        <w:t>短信</w:t>
      </w:r>
      <w:r>
        <w:rPr>
          <w:rFonts w:hint="eastAsia" w:cs="Times New Roman"/>
          <w:lang w:val="zh-CN"/>
        </w:rPr>
        <w:t>等</w:t>
      </w:r>
      <w:r>
        <w:rPr>
          <w:rFonts w:cs="Times New Roman"/>
          <w:lang w:val="zh-CN"/>
        </w:rPr>
        <w:t>。</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4</w:t>
      </w:r>
      <w:r>
        <w:rPr>
          <w:rFonts w:hint="eastAsia" w:ascii="Calibri" w:hAnsi="Calibri" w:cs="Times New Roman"/>
          <w:lang w:val="zh-CN"/>
        </w:rPr>
        <w:t>）访客</w:t>
      </w:r>
      <w:r>
        <w:rPr>
          <w:rFonts w:ascii="Calibri" w:hAnsi="Calibri" w:cs="Times New Roman"/>
          <w:lang w:val="zh-CN"/>
        </w:rPr>
        <w:t>预约</w:t>
      </w:r>
    </w:p>
    <w:p>
      <w:pPr>
        <w:ind w:firstLine="480"/>
        <w:jc w:val="left"/>
        <w:rPr>
          <w:rFonts w:cs="Times New Roman"/>
          <w:lang w:val="zh-CN"/>
        </w:rPr>
      </w:pPr>
      <w:r>
        <w:rPr>
          <w:rFonts w:hint="eastAsia" w:cs="Times New Roman"/>
          <w:lang w:val="zh-CN"/>
        </w:rPr>
        <w:t>访客</w:t>
      </w:r>
      <w:r>
        <w:rPr>
          <w:rFonts w:cs="Times New Roman"/>
          <w:lang w:val="zh-CN"/>
        </w:rPr>
        <w:t>预约</w:t>
      </w:r>
      <w:r>
        <w:rPr>
          <w:rFonts w:hint="eastAsia" w:cs="Times New Roman"/>
          <w:lang w:val="zh-CN"/>
        </w:rPr>
        <w:t>由</w:t>
      </w:r>
      <w:r>
        <w:rPr>
          <w:rFonts w:cs="Times New Roman"/>
          <w:lang w:val="zh-CN"/>
        </w:rPr>
        <w:t>被访者在</w:t>
      </w:r>
      <w:r>
        <w:rPr>
          <w:rFonts w:hint="eastAsia" w:cs="Times New Roman"/>
          <w:color w:val="000000"/>
          <w:kern w:val="0"/>
          <w:szCs w:val="24"/>
        </w:rPr>
        <w:t>微信小程序</w:t>
      </w:r>
      <w:r>
        <w:rPr>
          <w:rFonts w:cs="Times New Roman"/>
          <w:lang w:val="zh-CN"/>
        </w:rPr>
        <w:t>上</w:t>
      </w:r>
      <w:r>
        <w:rPr>
          <w:rFonts w:hint="eastAsia" w:cs="Times New Roman"/>
          <w:lang w:val="zh-CN"/>
        </w:rPr>
        <w:t>进行</w:t>
      </w:r>
      <w:r>
        <w:rPr>
          <w:rFonts w:cs="Times New Roman"/>
          <w:lang w:val="zh-CN"/>
        </w:rPr>
        <w:t>操作</w:t>
      </w:r>
      <w:r>
        <w:rPr>
          <w:rFonts w:hint="eastAsia" w:cs="Times New Roman"/>
          <w:lang w:val="zh-CN"/>
        </w:rPr>
        <w:t>，录入</w:t>
      </w:r>
      <w:r>
        <w:rPr>
          <w:rFonts w:cs="Times New Roman"/>
          <w:lang w:val="zh-CN"/>
        </w:rPr>
        <w:t>姓名、身份证号、联系方式等信息，</w:t>
      </w:r>
      <w:r>
        <w:rPr>
          <w:rFonts w:hint="eastAsia" w:cs="Times New Roman"/>
          <w:lang w:val="zh-CN"/>
        </w:rPr>
        <w:t>当</w:t>
      </w:r>
      <w:r>
        <w:rPr>
          <w:rFonts w:cs="Times New Roman"/>
          <w:lang w:val="zh-CN"/>
        </w:rPr>
        <w:t>访客</w:t>
      </w:r>
      <w:r>
        <w:rPr>
          <w:rFonts w:hint="eastAsia" w:cs="Times New Roman"/>
          <w:lang w:val="zh-CN"/>
        </w:rPr>
        <w:t>为</w:t>
      </w:r>
      <w:r>
        <w:rPr>
          <w:rFonts w:cs="Times New Roman"/>
          <w:lang w:val="zh-CN"/>
        </w:rPr>
        <w:t>系统的黑名单</w:t>
      </w:r>
      <w:r>
        <w:rPr>
          <w:rFonts w:hint="eastAsia" w:cs="Times New Roman"/>
          <w:lang w:val="zh-CN"/>
        </w:rPr>
        <w:t>人员</w:t>
      </w:r>
      <w:r>
        <w:rPr>
          <w:rFonts w:cs="Times New Roman"/>
          <w:lang w:val="zh-CN"/>
        </w:rPr>
        <w:t>时，系统</w:t>
      </w:r>
      <w:r>
        <w:rPr>
          <w:rFonts w:hint="eastAsia" w:cs="Times New Roman"/>
          <w:lang w:val="zh-CN"/>
        </w:rPr>
        <w:t>将不予</w:t>
      </w:r>
      <w:r>
        <w:rPr>
          <w:rFonts w:cs="Times New Roman"/>
          <w:lang w:val="zh-CN"/>
        </w:rPr>
        <w:t>预约</w:t>
      </w:r>
      <w:r>
        <w:rPr>
          <w:rFonts w:hint="eastAsia" w:cs="Times New Roman"/>
          <w:lang w:val="zh-CN"/>
        </w:rPr>
        <w:t>。</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5</w:t>
      </w:r>
      <w:r>
        <w:rPr>
          <w:rFonts w:hint="eastAsia" w:ascii="Calibri" w:hAnsi="Calibri" w:cs="Times New Roman"/>
          <w:lang w:val="zh-CN"/>
        </w:rPr>
        <w:t>）访客登记</w:t>
      </w:r>
    </w:p>
    <w:p>
      <w:pPr>
        <w:ind w:firstLine="480"/>
        <w:jc w:val="left"/>
        <w:rPr>
          <w:rFonts w:cs="Times New Roman"/>
          <w:lang w:val="zh-CN"/>
        </w:rPr>
      </w:pPr>
      <w:r>
        <w:rPr>
          <w:rFonts w:hint="eastAsia" w:cs="Times New Roman"/>
          <w:lang w:val="zh-CN"/>
        </w:rPr>
        <w:t>相较于</w:t>
      </w:r>
      <w:r>
        <w:rPr>
          <w:rFonts w:cs="Times New Roman"/>
          <w:lang w:val="zh-CN"/>
        </w:rPr>
        <w:t>传统的访客</w:t>
      </w:r>
      <w:r>
        <w:rPr>
          <w:rFonts w:hint="eastAsia" w:cs="Times New Roman"/>
          <w:lang w:val="zh-CN"/>
        </w:rPr>
        <w:t>登记</w:t>
      </w:r>
      <w:r>
        <w:rPr>
          <w:rFonts w:cs="Times New Roman"/>
          <w:lang w:val="zh-CN"/>
        </w:rPr>
        <w:t>流程，</w:t>
      </w:r>
      <w:r>
        <w:rPr>
          <w:rFonts w:hint="eastAsia" w:cs="Times New Roman"/>
          <w:lang w:val="zh-CN"/>
        </w:rPr>
        <w:t>本系统最大</w:t>
      </w:r>
      <w:r>
        <w:rPr>
          <w:rFonts w:cs="Times New Roman"/>
          <w:lang w:val="zh-CN"/>
        </w:rPr>
        <w:t>的区别</w:t>
      </w:r>
      <w:r>
        <w:rPr>
          <w:rFonts w:hint="eastAsia" w:cs="Times New Roman"/>
          <w:lang w:val="zh-CN"/>
        </w:rPr>
        <w:t>就是</w:t>
      </w:r>
      <w:r>
        <w:rPr>
          <w:rFonts w:cs="Times New Roman"/>
          <w:lang w:val="zh-CN"/>
        </w:rPr>
        <w:t>必须对来访人员进行</w:t>
      </w:r>
      <w:r>
        <w:rPr>
          <w:rFonts w:hint="eastAsia" w:cs="Times New Roman"/>
          <w:lang w:val="zh-CN"/>
        </w:rPr>
        <w:t>人证</w:t>
      </w:r>
      <w:r>
        <w:rPr>
          <w:rFonts w:cs="Times New Roman"/>
          <w:lang w:val="zh-CN"/>
        </w:rPr>
        <w:t>合一比对通过后，才能</w:t>
      </w:r>
      <w:r>
        <w:rPr>
          <w:rFonts w:hint="eastAsia" w:cs="Times New Roman"/>
          <w:lang w:val="zh-CN"/>
        </w:rPr>
        <w:t>自动</w:t>
      </w:r>
      <w:r>
        <w:rPr>
          <w:rFonts w:cs="Times New Roman"/>
          <w:lang w:val="zh-CN"/>
        </w:rPr>
        <w:t>完成访客登记</w:t>
      </w:r>
      <w:r>
        <w:rPr>
          <w:rFonts w:hint="eastAsia" w:cs="Times New Roman"/>
          <w:lang w:val="zh-CN"/>
        </w:rPr>
        <w:t>动作，</w:t>
      </w:r>
      <w:r>
        <w:rPr>
          <w:rFonts w:cs="Times New Roman"/>
          <w:lang w:val="zh-CN"/>
        </w:rPr>
        <w:t>并抓拍访客人脸。</w:t>
      </w:r>
      <w:r>
        <w:rPr>
          <w:rFonts w:hint="eastAsia" w:cs="Times New Roman"/>
          <w:lang w:val="zh-CN"/>
        </w:rPr>
        <w:t>否则</w:t>
      </w:r>
      <w:r>
        <w:rPr>
          <w:rFonts w:cs="Times New Roman"/>
          <w:lang w:val="zh-CN"/>
        </w:rPr>
        <w:t>将由人工进行验证，以确定是否可以进行登记。</w:t>
      </w:r>
    </w:p>
    <w:p>
      <w:pPr>
        <w:ind w:firstLine="480"/>
        <w:jc w:val="left"/>
        <w:rPr>
          <w:rFonts w:cs="Times New Roman"/>
          <w:lang w:val="zh-CN"/>
        </w:rPr>
      </w:pPr>
      <w:r>
        <w:rPr>
          <w:rFonts w:cs="Times New Roman"/>
          <w:lang w:val="zh-CN"/>
        </w:rPr>
        <w:t>访客登记完成后，会</w:t>
      </w:r>
      <w:r>
        <w:rPr>
          <w:rFonts w:hint="eastAsia" w:cs="Times New Roman"/>
          <w:lang w:val="zh-CN"/>
        </w:rPr>
        <w:t>根据</w:t>
      </w:r>
      <w:r>
        <w:rPr>
          <w:rFonts w:cs="Times New Roman"/>
          <w:lang w:val="zh-CN"/>
        </w:rPr>
        <w:t>需要，</w:t>
      </w:r>
      <w:r>
        <w:rPr>
          <w:rFonts w:hint="eastAsia" w:cs="Times New Roman"/>
          <w:lang w:val="zh-CN"/>
        </w:rPr>
        <w:t>对访客进行授权，</w:t>
      </w:r>
      <w:r>
        <w:rPr>
          <w:rFonts w:cs="Times New Roman"/>
          <w:lang w:val="zh-CN"/>
        </w:rPr>
        <w:t>一般是对人脸或者</w:t>
      </w:r>
      <w:r>
        <w:rPr>
          <w:rFonts w:hint="eastAsia" w:cs="Times New Roman"/>
          <w:lang w:val="zh-CN"/>
        </w:rPr>
        <w:t>卡片（IC</w:t>
      </w:r>
      <w:r>
        <w:rPr>
          <w:rFonts w:cs="Times New Roman"/>
          <w:lang w:val="zh-CN"/>
        </w:rPr>
        <w:t>卡/身份证）进行授权，或者同时授权。</w:t>
      </w:r>
    </w:p>
    <w:p>
      <w:pPr>
        <w:ind w:left="480"/>
        <w:jc w:val="left"/>
        <w:rPr>
          <w:rFonts w:ascii="Calibri" w:hAnsi="Calibri" w:cs="Times New Roman"/>
          <w:lang w:val="zh-CN"/>
        </w:rPr>
      </w:pPr>
      <w:r>
        <w:rPr>
          <w:rFonts w:hint="eastAsia" w:ascii="Calibri" w:hAnsi="Calibri" w:cs="Times New Roman"/>
          <w:lang w:val="zh-CN"/>
        </w:rPr>
        <w:t>（</w:t>
      </w:r>
      <w:r>
        <w:rPr>
          <w:rFonts w:hint="eastAsia" w:ascii="Calibri" w:hAnsi="Calibri" w:cs="Times New Roman"/>
        </w:rPr>
        <w:t>6</w:t>
      </w:r>
      <w:r>
        <w:rPr>
          <w:rFonts w:hint="eastAsia" w:ascii="Calibri" w:hAnsi="Calibri" w:cs="Times New Roman"/>
          <w:lang w:val="zh-CN"/>
        </w:rPr>
        <w:t>）人脸识别</w:t>
      </w:r>
      <w:r>
        <w:rPr>
          <w:rFonts w:hint="eastAsia" w:ascii="Calibri" w:hAnsi="Calibri" w:cs="Times New Roman"/>
        </w:rPr>
        <w:t>终端</w:t>
      </w:r>
    </w:p>
    <w:p>
      <w:pPr>
        <w:ind w:firstLine="480"/>
        <w:jc w:val="left"/>
        <w:rPr>
          <w:rFonts w:cs="Times New Roman"/>
          <w:lang w:val="zh-CN"/>
        </w:rPr>
      </w:pPr>
      <w:r>
        <w:rPr>
          <w:rFonts w:hint="eastAsia" w:cs="Times New Roman"/>
          <w:lang w:val="zh-CN"/>
        </w:rPr>
        <w:t>居民录入人脸信息时，</w:t>
      </w:r>
      <w:r>
        <w:rPr>
          <w:rFonts w:hint="eastAsia" w:cs="Times New Roman"/>
        </w:rPr>
        <w:t>在</w:t>
      </w:r>
      <w:r>
        <w:rPr>
          <w:rFonts w:cs="Times New Roman"/>
          <w:lang w:val="zh-CN"/>
        </w:rPr>
        <w:t>对</w:t>
      </w:r>
      <w:r>
        <w:rPr>
          <w:rFonts w:hint="eastAsia" w:cs="Times New Roman"/>
          <w:lang w:val="zh-CN"/>
        </w:rPr>
        <w:t>录入</w:t>
      </w:r>
      <w:r>
        <w:rPr>
          <w:rFonts w:cs="Times New Roman"/>
          <w:lang w:val="zh-CN"/>
        </w:rPr>
        <w:t>人员进行</w:t>
      </w:r>
      <w:r>
        <w:rPr>
          <w:rFonts w:hint="eastAsia" w:cs="Times New Roman"/>
          <w:lang w:val="zh-CN"/>
        </w:rPr>
        <w:t>人证</w:t>
      </w:r>
      <w:r>
        <w:rPr>
          <w:rFonts w:cs="Times New Roman"/>
          <w:lang w:val="zh-CN"/>
        </w:rPr>
        <w:t>合一</w:t>
      </w:r>
      <w:r>
        <w:rPr>
          <w:rFonts w:hint="eastAsia" w:cs="Times New Roman"/>
        </w:rPr>
        <w:t>比对</w:t>
      </w:r>
      <w:r>
        <w:rPr>
          <w:rFonts w:hint="eastAsia" w:cs="Times New Roman"/>
          <w:lang w:val="zh-CN"/>
        </w:rPr>
        <w:t>，</w:t>
      </w:r>
      <w:r>
        <w:rPr>
          <w:rFonts w:hint="eastAsia" w:cs="Times New Roman"/>
        </w:rPr>
        <w:t>通过该设备能识别出录入人员的信息，确保录入人员是否为特殊（违法犯罪）人员，如录入人员为正常人员可</w:t>
      </w:r>
      <w:r>
        <w:rPr>
          <w:rFonts w:cs="Times New Roman"/>
          <w:lang w:val="zh-CN"/>
        </w:rPr>
        <w:t>完成</w:t>
      </w:r>
      <w:r>
        <w:rPr>
          <w:rFonts w:hint="eastAsia" w:cs="Times New Roman"/>
          <w:lang w:val="zh-CN"/>
        </w:rPr>
        <w:t>录入</w:t>
      </w:r>
      <w:r>
        <w:rPr>
          <w:rFonts w:cs="Times New Roman"/>
          <w:lang w:val="zh-CN"/>
        </w:rPr>
        <w:t>人员</w:t>
      </w:r>
      <w:r>
        <w:rPr>
          <w:rFonts w:hint="eastAsia" w:cs="Times New Roman"/>
          <w:lang w:val="zh-CN"/>
        </w:rPr>
        <w:t>，信息登记流程。（本次项目建设共涉及到</w:t>
      </w:r>
      <w:r>
        <w:rPr>
          <w:rFonts w:hint="eastAsia" w:cs="Times New Roman"/>
        </w:rPr>
        <w:t>32个小区，其中</w:t>
      </w:r>
      <w:r>
        <w:rPr>
          <w:rFonts w:hint="eastAsia" w:cs="Times New Roman"/>
          <w:color w:val="000000"/>
          <w:kern w:val="0"/>
          <w:szCs w:val="24"/>
          <w:lang w:bidi="ar"/>
        </w:rPr>
        <w:t>柳岸花邻A1、柳岸花邻A2、柳岸花邻A3、柳岸花邻A4、柳岸花邻B1、柳岸花邻B2、柳岸花邻B3、柳岸花邻B4、柳岸花邻C1、柳岸花邻C2为同一个部门管理，为了避免重复浪费建设，以上小区建设一台人脸识别终端在相关部门即可满足需求。金博林居A区、金博林居C区为同一个部门管理，为了避免重复浪费建设，以上小区建设一台人脸识别终端在相关部门即可满足需求。</w:t>
      </w:r>
      <w:r>
        <w:rPr>
          <w:rFonts w:hint="eastAsia" w:cs="Times New Roman"/>
          <w:lang w:val="zh-CN"/>
        </w:rPr>
        <w:t>）</w:t>
      </w:r>
    </w:p>
    <w:p>
      <w:pPr>
        <w:widowControl/>
        <w:ind w:left="480"/>
        <w:jc w:val="left"/>
        <w:rPr>
          <w:rFonts w:ascii="Calibri" w:hAnsi="Calibri" w:cs="Times New Roman"/>
          <w:lang w:val="zh-CN" w:bidi="ar"/>
        </w:rPr>
      </w:pPr>
      <w:r>
        <w:rPr>
          <w:rFonts w:hint="eastAsia" w:ascii="Calibri" w:hAnsi="Calibri" w:cs="Times New Roman"/>
          <w:lang w:val="zh-CN" w:bidi="ar"/>
        </w:rPr>
        <w:t>（</w:t>
      </w:r>
      <w:r>
        <w:rPr>
          <w:rFonts w:hint="eastAsia" w:ascii="Calibri" w:hAnsi="Calibri" w:cs="Times New Roman"/>
          <w:lang w:bidi="ar"/>
        </w:rPr>
        <w:t>7</w:t>
      </w:r>
      <w:r>
        <w:rPr>
          <w:rFonts w:hint="eastAsia" w:ascii="Calibri" w:hAnsi="Calibri" w:cs="Times New Roman"/>
          <w:lang w:val="zh-CN" w:bidi="ar"/>
        </w:rPr>
        <w:t>）人脸采集USB摄像机、身份证阅读器</w:t>
      </w:r>
    </w:p>
    <w:p>
      <w:pPr>
        <w:ind w:firstLine="480"/>
        <w:jc w:val="left"/>
        <w:rPr>
          <w:rFonts w:cs="Times New Roman"/>
          <w:lang w:val="zh-CN"/>
        </w:rPr>
      </w:pPr>
      <w:r>
        <w:rPr>
          <w:rFonts w:hint="eastAsia" w:cs="Times New Roman"/>
          <w:lang w:val="zh-CN"/>
        </w:rPr>
        <w:t>用于居民信息录入时候，</w:t>
      </w:r>
      <w:r>
        <w:rPr>
          <w:rFonts w:hint="eastAsia" w:ascii="Calibri" w:hAnsi="Calibri" w:cs="Times New Roman"/>
          <w:lang w:val="zh-CN"/>
        </w:rPr>
        <w:t>USB摄像机：用于</w:t>
      </w:r>
      <w:r>
        <w:rPr>
          <w:rFonts w:hint="eastAsia" w:cs="Times New Roman"/>
          <w:lang w:val="zh-CN"/>
        </w:rPr>
        <w:t>人脸信息录入，</w:t>
      </w:r>
      <w:r>
        <w:rPr>
          <w:rFonts w:hint="eastAsia" w:ascii="Calibri" w:hAnsi="Calibri" w:cs="Times New Roman"/>
          <w:lang w:val="zh-CN"/>
        </w:rPr>
        <w:t>身份证阅读器：用于人员身份证信息</w:t>
      </w:r>
      <w:r>
        <w:rPr>
          <w:rFonts w:hint="eastAsia" w:cs="Times New Roman"/>
          <w:lang w:val="zh-CN"/>
        </w:rPr>
        <w:t>信息录入。</w:t>
      </w:r>
    </w:p>
    <w:p>
      <w:pPr>
        <w:widowControl/>
        <w:jc w:val="left"/>
        <w:rPr>
          <w:rFonts w:cs="Times New Roman"/>
          <w:b/>
          <w:bCs/>
          <w:kern w:val="0"/>
          <w:szCs w:val="24"/>
          <w:lang w:bidi="ar"/>
        </w:rPr>
      </w:pPr>
      <w:r>
        <w:rPr>
          <w:rFonts w:hint="eastAsia" w:cs="Times New Roman"/>
          <w:b/>
          <w:bCs/>
          <w:kern w:val="0"/>
          <w:szCs w:val="24"/>
          <w:lang w:bidi="ar"/>
        </w:rPr>
        <w:t>7、需要升级改造的小区情况</w:t>
      </w:r>
    </w:p>
    <w:tbl>
      <w:tblPr>
        <w:tblStyle w:val="43"/>
        <w:tblW w:w="5000" w:type="pct"/>
        <w:tblInd w:w="0" w:type="dxa"/>
        <w:tblLayout w:type="autofit"/>
        <w:tblCellMar>
          <w:top w:w="0" w:type="dxa"/>
          <w:left w:w="0" w:type="dxa"/>
          <w:bottom w:w="0" w:type="dxa"/>
          <w:right w:w="0" w:type="dxa"/>
        </w:tblCellMar>
      </w:tblPr>
      <w:tblGrid>
        <w:gridCol w:w="1540"/>
        <w:gridCol w:w="7216"/>
      </w:tblGrid>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金马街道：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蓉西新城A区</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鱼凫小区B区</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共1道大门，需更换1道广告门，新增2台人脸识别一体机。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新春苑</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共1道大门，需更换1道广告门，新增4台人脸识别一体机。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万春镇：</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报恩家园</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春江里</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共1道大门，需增加2台人脸识别一体机。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天府街道：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学府芳邻3期</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公平街道：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长安盛景2期</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柳城街道：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abs>
                <w:tab w:val="left" w:pos="450"/>
              </w:tabs>
              <w:jc w:val="center"/>
              <w:textAlignment w:val="center"/>
              <w:rPr>
                <w:rFonts w:cs="Times New Roman"/>
                <w:color w:val="000000"/>
                <w:szCs w:val="24"/>
              </w:rPr>
            </w:pPr>
            <w:r>
              <w:rPr>
                <w:rFonts w:hint="eastAsia" w:cs="Times New Roman"/>
                <w:color w:val="000000"/>
                <w:kern w:val="0"/>
                <w:szCs w:val="24"/>
                <w:lang w:bidi="ar"/>
              </w:rPr>
              <w:t>上河居</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柳欣源</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共2道大门，需新增1道广告门，新增4台人脸识别一体机。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逸然居</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万春苑小区</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共3道大门，需新增1道广告门，新增6台人脸识别一体机。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金博林居A区</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共2道大门，需新增1道广告门，改造一道大门，新增4台人脸识别一体机。</w:t>
            </w:r>
          </w:p>
        </w:tc>
      </w:tr>
      <w:tr>
        <w:tblPrEx>
          <w:tblCellMar>
            <w:top w:w="0" w:type="dxa"/>
            <w:left w:w="0" w:type="dxa"/>
            <w:bottom w:w="0" w:type="dxa"/>
            <w:right w:w="0" w:type="dxa"/>
          </w:tblCellMar>
        </w:tblPrEx>
        <w:trPr>
          <w:trHeight w:val="323"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金博林居C区</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和盛镇：</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东宫美阁</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湖畔湾</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和盛美景2期</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共2道大门，需新增4台人脸识别一体机。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柳岸花邻A1</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柳岸花邻A2</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柳岸花邻A3</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柳岸花邻A4</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柳岸花邻B1</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柳岸花邻B2</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柳岸花邻B3</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共2道大门，需新增1道广告门，新增4台人脸识别一体机。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柳岸花邻B4</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柳岸花邻C1</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柳岸花邻C2</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共1道大门，需新增1道广告门，新增2台人脸识别一体机。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永宁街道：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textAlignment w:val="center"/>
              <w:rPr>
                <w:rFonts w:cs="Times New Roman"/>
                <w:color w:val="000000"/>
                <w:szCs w:val="24"/>
              </w:rPr>
            </w:pPr>
            <w:r>
              <w:rPr>
                <w:rFonts w:hint="eastAsia" w:cs="Times New Roman"/>
                <w:color w:val="000000"/>
                <w:kern w:val="0"/>
                <w:szCs w:val="24"/>
                <w:lang w:bidi="ar"/>
              </w:rPr>
              <w:t>芙蓉家苑62号</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康城嘉苑1、2期</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共2道大门，需新增4台人脸识别一体机。</w:t>
            </w:r>
          </w:p>
        </w:tc>
      </w:tr>
      <w:tr>
        <w:tblPrEx>
          <w:tblCellMar>
            <w:top w:w="0" w:type="dxa"/>
            <w:left w:w="0" w:type="dxa"/>
            <w:bottom w:w="0" w:type="dxa"/>
            <w:right w:w="0" w:type="dxa"/>
          </w:tblCellMar>
        </w:tblPrEx>
        <w:trPr>
          <w:trHeight w:val="90"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田园花篱</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共4道大门，需新增4道广告门，改造1道大门，新增8台人脸识别一体机。</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芙蓉水居一期</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共1道大门，需新增2台人脸识别一体机。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寿安镇：</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金河阳光苑</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共4道大门，需新增4道广告门，改造1道大门，新增8台人脸识别一体机。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涌泉街道：</w:t>
            </w:r>
          </w:p>
        </w:tc>
      </w:tr>
      <w:tr>
        <w:tblPrEx>
          <w:tblCellMar>
            <w:top w:w="0" w:type="dxa"/>
            <w:left w:w="0" w:type="dxa"/>
            <w:bottom w:w="0" w:type="dxa"/>
            <w:right w:w="0" w:type="dxa"/>
          </w:tblCellMar>
        </w:tblPrEx>
        <w:trPr>
          <w:trHeight w:val="312" w:hRule="atLeast"/>
        </w:trPr>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宁和苑</w:t>
            </w:r>
          </w:p>
        </w:tc>
        <w:tc>
          <w:tcPr>
            <w:tcW w:w="2500"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共3道大门，需新增4道广告门，新增6台人脸识别一体机。</w:t>
            </w:r>
          </w:p>
        </w:tc>
      </w:tr>
    </w:tbl>
    <w:p>
      <w:pPr>
        <w:pStyle w:val="88"/>
        <w:adjustRightInd w:val="0"/>
        <w:snapToGrid w:val="0"/>
        <w:ind w:firstLine="0"/>
        <w:rPr>
          <w:color w:val="000000"/>
          <w:lang w:bidi="ar"/>
        </w:rPr>
      </w:pPr>
      <w:bookmarkStart w:id="542" w:name="_Toc478135188"/>
      <w:bookmarkStart w:id="543" w:name="_Toc511807566"/>
      <w:bookmarkStart w:id="544" w:name="_Toc21868"/>
      <w:bookmarkStart w:id="545" w:name="_Toc17346"/>
      <w:bookmarkStart w:id="546" w:name="_Toc16183"/>
      <w:bookmarkStart w:id="547" w:name="_Toc32177"/>
      <w:bookmarkStart w:id="548" w:name="_Toc478135187"/>
    </w:p>
    <w:p>
      <w:pPr>
        <w:pStyle w:val="88"/>
        <w:adjustRightInd w:val="0"/>
        <w:snapToGrid w:val="0"/>
        <w:ind w:firstLine="480"/>
        <w:rPr>
          <w:color w:val="000000"/>
          <w:lang w:bidi="ar"/>
        </w:rPr>
      </w:pPr>
      <w:r>
        <w:rPr>
          <w:rFonts w:hint="eastAsia"/>
          <w:color w:val="000000"/>
          <w:lang w:bidi="ar"/>
        </w:rPr>
        <w:t>（11）车辆出入</w:t>
      </w:r>
      <w:bookmarkEnd w:id="542"/>
      <w:bookmarkEnd w:id="543"/>
      <w:bookmarkEnd w:id="544"/>
      <w:bookmarkEnd w:id="545"/>
      <w:bookmarkEnd w:id="546"/>
      <w:bookmarkEnd w:id="547"/>
      <w:r>
        <w:rPr>
          <w:rFonts w:hint="eastAsia"/>
          <w:color w:val="000000"/>
          <w:lang w:bidi="ar"/>
        </w:rPr>
        <w:t>系统</w:t>
      </w:r>
    </w:p>
    <w:p>
      <w:pPr>
        <w:pStyle w:val="88"/>
        <w:adjustRightInd w:val="0"/>
        <w:snapToGrid w:val="0"/>
        <w:ind w:firstLine="480"/>
        <w:rPr>
          <w:color w:val="000000"/>
          <w:lang w:bidi="ar"/>
        </w:rPr>
      </w:pPr>
      <w:r>
        <w:rPr>
          <w:rFonts w:hint="eastAsia"/>
          <w:color w:val="000000"/>
          <w:lang w:bidi="ar"/>
        </w:rPr>
        <w:t>1、系统概述</w:t>
      </w:r>
    </w:p>
    <w:p>
      <w:pPr>
        <w:pStyle w:val="317"/>
        <w:ind w:firstLine="480"/>
        <w:rPr>
          <w:lang w:bidi="en-US"/>
        </w:rPr>
      </w:pPr>
      <w:r>
        <w:rPr>
          <w:rFonts w:hint="eastAsia"/>
          <w:lang w:bidi="en-US"/>
        </w:rPr>
        <w:t>为了提升社区的通行使用体验，建设一套智能停车场管理系统是非常必要的。本子系统的建设目标是提高停车场的信息化、智能化管理水平，给车主提供一种更加安全、舒适、方便、快捷和开放的环境，实现停车场运行的高效化、节能化、环保化，降低管理人员成本、节省停车时间。</w:t>
      </w:r>
    </w:p>
    <w:p>
      <w:pPr>
        <w:ind w:firstLine="480"/>
        <w:jc w:val="left"/>
        <w:rPr>
          <w:rFonts w:cs="Times New Roman"/>
          <w:kern w:val="0"/>
          <w:szCs w:val="24"/>
          <w:lang w:val="zh-CN" w:bidi="en-US"/>
        </w:rPr>
      </w:pPr>
      <w:r>
        <w:rPr>
          <w:rFonts w:hint="eastAsia" w:cs="Times New Roman"/>
          <w:kern w:val="0"/>
          <w:szCs w:val="24"/>
          <w:lang w:val="zh-CN" w:bidi="en-US"/>
        </w:rPr>
        <w:t>（</w:t>
      </w:r>
      <w:r>
        <w:rPr>
          <w:rFonts w:hint="eastAsia" w:cs="Times New Roman"/>
          <w:kern w:val="0"/>
          <w:szCs w:val="24"/>
          <w:lang w:bidi="en-US"/>
        </w:rPr>
        <w:t>1</w:t>
      </w:r>
      <w:r>
        <w:rPr>
          <w:rFonts w:hint="eastAsia" w:cs="Times New Roman"/>
          <w:kern w:val="0"/>
          <w:szCs w:val="24"/>
          <w:lang w:val="zh-CN" w:bidi="en-US"/>
        </w:rPr>
        <w:t>）解决了传统停车场人工投入成本高，服务质量难以把控的问题，采用智能化管理，减少人工成本，提高服务质量。</w:t>
      </w:r>
    </w:p>
    <w:p>
      <w:pPr>
        <w:ind w:firstLine="480"/>
        <w:jc w:val="left"/>
        <w:rPr>
          <w:rFonts w:cs="Times New Roman"/>
          <w:kern w:val="0"/>
          <w:szCs w:val="24"/>
          <w:lang w:val="zh-CN" w:bidi="en-US"/>
        </w:rPr>
      </w:pPr>
      <w:r>
        <w:rPr>
          <w:rFonts w:hint="eastAsia" w:cs="Times New Roman"/>
          <w:kern w:val="0"/>
          <w:szCs w:val="24"/>
          <w:lang w:val="zh-CN" w:bidi="en-US"/>
        </w:rPr>
        <w:t>（</w:t>
      </w:r>
      <w:r>
        <w:rPr>
          <w:rFonts w:hint="eastAsia" w:cs="Times New Roman"/>
          <w:kern w:val="0"/>
          <w:szCs w:val="24"/>
          <w:lang w:bidi="en-US"/>
        </w:rPr>
        <w:t>2</w:t>
      </w:r>
      <w:r>
        <w:rPr>
          <w:rFonts w:hint="eastAsia" w:cs="Times New Roman"/>
          <w:kern w:val="0"/>
          <w:szCs w:val="24"/>
          <w:lang w:val="zh-CN" w:bidi="en-US"/>
        </w:rPr>
        <w:t>）解决传统停车场出入口进出效率低的问题，实现免停车取卡出入停车场，提高进、出停车场的效率。</w:t>
      </w:r>
    </w:p>
    <w:p>
      <w:pPr>
        <w:pStyle w:val="88"/>
        <w:adjustRightInd w:val="0"/>
        <w:snapToGrid w:val="0"/>
        <w:ind w:firstLine="480"/>
        <w:rPr>
          <w:color w:val="000000"/>
          <w:lang w:bidi="ar"/>
        </w:rPr>
      </w:pPr>
      <w:r>
        <w:rPr>
          <w:rFonts w:hint="eastAsia"/>
          <w:color w:val="000000"/>
          <w:lang w:bidi="ar"/>
        </w:rPr>
        <w:t>2、系统设计</w:t>
      </w:r>
    </w:p>
    <w:p>
      <w:pPr>
        <w:widowControl/>
        <w:jc w:val="center"/>
        <w:rPr>
          <w:rFonts w:ascii="Calibri" w:hAnsi="Calibri" w:cs="Times New Roman"/>
        </w:rPr>
      </w:pPr>
      <w:r>
        <w:drawing>
          <wp:inline distT="0" distB="0" distL="114300" distR="114300">
            <wp:extent cx="5267960" cy="2146300"/>
            <wp:effectExtent l="0" t="0" r="2540" b="0"/>
            <wp:docPr id="10" name="图片 2" descr="1605940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descr="1605940130(1)"/>
                    <pic:cNvPicPr>
                      <a:picLocks noChangeAspect="1"/>
                    </pic:cNvPicPr>
                  </pic:nvPicPr>
                  <pic:blipFill>
                    <a:blip r:embed="rId24"/>
                    <a:stretch>
                      <a:fillRect/>
                    </a:stretch>
                  </pic:blipFill>
                  <pic:spPr>
                    <a:xfrm>
                      <a:off x="0" y="0"/>
                      <a:ext cx="5267960" cy="2146300"/>
                    </a:xfrm>
                    <a:prstGeom prst="rect">
                      <a:avLst/>
                    </a:prstGeom>
                    <a:noFill/>
                    <a:ln>
                      <a:noFill/>
                    </a:ln>
                  </pic:spPr>
                </pic:pic>
              </a:graphicData>
            </a:graphic>
          </wp:inline>
        </w:drawing>
      </w:r>
    </w:p>
    <w:p>
      <w:pPr>
        <w:pStyle w:val="14"/>
        <w:numPr>
          <w:ilvl w:val="0"/>
          <w:numId w:val="38"/>
        </w:numPr>
        <w:spacing w:before="163" w:after="163"/>
        <w:ind w:firstLine="480"/>
        <w:rPr>
          <w:rFonts w:ascii="宋体" w:hAnsi="宋体" w:eastAsia="宋体"/>
          <w:b/>
          <w:bCs/>
          <w:color w:val="000000"/>
          <w:kern w:val="0"/>
          <w:sz w:val="44"/>
          <w:szCs w:val="44"/>
          <w:lang w:bidi="ar"/>
        </w:rPr>
      </w:pPr>
      <w:r>
        <w:rPr>
          <w:rFonts w:hint="eastAsia" w:ascii="宋体" w:hAnsi="宋体" w:eastAsia="宋体"/>
          <w:szCs w:val="21"/>
        </w:rPr>
        <w:t>车辆出入</w:t>
      </w:r>
      <w:r>
        <w:rPr>
          <w:rFonts w:ascii="宋体" w:hAnsi="宋体" w:eastAsia="宋体"/>
          <w:szCs w:val="21"/>
        </w:rPr>
        <w:t>系统拓扑</w:t>
      </w:r>
      <w:r>
        <w:rPr>
          <w:rFonts w:hint="eastAsia" w:ascii="宋体" w:hAnsi="宋体" w:eastAsia="宋体"/>
          <w:szCs w:val="21"/>
        </w:rPr>
        <w:t>图</w:t>
      </w:r>
    </w:p>
    <w:p>
      <w:pPr>
        <w:pStyle w:val="88"/>
        <w:adjustRightInd w:val="0"/>
        <w:snapToGrid w:val="0"/>
        <w:ind w:firstLine="480"/>
        <w:rPr>
          <w:color w:val="000000"/>
          <w:lang w:bidi="ar"/>
        </w:rPr>
      </w:pPr>
      <w:r>
        <w:rPr>
          <w:rFonts w:hint="eastAsia"/>
          <w:color w:val="000000"/>
          <w:lang w:bidi="ar"/>
        </w:rPr>
        <w:t>3、传输网络设计</w:t>
      </w:r>
    </w:p>
    <w:p>
      <w:pPr>
        <w:ind w:firstLine="480"/>
        <w:jc w:val="left"/>
        <w:rPr>
          <w:rFonts w:cs="Times New Roman"/>
          <w:kern w:val="0"/>
          <w:szCs w:val="24"/>
          <w:lang w:val="zh-CN" w:bidi="en-US"/>
        </w:rPr>
      </w:pPr>
      <w:r>
        <w:rPr>
          <w:rFonts w:hint="eastAsia" w:cs="Times New Roman"/>
          <w:kern w:val="0"/>
          <w:szCs w:val="24"/>
          <w:lang w:val="zh-CN" w:bidi="en-US"/>
        </w:rPr>
        <w:t>（1）车牌识别一体机通过TCP/IP接入管理中心；</w:t>
      </w:r>
    </w:p>
    <w:p>
      <w:pPr>
        <w:pStyle w:val="88"/>
        <w:adjustRightInd w:val="0"/>
        <w:snapToGrid w:val="0"/>
        <w:ind w:firstLine="480"/>
        <w:rPr>
          <w:color w:val="000000"/>
          <w:lang w:bidi="ar"/>
        </w:rPr>
      </w:pPr>
      <w:r>
        <w:rPr>
          <w:rFonts w:hint="eastAsia"/>
          <w:color w:val="000000"/>
          <w:lang w:bidi="ar"/>
        </w:rPr>
        <w:t>4、系统部署</w:t>
      </w:r>
    </w:p>
    <w:p>
      <w:pPr>
        <w:ind w:firstLine="480"/>
        <w:jc w:val="left"/>
        <w:rPr>
          <w:rFonts w:cs="Times New Roman"/>
          <w:bCs/>
          <w:kern w:val="0"/>
          <w:szCs w:val="24"/>
          <w:lang w:val="zh-CN" w:bidi="en-US"/>
        </w:rPr>
      </w:pPr>
      <w:bookmarkStart w:id="549" w:name="_Toc525305700"/>
      <w:r>
        <w:rPr>
          <w:rFonts w:hint="eastAsia" w:cs="Times New Roman"/>
          <w:bCs/>
          <w:kern w:val="0"/>
          <w:szCs w:val="24"/>
          <w:lang w:val="zh-CN" w:bidi="en-US"/>
        </w:rPr>
        <w:t>出入口管理</w:t>
      </w:r>
      <w:bookmarkEnd w:id="549"/>
      <w:r>
        <w:rPr>
          <w:rFonts w:hint="eastAsia" w:cs="Times New Roman"/>
          <w:bCs/>
          <w:kern w:val="0"/>
          <w:szCs w:val="24"/>
          <w:lang w:val="zh-CN" w:bidi="en-US"/>
        </w:rPr>
        <w:t>：</w:t>
      </w:r>
    </w:p>
    <w:p>
      <w:pPr>
        <w:pStyle w:val="317"/>
        <w:ind w:firstLine="480"/>
      </w:pPr>
      <w:r>
        <w:t>出入口系统支持车牌识别</w:t>
      </w:r>
      <w:r>
        <w:rPr>
          <w:rFonts w:hint="eastAsia"/>
        </w:rPr>
        <w:t>、</w:t>
      </w:r>
      <w:r>
        <w:t>车型识别等多种配置方式</w:t>
      </w:r>
      <w:r>
        <w:rPr>
          <w:rFonts w:hint="eastAsia"/>
        </w:rPr>
        <w:t>。</w:t>
      </w:r>
      <w:r>
        <w:t>适应各类出入口场景，实现了出入口控制管理高度智能化。</w:t>
      </w:r>
      <w:r>
        <w:rPr>
          <w:rFonts w:hint="eastAsia"/>
        </w:rPr>
        <w:t>主推</w:t>
      </w:r>
      <w:r>
        <w:t>通过</w:t>
      </w:r>
      <w:r>
        <w:rPr>
          <w:rFonts w:hint="eastAsia"/>
        </w:rPr>
        <w:t>抓拍</w:t>
      </w:r>
      <w:r>
        <w:t>设备</w:t>
      </w:r>
      <w:r>
        <w:rPr>
          <w:rFonts w:hint="eastAsia"/>
        </w:rPr>
        <w:t>对</w:t>
      </w:r>
      <w:r>
        <w:t>出入场车辆进行抓拍</w:t>
      </w:r>
      <w:r>
        <w:rPr>
          <w:rFonts w:hint="eastAsia"/>
        </w:rPr>
        <w:t>识别</w:t>
      </w:r>
      <w:r>
        <w:t>，</w:t>
      </w:r>
      <w:r>
        <w:rPr>
          <w:rFonts w:hint="eastAsia"/>
        </w:rPr>
        <w:t>并</w:t>
      </w:r>
      <w:r>
        <w:t>将车牌作为车辆</w:t>
      </w:r>
      <w:r>
        <w:rPr>
          <w:rFonts w:hint="eastAsia"/>
        </w:rPr>
        <w:t>出入</w:t>
      </w:r>
      <w:r>
        <w:t>及缴费的凭证</w:t>
      </w:r>
      <w:r>
        <w:rPr>
          <w:rFonts w:hint="eastAsia"/>
        </w:rPr>
        <w:t>的</w:t>
      </w:r>
      <w:r>
        <w:t>方案</w:t>
      </w:r>
      <w:r>
        <w:rPr>
          <w:rFonts w:hint="eastAsia"/>
        </w:rPr>
        <w:t>，可以进行</w:t>
      </w:r>
      <w:r>
        <w:t>准确的车辆管理，大大提高出入口的运行效率。</w:t>
      </w:r>
    </w:p>
    <w:p>
      <w:pPr>
        <w:ind w:firstLine="480"/>
        <w:jc w:val="left"/>
        <w:rPr>
          <w:rFonts w:cs="Times New Roman"/>
          <w:bCs/>
          <w:kern w:val="0"/>
          <w:szCs w:val="24"/>
          <w:lang w:val="zh-CN" w:bidi="en-US"/>
        </w:rPr>
      </w:pPr>
      <w:bookmarkStart w:id="550" w:name="_Toc525305705"/>
      <w:r>
        <w:rPr>
          <w:rFonts w:hint="eastAsia" w:cs="Times New Roman"/>
          <w:bCs/>
          <w:kern w:val="0"/>
          <w:szCs w:val="24"/>
          <w:lang w:val="zh-CN" w:bidi="en-US"/>
        </w:rPr>
        <w:t>停车场管理</w:t>
      </w:r>
      <w:r>
        <w:rPr>
          <w:rFonts w:cs="Times New Roman"/>
          <w:bCs/>
          <w:kern w:val="0"/>
          <w:szCs w:val="24"/>
          <w:lang w:val="zh-CN" w:bidi="en-US"/>
        </w:rPr>
        <w:t>平台</w:t>
      </w:r>
      <w:bookmarkEnd w:id="550"/>
      <w:r>
        <w:rPr>
          <w:rFonts w:hint="eastAsia" w:cs="Times New Roman"/>
          <w:bCs/>
          <w:kern w:val="0"/>
          <w:szCs w:val="24"/>
          <w:lang w:val="zh-CN" w:bidi="en-US"/>
        </w:rPr>
        <w:t>：</w:t>
      </w:r>
    </w:p>
    <w:p>
      <w:pPr>
        <w:pStyle w:val="317"/>
        <w:ind w:firstLine="480"/>
      </w:pPr>
      <w:r>
        <w:rPr>
          <w:rFonts w:hint="eastAsia"/>
        </w:rPr>
        <w:t>停车场</w:t>
      </w:r>
      <w:r>
        <w:t>管理</w:t>
      </w:r>
      <w:r>
        <w:rPr>
          <w:rFonts w:hint="eastAsia"/>
        </w:rPr>
        <w:t>平台对出入场的</w:t>
      </w:r>
      <w:r>
        <w:t>车辆进行统一</w:t>
      </w:r>
      <w:r>
        <w:rPr>
          <w:rFonts w:hint="eastAsia"/>
        </w:rPr>
        <w:t>的、</w:t>
      </w:r>
      <w:r>
        <w:t>精细化的管理。</w:t>
      </w:r>
      <w:r>
        <w:rPr>
          <w:rFonts w:hint="eastAsia"/>
        </w:rPr>
        <w:t>对不同</w:t>
      </w:r>
      <w:r>
        <w:t>类型的车场进行设置</w:t>
      </w:r>
      <w:r>
        <w:rPr>
          <w:rFonts w:hint="eastAsia"/>
        </w:rPr>
        <w:t>不同</w:t>
      </w:r>
      <w:r>
        <w:t>的收费</w:t>
      </w:r>
      <w:r>
        <w:rPr>
          <w:rFonts w:hint="eastAsia"/>
        </w:rPr>
        <w:t>、</w:t>
      </w:r>
      <w:r>
        <w:t>放行规则</w:t>
      </w:r>
      <w:r>
        <w:rPr>
          <w:rFonts w:hint="eastAsia"/>
        </w:rPr>
        <w:t>，</w:t>
      </w:r>
      <w:r>
        <w:t>支持多样化的收缴费模式</w:t>
      </w:r>
      <w:r>
        <w:rPr>
          <w:rFonts w:hint="eastAsia"/>
        </w:rPr>
        <w:t>，</w:t>
      </w:r>
      <w:r>
        <w:t>例如：</w:t>
      </w:r>
      <w:r>
        <w:rPr>
          <w:rFonts w:hint="eastAsia"/>
        </w:rPr>
        <w:t>自助</w:t>
      </w:r>
      <w:r>
        <w:t>缴费</w:t>
      </w:r>
      <w:r>
        <w:rPr>
          <w:rFonts w:hint="eastAsia"/>
        </w:rPr>
        <w:t>、</w:t>
      </w:r>
      <w:r>
        <w:t>岗亭收费、中央缴费等</w:t>
      </w:r>
      <w:r>
        <w:rPr>
          <w:rFonts w:hint="eastAsia"/>
        </w:rPr>
        <w:t>，</w:t>
      </w:r>
      <w:r>
        <w:t>可对停车场内</w:t>
      </w:r>
      <w:r>
        <w:rPr>
          <w:rFonts w:hint="eastAsia"/>
        </w:rPr>
        <w:t>设备</w:t>
      </w:r>
      <w:r>
        <w:t>进行统一的</w:t>
      </w:r>
      <w:r>
        <w:rPr>
          <w:rFonts w:hint="eastAsia"/>
        </w:rPr>
        <w:t>维护</w:t>
      </w:r>
      <w:r>
        <w:t>，管理</w:t>
      </w:r>
      <w:r>
        <w:rPr>
          <w:rFonts w:hint="eastAsia"/>
        </w:rPr>
        <w:t>，</w:t>
      </w:r>
      <w:r>
        <w:t>并</w:t>
      </w:r>
      <w:r>
        <w:rPr>
          <w:rFonts w:hint="eastAsia"/>
        </w:rPr>
        <w:t>提供</w:t>
      </w:r>
      <w:r>
        <w:t>多样化的报表协助用户分析停车场的</w:t>
      </w:r>
      <w:r>
        <w:rPr>
          <w:rFonts w:hint="eastAsia"/>
        </w:rPr>
        <w:t>运营</w:t>
      </w:r>
      <w:r>
        <w:t>情况，</w:t>
      </w:r>
      <w:r>
        <w:rPr>
          <w:rFonts w:hint="eastAsia"/>
        </w:rPr>
        <w:t>提高</w:t>
      </w:r>
      <w:r>
        <w:t>停车场的运行效率</w:t>
      </w:r>
      <w:r>
        <w:rPr>
          <w:rFonts w:hint="eastAsia"/>
        </w:rPr>
        <w:t>。收费标准由使用单位制定，收入归使用单位。</w:t>
      </w:r>
    </w:p>
    <w:p>
      <w:pPr>
        <w:pStyle w:val="88"/>
        <w:adjustRightInd w:val="0"/>
        <w:snapToGrid w:val="0"/>
        <w:ind w:firstLine="480"/>
        <w:rPr>
          <w:color w:val="000000"/>
          <w:lang w:bidi="ar"/>
        </w:rPr>
      </w:pPr>
      <w:r>
        <w:rPr>
          <w:rFonts w:hint="eastAsia"/>
          <w:color w:val="000000"/>
          <w:lang w:bidi="ar"/>
        </w:rPr>
        <w:t>5、应用概述</w:t>
      </w:r>
    </w:p>
    <w:p>
      <w:pPr>
        <w:pStyle w:val="317"/>
        <w:ind w:firstLine="480"/>
        <w:rPr>
          <w:b/>
          <w:bCs/>
          <w:kern w:val="0"/>
          <w:sz w:val="28"/>
          <w:lang w:bidi="ar"/>
        </w:rPr>
      </w:pPr>
      <w:r>
        <w:rPr>
          <w:rFonts w:hint="eastAsia"/>
        </w:rPr>
        <w:t>智慧停车应用充分考虑了端到端的小区停车场应用场景，通过用车牌识别技术代替传统的刷卡与手工登记方式来提升小区停车场的通行效率。结合现有的移动端支付与智能计数提升停车场管理与收费的智能化、便捷化程度。改变小区内部停车无人管，无人收费等乱象。</w:t>
      </w:r>
    </w:p>
    <w:p>
      <w:pPr>
        <w:pStyle w:val="88"/>
        <w:adjustRightInd w:val="0"/>
        <w:snapToGrid w:val="0"/>
        <w:ind w:firstLine="480"/>
        <w:rPr>
          <w:color w:val="000000"/>
          <w:lang w:bidi="ar"/>
        </w:rPr>
      </w:pPr>
      <w:r>
        <w:rPr>
          <w:rFonts w:hint="eastAsia"/>
          <w:color w:val="000000"/>
          <w:lang w:bidi="ar"/>
        </w:rPr>
        <w:t>6、应用功能</w:t>
      </w:r>
    </w:p>
    <w:p>
      <w:pPr>
        <w:pStyle w:val="88"/>
        <w:adjustRightInd w:val="0"/>
        <w:snapToGrid w:val="0"/>
        <w:ind w:firstLine="480"/>
        <w:rPr>
          <w:color w:val="000000"/>
          <w:lang w:bidi="ar"/>
        </w:rPr>
      </w:pPr>
      <w:bookmarkStart w:id="551" w:name="_Toc472089001"/>
      <w:bookmarkStart w:id="552" w:name="_Toc472089002"/>
      <w:bookmarkStart w:id="553" w:name="_Toc214779789"/>
      <w:r>
        <w:rPr>
          <w:rFonts w:hint="eastAsia"/>
          <w:color w:val="000000"/>
          <w:lang w:bidi="ar"/>
        </w:rPr>
        <w:t>（1）号牌自动识别</w:t>
      </w:r>
    </w:p>
    <w:p>
      <w:pPr>
        <w:ind w:firstLine="480"/>
        <w:jc w:val="left"/>
        <w:rPr>
          <w:rFonts w:cs="Times New Roman"/>
          <w:szCs w:val="24"/>
        </w:rPr>
      </w:pPr>
      <w:r>
        <w:rPr>
          <w:rFonts w:hint="eastAsia" w:cs="Times New Roman"/>
          <w:szCs w:val="24"/>
        </w:rPr>
        <w:t>车辆驶近出入</w:t>
      </w:r>
      <w:r>
        <w:rPr>
          <w:rFonts w:hint="eastAsia" w:cs="Times New Roman"/>
          <w:color w:val="000000"/>
          <w:kern w:val="0"/>
          <w:szCs w:val="24"/>
          <w:lang w:bidi="ar"/>
        </w:rPr>
        <w:t>口时，系</w:t>
      </w:r>
      <w:r>
        <w:rPr>
          <w:rFonts w:hint="eastAsia" w:cs="Times New Roman"/>
          <w:szCs w:val="24"/>
        </w:rPr>
        <w:t>统自动对车辆牌照进行识别，包括车牌号码、车牌颜色的识别。</w:t>
      </w:r>
    </w:p>
    <w:p>
      <w:pPr>
        <w:ind w:firstLine="480"/>
        <w:jc w:val="left"/>
        <w:rPr>
          <w:rFonts w:cs="Times New Roman"/>
          <w:szCs w:val="24"/>
        </w:rPr>
      </w:pPr>
      <w:r>
        <w:rPr>
          <w:rFonts w:hint="eastAsia" w:cs="Times New Roman"/>
          <w:szCs w:val="24"/>
        </w:rPr>
        <w:t>在实时记录通行车辆图像的同时，还具备对符合“GA36-92”（92式牌照） 、“GA36-2007”（新号牌标准）、“GA36.1-2001”（02式新牌照）标准的民用车牌、警用车牌、军用车牌、武警车牌的车牌自动识别能力，包括2002式号牌。</w:t>
      </w:r>
    </w:p>
    <w:p>
      <w:pPr>
        <w:ind w:firstLine="480"/>
        <w:jc w:val="left"/>
        <w:rPr>
          <w:rFonts w:cs="Times New Roman"/>
          <w:szCs w:val="24"/>
        </w:rPr>
      </w:pPr>
      <w:r>
        <w:rPr>
          <w:rFonts w:hint="eastAsia" w:cs="Times New Roman"/>
          <w:szCs w:val="24"/>
        </w:rPr>
        <w:t>能识别黑、白、蓝、黄、绿五种车牌颜色。</w:t>
      </w:r>
    </w:p>
    <w:p>
      <w:pPr>
        <w:pStyle w:val="88"/>
        <w:adjustRightInd w:val="0"/>
        <w:snapToGrid w:val="0"/>
        <w:ind w:firstLine="480"/>
        <w:rPr>
          <w:color w:val="000000"/>
          <w:lang w:bidi="ar"/>
        </w:rPr>
      </w:pPr>
      <w:r>
        <w:rPr>
          <w:rFonts w:hint="eastAsia"/>
          <w:color w:val="000000"/>
          <w:lang w:bidi="ar"/>
        </w:rPr>
        <w:t>（2）车辆信息记录</w:t>
      </w:r>
    </w:p>
    <w:p>
      <w:pPr>
        <w:pStyle w:val="317"/>
        <w:ind w:firstLine="480"/>
      </w:pPr>
      <w:r>
        <w:rPr>
          <w:rFonts w:hint="eastAsia"/>
        </w:rPr>
        <w:t>车辆信息包括车辆通行信息和车辆图像信息两类。</w:t>
      </w:r>
    </w:p>
    <w:p>
      <w:pPr>
        <w:pStyle w:val="317"/>
        <w:ind w:firstLine="480"/>
      </w:pPr>
      <w:r>
        <w:rPr>
          <w:rFonts w:hint="eastAsia"/>
        </w:rPr>
        <w:t>在车辆通过出入口时，牌照识别系统准确拍摄包含车辆前端、车牌的图像，并将图像和车辆通行信息传输给出入口控制终端，并可选择在图像中叠加车辆通行信息（如时间、地点等），准确记录车辆通行信息。</w:t>
      </w:r>
    </w:p>
    <w:p>
      <w:pPr>
        <w:pStyle w:val="317"/>
        <w:ind w:firstLine="480"/>
      </w:pPr>
      <w:r>
        <w:rPr>
          <w:rFonts w:hint="eastAsia"/>
        </w:rPr>
        <w:t>可提供车头图像（可包含车辆全貌），系统采用的抓拍摄像机，具备智能成像和控制补光功能，能够在各种复杂环境（如雨雾、强逆光、弱光照、强光照等）下和夜间拍摄出清晰的图片。</w:t>
      </w:r>
    </w:p>
    <w:p>
      <w:pPr>
        <w:pStyle w:val="88"/>
        <w:adjustRightInd w:val="0"/>
        <w:snapToGrid w:val="0"/>
        <w:ind w:firstLine="480"/>
        <w:rPr>
          <w:color w:val="000000"/>
          <w:lang w:bidi="ar"/>
        </w:rPr>
      </w:pPr>
      <w:r>
        <w:rPr>
          <w:rFonts w:hint="eastAsia"/>
          <w:color w:val="000000"/>
          <w:lang w:bidi="ar"/>
        </w:rPr>
        <w:t>（3）车牌校正功能</w:t>
      </w:r>
    </w:p>
    <w:p>
      <w:pPr>
        <w:ind w:firstLine="480"/>
        <w:jc w:val="left"/>
        <w:rPr>
          <w:rFonts w:cs="Times New Roman"/>
          <w:szCs w:val="24"/>
        </w:rPr>
      </w:pPr>
      <w:r>
        <w:rPr>
          <w:rFonts w:hint="eastAsia" w:cs="Times New Roman"/>
          <w:szCs w:val="24"/>
        </w:rPr>
        <w:t>系统支持通过人工在岗亭</w:t>
      </w:r>
      <w:r>
        <w:rPr>
          <w:rFonts w:cs="Times New Roman"/>
          <w:szCs w:val="24"/>
        </w:rPr>
        <w:t>客户端上对识别异常的车牌进行修正，对无牌车进行人工匹配来确保系统工作正常。</w:t>
      </w:r>
    </w:p>
    <w:p>
      <w:pPr>
        <w:pStyle w:val="88"/>
        <w:adjustRightInd w:val="0"/>
        <w:snapToGrid w:val="0"/>
        <w:ind w:firstLine="480"/>
        <w:rPr>
          <w:color w:val="000000"/>
          <w:lang w:bidi="ar"/>
        </w:rPr>
      </w:pPr>
      <w:r>
        <w:rPr>
          <w:rFonts w:hint="eastAsia"/>
          <w:color w:val="000000"/>
          <w:lang w:bidi="ar"/>
        </w:rPr>
        <w:t>（4）信息提示</w:t>
      </w:r>
    </w:p>
    <w:p>
      <w:pPr>
        <w:ind w:firstLine="480"/>
        <w:jc w:val="left"/>
        <w:rPr>
          <w:rFonts w:cs="Times New Roman"/>
          <w:szCs w:val="24"/>
        </w:rPr>
      </w:pPr>
      <w:r>
        <w:rPr>
          <w:rFonts w:hint="eastAsia" w:cs="Times New Roman"/>
          <w:szCs w:val="24"/>
        </w:rPr>
        <w:t>车辆在出入口被抓拍后，系统将进行相关信息提示，包含语音提示、信息显示，车辆驶入、驶出时可以根据客户需要提示语音，收费金额显示，欢迎标语等。</w:t>
      </w:r>
    </w:p>
    <w:p>
      <w:pPr>
        <w:pStyle w:val="88"/>
        <w:adjustRightInd w:val="0"/>
        <w:snapToGrid w:val="0"/>
        <w:ind w:firstLine="480"/>
        <w:rPr>
          <w:color w:val="000000"/>
          <w:lang w:val="zh-CN" w:bidi="ar"/>
        </w:rPr>
      </w:pPr>
      <w:r>
        <w:rPr>
          <w:rFonts w:hint="eastAsia"/>
          <w:color w:val="000000"/>
          <w:lang w:bidi="ar"/>
        </w:rPr>
        <w:t>（5）车辆管控</w:t>
      </w:r>
    </w:p>
    <w:p>
      <w:pPr>
        <w:pStyle w:val="317"/>
        <w:ind w:firstLine="480"/>
      </w:pPr>
      <w:r>
        <w:t>固定车辆：支持车牌识别比对正确</w:t>
      </w:r>
      <w:r>
        <w:rPr>
          <w:rFonts w:hint="eastAsia"/>
        </w:rPr>
        <w:t>，信息核实有效后</w:t>
      </w:r>
      <w:r>
        <w:t>，即可进场</w:t>
      </w:r>
      <w:r>
        <w:rPr>
          <w:rFonts w:hint="eastAsia"/>
        </w:rPr>
        <w:t>和出场</w:t>
      </w:r>
      <w:r>
        <w:t>，无需</w:t>
      </w:r>
      <w:r>
        <w:rPr>
          <w:rFonts w:hint="eastAsia"/>
        </w:rPr>
        <w:t>其他</w:t>
      </w:r>
      <w:r>
        <w:t>操作</w:t>
      </w:r>
      <w:r>
        <w:rPr>
          <w:rFonts w:hint="eastAsia"/>
        </w:rPr>
        <w:t>；</w:t>
      </w:r>
    </w:p>
    <w:p>
      <w:pPr>
        <w:pStyle w:val="317"/>
        <w:ind w:firstLine="480"/>
      </w:pPr>
      <w:r>
        <w:t>临时车辆：抓拍车牌并识别，</w:t>
      </w:r>
      <w:r>
        <w:rPr>
          <w:rFonts w:hint="eastAsia"/>
        </w:rPr>
        <w:t>将车辆信息记录在系统中，直接</w:t>
      </w:r>
      <w:r>
        <w:t>放行</w:t>
      </w:r>
      <w:r>
        <w:rPr>
          <w:rFonts w:hint="eastAsia"/>
        </w:rPr>
        <w:t>进场；出场时，缴清费用后，快速离场；</w:t>
      </w:r>
    </w:p>
    <w:p>
      <w:pPr>
        <w:pStyle w:val="317"/>
        <w:ind w:firstLine="480"/>
      </w:pPr>
      <w:r>
        <w:t>布控车辆：嫌疑车辆</w:t>
      </w:r>
      <w:r>
        <w:rPr>
          <w:rFonts w:hint="eastAsia"/>
        </w:rPr>
        <w:t>由</w:t>
      </w:r>
      <w:r>
        <w:t>系统自动在前端</w:t>
      </w:r>
      <w:r>
        <w:rPr>
          <w:rFonts w:hint="eastAsia"/>
        </w:rPr>
        <w:t>岗亭</w:t>
      </w:r>
      <w:r>
        <w:t>和中心产生报警，同时人工参与处理。</w:t>
      </w:r>
    </w:p>
    <w:p>
      <w:pPr>
        <w:pStyle w:val="88"/>
        <w:adjustRightInd w:val="0"/>
        <w:snapToGrid w:val="0"/>
        <w:ind w:firstLine="480"/>
        <w:rPr>
          <w:color w:val="000000"/>
          <w:lang w:bidi="ar"/>
        </w:rPr>
      </w:pPr>
      <w:r>
        <w:rPr>
          <w:rFonts w:hint="eastAsia"/>
          <w:color w:val="000000"/>
          <w:lang w:bidi="ar"/>
        </w:rPr>
        <w:t>（6）道闸控制功能</w:t>
      </w:r>
    </w:p>
    <w:p>
      <w:pPr>
        <w:ind w:firstLine="480"/>
        <w:jc w:val="left"/>
        <w:rPr>
          <w:rFonts w:cs="Times New Roman"/>
          <w:szCs w:val="24"/>
        </w:rPr>
      </w:pPr>
      <w:r>
        <w:rPr>
          <w:rFonts w:hint="eastAsia" w:cs="Times New Roman"/>
          <w:szCs w:val="24"/>
        </w:rPr>
        <w:t>岗亭客户端支持远程控制电动挡车器启闭，方便操作人员管理和特殊控制需要。</w:t>
      </w:r>
    </w:p>
    <w:p>
      <w:pPr>
        <w:pStyle w:val="88"/>
        <w:adjustRightInd w:val="0"/>
        <w:snapToGrid w:val="0"/>
        <w:ind w:firstLine="480"/>
        <w:rPr>
          <w:color w:val="000000"/>
          <w:lang w:bidi="ar"/>
        </w:rPr>
      </w:pPr>
      <w:r>
        <w:rPr>
          <w:rFonts w:hint="eastAsia"/>
          <w:color w:val="000000"/>
          <w:lang w:bidi="ar"/>
        </w:rPr>
        <w:t>（7）一户多车管理功能</w:t>
      </w:r>
    </w:p>
    <w:p>
      <w:pPr>
        <w:pStyle w:val="317"/>
        <w:ind w:firstLine="480"/>
      </w:pPr>
      <w:r>
        <w:rPr>
          <w:rFonts w:hint="eastAsia"/>
        </w:rPr>
        <w:t>支持</w:t>
      </w:r>
      <w:r>
        <w:t>一户多车的功能，</w:t>
      </w:r>
      <w:r>
        <w:rPr>
          <w:rFonts w:hint="eastAsia"/>
        </w:rPr>
        <w:t>若一个户主名下登记</w:t>
      </w:r>
      <w:r>
        <w:t>有</w:t>
      </w:r>
      <w:r>
        <w:rPr>
          <w:rFonts w:hint="eastAsia"/>
        </w:rPr>
        <w:t>多辆车，但是在这个停车场内该</w:t>
      </w:r>
      <w:r>
        <w:t>户主的车位数</w:t>
      </w:r>
      <w:r>
        <w:rPr>
          <w:rFonts w:hint="eastAsia"/>
        </w:rPr>
        <w:t>少于车辆数。那么在这个户主名下车位已</w:t>
      </w:r>
      <w:r>
        <w:t>满的情况，还有固定车入场停车，</w:t>
      </w:r>
      <w:r>
        <w:rPr>
          <w:rFonts w:hint="eastAsia"/>
        </w:rPr>
        <w:t>这些</w:t>
      </w:r>
      <w:r>
        <w:t>后</w:t>
      </w:r>
      <w:r>
        <w:rPr>
          <w:rFonts w:hint="eastAsia"/>
        </w:rPr>
        <w:t>面</w:t>
      </w:r>
      <w:r>
        <w:t>入场的固定车将</w:t>
      </w:r>
      <w:r>
        <w:rPr>
          <w:rFonts w:hint="eastAsia"/>
        </w:rPr>
        <w:t>被</w:t>
      </w:r>
      <w:r>
        <w:t>认为是临时车进行收费。</w:t>
      </w:r>
      <w:r>
        <w:rPr>
          <w:rFonts w:hint="eastAsia"/>
        </w:rPr>
        <w:t>此</w:t>
      </w:r>
      <w:r>
        <w:t>功能</w:t>
      </w:r>
      <w:r>
        <w:rPr>
          <w:rFonts w:hint="eastAsia"/>
        </w:rPr>
        <w:t>用于</w:t>
      </w:r>
      <w:r>
        <w:t>规范一户多车的</w:t>
      </w:r>
      <w:r>
        <w:rPr>
          <w:rFonts w:hint="eastAsia"/>
        </w:rPr>
        <w:t>管理</w:t>
      </w:r>
      <w:r>
        <w:t>。</w:t>
      </w:r>
    </w:p>
    <w:p>
      <w:pPr>
        <w:pStyle w:val="88"/>
        <w:adjustRightInd w:val="0"/>
        <w:snapToGrid w:val="0"/>
        <w:ind w:firstLine="480"/>
        <w:rPr>
          <w:color w:val="000000"/>
          <w:lang w:bidi="ar"/>
        </w:rPr>
      </w:pPr>
      <w:r>
        <w:rPr>
          <w:rFonts w:hint="eastAsia"/>
          <w:color w:val="000000"/>
          <w:lang w:bidi="ar"/>
        </w:rPr>
        <w:t>（8）车辆收费管理功能</w:t>
      </w:r>
    </w:p>
    <w:p>
      <w:pPr>
        <w:pStyle w:val="317"/>
        <w:ind w:firstLine="480"/>
      </w:pPr>
      <w:r>
        <w:rPr>
          <w:rFonts w:hint="eastAsia"/>
        </w:rPr>
        <w:t>系统</w:t>
      </w:r>
      <w:r>
        <w:t>支持</w:t>
      </w:r>
      <w:r>
        <w:rPr>
          <w:rFonts w:hint="eastAsia"/>
        </w:rPr>
        <w:t>对</w:t>
      </w:r>
      <w:r>
        <w:t>固定车辆、临时车辆、群组车辆</w:t>
      </w:r>
      <w:r>
        <w:rPr>
          <w:rFonts w:hint="eastAsia"/>
        </w:rPr>
        <w:t>等</w:t>
      </w:r>
      <w:r>
        <w:t>制定相应的收费规则</w:t>
      </w:r>
      <w:r>
        <w:rPr>
          <w:rFonts w:hint="eastAsia"/>
        </w:rPr>
        <w:t>，</w:t>
      </w:r>
      <w:r>
        <w:t>支持车辆出场时在</w:t>
      </w:r>
      <w:r>
        <w:rPr>
          <w:rFonts w:hint="eastAsia"/>
        </w:rPr>
        <w:t>岗亭</w:t>
      </w:r>
      <w:r>
        <w:t>通过</w:t>
      </w:r>
      <w:r>
        <w:rPr>
          <w:rFonts w:hint="eastAsia"/>
        </w:rPr>
        <w:t>车牌识别记录车辆进出时间并计算费用和</w:t>
      </w:r>
      <w:r>
        <w:t>收费</w:t>
      </w:r>
      <w:r>
        <w:rPr>
          <w:rFonts w:hint="eastAsia"/>
        </w:rPr>
        <w:t>，支持自助缴费。</w:t>
      </w:r>
    </w:p>
    <w:p>
      <w:pPr>
        <w:pStyle w:val="88"/>
        <w:adjustRightInd w:val="0"/>
        <w:snapToGrid w:val="0"/>
        <w:ind w:firstLine="480"/>
        <w:rPr>
          <w:color w:val="000000"/>
          <w:lang w:bidi="ar"/>
        </w:rPr>
      </w:pPr>
      <w:r>
        <w:rPr>
          <w:rFonts w:hint="eastAsia"/>
          <w:color w:val="000000"/>
          <w:lang w:bidi="ar"/>
        </w:rPr>
        <w:t>（9）报警管理功能</w:t>
      </w:r>
    </w:p>
    <w:p>
      <w:pPr>
        <w:pStyle w:val="317"/>
        <w:ind w:firstLine="480"/>
      </w:pPr>
      <w:r>
        <w:rPr>
          <w:rFonts w:hint="eastAsia"/>
        </w:rPr>
        <w:t>当系统识别出来的车辆车牌不符合条件时，或者车牌在黑名单库时，岗亭或管理中心自动报警，提示工作人员进行检查。</w:t>
      </w:r>
    </w:p>
    <w:p>
      <w:pPr>
        <w:pStyle w:val="88"/>
        <w:adjustRightInd w:val="0"/>
        <w:snapToGrid w:val="0"/>
        <w:ind w:firstLine="480"/>
        <w:rPr>
          <w:color w:val="000000"/>
          <w:lang w:bidi="ar"/>
        </w:rPr>
      </w:pPr>
      <w:r>
        <w:rPr>
          <w:rFonts w:hint="eastAsia"/>
          <w:color w:val="000000"/>
          <w:lang w:bidi="ar"/>
        </w:rPr>
        <w:t>（10）数据查询功能</w:t>
      </w:r>
    </w:p>
    <w:p>
      <w:pPr>
        <w:pStyle w:val="317"/>
        <w:ind w:firstLine="480"/>
      </w:pPr>
      <w:r>
        <w:rPr>
          <w:rFonts w:hint="eastAsia"/>
        </w:rPr>
        <w:t>可查询通行信息、场内车辆、操作日志、设备状态和收费金额等信息并输出完整的数据报表。</w:t>
      </w:r>
    </w:p>
    <w:p>
      <w:pPr>
        <w:pStyle w:val="88"/>
        <w:adjustRightInd w:val="0"/>
        <w:snapToGrid w:val="0"/>
        <w:ind w:firstLine="480"/>
        <w:rPr>
          <w:color w:val="000000"/>
          <w:lang w:bidi="ar"/>
        </w:rPr>
      </w:pPr>
      <w:r>
        <w:rPr>
          <w:rFonts w:hint="eastAsia"/>
          <w:color w:val="000000"/>
          <w:lang w:bidi="ar"/>
        </w:rPr>
        <w:t>（11）统计报表功能</w:t>
      </w:r>
    </w:p>
    <w:p>
      <w:pPr>
        <w:pStyle w:val="317"/>
        <w:ind w:firstLine="480"/>
      </w:pPr>
      <w:r>
        <w:rPr>
          <w:rFonts w:hint="eastAsia"/>
        </w:rPr>
        <w:t>支持按停车场收费统计、车辆流量数据统计、临时车辆缴费统计、现金收费统计等报表功能。</w:t>
      </w:r>
    </w:p>
    <w:p>
      <w:pPr>
        <w:pStyle w:val="88"/>
        <w:adjustRightInd w:val="0"/>
        <w:snapToGrid w:val="0"/>
        <w:ind w:firstLine="480"/>
        <w:rPr>
          <w:color w:val="000000"/>
          <w:lang w:val="zh-CN" w:bidi="ar"/>
        </w:rPr>
      </w:pPr>
      <w:r>
        <w:rPr>
          <w:rFonts w:hint="eastAsia"/>
          <w:color w:val="000000"/>
          <w:lang w:val="zh-CN" w:bidi="ar"/>
        </w:rPr>
        <w:t>（</w:t>
      </w:r>
      <w:r>
        <w:rPr>
          <w:rFonts w:hint="eastAsia"/>
          <w:color w:val="000000"/>
          <w:lang w:bidi="ar"/>
        </w:rPr>
        <w:t>12</w:t>
      </w:r>
      <w:r>
        <w:rPr>
          <w:rFonts w:hint="eastAsia"/>
          <w:color w:val="000000"/>
          <w:lang w:val="zh-CN" w:bidi="ar"/>
        </w:rPr>
        <w:t>）数据上传功能</w:t>
      </w:r>
    </w:p>
    <w:p>
      <w:pPr>
        <w:ind w:firstLine="480"/>
        <w:jc w:val="left"/>
        <w:rPr>
          <w:rFonts w:ascii="Calibri" w:hAnsi="Calibri" w:cs="Times New Roman"/>
        </w:rPr>
      </w:pPr>
      <w:r>
        <w:rPr>
          <w:rFonts w:hint="eastAsia" w:cs="Times New Roman"/>
          <w:szCs w:val="24"/>
        </w:rPr>
        <w:t>过车数据自动上传中心，由中心集中存储和管理，支持前端数据缓存以及断点续传。</w:t>
      </w:r>
    </w:p>
    <w:p>
      <w:pPr>
        <w:pStyle w:val="88"/>
        <w:adjustRightInd w:val="0"/>
        <w:snapToGrid w:val="0"/>
        <w:ind w:firstLine="480"/>
        <w:rPr>
          <w:color w:val="000000"/>
          <w:lang w:val="zh-CN" w:bidi="ar"/>
        </w:rPr>
      </w:pPr>
      <w:r>
        <w:rPr>
          <w:rFonts w:hint="eastAsia"/>
          <w:color w:val="000000"/>
          <w:lang w:val="zh-CN" w:bidi="ar"/>
        </w:rPr>
        <w:t>7、需要升级改造的小区情况</w:t>
      </w:r>
    </w:p>
    <w:tbl>
      <w:tblPr>
        <w:tblStyle w:val="43"/>
        <w:tblW w:w="5058" w:type="pct"/>
        <w:tblInd w:w="0" w:type="dxa"/>
        <w:tblLayout w:type="fixed"/>
        <w:tblCellMar>
          <w:top w:w="0" w:type="dxa"/>
          <w:left w:w="0" w:type="dxa"/>
          <w:bottom w:w="0" w:type="dxa"/>
          <w:right w:w="0" w:type="dxa"/>
        </w:tblCellMar>
      </w:tblPr>
      <w:tblGrid>
        <w:gridCol w:w="1951"/>
        <w:gridCol w:w="6907"/>
      </w:tblGrid>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金马街道：</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kern w:val="0"/>
                <w:szCs w:val="24"/>
                <w:lang w:bidi="ar"/>
              </w:rPr>
            </w:pPr>
            <w:r>
              <w:rPr>
                <w:rFonts w:hint="eastAsia" w:cs="Times New Roman"/>
                <w:color w:val="000000"/>
                <w:kern w:val="0"/>
                <w:szCs w:val="24"/>
                <w:lang w:bidi="ar"/>
              </w:rPr>
              <w:t>蓉西新城A区</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共1道大门，需更换2台车牌识别一体机，新增2台栅栏式道闸。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kern w:val="0"/>
                <w:szCs w:val="24"/>
                <w:lang w:bidi="ar"/>
              </w:rPr>
            </w:pPr>
            <w:r>
              <w:rPr>
                <w:rFonts w:hint="eastAsia" w:cs="Times New Roman"/>
                <w:color w:val="000000"/>
                <w:kern w:val="0"/>
                <w:szCs w:val="24"/>
                <w:lang w:bidi="ar"/>
              </w:rPr>
              <w:t>鱼凫小区B区</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kern w:val="0"/>
                <w:szCs w:val="24"/>
                <w:lang w:bidi="ar"/>
              </w:rPr>
            </w:pPr>
            <w:r>
              <w:rPr>
                <w:rFonts w:hint="eastAsia" w:cs="Times New Roman"/>
                <w:color w:val="000000"/>
                <w:kern w:val="0"/>
                <w:szCs w:val="24"/>
                <w:lang w:bidi="ar"/>
              </w:rPr>
              <w:t>新春苑</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共1道大门，需更换2台车牌识别一体机，新增2台栅栏式道闸，3米不锈钢防护栏。</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万春镇：</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报恩家园</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春江里</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共1道大门，需更换2台车牌识别一体机，新增2台栅栏式道闸。</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天府街道</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学府芳邻3期</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共2道大门，需更换4台车牌识别一体机，新增3台栅栏式道闸。</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公平街道：</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长安盛景2期</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 xml:space="preserve">共2道大门，需更换4台车牌识别一体机，新增1台栅栏式道闸。  </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柳城街道</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上河居</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 xml:space="preserve">共2道大门，需更换4台车牌识别一体机，新增3台栅栏式道闸。新增20米不锈钢防护栏。  </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柳欣源</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共2道大门，需更换4台车牌识别一体机，新增2台栅栏式道闸。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逸然居</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万春苑小区</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金博林居A区</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金博林居C区</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和盛镇：</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东宫美阁</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湖畔湾</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共2道大门，需更换4台车牌识别一体机，新增2台栅栏式道闸。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和美盛景2期</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共2道大门，需更换4台车牌识别一体机，新增4台栅栏式道闸。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柳岸花邻A1</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柳岸花邻A2</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柳岸花邻A3</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柳岸花邻A4</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柳岸花邻B1</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柳岸花邻B2</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柳岸花邻B3</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共2道大门，需更换4台车牌识别一体机，新增2台栅栏式道闸。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柳岸花邻B4</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柳岸花邻C1</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共1道大门，需更换2台车牌识别一体机，新增1台车牌辅助摄像机，新增1台栅栏式道闸。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柳岸花邻C2</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共1道大门，需更换2台车牌识别一体机，新增1台车牌辅助摄像机，新增1台栅栏式道闸。</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永宁街道：</w:t>
            </w:r>
          </w:p>
        </w:tc>
      </w:tr>
      <w:tr>
        <w:tblPrEx>
          <w:tblCellMar>
            <w:top w:w="0" w:type="dxa"/>
            <w:left w:w="0" w:type="dxa"/>
            <w:bottom w:w="0" w:type="dxa"/>
            <w:right w:w="0" w:type="dxa"/>
          </w:tblCellMar>
        </w:tblPrEx>
        <w:trPr>
          <w:trHeight w:val="624"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芙蓉家苑62号</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康城嘉苑1、2期</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田园花篱</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共2道大门，需更换4台车牌识别一体机，新增4台栅栏式道闸。</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芙蓉水居一期</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共1道大门，需更换2台车牌识别一体机，新增2台栅栏式道闸。</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寿安镇：</w:t>
            </w:r>
          </w:p>
        </w:tc>
      </w:tr>
      <w:tr>
        <w:tblPrEx>
          <w:tblCellMar>
            <w:top w:w="0" w:type="dxa"/>
            <w:left w:w="0" w:type="dxa"/>
            <w:bottom w:w="0" w:type="dxa"/>
            <w:right w:w="0" w:type="dxa"/>
          </w:tblCellMar>
        </w:tblPrEx>
        <w:trPr>
          <w:trHeight w:val="312"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金河阳光苑</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共2道大门，需更换4台车牌识别一体机，新增3台栅栏式道闸。</w:t>
            </w:r>
          </w:p>
        </w:tc>
      </w:tr>
      <w:tr>
        <w:tblPrEx>
          <w:tblCellMar>
            <w:top w:w="0" w:type="dxa"/>
            <w:left w:w="0" w:type="dxa"/>
            <w:bottom w:w="0" w:type="dxa"/>
            <w:right w:w="0" w:type="dxa"/>
          </w:tblCellMar>
        </w:tblPrEx>
        <w:trPr>
          <w:trHeight w:val="312" w:hRule="atLeast"/>
        </w:trPr>
        <w:tc>
          <w:tcPr>
            <w:tcW w:w="5000" w:type="pct"/>
            <w:gridSpan w:val="2"/>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ind w:firstLine="480"/>
              <w:jc w:val="center"/>
              <w:textAlignment w:val="center"/>
              <w:rPr>
                <w:rFonts w:cs="Times New Roman"/>
                <w:color w:val="000000"/>
                <w:szCs w:val="24"/>
              </w:rPr>
            </w:pPr>
            <w:r>
              <w:rPr>
                <w:rFonts w:hint="eastAsia" w:cs="Times New Roman"/>
                <w:color w:val="000000"/>
                <w:kern w:val="0"/>
                <w:szCs w:val="24"/>
                <w:lang w:bidi="ar"/>
              </w:rPr>
              <w:t>涌泉街道：</w:t>
            </w:r>
          </w:p>
        </w:tc>
      </w:tr>
      <w:tr>
        <w:tblPrEx>
          <w:tblCellMar>
            <w:top w:w="0" w:type="dxa"/>
            <w:left w:w="0" w:type="dxa"/>
            <w:bottom w:w="0" w:type="dxa"/>
            <w:right w:w="0" w:type="dxa"/>
          </w:tblCellMar>
        </w:tblPrEx>
        <w:trPr>
          <w:trHeight w:val="465" w:hRule="atLeast"/>
        </w:trPr>
        <w:tc>
          <w:tcPr>
            <w:tcW w:w="1101"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center"/>
              <w:textAlignment w:val="center"/>
              <w:rPr>
                <w:rFonts w:cs="Times New Roman"/>
                <w:color w:val="000000"/>
                <w:szCs w:val="24"/>
              </w:rPr>
            </w:pPr>
            <w:r>
              <w:rPr>
                <w:rFonts w:hint="eastAsia" w:cs="Times New Roman"/>
                <w:color w:val="000000"/>
                <w:kern w:val="0"/>
                <w:szCs w:val="24"/>
                <w:lang w:bidi="ar"/>
              </w:rPr>
              <w:t>宁和苑</w:t>
            </w:r>
          </w:p>
        </w:tc>
        <w:tc>
          <w:tcPr>
            <w:tcW w:w="3898" w:type="pct"/>
            <w:tcBorders>
              <w:top w:val="single" w:color="000000" w:sz="4" w:space="0"/>
              <w:left w:val="single" w:color="000000" w:sz="4" w:space="0"/>
              <w:bottom w:val="single" w:color="000000" w:sz="4" w:space="0"/>
              <w:right w:val="single" w:color="000000" w:sz="4" w:space="0"/>
            </w:tcBorders>
            <w:noWrap/>
            <w:tcMar>
              <w:top w:w="12" w:type="dxa"/>
              <w:left w:w="12" w:type="dxa"/>
              <w:right w:w="12" w:type="dxa"/>
            </w:tcMar>
            <w:vAlign w:val="center"/>
          </w:tcPr>
          <w:p>
            <w:pPr>
              <w:widowControl/>
              <w:jc w:val="left"/>
              <w:textAlignment w:val="center"/>
              <w:rPr>
                <w:rFonts w:cs="Times New Roman"/>
                <w:color w:val="000000"/>
                <w:sz w:val="22"/>
              </w:rPr>
            </w:pPr>
            <w:r>
              <w:rPr>
                <w:rFonts w:hint="eastAsia" w:cs="Times New Roman"/>
                <w:color w:val="000000"/>
                <w:kern w:val="0"/>
                <w:sz w:val="22"/>
                <w:lang w:bidi="ar"/>
              </w:rPr>
              <w:t>共2道大门，需更换4台车牌识别一体机，新增2台栅栏式道闸。</w:t>
            </w:r>
          </w:p>
        </w:tc>
      </w:tr>
      <w:bookmarkEnd w:id="548"/>
      <w:bookmarkEnd w:id="551"/>
      <w:bookmarkEnd w:id="552"/>
      <w:bookmarkEnd w:id="553"/>
    </w:tbl>
    <w:p>
      <w:pPr>
        <w:widowControl/>
        <w:jc w:val="left"/>
        <w:outlineLvl w:val="1"/>
        <w:rPr>
          <w:rFonts w:cs="Times New Roman"/>
          <w:b/>
          <w:bCs/>
          <w:color w:val="000000"/>
          <w:kern w:val="0"/>
          <w:sz w:val="32"/>
          <w:szCs w:val="32"/>
          <w:lang w:bidi="ar"/>
        </w:rPr>
      </w:pPr>
      <w:bookmarkStart w:id="554" w:name="_Toc3379"/>
      <w:bookmarkStart w:id="555" w:name="_Toc6805"/>
      <w:bookmarkStart w:id="556" w:name="_Toc30772"/>
      <w:bookmarkStart w:id="557" w:name="_Toc2286"/>
      <w:bookmarkStart w:id="558" w:name="_Toc31841"/>
      <w:bookmarkStart w:id="559" w:name="_Toc29867"/>
      <w:bookmarkStart w:id="560" w:name="_Toc8605"/>
      <w:bookmarkStart w:id="561" w:name="_Toc79061691"/>
      <w:bookmarkStart w:id="562" w:name="_Toc23800"/>
      <w:bookmarkStart w:id="563" w:name="_Toc18419"/>
      <w:bookmarkStart w:id="564" w:name="_Toc24618"/>
      <w:bookmarkStart w:id="565" w:name="_Toc29815"/>
      <w:bookmarkStart w:id="566" w:name="_Toc7150"/>
      <w:bookmarkStart w:id="567" w:name="_Toc28340"/>
      <w:bookmarkStart w:id="568" w:name="_Toc137"/>
      <w:bookmarkStart w:id="569" w:name="_Toc16809"/>
      <w:bookmarkStart w:id="570" w:name="_Toc26360"/>
      <w:r>
        <w:rPr>
          <w:rFonts w:hint="eastAsia" w:cs="Times New Roman"/>
          <w:b/>
          <w:bCs/>
          <w:color w:val="000000"/>
          <w:kern w:val="0"/>
          <w:sz w:val="32"/>
          <w:szCs w:val="32"/>
          <w:lang w:bidi="ar"/>
        </w:rPr>
        <w:t>4.4数据存储及传输</w:t>
      </w:r>
      <w:bookmarkEnd w:id="554"/>
      <w:bookmarkEnd w:id="555"/>
      <w:bookmarkEnd w:id="556"/>
      <w:bookmarkEnd w:id="557"/>
      <w:bookmarkEnd w:id="558"/>
      <w:bookmarkEnd w:id="559"/>
      <w:bookmarkEnd w:id="560"/>
      <w:bookmarkEnd w:id="561"/>
      <w:bookmarkEnd w:id="562"/>
      <w:bookmarkEnd w:id="563"/>
      <w:bookmarkEnd w:id="564"/>
    </w:p>
    <w:p>
      <w:pPr>
        <w:numPr>
          <w:ilvl w:val="0"/>
          <w:numId w:val="42"/>
        </w:numPr>
        <w:ind w:firstLine="480"/>
        <w:rPr>
          <w:rFonts w:ascii="Calibri" w:hAnsi="Calibri" w:cs="Times New Roman"/>
        </w:rPr>
      </w:pPr>
      <w:r>
        <w:rPr>
          <w:rFonts w:hint="eastAsia" w:ascii="Calibri" w:hAnsi="Calibri" w:cs="Times New Roman"/>
        </w:rPr>
        <w:t>项目数据服务器及存储服务器要求由区行政审批局统一分配政务云服务器。不再单独为机房中心设备配置安全设备。</w:t>
      </w:r>
    </w:p>
    <w:p>
      <w:pPr>
        <w:numPr>
          <w:ilvl w:val="0"/>
          <w:numId w:val="42"/>
        </w:numPr>
        <w:ind w:firstLine="480"/>
        <w:rPr>
          <w:rFonts w:ascii="Calibri" w:hAnsi="Calibri" w:cs="Times New Roman"/>
        </w:rPr>
      </w:pPr>
      <w:r>
        <w:rPr>
          <w:rFonts w:hint="eastAsia" w:ascii="Calibri" w:hAnsi="Calibri" w:cs="Times New Roman"/>
        </w:rPr>
        <w:t>本项目涉及到前端32个小区只有交换机及人脸识别认证设备。所获取的数据全部上传至政务云服务器。本地无实时数据流。传输链路采用运营商专用vpn线路以保证数据在传输过程的安全。</w:t>
      </w:r>
    </w:p>
    <w:p>
      <w:pPr>
        <w:numPr>
          <w:ilvl w:val="0"/>
          <w:numId w:val="42"/>
        </w:numPr>
        <w:ind w:firstLine="480"/>
        <w:rPr>
          <w:rFonts w:ascii="Calibri" w:hAnsi="Calibri" w:cs="Times New Roman"/>
        </w:rPr>
      </w:pPr>
      <w:r>
        <w:rPr>
          <w:rFonts w:hint="eastAsia" w:ascii="Calibri" w:hAnsi="Calibri" w:cs="Times New Roman"/>
        </w:rPr>
        <w:t>要求电子政务云上服务器系统平台采用linux系统。系统用户名及密码每个月需更换一次。每三个月需对系统检查加固。</w:t>
      </w:r>
    </w:p>
    <w:p>
      <w:pPr>
        <w:numPr>
          <w:ilvl w:val="0"/>
          <w:numId w:val="42"/>
        </w:numPr>
        <w:ind w:firstLine="480"/>
        <w:rPr>
          <w:rFonts w:ascii="Calibri" w:hAnsi="Calibri" w:cs="Times New Roman"/>
        </w:rPr>
      </w:pPr>
      <w:r>
        <w:rPr>
          <w:rFonts w:hint="eastAsia" w:ascii="Calibri" w:hAnsi="Calibri" w:cs="Times New Roman"/>
        </w:rPr>
        <w:t>敏感数据脱敏处理，所有数据全部加密存储和传输，保证数据安全。</w:t>
      </w:r>
    </w:p>
    <w:p>
      <w:pPr>
        <w:numPr>
          <w:ilvl w:val="0"/>
          <w:numId w:val="42"/>
        </w:numPr>
        <w:ind w:firstLine="480"/>
        <w:rPr>
          <w:rFonts w:ascii="Calibri" w:hAnsi="Calibri" w:cs="Times New Roman"/>
        </w:rPr>
      </w:pPr>
      <w:r>
        <w:rPr>
          <w:rFonts w:hint="eastAsia" w:ascii="Calibri" w:hAnsi="Calibri" w:cs="Times New Roman"/>
        </w:rPr>
        <w:t>授权访问，关闭超级用户远程连接权限，防止恶意攻击。</w:t>
      </w:r>
    </w:p>
    <w:p>
      <w:pPr>
        <w:ind w:firstLine="480"/>
        <w:rPr>
          <w:rFonts w:ascii="Calibri" w:hAnsi="Calibri" w:cs="Times New Roman"/>
        </w:rPr>
      </w:pPr>
      <w:r>
        <w:rPr>
          <w:rFonts w:hint="eastAsia" w:ascii="Calibri" w:hAnsi="Calibri" w:cs="Times New Roman"/>
        </w:rPr>
        <w:t>六、采用https协议传输数据，保证传输安全。</w:t>
      </w:r>
    </w:p>
    <w:p>
      <w:pPr>
        <w:ind w:firstLine="480"/>
        <w:rPr>
          <w:rFonts w:ascii="Calibri" w:hAnsi="Calibri" w:cs="Times New Roman"/>
        </w:rPr>
      </w:pPr>
      <w:r>
        <w:rPr>
          <w:rFonts w:hint="eastAsia" w:ascii="Calibri" w:hAnsi="Calibri" w:cs="Times New Roman"/>
        </w:rPr>
        <w:t>七、架设硬件防火墙、关闭服务器端口、安装DDoS攻击防护软件，引入入侵检测与防护机制、定时安全扫描等为服务器安全作出保障。</w:t>
      </w:r>
    </w:p>
    <w:p>
      <w:pPr>
        <w:ind w:firstLine="480"/>
        <w:rPr>
          <w:rFonts w:ascii="Calibri" w:hAnsi="Calibri" w:cs="Times New Roman"/>
        </w:rPr>
      </w:pPr>
      <w:r>
        <w:rPr>
          <w:rFonts w:hint="eastAsia" w:ascii="Calibri" w:hAnsi="Calibri" w:cs="Times New Roman"/>
        </w:rPr>
        <w:t>八、等保等级:需要等保三级。</w:t>
      </w:r>
    </w:p>
    <w:p>
      <w:pPr>
        <w:widowControl/>
        <w:ind w:firstLine="480"/>
        <w:jc w:val="left"/>
        <w:rPr>
          <w:rFonts w:ascii="Calibri" w:hAnsi="Calibri" w:cs="Times New Roman"/>
          <w:lang w:bidi="ar"/>
        </w:rPr>
        <w:sectPr>
          <w:footerReference r:id="rId9" w:type="default"/>
          <w:pgSz w:w="11906" w:h="16838"/>
          <w:pgMar w:top="1440" w:right="1587" w:bottom="1440" w:left="1587" w:header="851" w:footer="992" w:gutter="0"/>
          <w:cols w:space="720" w:num="1"/>
          <w:docGrid w:type="lines" w:linePitch="312" w:charSpace="0"/>
        </w:sectPr>
      </w:pPr>
    </w:p>
    <w:p>
      <w:pPr>
        <w:widowControl/>
        <w:ind w:firstLine="883"/>
        <w:jc w:val="center"/>
        <w:outlineLvl w:val="0"/>
        <w:rPr>
          <w:rFonts w:cs="Times New Roman"/>
          <w:b/>
          <w:bCs/>
        </w:rPr>
      </w:pPr>
      <w:bookmarkStart w:id="571" w:name="_Toc13132"/>
      <w:bookmarkStart w:id="572" w:name="_Toc32649"/>
      <w:bookmarkStart w:id="573" w:name="_Toc9330"/>
      <w:bookmarkStart w:id="574" w:name="_Toc79061692"/>
      <w:bookmarkStart w:id="575" w:name="_Toc3726"/>
      <w:bookmarkStart w:id="576" w:name="_Toc15901"/>
      <w:bookmarkStart w:id="577" w:name="_Toc23983"/>
      <w:bookmarkStart w:id="578" w:name="_Toc30971"/>
      <w:bookmarkStart w:id="579" w:name="_Toc729"/>
      <w:bookmarkStart w:id="580" w:name="_Toc21336"/>
      <w:bookmarkStart w:id="581" w:name="_Toc23126"/>
      <w:bookmarkStart w:id="582" w:name="_Toc28424"/>
      <w:bookmarkStart w:id="583" w:name="_Toc19966"/>
      <w:bookmarkStart w:id="584" w:name="_Toc13408"/>
      <w:bookmarkStart w:id="585" w:name="_Toc29442"/>
      <w:r>
        <w:rPr>
          <w:rFonts w:hint="eastAsia" w:cs="Times New Roman"/>
          <w:b/>
          <w:bCs/>
          <w:color w:val="000000"/>
          <w:kern w:val="0"/>
          <w:sz w:val="44"/>
          <w:szCs w:val="44"/>
          <w:lang w:bidi="ar"/>
        </w:rPr>
        <w:t>第五章 实施计划</w:t>
      </w:r>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p>
    <w:p>
      <w:pPr>
        <w:widowControl/>
        <w:jc w:val="left"/>
        <w:outlineLvl w:val="1"/>
        <w:rPr>
          <w:rFonts w:hint="eastAsia" w:cs="Times New Roman"/>
          <w:b/>
          <w:bCs/>
          <w:color w:val="000000"/>
          <w:kern w:val="0"/>
          <w:sz w:val="32"/>
          <w:szCs w:val="32"/>
          <w:lang w:bidi="ar"/>
        </w:rPr>
      </w:pPr>
      <w:bookmarkStart w:id="586" w:name="_Toc20425"/>
      <w:bookmarkStart w:id="587" w:name="_Toc4685"/>
      <w:bookmarkStart w:id="588" w:name="_Toc5278"/>
      <w:bookmarkStart w:id="589" w:name="_Toc4969"/>
      <w:bookmarkStart w:id="590" w:name="_Toc24040"/>
      <w:bookmarkStart w:id="591" w:name="_Toc23942"/>
      <w:bookmarkStart w:id="592" w:name="_Toc17003"/>
      <w:bookmarkStart w:id="593" w:name="_Toc7277"/>
      <w:bookmarkStart w:id="594" w:name="_Toc6131"/>
      <w:bookmarkStart w:id="595" w:name="_Toc13859"/>
      <w:bookmarkStart w:id="596" w:name="_Toc1985"/>
      <w:bookmarkStart w:id="597" w:name="_Toc10619"/>
      <w:bookmarkStart w:id="598" w:name="_Toc155"/>
      <w:bookmarkStart w:id="599" w:name="_Toc24149"/>
      <w:bookmarkStart w:id="600" w:name="_Toc27548"/>
      <w:bookmarkStart w:id="601" w:name="_Toc7007"/>
      <w:bookmarkStart w:id="602" w:name="_Toc29936"/>
      <w:bookmarkStart w:id="603" w:name="_Toc12699"/>
      <w:bookmarkStart w:id="604" w:name="_Toc17074"/>
      <w:bookmarkStart w:id="605" w:name="_Toc32355"/>
      <w:bookmarkStart w:id="606" w:name="_Toc79061693"/>
      <w:r>
        <w:rPr>
          <w:rFonts w:hint="eastAsia" w:cs="Times New Roman"/>
          <w:b/>
          <w:bCs/>
          <w:color w:val="000000"/>
          <w:kern w:val="0"/>
          <w:sz w:val="32"/>
          <w:szCs w:val="32"/>
          <w:lang w:bidi="ar"/>
        </w:rPr>
        <w:t>5.1 建设周期</w:t>
      </w:r>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r>
        <w:rPr>
          <w:rFonts w:hint="eastAsia" w:cs="Times New Roman"/>
          <w:b/>
          <w:bCs/>
          <w:color w:val="000000"/>
          <w:kern w:val="0"/>
          <w:sz w:val="32"/>
          <w:szCs w:val="32"/>
          <w:lang w:bidi="ar"/>
        </w:rPr>
        <w:t xml:space="preserve"> （180天）</w:t>
      </w:r>
      <w:bookmarkEnd w:id="604"/>
      <w:bookmarkEnd w:id="605"/>
      <w:bookmarkEnd w:id="606"/>
    </w:p>
    <w:p>
      <w:pPr>
        <w:widowControl/>
        <w:ind w:firstLine="480"/>
        <w:jc w:val="center"/>
        <w:rPr>
          <w:rFonts w:ascii="Calibri" w:hAnsi="Calibri" w:cs="Times New Roman"/>
        </w:rPr>
      </w:pPr>
      <w:bookmarkStart w:id="607" w:name="_Toc30084"/>
      <w:bookmarkStart w:id="608" w:name="_Toc7030"/>
      <w:bookmarkStart w:id="609" w:name="_Toc31742"/>
      <w:bookmarkStart w:id="610" w:name="_Toc10180"/>
      <w:bookmarkStart w:id="611" w:name="_Toc26963"/>
      <w:bookmarkStart w:id="612" w:name="_Toc14954"/>
      <w:bookmarkStart w:id="613" w:name="_Toc25250"/>
      <w:bookmarkStart w:id="614" w:name="_Toc30335"/>
      <w:bookmarkStart w:id="615" w:name="_Toc3452"/>
      <w:bookmarkStart w:id="616" w:name="_Toc776"/>
      <w:bookmarkStart w:id="617" w:name="_Toc1576"/>
      <w:r>
        <w:drawing>
          <wp:inline distT="0" distB="0" distL="114300" distR="114300">
            <wp:extent cx="7551420" cy="3580765"/>
            <wp:effectExtent l="0" t="0" r="5080" b="635"/>
            <wp:docPr id="1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3"/>
                    <pic:cNvPicPr>
                      <a:picLocks noChangeAspect="1"/>
                    </pic:cNvPicPr>
                  </pic:nvPicPr>
                  <pic:blipFill>
                    <a:blip r:embed="rId25"/>
                    <a:stretch>
                      <a:fillRect/>
                    </a:stretch>
                  </pic:blipFill>
                  <pic:spPr>
                    <a:xfrm>
                      <a:off x="0" y="0"/>
                      <a:ext cx="7551420" cy="3580765"/>
                    </a:xfrm>
                    <a:prstGeom prst="rect">
                      <a:avLst/>
                    </a:prstGeom>
                    <a:noFill/>
                    <a:ln>
                      <a:noFill/>
                    </a:ln>
                  </pic:spPr>
                </pic:pic>
              </a:graphicData>
            </a:graphic>
          </wp:inline>
        </w:drawing>
      </w:r>
      <w:bookmarkEnd w:id="607"/>
      <w:bookmarkEnd w:id="608"/>
      <w:bookmarkEnd w:id="609"/>
    </w:p>
    <w:p>
      <w:pPr>
        <w:pStyle w:val="14"/>
        <w:numPr>
          <w:ilvl w:val="0"/>
          <w:numId w:val="38"/>
        </w:numPr>
        <w:spacing w:before="163" w:after="163"/>
        <w:ind w:firstLine="480"/>
        <w:rPr>
          <w:rFonts w:ascii="宋体" w:hAnsi="宋体" w:eastAsia="宋体"/>
          <w:b/>
          <w:bCs/>
          <w:color w:val="000000"/>
          <w:kern w:val="0"/>
          <w:sz w:val="44"/>
          <w:szCs w:val="44"/>
          <w:lang w:bidi="ar"/>
        </w:rPr>
      </w:pPr>
      <w:r>
        <w:rPr>
          <w:rFonts w:hint="eastAsia" w:ascii="宋体" w:hAnsi="宋体" w:eastAsia="宋体"/>
          <w:szCs w:val="21"/>
        </w:rPr>
        <w:t>施工计划表</w:t>
      </w:r>
    </w:p>
    <w:p>
      <w:pPr>
        <w:pStyle w:val="4"/>
        <w:rPr>
          <w:rFonts w:ascii="Calibri" w:hAnsi="Calibri"/>
        </w:rPr>
        <w:sectPr>
          <w:pgSz w:w="16838" w:h="11906" w:orient="landscape"/>
          <w:pgMar w:top="1803" w:right="1440" w:bottom="1803" w:left="1440" w:header="851" w:footer="992" w:gutter="0"/>
          <w:cols w:space="720" w:num="1"/>
          <w:docGrid w:type="lines" w:linePitch="332" w:charSpace="0"/>
        </w:sectPr>
      </w:pPr>
    </w:p>
    <w:p>
      <w:pPr>
        <w:widowControl/>
        <w:jc w:val="left"/>
        <w:outlineLvl w:val="1"/>
        <w:rPr>
          <w:rFonts w:cs="Times New Roman"/>
          <w:b/>
          <w:bCs/>
          <w:color w:val="000000"/>
          <w:kern w:val="0"/>
          <w:sz w:val="32"/>
          <w:szCs w:val="32"/>
          <w:lang w:bidi="ar"/>
        </w:rPr>
      </w:pPr>
      <w:bookmarkStart w:id="618" w:name="_Toc6079"/>
      <w:bookmarkStart w:id="619" w:name="_Toc22795"/>
      <w:bookmarkStart w:id="620" w:name="_Toc14160"/>
      <w:bookmarkStart w:id="621" w:name="_Toc15029"/>
      <w:bookmarkStart w:id="622" w:name="_Toc18382"/>
      <w:bookmarkStart w:id="623" w:name="_Toc2384"/>
      <w:bookmarkStart w:id="624" w:name="_Toc5339"/>
      <w:bookmarkStart w:id="625" w:name="_Toc16861"/>
      <w:bookmarkStart w:id="626" w:name="_Toc79061694"/>
      <w:bookmarkStart w:id="627" w:name="_Toc11036"/>
      <w:bookmarkStart w:id="628" w:name="_Toc27832"/>
      <w:bookmarkStart w:id="629" w:name="_Toc8054"/>
      <w:bookmarkStart w:id="630" w:name="_Toc31508"/>
      <w:r>
        <w:rPr>
          <w:rFonts w:hint="eastAsia" w:cs="Times New Roman"/>
          <w:b/>
          <w:bCs/>
          <w:color w:val="000000"/>
          <w:kern w:val="0"/>
          <w:sz w:val="32"/>
          <w:szCs w:val="32"/>
          <w:lang w:bidi="ar"/>
        </w:rPr>
        <w:t>5.2 实施进度</w:t>
      </w:r>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r>
        <w:rPr>
          <w:rFonts w:hint="eastAsia" w:cs="Times New Roman"/>
          <w:b/>
          <w:bCs/>
          <w:color w:val="000000"/>
          <w:kern w:val="0"/>
          <w:sz w:val="32"/>
          <w:szCs w:val="32"/>
          <w:lang w:bidi="ar"/>
        </w:rPr>
        <w:t xml:space="preserve"> </w:t>
      </w:r>
    </w:p>
    <w:p>
      <w:pPr>
        <w:widowControl/>
        <w:jc w:val="left"/>
        <w:outlineLvl w:val="2"/>
        <w:rPr>
          <w:rFonts w:cs="Times New Roman"/>
          <w:b/>
          <w:bCs/>
          <w:kern w:val="0"/>
          <w:sz w:val="28"/>
          <w:szCs w:val="28"/>
          <w:lang w:bidi="ar"/>
        </w:rPr>
      </w:pPr>
      <w:bookmarkStart w:id="631" w:name="_Toc79061695"/>
      <w:r>
        <w:rPr>
          <w:rFonts w:hint="eastAsia" w:cs="Times New Roman"/>
          <w:b/>
          <w:bCs/>
          <w:kern w:val="0"/>
          <w:sz w:val="28"/>
          <w:szCs w:val="28"/>
          <w:lang w:bidi="ar"/>
        </w:rPr>
        <w:t>5.2.1进度安排</w:t>
      </w:r>
      <w:bookmarkEnd w:id="631"/>
    </w:p>
    <w:p>
      <w:pPr>
        <w:ind w:firstLine="420" w:firstLineChars="200"/>
        <w:rPr>
          <w:rFonts w:cs="Times New Roman"/>
          <w:szCs w:val="24"/>
        </w:rPr>
      </w:pPr>
      <w:r>
        <w:rPr>
          <w:rFonts w:hint="eastAsia" w:cs="Times New Roman"/>
          <w:szCs w:val="24"/>
        </w:rPr>
        <w:t>实施项目在合同签订5天后开启，为了使本项目能够按部就班、有条不紊地进行，项目实施分为实施前期、实施中期、实施后期。</w:t>
      </w:r>
    </w:p>
    <w:p>
      <w:pPr>
        <w:ind w:firstLine="420" w:firstLineChars="200"/>
        <w:rPr>
          <w:rFonts w:cs="Times New Roman"/>
          <w:szCs w:val="24"/>
        </w:rPr>
      </w:pPr>
      <w:r>
        <w:rPr>
          <w:rFonts w:hint="eastAsia" w:cs="Times New Roman"/>
          <w:szCs w:val="24"/>
        </w:rPr>
        <w:t>实施前期：设备订货--&gt;实施准备--&gt;安装环境查看--&gt;设备到货。</w:t>
      </w:r>
    </w:p>
    <w:p>
      <w:pPr>
        <w:ind w:firstLine="420" w:firstLineChars="200"/>
        <w:rPr>
          <w:rFonts w:cs="Times New Roman"/>
          <w:szCs w:val="24"/>
        </w:rPr>
      </w:pPr>
      <w:r>
        <w:rPr>
          <w:rFonts w:hint="eastAsia" w:cs="Times New Roman"/>
          <w:szCs w:val="24"/>
        </w:rPr>
        <w:t>实施中期：现场安装调试--&gt;现场培训--&gt;系统联调--&gt;系统试运行--&gt;系统验收 。</w:t>
      </w:r>
    </w:p>
    <w:p>
      <w:pPr>
        <w:ind w:firstLine="420" w:firstLineChars="200"/>
        <w:rPr>
          <w:rFonts w:cs="Times New Roman"/>
          <w:szCs w:val="24"/>
        </w:rPr>
      </w:pPr>
      <w:r>
        <w:rPr>
          <w:rFonts w:hint="eastAsia" w:cs="Times New Roman"/>
          <w:szCs w:val="24"/>
        </w:rPr>
        <w:t>实施后期：技术支持和售后服务。</w:t>
      </w:r>
    </w:p>
    <w:p>
      <w:pPr>
        <w:ind w:left="420" w:leftChars="200"/>
        <w:rPr>
          <w:rFonts w:cs="Times New Roman"/>
        </w:rPr>
      </w:pPr>
      <w:r>
        <w:rPr>
          <w:rFonts w:hint="eastAsia" w:cs="Times New Roman"/>
        </w:rPr>
        <w:t xml:space="preserve">        </w:t>
      </w:r>
      <w:r>
        <w:drawing>
          <wp:inline distT="0" distB="0" distL="114300" distR="114300">
            <wp:extent cx="3907790" cy="4358005"/>
            <wp:effectExtent l="0" t="0" r="3810" b="10795"/>
            <wp:docPr id="20" name="图片 4" descr="微信图片_20200420112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微信图片_20200420112541"/>
                    <pic:cNvPicPr>
                      <a:picLocks noChangeAspect="1"/>
                    </pic:cNvPicPr>
                  </pic:nvPicPr>
                  <pic:blipFill>
                    <a:blip r:embed="rId26"/>
                    <a:stretch>
                      <a:fillRect/>
                    </a:stretch>
                  </pic:blipFill>
                  <pic:spPr>
                    <a:xfrm>
                      <a:off x="0" y="0"/>
                      <a:ext cx="3907790" cy="4358005"/>
                    </a:xfrm>
                    <a:prstGeom prst="rect">
                      <a:avLst/>
                    </a:prstGeom>
                    <a:noFill/>
                    <a:ln>
                      <a:noFill/>
                    </a:ln>
                  </pic:spPr>
                </pic:pic>
              </a:graphicData>
            </a:graphic>
          </wp:inline>
        </w:drawing>
      </w:r>
    </w:p>
    <w:p>
      <w:pPr>
        <w:widowControl/>
        <w:jc w:val="left"/>
        <w:outlineLvl w:val="2"/>
        <w:rPr>
          <w:rFonts w:cs="Times New Roman"/>
          <w:b/>
          <w:bCs/>
          <w:kern w:val="0"/>
          <w:sz w:val="28"/>
          <w:szCs w:val="28"/>
          <w:lang w:bidi="ar"/>
        </w:rPr>
      </w:pPr>
      <w:bookmarkStart w:id="632" w:name="_Toc79061696"/>
      <w:bookmarkStart w:id="633" w:name="_Toc28210"/>
      <w:bookmarkStart w:id="634" w:name="_Toc15097"/>
      <w:bookmarkStart w:id="635" w:name="_Toc634"/>
      <w:bookmarkStart w:id="636" w:name="_Toc23334"/>
      <w:bookmarkStart w:id="637" w:name="_Toc25224"/>
      <w:bookmarkStart w:id="638" w:name="_Toc6948"/>
      <w:bookmarkStart w:id="639" w:name="_Toc30773"/>
      <w:bookmarkStart w:id="640" w:name="_Toc4529"/>
      <w:bookmarkStart w:id="641" w:name="_Toc15239"/>
      <w:bookmarkStart w:id="642" w:name="_Toc29743"/>
      <w:r>
        <w:rPr>
          <w:rFonts w:hint="eastAsia" w:cs="Times New Roman"/>
          <w:b/>
          <w:bCs/>
          <w:kern w:val="0"/>
          <w:sz w:val="28"/>
          <w:szCs w:val="28"/>
          <w:lang w:bidi="ar"/>
        </w:rPr>
        <w:t>5.2.2推进措施</w:t>
      </w:r>
      <w:bookmarkEnd w:id="632"/>
    </w:p>
    <w:p>
      <w:pPr>
        <w:ind w:firstLine="420" w:firstLineChars="200"/>
        <w:rPr>
          <w:rFonts w:cs="Times New Roman"/>
          <w:szCs w:val="24"/>
        </w:rPr>
      </w:pPr>
      <w:r>
        <w:rPr>
          <w:rFonts w:hint="eastAsia" w:cs="Times New Roman"/>
          <w:szCs w:val="24"/>
        </w:rPr>
        <w:t xml:space="preserve">项目实施过程中不可避免会出现各种各样的问题，考虑到这一情况，在系统设计时増加了对系统关键环节、关键设备的技术分析和保障措施。 </w:t>
      </w:r>
    </w:p>
    <w:p>
      <w:pPr>
        <w:rPr>
          <w:rFonts w:cs="Times New Roman"/>
          <w:szCs w:val="24"/>
        </w:rPr>
      </w:pPr>
      <w:r>
        <w:rPr>
          <w:rFonts w:hint="eastAsia" w:cs="Times New Roman"/>
        </w:rPr>
        <w:t xml:space="preserve">   </w:t>
      </w:r>
      <w:r>
        <w:rPr>
          <w:rFonts w:hint="eastAsia" w:cs="Times New Roman"/>
          <w:szCs w:val="24"/>
        </w:rPr>
        <w:t xml:space="preserve"> 管线和挂接件预埋：预埋管线的工作几乎是无法更改的，预埋前一定要认真地分析设计，明确设备的数量、位置、供电情况及控制方式，在此基础上提出准确的管线数量、口径和走向。</w:t>
      </w:r>
    </w:p>
    <w:p>
      <w:pPr>
        <w:ind w:firstLine="480"/>
        <w:rPr>
          <w:rFonts w:cs="Times New Roman"/>
          <w:szCs w:val="24"/>
        </w:rPr>
      </w:pPr>
      <w:r>
        <w:rPr>
          <w:rFonts w:hint="eastAsia" w:cs="Times New Roman"/>
          <w:szCs w:val="24"/>
        </w:rPr>
        <w:t>线缆铺设：铺设线缆要掌握合理的方法，要在铺设时认真对线缆进行检查，外皮是否破裂，屏蔽层是否损坏以及芯线是否断裂等等。一定要在铺设的线缆上做好明显的标记，以备安装设备和日后检修时使用。保护地线必须采用三相五线制中的第5根线，并与交流电源的零线严格分开。接地系统应采用单点接地的方式。信号地、机壳地、电源告警地、防静电地等均应分别用导线经接地排一点接至接地体。</w:t>
      </w:r>
    </w:p>
    <w:p>
      <w:pPr>
        <w:ind w:firstLine="480"/>
        <w:rPr>
          <w:rFonts w:cs="Times New Roman"/>
          <w:szCs w:val="24"/>
        </w:rPr>
      </w:pPr>
      <w:r>
        <w:rPr>
          <w:rFonts w:hint="eastAsia" w:cs="Times New Roman"/>
          <w:szCs w:val="24"/>
        </w:rPr>
        <w:t>设备安装：设备的安装必须在装饰完工、线绕铺设正确后进行。设备安装前应该认真阅读产品说明书，以掌握正确的安装方法、步骤。设备安装要牢固，保护措施要完备。</w:t>
      </w:r>
    </w:p>
    <w:p>
      <w:pPr>
        <w:ind w:firstLine="480"/>
        <w:rPr>
          <w:rFonts w:cs="Times New Roman"/>
          <w:szCs w:val="24"/>
        </w:rPr>
      </w:pPr>
      <w:bookmarkStart w:id="643" w:name="_Toc18350"/>
      <w:bookmarkStart w:id="644" w:name="_Toc14881"/>
      <w:bookmarkStart w:id="645" w:name="_Toc7667"/>
      <w:bookmarkStart w:id="646" w:name="_Toc19969"/>
      <w:bookmarkStart w:id="647" w:name="_Toc11642"/>
      <w:bookmarkStart w:id="648" w:name="_Toc23855"/>
      <w:bookmarkStart w:id="649" w:name="_Toc28671"/>
      <w:bookmarkStart w:id="650" w:name="_Toc13734"/>
      <w:bookmarkStart w:id="651" w:name="_Toc13158"/>
      <w:bookmarkStart w:id="652" w:name="_Toc17695"/>
      <w:r>
        <w:rPr>
          <w:rFonts w:hint="eastAsia" w:cs="Times New Roman"/>
          <w:szCs w:val="24"/>
        </w:rPr>
        <w:t>线路连接：在线路的连接时，要求方式必须确保在无电状态下进行;施工符合电器安装规范;各种插接件，工程中需要各种线材的数量非常大，要谨慎仔细，线路中所有的火线，零线，地线及屏蔽线的连接必须准确无误。</w:t>
      </w:r>
      <w:bookmarkEnd w:id="643"/>
      <w:bookmarkEnd w:id="644"/>
      <w:bookmarkEnd w:id="645"/>
      <w:bookmarkEnd w:id="646"/>
      <w:bookmarkEnd w:id="647"/>
      <w:bookmarkEnd w:id="648"/>
      <w:bookmarkEnd w:id="649"/>
      <w:bookmarkEnd w:id="650"/>
      <w:bookmarkEnd w:id="651"/>
      <w:bookmarkEnd w:id="652"/>
    </w:p>
    <w:p>
      <w:pPr>
        <w:ind w:firstLine="480"/>
        <w:rPr>
          <w:rFonts w:cs="Times New Roman"/>
          <w:szCs w:val="24"/>
        </w:rPr>
      </w:pPr>
      <w:bookmarkStart w:id="653" w:name="_Toc15771"/>
      <w:bookmarkStart w:id="654" w:name="_Toc1567"/>
      <w:bookmarkStart w:id="655" w:name="_Toc21650"/>
      <w:bookmarkStart w:id="656" w:name="_Toc15640"/>
      <w:bookmarkStart w:id="657" w:name="_Toc30587"/>
      <w:bookmarkStart w:id="658" w:name="_Toc7600"/>
      <w:bookmarkStart w:id="659" w:name="_Toc31202"/>
      <w:bookmarkStart w:id="660" w:name="_Toc31102"/>
      <w:bookmarkStart w:id="661" w:name="_Toc22521"/>
      <w:bookmarkStart w:id="662" w:name="_Toc11272"/>
      <w:r>
        <w:rPr>
          <w:rFonts w:hint="eastAsia" w:cs="Times New Roman"/>
          <w:szCs w:val="24"/>
        </w:rPr>
        <w:t>通电前检査：细致的检查是有必要的，一般的检查包括设备安装安全性，供电线路是否合理，各插接件的连接是否正确等，另外还有一个重要的检查项目就是:仔细检查每一件设备的状态设置是否满足设计要求，这点绝对不能忘记，否则极易造成设备损坏。</w:t>
      </w:r>
      <w:bookmarkEnd w:id="653"/>
      <w:bookmarkEnd w:id="654"/>
      <w:bookmarkEnd w:id="655"/>
      <w:bookmarkEnd w:id="656"/>
      <w:bookmarkEnd w:id="657"/>
      <w:bookmarkEnd w:id="658"/>
      <w:bookmarkEnd w:id="659"/>
      <w:bookmarkEnd w:id="660"/>
      <w:bookmarkEnd w:id="661"/>
      <w:bookmarkEnd w:id="662"/>
    </w:p>
    <w:p>
      <w:pPr>
        <w:ind w:firstLine="480"/>
        <w:jc w:val="left"/>
        <w:rPr>
          <w:rFonts w:cs="Times New Roman"/>
          <w:szCs w:val="24"/>
        </w:rPr>
      </w:pPr>
      <w:r>
        <w:rPr>
          <w:rFonts w:hint="eastAsia" w:cs="Times New Roman"/>
          <w:szCs w:val="24"/>
        </w:rPr>
        <w:t>特別是设计了相应的预防措施，努力做到以预防为主。</w:t>
      </w:r>
      <w:r>
        <w:rPr>
          <w:rFonts w:cs="Times New Roman"/>
          <w:szCs w:val="24"/>
        </w:rPr>
        <w:tab/>
      </w:r>
    </w:p>
    <w:p>
      <w:pPr>
        <w:widowControl/>
        <w:jc w:val="center"/>
        <w:rPr>
          <w:rFonts w:cs="Times New Roman"/>
          <w:b/>
          <w:bCs/>
          <w:color w:val="000000"/>
          <w:kern w:val="0"/>
          <w:sz w:val="44"/>
          <w:szCs w:val="44"/>
          <w:lang w:bidi="ar"/>
        </w:rPr>
      </w:pPr>
    </w:p>
    <w:p>
      <w:pPr>
        <w:widowControl/>
        <w:jc w:val="center"/>
        <w:outlineLvl w:val="0"/>
        <w:rPr>
          <w:rFonts w:cs="Times New Roman"/>
          <w:b/>
          <w:bCs/>
        </w:rPr>
      </w:pPr>
      <w:bookmarkStart w:id="663" w:name="_Toc24105"/>
      <w:bookmarkStart w:id="664" w:name="_Toc17901"/>
      <w:bookmarkStart w:id="665" w:name="_Toc9093"/>
      <w:bookmarkStart w:id="666" w:name="_Toc79061697"/>
      <w:bookmarkStart w:id="667" w:name="_Toc29906"/>
      <w:bookmarkStart w:id="668" w:name="_Toc12464"/>
      <w:bookmarkStart w:id="669" w:name="_Toc27110"/>
      <w:bookmarkStart w:id="670" w:name="_Toc31716"/>
      <w:bookmarkStart w:id="671" w:name="_Toc31104"/>
      <w:bookmarkStart w:id="672" w:name="_Toc24438"/>
      <w:bookmarkStart w:id="673" w:name="_Toc27781"/>
      <w:r>
        <w:rPr>
          <w:rFonts w:hint="eastAsia" w:cs="Times New Roman"/>
          <w:b/>
          <w:bCs/>
          <w:color w:val="000000"/>
          <w:kern w:val="0"/>
          <w:sz w:val="44"/>
          <w:szCs w:val="44"/>
          <w:lang w:bidi="ar"/>
        </w:rPr>
        <w:t>第六章 人员培训</w:t>
      </w:r>
      <w:bookmarkEnd w:id="633"/>
      <w:bookmarkEnd w:id="634"/>
      <w:bookmarkEnd w:id="635"/>
      <w:bookmarkEnd w:id="636"/>
      <w:bookmarkEnd w:id="637"/>
      <w:bookmarkEnd w:id="638"/>
      <w:bookmarkEnd w:id="639"/>
      <w:bookmarkEnd w:id="640"/>
      <w:bookmarkEnd w:id="641"/>
      <w:bookmarkEnd w:id="642"/>
      <w:bookmarkEnd w:id="663"/>
      <w:bookmarkEnd w:id="664"/>
      <w:bookmarkEnd w:id="665"/>
      <w:bookmarkEnd w:id="666"/>
      <w:bookmarkEnd w:id="667"/>
      <w:bookmarkEnd w:id="668"/>
      <w:bookmarkEnd w:id="669"/>
      <w:bookmarkEnd w:id="670"/>
      <w:bookmarkEnd w:id="671"/>
      <w:bookmarkEnd w:id="672"/>
      <w:bookmarkEnd w:id="673"/>
    </w:p>
    <w:p>
      <w:pPr>
        <w:widowControl/>
        <w:jc w:val="left"/>
        <w:outlineLvl w:val="1"/>
        <w:rPr>
          <w:rFonts w:cs="Times New Roman"/>
          <w:b/>
          <w:bCs/>
          <w:color w:val="000000"/>
          <w:kern w:val="0"/>
          <w:sz w:val="32"/>
          <w:szCs w:val="32"/>
          <w:lang w:bidi="ar"/>
        </w:rPr>
      </w:pPr>
      <w:bookmarkStart w:id="674" w:name="_Toc27364"/>
      <w:bookmarkStart w:id="675" w:name="_Toc18469"/>
      <w:bookmarkStart w:id="676" w:name="_Toc10871"/>
      <w:bookmarkStart w:id="677" w:name="_Toc28658"/>
      <w:bookmarkStart w:id="678" w:name="_Toc3521"/>
      <w:bookmarkStart w:id="679" w:name="_Toc9307"/>
      <w:bookmarkStart w:id="680" w:name="_Toc4978"/>
      <w:bookmarkStart w:id="681" w:name="_Toc22211"/>
      <w:bookmarkStart w:id="682" w:name="_Toc12818"/>
      <w:bookmarkStart w:id="683" w:name="_Toc28020"/>
      <w:bookmarkStart w:id="684" w:name="_Toc3568"/>
      <w:bookmarkStart w:id="685" w:name="_Toc28289"/>
      <w:bookmarkStart w:id="686" w:name="_Toc79061698"/>
      <w:bookmarkStart w:id="687" w:name="_Toc21657"/>
      <w:bookmarkStart w:id="688" w:name="_Toc19184"/>
      <w:bookmarkStart w:id="689" w:name="_Toc7797"/>
      <w:bookmarkStart w:id="690" w:name="_Toc5705"/>
      <w:bookmarkStart w:id="691" w:name="_Toc13393"/>
      <w:bookmarkStart w:id="692" w:name="_Toc8351"/>
      <w:bookmarkStart w:id="693" w:name="_Toc25654"/>
      <w:r>
        <w:rPr>
          <w:rFonts w:hint="eastAsia" w:cs="Times New Roman"/>
          <w:b/>
          <w:bCs/>
          <w:color w:val="000000"/>
          <w:kern w:val="0"/>
          <w:sz w:val="32"/>
          <w:szCs w:val="32"/>
          <w:lang w:bidi="ar"/>
        </w:rPr>
        <w:t>6.1培训计划</w:t>
      </w:r>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p>
    <w:p>
      <w:pPr>
        <w:ind w:firstLine="480"/>
        <w:rPr>
          <w:rFonts w:cs="Times New Roman"/>
          <w:szCs w:val="24"/>
        </w:rPr>
      </w:pPr>
      <w:bookmarkStart w:id="694" w:name="_Toc5796"/>
      <w:bookmarkStart w:id="695" w:name="_Toc26209"/>
      <w:bookmarkStart w:id="696" w:name="_Toc21050"/>
      <w:bookmarkStart w:id="697" w:name="_Toc24143"/>
      <w:bookmarkStart w:id="698" w:name="_Toc28845"/>
      <w:bookmarkStart w:id="699" w:name="_Toc31256"/>
      <w:bookmarkStart w:id="700" w:name="_Toc31460"/>
      <w:bookmarkStart w:id="701" w:name="_Toc11978"/>
      <w:bookmarkStart w:id="702" w:name="_Toc23654"/>
      <w:r>
        <w:rPr>
          <w:rFonts w:hint="eastAsia" w:cs="Times New Roman"/>
          <w:szCs w:val="24"/>
        </w:rPr>
        <w:t>项目启动后，组织面向系统管理员的培训。分别是安装现场培训、集中培训具体地点及时间实施完成调试好。通过此次培训，使得系统维护人员可以了解规划原理、系统设备工作原理、技术性能、软硬件维护技能等，并能系统的操作和维护。</w:t>
      </w:r>
      <w:bookmarkEnd w:id="694"/>
      <w:bookmarkEnd w:id="695"/>
      <w:bookmarkEnd w:id="696"/>
      <w:bookmarkEnd w:id="697"/>
      <w:bookmarkEnd w:id="698"/>
      <w:bookmarkEnd w:id="699"/>
      <w:bookmarkEnd w:id="700"/>
      <w:bookmarkEnd w:id="701"/>
      <w:bookmarkEnd w:id="702"/>
    </w:p>
    <w:p>
      <w:pPr>
        <w:widowControl/>
        <w:jc w:val="left"/>
        <w:outlineLvl w:val="1"/>
        <w:rPr>
          <w:rFonts w:cs="Times New Roman"/>
          <w:color w:val="000000"/>
          <w:kern w:val="0"/>
          <w:sz w:val="32"/>
          <w:szCs w:val="32"/>
          <w:lang w:bidi="ar"/>
        </w:rPr>
      </w:pPr>
      <w:bookmarkStart w:id="703" w:name="_Toc20557"/>
      <w:bookmarkStart w:id="704" w:name="_Toc20171"/>
      <w:bookmarkStart w:id="705" w:name="_Toc2741"/>
      <w:bookmarkStart w:id="706" w:name="_Toc17092"/>
      <w:bookmarkStart w:id="707" w:name="_Toc12444"/>
      <w:bookmarkStart w:id="708" w:name="_Toc79061699"/>
      <w:bookmarkStart w:id="709" w:name="_Toc27007"/>
      <w:bookmarkStart w:id="710" w:name="_Toc31723"/>
      <w:bookmarkStart w:id="711" w:name="_Toc24637"/>
      <w:bookmarkStart w:id="712" w:name="_Toc26370"/>
      <w:bookmarkStart w:id="713" w:name="_Toc14923"/>
      <w:bookmarkStart w:id="714" w:name="_Toc22712"/>
      <w:bookmarkStart w:id="715" w:name="_Toc26567"/>
      <w:bookmarkStart w:id="716" w:name="_Toc11090"/>
      <w:bookmarkStart w:id="717" w:name="_Toc18326"/>
      <w:bookmarkStart w:id="718" w:name="_Toc9002"/>
      <w:bookmarkStart w:id="719" w:name="_Toc19741"/>
      <w:bookmarkStart w:id="720" w:name="_Toc10271"/>
      <w:bookmarkStart w:id="721" w:name="_Toc30466"/>
      <w:bookmarkStart w:id="722" w:name="_Toc29448"/>
      <w:r>
        <w:rPr>
          <w:rFonts w:hint="eastAsia" w:cs="Times New Roman"/>
          <w:b/>
          <w:bCs/>
          <w:color w:val="000000"/>
          <w:kern w:val="0"/>
          <w:sz w:val="32"/>
          <w:szCs w:val="32"/>
          <w:lang w:bidi="ar"/>
        </w:rPr>
        <w:t>6.2培训内容</w:t>
      </w:r>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pPr>
        <w:widowControl/>
        <w:jc w:val="left"/>
        <w:outlineLvl w:val="2"/>
        <w:rPr>
          <w:rFonts w:cs="Times New Roman"/>
          <w:b/>
          <w:bCs/>
          <w:kern w:val="0"/>
          <w:sz w:val="28"/>
          <w:szCs w:val="28"/>
          <w:lang w:bidi="ar"/>
        </w:rPr>
      </w:pPr>
      <w:bookmarkStart w:id="723" w:name="_Toc17186"/>
      <w:bookmarkStart w:id="724" w:name="_Toc2483"/>
      <w:bookmarkStart w:id="725" w:name="_Toc1454"/>
      <w:bookmarkStart w:id="726" w:name="_Toc69"/>
      <w:bookmarkStart w:id="727" w:name="_Toc11281"/>
      <w:bookmarkStart w:id="728" w:name="_Toc18177"/>
      <w:bookmarkStart w:id="729" w:name="_Toc26842"/>
      <w:bookmarkStart w:id="730" w:name="_Toc79061700"/>
      <w:bookmarkStart w:id="731" w:name="_Toc23075"/>
      <w:bookmarkStart w:id="732" w:name="_Toc15518"/>
      <w:bookmarkStart w:id="733" w:name="_Toc31073"/>
      <w:r>
        <w:rPr>
          <w:rFonts w:hint="eastAsia" w:cs="Times New Roman"/>
          <w:b/>
          <w:bCs/>
          <w:kern w:val="0"/>
          <w:sz w:val="28"/>
          <w:szCs w:val="28"/>
          <w:lang w:bidi="ar"/>
        </w:rPr>
        <w:t>6.2.1理论知识</w:t>
      </w:r>
      <w:bookmarkEnd w:id="723"/>
      <w:bookmarkEnd w:id="724"/>
      <w:bookmarkEnd w:id="725"/>
      <w:bookmarkEnd w:id="726"/>
      <w:bookmarkEnd w:id="727"/>
      <w:bookmarkEnd w:id="728"/>
      <w:bookmarkEnd w:id="729"/>
      <w:bookmarkEnd w:id="730"/>
      <w:bookmarkEnd w:id="731"/>
      <w:bookmarkEnd w:id="732"/>
      <w:bookmarkEnd w:id="733"/>
    </w:p>
    <w:p>
      <w:pPr>
        <w:rPr>
          <w:rFonts w:cs="Times New Roman"/>
          <w:szCs w:val="24"/>
        </w:rPr>
      </w:pPr>
      <w:r>
        <w:rPr>
          <w:rFonts w:hint="eastAsia" w:cs="Times New Roman"/>
          <w:szCs w:val="24"/>
        </w:rPr>
        <w:t>（1）系统理论培训</w:t>
      </w:r>
    </w:p>
    <w:p>
      <w:pPr>
        <w:rPr>
          <w:rFonts w:cs="Times New Roman"/>
          <w:szCs w:val="24"/>
        </w:rPr>
      </w:pPr>
      <w:r>
        <w:rPr>
          <w:rFonts w:hint="eastAsia" w:cs="Times New Roman"/>
          <w:szCs w:val="24"/>
        </w:rPr>
        <w:t>（2）系统内设备的连接方式</w:t>
      </w:r>
    </w:p>
    <w:p>
      <w:pPr>
        <w:rPr>
          <w:rFonts w:cs="Times New Roman"/>
          <w:szCs w:val="24"/>
        </w:rPr>
      </w:pPr>
      <w:r>
        <w:rPr>
          <w:rFonts w:hint="eastAsia" w:cs="Times New Roman"/>
          <w:szCs w:val="24"/>
        </w:rPr>
        <w:t>（3）系统内设备的操作</w:t>
      </w:r>
    </w:p>
    <w:p>
      <w:pPr>
        <w:rPr>
          <w:rFonts w:cs="Times New Roman"/>
          <w:szCs w:val="24"/>
        </w:rPr>
      </w:pPr>
      <w:r>
        <w:rPr>
          <w:rFonts w:hint="eastAsia" w:cs="Times New Roman"/>
          <w:szCs w:val="24"/>
        </w:rPr>
        <w:t>（4）系统內设备的故障排除系统内设备的软件维护</w:t>
      </w:r>
    </w:p>
    <w:p>
      <w:pPr>
        <w:rPr>
          <w:rFonts w:cs="Times New Roman"/>
          <w:szCs w:val="24"/>
        </w:rPr>
      </w:pPr>
      <w:r>
        <w:rPr>
          <w:rFonts w:hint="eastAsia" w:cs="Times New Roman"/>
          <w:szCs w:val="24"/>
        </w:rPr>
        <w:t>（5）系统內设备的故障排除</w:t>
      </w:r>
      <w:bookmarkStart w:id="734" w:name="_Toc12842"/>
      <w:bookmarkStart w:id="735" w:name="_Toc19746"/>
      <w:bookmarkStart w:id="736" w:name="_Toc22038"/>
      <w:bookmarkStart w:id="737" w:name="_Toc27113"/>
      <w:bookmarkStart w:id="738" w:name="_Toc325"/>
      <w:bookmarkStart w:id="739" w:name="_Toc28646"/>
      <w:bookmarkStart w:id="740" w:name="_Toc10877"/>
    </w:p>
    <w:p>
      <w:pPr>
        <w:widowControl/>
        <w:jc w:val="left"/>
        <w:outlineLvl w:val="2"/>
        <w:rPr>
          <w:rFonts w:cs="Times New Roman"/>
          <w:b/>
          <w:bCs/>
          <w:kern w:val="0"/>
          <w:sz w:val="28"/>
          <w:szCs w:val="28"/>
          <w:lang w:bidi="ar"/>
        </w:rPr>
      </w:pPr>
      <w:bookmarkStart w:id="741" w:name="_Toc32343"/>
      <w:bookmarkStart w:id="742" w:name="_Toc18694"/>
      <w:bookmarkStart w:id="743" w:name="_Toc2133"/>
      <w:bookmarkStart w:id="744" w:name="_Toc79061701"/>
      <w:r>
        <w:rPr>
          <w:rFonts w:hint="eastAsia" w:cs="Times New Roman"/>
          <w:b/>
          <w:bCs/>
          <w:kern w:val="0"/>
          <w:sz w:val="28"/>
          <w:szCs w:val="28"/>
          <w:lang w:bidi="ar"/>
        </w:rPr>
        <w:t>6.2.2系统设备操作</w:t>
      </w:r>
      <w:bookmarkEnd w:id="734"/>
      <w:bookmarkEnd w:id="735"/>
      <w:bookmarkEnd w:id="736"/>
      <w:bookmarkEnd w:id="737"/>
      <w:bookmarkEnd w:id="738"/>
      <w:bookmarkEnd w:id="739"/>
      <w:bookmarkEnd w:id="740"/>
      <w:bookmarkEnd w:id="741"/>
      <w:bookmarkEnd w:id="742"/>
      <w:bookmarkEnd w:id="743"/>
      <w:bookmarkEnd w:id="744"/>
    </w:p>
    <w:p>
      <w:pPr>
        <w:rPr>
          <w:rFonts w:cs="Times New Roman"/>
          <w:szCs w:val="24"/>
        </w:rPr>
      </w:pPr>
      <w:r>
        <w:rPr>
          <w:rFonts w:hint="eastAsia" w:cs="Times New Roman"/>
          <w:szCs w:val="24"/>
        </w:rPr>
        <w:t>（1）系统设备的连接</w:t>
      </w:r>
    </w:p>
    <w:p>
      <w:pPr>
        <w:rPr>
          <w:rFonts w:cs="Times New Roman"/>
          <w:szCs w:val="24"/>
        </w:rPr>
      </w:pPr>
      <w:r>
        <w:rPr>
          <w:rFonts w:hint="eastAsia" w:cs="Times New Roman"/>
          <w:szCs w:val="24"/>
        </w:rPr>
        <w:t>（2）系统内设备的配置</w:t>
      </w:r>
    </w:p>
    <w:p>
      <w:pPr>
        <w:rPr>
          <w:rFonts w:cs="Times New Roman"/>
          <w:szCs w:val="24"/>
        </w:rPr>
      </w:pPr>
      <w:r>
        <w:rPr>
          <w:rFonts w:hint="eastAsia" w:cs="Times New Roman"/>
          <w:szCs w:val="24"/>
        </w:rPr>
        <w:t>（3）系统内设备的操作</w:t>
      </w:r>
    </w:p>
    <w:p>
      <w:pPr>
        <w:widowControl/>
        <w:spacing w:line="400" w:lineRule="exact"/>
        <w:rPr>
          <w:rFonts w:hint="eastAsia" w:cs="Times New Roman"/>
          <w:szCs w:val="24"/>
        </w:rPr>
      </w:pPr>
      <w:r>
        <w:rPr>
          <w:rFonts w:hint="eastAsia" w:cs="Times New Roman"/>
          <w:szCs w:val="24"/>
        </w:rPr>
        <w:t>（4）系统內设备的维护</w:t>
      </w:r>
      <w:bookmarkStart w:id="745" w:name="_Toc21100"/>
      <w:bookmarkStart w:id="746" w:name="_Toc9145"/>
      <w:bookmarkStart w:id="747" w:name="_Toc8487"/>
      <w:bookmarkStart w:id="748" w:name="_Toc15569"/>
      <w:bookmarkStart w:id="749" w:name="_Toc2880"/>
      <w:bookmarkStart w:id="750" w:name="_Toc28041"/>
      <w:bookmarkStart w:id="751" w:name="_Toc12600"/>
      <w:bookmarkStart w:id="752" w:name="_Toc11241"/>
      <w:bookmarkStart w:id="753" w:name="_Toc27557"/>
    </w:p>
    <w:p>
      <w:pPr>
        <w:pStyle w:val="4"/>
        <w:spacing w:line="400" w:lineRule="exact"/>
        <w:ind w:left="0" w:firstLine="0"/>
        <w:rPr>
          <w:rFonts w:hint="eastAsia"/>
          <w:kern w:val="0"/>
          <w:lang w:val="en-US" w:eastAsia="zh-CN" w:bidi="ar"/>
        </w:rPr>
      </w:pPr>
      <w:bookmarkStart w:id="754" w:name="_Toc79061702"/>
      <w:bookmarkStart w:id="755" w:name="_Toc14844"/>
      <w:r>
        <w:rPr>
          <w:rFonts w:hint="eastAsia"/>
          <w:kern w:val="0"/>
          <w:lang w:val="en-US" w:eastAsia="zh-CN" w:bidi="ar"/>
        </w:rPr>
        <w:t>6.2.3其他</w:t>
      </w:r>
      <w:bookmarkEnd w:id="754"/>
      <w:bookmarkEnd w:id="755"/>
    </w:p>
    <w:p>
      <w:pPr>
        <w:ind w:firstLine="420" w:firstLineChars="200"/>
        <w:rPr>
          <w:rFonts w:hint="eastAsia" w:cs="Times New Roman"/>
          <w:szCs w:val="24"/>
        </w:rPr>
      </w:pPr>
      <w:r>
        <w:rPr>
          <w:rFonts w:hint="eastAsia" w:cs="Times New Roman"/>
          <w:szCs w:val="24"/>
        </w:rPr>
        <w:t>服务期限内，成交投标人针对本项目的设备使用对采购人提供总共不少于一次培训。</w:t>
      </w:r>
    </w:p>
    <w:p>
      <w:pPr>
        <w:widowControl/>
        <w:jc w:val="center"/>
        <w:outlineLvl w:val="0"/>
        <w:rPr>
          <w:rFonts w:cs="Times New Roman"/>
        </w:rPr>
      </w:pPr>
      <w:bookmarkStart w:id="756" w:name="_Toc19924"/>
      <w:bookmarkStart w:id="757" w:name="_Toc1041"/>
      <w:bookmarkStart w:id="758" w:name="_Toc30654"/>
      <w:bookmarkStart w:id="759" w:name="_Toc20283"/>
      <w:bookmarkStart w:id="760" w:name="_Toc27119"/>
      <w:bookmarkStart w:id="761" w:name="_Toc21400"/>
      <w:bookmarkStart w:id="762" w:name="_Toc25473"/>
      <w:bookmarkStart w:id="763" w:name="_Toc9159"/>
      <w:bookmarkStart w:id="764" w:name="_Toc31208"/>
      <w:bookmarkStart w:id="765" w:name="_Toc5814"/>
      <w:bookmarkStart w:id="766" w:name="_Toc26726"/>
      <w:bookmarkStart w:id="767" w:name="_Toc79061703"/>
      <w:r>
        <w:rPr>
          <w:rFonts w:hint="eastAsia" w:cs="Times New Roman"/>
          <w:b/>
          <w:bCs/>
          <w:color w:val="000000"/>
          <w:kern w:val="0"/>
          <w:sz w:val="44"/>
          <w:szCs w:val="44"/>
          <w:lang w:bidi="ar"/>
        </w:rPr>
        <w:t>第七章 运行维护</w:t>
      </w:r>
      <w:bookmarkEnd w:id="745"/>
      <w:bookmarkEnd w:id="746"/>
      <w:bookmarkEnd w:id="747"/>
      <w:bookmarkEnd w:id="748"/>
      <w:bookmarkEnd w:id="749"/>
      <w:bookmarkEnd w:id="750"/>
      <w:bookmarkEnd w:id="751"/>
      <w:bookmarkEnd w:id="752"/>
      <w:bookmarkEnd w:id="753"/>
      <w:bookmarkEnd w:id="756"/>
      <w:bookmarkEnd w:id="757"/>
      <w:bookmarkEnd w:id="758"/>
      <w:bookmarkEnd w:id="759"/>
      <w:bookmarkEnd w:id="760"/>
      <w:bookmarkEnd w:id="761"/>
      <w:bookmarkEnd w:id="762"/>
      <w:bookmarkEnd w:id="763"/>
      <w:bookmarkEnd w:id="764"/>
      <w:bookmarkEnd w:id="765"/>
      <w:bookmarkEnd w:id="766"/>
      <w:bookmarkEnd w:id="767"/>
    </w:p>
    <w:p>
      <w:pPr>
        <w:widowControl/>
        <w:jc w:val="left"/>
        <w:outlineLvl w:val="1"/>
        <w:rPr>
          <w:rFonts w:cs="Times New Roman"/>
          <w:b/>
          <w:bCs/>
          <w:color w:val="000000"/>
          <w:kern w:val="0"/>
          <w:sz w:val="32"/>
          <w:szCs w:val="32"/>
          <w:lang w:bidi="ar"/>
        </w:rPr>
      </w:pPr>
      <w:bookmarkStart w:id="768" w:name="_Toc934"/>
      <w:bookmarkStart w:id="769" w:name="_Toc16032"/>
      <w:bookmarkStart w:id="770" w:name="_Toc6416"/>
      <w:bookmarkStart w:id="771" w:name="_Toc25594"/>
      <w:bookmarkStart w:id="772" w:name="_Toc23714"/>
      <w:bookmarkStart w:id="773" w:name="_Toc16761"/>
      <w:bookmarkStart w:id="774" w:name="_Toc14658"/>
      <w:bookmarkStart w:id="775" w:name="_Toc79061704"/>
      <w:bookmarkStart w:id="776" w:name="_Toc22319"/>
      <w:bookmarkStart w:id="777" w:name="_Toc17580"/>
      <w:bookmarkStart w:id="778" w:name="_Toc24367"/>
      <w:bookmarkStart w:id="779" w:name="_Toc28033"/>
      <w:bookmarkStart w:id="780" w:name="_Toc7785"/>
      <w:bookmarkStart w:id="781" w:name="_Toc10382"/>
      <w:bookmarkStart w:id="782" w:name="_Toc3965"/>
      <w:bookmarkStart w:id="783" w:name="_Toc7055"/>
      <w:bookmarkStart w:id="784" w:name="_Toc5875"/>
      <w:bookmarkStart w:id="785" w:name="_Toc26232"/>
      <w:bookmarkStart w:id="786" w:name="_Toc8444"/>
      <w:bookmarkStart w:id="787" w:name="_Toc28562"/>
      <w:bookmarkStart w:id="788" w:name="_Toc28664"/>
      <w:r>
        <w:rPr>
          <w:rFonts w:hint="eastAsia" w:cs="Times New Roman"/>
          <w:b/>
          <w:bCs/>
          <w:color w:val="000000"/>
          <w:kern w:val="0"/>
          <w:sz w:val="32"/>
          <w:szCs w:val="32"/>
          <w:lang w:bidi="ar"/>
        </w:rPr>
        <w:t>7.1 运行维护内容</w:t>
      </w:r>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r>
        <w:rPr>
          <w:rFonts w:hint="eastAsia" w:cs="Times New Roman"/>
          <w:b/>
          <w:bCs/>
          <w:color w:val="000000"/>
          <w:kern w:val="0"/>
          <w:sz w:val="32"/>
          <w:szCs w:val="32"/>
          <w:lang w:bidi="ar"/>
        </w:rPr>
        <w:t xml:space="preserve"> </w:t>
      </w:r>
    </w:p>
    <w:p>
      <w:pPr>
        <w:ind w:firstLine="480"/>
        <w:rPr>
          <w:rFonts w:cs="Times New Roman"/>
          <w:szCs w:val="24"/>
        </w:rPr>
      </w:pPr>
      <w:r>
        <w:rPr>
          <w:rFonts w:hint="eastAsia" w:cs="Times New Roman"/>
          <w:szCs w:val="24"/>
        </w:rPr>
        <w:t>1、提供相应的技术支持与服务，并应达到关于服务质量的要求。</w:t>
      </w:r>
    </w:p>
    <w:p>
      <w:pPr>
        <w:ind w:firstLine="480"/>
        <w:rPr>
          <w:rFonts w:hint="eastAsia" w:cs="Times New Roman"/>
          <w:szCs w:val="24"/>
        </w:rPr>
      </w:pPr>
      <w:r>
        <w:rPr>
          <w:rFonts w:hint="eastAsia" w:cs="Times New Roman"/>
          <w:szCs w:val="24"/>
        </w:rPr>
        <w:t>2、派专职技术人员，进行网络系统的运维支持与维护。另派名技术人员随时响应进行技术支持与维护。</w:t>
      </w:r>
    </w:p>
    <w:p>
      <w:pPr>
        <w:ind w:firstLine="480"/>
        <w:rPr>
          <w:rFonts w:ascii="Calibri" w:hAnsi="Calibri" w:cs="Times New Roman"/>
        </w:rPr>
      </w:pPr>
      <w:r>
        <w:rPr>
          <w:rFonts w:hint="eastAsia" w:cs="Times New Roman"/>
          <w:szCs w:val="24"/>
        </w:rPr>
        <w:t>3、</w:t>
      </w:r>
      <w:r>
        <w:rPr>
          <w:rFonts w:hint="eastAsia"/>
          <w:szCs w:val="21"/>
          <w:lang w:bidi="ar"/>
        </w:rPr>
        <w:t>投标人须针对设备故障等制定成熟完善的应急处理机制和应急处理办法。</w:t>
      </w:r>
    </w:p>
    <w:p>
      <w:pPr>
        <w:ind w:firstLine="480"/>
        <w:rPr>
          <w:rFonts w:hint="eastAsia" w:cs="Times New Roman"/>
          <w:szCs w:val="24"/>
        </w:rPr>
      </w:pPr>
    </w:p>
    <w:p>
      <w:pPr>
        <w:ind w:firstLine="480"/>
        <w:rPr>
          <w:rFonts w:cs="Times New Roman"/>
          <w:szCs w:val="24"/>
        </w:rPr>
      </w:pPr>
      <w:r>
        <w:rPr>
          <w:rFonts w:hint="eastAsia" w:cs="Times New Roman"/>
          <w:szCs w:val="24"/>
        </w:rPr>
        <w:t>4、应急处理：双方协商确定多种应急处理方案，必要时进行应急预案演习，保证在出现意外情况时能够尽量减少或避免因为系统的故障而产生的不良影响。</w:t>
      </w:r>
    </w:p>
    <w:p>
      <w:pPr>
        <w:ind w:firstLine="480"/>
        <w:rPr>
          <w:rFonts w:cs="Times New Roman"/>
          <w:szCs w:val="24"/>
        </w:rPr>
      </w:pPr>
      <w:r>
        <w:rPr>
          <w:rFonts w:hint="eastAsia" w:cs="Times New Roman"/>
          <w:szCs w:val="24"/>
        </w:rPr>
        <w:t>5、硬件维修：若设备出现故障需维修或更换零件时，服务提供商提出解决方案，经客户认可后进行维修或更换。设备保修按设备提供方的相应条款执行。产品超过保修期后，有服务提供商负责维修，费用由客户承担。</w:t>
      </w:r>
    </w:p>
    <w:p>
      <w:pPr>
        <w:ind w:firstLine="480"/>
        <w:rPr>
          <w:rFonts w:cs="Times New Roman"/>
          <w:szCs w:val="24"/>
        </w:rPr>
      </w:pPr>
      <w:r>
        <w:rPr>
          <w:rFonts w:hint="eastAsia" w:cs="Times New Roman"/>
          <w:szCs w:val="24"/>
        </w:rPr>
        <w:t>6、技术咨询：服务提供商有义务提供电话热线服务、进行各种电脑操作指导，提出关于设备更新、软硬件升级等合理化建议。</w:t>
      </w:r>
    </w:p>
    <w:p>
      <w:pPr>
        <w:widowControl/>
        <w:ind w:firstLine="480"/>
        <w:jc w:val="left"/>
        <w:rPr>
          <w:rFonts w:hint="eastAsia" w:cs="Times New Roman"/>
          <w:szCs w:val="24"/>
          <w:lang w:bidi="ar"/>
        </w:rPr>
      </w:pPr>
      <w:bookmarkStart w:id="789" w:name="_Toc20021"/>
      <w:bookmarkStart w:id="790" w:name="_Toc31525"/>
      <w:bookmarkStart w:id="791" w:name="_Toc13680"/>
      <w:r>
        <w:rPr>
          <w:rFonts w:hint="eastAsia" w:cs="Times New Roman"/>
          <w:szCs w:val="24"/>
          <w:lang w:bidi="ar"/>
        </w:rPr>
        <w:t>7、项目建成验收后，由政法委移交至各乡镇/街道相关部门。</w:t>
      </w:r>
    </w:p>
    <w:p>
      <w:pPr>
        <w:widowControl/>
        <w:jc w:val="left"/>
        <w:outlineLvl w:val="1"/>
        <w:rPr>
          <w:rFonts w:cs="Times New Roman"/>
          <w:b/>
          <w:bCs/>
          <w:color w:val="000000"/>
          <w:kern w:val="0"/>
          <w:sz w:val="32"/>
          <w:szCs w:val="32"/>
          <w:lang w:bidi="ar"/>
        </w:rPr>
      </w:pPr>
      <w:bookmarkStart w:id="792" w:name="_Toc32603"/>
      <w:bookmarkStart w:id="793" w:name="_Toc18167"/>
      <w:bookmarkStart w:id="794" w:name="_Toc29795"/>
      <w:bookmarkStart w:id="795" w:name="_Toc19545"/>
      <w:bookmarkStart w:id="796" w:name="_Toc28605"/>
      <w:bookmarkStart w:id="797" w:name="_Toc7287"/>
      <w:bookmarkStart w:id="798" w:name="_Toc29733"/>
      <w:bookmarkStart w:id="799" w:name="_Toc79061705"/>
      <w:bookmarkStart w:id="800" w:name="_Toc30190"/>
      <w:bookmarkStart w:id="801" w:name="_Toc6838"/>
      <w:bookmarkStart w:id="802" w:name="_Toc19759"/>
      <w:r>
        <w:rPr>
          <w:rFonts w:hint="eastAsia" w:cs="Times New Roman"/>
          <w:b/>
          <w:bCs/>
          <w:color w:val="000000"/>
          <w:kern w:val="0"/>
          <w:sz w:val="32"/>
          <w:szCs w:val="32"/>
          <w:lang w:bidi="ar"/>
        </w:rPr>
        <w:t>7.2性能优化服务</w:t>
      </w:r>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p>
    <w:p>
      <w:pPr>
        <w:ind w:firstLine="480"/>
        <w:rPr>
          <w:rFonts w:cs="Times New Roman"/>
          <w:szCs w:val="24"/>
        </w:rPr>
      </w:pPr>
      <w:bookmarkStart w:id="803" w:name="_Toc31233"/>
      <w:bookmarkStart w:id="804" w:name="_Toc21664"/>
      <w:bookmarkStart w:id="805" w:name="_Toc9698"/>
      <w:bookmarkStart w:id="806" w:name="_Toc10617"/>
      <w:bookmarkStart w:id="807" w:name="_Toc1827"/>
      <w:bookmarkStart w:id="808" w:name="_Toc30840"/>
      <w:bookmarkStart w:id="809" w:name="_Toc2149"/>
      <w:bookmarkStart w:id="810" w:name="_Toc28752"/>
      <w:bookmarkStart w:id="811" w:name="_Toc29347"/>
      <w:bookmarkStart w:id="812" w:name="_Toc26867"/>
      <w:r>
        <w:rPr>
          <w:rFonts w:hint="eastAsia" w:cs="Times New Roman"/>
          <w:szCs w:val="24"/>
        </w:rPr>
        <w:t>在技术服务方面有两个最主要的目标:</w:t>
      </w:r>
    </w:p>
    <w:p>
      <w:pPr>
        <w:ind w:firstLine="480"/>
        <w:rPr>
          <w:rFonts w:cs="Times New Roman"/>
          <w:szCs w:val="24"/>
        </w:rPr>
      </w:pPr>
      <w:r>
        <w:rPr>
          <w:rFonts w:hint="eastAsia" w:cs="Times New Roman"/>
          <w:szCs w:val="24"/>
        </w:rPr>
        <w:t>1、通过提供快速和周到的维护服务；</w:t>
      </w:r>
    </w:p>
    <w:p>
      <w:pPr>
        <w:ind w:firstLine="480"/>
        <w:rPr>
          <w:rFonts w:ascii="Calibri" w:hAnsi="Calibri" w:cs="Times New Roman"/>
        </w:rPr>
      </w:pPr>
      <w:r>
        <w:rPr>
          <w:rFonts w:hint="eastAsia" w:cs="Times New Roman"/>
          <w:szCs w:val="24"/>
        </w:rPr>
        <w:t>2、通过对技术服务业务流程的全面管理减低售后服务的成本。</w:t>
      </w:r>
      <w:bookmarkEnd w:id="803"/>
      <w:bookmarkEnd w:id="804"/>
      <w:bookmarkEnd w:id="805"/>
      <w:bookmarkEnd w:id="806"/>
      <w:bookmarkEnd w:id="807"/>
      <w:bookmarkEnd w:id="808"/>
      <w:bookmarkEnd w:id="809"/>
      <w:bookmarkEnd w:id="810"/>
      <w:bookmarkEnd w:id="811"/>
      <w:bookmarkEnd w:id="812"/>
    </w:p>
    <w:p>
      <w:pPr>
        <w:widowControl/>
        <w:jc w:val="left"/>
        <w:outlineLvl w:val="1"/>
        <w:rPr>
          <w:rFonts w:cs="Times New Roman"/>
          <w:b/>
          <w:bCs/>
          <w:color w:val="000000"/>
          <w:kern w:val="0"/>
          <w:sz w:val="32"/>
          <w:szCs w:val="32"/>
          <w:lang w:bidi="ar"/>
        </w:rPr>
      </w:pPr>
      <w:bookmarkStart w:id="813" w:name="_Toc79061706"/>
      <w:bookmarkStart w:id="814" w:name="_Toc4129"/>
      <w:bookmarkStart w:id="815" w:name="_Toc25307"/>
      <w:bookmarkStart w:id="816" w:name="_Toc24022"/>
      <w:bookmarkStart w:id="817" w:name="_Toc11606"/>
      <w:bookmarkStart w:id="818" w:name="_Toc11180"/>
      <w:bookmarkStart w:id="819" w:name="_Toc29150"/>
      <w:bookmarkStart w:id="820" w:name="_Toc8350"/>
      <w:bookmarkStart w:id="821" w:name="_Toc6367"/>
      <w:bookmarkStart w:id="822" w:name="_Toc3678"/>
      <w:bookmarkStart w:id="823" w:name="_Toc7494"/>
      <w:bookmarkStart w:id="824" w:name="_Toc9251"/>
      <w:bookmarkStart w:id="825" w:name="_Toc24095"/>
      <w:bookmarkStart w:id="826" w:name="_Toc25441"/>
      <w:bookmarkStart w:id="827" w:name="_Toc3210"/>
      <w:bookmarkStart w:id="828" w:name="_Toc7819"/>
      <w:bookmarkStart w:id="829" w:name="_Toc31257"/>
      <w:bookmarkStart w:id="830" w:name="_Toc23990"/>
      <w:bookmarkStart w:id="831" w:name="_Toc24915"/>
      <w:bookmarkStart w:id="832" w:name="_Toc11338"/>
      <w:bookmarkStart w:id="833" w:name="_Toc32055"/>
      <w:r>
        <w:rPr>
          <w:rFonts w:hint="eastAsia" w:cs="Times New Roman"/>
          <w:b/>
          <w:bCs/>
          <w:color w:val="000000"/>
          <w:kern w:val="0"/>
          <w:sz w:val="32"/>
          <w:szCs w:val="32"/>
          <w:lang w:bidi="ar"/>
        </w:rPr>
        <w:t>7.3运行维护机构</w:t>
      </w:r>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r>
        <w:rPr>
          <w:rFonts w:hint="eastAsia" w:cs="Times New Roman"/>
          <w:b/>
          <w:bCs/>
          <w:color w:val="000000"/>
          <w:kern w:val="0"/>
          <w:sz w:val="32"/>
          <w:szCs w:val="32"/>
          <w:lang w:bidi="ar"/>
        </w:rPr>
        <w:t xml:space="preserve"> </w:t>
      </w:r>
    </w:p>
    <w:p>
      <w:pPr>
        <w:ind w:firstLine="480"/>
        <w:rPr>
          <w:rFonts w:cs="Times New Roman"/>
          <w:szCs w:val="24"/>
        </w:rPr>
      </w:pPr>
      <w:bookmarkStart w:id="834" w:name="_Toc20328"/>
      <w:bookmarkStart w:id="835" w:name="_Toc1440"/>
      <w:bookmarkStart w:id="836" w:name="_Toc3754"/>
      <w:bookmarkStart w:id="837" w:name="_Toc26570"/>
      <w:bookmarkStart w:id="838" w:name="_Toc1558"/>
      <w:bookmarkStart w:id="839" w:name="_Toc16403"/>
      <w:bookmarkStart w:id="840" w:name="_Toc9150"/>
      <w:bookmarkStart w:id="841" w:name="_Toc12041"/>
      <w:bookmarkStart w:id="842" w:name="_Toc28553"/>
      <w:bookmarkStart w:id="843" w:name="_Toc7097"/>
      <w:r>
        <w:rPr>
          <w:rFonts w:hint="eastAsia" w:cs="Times New Roman"/>
          <w:szCs w:val="24"/>
        </w:rPr>
        <w:t>从项目竣工验收合格之日起开始，运维服务不小于36个月。为了保证维护服务过程得到可靠有效的实施，需派出一到两名相关专业经验丰富的系统工程师来负责相关售后维护服务事宜。</w:t>
      </w:r>
      <w:bookmarkEnd w:id="834"/>
      <w:bookmarkEnd w:id="835"/>
      <w:bookmarkEnd w:id="836"/>
      <w:bookmarkEnd w:id="837"/>
      <w:bookmarkEnd w:id="838"/>
      <w:bookmarkEnd w:id="839"/>
      <w:bookmarkEnd w:id="840"/>
      <w:bookmarkEnd w:id="841"/>
      <w:bookmarkEnd w:id="842"/>
      <w:bookmarkEnd w:id="843"/>
    </w:p>
    <w:p>
      <w:pPr>
        <w:widowControl/>
        <w:jc w:val="left"/>
        <w:outlineLvl w:val="1"/>
        <w:rPr>
          <w:rFonts w:cs="Times New Roman"/>
          <w:b/>
          <w:bCs/>
          <w:color w:val="000000"/>
          <w:kern w:val="0"/>
          <w:sz w:val="32"/>
          <w:szCs w:val="32"/>
          <w:lang w:bidi="ar"/>
        </w:rPr>
      </w:pPr>
      <w:bookmarkStart w:id="844" w:name="_Toc30255"/>
      <w:bookmarkStart w:id="845" w:name="_Toc16259"/>
      <w:bookmarkStart w:id="846" w:name="_Toc1621"/>
      <w:bookmarkStart w:id="847" w:name="_Toc25059"/>
      <w:bookmarkStart w:id="848" w:name="_Toc7657"/>
      <w:bookmarkStart w:id="849" w:name="_Toc79061707"/>
      <w:bookmarkStart w:id="850" w:name="_Toc15956"/>
      <w:bookmarkStart w:id="851" w:name="_Toc843"/>
      <w:bookmarkStart w:id="852" w:name="_Toc4670"/>
      <w:bookmarkStart w:id="853" w:name="_Toc23809"/>
      <w:bookmarkStart w:id="854" w:name="_Toc29600"/>
      <w:bookmarkStart w:id="855" w:name="_Toc6018"/>
      <w:bookmarkStart w:id="856" w:name="_Toc24866"/>
      <w:bookmarkStart w:id="857" w:name="_Toc18133"/>
      <w:bookmarkStart w:id="858" w:name="_Toc26676"/>
      <w:bookmarkStart w:id="859" w:name="_Toc15785"/>
      <w:bookmarkStart w:id="860" w:name="_Toc31517"/>
      <w:bookmarkStart w:id="861" w:name="_Toc27365"/>
      <w:bookmarkStart w:id="862" w:name="_Toc17512"/>
      <w:bookmarkStart w:id="863" w:name="_Toc30498"/>
      <w:bookmarkStart w:id="864" w:name="_Toc12753"/>
      <w:r>
        <w:rPr>
          <w:rFonts w:hint="eastAsia" w:cs="Times New Roman"/>
          <w:b/>
          <w:bCs/>
          <w:color w:val="000000"/>
          <w:kern w:val="0"/>
          <w:sz w:val="32"/>
          <w:szCs w:val="32"/>
          <w:lang w:bidi="ar"/>
        </w:rPr>
        <w:t>7.4运行维护费用及到期后</w:t>
      </w:r>
      <w:bookmarkEnd w:id="844"/>
      <w:bookmarkEnd w:id="845"/>
      <w:bookmarkEnd w:id="846"/>
      <w:bookmarkEnd w:id="847"/>
      <w:bookmarkEnd w:id="848"/>
      <w:bookmarkEnd w:id="849"/>
    </w:p>
    <w:p>
      <w:pPr>
        <w:widowControl/>
        <w:ind w:firstLine="480"/>
        <w:jc w:val="left"/>
        <w:rPr>
          <w:rFonts w:cs="Times New Roman"/>
          <w:b/>
          <w:bCs/>
          <w:color w:val="000000"/>
          <w:kern w:val="0"/>
          <w:sz w:val="44"/>
          <w:szCs w:val="44"/>
          <w:lang w:bidi="ar"/>
        </w:rPr>
      </w:pPr>
      <w:r>
        <w:rPr>
          <w:rFonts w:hint="eastAsia" w:cs="Times New Roman"/>
          <w:szCs w:val="24"/>
        </w:rPr>
        <w:t>本次项目运维包括前端</w:t>
      </w:r>
      <w:r>
        <w:rPr>
          <w:rFonts w:hint="eastAsia" w:cs="Times New Roman"/>
          <w:szCs w:val="24"/>
          <w:lang w:bidi="ar"/>
        </w:rPr>
        <w:t>自动门、人脸识别一体机等清单包括的硬件设备及平台软件，运维期限到期后的后续运维费用由使用单位承担。</w:t>
      </w:r>
      <w:r>
        <w:rPr>
          <w:rFonts w:hint="eastAsia" w:cs="Times New Roman"/>
          <w:szCs w:val="24"/>
        </w:rPr>
        <w:t>购买维护服务期限到期后，另行采购维保服务。</w:t>
      </w:r>
    </w:p>
    <w:p>
      <w:pPr>
        <w:widowControl/>
        <w:jc w:val="center"/>
        <w:rPr>
          <w:rFonts w:cs="Times New Roman"/>
          <w:b/>
          <w:bCs/>
          <w:color w:val="000000"/>
          <w:kern w:val="0"/>
          <w:sz w:val="44"/>
          <w:szCs w:val="44"/>
          <w:lang w:bidi="ar"/>
        </w:rPr>
      </w:pPr>
    </w:p>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p>
      <w:pPr>
        <w:widowControl/>
        <w:numPr>
          <w:ilvl w:val="0"/>
          <w:numId w:val="43"/>
        </w:numPr>
        <w:ind w:firstLine="883"/>
        <w:jc w:val="center"/>
        <w:outlineLvl w:val="0"/>
        <w:rPr>
          <w:rFonts w:hint="eastAsia" w:cs="Times New Roman"/>
          <w:b/>
          <w:bCs/>
          <w:color w:val="000000"/>
          <w:kern w:val="0"/>
          <w:sz w:val="44"/>
          <w:szCs w:val="44"/>
          <w:lang w:bidi="ar"/>
        </w:rPr>
      </w:pPr>
      <w:bookmarkStart w:id="865" w:name="_Toc79061708"/>
      <w:bookmarkStart w:id="866" w:name="_Toc1471"/>
      <w:r>
        <w:rPr>
          <w:rFonts w:hint="eastAsia" w:cs="Times New Roman"/>
          <w:b/>
          <w:bCs/>
          <w:color w:val="000000"/>
          <w:kern w:val="0"/>
          <w:sz w:val="44"/>
          <w:szCs w:val="44"/>
          <w:lang w:bidi="ar"/>
        </w:rPr>
        <w:t>技术参数及要求</w:t>
      </w:r>
      <w:bookmarkEnd w:id="865"/>
      <w:bookmarkEnd w:id="866"/>
    </w:p>
    <w:p>
      <w:pPr>
        <w:spacing w:line="360" w:lineRule="exact"/>
        <w:rPr>
          <w:rFonts w:hint="eastAsia"/>
          <w:szCs w:val="21"/>
          <w:lang w:bidi="ar"/>
        </w:rPr>
      </w:pPr>
    </w:p>
    <w:tbl>
      <w:tblPr>
        <w:tblStyle w:val="43"/>
        <w:tblW w:w="8004" w:type="dxa"/>
        <w:tblInd w:w="0" w:type="dxa"/>
        <w:tblLayout w:type="fixed"/>
        <w:tblCellMar>
          <w:top w:w="0" w:type="dxa"/>
          <w:left w:w="108" w:type="dxa"/>
          <w:bottom w:w="0" w:type="dxa"/>
          <w:right w:w="108" w:type="dxa"/>
        </w:tblCellMar>
      </w:tblPr>
      <w:tblGrid>
        <w:gridCol w:w="482"/>
        <w:gridCol w:w="864"/>
        <w:gridCol w:w="5246"/>
        <w:gridCol w:w="820"/>
        <w:gridCol w:w="592"/>
      </w:tblGrid>
      <w:tr>
        <w:tblPrEx>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auto"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硬件设备</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编号</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设备名称</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参数</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数量</w:t>
            </w:r>
          </w:p>
        </w:tc>
        <w:tc>
          <w:tcPr>
            <w:tcW w:w="367" w:type="pct"/>
            <w:tcBorders>
              <w:top w:val="single" w:color="000000" w:sz="4" w:space="0"/>
              <w:left w:val="single" w:color="000000" w:sz="4" w:space="0"/>
              <w:bottom w:val="single" w:color="000000" w:sz="4" w:space="0"/>
              <w:right w:val="single" w:color="auto"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单位</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人脸识别一体机</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1、具备双目活体检测。</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2、具备精准识别人脸，人脸识别时间≤0.5s。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3、具备强逆光环境下人员运动追踪曝光。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4、具备≥32G闪存TF卡存储，平均无故障运行时间 MTBF≥50000h。 </w:t>
            </w:r>
          </w:p>
          <w:p>
            <w:pPr>
              <w:widowControl/>
              <w:spacing w:line="30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 xml:space="preserve">5、接口协议具备Windows/Linux等多种平台下的SDK及HTTP协议。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6、 采用双目宽动态摄像头，其中RGB摄像头≥200万像素。</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7、≥200W可见光宽动态、低照度，≥1080P/25帧，工作温度:-35°C-60°C。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8、户外≥IP65级防水、防尘。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9、 主机具备外接身份证读卡器。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 xml:space="preserve">10、主机具备韦根输入、韦根输出。 </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11、 人脸可检测角度：人脸的水平转动角度≥±10°，俯仰角≥±10°，倾斜角度≥10°。</w:t>
            </w:r>
          </w:p>
          <w:p>
            <w:pPr>
              <w:widowControl/>
              <w:spacing w:line="300" w:lineRule="exact"/>
              <w:jc w:val="left"/>
              <w:textAlignment w:val="center"/>
              <w:rPr>
                <w:rFonts w:hint="eastAsia"/>
                <w:kern w:val="0"/>
                <w:sz w:val="18"/>
                <w:szCs w:val="18"/>
                <w:lang w:bidi="ar"/>
              </w:rPr>
            </w:pPr>
            <w:r>
              <w:rPr>
                <w:rFonts w:hint="eastAsia"/>
                <w:kern w:val="0"/>
                <w:sz w:val="18"/>
                <w:szCs w:val="18"/>
                <w:lang w:bidi="ar"/>
              </w:rPr>
              <w:t>12、 人脸比对静态库1：N图像首位命中率不低于90%。</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人脸抓拍机</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▲1、不低于200万像素星光级智能抓拍筒型网络摄像机；最低照度：彩色≥0.005Lux，黑白≥0.001Lux，具备对运动人脸进行检测、跟踪、抓拍、评分、筛选，输出最的优的人脸抓图。</w:t>
            </w:r>
          </w:p>
          <w:p>
            <w:pPr>
              <w:widowControl/>
              <w:spacing w:line="300" w:lineRule="exact"/>
              <w:jc w:val="left"/>
              <w:textAlignment w:val="center"/>
              <w:rPr>
                <w:rFonts w:hint="eastAsia" w:eastAsia="宋体"/>
                <w:kern w:val="0"/>
                <w:sz w:val="18"/>
                <w:szCs w:val="18"/>
                <w:lang w:eastAsia="zh-CN" w:bidi="ar"/>
              </w:rPr>
            </w:pPr>
            <w:r>
              <w:rPr>
                <w:rFonts w:hint="eastAsia"/>
                <w:kern w:val="0"/>
                <w:sz w:val="18"/>
                <w:szCs w:val="18"/>
                <w:lang w:bidi="ar"/>
              </w:rPr>
              <w:t>▲2、红外补光距离（抓拍人脸）≥10m；红外补光距离（治安监控）≥50m；防护等级不低于IP66工作温度和湿度 -30℃~60℃,湿度小于95%(无凝结)。</w:t>
            </w:r>
          </w:p>
          <w:p>
            <w:pPr>
              <w:widowControl/>
              <w:spacing w:line="300" w:lineRule="exact"/>
              <w:jc w:val="left"/>
              <w:textAlignment w:val="center"/>
              <w:rPr>
                <w:rFonts w:hint="eastAsia"/>
                <w:kern w:val="0"/>
                <w:sz w:val="18"/>
                <w:szCs w:val="18"/>
                <w:lang w:bidi="ar"/>
              </w:rPr>
            </w:pPr>
            <w:r>
              <w:rPr>
                <w:rFonts w:hint="eastAsia"/>
                <w:kern w:val="0"/>
                <w:sz w:val="18"/>
                <w:szCs w:val="18"/>
                <w:lang w:bidi="ar"/>
              </w:rPr>
              <w:t>3.含支架、电源。</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补光灯</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textAlignment w:val="center"/>
              <w:rPr>
                <w:rFonts w:hint="eastAsia"/>
                <w:kern w:val="0"/>
                <w:sz w:val="18"/>
                <w:szCs w:val="18"/>
                <w:lang w:bidi="ar"/>
              </w:rPr>
            </w:pPr>
            <w:r>
              <w:rPr>
                <w:rFonts w:hint="eastAsia"/>
                <w:kern w:val="0"/>
                <w:sz w:val="18"/>
                <w:szCs w:val="18"/>
                <w:lang w:bidi="ar"/>
              </w:rPr>
              <w:t>1、功率不低于30W，LED型灯，配时控开关。</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套</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人脸比对模块</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0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1、CPU核心数≥6,主频≥2.0MHz，存储容量≥64GB，具备大于100000张人脸库，1：N人脸比对时间≦0.2秒/人，识别率不低于99%。</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5</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16路视频存储器</w:t>
            </w:r>
          </w:p>
        </w:tc>
        <w:tc>
          <w:tcPr>
            <w:tcW w:w="3277" w:type="pct"/>
            <w:tcBorders>
              <w:top w:val="single" w:color="000000" w:sz="4" w:space="0"/>
              <w:left w:val="single" w:color="000000" w:sz="4" w:space="0"/>
              <w:bottom w:val="single" w:color="000000" w:sz="4" w:space="0"/>
              <w:right w:val="single" w:color="000000" w:sz="4" w:space="0"/>
            </w:tcBorders>
            <w:noWrap w:val="0"/>
            <w:vAlign w:val="top"/>
          </w:tcPr>
          <w:p>
            <w:pPr>
              <w:widowControl/>
              <w:numPr>
                <w:ilvl w:val="0"/>
                <w:numId w:val="44"/>
              </w:numPr>
              <w:spacing w:line="280" w:lineRule="exact"/>
              <w:jc w:val="left"/>
              <w:textAlignment w:val="center"/>
              <w:rPr>
                <w:rFonts w:hint="eastAsia"/>
                <w:kern w:val="0"/>
                <w:sz w:val="18"/>
                <w:szCs w:val="18"/>
                <w:lang w:bidi="ar"/>
              </w:rPr>
            </w:pPr>
            <w:r>
              <w:rPr>
                <w:rFonts w:hint="eastAsia"/>
                <w:kern w:val="0"/>
                <w:sz w:val="18"/>
                <w:szCs w:val="18"/>
                <w:lang w:bidi="ar"/>
              </w:rPr>
              <w:t xml:space="preserve">具备≥16路H.264、H.265视频流混合接入，输入带宽≥160M，具备4K高清网络视频的接入、存储、预览和回放。 </w:t>
            </w:r>
          </w:p>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bidi="ar"/>
              </w:rPr>
              <w:t xml:space="preserve">2. 需具备≥8个硬盘槽位，可满配≥6TB硬盘，具备RAID0、1、5、10，具备全局热备盘。 </w:t>
            </w:r>
          </w:p>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bidi="ar"/>
              </w:rPr>
              <w:t xml:space="preserve">3. 需具备≥16路1080P视频同时解码输出，≥1个HDMI具备 4K 高清分辨率输出； </w:t>
            </w:r>
          </w:p>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bidi="ar"/>
              </w:rPr>
              <w:t>4. 应具备手动录像、定时录像、事件录像、移动侦测录像、报警录像，具备重要录像文件加锁保护功能。</w:t>
            </w:r>
          </w:p>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bidi="ar"/>
              </w:rPr>
              <w:t>5. 具备硬盘配额和硬盘盘组两种存储模式，可对不同通道分配不同的录像保存容量或周期；具备 RTP over HTTPS 和 SDK over TLS 码流加密。</w:t>
            </w:r>
          </w:p>
          <w:p>
            <w:pPr>
              <w:widowControl/>
              <w:numPr>
                <w:ilvl w:val="-1"/>
                <w:numId w:val="0"/>
              </w:numPr>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6. 具备配合具有高温点检测、测温、温差报警功能的网络摄像机，当触发报警时，设备可联动录像、抓拍并保存图片、弹出报警画面、声音警告、上传中心、发送邮件、触发报警输出，联动云台轮巡、联动云台预置点、记录日志。</w:t>
            </w:r>
          </w:p>
          <w:p>
            <w:pPr>
              <w:widowControl/>
              <w:numPr>
                <w:ilvl w:val="-1"/>
                <w:numId w:val="0"/>
              </w:numPr>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7. 具备配合具有区域关注度检测功能的IPC，可实时显示关注区域的人数；具备配置人数阀值和停留时长，当人数过多或停留超时触发报警时，设备可联动录像、抓拍并保存图片、弹出报警画面、声音警告、上传中心、发送邮件、触发报警输出，联动云台轮巡、联动云台预置点、记录日志。</w:t>
            </w:r>
          </w:p>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8. 具备接入具有人脸抓拍功能的门禁设备，可预览门禁主机的视频画面，触发人脸抓拍时，可设定报警提示并联动录像、弹出报警画面、声音告警、发生邮件。</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9. 具备本地预览权限的配置，设置权限后的通道只有登录后才会出现预览画面；需具备远程预览加密，只有输入密钥才能解开视频。需具备码流加密；WEB界面远程登录设备，30分钟无操作，设备需具备自动退出登录；需具备设置远程访问IP地址和MAC地址黑白名单；WEB端需具备设置开启HTTPS安全链接、SSH。</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10. 不少于2个HDMI和2个VGA接口，具备不少于2组屏异源输出视频图像 。</w:t>
            </w:r>
          </w:p>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11. 需具备≥2个千兆网口、≥3个USB接口（其中USB3.0接口≥1个）、≥1个eSATA接口，≥16路报警输入、≥4路报警输出接口。</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9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6</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24口数据交换设备</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1、具备不低于24个10/100/1000BASE-T电口,具备不低于4个1000BASE-X SFP端口。</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硬盘</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1、监控专用硬盘，3.5英寸，≥4TB。缓存≥64MB，转速≥5900rpm。</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显示终端</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1、尺寸不低于32英寸，含HDMI高清线。分辨率：不低于高清1920×1080。</w:t>
            </w:r>
          </w:p>
          <w:p>
            <w:pPr>
              <w:widowControl/>
              <w:spacing w:line="280" w:lineRule="exact"/>
              <w:jc w:val="left"/>
              <w:textAlignment w:val="center"/>
              <w:rPr>
                <w:rFonts w:hint="eastAsia" w:ascii="Calibri" w:hAnsi="Calibri" w:cs="Times New Roman"/>
              </w:rPr>
            </w:pPr>
            <w:r>
              <w:rPr>
                <w:rFonts w:hint="eastAsia"/>
                <w:kern w:val="0"/>
                <w:sz w:val="18"/>
                <w:szCs w:val="18"/>
                <w:lang w:bidi="ar"/>
              </w:rPr>
              <w:t>★2、应具有国家确定的认证机构出具的在有效期内的节能产品认证证书。（说明：提供证书复印件）</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立柱</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1、材质：不绣钢材，圆柱形，高度1.4米。壁厚不低于：1.4mm    管径不低于：133mm 。</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根</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防撞柱</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1、材质：塑料，圆柱形，高度0.75米。</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根</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11</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自动门</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1、门体宽度：1.4米-1.9米可调，门体高度：1.5米±0.05米，左右开门方向可调。</w:t>
            </w:r>
          </w:p>
          <w:p>
            <w:pPr>
              <w:widowControl/>
              <w:spacing w:line="280" w:lineRule="exact"/>
              <w:jc w:val="left"/>
              <w:textAlignment w:val="center"/>
              <w:rPr>
                <w:rFonts w:hint="eastAsia"/>
                <w:kern w:val="0"/>
                <w:sz w:val="18"/>
                <w:szCs w:val="18"/>
                <w:lang w:bidi="ar"/>
              </w:rPr>
            </w:pPr>
            <w:r>
              <w:rPr>
                <w:rFonts w:hint="eastAsia"/>
                <w:kern w:val="0"/>
                <w:sz w:val="18"/>
                <w:szCs w:val="18"/>
                <w:lang w:bidi="ar"/>
              </w:rPr>
              <w:t>2、门材质：冷轧板厚度不低于2.0mm，钢化玻璃不低于5.0mm。防锈工艺：阿克苏粉喷涂。开关门速度可设定，防风设计以及安全防撞保护。</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套</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12</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开门机</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1、具备单、双开选择：通过遥控器操作，可实现单扇独立或双扇同时开、关门。                                                                                                     2、具备按键锁定：通过遥控器操作，可锁定控制面板所有按键，防止盗开。       </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3、具备重复操作限制：防止开门到位过冲时，误操作造成大门损坏。                                                                                                                                                         </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4、具备遇阻自停：运行中遇到行人、车辆等障碍，开门机自动停止，确保安全。                                                                                                                           </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5、具备到位牢靠：关门到位，并可靠锁定。     </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6、具备时间保护：门机单次运行时间设定在60秒内，确保电机安全。</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7、具备红外保护：通过外接红外检测器，运行中有行人或车辆通过，即自动停止。</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8、具备自动关门：开门后，在设定时间内自动关门。 </w:t>
            </w:r>
          </w:p>
          <w:p>
            <w:pPr>
              <w:widowControl/>
              <w:spacing w:line="280" w:lineRule="exact"/>
              <w:jc w:val="left"/>
              <w:textAlignment w:val="center"/>
              <w:rPr>
                <w:rFonts w:hint="eastAsia"/>
                <w:kern w:val="0"/>
                <w:sz w:val="18"/>
                <w:szCs w:val="18"/>
                <w:lang w:bidi="ar"/>
              </w:rPr>
            </w:pPr>
            <w:r>
              <w:rPr>
                <w:rFonts w:hint="eastAsia"/>
                <w:kern w:val="0"/>
                <w:sz w:val="18"/>
                <w:szCs w:val="18"/>
                <w:lang w:bidi="ar"/>
              </w:rPr>
              <w:t>9、具备自动识别接口：可与安防系统的摄像头、读卡器连接，实现自动识别及进出控制。</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9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13</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定制门</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numPr>
                <w:ilvl w:val="-1"/>
                <w:numId w:val="0"/>
              </w:numPr>
              <w:spacing w:line="280" w:lineRule="exact"/>
              <w:ind w:left="0" w:firstLine="0"/>
              <w:jc w:val="left"/>
              <w:textAlignment w:val="center"/>
              <w:rPr>
                <w:rFonts w:hint="eastAsia"/>
                <w:kern w:val="0"/>
                <w:sz w:val="18"/>
                <w:szCs w:val="18"/>
                <w:lang w:val="en-US" w:eastAsia="zh-CN" w:bidi="ar"/>
              </w:rPr>
            </w:pPr>
            <w:r>
              <w:rPr>
                <w:rFonts w:hint="eastAsia"/>
                <w:kern w:val="0"/>
                <w:sz w:val="18"/>
                <w:szCs w:val="18"/>
                <w:lang w:val="en-US" w:eastAsia="zh-CN" w:bidi="ar"/>
              </w:rPr>
              <w:t>1、材质;铁质。外框矩形铁管直径不低于100mm*100mm。内框矩形铁管直径不低于50mm*50mm。</w:t>
            </w:r>
          </w:p>
          <w:p>
            <w:pPr>
              <w:widowControl/>
              <w:numPr>
                <w:ilvl w:val="-1"/>
                <w:numId w:val="0"/>
              </w:numPr>
              <w:spacing w:line="280" w:lineRule="exact"/>
              <w:ind w:left="0" w:firstLine="0"/>
              <w:jc w:val="left"/>
              <w:textAlignment w:val="center"/>
              <w:rPr>
                <w:rFonts w:hint="eastAsia"/>
                <w:kern w:val="0"/>
                <w:sz w:val="18"/>
                <w:szCs w:val="18"/>
                <w:lang w:val="en-US" w:eastAsia="zh-CN" w:bidi="ar"/>
              </w:rPr>
            </w:pPr>
            <w:r>
              <w:rPr>
                <w:rFonts w:hint="eastAsia"/>
                <w:kern w:val="0"/>
                <w:sz w:val="18"/>
                <w:szCs w:val="18"/>
                <w:lang w:val="en-US" w:eastAsia="zh-CN" w:bidi="ar"/>
              </w:rPr>
              <w:t xml:space="preserve">2、开门机：具备单、双开选择：通过遥控器操作，可实现单扇独立或双扇同时开、关门。 具备按键锁定：通过遥控器操作，可锁定控制面板所有按键，防止盗开。       </w:t>
            </w:r>
          </w:p>
          <w:p>
            <w:pPr>
              <w:widowControl/>
              <w:numPr>
                <w:ilvl w:val="-1"/>
                <w:numId w:val="0"/>
              </w:numPr>
              <w:spacing w:line="280" w:lineRule="exact"/>
              <w:ind w:left="0" w:firstLine="0"/>
              <w:jc w:val="left"/>
              <w:textAlignment w:val="center"/>
              <w:rPr>
                <w:rFonts w:hint="eastAsia"/>
                <w:kern w:val="0"/>
                <w:sz w:val="18"/>
                <w:szCs w:val="18"/>
                <w:lang w:val="en-US" w:eastAsia="zh-CN" w:bidi="ar"/>
              </w:rPr>
            </w:pPr>
            <w:r>
              <w:rPr>
                <w:rFonts w:hint="eastAsia"/>
                <w:kern w:val="0"/>
                <w:sz w:val="18"/>
                <w:szCs w:val="18"/>
                <w:lang w:val="en-US" w:eastAsia="zh-CN" w:bidi="ar"/>
              </w:rPr>
              <w:t xml:space="preserve">3、具备重复操作限制：防止开门到位过冲时，误操作造成大门损坏。具备遇阻自停：运行中遇到行人、车辆等障碍，开门机自动停止，确保安全。具备到位牢靠：关门到位，并可靠锁定。     </w:t>
            </w:r>
          </w:p>
          <w:p>
            <w:pPr>
              <w:widowControl/>
              <w:numPr>
                <w:ilvl w:val="-1"/>
                <w:numId w:val="0"/>
              </w:numPr>
              <w:spacing w:line="280" w:lineRule="exact"/>
              <w:ind w:left="0" w:firstLine="0"/>
              <w:jc w:val="left"/>
              <w:textAlignment w:val="center"/>
              <w:rPr>
                <w:rFonts w:hint="eastAsia"/>
                <w:kern w:val="0"/>
                <w:sz w:val="18"/>
                <w:szCs w:val="18"/>
                <w:lang w:val="en-US" w:eastAsia="zh-CN" w:bidi="ar"/>
              </w:rPr>
            </w:pPr>
            <w:r>
              <w:rPr>
                <w:rFonts w:hint="eastAsia"/>
                <w:kern w:val="0"/>
                <w:sz w:val="18"/>
                <w:szCs w:val="18"/>
                <w:lang w:val="en-US" w:eastAsia="zh-CN" w:bidi="ar"/>
              </w:rPr>
              <w:t xml:space="preserve">4、具备时间保护：门机单次运行时间设定在60秒内，确保电机安全。具备红外保护：通过外接红外检测器，运行中有行人或车辆通过，即自动停止。具备自动关门：开门后，在设定时间内自动关门。 </w:t>
            </w:r>
          </w:p>
          <w:p>
            <w:pPr>
              <w:widowControl/>
              <w:numPr>
                <w:ilvl w:val="-1"/>
                <w:numId w:val="0"/>
              </w:numPr>
              <w:spacing w:line="280" w:lineRule="exact"/>
              <w:ind w:left="0" w:firstLine="0"/>
              <w:jc w:val="left"/>
              <w:textAlignment w:val="center"/>
              <w:rPr>
                <w:rFonts w:hint="eastAsia"/>
                <w:kern w:val="0"/>
                <w:sz w:val="18"/>
                <w:szCs w:val="18"/>
                <w:lang w:val="en-US" w:eastAsia="zh-CN" w:bidi="ar"/>
              </w:rPr>
            </w:pPr>
            <w:r>
              <w:rPr>
                <w:rFonts w:hint="eastAsia"/>
                <w:kern w:val="0"/>
                <w:sz w:val="18"/>
                <w:szCs w:val="18"/>
                <w:lang w:val="en-US" w:eastAsia="zh-CN" w:bidi="ar"/>
              </w:rPr>
              <w:t>5、具备自动识别接口：可与安防系统的摄像头、读卡器连接，实现自动识别及进出控制。</w:t>
            </w:r>
          </w:p>
          <w:p>
            <w:pPr>
              <w:widowControl/>
              <w:numPr>
                <w:ilvl w:val="-1"/>
                <w:numId w:val="0"/>
              </w:numPr>
              <w:spacing w:line="280" w:lineRule="exact"/>
              <w:ind w:left="0" w:firstLine="0"/>
              <w:jc w:val="left"/>
              <w:textAlignment w:val="center"/>
              <w:rPr>
                <w:rFonts w:hint="default" w:eastAsia="宋体"/>
                <w:kern w:val="0"/>
                <w:sz w:val="18"/>
                <w:szCs w:val="18"/>
                <w:lang w:val="en-US" w:eastAsia="zh-CN" w:bidi="ar"/>
              </w:rPr>
            </w:pPr>
            <w:r>
              <w:rPr>
                <w:rFonts w:hint="eastAsia"/>
                <w:kern w:val="0"/>
                <w:sz w:val="18"/>
                <w:szCs w:val="18"/>
                <w:lang w:val="en-US" w:eastAsia="zh-CN" w:bidi="ar"/>
              </w:rPr>
              <w:t>6、电磁锁：工作电压：DC12V。开锁时间：≤1s。延时调节≤10s。</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套</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14</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红外防夹装置</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1、材料:聚合物。检测距离:≥5m、额定电压: 12V。电流: ≥100mA。</w:t>
            </w:r>
          </w:p>
          <w:p>
            <w:pPr>
              <w:widowControl/>
              <w:spacing w:line="280" w:lineRule="exact"/>
              <w:jc w:val="left"/>
              <w:textAlignment w:val="center"/>
              <w:rPr>
                <w:rFonts w:hint="eastAsia"/>
                <w:kern w:val="0"/>
                <w:sz w:val="18"/>
                <w:szCs w:val="18"/>
                <w:lang w:bidi="ar"/>
              </w:rPr>
            </w:pPr>
            <w:r>
              <w:rPr>
                <w:rFonts w:hint="eastAsia"/>
                <w:kern w:val="0"/>
                <w:sz w:val="18"/>
                <w:szCs w:val="18"/>
                <w:lang w:bidi="ar"/>
              </w:rPr>
              <w:t>探头直径:≥15mm。探头长度:≥40mm。引线长度:≥45mm。</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58</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对</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15</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8口数据接入设备</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1、传输速率：10/100/1000Mbps。</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2、背板带宽：16Gbps。</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3、包转发率：11.9Mbps。</w:t>
            </w:r>
          </w:p>
          <w:p>
            <w:pPr>
              <w:widowControl/>
              <w:spacing w:line="280" w:lineRule="exact"/>
              <w:jc w:val="left"/>
              <w:textAlignment w:val="center"/>
              <w:rPr>
                <w:rFonts w:hint="eastAsia"/>
                <w:kern w:val="0"/>
                <w:sz w:val="18"/>
                <w:szCs w:val="18"/>
                <w:lang w:bidi="ar"/>
              </w:rPr>
            </w:pPr>
            <w:r>
              <w:rPr>
                <w:rFonts w:hint="eastAsia"/>
                <w:kern w:val="0"/>
                <w:sz w:val="18"/>
                <w:szCs w:val="18"/>
                <w:lang w:bidi="ar"/>
              </w:rPr>
              <w:t>4、网络标准：IEEE802.3、IEEE802.3u、IEEE802.3ab、ANSI/IEEE 802.3 NWay自动协商、IEEE802.3x。</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16</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弱电箱</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1、不低于400*500，含接线板。</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17</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PVC管</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1、材质：PVC，直径20mm。</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8450</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18</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超五类网线</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1、规格：UTP5e 线缆对数：4对。</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7250</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19</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电源线</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1、RVV2*1.5mm2。</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7200</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信号线</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1、6*0.5屏蔽线。</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2450</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21</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人脸采集USB摄像机</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val="en-US" w:eastAsia="zh-CN" w:bidi="ar"/>
              </w:rPr>
              <w:t>1、</w:t>
            </w:r>
            <w:r>
              <w:rPr>
                <w:rFonts w:hint="eastAsia"/>
                <w:kern w:val="0"/>
                <w:sz w:val="18"/>
                <w:szCs w:val="18"/>
                <w:lang w:bidi="ar"/>
              </w:rPr>
              <w:t>USB摄像机像素需内置mic。</w:t>
            </w:r>
          </w:p>
          <w:p>
            <w:pPr>
              <w:widowControl/>
              <w:numPr>
                <w:ilvl w:val="-1"/>
                <w:numId w:val="0"/>
              </w:numPr>
              <w:spacing w:line="280" w:lineRule="exact"/>
              <w:jc w:val="left"/>
              <w:textAlignment w:val="center"/>
              <w:rPr>
                <w:rFonts w:hint="eastAsia"/>
                <w:kern w:val="0"/>
                <w:sz w:val="18"/>
                <w:szCs w:val="18"/>
                <w:lang w:bidi="ar"/>
              </w:rPr>
            </w:pPr>
            <w:r>
              <w:rPr>
                <w:rFonts w:hint="eastAsia"/>
                <w:kern w:val="0"/>
                <w:sz w:val="18"/>
                <w:szCs w:val="18"/>
                <w:lang w:val="en-US" w:eastAsia="zh-CN" w:bidi="ar"/>
              </w:rPr>
              <w:t>2、</w:t>
            </w:r>
            <w:r>
              <w:rPr>
                <w:rFonts w:hint="eastAsia"/>
                <w:kern w:val="0"/>
                <w:sz w:val="18"/>
                <w:szCs w:val="18"/>
                <w:lang w:bidi="ar"/>
              </w:rPr>
              <w:t>具备自动电子增益功能，亮度自适应；</w:t>
            </w:r>
          </w:p>
          <w:p>
            <w:pPr>
              <w:widowControl/>
              <w:numPr>
                <w:ilvl w:val="-1"/>
                <w:numId w:val="0"/>
              </w:numPr>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3</w:t>
            </w:r>
            <w:r>
              <w:rPr>
                <w:rFonts w:hint="eastAsia"/>
                <w:kern w:val="0"/>
                <w:sz w:val="18"/>
                <w:szCs w:val="18"/>
                <w:lang w:eastAsia="zh-CN" w:bidi="ar"/>
              </w:rPr>
              <w:t>、</w:t>
            </w:r>
            <w:r>
              <w:rPr>
                <w:rFonts w:hint="eastAsia"/>
                <w:kern w:val="0"/>
                <w:sz w:val="18"/>
                <w:szCs w:val="18"/>
                <w:lang w:bidi="ar"/>
              </w:rPr>
              <w:t>具备标准USB 2.0接口，具备Type-A接口，标准USB2.0协议。</w:t>
            </w:r>
          </w:p>
          <w:p>
            <w:pPr>
              <w:widowControl/>
              <w:spacing w:line="280" w:lineRule="exact"/>
              <w:jc w:val="left"/>
              <w:textAlignment w:val="center"/>
              <w:rPr>
                <w:rFonts w:hint="eastAsia"/>
                <w:kern w:val="0"/>
                <w:sz w:val="18"/>
                <w:szCs w:val="18"/>
                <w:lang w:bidi="ar"/>
              </w:rPr>
            </w:pPr>
            <w:r>
              <w:rPr>
                <w:rFonts w:hint="eastAsia"/>
                <w:kern w:val="0"/>
                <w:sz w:val="18"/>
                <w:szCs w:val="18"/>
                <w:lang w:val="en-US" w:eastAsia="zh-CN" w:bidi="ar"/>
              </w:rPr>
              <w:t>4、</w:t>
            </w:r>
            <w:r>
              <w:rPr>
                <w:rFonts w:hint="eastAsia"/>
                <w:kern w:val="0"/>
                <w:sz w:val="18"/>
                <w:szCs w:val="18"/>
                <w:lang w:bidi="ar"/>
              </w:rPr>
              <w:t>视频帧率≥1920 × 1080@30fps/25fps。</w:t>
            </w:r>
          </w:p>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sz w:val="18"/>
                <w:szCs w:val="18"/>
                <w:lang w:val="en-US" w:eastAsia="zh-CN"/>
              </w:rPr>
              <w:t>5、</w:t>
            </w:r>
            <w:r>
              <w:rPr>
                <w:rFonts w:hint="eastAsia"/>
                <w:kern w:val="0"/>
                <w:sz w:val="18"/>
                <w:szCs w:val="18"/>
                <w:lang w:bidi="ar"/>
              </w:rPr>
              <w:t>最低照度≤ 0.1 Lux @(F1.2, AGC ON)，彩色≥0.05Lux，黑白≥0.01Lux。</w:t>
            </w:r>
          </w:p>
          <w:p>
            <w:pPr>
              <w:widowControl/>
              <w:spacing w:line="280" w:lineRule="exact"/>
              <w:jc w:val="left"/>
              <w:textAlignment w:val="center"/>
              <w:rPr>
                <w:rFonts w:hint="eastAsia"/>
                <w:kern w:val="0"/>
                <w:sz w:val="18"/>
                <w:szCs w:val="18"/>
                <w:lang w:bidi="ar"/>
              </w:rPr>
            </w:pPr>
            <w:r>
              <w:rPr>
                <w:rFonts w:hint="eastAsia"/>
                <w:kern w:val="0"/>
                <w:sz w:val="18"/>
                <w:szCs w:val="18"/>
                <w:lang w:bidi="ar"/>
              </w:rPr>
              <w:t>6</w:t>
            </w:r>
            <w:r>
              <w:rPr>
                <w:rFonts w:hint="eastAsia"/>
                <w:kern w:val="0"/>
                <w:sz w:val="18"/>
                <w:szCs w:val="18"/>
                <w:lang w:eastAsia="zh-CN" w:bidi="ar"/>
              </w:rPr>
              <w:t>、</w:t>
            </w:r>
            <w:r>
              <w:rPr>
                <w:rFonts w:hint="eastAsia"/>
                <w:kern w:val="0"/>
                <w:sz w:val="18"/>
                <w:szCs w:val="18"/>
                <w:lang w:bidi="ar"/>
              </w:rPr>
              <w:t>工作温度和湿度: -10℃~45℃，湿度小于90%（无凝结）。</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22</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身份证阅读器</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1、可识别卡： Mifare卡号、CPU卡号、身份证卡。</w:t>
            </w:r>
          </w:p>
          <w:p>
            <w:pPr>
              <w:widowControl/>
              <w:spacing w:line="280" w:lineRule="exact"/>
              <w:jc w:val="left"/>
              <w:textAlignment w:val="center"/>
              <w:rPr>
                <w:rFonts w:hint="eastAsia"/>
                <w:kern w:val="0"/>
                <w:sz w:val="18"/>
                <w:szCs w:val="18"/>
                <w:lang w:bidi="ar"/>
              </w:rPr>
            </w:pPr>
            <w:r>
              <w:rPr>
                <w:rFonts w:hint="eastAsia"/>
                <w:kern w:val="0"/>
                <w:sz w:val="18"/>
                <w:szCs w:val="18"/>
                <w:lang w:bidi="ar"/>
              </w:rPr>
              <w:t>2、列号 通讯方式： RS485+Wiegand 工作电压：DC 12V 功耗：≤2W。</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495"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23</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人脸识别终端</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1、屏幕≥ 5英寸高亮电容触控屏，分辨率≥800*480。</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2、摄像头≥1/2.7” CMOS，≥200万像素最低照度彩色≥0.05Lux，黑白≥0.01Lux。</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3、具备接收外接居民身份证阅读器的机读信息并显示。</w:t>
            </w:r>
          </w:p>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4、具备对现场图像进行采集，当检测到人脸时，可通过提示框对距离摄像头最近的人脸进行锁定。</w:t>
            </w:r>
          </w:p>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5、人脸识别准确率 在错误接受率为千分之一以下时，正确接受率≥95%。</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 xml:space="preserve"> (错误接受率=被系统接受的冒充者人数/冒充者测试比对总数。</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正确接受率=被系统接受的真实人数/真实人测试比对总数*100%)。</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6、人证核验平均响应时间 从证件放入识别区到系统显示人脸识别结果的响应时间≤2秒。</w:t>
            </w:r>
          </w:p>
          <w:p>
            <w:pPr>
              <w:widowControl/>
              <w:spacing w:line="280" w:lineRule="exact"/>
              <w:jc w:val="left"/>
              <w:textAlignment w:val="center"/>
              <w:rPr>
                <w:rFonts w:hint="eastAsia"/>
                <w:kern w:val="0"/>
                <w:sz w:val="18"/>
                <w:szCs w:val="18"/>
                <w:lang w:bidi="ar"/>
              </w:rPr>
            </w:pPr>
            <w:r>
              <w:rPr>
                <w:rFonts w:hint="eastAsia"/>
                <w:kern w:val="0"/>
                <w:sz w:val="18"/>
                <w:szCs w:val="18"/>
                <w:lang w:bidi="ar"/>
              </w:rPr>
              <w:t xml:space="preserve">7、具备黑名单/白名单报警功能 8、无证核验实时抓拍现场活体人脸图像。 </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24</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车牌识别一体机</w:t>
            </w:r>
          </w:p>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1、图像传感器 1/2.7＂逐行扫描 ≥300万像素 CMOS。</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2、分辨率 主码流：≥1888*1048@25fps。</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3、最低照度 彩色≥0.05Lux，黑白≥0.01Lux。</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4、镜头类型 2.8mm~12mm 电动变焦镜头。</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5、快门速度 1/25 ～1/16875 秒。</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6、增益范围 10000-320000。</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7、图像压缩方式 H.264、JPEG。</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8、补光灯 夜间补光模式：具备常亮和闪光</w:t>
            </w:r>
          </w:p>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9、识别模式：具备视频识别和触发识别具备默认省份设置，具备蓝牌，黄牌，警牌，新武警，新军牌，新能源车牌，单双层牌及粤港澳车牌识别率≥99%。</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25</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高清车牌识别辅助相机</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1、≥200W星光级高清车牌识别摄像机，最低照度：彩色≥0.005Lux，黑白≥0.001Lux，配合主车牌识别辅助识别车辆，双相机识别，含补光灯、立柱。</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c>
          <w:tcPr>
            <w:tcW w:w="367"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26</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栅栏式道闸</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1、一体式模具机芯，双弹簧平衡装置，涡轮连杆设计，二级减速机构，不断运行不死机，闸机运行速度3S/6S可选，含闸杆1-4.5M可选,含遥控器、支架等。</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27</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收费管理端</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numPr>
                <w:ilvl w:val="0"/>
                <w:numId w:val="45"/>
              </w:numPr>
              <w:spacing w:line="280" w:lineRule="exact"/>
              <w:jc w:val="left"/>
              <w:textAlignment w:val="center"/>
              <w:rPr>
                <w:rFonts w:hint="eastAsia" w:ascii="Calibri" w:hAnsi="Calibri" w:cs="Times New Roman"/>
              </w:rPr>
            </w:pPr>
            <w:r>
              <w:rPr>
                <w:rFonts w:hint="eastAsia" w:ascii="Calibri" w:hAnsi="Calibri" w:cs="Times New Roman"/>
              </w:rPr>
              <w:t>CPU≥i5；内存≥8G；硬盘≥500G。</w:t>
            </w:r>
          </w:p>
          <w:p>
            <w:pPr>
              <w:widowControl/>
              <w:numPr>
                <w:ilvl w:val="0"/>
                <w:numId w:val="45"/>
              </w:numPr>
              <w:spacing w:line="280" w:lineRule="exact"/>
              <w:jc w:val="left"/>
              <w:textAlignment w:val="center"/>
              <w:rPr>
                <w:rFonts w:hint="eastAsia" w:ascii="Calibri" w:hAnsi="Calibri" w:cs="Times New Roman"/>
              </w:rPr>
            </w:pPr>
            <w:r>
              <w:rPr>
                <w:rFonts w:hint="eastAsia" w:ascii="Calibri" w:hAnsi="Calibri" w:cs="Times New Roman"/>
              </w:rPr>
              <w:t>显示器≥21.5英寸；USB接口≥4。</w:t>
            </w:r>
          </w:p>
          <w:p>
            <w:pPr>
              <w:widowControl/>
              <w:numPr>
                <w:ilvl w:val="0"/>
                <w:numId w:val="45"/>
              </w:numPr>
              <w:spacing w:line="280" w:lineRule="exact"/>
              <w:jc w:val="left"/>
              <w:textAlignment w:val="center"/>
              <w:rPr>
                <w:rFonts w:hint="eastAsia" w:ascii="Calibri" w:hAnsi="Calibri" w:cs="Times New Roman"/>
                <w:highlight w:val="none"/>
              </w:rPr>
            </w:pPr>
            <w:r>
              <w:rPr>
                <w:rFonts w:hint="eastAsia" w:ascii="Calibri" w:hAnsi="Calibri" w:cs="Times New Roman"/>
                <w:highlight w:val="none"/>
              </w:rPr>
              <w:t>显卡：集成显卡。</w:t>
            </w:r>
          </w:p>
          <w:p>
            <w:pPr>
              <w:widowControl/>
              <w:numPr>
                <w:ilvl w:val="0"/>
                <w:numId w:val="45"/>
              </w:numPr>
              <w:spacing w:line="280" w:lineRule="exact"/>
              <w:jc w:val="left"/>
              <w:textAlignment w:val="center"/>
              <w:rPr>
                <w:rFonts w:hint="eastAsia" w:ascii="Calibri" w:hAnsi="Calibri" w:cs="Times New Roman"/>
                <w:highlight w:val="none"/>
              </w:rPr>
            </w:pPr>
            <w:r>
              <w:rPr>
                <w:rFonts w:hint="eastAsia" w:ascii="Calibri" w:hAnsi="Calibri" w:cs="Times New Roman"/>
                <w:highlight w:val="none"/>
              </w:rPr>
              <w:t>含键盘鼠标。</w:t>
            </w:r>
          </w:p>
          <w:p>
            <w:pPr>
              <w:pStyle w:val="2"/>
              <w:rPr>
                <w:rFonts w:hint="eastAsia" w:eastAsia="仿宋_GB2312" w:cs="Times New Roman"/>
              </w:rPr>
            </w:pPr>
            <w:r>
              <w:rPr>
                <w:rFonts w:hint="eastAsia" w:ascii="Calibri" w:hAnsi="Calibri" w:cs="Times New Roman"/>
                <w:highlight w:val="none"/>
              </w:rPr>
              <w:t>★5、应具有国家确定的认证机构出具的在有效期内的节能产品认证证书</w:t>
            </w:r>
            <w:r>
              <w:rPr>
                <w:rFonts w:hint="eastAsia" w:ascii="Calibri" w:hAnsi="Calibri" w:cs="Times New Roman"/>
              </w:rPr>
              <w:t>。（说明：</w:t>
            </w:r>
            <w:r>
              <w:rPr>
                <w:rFonts w:hint="eastAsia" w:cs="Times New Roman"/>
                <w:lang w:val="en-US" w:eastAsia="zh-CN"/>
              </w:rPr>
              <w:t>提供具有</w:t>
            </w:r>
            <w:r>
              <w:rPr>
                <w:rFonts w:hint="eastAsia" w:cs="Times New Roman"/>
                <w:highlight w:val="none"/>
                <w:lang w:eastAsia="zh-CN"/>
              </w:rPr>
              <w:t>“</w:t>
            </w:r>
            <w:r>
              <w:rPr>
                <w:rFonts w:hint="eastAsia" w:cs="Times New Roman"/>
                <w:highlight w:val="none"/>
                <w:lang w:val="en-US" w:eastAsia="zh-CN"/>
              </w:rPr>
              <w:t>主机”及“显示器</w:t>
            </w:r>
            <w:r>
              <w:rPr>
                <w:rFonts w:hint="eastAsia" w:cs="Times New Roman"/>
                <w:highlight w:val="none"/>
                <w:lang w:eastAsia="zh-CN"/>
              </w:rPr>
              <w:t>”</w:t>
            </w:r>
            <w:r>
              <w:rPr>
                <w:rFonts w:hint="eastAsia" w:cs="Times New Roman"/>
                <w:highlight w:val="none"/>
                <w:lang w:val="en-US" w:eastAsia="zh-CN"/>
              </w:rPr>
              <w:t>的节能产品认证</w:t>
            </w:r>
            <w:r>
              <w:rPr>
                <w:rFonts w:hint="eastAsia" w:ascii="Calibri" w:hAnsi="Calibri" w:cs="Times New Roman"/>
              </w:rPr>
              <w:t>证书复印件）</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32</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台</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28</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减速带</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1、厚度≥2.9CM,宽度≥29CM,橡胶材质。</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234</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29</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护栏</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1、材质：不锈钢，直径≥51mm， 壁厚≥1mm。</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98</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30</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left"/>
              <w:textAlignment w:val="center"/>
              <w:rPr>
                <w:rFonts w:hint="eastAsia"/>
                <w:kern w:val="0"/>
                <w:sz w:val="18"/>
                <w:szCs w:val="18"/>
                <w:lang w:bidi="ar"/>
              </w:rPr>
            </w:pPr>
            <w:r>
              <w:rPr>
                <w:rFonts w:hint="eastAsia"/>
                <w:kern w:val="0"/>
                <w:sz w:val="18"/>
                <w:szCs w:val="18"/>
                <w:lang w:bidi="ar"/>
              </w:rPr>
              <w:t>4芯光纤</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1、4芯单模。</w:t>
            </w:r>
          </w:p>
          <w:p>
            <w:pPr>
              <w:widowControl/>
              <w:spacing w:line="280" w:lineRule="exact"/>
              <w:jc w:val="left"/>
              <w:textAlignment w:val="center"/>
              <w:rPr>
                <w:rFonts w:hint="eastAsia"/>
                <w:kern w:val="0"/>
                <w:sz w:val="18"/>
                <w:szCs w:val="18"/>
                <w:lang w:bidi="ar"/>
              </w:rPr>
            </w:pPr>
            <w:r>
              <w:rPr>
                <w:rFonts w:hint="eastAsia"/>
                <w:kern w:val="0"/>
                <w:sz w:val="18"/>
                <w:szCs w:val="18"/>
                <w:lang w:bidi="ar"/>
              </w:rPr>
              <w:t>2、允许拉力：长期不低于800N，短期不低于2500N。</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1800</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米</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31</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光纤收发器</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1、接口：1个1.25Gbps SC光纤接口，1个100Mbps/1000Mbps自适应RJ45口。</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2、每端口数据传输速率：2Gbps全双工。</w:t>
            </w:r>
          </w:p>
          <w:p>
            <w:pPr>
              <w:widowControl/>
              <w:spacing w:line="280" w:lineRule="exact"/>
              <w:jc w:val="left"/>
              <w:textAlignment w:val="center"/>
              <w:rPr>
                <w:rFonts w:hint="eastAsia"/>
                <w:kern w:val="0"/>
                <w:sz w:val="18"/>
                <w:szCs w:val="18"/>
                <w:lang w:bidi="ar"/>
              </w:rPr>
            </w:pPr>
            <w:r>
              <w:rPr>
                <w:rFonts w:hint="eastAsia"/>
                <w:kern w:val="0"/>
                <w:sz w:val="18"/>
                <w:szCs w:val="18"/>
                <w:lang w:bidi="ar"/>
              </w:rPr>
              <w:t>3、传输波长：TX：不低于1310nm  RX：不低于1550nm。</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对</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34</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管线预埋</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1、拆除旧道闸设备，道路破路修复，管线挖槽预埋。</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26</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处</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35</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管线预埋</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1、拆除原有大门旧道闸设备，道路破路修复，管线挖槽预埋。</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处</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36</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管线预埋</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1、围墙拆除，道路破路修复，管线挖槽预埋。</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处</w:t>
            </w:r>
          </w:p>
        </w:tc>
      </w:tr>
      <w:tr>
        <w:tblPrEx>
          <w:tblCellMar>
            <w:top w:w="0" w:type="dxa"/>
            <w:left w:w="108" w:type="dxa"/>
            <w:bottom w:w="0" w:type="dxa"/>
            <w:right w:w="108" w:type="dxa"/>
          </w:tblCellMar>
        </w:tblPrEx>
        <w:trPr>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37</w:t>
            </w: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管线预埋</w:t>
            </w: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1、拆除安全岛及旧道闸设备，道路破路修复，管线挖槽预埋。</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处</w:t>
            </w:r>
          </w:p>
        </w:tc>
      </w:tr>
      <w:tr>
        <w:tblPrEx>
          <w:tblCellMar>
            <w:top w:w="0" w:type="dxa"/>
            <w:left w:w="108" w:type="dxa"/>
            <w:bottom w:w="0" w:type="dxa"/>
            <w:right w:w="108" w:type="dxa"/>
          </w:tblCellMar>
        </w:tblPrEx>
        <w:trPr>
          <w:trHeight w:val="899" w:hRule="atLeast"/>
        </w:trPr>
        <w:tc>
          <w:tcPr>
            <w:tcW w:w="301" w:type="pct"/>
            <w:tcBorders>
              <w:top w:val="single" w:color="000000" w:sz="4" w:space="0"/>
              <w:left w:val="single" w:color="000000" w:sz="4" w:space="0"/>
              <w:bottom w:val="nil"/>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38</w:t>
            </w:r>
          </w:p>
        </w:tc>
        <w:tc>
          <w:tcPr>
            <w:tcW w:w="540" w:type="pct"/>
            <w:tcBorders>
              <w:top w:val="single" w:color="000000" w:sz="4" w:space="0"/>
              <w:left w:val="single" w:color="000000" w:sz="4" w:space="0"/>
              <w:bottom w:val="nil"/>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管线预埋</w:t>
            </w:r>
          </w:p>
        </w:tc>
        <w:tc>
          <w:tcPr>
            <w:tcW w:w="3277" w:type="pct"/>
            <w:tcBorders>
              <w:top w:val="single" w:color="000000" w:sz="4" w:space="0"/>
              <w:left w:val="single" w:color="000000" w:sz="4" w:space="0"/>
              <w:bottom w:val="nil"/>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1、绿化带改造道路破路修复，管线挖槽预埋。</w:t>
            </w:r>
          </w:p>
        </w:tc>
        <w:tc>
          <w:tcPr>
            <w:tcW w:w="512" w:type="pct"/>
            <w:tcBorders>
              <w:top w:val="single" w:color="000000" w:sz="4" w:space="0"/>
              <w:left w:val="single" w:color="000000" w:sz="4" w:space="0"/>
              <w:bottom w:val="nil"/>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367" w:type="pct"/>
            <w:tcBorders>
              <w:top w:val="single" w:color="000000" w:sz="4" w:space="0"/>
              <w:left w:val="single" w:color="000000" w:sz="4" w:space="0"/>
              <w:bottom w:val="nil"/>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处</w:t>
            </w:r>
          </w:p>
        </w:tc>
      </w:tr>
      <w:tr>
        <w:tblPrEx>
          <w:tblCellMar>
            <w:top w:w="0" w:type="dxa"/>
            <w:left w:w="108" w:type="dxa"/>
            <w:bottom w:w="0" w:type="dxa"/>
            <w:right w:w="108" w:type="dxa"/>
          </w:tblCellMar>
        </w:tblPrEx>
        <w:trPr>
          <w:trHeight w:val="320" w:hRule="atLeast"/>
        </w:trPr>
        <w:tc>
          <w:tcPr>
            <w:tcW w:w="5000" w:type="pct"/>
            <w:gridSpan w:val="5"/>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kern w:val="0"/>
                <w:sz w:val="18"/>
                <w:szCs w:val="18"/>
                <w:lang w:bidi="ar"/>
              </w:rPr>
            </w:pPr>
            <w:r>
              <w:rPr>
                <w:rFonts w:hint="eastAsia"/>
                <w:kern w:val="0"/>
                <w:sz w:val="18"/>
                <w:szCs w:val="18"/>
                <w:lang w:bidi="ar"/>
              </w:rPr>
              <w:t>管软件理平台</w:t>
            </w:r>
          </w:p>
        </w:tc>
      </w:tr>
      <w:tr>
        <w:tblPrEx>
          <w:tblCellMar>
            <w:top w:w="0" w:type="dxa"/>
            <w:left w:w="108" w:type="dxa"/>
            <w:bottom w:w="0" w:type="dxa"/>
            <w:right w:w="108" w:type="dxa"/>
          </w:tblCellMar>
        </w:tblPrEx>
        <w:trPr>
          <w:gridAfter w:val="1"/>
          <w:wAfter w:w="589" w:type="dxa"/>
          <w:trHeight w:val="320" w:hRule="atLeast"/>
        </w:trPr>
        <w:tc>
          <w:tcPr>
            <w:tcW w:w="301"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序号</w:t>
            </w:r>
          </w:p>
        </w:tc>
        <w:tc>
          <w:tcPr>
            <w:tcW w:w="540"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设备名称</w:t>
            </w:r>
          </w:p>
        </w:tc>
        <w:tc>
          <w:tcPr>
            <w:tcW w:w="3277"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kern w:val="0"/>
                <w:sz w:val="18"/>
                <w:szCs w:val="18"/>
                <w:lang w:bidi="ar"/>
              </w:rPr>
            </w:pPr>
            <w:r>
              <w:rPr>
                <w:rFonts w:hint="eastAsia"/>
                <w:kern w:val="0"/>
                <w:sz w:val="18"/>
                <w:szCs w:val="18"/>
                <w:lang w:bidi="ar"/>
              </w:rPr>
              <w:t>服务子项</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数量</w:t>
            </w:r>
          </w:p>
        </w:tc>
      </w:tr>
      <w:tr>
        <w:tblPrEx>
          <w:tblCellMar>
            <w:top w:w="0" w:type="dxa"/>
            <w:left w:w="108" w:type="dxa"/>
            <w:bottom w:w="0" w:type="dxa"/>
            <w:right w:w="108" w:type="dxa"/>
          </w:tblCellMar>
        </w:tblPrEx>
        <w:trPr>
          <w:gridAfter w:val="1"/>
          <w:wAfter w:w="589" w:type="dxa"/>
          <w:trHeight w:val="320" w:hRule="atLeast"/>
        </w:trPr>
        <w:tc>
          <w:tcPr>
            <w:tcW w:w="301"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kern w:val="0"/>
                <w:sz w:val="18"/>
                <w:szCs w:val="18"/>
                <w:lang w:bidi="ar"/>
              </w:rPr>
            </w:pP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人/月</w:t>
            </w:r>
          </w:p>
        </w:tc>
      </w:tr>
      <w:tr>
        <w:tblPrEx>
          <w:tblCellMar>
            <w:top w:w="0" w:type="dxa"/>
            <w:left w:w="108" w:type="dxa"/>
            <w:bottom w:w="0" w:type="dxa"/>
            <w:right w:w="108" w:type="dxa"/>
          </w:tblCellMar>
        </w:tblPrEx>
        <w:trPr>
          <w:gridAfter w:val="1"/>
          <w:wAfter w:w="589" w:type="dxa"/>
          <w:trHeight w:val="3758"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p>
            <w:pPr>
              <w:widowControl/>
              <w:spacing w:line="380" w:lineRule="exact"/>
              <w:jc w:val="center"/>
              <w:textAlignment w:val="center"/>
              <w:rPr>
                <w:rFonts w:hint="eastAsia"/>
                <w:kern w:val="0"/>
                <w:sz w:val="18"/>
                <w:szCs w:val="18"/>
                <w:lang w:bidi="ar"/>
              </w:rPr>
            </w:pPr>
          </w:p>
        </w:tc>
        <w:tc>
          <w:tcPr>
            <w:tcW w:w="540" w:type="pct"/>
            <w:vMerge w:val="restar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治安警务管理平台</w:t>
            </w:r>
          </w:p>
        </w:tc>
        <w:tc>
          <w:tcPr>
            <w:tcW w:w="3277" w:type="pct"/>
            <w:tcBorders>
              <w:top w:val="single" w:color="000000" w:sz="4" w:space="0"/>
              <w:left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1、以图搜图模块：通过上传本地图片，系统将通过人脸识别算法，将图片中包含的人脸全部提取出来，并按照设置的相似度范围，逐一进行人脸检索，并将系统中的人员信息按相似度从高到低展示出来。鼠标移入人员头像区域，展示出该人员基本信息，点击可进入到人员详情页面。</w:t>
            </w:r>
          </w:p>
          <w:p>
            <w:pPr>
              <w:widowControl/>
              <w:spacing w:line="280" w:lineRule="exact"/>
              <w:jc w:val="left"/>
              <w:textAlignment w:val="center"/>
              <w:rPr>
                <w:rFonts w:hint="eastAsia" w:eastAsia="宋体"/>
                <w:kern w:val="0"/>
                <w:sz w:val="18"/>
                <w:szCs w:val="18"/>
                <w:lang w:eastAsia="zh-CN" w:bidi="ar"/>
              </w:rPr>
            </w:pPr>
          </w:p>
          <w:p>
            <w:pPr>
              <w:widowControl/>
              <w:spacing w:line="280" w:lineRule="exact"/>
              <w:jc w:val="left"/>
              <w:textAlignment w:val="center"/>
              <w:rPr>
                <w:rFonts w:hint="eastAsia" w:eastAsia="宋体"/>
                <w:kern w:val="0"/>
                <w:sz w:val="18"/>
                <w:szCs w:val="18"/>
                <w:lang w:eastAsia="zh-CN" w:bidi="ar"/>
              </w:rPr>
            </w:pPr>
          </w:p>
        </w:tc>
        <w:tc>
          <w:tcPr>
            <w:tcW w:w="512" w:type="pct"/>
            <w:tcBorders>
              <w:top w:val="single" w:color="000000" w:sz="4" w:space="0"/>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r>
      <w:tr>
        <w:tblPrEx>
          <w:tblCellMar>
            <w:top w:w="0" w:type="dxa"/>
            <w:left w:w="108" w:type="dxa"/>
            <w:bottom w:w="0" w:type="dxa"/>
            <w:right w:w="108" w:type="dxa"/>
          </w:tblCellMar>
        </w:tblPrEx>
        <w:trPr>
          <w:gridAfter w:val="1"/>
          <w:wAfter w:w="589" w:type="dxa"/>
          <w:trHeight w:val="9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2、GIS管理模块：三维GIS地图，使用专业3D绘制软件，用专业地图软件的three.js技术将3D模型加载至相关对接地图上，对管控范围内的小区进行还原建模，可全方位立体查看小区空间状况。</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3、特殊人群管理模块：在二维热力地图上，展示了管控范围内特殊群体的分布情况。</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4、治安防范体系：直观展示管控范围内各行政区域内的人防物防技防配备力量，用雷达图展示管控范围内汇总的三防力量。</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5</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5、安防管理模块：安防设置，人员黑名单，可对系统中要布控的人脸进行增删改查，具备根据姓名精确查找，根据录入时间查找；车辆黑名单，可对系统中要布控的车牌进行增删改查，具备根据车牌号码和车主姓名，录入时间进行查找。</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6</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6、小区管理模块：直观展示小区在各个区域内的数量分布情况。</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7、房屋管理模块：二维热力地图直观展示房屋在各个区域内的数量分布情况，颜色越深的地方房屋密度越大。</w:t>
            </w:r>
          </w:p>
          <w:p>
            <w:pPr>
              <w:widowControl/>
              <w:spacing w:line="280" w:lineRule="exact"/>
              <w:jc w:val="left"/>
              <w:textAlignment w:val="center"/>
              <w:rPr>
                <w:rFonts w:hint="eastAsia" w:eastAsia="宋体"/>
                <w:kern w:val="0"/>
                <w:sz w:val="18"/>
                <w:szCs w:val="18"/>
                <w:lang w:eastAsia="zh-CN" w:bidi="ar"/>
              </w:rPr>
            </w:pPr>
            <w:r>
              <w:rPr>
                <w:rFonts w:hint="eastAsia"/>
                <w:kern w:val="0"/>
                <w:sz w:val="18"/>
                <w:szCs w:val="18"/>
                <w:lang w:bidi="ar"/>
              </w:rPr>
              <w:t>8、人口管理模块：二维热力地图直观展示人口在各个区域内的数量分布情况，颜色越深的地方人口密度越大。</w:t>
            </w:r>
          </w:p>
          <w:p>
            <w:pPr>
              <w:widowControl/>
              <w:spacing w:line="280" w:lineRule="exact"/>
              <w:jc w:val="left"/>
              <w:textAlignment w:val="center"/>
              <w:rPr>
                <w:rFonts w:hint="eastAsia"/>
                <w:kern w:val="0"/>
                <w:sz w:val="18"/>
                <w:szCs w:val="18"/>
                <w:lang w:bidi="ar"/>
              </w:rPr>
            </w:pPr>
            <w:r>
              <w:rPr>
                <w:rFonts w:hint="eastAsia"/>
                <w:kern w:val="0"/>
                <w:sz w:val="18"/>
                <w:szCs w:val="18"/>
                <w:lang w:bidi="ar"/>
              </w:rPr>
              <w:t>9、出行管理模块：示了管控区域内的人员开门次数统计和车场停车次数统计，并投射在二维热力地图上，直观展示了对应区域的出行频繁状况。</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eastAsia="宋体"/>
                <w:kern w:val="0"/>
                <w:sz w:val="18"/>
                <w:szCs w:val="18"/>
                <w:lang w:eastAsia="zh-CN" w:bidi="ar"/>
              </w:rPr>
            </w:pPr>
            <w:r>
              <w:rPr>
                <w:rFonts w:hint="eastAsia"/>
                <w:sz w:val="18"/>
                <w:szCs w:val="18"/>
              </w:rPr>
              <w:t>▲</w:t>
            </w:r>
            <w:r>
              <w:rPr>
                <w:rFonts w:hint="eastAsia"/>
                <w:kern w:val="0"/>
                <w:sz w:val="18"/>
                <w:szCs w:val="18"/>
                <w:lang w:bidi="ar"/>
              </w:rPr>
              <w:t>10、实时监控模块：实时监控，将各个小区的摄像头监控画面接入到平台，可预览实时视频。</w:t>
            </w:r>
          </w:p>
          <w:p>
            <w:pPr>
              <w:widowControl/>
              <w:spacing w:line="280" w:lineRule="exact"/>
              <w:jc w:val="left"/>
              <w:textAlignment w:val="center"/>
              <w:rPr>
                <w:rFonts w:hint="eastAsia"/>
                <w:kern w:val="0"/>
                <w:sz w:val="18"/>
                <w:szCs w:val="18"/>
                <w:lang w:bidi="ar"/>
              </w:rPr>
            </w:pPr>
            <w:r>
              <w:rPr>
                <w:rFonts w:hint="eastAsia"/>
                <w:kern w:val="0"/>
                <w:sz w:val="18"/>
                <w:szCs w:val="18"/>
                <w:lang w:bidi="ar"/>
              </w:rPr>
              <w:t>11、实时告警模块：二维地图展示告警出现的位置，列表展示当前产生的告警。</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12、安全分析模块：用二维热力地图的形式将系统通过指定算法计算得出的小区安全指数展示出来，颜色越深表示安全指数越低。</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w:t>
            </w:r>
          </w:p>
        </w:tc>
        <w:tc>
          <w:tcPr>
            <w:tcW w:w="540" w:type="pct"/>
            <w:vMerge w:val="continue"/>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13、安防巡查模块：展示了管控范围内的巡查合格情况，条形图展示管控范围内各行政区域的巡查合格率。</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540"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center"/>
              <w:textAlignment w:val="center"/>
              <w:rPr>
                <w:rFonts w:hint="eastAsia"/>
                <w:kern w:val="0"/>
                <w:sz w:val="18"/>
                <w:szCs w:val="18"/>
                <w:lang w:bidi="ar"/>
              </w:rPr>
            </w:pPr>
            <w:r>
              <w:rPr>
                <w:rFonts w:hint="eastAsia"/>
                <w:kern w:val="0"/>
                <w:sz w:val="18"/>
                <w:szCs w:val="18"/>
                <w:lang w:bidi="ar"/>
              </w:rPr>
              <w:t>小计</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w:t>
            </w:r>
          </w:p>
        </w:tc>
        <w:tc>
          <w:tcPr>
            <w:tcW w:w="540" w:type="pct"/>
            <w:vMerge w:val="restart"/>
            <w:tcBorders>
              <w:top w:val="single" w:color="000000" w:sz="4" w:space="0"/>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智慧平安小区管理服务平台</w:t>
            </w:r>
          </w:p>
        </w:tc>
        <w:tc>
          <w:tcPr>
            <w:tcW w:w="3277" w:type="pct"/>
            <w:vMerge w:val="restart"/>
            <w:tcBorders>
              <w:top w:val="single" w:color="000000" w:sz="4" w:space="0"/>
              <w:left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1、楼栋档案：具备批量导入楼栋单元信息，具备用楼栋编码搜索楼栋信息。</w:t>
            </w:r>
          </w:p>
        </w:tc>
        <w:tc>
          <w:tcPr>
            <w:tcW w:w="512" w:type="pct"/>
            <w:vMerge w:val="restart"/>
            <w:tcBorders>
              <w:top w:val="single" w:color="000000" w:sz="4" w:space="0"/>
              <w:left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vMerge w:val="continue"/>
            <w:tcBorders>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p>
        </w:tc>
        <w:tc>
          <w:tcPr>
            <w:tcW w:w="512" w:type="pct"/>
            <w:vMerge w:val="continue"/>
            <w:tcBorders>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3</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2、房屋档案：具备批量导入、导出房屋资料和编辑修改和删除已添加的业主信息。</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3、可查询实时业主开门记录、访客记录。</w:t>
            </w:r>
          </w:p>
          <w:p>
            <w:pPr>
              <w:widowControl/>
              <w:spacing w:line="280" w:lineRule="exact"/>
              <w:jc w:val="left"/>
              <w:textAlignment w:val="center"/>
              <w:rPr>
                <w:rFonts w:hint="eastAsia"/>
                <w:kern w:val="0"/>
                <w:sz w:val="18"/>
                <w:szCs w:val="18"/>
                <w:lang w:bidi="ar"/>
              </w:rPr>
            </w:pPr>
            <w:r>
              <w:rPr>
                <w:rFonts w:hint="eastAsia"/>
                <w:kern w:val="0"/>
                <w:sz w:val="18"/>
                <w:szCs w:val="18"/>
                <w:lang w:bidi="ar"/>
              </w:rPr>
              <w:t>4、可实时查询车辆进出记录、场内车辆记录（含图片、车牌号、进出时间）。</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5</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5、具备微信小程序，实现平台与业主微信小程序之间的报修、投诉、公告互动。</w:t>
            </w:r>
          </w:p>
          <w:p>
            <w:pPr>
              <w:widowControl/>
              <w:spacing w:line="280" w:lineRule="exact"/>
              <w:jc w:val="left"/>
              <w:textAlignment w:val="center"/>
              <w:rPr>
                <w:rFonts w:hint="eastAsia"/>
                <w:sz w:val="18"/>
                <w:szCs w:val="18"/>
              </w:rPr>
            </w:pPr>
            <w:r>
              <w:rPr>
                <w:rFonts w:hint="eastAsia"/>
                <w:kern w:val="0"/>
                <w:sz w:val="18"/>
                <w:szCs w:val="18"/>
                <w:lang w:bidi="ar"/>
              </w:rPr>
              <w:t>6、公告管理：安装微信小程序的住户可收到推送和查看、评价，向住户发布的公告信息。</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6</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7、住户管理：具备批量导入、导出住户资料和编辑修改和删除已添加的住户信息。</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7</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8、投诉管理：可以录入投诉信息，微信小程序前端用户提交的投诉也会同步显示。</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8</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sz w:val="18"/>
                <w:szCs w:val="18"/>
              </w:rPr>
              <w:t>▲</w:t>
            </w:r>
            <w:r>
              <w:rPr>
                <w:rFonts w:hint="eastAsia"/>
                <w:kern w:val="0"/>
                <w:sz w:val="18"/>
                <w:szCs w:val="18"/>
                <w:lang w:bidi="ar"/>
              </w:rPr>
              <w:t>9、身份认证管理：具备业主、家属或租客在微信小程序前端填写个人信息资料提交进行身份认证，可以进行审核、“通过”或“驳回”房屋认证申请等操作。</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4</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9</w:t>
            </w:r>
          </w:p>
        </w:tc>
        <w:tc>
          <w:tcPr>
            <w:tcW w:w="540" w:type="pct"/>
            <w:vMerge w:val="continue"/>
            <w:tcBorders>
              <w:left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10、人脸识别门禁系统：进出人员均需人脸识别认证后方可通行，同时系统自动抓取通行人员通行时的抓拍图片作为记录。</w:t>
            </w:r>
          </w:p>
        </w:tc>
        <w:tc>
          <w:tcPr>
            <w:tcW w:w="512"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r>
      <w:tr>
        <w:tblPrEx>
          <w:tblCellMar>
            <w:top w:w="0" w:type="dxa"/>
            <w:left w:w="108" w:type="dxa"/>
            <w:bottom w:w="0" w:type="dxa"/>
            <w:right w:w="108" w:type="dxa"/>
          </w:tblCellMar>
        </w:tblPrEx>
        <w:trPr>
          <w:gridAfter w:val="1"/>
          <w:wAfter w:w="589" w:type="dxa"/>
          <w:trHeight w:val="320" w:hRule="atLeast"/>
        </w:trPr>
        <w:tc>
          <w:tcPr>
            <w:tcW w:w="301"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10</w:t>
            </w:r>
          </w:p>
        </w:tc>
        <w:tc>
          <w:tcPr>
            <w:tcW w:w="540" w:type="pct"/>
            <w:vMerge w:val="continue"/>
            <w:tcBorders>
              <w:left w:val="single" w:color="000000" w:sz="4" w:space="0"/>
              <w:bottom w:val="single" w:color="000000" w:sz="4" w:space="0"/>
              <w:right w:val="single" w:color="000000" w:sz="4" w:space="0"/>
            </w:tcBorders>
            <w:noWrap w:val="0"/>
            <w:vAlign w:val="center"/>
          </w:tcPr>
          <w:p>
            <w:pPr>
              <w:widowControl/>
              <w:spacing w:line="380" w:lineRule="exact"/>
              <w:jc w:val="center"/>
              <w:textAlignment w:val="center"/>
              <w:rPr>
                <w:rFonts w:hint="eastAsia"/>
                <w:kern w:val="0"/>
                <w:sz w:val="18"/>
                <w:szCs w:val="18"/>
                <w:lang w:bidi="ar"/>
              </w:rPr>
            </w:pPr>
          </w:p>
        </w:tc>
        <w:tc>
          <w:tcPr>
            <w:tcW w:w="3277" w:type="pct"/>
            <w:tcBorders>
              <w:top w:val="single" w:color="000000" w:sz="4" w:space="0"/>
              <w:left w:val="single" w:color="000000" w:sz="4" w:space="0"/>
              <w:bottom w:val="single" w:color="000000" w:sz="4" w:space="0"/>
              <w:right w:val="single" w:color="000000" w:sz="4" w:space="0"/>
            </w:tcBorders>
            <w:noWrap w:val="0"/>
            <w:vAlign w:val="center"/>
          </w:tcPr>
          <w:p>
            <w:pPr>
              <w:widowControl/>
              <w:spacing w:line="280" w:lineRule="exact"/>
              <w:jc w:val="left"/>
              <w:textAlignment w:val="center"/>
              <w:rPr>
                <w:rFonts w:hint="eastAsia"/>
                <w:kern w:val="0"/>
                <w:sz w:val="18"/>
                <w:szCs w:val="18"/>
                <w:lang w:bidi="ar"/>
              </w:rPr>
            </w:pPr>
            <w:r>
              <w:rPr>
                <w:rFonts w:hint="eastAsia"/>
                <w:kern w:val="0"/>
                <w:sz w:val="18"/>
                <w:szCs w:val="18"/>
                <w:lang w:bidi="ar"/>
              </w:rPr>
              <w:t>11、车辆出入系统：进出车辆均需车牌识别认证后方可通行，同时系统自动抓取通行车辆通行时的抓拍图片作为记录。</w:t>
            </w:r>
          </w:p>
        </w:tc>
        <w:tc>
          <w:tcPr>
            <w:tcW w:w="512" w:type="pct"/>
            <w:tcBorders>
              <w:top w:val="single" w:color="000000" w:sz="4" w:space="0"/>
              <w:left w:val="single" w:color="000000" w:sz="4" w:space="0"/>
              <w:bottom w:val="single" w:color="000000" w:sz="4" w:space="0"/>
              <w:right w:val="single" w:color="000000" w:sz="4" w:space="0"/>
            </w:tcBorders>
            <w:noWrap/>
            <w:vAlign w:val="center"/>
          </w:tcPr>
          <w:p>
            <w:pPr>
              <w:widowControl/>
              <w:spacing w:line="380" w:lineRule="exact"/>
              <w:jc w:val="center"/>
              <w:textAlignment w:val="center"/>
              <w:rPr>
                <w:rFonts w:hint="eastAsia"/>
                <w:kern w:val="0"/>
                <w:sz w:val="18"/>
                <w:szCs w:val="18"/>
                <w:lang w:bidi="ar"/>
              </w:rPr>
            </w:pPr>
            <w:r>
              <w:rPr>
                <w:rFonts w:hint="eastAsia"/>
                <w:kern w:val="0"/>
                <w:sz w:val="18"/>
                <w:szCs w:val="18"/>
                <w:lang w:bidi="ar"/>
              </w:rPr>
              <w:t>2</w:t>
            </w:r>
          </w:p>
        </w:tc>
      </w:tr>
    </w:tbl>
    <w:p>
      <w:pPr>
        <w:pStyle w:val="4"/>
        <w:numPr>
          <w:ilvl w:val="1"/>
          <w:numId w:val="0"/>
        </w:numPr>
      </w:pPr>
    </w:p>
    <w:bookmarkEnd w:id="174"/>
    <w:p>
      <w:pPr>
        <w:spacing w:line="360" w:lineRule="auto"/>
        <w:contextualSpacing/>
        <w:rPr>
          <w:rFonts w:hint="eastAsia" w:ascii="宋体" w:hAnsi="宋体" w:eastAsia="宋体"/>
          <w:b/>
          <w:bCs/>
          <w:color w:val="auto"/>
          <w:sz w:val="24"/>
          <w:highlight w:val="none"/>
        </w:rPr>
      </w:pPr>
    </w:p>
    <w:bookmarkEnd w:id="175"/>
    <w:bookmarkEnd w:id="176"/>
    <w:bookmarkEnd w:id="177"/>
    <w:bookmarkEnd w:id="178"/>
    <w:bookmarkEnd w:id="179"/>
    <w:bookmarkEnd w:id="180"/>
    <w:bookmarkEnd w:id="181"/>
    <w:bookmarkEnd w:id="182"/>
    <w:bookmarkEnd w:id="183"/>
    <w:bookmarkEnd w:id="184"/>
    <w:bookmarkEnd w:id="185"/>
    <w:bookmarkEnd w:id="186"/>
    <w:p>
      <w:pPr>
        <w:keepNext/>
        <w:keepLines/>
        <w:numPr>
          <w:ilvl w:val="0"/>
          <w:numId w:val="5"/>
        </w:numPr>
        <w:spacing w:before="340" w:after="330" w:line="400" w:lineRule="exact"/>
        <w:jc w:val="center"/>
        <w:outlineLvl w:val="0"/>
        <w:rPr>
          <w:rFonts w:ascii="宋体" w:hAnsi="宋体"/>
          <w:b/>
          <w:bCs/>
          <w:color w:val="auto"/>
          <w:spacing w:val="-20"/>
          <w:kern w:val="44"/>
          <w:sz w:val="32"/>
          <w:szCs w:val="32"/>
          <w:highlight w:val="none"/>
        </w:rPr>
      </w:pPr>
      <w:bookmarkStart w:id="867" w:name="_Toc26645"/>
      <w:bookmarkStart w:id="868" w:name="_Toc15731"/>
      <w:r>
        <w:rPr>
          <w:rFonts w:hint="eastAsia" w:ascii="宋体" w:hAnsi="宋体"/>
          <w:b/>
          <w:bCs/>
          <w:color w:val="auto"/>
          <w:spacing w:val="-20"/>
          <w:kern w:val="44"/>
          <w:sz w:val="32"/>
          <w:szCs w:val="32"/>
          <w:highlight w:val="none"/>
        </w:rPr>
        <w:t>资格性审查</w:t>
      </w:r>
      <w:bookmarkEnd w:id="867"/>
      <w:bookmarkEnd w:id="868"/>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资格性审查由采购人组建的资格审查小组依据法律法规和招标文件的规定，对投标保证金(</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公资交易中心出具的</w:t>
      </w:r>
      <w:r>
        <w:rPr>
          <w:rFonts w:hint="eastAsia" w:ascii="宋体" w:hAnsi="宋体"/>
          <w:b/>
          <w:color w:val="auto"/>
          <w:sz w:val="28"/>
          <w:szCs w:val="28"/>
          <w:highlight w:val="none"/>
        </w:rPr>
        <w:t>《</w:t>
      </w:r>
      <w:r>
        <w:rPr>
          <w:rFonts w:hint="eastAsia" w:ascii="宋体" w:hAnsi="宋体" w:cs="宋体"/>
          <w:b/>
          <w:color w:val="auto"/>
          <w:sz w:val="28"/>
          <w:szCs w:val="28"/>
          <w:highlight w:val="none"/>
        </w:rPr>
        <w:t>成都市政府采购项目供应商参与及保证金交纳情况表》</w:t>
      </w:r>
      <w:r>
        <w:rPr>
          <w:rFonts w:hint="eastAsia" w:ascii="宋体" w:hAnsi="宋体"/>
          <w:b/>
          <w:color w:val="auto"/>
          <w:sz w:val="28"/>
          <w:szCs w:val="28"/>
          <w:highlight w:val="none"/>
        </w:rPr>
        <w:t>或投标人递交的投标保函</w:t>
      </w:r>
      <w:r>
        <w:rPr>
          <w:rFonts w:hint="eastAsia" w:ascii="宋体" w:hAnsi="宋体"/>
          <w:color w:val="auto"/>
          <w:sz w:val="28"/>
          <w:szCs w:val="28"/>
          <w:highlight w:val="none"/>
        </w:rPr>
        <w:t>)、投标文件中的资格证明等进行审查，以确定投标人是否具备投标资格，并出具资格性审查报告。</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资格性审查时因断电、断网、系统故障或其他不可抗力等因素，导致资格审查小组无法通过系统阅读投标文件进行审查的，待系统恢复后继续审查。出现上述情况时，</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公资交易中心将以电子邮件形式通知各投标人。资格性审查标准见下表：</w:t>
      </w:r>
    </w:p>
    <w:tbl>
      <w:tblPr>
        <w:tblStyle w:val="43"/>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5"/>
        <w:gridCol w:w="427"/>
        <w:gridCol w:w="1681"/>
        <w:gridCol w:w="5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2803" w:type="dxa"/>
            <w:gridSpan w:val="3"/>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b/>
                <w:color w:val="auto"/>
                <w:sz w:val="20"/>
                <w:highlight w:val="none"/>
              </w:rPr>
            </w:pPr>
            <w:r>
              <w:rPr>
                <w:rFonts w:hint="eastAsia"/>
                <w:b/>
                <w:color w:val="auto"/>
                <w:sz w:val="20"/>
                <w:highlight w:val="none"/>
              </w:rPr>
              <w:t>资格性审查项</w:t>
            </w:r>
          </w:p>
        </w:tc>
        <w:tc>
          <w:tcPr>
            <w:tcW w:w="5719" w:type="dxa"/>
            <w:tcBorders>
              <w:top w:val="single" w:color="auto" w:sz="2" w:space="0"/>
              <w:left w:val="single" w:color="auto" w:sz="2" w:space="0"/>
              <w:bottom w:val="single" w:color="auto" w:sz="4" w:space="0"/>
              <w:right w:val="single" w:color="auto" w:sz="2" w:space="0"/>
            </w:tcBorders>
            <w:vAlign w:val="center"/>
          </w:tcPr>
          <w:p>
            <w:pPr>
              <w:tabs>
                <w:tab w:val="left" w:pos="851"/>
              </w:tabs>
              <w:spacing w:line="360" w:lineRule="auto"/>
              <w:jc w:val="center"/>
              <w:rPr>
                <w:color w:val="auto"/>
                <w:sz w:val="20"/>
                <w:highlight w:val="none"/>
              </w:rPr>
            </w:pPr>
            <w:r>
              <w:rPr>
                <w:rFonts w:hint="eastAsia"/>
                <w:b/>
                <w:color w:val="auto"/>
                <w:sz w:val="20"/>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color w:val="auto"/>
                <w:sz w:val="20"/>
                <w:highlight w:val="none"/>
              </w:rPr>
              <w:t>1</w:t>
            </w:r>
          </w:p>
        </w:tc>
        <w:tc>
          <w:tcPr>
            <w:tcW w:w="2108" w:type="dxa"/>
            <w:gridSpan w:val="2"/>
            <w:tcBorders>
              <w:top w:val="single" w:color="auto" w:sz="2" w:space="0"/>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在中华人民共和国境内依法登记注册，并有效存续具有独立法人资格的供应商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营业执照复印件（正本或副本）或法人证书复印件（正本或副本）。【说明：</w:t>
            </w:r>
            <w:r>
              <w:rPr>
                <w:rFonts w:hint="eastAsia" w:ascii="宋体" w:hAnsi="宋体"/>
                <w:color w:val="auto"/>
                <w:sz w:val="20"/>
                <w:szCs w:val="28"/>
                <w:highlight w:val="none"/>
              </w:rPr>
              <w:t>①</w:t>
            </w:r>
            <w:r>
              <w:rPr>
                <w:rFonts w:hint="eastAsia"/>
                <w:color w:val="auto"/>
                <w:sz w:val="20"/>
                <w:highlight w:val="none"/>
              </w:rPr>
              <w:t>营业执照或法人证书载明有期限的，应在有效期限内；</w:t>
            </w:r>
            <w:r>
              <w:rPr>
                <w:rFonts w:hint="eastAsia" w:ascii="宋体" w:hAnsi="宋体"/>
                <w:color w:val="auto"/>
                <w:sz w:val="20"/>
                <w:szCs w:val="28"/>
                <w:highlight w:val="none"/>
              </w:rPr>
              <w:t>②</w:t>
            </w:r>
            <w:r>
              <w:rPr>
                <w:rFonts w:hint="eastAsia"/>
                <w:color w:val="auto"/>
                <w:sz w:val="20"/>
                <w:highlight w:val="none"/>
              </w:rPr>
              <w:t>在中华人民共和国境内注册，具有独立法人资格。】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top w:val="single" w:color="auto" w:sz="2" w:space="0"/>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color w:val="auto"/>
                <w:sz w:val="20"/>
                <w:highlight w:val="none"/>
              </w:rPr>
              <w:t>2</w:t>
            </w:r>
          </w:p>
        </w:tc>
        <w:tc>
          <w:tcPr>
            <w:tcW w:w="427" w:type="dxa"/>
            <w:vMerge w:val="restart"/>
            <w:tcBorders>
              <w:top w:val="single" w:color="auto" w:sz="2" w:space="0"/>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书面声明材料</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具有良好的商业信誉的证明材料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投标人具有良好的商业信誉的书面声明材料。【说明：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.2.2声明的格式及</w:t>
            </w:r>
            <w:r>
              <w:rPr>
                <w:color w:val="auto"/>
                <w:sz w:val="20"/>
                <w:highlight w:val="none"/>
              </w:rPr>
              <w:t>要求</w:t>
            </w:r>
            <w:r>
              <w:rPr>
                <w:rFonts w:hint="eastAsia"/>
                <w:color w:val="auto"/>
                <w:sz w:val="20"/>
                <w:highlight w:val="none"/>
              </w:rPr>
              <w:t>提供书面声明材料</w:t>
            </w:r>
            <w:r>
              <w:rPr>
                <w:rFonts w:hint="eastAsia" w:ascii="宋体" w:hAnsi="宋体"/>
                <w:color w:val="auto"/>
                <w:sz w:val="20"/>
                <w:szCs w:val="28"/>
                <w:highlight w:val="none"/>
              </w:rPr>
              <w:t>；②供应商具有良好的商业信誉</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参加政府采购活动前三年内，在经营活动中没有重大违法记录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投标人参加政府采购活动前三年内，在经营活动中没有重大违法记录的书面声明材料。【说明：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.2.2声明的格式及</w:t>
            </w:r>
            <w:r>
              <w:rPr>
                <w:color w:val="auto"/>
                <w:sz w:val="20"/>
                <w:highlight w:val="none"/>
              </w:rPr>
              <w:t>要求</w:t>
            </w:r>
            <w:r>
              <w:rPr>
                <w:rFonts w:hint="eastAsia"/>
                <w:color w:val="auto"/>
                <w:sz w:val="20"/>
                <w:highlight w:val="none"/>
              </w:rPr>
              <w:t>提供书面声明材料；</w:t>
            </w:r>
            <w:r>
              <w:rPr>
                <w:rFonts w:hint="eastAsia" w:ascii="宋体" w:hAnsi="宋体"/>
                <w:color w:val="auto"/>
                <w:sz w:val="20"/>
                <w:szCs w:val="28"/>
                <w:highlight w:val="none"/>
              </w:rPr>
              <w:t>②供应商参加政府采购活动前三年内，在经营活动中没有重大违法记录</w:t>
            </w:r>
            <w:r>
              <w:rPr>
                <w:rFonts w:hint="eastAsia"/>
                <w:color w:val="auto"/>
                <w:sz w:val="20"/>
                <w:highlight w:val="none"/>
              </w:rPr>
              <w:t>。】</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网站的查询结果，在资格审查期间对投标人在参加政府采购活动前三年内，在经营活动中是否有重大违法记录进行审查。【说明：投标人参加政府采购活动前三年内，在经营活动中没有重大违法记录。】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未被列入失信被执行人、重大税收违法案件当事人名单、政府采购严重违法失信行为记录名单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投标人未列入失信被执行人、重大税收违法案件当事人名单、政府采购严重违法失信行为记录名单的书面声明材料。【说明：</w:t>
            </w:r>
            <w:r>
              <w:rPr>
                <w:rFonts w:hint="eastAsia" w:ascii="宋体" w:hAnsi="宋体"/>
                <w:color w:val="auto"/>
                <w:sz w:val="20"/>
                <w:szCs w:val="28"/>
                <w:highlight w:val="none"/>
              </w:rPr>
              <w:t>①</w:t>
            </w:r>
            <w:r>
              <w:rPr>
                <w:rFonts w:hint="eastAsia"/>
                <w:color w:val="auto"/>
                <w:sz w:val="20"/>
                <w:highlight w:val="none"/>
              </w:rPr>
              <w:t>投标人未列入失信被执行人、重大税收违法案件当事人名单、政府采购严重违法失信行为记录名单；</w:t>
            </w:r>
            <w:r>
              <w:rPr>
                <w:rFonts w:hint="eastAsia" w:ascii="宋体" w:hAnsi="宋体"/>
                <w:color w:val="auto"/>
                <w:sz w:val="20"/>
                <w:szCs w:val="28"/>
                <w:highlight w:val="none"/>
              </w:rPr>
              <w:t>②</w:t>
            </w:r>
            <w:r>
              <w:rPr>
                <w:rFonts w:hint="eastAsia"/>
                <w:color w:val="auto"/>
                <w:sz w:val="20"/>
                <w:highlight w:val="none"/>
              </w:rPr>
              <w:t>按招标文件</w:t>
            </w:r>
            <w:r>
              <w:rPr>
                <w:color w:val="auto"/>
                <w:sz w:val="20"/>
                <w:highlight w:val="none"/>
              </w:rPr>
              <w:t>3</w:t>
            </w:r>
            <w:r>
              <w:rPr>
                <w:rFonts w:hint="eastAsia"/>
                <w:color w:val="auto"/>
                <w:sz w:val="20"/>
                <w:highlight w:val="none"/>
              </w:rPr>
              <w:t>.2.2声明格式及</w:t>
            </w:r>
            <w:r>
              <w:rPr>
                <w:color w:val="auto"/>
                <w:sz w:val="20"/>
                <w:highlight w:val="none"/>
              </w:rPr>
              <w:t>要求</w:t>
            </w:r>
            <w:r>
              <w:rPr>
                <w:rFonts w:hint="eastAsia"/>
                <w:color w:val="auto"/>
                <w:sz w:val="20"/>
                <w:highlight w:val="none"/>
              </w:rPr>
              <w:t>提供书面声明材料。】</w:t>
            </w:r>
          </w:p>
          <w:p>
            <w:pPr>
              <w:tabs>
                <w:tab w:val="left" w:pos="851"/>
              </w:tabs>
              <w:spacing w:line="360" w:lineRule="auto"/>
              <w:rPr>
                <w:color w:val="auto"/>
                <w:sz w:val="20"/>
                <w:highlight w:val="none"/>
              </w:rPr>
            </w:pPr>
            <w:r>
              <w:rPr>
                <w:color w:val="auto"/>
                <w:sz w:val="20"/>
                <w:highlight w:val="none"/>
              </w:rPr>
              <w:t xml:space="preserve">2. </w:t>
            </w:r>
            <w:r>
              <w:rPr>
                <w:rFonts w:hint="eastAsia"/>
                <w:color w:val="auto"/>
                <w:sz w:val="20"/>
                <w:highlight w:val="none"/>
              </w:rPr>
              <w:t>资格审查小组根据</w:t>
            </w:r>
            <w:r>
              <w:rPr>
                <w:color w:val="auto"/>
                <w:sz w:val="20"/>
                <w:highlight w:val="none"/>
              </w:rPr>
              <w:t>“</w:t>
            </w:r>
            <w:r>
              <w:rPr>
                <w:rFonts w:hint="eastAsia"/>
                <w:color w:val="auto"/>
                <w:sz w:val="20"/>
                <w:highlight w:val="none"/>
              </w:rPr>
              <w:t>信用中国</w:t>
            </w:r>
            <w:r>
              <w:rPr>
                <w:color w:val="auto"/>
                <w:sz w:val="20"/>
                <w:highlight w:val="none"/>
              </w:rPr>
              <w:t>”</w:t>
            </w:r>
            <w:r>
              <w:rPr>
                <w:rFonts w:hint="eastAsia"/>
                <w:color w:val="auto"/>
                <w:sz w:val="20"/>
                <w:highlight w:val="none"/>
              </w:rPr>
              <w:t>和</w:t>
            </w:r>
            <w:r>
              <w:rPr>
                <w:color w:val="auto"/>
                <w:sz w:val="20"/>
                <w:highlight w:val="none"/>
              </w:rPr>
              <w:t>“</w:t>
            </w:r>
            <w:r>
              <w:rPr>
                <w:rFonts w:hint="eastAsia"/>
                <w:color w:val="auto"/>
                <w:sz w:val="20"/>
                <w:highlight w:val="none"/>
              </w:rPr>
              <w:t>中国政府采购网</w:t>
            </w:r>
            <w:r>
              <w:rPr>
                <w:color w:val="auto"/>
                <w:sz w:val="20"/>
                <w:highlight w:val="none"/>
              </w:rPr>
              <w:t>”</w:t>
            </w:r>
            <w:r>
              <w:rPr>
                <w:rFonts w:hint="eastAsia"/>
                <w:color w:val="auto"/>
                <w:sz w:val="20"/>
                <w:highlight w:val="none"/>
              </w:rPr>
              <w:t>网站的查询结果，在资格审查期间对投标人在参加政府采购活动前三年内，在经营活动中是否被列入失信被执行人、重大税收违法案件当事人名单、政府采购严重违法失信行为记录名单进行审查。【说明：投标人未列入失信被执行人、重大税收违法案件当事人名单、政府采购严重违法失信行为记录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未处于被行政部门禁止参与政府采购活动的期限内</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投标人未处于被行政部门禁止参与政府采购活动的期限内。【说明：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.2.2声明格式及</w:t>
            </w:r>
            <w:r>
              <w:rPr>
                <w:color w:val="auto"/>
                <w:sz w:val="20"/>
                <w:highlight w:val="none"/>
              </w:rPr>
              <w:t>要求</w:t>
            </w:r>
            <w:r>
              <w:rPr>
                <w:rFonts w:hint="eastAsia"/>
                <w:color w:val="auto"/>
                <w:sz w:val="20"/>
                <w:highlight w:val="none"/>
              </w:rPr>
              <w:t>提供书面声明材料</w:t>
            </w:r>
            <w:r>
              <w:rPr>
                <w:rFonts w:hint="eastAsia" w:ascii="宋体" w:hAnsi="宋体"/>
                <w:color w:val="auto"/>
                <w:sz w:val="20"/>
                <w:szCs w:val="28"/>
                <w:highlight w:val="none"/>
              </w:rPr>
              <w:t>；②供应商未处于被行政部门禁止参与政府采购活动的期限内。</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行贿犯罪记录</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在行贿犯罪信息查询期限内，投标人及其现任法定代表人、主要负责人没有行贿犯罪记录的书面声明材料。【说明：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.2.2声明格式及</w:t>
            </w:r>
            <w:r>
              <w:rPr>
                <w:color w:val="auto"/>
                <w:sz w:val="20"/>
                <w:highlight w:val="none"/>
              </w:rPr>
              <w:t>要求</w:t>
            </w:r>
            <w:r>
              <w:rPr>
                <w:rFonts w:hint="eastAsia"/>
                <w:color w:val="auto"/>
                <w:sz w:val="20"/>
                <w:highlight w:val="none"/>
              </w:rPr>
              <w:t>提供书面声明材料，投标文件中不需提供中国裁判文书网（</w:t>
            </w:r>
            <w:r>
              <w:rPr>
                <w:color w:val="auto"/>
                <w:sz w:val="20"/>
                <w:highlight w:val="none"/>
              </w:rPr>
              <w:t>https://wenshu.court.gov.cn</w:t>
            </w:r>
            <w:r>
              <w:rPr>
                <w:rFonts w:hint="eastAsia"/>
                <w:color w:val="auto"/>
                <w:sz w:val="20"/>
                <w:highlight w:val="none"/>
              </w:rPr>
              <w:t>）查询结果的证明材料；</w:t>
            </w:r>
            <w:r>
              <w:rPr>
                <w:rFonts w:hint="eastAsia" w:ascii="宋体" w:hAnsi="宋体"/>
                <w:color w:val="auto"/>
                <w:sz w:val="20"/>
                <w:szCs w:val="28"/>
                <w:highlight w:val="none"/>
              </w:rPr>
              <w:t>②在行贿犯罪信息查询期限内，供应商及其现任法定代表人、主要负责人没有行贿犯罪记录</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单位负责人为同一人或者存在直接控股、管理关系的不同供应商，不得参加同一项目的投标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与投标人负责人为同一人或者存在直接控股、管理关系的相关供应商的书面声明材料。【说明：</w:t>
            </w:r>
            <w:r>
              <w:rPr>
                <w:rFonts w:hint="eastAsia" w:ascii="宋体" w:hAnsi="宋体"/>
                <w:color w:val="auto"/>
                <w:sz w:val="20"/>
                <w:szCs w:val="28"/>
                <w:highlight w:val="none"/>
              </w:rPr>
              <w:t>①</w:t>
            </w:r>
            <w:r>
              <w:rPr>
                <w:rFonts w:hint="eastAsia"/>
                <w:color w:val="auto"/>
                <w:sz w:val="20"/>
                <w:highlight w:val="none"/>
              </w:rPr>
              <w:t>按招标文件</w:t>
            </w:r>
            <w:r>
              <w:rPr>
                <w:color w:val="auto"/>
                <w:sz w:val="20"/>
                <w:highlight w:val="none"/>
              </w:rPr>
              <w:t>3</w:t>
            </w:r>
            <w:r>
              <w:rPr>
                <w:rFonts w:hint="eastAsia"/>
                <w:color w:val="auto"/>
                <w:sz w:val="20"/>
                <w:highlight w:val="none"/>
              </w:rPr>
              <w:t>.2.2声明格式及</w:t>
            </w:r>
            <w:r>
              <w:rPr>
                <w:color w:val="auto"/>
                <w:sz w:val="20"/>
                <w:highlight w:val="none"/>
              </w:rPr>
              <w:t>要求</w:t>
            </w:r>
            <w:r>
              <w:rPr>
                <w:rFonts w:hint="eastAsia"/>
                <w:color w:val="auto"/>
                <w:sz w:val="20"/>
                <w:highlight w:val="none"/>
              </w:rPr>
              <w:t>提供书面声明材料</w:t>
            </w:r>
            <w:r>
              <w:rPr>
                <w:rFonts w:hint="eastAsia" w:ascii="宋体" w:hAnsi="宋体"/>
                <w:color w:val="auto"/>
                <w:sz w:val="20"/>
                <w:szCs w:val="28"/>
                <w:highlight w:val="none"/>
              </w:rPr>
              <w:t>；②参加投标的供应商中无与投标人的负责人为同一人或者存在直接控股、管理关系的供应商。</w:t>
            </w:r>
            <w:r>
              <w:rPr>
                <w:rFonts w:hint="eastAsia"/>
                <w:color w:val="auto"/>
                <w:sz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restart"/>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3</w:t>
            </w:r>
          </w:p>
        </w:tc>
        <w:tc>
          <w:tcPr>
            <w:tcW w:w="427" w:type="dxa"/>
            <w:vMerge w:val="restart"/>
            <w:tcBorders>
              <w:left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其他</w:t>
            </w: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具有履行合同所必须的设备和专业技术能力</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采购人对投标人履行合同所必须的设备和专业技术能力无其他特殊要求，投标人具有有效的营业执照或法人证书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法律、行政法规规定的其他条件</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采购人对法律、行政法规规定的其他条件无其他特殊要求，投标人具有有效的营业执照或法人证书</w:t>
            </w:r>
            <w:r>
              <w:rPr>
                <w:rFonts w:hint="eastAsia" w:ascii="宋体" w:hAnsi="宋体"/>
                <w:color w:val="auto"/>
                <w:sz w:val="20"/>
                <w:szCs w:val="28"/>
                <w:highlight w:val="none"/>
              </w:rPr>
              <w:t>即可，可不提供其他证明材料</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jc w:val="center"/>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不属于其他国家相关法律法规规定的禁止参加投标的供应商</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1</w:t>
            </w:r>
            <w:r>
              <w:rPr>
                <w:rFonts w:hint="eastAsia"/>
                <w:color w:val="auto"/>
                <w:sz w:val="20"/>
                <w:highlight w:val="none"/>
              </w:rPr>
              <w:t>、根据招标文件的要求不属于禁止参加投标或投标无效的供应商；</w:t>
            </w:r>
          </w:p>
          <w:p>
            <w:pPr>
              <w:tabs>
                <w:tab w:val="left" w:pos="851"/>
              </w:tabs>
              <w:spacing w:line="360" w:lineRule="auto"/>
              <w:rPr>
                <w:color w:val="auto"/>
                <w:sz w:val="20"/>
                <w:highlight w:val="none"/>
              </w:rPr>
            </w:pPr>
            <w:r>
              <w:rPr>
                <w:color w:val="auto"/>
                <w:sz w:val="20"/>
                <w:highlight w:val="none"/>
              </w:rPr>
              <w:t>2</w:t>
            </w:r>
            <w:r>
              <w:rPr>
                <w:rFonts w:hint="eastAsia"/>
                <w:color w:val="auto"/>
                <w:sz w:val="20"/>
                <w:highlight w:val="none"/>
              </w:rPr>
              <w:t>、资格审查小组未发现或者未知晓投标人存在属于国家相关法律法规规定的禁止参加投标或投标无效的供应商。</w:t>
            </w:r>
          </w:p>
          <w:p>
            <w:pPr>
              <w:tabs>
                <w:tab w:val="left" w:pos="851"/>
              </w:tabs>
              <w:spacing w:line="360" w:lineRule="auto"/>
              <w:rPr>
                <w:color w:val="auto"/>
                <w:sz w:val="20"/>
                <w:highlight w:val="none"/>
              </w:rPr>
            </w:pP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联合体投标</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非联合体投标。【说明：无须提供证明材料，上传空白页即可，不对本项上传的材料作资格审查】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资质要求</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投标保证金</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投标文件解密情况</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ascii="宋体" w:hAnsi="宋体"/>
                <w:color w:val="auto"/>
                <w:sz w:val="20"/>
                <w:szCs w:val="28"/>
                <w:highlight w:val="none"/>
              </w:rPr>
              <w:t>除因断电、断网、系统故障或其他不可抗力等因素，导致系统无法使用外，投标文件已成功解密。</w:t>
            </w:r>
            <w:r>
              <w:rPr>
                <w:rFonts w:hint="eastAsia"/>
                <w:color w:val="auto"/>
                <w:sz w:val="20"/>
                <w:highlight w:val="none"/>
              </w:rPr>
              <w:t>【说明：无须提供证明材料，上传空白页即可，不对本项上传的材料作资格审查】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投标文件签章</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投标文件加盖有投标人（法定名称）电子签章。【说明：无须提供证明材料，上传空白页即可，不对本项上传的材料作资格审查】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427" w:type="dxa"/>
            <w:vMerge w:val="continue"/>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p>
        </w:tc>
        <w:tc>
          <w:tcPr>
            <w:tcW w:w="1681"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投标文件资格性审查部分的语言</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语言符合招标文件的要求。【说明：无须提供证明材料，上传空白页即可，不对本项上传的材料作资格审查】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4</w:t>
            </w:r>
          </w:p>
        </w:tc>
        <w:tc>
          <w:tcPr>
            <w:tcW w:w="2108" w:type="dxa"/>
            <w:gridSpan w:val="2"/>
            <w:tcBorders>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投标文件资格性审查部分组成</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ascii="宋体" w:hAnsi="宋体"/>
                <w:color w:val="auto"/>
                <w:sz w:val="20"/>
                <w:szCs w:val="28"/>
                <w:highlight w:val="none"/>
              </w:rPr>
              <w:t>符合资格预审文件“</w:t>
            </w:r>
            <w:r>
              <w:rPr>
                <w:rFonts w:ascii="宋体" w:hAnsi="宋体"/>
                <w:color w:val="auto"/>
                <w:sz w:val="20"/>
                <w:szCs w:val="28"/>
                <w:highlight w:val="none"/>
              </w:rPr>
              <w:t>2.4.</w:t>
            </w:r>
            <w:r>
              <w:rPr>
                <w:rFonts w:hint="eastAsia" w:ascii="宋体" w:hAnsi="宋体"/>
                <w:color w:val="auto"/>
                <w:sz w:val="20"/>
                <w:szCs w:val="28"/>
                <w:highlight w:val="none"/>
              </w:rPr>
              <w:t>6投标</w:t>
            </w:r>
            <w:r>
              <w:rPr>
                <w:rFonts w:ascii="宋体" w:hAnsi="宋体"/>
                <w:color w:val="auto"/>
                <w:sz w:val="20"/>
                <w:szCs w:val="28"/>
                <w:highlight w:val="none"/>
              </w:rPr>
              <w:t>文件的组成”规定要求。</w:t>
            </w:r>
            <w:r>
              <w:rPr>
                <w:rFonts w:hint="eastAsia" w:ascii="宋体" w:hAnsi="宋体"/>
                <w:color w:val="auto"/>
                <w:sz w:val="20"/>
                <w:szCs w:val="28"/>
                <w:highlight w:val="none"/>
              </w:rPr>
              <w:t>【说明：投标人按招标文件3.2.1关于投标人资格资格申明的</w:t>
            </w:r>
            <w:r>
              <w:rPr>
                <w:rFonts w:hint="eastAsia"/>
                <w:color w:val="auto"/>
                <w:sz w:val="20"/>
                <w:highlight w:val="none"/>
              </w:rPr>
              <w:t>格式及</w:t>
            </w:r>
            <w:r>
              <w:rPr>
                <w:color w:val="auto"/>
                <w:sz w:val="20"/>
                <w:highlight w:val="none"/>
              </w:rPr>
              <w:t>要求</w:t>
            </w:r>
            <w:r>
              <w:rPr>
                <w:rFonts w:hint="eastAsia" w:ascii="宋体" w:hAnsi="宋体"/>
                <w:color w:val="auto"/>
                <w:sz w:val="20"/>
                <w:szCs w:val="28"/>
                <w:highlight w:val="none"/>
              </w:rPr>
              <w:t>提供关于投标人资格资格申明的函。】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5</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具有健全的财务会计制度的证明材料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color w:val="auto"/>
                <w:sz w:val="20"/>
                <w:highlight w:val="none"/>
              </w:rPr>
              <w:t>2019</w:t>
            </w:r>
            <w:r>
              <w:rPr>
                <w:rFonts w:hint="eastAsia"/>
                <w:color w:val="auto"/>
                <w:sz w:val="20"/>
                <w:highlight w:val="none"/>
              </w:rPr>
              <w:t>或</w:t>
            </w:r>
            <w:r>
              <w:rPr>
                <w:color w:val="auto"/>
                <w:sz w:val="20"/>
                <w:highlight w:val="none"/>
              </w:rPr>
              <w:t>2020</w:t>
            </w:r>
            <w:r>
              <w:rPr>
                <w:rFonts w:hint="eastAsia"/>
                <w:color w:val="auto"/>
                <w:sz w:val="20"/>
                <w:highlight w:val="none"/>
              </w:rPr>
              <w:t>会计年度资产负债表复印件。【说明：投标人成立时间至投标截止时间止不足一年的，提供成立后任意时段的资产负债表复印件。】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6</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缴纳社会保障资金的证明材料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年任意时段的社保的银行电子回单或行政部门出具的社保缴纳证明材料复印件。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5"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color w:val="auto"/>
                <w:sz w:val="20"/>
                <w:highlight w:val="none"/>
              </w:rPr>
            </w:pPr>
            <w:r>
              <w:rPr>
                <w:rFonts w:hint="eastAsia"/>
                <w:color w:val="auto"/>
                <w:sz w:val="20"/>
                <w:highlight w:val="none"/>
              </w:rPr>
              <w:t>7</w:t>
            </w:r>
          </w:p>
        </w:tc>
        <w:tc>
          <w:tcPr>
            <w:tcW w:w="2108" w:type="dxa"/>
            <w:gridSpan w:val="2"/>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缴纳税收的证明材料</w:t>
            </w:r>
          </w:p>
        </w:tc>
        <w:tc>
          <w:tcPr>
            <w:tcW w:w="5719" w:type="dxa"/>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color w:val="auto"/>
                <w:sz w:val="20"/>
                <w:highlight w:val="none"/>
              </w:rPr>
            </w:pPr>
            <w:r>
              <w:rPr>
                <w:rFonts w:hint="eastAsia"/>
                <w:color w:val="auto"/>
                <w:sz w:val="20"/>
                <w:highlight w:val="none"/>
              </w:rPr>
              <w:t>投标人缴纳</w:t>
            </w:r>
            <w:r>
              <w:rPr>
                <w:color w:val="auto"/>
                <w:sz w:val="20"/>
                <w:highlight w:val="none"/>
              </w:rPr>
              <w:t>2020</w:t>
            </w:r>
            <w:r>
              <w:rPr>
                <w:rFonts w:hint="eastAsia"/>
                <w:color w:val="auto"/>
                <w:sz w:val="20"/>
                <w:highlight w:val="none"/>
              </w:rPr>
              <w:t>或</w:t>
            </w:r>
            <w:r>
              <w:rPr>
                <w:color w:val="auto"/>
                <w:sz w:val="20"/>
                <w:highlight w:val="none"/>
              </w:rPr>
              <w:t>2021</w:t>
            </w:r>
            <w:r>
              <w:rPr>
                <w:rFonts w:hint="eastAsia"/>
                <w:color w:val="auto"/>
                <w:sz w:val="20"/>
                <w:highlight w:val="none"/>
              </w:rPr>
              <w:t>年任意时段的税收的银行电子回单或者行政部门出具的纳税证明或完税证明的复印件。</w:t>
            </w:r>
          </w:p>
        </w:tc>
      </w:tr>
    </w:tbl>
    <w:p>
      <w:pPr>
        <w:tabs>
          <w:tab w:val="left" w:pos="851"/>
        </w:tabs>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注：一、以上每一项结论均为“通过”的，则投标人的投标文件通过资格性审查；如有其中任意一项结论为“不通过”的，则投标人的投标文件按无效投标文件处理。如果资格审查小组认为投标人有任意一项不通过的，应在资格性审查报告中载明不通过的具体原因。</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二、“信用中国”和“中国政府采购网”网站查询结果，将以纸质截图或将截图保存至电子介质的形式留存。</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三、投标人的投标文件资格性审查时被判定为无效的，</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公资交易中心将通知投标人（以短信、现场公示、电话、“政府采购云平台”等任一方式）。投标人如对资格审查结论有异议的，应及时向</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公资交易中心反馈意见。</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公资交易中心将及时告知资格审查小组。（说明：无论投标人是否收到通知或提供反馈意见，均不影响资格审查和评标工作，且</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公资交易中心对此将不承担任何的责任。投标人对资格审查结论有异议的，其反馈意见仅限于资格审查小组对资格审查结论的正确性进行复核，避免出现审查错误。）</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四、通过资格性审查的供应商＜3名，采购失败。</w:t>
      </w:r>
    </w:p>
    <w:p>
      <w:pPr>
        <w:tabs>
          <w:tab w:val="left" w:pos="851"/>
        </w:tabs>
        <w:spacing w:line="360" w:lineRule="auto"/>
        <w:ind w:firstLine="565" w:firstLineChars="202"/>
        <w:rPr>
          <w:rFonts w:ascii="宋体" w:hAnsi="宋体"/>
          <w:color w:val="auto"/>
          <w:sz w:val="28"/>
          <w:szCs w:val="28"/>
          <w:highlight w:val="none"/>
        </w:rPr>
      </w:pPr>
    </w:p>
    <w:p>
      <w:pPr>
        <w:keepNext/>
        <w:keepLines/>
        <w:numPr>
          <w:ilvl w:val="0"/>
          <w:numId w:val="5"/>
        </w:numPr>
        <w:spacing w:line="360" w:lineRule="auto"/>
        <w:ind w:left="0" w:firstLine="0"/>
        <w:jc w:val="center"/>
        <w:outlineLvl w:val="0"/>
        <w:rPr>
          <w:rFonts w:ascii="宋体" w:hAnsi="宋体"/>
          <w:b/>
          <w:bCs/>
          <w:color w:val="auto"/>
          <w:spacing w:val="-20"/>
          <w:kern w:val="44"/>
          <w:sz w:val="32"/>
          <w:szCs w:val="32"/>
          <w:highlight w:val="none"/>
        </w:rPr>
      </w:pPr>
      <w:bookmarkStart w:id="869" w:name="_Toc20270"/>
      <w:bookmarkStart w:id="870" w:name="_Toc32662"/>
      <w:r>
        <w:rPr>
          <w:rFonts w:hint="eastAsia" w:ascii="宋体" w:hAnsi="宋体"/>
          <w:b/>
          <w:bCs/>
          <w:color w:val="auto"/>
          <w:spacing w:val="-20"/>
          <w:kern w:val="44"/>
          <w:sz w:val="32"/>
          <w:szCs w:val="32"/>
          <w:highlight w:val="none"/>
        </w:rPr>
        <w:t>评标办法</w:t>
      </w:r>
      <w:bookmarkEnd w:id="869"/>
      <w:bookmarkEnd w:id="870"/>
    </w:p>
    <w:p>
      <w:pPr>
        <w:keepNext/>
        <w:keepLines/>
        <w:numPr>
          <w:ilvl w:val="1"/>
          <w:numId w:val="5"/>
        </w:numPr>
        <w:spacing w:line="360" w:lineRule="auto"/>
        <w:jc w:val="left"/>
        <w:outlineLvl w:val="1"/>
        <w:rPr>
          <w:rFonts w:ascii="宋体" w:hAnsi="宋体"/>
          <w:b/>
          <w:bCs/>
          <w:color w:val="auto"/>
          <w:sz w:val="28"/>
          <w:szCs w:val="28"/>
          <w:highlight w:val="none"/>
        </w:rPr>
      </w:pPr>
      <w:bookmarkStart w:id="871" w:name="_Toc8534"/>
      <w:bookmarkStart w:id="872" w:name="_Toc18285"/>
      <w:r>
        <w:rPr>
          <w:rFonts w:hint="eastAsia" w:ascii="宋体" w:hAnsi="宋体"/>
          <w:b/>
          <w:bCs/>
          <w:color w:val="auto"/>
          <w:sz w:val="28"/>
          <w:szCs w:val="28"/>
          <w:highlight w:val="none"/>
        </w:rPr>
        <w:t>总则</w:t>
      </w:r>
      <w:bookmarkEnd w:id="871"/>
      <w:bookmarkEnd w:id="872"/>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根据《中华人民共和国政府采购法》、《中华人民共和国政府采购法实施条例》和《政府采购货物和服务招标投标管理办法》等法律规章，结合采购项目特点制定本评标办法。</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评标工作由</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负责组织，具体评标事务由采购人或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依法组建的评标委员会负责。评标委员会由采购人代表和评审专家组成。</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评标工作应遵循公平、公正、科学及择优的原则，并以相同的评标程序和标准对待所有的投标人。</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评标委员会按照招标文件规定的评标程序、评标方法和标准进行独立评审，并独立履行下列职责：</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熟悉和理解招标文件；</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审查、评价投标文件是否符合招标文件的商务、技术等实质性要求；</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对投标文件进行比较和评价；</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根据需要要求采购人对招标文件作出解释；根据需要要求投标人对投标文件有关事项作出解释或者澄清；</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确定中标候选人名单，以及根据采购人委托直接确定中标人；</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起草评标报告并进行签署；</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公资交易中心或者财政、监察等有关部门报告或举报非法干预评标工作的行为；</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向采购人、</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或者有关部门报告评标中发现的违法行为。</w:t>
      </w:r>
    </w:p>
    <w:p>
      <w:pPr>
        <w:numPr>
          <w:ilvl w:val="1"/>
          <w:numId w:val="47"/>
        </w:numPr>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法律、法规和规章规定的其他职责。</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评标过程独立、保密。投标人非法干预评标过程的行为将导致其投标文件作为无效处理。</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评标委员会决定投标文件的响应性依据投标文件本身的内容，而不寻求外部的证据，招标文件有明确约定的除外。</w:t>
      </w:r>
    </w:p>
    <w:p>
      <w:pPr>
        <w:numPr>
          <w:ilvl w:val="0"/>
          <w:numId w:val="46"/>
        </w:numPr>
        <w:tabs>
          <w:tab w:val="left" w:pos="1134"/>
        </w:tabs>
        <w:spacing w:line="360" w:lineRule="auto"/>
        <w:ind w:left="0" w:firstLine="565" w:firstLineChars="202"/>
        <w:rPr>
          <w:rFonts w:ascii="宋体" w:hAnsi="宋体"/>
          <w:color w:val="auto"/>
          <w:sz w:val="28"/>
          <w:szCs w:val="28"/>
          <w:highlight w:val="none"/>
        </w:rPr>
      </w:pPr>
      <w:r>
        <w:rPr>
          <w:rFonts w:hint="eastAsia" w:ascii="宋体" w:hAnsi="宋体"/>
          <w:color w:val="auto"/>
          <w:sz w:val="28"/>
          <w:szCs w:val="28"/>
          <w:highlight w:val="none"/>
        </w:rPr>
        <w:t>评标委员会发现招标文件表述不明确或需要说明的事项，可提请采购人和</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公资交易中心书面解释说明。</w:t>
      </w:r>
    </w:p>
    <w:p>
      <w:pPr>
        <w:keepNext/>
        <w:keepLines/>
        <w:numPr>
          <w:ilvl w:val="1"/>
          <w:numId w:val="5"/>
        </w:numPr>
        <w:spacing w:line="360" w:lineRule="auto"/>
        <w:jc w:val="left"/>
        <w:outlineLvl w:val="1"/>
        <w:rPr>
          <w:rFonts w:ascii="宋体" w:hAnsi="宋体"/>
          <w:b/>
          <w:bCs/>
          <w:color w:val="auto"/>
          <w:sz w:val="28"/>
          <w:szCs w:val="28"/>
          <w:highlight w:val="none"/>
        </w:rPr>
      </w:pPr>
      <w:bookmarkStart w:id="873" w:name="_Toc2881"/>
      <w:bookmarkStart w:id="874" w:name="_Toc3727"/>
      <w:r>
        <w:rPr>
          <w:rFonts w:hint="eastAsia" w:ascii="宋体" w:hAnsi="宋体"/>
          <w:b/>
          <w:bCs/>
          <w:color w:val="auto"/>
          <w:sz w:val="28"/>
          <w:szCs w:val="28"/>
          <w:highlight w:val="none"/>
        </w:rPr>
        <w:t>评标方法</w:t>
      </w:r>
      <w:bookmarkEnd w:id="873"/>
      <w:bookmarkEnd w:id="874"/>
    </w:p>
    <w:p>
      <w:pPr>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综合评分法。</w:t>
      </w:r>
    </w:p>
    <w:p>
      <w:pPr>
        <w:keepNext/>
        <w:keepLines/>
        <w:numPr>
          <w:ilvl w:val="1"/>
          <w:numId w:val="5"/>
        </w:numPr>
        <w:spacing w:line="360" w:lineRule="auto"/>
        <w:jc w:val="left"/>
        <w:outlineLvl w:val="1"/>
        <w:rPr>
          <w:rFonts w:ascii="宋体" w:hAnsi="宋体"/>
          <w:b/>
          <w:bCs/>
          <w:color w:val="auto"/>
          <w:sz w:val="28"/>
          <w:szCs w:val="28"/>
          <w:highlight w:val="none"/>
        </w:rPr>
      </w:pPr>
      <w:bookmarkStart w:id="875" w:name="_Toc16634"/>
      <w:bookmarkStart w:id="876" w:name="_Toc2091"/>
      <w:r>
        <w:rPr>
          <w:rFonts w:hint="eastAsia" w:ascii="宋体" w:hAnsi="宋体"/>
          <w:b/>
          <w:bCs/>
          <w:color w:val="auto"/>
          <w:sz w:val="28"/>
          <w:szCs w:val="28"/>
          <w:highlight w:val="none"/>
        </w:rPr>
        <w:t>评标程序</w:t>
      </w:r>
      <w:bookmarkEnd w:id="875"/>
      <w:bookmarkEnd w:id="876"/>
    </w:p>
    <w:p>
      <w:pPr>
        <w:keepNext/>
        <w:keepLines/>
        <w:numPr>
          <w:ilvl w:val="2"/>
          <w:numId w:val="5"/>
        </w:numPr>
        <w:spacing w:line="360" w:lineRule="auto"/>
        <w:ind w:left="3119" w:hanging="3119"/>
        <w:outlineLvl w:val="2"/>
        <w:rPr>
          <w:rFonts w:ascii="宋体" w:hAnsi="宋体"/>
          <w:b/>
          <w:bCs/>
          <w:color w:val="auto"/>
          <w:sz w:val="28"/>
          <w:szCs w:val="28"/>
          <w:highlight w:val="none"/>
        </w:rPr>
      </w:pPr>
      <w:r>
        <w:rPr>
          <w:rFonts w:hint="eastAsia" w:ascii="宋体" w:hAnsi="宋体"/>
          <w:b/>
          <w:bCs/>
          <w:color w:val="auto"/>
          <w:sz w:val="28"/>
          <w:szCs w:val="28"/>
          <w:highlight w:val="none"/>
        </w:rPr>
        <w:t>符合性审查</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符合性审查由评标委员会依据招标文件的规定，从投标文件的有效性、完整性和对招标文件的响应程度进行审查，以确定是否对招标文件的实质性要求作出响应。在投标文件符合性审查过程中，如果出现评标委员会成员意见不一致的情况，按照少数服从多数的原则确定，但不得违背政府采购基本原则和招标文件规定。</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符合性审查标准见下表（按以下顺序审查）：</w:t>
      </w:r>
    </w:p>
    <w:tbl>
      <w:tblPr>
        <w:tblStyle w:val="43"/>
        <w:tblW w:w="5179" w:type="pct"/>
        <w:tblInd w:w="-31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0"/>
        <w:gridCol w:w="2070"/>
        <w:gridCol w:w="5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序号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b/>
                <w:color w:val="auto"/>
                <w:sz w:val="24"/>
                <w:szCs w:val="28"/>
                <w:highlight w:val="none"/>
              </w:rPr>
            </w:pPr>
            <w:r>
              <w:rPr>
                <w:rFonts w:hint="eastAsia" w:ascii="宋体" w:hAnsi="宋体"/>
                <w:b/>
                <w:color w:val="auto"/>
                <w:sz w:val="24"/>
                <w:szCs w:val="28"/>
                <w:highlight w:val="none"/>
              </w:rPr>
              <w:t>符合性审查项</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ind w:firstLine="487" w:firstLineChars="202"/>
              <w:jc w:val="center"/>
              <w:rPr>
                <w:rFonts w:ascii="宋体" w:hAnsi="宋体"/>
                <w:color w:val="auto"/>
                <w:sz w:val="24"/>
                <w:szCs w:val="28"/>
                <w:highlight w:val="none"/>
              </w:rPr>
            </w:pPr>
            <w:r>
              <w:rPr>
                <w:rFonts w:hint="eastAsia" w:ascii="宋体" w:hAnsi="宋体"/>
                <w:b/>
                <w:color w:val="auto"/>
                <w:sz w:val="24"/>
                <w:szCs w:val="28"/>
                <w:highlight w:val="none"/>
              </w:rPr>
              <w:t>通过条件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1</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投标文件商务技术响应文件、报价要求响应文件组成</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符合招标文件“2.4.6投标文件的组成”规定要求。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2</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投标文件商务技术响应文件、报价要求响应文件的计量单位、语言、报价货币、投标有效期</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计量单位、语言、报价货币、投标有效期均符合招标文件的要求。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3</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第4章打★号的技术、服务、商务及其他要求</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投标文件均实质性响应招标文件中加★号的技术、服务、商务及其他要求。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4</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不属于禁止参加投标或投标无效的供应商</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（1）根据招标文件的要求不属于禁止参加投标或投标无效的供应商；</w:t>
            </w:r>
          </w:p>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（2）评标委员会未发现或者未知晓投标人存在属于国家相关法律法规规定的禁止参加投标或投标无效的供应商。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5</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法定代表人身份证复印件或护照复印件</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身份证复印件或护照复印件【注：法定代表人身份证复印件（身份证两面均应复印，在有效期内）或护照复印件（法定代表人为外籍人士的，按此提供）。】。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6</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除资格性审查要求的证明材料外，招标文件要求提供的其他证明材料</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auto"/>
                <w:sz w:val="24"/>
                <w:szCs w:val="24"/>
                <w:highlight w:val="none"/>
              </w:rPr>
            </w:pPr>
            <w:r>
              <w:rPr>
                <w:rFonts w:cs="仿宋_GB2312" w:asciiTheme="minorEastAsia" w:hAnsiTheme="minorEastAsia" w:eastAsiaTheme="minorEastAsia"/>
                <w:color w:val="auto"/>
                <w:sz w:val="24"/>
                <w:szCs w:val="24"/>
                <w:highlight w:val="none"/>
              </w:rPr>
              <w:t>承诺函【说明：①按3.3.6承诺函</w:t>
            </w:r>
            <w:r>
              <w:rPr>
                <w:rFonts w:hint="eastAsia" w:cs="仿宋_GB2312" w:asciiTheme="minorEastAsia" w:hAnsiTheme="minorEastAsia" w:eastAsiaTheme="minorEastAsia"/>
                <w:color w:val="auto"/>
                <w:sz w:val="24"/>
                <w:szCs w:val="24"/>
                <w:highlight w:val="none"/>
              </w:rPr>
              <w:t>的格式及</w:t>
            </w:r>
            <w:r>
              <w:rPr>
                <w:rFonts w:cs="仿宋_GB2312" w:asciiTheme="minorEastAsia" w:hAnsiTheme="minorEastAsia" w:eastAsiaTheme="minorEastAsia"/>
                <w:color w:val="auto"/>
                <w:sz w:val="24"/>
                <w:szCs w:val="24"/>
                <w:highlight w:val="none"/>
              </w:rPr>
              <w:t>要求提供承诺函；②承诺的内容满足招标文件的要求。】。</w:t>
            </w:r>
          </w:p>
          <w:p>
            <w:pPr>
              <w:tabs>
                <w:tab w:val="left" w:pos="851"/>
              </w:tabs>
              <w:spacing w:line="360" w:lineRule="auto"/>
              <w:rPr>
                <w:rFonts w:cs="仿宋_GB2312" w:asciiTheme="minorEastAsia" w:hAnsiTheme="minorEastAsia" w:eastAsia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7</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投标报价</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auto"/>
                <w:sz w:val="24"/>
                <w:szCs w:val="24"/>
                <w:highlight w:val="none"/>
              </w:rPr>
            </w:pPr>
            <w:r>
              <w:rPr>
                <w:rFonts w:hint="eastAsia" w:ascii="宋体" w:hAnsi="宋体"/>
                <w:color w:val="auto"/>
                <w:sz w:val="24"/>
                <w:szCs w:val="28"/>
                <w:highlight w:val="none"/>
              </w:rPr>
              <w:t>开标记录、投标文件【注：（1）报价唯一（说明：投标报价出现下列情况的，按以下原则处理，并以修正后的价格作为投标人的投标报价：①投标文件中的大写金额和小写金额不一致的，以大写金额为准，但大写金额出现文字错误，导致金额无法判断的除外；</w:t>
            </w:r>
            <w:r>
              <w:rPr>
                <w:rFonts w:hint="eastAsia" w:ascii="宋体" w:hAnsi="宋体" w:cs="宋体"/>
                <w:color w:val="auto"/>
                <w:sz w:val="24"/>
                <w:szCs w:val="28"/>
                <w:highlight w:val="none"/>
              </w:rPr>
              <w:t>②</w:t>
            </w:r>
            <w:r>
              <w:rPr>
                <w:rFonts w:hint="eastAsia" w:ascii="宋体" w:hAnsi="宋体"/>
                <w:color w:val="auto"/>
                <w:sz w:val="24"/>
                <w:szCs w:val="28"/>
                <w:highlight w:val="none"/>
              </w:rPr>
              <w:t>单价金额小数点或者百分比有明显错位的，以总价为准，并修改单价；</w:t>
            </w:r>
            <w:r>
              <w:rPr>
                <w:rFonts w:hint="eastAsia" w:ascii="宋体" w:hAnsi="宋体" w:cs="宋体"/>
                <w:color w:val="auto"/>
                <w:sz w:val="24"/>
                <w:szCs w:val="28"/>
                <w:highlight w:val="none"/>
              </w:rPr>
              <w:t>③</w:t>
            </w:r>
            <w:r>
              <w:rPr>
                <w:rFonts w:hint="eastAsia" w:ascii="宋体" w:hAnsi="宋体"/>
                <w:color w:val="auto"/>
                <w:sz w:val="24"/>
                <w:szCs w:val="28"/>
                <w:highlight w:val="none"/>
              </w:rPr>
              <w:t>总价金额与按单价汇总金额不一致的，以单价金额计算结果为准；同时出现两种以上不一致的，按照前款规定的顺序修正。修正后的报价经投标人以书面形式通过政府采购云平台进行确认，并加盖投标人（法定名称）电子签章，投标人逾时确认的，其投标无效。（2）未超过招标文件规定的最高限价；（3）投标报价应包含本次招标要求的所有货物及服务的费用；（4）在评标过程中，评标委员会认为投标人投标报价明显低于其他通过符合性审查投标人的投标报价，有可能影响产品质量或者不能诚信履约的，评标委员会应当要求其在合理的时间内提供书面说明，必要时提交相关证明材料。（说明：①书面说明、相关证明材料（如涉及）加盖投标人（法定名称）章（电子签章），在评标委员会要求的时间内通过政府采购云平台进行递交；②投标人提供了书面说明、相关证明材料（如涉及），且能证明其投标报价合理性）。（</w:t>
            </w:r>
            <w:r>
              <w:rPr>
                <w:rFonts w:ascii="宋体" w:hAnsi="宋体"/>
                <w:color w:val="auto"/>
                <w:sz w:val="24"/>
                <w:szCs w:val="28"/>
                <w:highlight w:val="none"/>
              </w:rPr>
              <w:t>5）如因断电、断网、系统故障或其他不可抗力等因素，导致系统无法使用的，由投标人按评标委员会的要求进行澄清或者说明</w:t>
            </w:r>
            <w:r>
              <w:rPr>
                <w:rFonts w:hint="eastAsia" w:ascii="宋体" w:hAnsi="宋体"/>
                <w:color w:val="auto"/>
                <w:sz w:val="24"/>
                <w:szCs w:val="28"/>
                <w:highlight w:val="none"/>
              </w:rPr>
              <w:t>。（6）无须提供证明材料，上传空白页即可，不对本项上传的材料作符合性审查。】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2" w:type="pct"/>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jc w:val="center"/>
              <w:rPr>
                <w:rFonts w:ascii="宋体" w:hAnsi="宋体"/>
                <w:color w:val="auto"/>
                <w:sz w:val="24"/>
                <w:szCs w:val="28"/>
                <w:highlight w:val="none"/>
              </w:rPr>
            </w:pPr>
            <w:r>
              <w:rPr>
                <w:rFonts w:hint="eastAsia" w:ascii="宋体" w:hAnsi="宋体"/>
                <w:color w:val="auto"/>
                <w:sz w:val="24"/>
                <w:szCs w:val="28"/>
                <w:highlight w:val="none"/>
              </w:rPr>
              <w:t>8</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ascii="宋体" w:hAnsi="宋体"/>
                <w:color w:val="auto"/>
                <w:sz w:val="24"/>
                <w:szCs w:val="28"/>
                <w:highlight w:val="none"/>
              </w:rPr>
            </w:pPr>
            <w:r>
              <w:rPr>
                <w:rFonts w:hint="eastAsia" w:ascii="宋体" w:hAnsi="宋体"/>
                <w:color w:val="auto"/>
                <w:sz w:val="24"/>
                <w:szCs w:val="28"/>
                <w:highlight w:val="none"/>
              </w:rPr>
              <w:t>进口产品</w:t>
            </w:r>
          </w:p>
        </w:tc>
        <w:tc>
          <w:tcPr>
            <w:tcW w:w="0" w:type="auto"/>
            <w:tcBorders>
              <w:top w:val="single" w:color="auto" w:sz="2" w:space="0"/>
              <w:left w:val="single" w:color="auto" w:sz="2" w:space="0"/>
              <w:bottom w:val="single" w:color="auto" w:sz="2" w:space="0"/>
              <w:right w:val="single" w:color="auto" w:sz="2" w:space="0"/>
            </w:tcBorders>
            <w:vAlign w:val="center"/>
          </w:tcPr>
          <w:p>
            <w:pPr>
              <w:tabs>
                <w:tab w:val="left" w:pos="851"/>
              </w:tabs>
              <w:spacing w:line="360" w:lineRule="auto"/>
              <w:rPr>
                <w:rFonts w:cs="仿宋_GB2312" w:asciiTheme="minorEastAsia" w:hAnsiTheme="minorEastAsia" w:eastAsiaTheme="minorEastAsia"/>
                <w:color w:val="auto"/>
                <w:sz w:val="24"/>
                <w:szCs w:val="24"/>
                <w:highlight w:val="none"/>
              </w:rPr>
            </w:pPr>
            <w:r>
              <w:rPr>
                <w:rFonts w:hint="eastAsia" w:ascii="宋体" w:hAnsi="宋体"/>
                <w:color w:val="auto"/>
                <w:sz w:val="24"/>
                <w:szCs w:val="28"/>
                <w:highlight w:val="none"/>
              </w:rPr>
              <w:t>招标文件中未载明“允许采购进口产品”的产品，投标产品为国产产品。</w:t>
            </w:r>
          </w:p>
        </w:tc>
      </w:tr>
    </w:tbl>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以上每一项结论均为“通过”的，则投标人的投标文件通过符合性审查；如有任意一项结论为“不通过”的，则投标人的投标文件按无效投标文件处理。如果评标委员会认为投标人有任意一项不通过的，应在符合性审查报告中载明不通过的具体原因。</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二、投标人的投标文件符合性审查时被判定为无效投标文件的，</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公资交易中心将通知投标人（以短信、现场公示、电话、“政府采购云平台”等任一方式）。投标人如对评审结论有异议的，应及时向</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公资交易中心反馈意见。</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公资交易中心在评审结束前将收到的反馈意见及时告知评标委员会。（说明：无论投标人是否收到通知或提供反馈意见，均不影响评标委员会的评标工作，且</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公资交易中心对此将不承担任何的责任。投标人对评审结论有异议的，其反馈意见仅限于评标委员会对评审结论的正确性进行复核，避免出现评审错误。）</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三、通过符合性审查的供应商＜3名，本项目采购失败。</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解释、澄清有关问题</w:t>
      </w:r>
    </w:p>
    <w:p>
      <w:pPr>
        <w:numPr>
          <w:ilvl w:val="0"/>
          <w:numId w:val="48"/>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评标过程中，评标委员会认为招标文件有关事项表述不明确或需要说明的，可以提请</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公资交易中心书面解释。</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公资交易中心的解释不得改变招标文件的原义或者影响公平、公正，解释事项如果涉及投标人权益的以有利于投标人的原则进行解释。</w:t>
      </w:r>
    </w:p>
    <w:p>
      <w:pPr>
        <w:numPr>
          <w:ilvl w:val="0"/>
          <w:numId w:val="48"/>
        </w:numPr>
        <w:tabs>
          <w:tab w:val="left" w:pos="1134"/>
        </w:tabs>
        <w:spacing w:after="200"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对投标文件中含义不明确、同类问题表述不一致或者有明显文字和计算错误的内容，评标委员会应当要求投标人作出必要的澄清、说明或补正，并给予投标人必要的反馈时间。投标人应当按评标委员会的要求进行澄清、说明或者补正。投标人的澄清、说明或者补正不得超出投标文件的范围或者改变投标文件的实质性内容。澄清不影响投标文件的效力，有效的澄清材料，是投标文件的组成部分。</w:t>
      </w:r>
    </w:p>
    <w:p>
      <w:pPr>
        <w:numPr>
          <w:ilvl w:val="0"/>
          <w:numId w:val="48"/>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澄清应当不超出投标文件的范围、不实质性改变投标文件的内容、不影响投标人的公平竞争、不导致投标文件从不响应招标文件变为响应招标文件的条件。下列内容不得澄清：</w:t>
      </w:r>
    </w:p>
    <w:p>
      <w:pPr>
        <w:numPr>
          <w:ilvl w:val="0"/>
          <w:numId w:val="49"/>
        </w:numPr>
        <w:tabs>
          <w:tab w:val="left" w:pos="1260"/>
          <w:tab w:val="clear" w:pos="846"/>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投标人投标文件中不响应招标文件规定的技术参数指标和商务应答；</w:t>
      </w:r>
    </w:p>
    <w:p>
      <w:pPr>
        <w:numPr>
          <w:ilvl w:val="0"/>
          <w:numId w:val="49"/>
        </w:numPr>
        <w:tabs>
          <w:tab w:val="left" w:pos="1260"/>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投标人投标文件中未提供的证明其是否符合招标文件资格性、符合性规定要求的相关材料。</w:t>
      </w:r>
    </w:p>
    <w:p>
      <w:pPr>
        <w:numPr>
          <w:ilvl w:val="0"/>
          <w:numId w:val="49"/>
        </w:numPr>
        <w:tabs>
          <w:tab w:val="left" w:pos="993"/>
          <w:tab w:val="left" w:pos="1260"/>
          <w:tab w:val="clear" w:pos="846"/>
        </w:tabs>
        <w:spacing w:line="560" w:lineRule="exact"/>
        <w:ind w:left="0" w:firstLine="525"/>
        <w:rPr>
          <w:rFonts w:ascii="宋体" w:hAnsi="宋体" w:cstheme="minorBidi"/>
          <w:color w:val="auto"/>
          <w:sz w:val="28"/>
          <w:szCs w:val="28"/>
          <w:highlight w:val="none"/>
        </w:rPr>
      </w:pPr>
      <w:r>
        <w:rPr>
          <w:rFonts w:hint="eastAsia" w:ascii="宋体" w:hAnsi="宋体" w:cstheme="minorBidi"/>
          <w:color w:val="auto"/>
          <w:sz w:val="28"/>
          <w:szCs w:val="28"/>
          <w:highlight w:val="none"/>
        </w:rPr>
        <w:t>投标人投标文件中的材料因印刷、影印等不清晰而难以辨认的。</w:t>
      </w:r>
    </w:p>
    <w:p>
      <w:pPr>
        <w:numPr>
          <w:ilvl w:val="0"/>
          <w:numId w:val="48"/>
        </w:numPr>
        <w:tabs>
          <w:tab w:val="left" w:pos="1134"/>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投标文件报价出现下列情况的，不需要投标人澄清，按以下原则处理：</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（一）大写金额和小写金额不一致的，以大写金额为准，但大写金额出现文字错误，导致金额无法判断的除外；</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（二）单价金额小数点或者百分比有明显错位的，以总价为准，并修改单价；</w:t>
      </w:r>
    </w:p>
    <w:p>
      <w:pPr>
        <w:tabs>
          <w:tab w:val="left" w:pos="1134"/>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（三）总价金额与按单价汇总金额不一致的，以单价金额计算结果为准。</w:t>
      </w:r>
    </w:p>
    <w:p>
      <w:pPr>
        <w:spacing w:line="560" w:lineRule="exact"/>
        <w:ind w:firstLine="560"/>
        <w:rPr>
          <w:color w:val="auto"/>
          <w:sz w:val="28"/>
          <w:szCs w:val="28"/>
          <w:highlight w:val="none"/>
        </w:rPr>
      </w:pPr>
      <w:r>
        <w:rPr>
          <w:rFonts w:hint="eastAsia"/>
          <w:color w:val="auto"/>
          <w:sz w:val="28"/>
          <w:szCs w:val="28"/>
          <w:highlight w:val="none"/>
        </w:rPr>
        <w:t>同时出现两种以上不一致的，按照前款规定的顺序修正。修正后的报价经投标人确认后产生约束力，投标人不确认的，其投标无效。</w:t>
      </w:r>
    </w:p>
    <w:p>
      <w:pPr>
        <w:tabs>
          <w:tab w:val="left" w:pos="720"/>
        </w:tabs>
        <w:spacing w:line="560" w:lineRule="exact"/>
        <w:ind w:firstLine="560" w:firstLineChars="200"/>
        <w:rPr>
          <w:color w:val="auto"/>
          <w:sz w:val="28"/>
          <w:szCs w:val="28"/>
          <w:highlight w:val="none"/>
        </w:rPr>
      </w:pPr>
      <w:r>
        <w:rPr>
          <w:rFonts w:hint="eastAsia"/>
          <w:color w:val="auto"/>
          <w:sz w:val="28"/>
          <w:szCs w:val="28"/>
          <w:highlight w:val="none"/>
        </w:rPr>
        <w:t>五、对不同语言文本投标文件的解释发生异议的，以中文文本为准。</w:t>
      </w:r>
    </w:p>
    <w:p>
      <w:pPr>
        <w:tabs>
          <w:tab w:val="left" w:pos="720"/>
        </w:tabs>
        <w:spacing w:line="560" w:lineRule="exact"/>
        <w:ind w:firstLine="560" w:firstLineChars="200"/>
        <w:rPr>
          <w:color w:val="auto"/>
          <w:sz w:val="28"/>
          <w:szCs w:val="28"/>
          <w:highlight w:val="none"/>
        </w:rPr>
      </w:pPr>
      <w:r>
        <w:rPr>
          <w:rFonts w:hint="eastAsia"/>
          <w:color w:val="auto"/>
          <w:sz w:val="28"/>
          <w:szCs w:val="28"/>
          <w:highlight w:val="none"/>
        </w:rPr>
        <w:t>六、评标结束之前，投标人应随时关注系统提示，及时通过“政府采购云平台”在线响应评标委员会发出的澄清、说明或补正要求，签章并确认提交成功。逾时回复将不能提交，视为投标人自行放弃，其损失由投标人承担。</w:t>
      </w:r>
    </w:p>
    <w:p>
      <w:pPr>
        <w:tabs>
          <w:tab w:val="left" w:pos="851"/>
        </w:tabs>
        <w:spacing w:line="560" w:lineRule="exact"/>
        <w:ind w:firstLine="568" w:firstLineChars="202"/>
        <w:rPr>
          <w:rFonts w:ascii="宋体" w:hAnsi="宋体"/>
          <w:b/>
          <w:color w:val="auto"/>
          <w:sz w:val="28"/>
          <w:szCs w:val="28"/>
          <w:highlight w:val="none"/>
        </w:rPr>
      </w:pPr>
      <w:r>
        <w:rPr>
          <w:rFonts w:hint="eastAsia" w:ascii="宋体" w:hAnsi="宋体"/>
          <w:b/>
          <w:color w:val="auto"/>
          <w:sz w:val="28"/>
          <w:szCs w:val="28"/>
          <w:highlight w:val="none"/>
        </w:rPr>
        <w:t>评标委员会应当积极履行澄清、说明或者更正的职责，不得滥用权力。</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比较与评价</w:t>
      </w:r>
    </w:p>
    <w:p>
      <w:pPr>
        <w:tabs>
          <w:tab w:val="left" w:pos="851"/>
        </w:tabs>
        <w:spacing w:line="360" w:lineRule="auto"/>
        <w:ind w:firstLine="565" w:firstLineChars="202"/>
        <w:rPr>
          <w:rFonts w:ascii="宋体" w:hAnsi="宋体"/>
          <w:color w:val="auto"/>
          <w:sz w:val="28"/>
          <w:szCs w:val="28"/>
          <w:highlight w:val="none"/>
        </w:rPr>
      </w:pPr>
      <w:r>
        <w:rPr>
          <w:rFonts w:hint="eastAsia" w:ascii="宋体" w:hAnsi="宋体"/>
          <w:color w:val="auto"/>
          <w:sz w:val="28"/>
          <w:szCs w:val="28"/>
          <w:highlight w:val="none"/>
        </w:rPr>
        <w:t>按招标文件中规定的评标细则及标准，对符合性检查合格的投标文件进行商务和技术评估，综合比较和评价。</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评标结果汇总结束后，评标委员会应当进行复核，特别要对拟推荐为中标候选供应商的、报价最低的、投标文件被认定为无效的进行重点复核。</w:t>
      </w:r>
    </w:p>
    <w:p>
      <w:pPr>
        <w:tabs>
          <w:tab w:val="left" w:pos="851"/>
        </w:tabs>
        <w:spacing w:line="560" w:lineRule="exact"/>
        <w:ind w:firstLine="565" w:firstLineChars="202"/>
        <w:rPr>
          <w:rFonts w:ascii="宋体" w:hAnsi="宋体"/>
          <w:color w:val="auto"/>
          <w:sz w:val="28"/>
          <w:szCs w:val="28"/>
          <w:highlight w:val="none"/>
        </w:rPr>
      </w:pPr>
      <w:r>
        <w:rPr>
          <w:rFonts w:hint="eastAsia" w:ascii="宋体" w:hAnsi="宋体"/>
          <w:color w:val="auto"/>
          <w:sz w:val="28"/>
          <w:szCs w:val="28"/>
          <w:highlight w:val="none"/>
        </w:rPr>
        <w:t>评标结果汇总完成后，评标委员会拟出具评审报告前，</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应当组织2名以上的工作人员，在采购现场监督人员的监督之下，依据有关的法律制度和采购文件对评审结果进行复核，出具复核报告。</w:t>
      </w:r>
    </w:p>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评标结果汇总完成后，除下列情形外，任何人不得修改评标结果：</w:t>
      </w:r>
    </w:p>
    <w:p>
      <w:pPr>
        <w:numPr>
          <w:ilvl w:val="0"/>
          <w:numId w:val="50"/>
        </w:numPr>
        <w:tabs>
          <w:tab w:val="left" w:pos="851"/>
          <w:tab w:val="left" w:pos="1276"/>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分值汇总计算错误的；</w:t>
      </w:r>
    </w:p>
    <w:p>
      <w:pPr>
        <w:numPr>
          <w:ilvl w:val="0"/>
          <w:numId w:val="50"/>
        </w:numPr>
        <w:tabs>
          <w:tab w:val="left" w:pos="851"/>
          <w:tab w:val="left" w:pos="1276"/>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分项评分超出评分标准范围的；</w:t>
      </w:r>
    </w:p>
    <w:p>
      <w:pPr>
        <w:numPr>
          <w:ilvl w:val="0"/>
          <w:numId w:val="50"/>
        </w:numPr>
        <w:tabs>
          <w:tab w:val="left" w:pos="851"/>
          <w:tab w:val="left" w:pos="1276"/>
          <w:tab w:val="left" w:pos="1560"/>
        </w:tabs>
        <w:spacing w:line="560" w:lineRule="exact"/>
        <w:ind w:left="0" w:firstLine="424"/>
        <w:rPr>
          <w:rFonts w:ascii="宋体" w:hAnsi="宋体" w:cstheme="minorBidi"/>
          <w:color w:val="auto"/>
          <w:sz w:val="28"/>
          <w:szCs w:val="28"/>
          <w:highlight w:val="none"/>
        </w:rPr>
      </w:pPr>
      <w:r>
        <w:rPr>
          <w:rFonts w:hint="eastAsia" w:ascii="宋体" w:hAnsi="宋体" w:cstheme="minorBidi"/>
          <w:color w:val="auto"/>
          <w:sz w:val="28"/>
          <w:szCs w:val="28"/>
          <w:highlight w:val="none"/>
        </w:rPr>
        <w:t>评标委员会成员对客观评审因素评分不一致的；</w:t>
      </w:r>
    </w:p>
    <w:p>
      <w:pPr>
        <w:numPr>
          <w:ilvl w:val="0"/>
          <w:numId w:val="50"/>
        </w:numPr>
        <w:tabs>
          <w:tab w:val="left" w:pos="851"/>
          <w:tab w:val="left" w:pos="1276"/>
        </w:tabs>
        <w:spacing w:line="560" w:lineRule="exact"/>
        <w:ind w:left="0" w:firstLine="426"/>
        <w:rPr>
          <w:rFonts w:ascii="宋体" w:hAnsi="宋体" w:cstheme="minorBidi"/>
          <w:color w:val="auto"/>
          <w:sz w:val="28"/>
          <w:szCs w:val="28"/>
          <w:highlight w:val="none"/>
        </w:rPr>
      </w:pPr>
      <w:r>
        <w:rPr>
          <w:rFonts w:hint="eastAsia" w:ascii="宋体" w:hAnsi="宋体" w:cstheme="minorBidi"/>
          <w:color w:val="auto"/>
          <w:sz w:val="28"/>
          <w:szCs w:val="28"/>
          <w:highlight w:val="none"/>
        </w:rPr>
        <w:t>经评标委员会认定评分畸高、畸低的。</w:t>
      </w:r>
    </w:p>
    <w:p>
      <w:pPr>
        <w:tabs>
          <w:tab w:val="left" w:pos="851"/>
        </w:tabs>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报告签署前，经复核发现存在以上情形之一的，评标委员会应当当场修改评标结果，并在评标报告中记载；评标报告签署后，采购人或者集中机构发现存在以上情形之一的，应当组织原评标委员会进行重新评审，重新评审改变评标结果的，书面报告本级财政部门。</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确定中标候选人名单</w:t>
      </w:r>
    </w:p>
    <w:p>
      <w:pPr>
        <w:tabs>
          <w:tab w:val="left" w:pos="851"/>
        </w:tabs>
        <w:spacing w:line="360" w:lineRule="auto"/>
        <w:ind w:firstLine="565" w:firstLineChars="202"/>
        <w:rPr>
          <w:rFonts w:ascii="Helvetica" w:hAnsi="Helvetica" w:cs="Helvetica"/>
          <w:color w:val="auto"/>
          <w:kern w:val="0"/>
          <w:sz w:val="28"/>
          <w:szCs w:val="28"/>
          <w:highlight w:val="none"/>
        </w:rPr>
      </w:pPr>
      <w:r>
        <w:rPr>
          <w:rFonts w:hint="eastAsia" w:ascii="宋体" w:hAnsi="宋体"/>
          <w:color w:val="auto"/>
          <w:sz w:val="28"/>
          <w:szCs w:val="28"/>
          <w:highlight w:val="none"/>
        </w:rPr>
        <w:t>按投标人综合得分从高到低进行排序，确定1至3名中标候选人。综合得分相同的，按投标报价由低到高顺序排列，得分且投标报价相同的并列。</w:t>
      </w:r>
      <w:r>
        <w:rPr>
          <w:rFonts w:hint="eastAsia" w:ascii="Helvetica" w:hAnsi="Helvetica" w:cs="Helvetica"/>
          <w:color w:val="auto"/>
          <w:kern w:val="0"/>
          <w:sz w:val="28"/>
          <w:szCs w:val="28"/>
          <w:highlight w:val="none"/>
        </w:rPr>
        <w:t>投标文件满足招标文件全部实质性要求，且按照评审因素的量化指标评审得分最高的投标人为排名第一的中标候选人。</w:t>
      </w:r>
    </w:p>
    <w:p>
      <w:pPr>
        <w:tabs>
          <w:tab w:val="left" w:pos="851"/>
        </w:tabs>
        <w:spacing w:line="560" w:lineRule="exact"/>
        <w:ind w:firstLine="565" w:firstLineChars="202"/>
        <w:rPr>
          <w:rFonts w:ascii="Helvetica" w:hAnsi="Helvetica" w:cs="Helvetica"/>
          <w:color w:val="auto"/>
          <w:kern w:val="0"/>
          <w:sz w:val="28"/>
          <w:szCs w:val="28"/>
          <w:highlight w:val="none"/>
        </w:rPr>
      </w:pPr>
      <w:r>
        <w:rPr>
          <w:rFonts w:hint="eastAsia" w:ascii="宋体" w:hAnsi="宋体"/>
          <w:color w:val="auto"/>
          <w:sz w:val="28"/>
          <w:szCs w:val="28"/>
          <w:highlight w:val="none"/>
          <w:lang w:val="zh-CN"/>
        </w:rPr>
        <w:t>提供核心产品品牌相同且通过资格检查和符合性检查的不同投标人参加同一项目投标的，按一家投标人计算，评审后得分最高的投标人获得中标候选人推荐资格；评审得分相同的，报价最低的投标人获得中标候选人推荐资格；评审得分相同且报价相同的，由评标委员会采取随机抽取的方式确定一个投标人获得中标候选人推荐资格</w:t>
      </w:r>
      <w:r>
        <w:rPr>
          <w:rFonts w:hint="eastAsia" w:ascii="Helvetica" w:hAnsi="Helvetica" w:cs="Helvetica"/>
          <w:color w:val="auto"/>
          <w:kern w:val="0"/>
          <w:sz w:val="28"/>
          <w:szCs w:val="28"/>
          <w:highlight w:val="none"/>
        </w:rPr>
        <w:t>。</w:t>
      </w:r>
    </w:p>
    <w:p>
      <w:pPr>
        <w:keepNext/>
        <w:keepLines/>
        <w:numPr>
          <w:ilvl w:val="2"/>
          <w:numId w:val="5"/>
        </w:numPr>
        <w:spacing w:before="240"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编写评标报告</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评标报告是评标委员会根据全体评标成员签字的原始评标记录和评标结果编写的报告，其主要内容包括：</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招标公告刊登的媒体名称、开标日期和地点；</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投标人名单和评标委员会成员名单；</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评标方法和标准；</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开标记录和评标情况及说明，包括投标无效投标人名单及原因；</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评标结果，确定的中标候选人名单或者经采购人委托直接确定的中标人；</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其他需要说明的情况，包括评标过程中投标人根据评标委员会要求进行的澄清、说明或者补正，评标委员会成员的更换等；</w:t>
      </w:r>
    </w:p>
    <w:p>
      <w:pPr>
        <w:numPr>
          <w:ilvl w:val="0"/>
          <w:numId w:val="51"/>
        </w:numPr>
        <w:tabs>
          <w:tab w:val="left" w:pos="1155"/>
        </w:tabs>
        <w:spacing w:line="560" w:lineRule="exact"/>
        <w:ind w:left="0" w:firstLine="525"/>
        <w:rPr>
          <w:rFonts w:ascii="宋体" w:hAnsi="宋体"/>
          <w:color w:val="auto"/>
          <w:sz w:val="28"/>
          <w:szCs w:val="28"/>
          <w:highlight w:val="none"/>
        </w:rPr>
      </w:pPr>
      <w:r>
        <w:rPr>
          <w:rFonts w:hint="eastAsia" w:ascii="宋体" w:hAnsi="宋体"/>
          <w:color w:val="auto"/>
          <w:sz w:val="28"/>
          <w:szCs w:val="28"/>
          <w:highlight w:val="none"/>
        </w:rPr>
        <w:t>报价最高的投标人为中标候选人的，评标委员会应当对其报价的合理性予以特别说明。</w:t>
      </w:r>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成员应当在评标报告中签字确认，对评标过程和结果有不同意见的，应当在评标报告中写明并说明理由。签字但未写明不同意见或者未说明理由的，视同无意见。拒不签字又未另行书面说明其不同意见和理由的，视同同意评标结果。</w:t>
      </w:r>
    </w:p>
    <w:p>
      <w:pPr>
        <w:keepNext/>
        <w:keepLines/>
        <w:numPr>
          <w:ilvl w:val="1"/>
          <w:numId w:val="5"/>
        </w:numPr>
        <w:spacing w:line="360" w:lineRule="auto"/>
        <w:jc w:val="left"/>
        <w:outlineLvl w:val="1"/>
        <w:rPr>
          <w:rFonts w:ascii="宋体" w:hAnsi="宋体"/>
          <w:b/>
          <w:bCs/>
          <w:color w:val="auto"/>
          <w:sz w:val="28"/>
          <w:szCs w:val="28"/>
          <w:highlight w:val="none"/>
        </w:rPr>
      </w:pPr>
      <w:bookmarkStart w:id="877" w:name="_Toc3058"/>
      <w:bookmarkStart w:id="878" w:name="_Toc10460"/>
      <w:r>
        <w:rPr>
          <w:rFonts w:hint="eastAsia" w:ascii="宋体" w:hAnsi="宋体"/>
          <w:b/>
          <w:bCs/>
          <w:color w:val="auto"/>
          <w:sz w:val="28"/>
          <w:szCs w:val="28"/>
          <w:highlight w:val="none"/>
        </w:rPr>
        <w:t>评标争议处理规则</w:t>
      </w:r>
      <w:bookmarkEnd w:id="877"/>
      <w:bookmarkEnd w:id="878"/>
    </w:p>
    <w:p>
      <w:pPr>
        <w:tabs>
          <w:tab w:val="left" w:pos="1155"/>
        </w:tabs>
        <w:spacing w:line="560" w:lineRule="exact"/>
        <w:ind w:firstLine="523" w:firstLineChars="187"/>
        <w:rPr>
          <w:rFonts w:ascii="宋体" w:hAnsi="宋体"/>
          <w:color w:val="auto"/>
          <w:sz w:val="28"/>
          <w:szCs w:val="28"/>
          <w:highlight w:val="none"/>
        </w:rPr>
      </w:pPr>
      <w:r>
        <w:rPr>
          <w:rFonts w:hint="eastAsia" w:ascii="宋体" w:hAnsi="宋体"/>
          <w:color w:val="auto"/>
          <w:sz w:val="28"/>
          <w:szCs w:val="28"/>
          <w:highlight w:val="none"/>
        </w:rPr>
        <w:t>评标委员会在评审过程中，对于符合性审查、对投标人文件做无效投标处理及其他需要共同认定的事项存在争议的，应当以少数服从多数的原则做出结论，但不得违背法律法规和招标文件规定。</w:t>
      </w:r>
      <w:r>
        <w:rPr>
          <w:rFonts w:hint="eastAsia" w:cs="Arial"/>
          <w:color w:val="auto"/>
          <w:sz w:val="28"/>
          <w:szCs w:val="28"/>
          <w:highlight w:val="none"/>
        </w:rPr>
        <w:t>持不同意见的评标委员会成员应当在评标报告上签署不同意见及理由，否则视为同意评标报告。</w:t>
      </w:r>
      <w:r>
        <w:rPr>
          <w:rFonts w:hint="eastAsia" w:ascii="宋体" w:hAnsi="宋体"/>
          <w:color w:val="auto"/>
          <w:sz w:val="28"/>
          <w:szCs w:val="28"/>
          <w:highlight w:val="none"/>
        </w:rPr>
        <w:t>持不同意见的评标委员会成员认为认定过程和结果不符合法律法规或者招标文件规定的，应当及时向采购人或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书面反映。采购人或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收到书面反映后，应当书面报告采购项目同级财政部门依法处理。</w:t>
      </w:r>
    </w:p>
    <w:p>
      <w:pPr>
        <w:keepNext/>
        <w:keepLines/>
        <w:numPr>
          <w:ilvl w:val="1"/>
          <w:numId w:val="5"/>
        </w:numPr>
        <w:spacing w:line="360" w:lineRule="auto"/>
        <w:jc w:val="left"/>
        <w:outlineLvl w:val="1"/>
        <w:rPr>
          <w:rFonts w:ascii="宋体" w:hAnsi="宋体"/>
          <w:b/>
          <w:bCs/>
          <w:color w:val="auto"/>
          <w:sz w:val="28"/>
          <w:szCs w:val="28"/>
          <w:highlight w:val="none"/>
        </w:rPr>
      </w:pPr>
      <w:bookmarkStart w:id="879" w:name="_Toc22355"/>
      <w:bookmarkStart w:id="880" w:name="_Toc27181"/>
      <w:r>
        <w:rPr>
          <w:rFonts w:hint="eastAsia" w:ascii="宋体" w:hAnsi="宋体"/>
          <w:b/>
          <w:bCs/>
          <w:color w:val="auto"/>
          <w:sz w:val="28"/>
          <w:szCs w:val="28"/>
          <w:highlight w:val="none"/>
        </w:rPr>
        <w:t>评标细则及标准</w:t>
      </w:r>
      <w:bookmarkEnd w:id="879"/>
      <w:bookmarkEnd w:id="880"/>
    </w:p>
    <w:p>
      <w:pPr>
        <w:numPr>
          <w:ilvl w:val="0"/>
          <w:numId w:val="52"/>
        </w:numPr>
        <w:tabs>
          <w:tab w:val="left" w:pos="1155"/>
        </w:tabs>
        <w:spacing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评标委员会只对通过初审的投标文件，根据招标文件的要求采用相同的评标程序、评分办法及标准进行评价和比较。</w:t>
      </w:r>
    </w:p>
    <w:p>
      <w:pPr>
        <w:numPr>
          <w:ilvl w:val="0"/>
          <w:numId w:val="52"/>
        </w:numPr>
        <w:tabs>
          <w:tab w:val="left" w:pos="1155"/>
        </w:tabs>
        <w:spacing w:after="200"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本次综合评分的因素是：价格、服务、商务等。</w:t>
      </w:r>
    </w:p>
    <w:p>
      <w:pPr>
        <w:numPr>
          <w:ilvl w:val="0"/>
          <w:numId w:val="52"/>
        </w:numPr>
        <w:tabs>
          <w:tab w:val="left" w:pos="1155"/>
        </w:tabs>
        <w:spacing w:after="200" w:line="360" w:lineRule="auto"/>
        <w:ind w:left="0" w:firstLine="560" w:firstLineChars="200"/>
        <w:rPr>
          <w:rFonts w:ascii="宋体" w:hAnsi="宋体"/>
          <w:color w:val="auto"/>
          <w:sz w:val="28"/>
          <w:szCs w:val="28"/>
          <w:highlight w:val="none"/>
        </w:rPr>
      </w:pPr>
      <w:r>
        <w:rPr>
          <w:rFonts w:hint="eastAsia" w:ascii="宋体" w:hAnsi="宋体"/>
          <w:color w:val="auto"/>
          <w:sz w:val="28"/>
          <w:szCs w:val="28"/>
          <w:highlight w:val="none"/>
        </w:rPr>
        <w:t>评标委员会成员应依据招标文件规定的评分标准和方法独立打分。</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评标办法</w:t>
      </w:r>
    </w:p>
    <w:p>
      <w:pPr>
        <w:spacing w:line="360" w:lineRule="auto"/>
        <w:ind w:firstLine="630" w:firstLineChars="225"/>
        <w:rPr>
          <w:rFonts w:ascii="宋体" w:hAnsi="宋体"/>
          <w:color w:val="auto"/>
          <w:sz w:val="28"/>
          <w:szCs w:val="28"/>
          <w:highlight w:val="none"/>
        </w:rPr>
      </w:pPr>
      <w:r>
        <w:rPr>
          <w:rFonts w:hint="eastAsia" w:ascii="宋体" w:hAnsi="宋体"/>
          <w:color w:val="auto"/>
          <w:sz w:val="28"/>
          <w:szCs w:val="28"/>
          <w:highlight w:val="none"/>
        </w:rPr>
        <w:t xml:space="preserve">本次评标采用综合评分法，由评标委员会各成员独立对通过初审（资格检查和符合性检查）的投标人的投标文件进行评审和打分，    </w:t>
      </w:r>
    </w:p>
    <w:p>
      <w:pPr>
        <w:spacing w:line="360" w:lineRule="auto"/>
        <w:ind w:firstLine="630" w:firstLineChars="225"/>
        <w:rPr>
          <w:rFonts w:ascii="宋体" w:hAnsi="宋体"/>
          <w:color w:val="auto"/>
          <w:sz w:val="28"/>
          <w:szCs w:val="28"/>
          <w:highlight w:val="none"/>
        </w:rPr>
      </w:pPr>
      <w:r>
        <w:rPr>
          <w:rFonts w:hint="eastAsia" w:ascii="宋体" w:hAnsi="宋体"/>
          <w:color w:val="auto"/>
          <w:sz w:val="28"/>
          <w:szCs w:val="28"/>
          <w:highlight w:val="none"/>
        </w:rPr>
        <w:t>评标得分＝（A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n</w:t>
      </w:r>
      <w:r>
        <w:rPr>
          <w:rFonts w:hint="eastAsia" w:ascii="宋体" w:hAnsi="宋体"/>
          <w:color w:val="auto"/>
          <w:sz w:val="28"/>
          <w:szCs w:val="28"/>
          <w:highlight w:val="none"/>
          <w:vertAlign w:val="subscript"/>
        </w:rPr>
        <w:t>3</w:t>
      </w:r>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……A</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分别为每个</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评委的打分，n</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经济类</w:t>
      </w:r>
      <w:r>
        <w:rPr>
          <w:rFonts w:hint="eastAsia" w:ascii="宋体" w:hAnsi="宋体"/>
          <w:color w:val="auto"/>
          <w:sz w:val="28"/>
          <w:szCs w:val="28"/>
          <w:highlight w:val="none"/>
        </w:rPr>
        <w:t>评委人数；B</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＋……B</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分别为每个技术类评委（含采购人代表）的打分，n</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为</w:t>
      </w:r>
      <w:r>
        <w:rPr>
          <w:rFonts w:hint="eastAsia" w:ascii="宋体" w:hAnsi="宋体" w:cs="宋体"/>
          <w:color w:val="auto"/>
          <w:kern w:val="0"/>
          <w:sz w:val="28"/>
          <w:szCs w:val="28"/>
          <w:highlight w:val="none"/>
        </w:rPr>
        <w:t>技术类</w:t>
      </w:r>
      <w:r>
        <w:rPr>
          <w:rFonts w:hint="eastAsia" w:ascii="宋体" w:hAnsi="宋体"/>
          <w:color w:val="auto"/>
          <w:sz w:val="28"/>
          <w:szCs w:val="28"/>
          <w:highlight w:val="none"/>
        </w:rPr>
        <w:t>评委（含采购人代表）人数；C</w:t>
      </w:r>
      <w:r>
        <w:rPr>
          <w:rFonts w:hint="eastAsia" w:ascii="宋体" w:hAnsi="宋体"/>
          <w:color w:val="auto"/>
          <w:sz w:val="28"/>
          <w:szCs w:val="28"/>
          <w:highlight w:val="none"/>
          <w:vertAlign w:val="subscript"/>
        </w:rPr>
        <w:t>1</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2</w:t>
      </w:r>
      <w:r>
        <w:rPr>
          <w:rFonts w:hint="eastAsia" w:ascii="宋体" w:hAnsi="宋体"/>
          <w:color w:val="auto"/>
          <w:sz w:val="28"/>
          <w:szCs w:val="28"/>
          <w:highlight w:val="none"/>
        </w:rPr>
        <w:t>……C</w:t>
      </w:r>
      <w:r>
        <w:rPr>
          <w:rFonts w:hint="eastAsia" w:ascii="宋体" w:hAnsi="宋体"/>
          <w:color w:val="auto"/>
          <w:sz w:val="28"/>
          <w:szCs w:val="28"/>
          <w:highlight w:val="none"/>
          <w:vertAlign w:val="subscript"/>
        </w:rPr>
        <w:t>n</w:t>
      </w:r>
      <w:r>
        <w:rPr>
          <w:rFonts w:hint="eastAsia" w:ascii="宋体" w:hAnsi="宋体"/>
          <w:color w:val="auto"/>
          <w:sz w:val="28"/>
          <w:szCs w:val="28"/>
          <w:highlight w:val="none"/>
        </w:rPr>
        <w:t xml:space="preserve"> 分别为评审委员会每个成员的打分，n</w:t>
      </w:r>
      <w:r>
        <w:rPr>
          <w:rFonts w:hint="eastAsia" w:ascii="宋体" w:hAnsi="宋体"/>
          <w:color w:val="auto"/>
          <w:sz w:val="28"/>
          <w:szCs w:val="28"/>
          <w:highlight w:val="none"/>
          <w:vertAlign w:val="subscript"/>
        </w:rPr>
        <w:t>3</w:t>
      </w:r>
      <w:r>
        <w:rPr>
          <w:rFonts w:hint="eastAsia" w:ascii="宋体" w:hAnsi="宋体"/>
          <w:color w:val="auto"/>
          <w:sz w:val="28"/>
          <w:szCs w:val="28"/>
          <w:highlight w:val="none"/>
        </w:rPr>
        <w:t>为评委人数。</w:t>
      </w:r>
    </w:p>
    <w:p>
      <w:pPr>
        <w:pStyle w:val="5"/>
        <w:jc w:val="both"/>
        <w:rPr>
          <w:rFonts w:hint="eastAsia"/>
          <w:lang w:eastAsia="zh-CN"/>
        </w:rPr>
      </w:pPr>
      <w:r>
        <w:rPr>
          <w:rFonts w:hint="eastAsia" w:ascii="宋体" w:hAnsi="宋体"/>
          <w:b/>
          <w:bCs/>
          <w:color w:val="auto"/>
          <w:sz w:val="28"/>
          <w:szCs w:val="28"/>
          <w:highlight w:val="none"/>
        </w:rPr>
        <w:t>评分</w:t>
      </w:r>
      <w:r>
        <w:rPr>
          <w:rFonts w:ascii="宋体" w:hAnsi="宋体"/>
          <w:b/>
          <w:bCs/>
          <w:color w:val="auto"/>
          <w:sz w:val="28"/>
          <w:szCs w:val="28"/>
          <w:highlight w:val="none"/>
        </w:rPr>
        <w:t>标准</w:t>
      </w:r>
    </w:p>
    <w:tbl>
      <w:tblPr>
        <w:tblStyle w:val="43"/>
        <w:tblW w:w="5000" w:type="pct"/>
        <w:tblInd w:w="0" w:type="dxa"/>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Layout w:type="autofit"/>
        <w:tblCellMar>
          <w:top w:w="75" w:type="dxa"/>
          <w:left w:w="75" w:type="dxa"/>
          <w:bottom w:w="75" w:type="dxa"/>
          <w:right w:w="75" w:type="dxa"/>
        </w:tblCellMar>
      </w:tblPr>
      <w:tblGrid>
        <w:gridCol w:w="1691"/>
        <w:gridCol w:w="2537"/>
        <w:gridCol w:w="846"/>
        <w:gridCol w:w="3382"/>
      </w:tblGrid>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1000" w:type="pc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评委类别</w:t>
            </w:r>
          </w:p>
        </w:tc>
        <w:tc>
          <w:tcPr>
            <w:tcW w:w="1500" w:type="pc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评审项目</w:t>
            </w:r>
          </w:p>
        </w:tc>
        <w:tc>
          <w:tcPr>
            <w:tcW w:w="500" w:type="pc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分值</w:t>
            </w:r>
          </w:p>
        </w:tc>
        <w:tc>
          <w:tcPr>
            <w:tcW w:w="2000" w:type="pc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评分标准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rPr>
                <w:b/>
                <w:bCs/>
              </w:rPr>
              <w:t>经济类评委</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报价</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40.00分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1、对小型企业、微型企业、监狱企业、残疾人福利性单位制造的货物的价格（如涉及）给予10%的价格扣除，用扣除后的价格参与评审；[注：投标产品制造商为监狱企业的，提供由省级以上监狱管理局、戒毒管理局（含新疆生产建设兵团）出具的投标产品制造商属于监狱企业的证明文件复印件。] 2、经评标委员会评审，通过资格性和符合性审查，且投标报价最低的投标人的投标报价作为评标基准价； 3、投标报价得分=(评标基准价／投标报价)×40。 （注：①同一产品仅作一次价格扣除。②提供的货物既有中小企业制造货物，也有大型企业制造货物的，不享受价格扣除。）</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技术类评委评审</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安装调试方案</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3.00分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根据投标人提供的项目安装调试方案进行综合评审，方案包括但不限于：①项目的进度安排及保障措施、②安装人员配置及分工、③设备保护措施及调试方案等内容，每具备以上一个要素的得0.5分，最多得1.5分；在具备以上3个方面基础上，每有一个要素完全符合采购需求的各加0.5分，最多加1.5分。本项最多得3分。（说明：不符合或不完全符合釆购需求是指存在不适用项目实际情况、凭空编造、逻辑漏洞、原理错误、内容阐述不清晰的情形，不额外加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运维服务方案</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7.00分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根据投标人提供的运维服务方案进行综合评审，方案包括但不限于：①运维服务体系、②运维目标、③运维巡检计划、④应急响应措施、⑤档案建立制度及措施、⑥质保措施、⑦培训内容、（包含师资设置、培训时间安排和培训周期）等内容，每具备以上一个要素的得0.5分，最多得3.5分；在具备以上7个方面基础上，每有一个要素完全符合采购需求的各加0.5分，最多加3.5分。本项最多得7分。（说明：不符合或不完全符合釆购需求是指存在不适用项目实际情况、凭空编造、逻辑漏洞、原理错误、内容阐述不清晰的情形，不额外加分。）</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技术指标和配置</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36.00分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 xml:space="preserve">1、投标人投标产品的技术参数完全满足招标文件中加▲号的技术参数及要求的得26分；投标人投标产品的技术参数不满足招标文件中加▲号的技术参数及要求的，则在26分的基础上，按以下原则扣分，扣完为止：每有一项不满足招标文件中加▲号的技术参数及要求的，扣1分。 2、投标人投标产品的技术参数完全满足招标文件中未加▲、★号的技术参数及要求的得10分；投标人投标产品的技术参数不满足招标文件中未加▲、★号的技术参数及要求的，则在10分的基础上，按以下原则扣分，扣完为止：每有一项不满足招标文件中未加▲、★号的技术参数及要求的，扣0.1分。（注：以上1-2项以技术方案第八章技术参数及要求中参数的阿拉伯数字标注为一项） </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restart"/>
            <w:tcBorders>
              <w:top w:val="outset" w:color="auto" w:sz="6" w:space="0"/>
              <w:left w:val="outset" w:color="auto" w:sz="6" w:space="0"/>
              <w:bottom w:val="outset" w:color="auto" w:sz="6" w:space="0"/>
              <w:right w:val="outset" w:color="auto" w:sz="6" w:space="0"/>
            </w:tcBorders>
            <w:noWrap w:val="0"/>
            <w:vAlign w:val="center"/>
          </w:tcPr>
          <w:p>
            <w:pPr>
              <w:jc w:val="center"/>
            </w:pPr>
            <w:r>
              <w:rPr>
                <w:b/>
                <w:bCs/>
              </w:rPr>
              <w:t>评审委员会评审</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投标文件的规范性</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2.00分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投标文件制作规范，没有细微偏差情形的得 2分；有一项细微偏差扣 0.5分，直至该项分值扣完为止。</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公司信誉及技术实力</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4.00分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1、投标人具有有效的质量管理体系证书可得1分。（注：1.须提供证书复印件并加盖公章；2.提供证书在国家认证认可监督管理委员会官方网站上查询的截图，并加盖公章） 2、投标人具有智慧管家、智慧警务、智慧物业相关计算机软件著作权登记证书的（名称有细微区别的视为相同），每有一个得一分，最高得3分。（注：提供证书复印件并加盖公章）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履约能力</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4.00分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投标人自2017年1月1日（含1日）至今，每承担一个类似项目业绩的得1分，最高得4分。未提供不得分。（注：同一项目签订的多个合同只计算为一次，不重复计分；投标人提供合同复印件并加盖公章）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节能、环境标志产品、无线局域网产品</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2.00分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投标人投标产品中每有一项产品（除带“★”产品外）具有国家确定的认证机构出具的节能产品认证证书的得0.5分；投标人投标产品中每有一项产品具有国家确定的认证机构出具的环境标志产品认证证书的得0.5分；投标人投标产品中如果有属于无线局域网认证产品政府采购清单（最新一期）中采购目录范围的得0.5分；本项最多得2分。 （注：节能产品、环境标志产品提供国家确定的认证机构出具的有效证书复印件加盖公章。无线局域网认证产品提供清单复印件加盖公章）</w:t>
            </w:r>
          </w:p>
        </w:tc>
      </w:tr>
      <w:tr>
        <w:tblPrEx>
          <w:tblBorders>
            <w:top w:val="outset" w:color="auto" w:sz="12" w:space="0"/>
            <w:left w:val="outset" w:color="auto" w:sz="12" w:space="0"/>
            <w:bottom w:val="outset" w:color="auto" w:sz="12" w:space="0"/>
            <w:right w:val="outset" w:color="auto" w:sz="12" w:space="0"/>
            <w:insideH w:val="none" w:color="auto" w:sz="0" w:space="0"/>
            <w:insideV w:val="none" w:color="auto" w:sz="0" w:space="0"/>
          </w:tblBorders>
          <w:tblCellMar>
            <w:top w:w="75" w:type="dxa"/>
            <w:left w:w="75" w:type="dxa"/>
            <w:bottom w:w="75" w:type="dxa"/>
            <w:right w:w="75" w:type="dxa"/>
          </w:tblCellMar>
        </w:tblPrEx>
        <w:tc>
          <w:tcPr>
            <w:tcW w:w="0" w:type="auto"/>
            <w:vMerge w:val="continue"/>
            <w:tcBorders>
              <w:top w:val="outset" w:color="auto" w:sz="6" w:space="0"/>
              <w:left w:val="outset" w:color="auto" w:sz="6" w:space="0"/>
              <w:bottom w:val="outset" w:color="auto" w:sz="6" w:space="0"/>
              <w:right w:val="outset" w:color="auto" w:sz="6" w:space="0"/>
            </w:tcBorders>
            <w:noWrap w:val="0"/>
            <w:vAlign w:val="center"/>
          </w:tcPr>
          <w:p>
            <w:pPr>
              <w:jc w:val="left"/>
            </w:pP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center"/>
            </w:pPr>
            <w:r>
              <w:t>扶持不发达地区和少数民族地区</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2.00分</w:t>
            </w:r>
          </w:p>
        </w:tc>
        <w:tc>
          <w:tcPr>
            <w:tcW w:w="0" w:type="auto"/>
            <w:tcBorders>
              <w:top w:val="outset" w:color="auto" w:sz="6" w:space="0"/>
              <w:left w:val="outset" w:color="auto" w:sz="6" w:space="0"/>
              <w:bottom w:val="outset" w:color="auto" w:sz="6" w:space="0"/>
              <w:right w:val="outset" w:color="auto" w:sz="6" w:space="0"/>
            </w:tcBorders>
            <w:noWrap w:val="0"/>
            <w:vAlign w:val="center"/>
          </w:tcPr>
          <w:p>
            <w:pPr>
              <w:jc w:val="left"/>
            </w:pPr>
            <w:r>
              <w:t>投标人为不发达地区或少数民族地区企业的，得2分。（注：投标人在投标文件中承诺并加盖公章）</w:t>
            </w:r>
          </w:p>
        </w:tc>
      </w:tr>
    </w:tbl>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说明：</w:t>
      </w:r>
    </w:p>
    <w:p>
      <w:pPr>
        <w:spacing w:line="560" w:lineRule="exact"/>
        <w:ind w:firstLine="560" w:firstLineChars="200"/>
        <w:rPr>
          <w:rFonts w:ascii="宋体" w:hAnsi="宋体"/>
          <w:color w:val="auto"/>
          <w:sz w:val="28"/>
          <w:highlight w:val="none"/>
        </w:rPr>
      </w:pPr>
      <w:r>
        <w:rPr>
          <w:rFonts w:hint="eastAsia" w:ascii="宋体" w:hAnsi="宋体"/>
          <w:color w:val="auto"/>
          <w:sz w:val="28"/>
          <w:highlight w:val="none"/>
        </w:rPr>
        <w:t>1、评分的取值按四舍五入法，保留小数点后两位；</w:t>
      </w:r>
    </w:p>
    <w:p>
      <w:pPr>
        <w:spacing w:line="560" w:lineRule="exact"/>
        <w:ind w:firstLine="560" w:firstLineChars="200"/>
        <w:rPr>
          <w:rFonts w:ascii="宋体" w:hAnsi="宋体"/>
          <w:b/>
          <w:bCs/>
          <w:color w:val="auto"/>
          <w:sz w:val="28"/>
          <w:szCs w:val="28"/>
          <w:highlight w:val="none"/>
        </w:rPr>
      </w:pPr>
      <w:r>
        <w:rPr>
          <w:rFonts w:hint="eastAsia" w:ascii="宋体" w:hAnsi="宋体"/>
          <w:color w:val="auto"/>
          <w:sz w:val="28"/>
          <w:highlight w:val="none"/>
        </w:rPr>
        <w:t>2、评分标准中要求提供复印件的证明材料须清晰可辨。</w:t>
      </w:r>
    </w:p>
    <w:p>
      <w:pPr>
        <w:keepNext/>
        <w:keepLines/>
        <w:numPr>
          <w:ilvl w:val="1"/>
          <w:numId w:val="5"/>
        </w:numPr>
        <w:spacing w:before="260" w:after="260" w:line="360" w:lineRule="auto"/>
        <w:jc w:val="left"/>
        <w:outlineLvl w:val="1"/>
        <w:rPr>
          <w:rFonts w:ascii="宋体" w:hAnsi="宋体"/>
          <w:b/>
          <w:bCs/>
          <w:color w:val="auto"/>
          <w:sz w:val="28"/>
          <w:szCs w:val="28"/>
          <w:highlight w:val="none"/>
        </w:rPr>
      </w:pPr>
      <w:bookmarkStart w:id="881" w:name="_Toc16127"/>
      <w:bookmarkStart w:id="882" w:name="_Toc14214"/>
      <w:r>
        <w:rPr>
          <w:rFonts w:hint="eastAsia" w:ascii="宋体" w:hAnsi="宋体"/>
          <w:b/>
          <w:bCs/>
          <w:color w:val="auto"/>
          <w:sz w:val="28"/>
          <w:szCs w:val="28"/>
          <w:highlight w:val="none"/>
        </w:rPr>
        <w:t>废标</w:t>
      </w:r>
      <w:bookmarkEnd w:id="881"/>
      <w:bookmarkEnd w:id="882"/>
    </w:p>
    <w:p>
      <w:pPr>
        <w:spacing w:line="360" w:lineRule="auto"/>
        <w:ind w:firstLine="560" w:firstLineChars="200"/>
        <w:rPr>
          <w:rFonts w:ascii="宋体" w:hAnsi="宋体"/>
          <w:color w:val="auto"/>
          <w:sz w:val="28"/>
          <w:szCs w:val="28"/>
          <w:highlight w:val="none"/>
        </w:rPr>
      </w:pPr>
      <w:r>
        <w:rPr>
          <w:rFonts w:hint="eastAsia" w:ascii="宋体" w:hAnsi="宋体"/>
          <w:color w:val="auto"/>
          <w:sz w:val="28"/>
          <w:szCs w:val="28"/>
          <w:highlight w:val="none"/>
        </w:rPr>
        <w:t>本次政府采购活动中，出现下列情形之一的，予以废标：</w:t>
      </w:r>
    </w:p>
    <w:p>
      <w:pPr>
        <w:numPr>
          <w:ilvl w:val="0"/>
          <w:numId w:val="53"/>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符合专业条件的投标人或者对招标文件作实质响应的投标人不足三家的；</w:t>
      </w:r>
    </w:p>
    <w:p>
      <w:pPr>
        <w:numPr>
          <w:ilvl w:val="0"/>
          <w:numId w:val="53"/>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出现影响采购公正的违法、违规行为的；</w:t>
      </w:r>
    </w:p>
    <w:p>
      <w:pPr>
        <w:numPr>
          <w:ilvl w:val="0"/>
          <w:numId w:val="53"/>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投标人的报价均超过了采购预算，采购人不能支付的；</w:t>
      </w:r>
    </w:p>
    <w:p>
      <w:pPr>
        <w:numPr>
          <w:ilvl w:val="0"/>
          <w:numId w:val="53"/>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因重大变故，采购任务取消的；</w:t>
      </w:r>
    </w:p>
    <w:p>
      <w:pPr>
        <w:numPr>
          <w:ilvl w:val="0"/>
          <w:numId w:val="53"/>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废标后，</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公资交易中心将在“四川政府采购网”和“成都市公共资源交易服务中心”网站上公告。</w:t>
      </w:r>
    </w:p>
    <w:p>
      <w:pPr>
        <w:keepNext/>
        <w:keepLines/>
        <w:numPr>
          <w:ilvl w:val="1"/>
          <w:numId w:val="5"/>
        </w:numPr>
        <w:spacing w:before="260" w:after="260" w:line="360" w:lineRule="auto"/>
        <w:jc w:val="left"/>
        <w:outlineLvl w:val="1"/>
        <w:rPr>
          <w:rFonts w:ascii="宋体" w:hAnsi="宋体"/>
          <w:b/>
          <w:bCs/>
          <w:color w:val="auto"/>
          <w:sz w:val="28"/>
          <w:szCs w:val="28"/>
          <w:highlight w:val="none"/>
        </w:rPr>
      </w:pPr>
      <w:bookmarkStart w:id="883" w:name="_Toc11627"/>
      <w:bookmarkStart w:id="884" w:name="_Toc14934"/>
      <w:r>
        <w:rPr>
          <w:rFonts w:hint="eastAsia" w:ascii="宋体" w:hAnsi="宋体"/>
          <w:b/>
          <w:bCs/>
          <w:color w:val="auto"/>
          <w:sz w:val="28"/>
          <w:szCs w:val="28"/>
          <w:highlight w:val="none"/>
        </w:rPr>
        <w:t>定标</w:t>
      </w:r>
      <w:bookmarkEnd w:id="883"/>
      <w:bookmarkEnd w:id="884"/>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定标原则</w:t>
      </w:r>
    </w:p>
    <w:p>
      <w:pPr>
        <w:spacing w:line="560" w:lineRule="exact"/>
        <w:ind w:firstLine="560" w:firstLineChars="200"/>
        <w:rPr>
          <w:rFonts w:ascii="宋体" w:hAnsi="宋体"/>
          <w:color w:val="auto"/>
          <w:sz w:val="28"/>
          <w:szCs w:val="28"/>
          <w:highlight w:val="none"/>
        </w:rPr>
      </w:pPr>
      <w:r>
        <w:rPr>
          <w:rFonts w:hint="eastAsia" w:ascii="宋体" w:hAnsi="宋体"/>
          <w:color w:val="auto"/>
          <w:sz w:val="28"/>
          <w:szCs w:val="28"/>
          <w:highlight w:val="none"/>
        </w:rPr>
        <w:t>本项目根据评标委员会确定的中标候选人名单，采购人按顺序确定1名中标人。中标候选供应商并列的，由采购人采取随机抽取的方式确定中标人。</w:t>
      </w:r>
    </w:p>
    <w:p>
      <w:pPr>
        <w:spacing w:line="560" w:lineRule="exact"/>
        <w:ind w:firstLine="560" w:firstLineChars="200"/>
        <w:rPr>
          <w:rFonts w:ascii="宋体" w:hAnsi="宋体"/>
          <w:color w:val="auto"/>
          <w:sz w:val="28"/>
          <w:szCs w:val="28"/>
          <w:highlight w:val="none"/>
        </w:rPr>
      </w:pPr>
      <w:r>
        <w:rPr>
          <w:rFonts w:hint="eastAsia" w:ascii="宋体" w:hAnsi="宋体" w:cs="Helvetica"/>
          <w:color w:val="auto"/>
          <w:kern w:val="0"/>
          <w:sz w:val="28"/>
          <w:szCs w:val="28"/>
          <w:highlight w:val="none"/>
        </w:rPr>
        <w:t>采购人在收到评标报告</w:t>
      </w:r>
      <w:r>
        <w:rPr>
          <w:rFonts w:hint="eastAsia" w:ascii="宋体" w:hAnsi="宋体" w:cs="宋体"/>
          <w:color w:val="auto"/>
          <w:kern w:val="0"/>
          <w:sz w:val="28"/>
          <w:szCs w:val="28"/>
          <w:highlight w:val="none"/>
        </w:rPr>
        <w:t>5</w:t>
      </w:r>
      <w:r>
        <w:rPr>
          <w:rFonts w:hint="eastAsia" w:ascii="宋体" w:hAnsi="宋体" w:cs="Helvetica"/>
          <w:color w:val="auto"/>
          <w:kern w:val="0"/>
          <w:sz w:val="28"/>
          <w:szCs w:val="28"/>
          <w:highlight w:val="none"/>
        </w:rPr>
        <w:t>个工作日内未按评标报告推荐的中标候选人顺序确定中标人，又不能说明合法理由的，视同按评标报告推荐的顺序确定排名第一的中标候选人为中标人。</w:t>
      </w:r>
    </w:p>
    <w:p>
      <w:pPr>
        <w:keepNext/>
        <w:keepLines/>
        <w:numPr>
          <w:ilvl w:val="2"/>
          <w:numId w:val="5"/>
        </w:numPr>
        <w:spacing w:line="360" w:lineRule="auto"/>
        <w:ind w:left="0" w:firstLine="0"/>
        <w:outlineLvl w:val="2"/>
        <w:rPr>
          <w:rFonts w:ascii="宋体" w:hAnsi="宋体"/>
          <w:b/>
          <w:bCs/>
          <w:color w:val="auto"/>
          <w:sz w:val="28"/>
          <w:szCs w:val="28"/>
          <w:highlight w:val="none"/>
        </w:rPr>
      </w:pPr>
      <w:r>
        <w:rPr>
          <w:rFonts w:hint="eastAsia" w:ascii="宋体" w:hAnsi="宋体"/>
          <w:b/>
          <w:bCs/>
          <w:color w:val="auto"/>
          <w:sz w:val="28"/>
          <w:szCs w:val="28"/>
          <w:highlight w:val="none"/>
        </w:rPr>
        <w:t>定标程序</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一、评审委员会将评审情况写出书面报告。</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二、</w:t>
      </w:r>
      <w:r>
        <w:rPr>
          <w:rFonts w:hint="eastAsia" w:ascii="宋体" w:hAnsi="宋体" w:cs="Helvetica"/>
          <w:color w:val="auto"/>
          <w:sz w:val="28"/>
          <w:szCs w:val="28"/>
          <w:highlight w:val="none"/>
          <w:lang w:eastAsia="zh-CN"/>
        </w:rPr>
        <w:t>区</w:t>
      </w:r>
      <w:r>
        <w:rPr>
          <w:rFonts w:hint="eastAsia" w:ascii="宋体" w:hAnsi="宋体" w:cs="Helvetica"/>
          <w:color w:val="auto"/>
          <w:sz w:val="28"/>
          <w:szCs w:val="28"/>
          <w:highlight w:val="none"/>
        </w:rPr>
        <w:t>公资交易中心在评审结束之日起2个工作日内将评审报告送采购人。</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三、采购人在收到评审报告后五个工作日内，按照评审报告中推荐的中标（成交）候选人顺序确定中标（成交）人。如果中标（成交）候选人及其现任法定代表人、主要负责人存在行贿犯罪记录，采购人将不确定其为中标（成交）人。采购人在确认成交供应商前，应到中国裁判文书网（https://wenshu.court.gov.cn）查询成交候选供应商及其现任法定代表人、主要负责人是否存在行贿犯罪记录。</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四、根据采购人确定的中标（成交）人，</w:t>
      </w:r>
      <w:r>
        <w:rPr>
          <w:rFonts w:hint="eastAsia" w:ascii="宋体" w:hAnsi="宋体" w:cs="Helvetica"/>
          <w:color w:val="auto"/>
          <w:sz w:val="28"/>
          <w:szCs w:val="28"/>
          <w:highlight w:val="none"/>
          <w:lang w:eastAsia="zh-CN"/>
        </w:rPr>
        <w:t>区</w:t>
      </w:r>
      <w:r>
        <w:rPr>
          <w:rFonts w:hint="eastAsia" w:ascii="宋体" w:hAnsi="宋体" w:cs="Helvetica"/>
          <w:color w:val="auto"/>
          <w:sz w:val="28"/>
          <w:szCs w:val="28"/>
          <w:highlight w:val="none"/>
        </w:rPr>
        <w:t>公资交易中心在“四川政府采购网”和“成都市公共资源交易服务中心”网站上发布中标（成交）公告，同时向中标（成交）人发出中标（成交）通知书。</w:t>
      </w:r>
    </w:p>
    <w:p>
      <w:pPr>
        <w:spacing w:line="360" w:lineRule="auto"/>
        <w:ind w:firstLine="560" w:firstLineChars="200"/>
        <w:rPr>
          <w:rFonts w:ascii="宋体" w:hAnsi="宋体" w:cs="Helvetica"/>
          <w:color w:val="auto"/>
          <w:sz w:val="28"/>
          <w:szCs w:val="28"/>
          <w:highlight w:val="none"/>
        </w:rPr>
      </w:pPr>
      <w:r>
        <w:rPr>
          <w:rFonts w:hint="eastAsia" w:ascii="宋体" w:hAnsi="宋体" w:cs="Helvetica"/>
          <w:color w:val="auto"/>
          <w:sz w:val="28"/>
          <w:szCs w:val="28"/>
          <w:highlight w:val="none"/>
        </w:rPr>
        <w:t>五、采购人、</w:t>
      </w:r>
      <w:r>
        <w:rPr>
          <w:rFonts w:hint="eastAsia" w:ascii="宋体" w:hAnsi="宋体" w:cs="Helvetica"/>
          <w:color w:val="auto"/>
          <w:sz w:val="28"/>
          <w:szCs w:val="28"/>
          <w:highlight w:val="none"/>
          <w:lang w:eastAsia="zh-CN"/>
        </w:rPr>
        <w:t>区</w:t>
      </w:r>
      <w:r>
        <w:rPr>
          <w:rFonts w:hint="eastAsia" w:ascii="宋体" w:hAnsi="宋体" w:cs="Helvetica"/>
          <w:color w:val="auto"/>
          <w:sz w:val="28"/>
          <w:szCs w:val="28"/>
          <w:highlight w:val="none"/>
        </w:rPr>
        <w:t>公资交易中心不解释中标（成交）或未中标（成交）原因，不退回投标文件和其他投标资料。</w:t>
      </w:r>
    </w:p>
    <w:p>
      <w:pPr>
        <w:keepNext/>
        <w:keepLines/>
        <w:numPr>
          <w:ilvl w:val="1"/>
          <w:numId w:val="5"/>
        </w:numPr>
        <w:spacing w:line="360" w:lineRule="auto"/>
        <w:jc w:val="left"/>
        <w:outlineLvl w:val="1"/>
        <w:rPr>
          <w:rFonts w:ascii="宋体" w:hAnsi="宋体"/>
          <w:b/>
          <w:bCs/>
          <w:color w:val="auto"/>
          <w:sz w:val="28"/>
          <w:szCs w:val="28"/>
          <w:highlight w:val="none"/>
        </w:rPr>
      </w:pPr>
      <w:bookmarkStart w:id="885" w:name="_Toc18526"/>
      <w:bookmarkStart w:id="886" w:name="_Toc13805"/>
      <w:r>
        <w:rPr>
          <w:rFonts w:hint="eastAsia" w:ascii="宋体" w:hAnsi="宋体"/>
          <w:b/>
          <w:bCs/>
          <w:color w:val="auto"/>
          <w:sz w:val="28"/>
          <w:szCs w:val="28"/>
          <w:highlight w:val="none"/>
        </w:rPr>
        <w:t>评标专家在政府采购活动中承担以下义务</w:t>
      </w:r>
      <w:bookmarkEnd w:id="885"/>
      <w:bookmarkEnd w:id="886"/>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遵纪守法，客观、公正、廉洁地履行职责。</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按照政府采购法律法规和采购文件的规定要求对投标人的资格条件和投标人提供的产品价格、技术、服务等方面严格进行独立评审，提供科学合理、公平公正的评审意见，参与起草评审报告，并予签字确认。</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保守秘密。不得泄漏投标人的投标文件及知悉的商业秘密，不得向投标人透露评审情况。</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发现投标人在政府采购活动中有不正当竞争或恶意串通等违规行为，及时向政府采购评审工作的组织者或财政部门报告并加以制止。</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发现采购人、</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公资交易中心及其工作人员在政府采购活动中有干预评审、发表倾向性和歧视性言论、受贿或者接受投标人的其他好处及其他违法违规行为，及时向财政部门报告。</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解答有关方面对政府采购评审工作中有关问题的询问，配合采购人或者</w:t>
      </w:r>
      <w:r>
        <w:rPr>
          <w:rFonts w:hint="eastAsia" w:ascii="宋体" w:hAnsi="宋体"/>
          <w:color w:val="auto"/>
          <w:sz w:val="28"/>
          <w:szCs w:val="28"/>
          <w:highlight w:val="none"/>
          <w:lang w:eastAsia="zh-CN"/>
        </w:rPr>
        <w:t>区</w:t>
      </w:r>
      <w:r>
        <w:rPr>
          <w:rFonts w:hint="eastAsia" w:ascii="宋体" w:hAnsi="宋体"/>
          <w:color w:val="auto"/>
          <w:sz w:val="28"/>
          <w:szCs w:val="28"/>
          <w:highlight w:val="none"/>
        </w:rPr>
        <w:t>公资交易中心答复投标人的询问、质疑，配合财政部门的投诉处理工作等事宜。</w:t>
      </w:r>
    </w:p>
    <w:p>
      <w:pPr>
        <w:numPr>
          <w:ilvl w:val="0"/>
          <w:numId w:val="54"/>
        </w:numPr>
        <w:tabs>
          <w:tab w:val="left" w:pos="1155"/>
        </w:tabs>
        <w:spacing w:line="360" w:lineRule="auto"/>
        <w:ind w:left="0" w:firstLine="525"/>
        <w:rPr>
          <w:rFonts w:ascii="宋体" w:hAnsi="宋体"/>
          <w:color w:val="auto"/>
          <w:sz w:val="28"/>
          <w:szCs w:val="28"/>
          <w:highlight w:val="none"/>
        </w:rPr>
      </w:pPr>
      <w:r>
        <w:rPr>
          <w:rFonts w:hint="eastAsia" w:ascii="宋体" w:hAnsi="宋体"/>
          <w:color w:val="auto"/>
          <w:sz w:val="28"/>
          <w:szCs w:val="28"/>
          <w:highlight w:val="none"/>
        </w:rPr>
        <w:t>法律、法规和规章规定的其他义务。</w:t>
      </w:r>
    </w:p>
    <w:p>
      <w:pPr>
        <w:keepNext/>
        <w:keepLines/>
        <w:numPr>
          <w:ilvl w:val="1"/>
          <w:numId w:val="5"/>
        </w:numPr>
        <w:spacing w:line="360" w:lineRule="auto"/>
        <w:jc w:val="left"/>
        <w:outlineLvl w:val="1"/>
        <w:rPr>
          <w:rFonts w:ascii="宋体" w:hAnsi="宋体"/>
          <w:b/>
          <w:bCs/>
          <w:color w:val="auto"/>
          <w:sz w:val="28"/>
          <w:szCs w:val="28"/>
          <w:highlight w:val="none"/>
        </w:rPr>
      </w:pPr>
      <w:bookmarkStart w:id="887" w:name="_Toc4553"/>
      <w:bookmarkStart w:id="888" w:name="_Toc6352"/>
      <w:r>
        <w:rPr>
          <w:rFonts w:hint="eastAsia" w:ascii="宋体" w:hAnsi="宋体"/>
          <w:b/>
          <w:bCs/>
          <w:color w:val="auto"/>
          <w:sz w:val="28"/>
          <w:szCs w:val="28"/>
          <w:highlight w:val="none"/>
        </w:rPr>
        <w:t>评标委员会及其成员不得有下列行为</w:t>
      </w:r>
      <w:bookmarkEnd w:id="887"/>
      <w:bookmarkEnd w:id="888"/>
    </w:p>
    <w:p>
      <w:pPr>
        <w:numPr>
          <w:ilvl w:val="0"/>
          <w:numId w:val="55"/>
        </w:numPr>
        <w:tabs>
          <w:tab w:val="left" w:pos="1155"/>
        </w:tabs>
        <w:spacing w:line="360" w:lineRule="auto"/>
        <w:rPr>
          <w:rFonts w:ascii="宋体" w:hAnsi="宋体"/>
          <w:color w:val="auto"/>
          <w:sz w:val="28"/>
          <w:szCs w:val="28"/>
          <w:highlight w:val="none"/>
        </w:rPr>
      </w:pPr>
      <w:r>
        <w:rPr>
          <w:rFonts w:hint="eastAsia" w:ascii="宋体" w:hAnsi="宋体"/>
          <w:color w:val="auto"/>
          <w:sz w:val="28"/>
          <w:szCs w:val="28"/>
          <w:highlight w:val="none"/>
        </w:rPr>
        <w:t>确定参与评标至评标结束前私自接触投标人；</w:t>
      </w:r>
    </w:p>
    <w:p>
      <w:pPr>
        <w:numPr>
          <w:ilvl w:val="0"/>
          <w:numId w:val="55"/>
        </w:numPr>
        <w:tabs>
          <w:tab w:val="left" w:pos="1155"/>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接受投标人提出的与投标文件不一致的澄清或者说明，除招标文件明确可以澄清的除外；</w:t>
      </w:r>
    </w:p>
    <w:p>
      <w:pPr>
        <w:numPr>
          <w:ilvl w:val="0"/>
          <w:numId w:val="55"/>
        </w:numPr>
        <w:tabs>
          <w:tab w:val="left" w:pos="1155"/>
        </w:tabs>
        <w:spacing w:line="360" w:lineRule="auto"/>
        <w:ind w:left="0" w:firstLine="567"/>
        <w:rPr>
          <w:rFonts w:ascii="宋体" w:hAnsi="宋体"/>
          <w:color w:val="auto"/>
          <w:sz w:val="28"/>
          <w:szCs w:val="28"/>
          <w:highlight w:val="none"/>
        </w:rPr>
      </w:pPr>
      <w:r>
        <w:rPr>
          <w:rFonts w:hint="eastAsia" w:ascii="宋体" w:hAnsi="宋体"/>
          <w:color w:val="auto"/>
          <w:sz w:val="28"/>
          <w:szCs w:val="28"/>
          <w:highlight w:val="none"/>
        </w:rPr>
        <w:t>违反评标纪律发表倾向性意见或者征询采购人的倾向性意见；</w:t>
      </w:r>
    </w:p>
    <w:p>
      <w:pPr>
        <w:numPr>
          <w:ilvl w:val="0"/>
          <w:numId w:val="55"/>
        </w:numPr>
        <w:tabs>
          <w:tab w:val="left" w:pos="1155"/>
        </w:tabs>
        <w:spacing w:line="360" w:lineRule="auto"/>
        <w:rPr>
          <w:rFonts w:ascii="宋体" w:hAnsi="宋体"/>
          <w:color w:val="auto"/>
          <w:sz w:val="28"/>
          <w:szCs w:val="28"/>
          <w:highlight w:val="none"/>
        </w:rPr>
      </w:pPr>
      <w:r>
        <w:rPr>
          <w:rFonts w:hint="eastAsia" w:ascii="宋体" w:hAnsi="宋体"/>
          <w:color w:val="auto"/>
          <w:sz w:val="28"/>
          <w:szCs w:val="28"/>
          <w:highlight w:val="none"/>
        </w:rPr>
        <w:t>对需要专业判断的主观评审因素协商评分；</w:t>
      </w:r>
    </w:p>
    <w:p>
      <w:pPr>
        <w:numPr>
          <w:ilvl w:val="0"/>
          <w:numId w:val="55"/>
        </w:numPr>
        <w:tabs>
          <w:tab w:val="left" w:pos="1155"/>
        </w:tabs>
        <w:spacing w:line="360" w:lineRule="auto"/>
        <w:rPr>
          <w:rFonts w:ascii="宋体" w:hAnsi="宋体"/>
          <w:color w:val="auto"/>
          <w:sz w:val="28"/>
          <w:szCs w:val="28"/>
          <w:highlight w:val="none"/>
        </w:rPr>
      </w:pPr>
      <w:r>
        <w:rPr>
          <w:rFonts w:hint="eastAsia" w:ascii="宋体" w:hAnsi="宋体"/>
          <w:color w:val="auto"/>
          <w:sz w:val="28"/>
          <w:szCs w:val="28"/>
          <w:highlight w:val="none"/>
        </w:rPr>
        <w:t>在评标过程中擅离职守，影响评标程序正常进行的；</w:t>
      </w:r>
    </w:p>
    <w:p>
      <w:pPr>
        <w:numPr>
          <w:ilvl w:val="0"/>
          <w:numId w:val="55"/>
        </w:numPr>
        <w:tabs>
          <w:tab w:val="left" w:pos="1155"/>
        </w:tabs>
        <w:spacing w:line="360" w:lineRule="auto"/>
        <w:rPr>
          <w:rFonts w:ascii="宋体" w:hAnsi="宋体"/>
          <w:color w:val="auto"/>
          <w:sz w:val="28"/>
          <w:szCs w:val="28"/>
          <w:highlight w:val="none"/>
        </w:rPr>
      </w:pPr>
      <w:r>
        <w:rPr>
          <w:rFonts w:hint="eastAsia" w:ascii="宋体" w:hAnsi="宋体"/>
          <w:color w:val="auto"/>
          <w:sz w:val="28"/>
          <w:szCs w:val="28"/>
          <w:highlight w:val="none"/>
        </w:rPr>
        <w:t>记录、复制或者带走任何评标资料；</w:t>
      </w:r>
    </w:p>
    <w:p>
      <w:pPr>
        <w:numPr>
          <w:ilvl w:val="0"/>
          <w:numId w:val="55"/>
        </w:numPr>
        <w:tabs>
          <w:tab w:val="left" w:pos="1155"/>
        </w:tabs>
        <w:spacing w:line="360" w:lineRule="auto"/>
        <w:rPr>
          <w:rFonts w:ascii="宋体" w:hAnsi="宋体"/>
          <w:color w:val="auto"/>
          <w:sz w:val="28"/>
          <w:szCs w:val="28"/>
          <w:highlight w:val="none"/>
        </w:rPr>
      </w:pPr>
      <w:r>
        <w:rPr>
          <w:rFonts w:hint="eastAsia" w:ascii="宋体" w:hAnsi="宋体"/>
          <w:color w:val="auto"/>
          <w:sz w:val="28"/>
          <w:szCs w:val="28"/>
          <w:highlight w:val="none"/>
        </w:rPr>
        <w:t>其他不遵守评标纪律的行为。</w:t>
      </w:r>
    </w:p>
    <w:p>
      <w:pPr>
        <w:spacing w:line="360" w:lineRule="auto"/>
        <w:ind w:firstLine="560" w:firstLineChars="200"/>
        <w:rPr>
          <w:color w:val="auto"/>
          <w:sz w:val="28"/>
          <w:szCs w:val="28"/>
          <w:highlight w:val="none"/>
        </w:rPr>
      </w:pPr>
      <w:r>
        <w:rPr>
          <w:rFonts w:hint="eastAsia"/>
          <w:color w:val="auto"/>
          <w:sz w:val="28"/>
          <w:szCs w:val="28"/>
          <w:highlight w:val="none"/>
        </w:rPr>
        <w:t>评标委员会成员有前款第一至五项行为之一的，其评审意见无效，并不得获取评审劳务报酬和报销异地评审差旅费。</w:t>
      </w:r>
    </w:p>
    <w:p>
      <w:pPr>
        <w:keepNext/>
        <w:keepLines/>
        <w:numPr>
          <w:ilvl w:val="1"/>
          <w:numId w:val="5"/>
        </w:numPr>
        <w:spacing w:before="240" w:line="360" w:lineRule="auto"/>
        <w:jc w:val="left"/>
        <w:outlineLvl w:val="1"/>
        <w:rPr>
          <w:rFonts w:ascii="宋体" w:hAnsi="宋体"/>
          <w:b/>
          <w:bCs/>
          <w:color w:val="auto"/>
          <w:sz w:val="28"/>
          <w:szCs w:val="28"/>
          <w:highlight w:val="none"/>
        </w:rPr>
      </w:pPr>
      <w:bookmarkStart w:id="889" w:name="_Toc15880"/>
      <w:bookmarkStart w:id="890" w:name="_Toc3068"/>
      <w:r>
        <w:rPr>
          <w:rFonts w:hint="eastAsia" w:ascii="宋体" w:hAnsi="宋体"/>
          <w:b/>
          <w:bCs/>
          <w:color w:val="auto"/>
          <w:sz w:val="28"/>
          <w:szCs w:val="28"/>
          <w:highlight w:val="none"/>
        </w:rPr>
        <w:t>评审专家在政府采购活动中应当遵守以下工作纪律</w:t>
      </w:r>
      <w:bookmarkEnd w:id="889"/>
      <w:bookmarkEnd w:id="890"/>
    </w:p>
    <w:p>
      <w:pPr>
        <w:numPr>
          <w:ilvl w:val="0"/>
          <w:numId w:val="56"/>
        </w:numPr>
        <w:tabs>
          <w:tab w:val="left" w:pos="1155"/>
        </w:tabs>
        <w:spacing w:line="360" w:lineRule="auto"/>
        <w:ind w:left="0" w:firstLine="527"/>
        <w:rPr>
          <w:rFonts w:ascii="宋体" w:hAnsi="宋体"/>
          <w:color w:val="auto"/>
          <w:sz w:val="28"/>
          <w:szCs w:val="28"/>
          <w:highlight w:val="none"/>
        </w:rPr>
      </w:pPr>
      <w:r>
        <w:rPr>
          <w:rFonts w:hint="eastAsia" w:ascii="宋体" w:hAnsi="宋体"/>
          <w:color w:val="auto"/>
          <w:sz w:val="28"/>
          <w:szCs w:val="28"/>
          <w:highlight w:val="none"/>
        </w:rPr>
        <w:t>遵行《政府采购法》第十二条和《政府采购法实施条例》第九条及政府采购相关法律法规关于回避的规定。</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应邀按时参加评审和咨询活动，遵守评标区管理规定。</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进入评标区之前应将所有的通信设备存入公资交易中心指定的存放处。评标专家不得以任何方式将通信设备带入评标区，否则将被取消其当次项目的评标资格。遇特殊情况不能出席或途中遇阻不能按时参加评审或咨询的，应及时告知财政部门或者采购人或者</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，不得私自转托他人。</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不得参加与自己有利害关系的政府采购项目的评审活动。对与自己有利害关系的评审项目，如受到邀请，应主动提出回避。财政部门、采购人或</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也可要求该评审专家回避。</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评审过程中关闭通讯设备，不得与外界联系。因发生不可预见情况，确实需要与外界联系的，应告知评标区值守人员，使用评标区内由公资交易中心提供的通信设备，在监督人员监督之下办理。</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评审过程中，不得发表影响评审公正的倾向性、歧视性言论；不得征询或者接受采购人的倾向性意见；不得修改或细化招标文件确定的评标程序、评标方法、评标因素和评标标准；不得接受投标人主动提出的澄清和解释；不得协商评分；不得以任何明示或暗示的方式要求参加该采购项目的投标人以澄清、说明或补正为借口，表达与其原投标文件原意不同的新意见；不得以采购文件没有规定的方法和标准作为评审的依据；不得违反规定的评审格式评分和撰写评审意见；不得拒绝对自己的评审意见签字确认。</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在评标过程中和评标结束后，不得记录、复制或带走任何评标资料，除因规定的义务外，不得向外界透露评标内容。</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服从评标现场</w:t>
      </w:r>
      <w:r>
        <w:rPr>
          <w:rFonts w:hint="eastAsia" w:cs="Arial"/>
          <w:color w:val="auto"/>
          <w:sz w:val="28"/>
          <w:szCs w:val="28"/>
          <w:highlight w:val="none"/>
          <w:lang w:eastAsia="zh-CN"/>
        </w:rPr>
        <w:t>区</w:t>
      </w:r>
      <w:r>
        <w:rPr>
          <w:rFonts w:hint="eastAsia" w:cs="Arial"/>
          <w:color w:val="auto"/>
          <w:sz w:val="28"/>
          <w:szCs w:val="28"/>
          <w:highlight w:val="none"/>
        </w:rPr>
        <w:t>公资交易中心</w:t>
      </w:r>
      <w:r>
        <w:rPr>
          <w:rFonts w:hint="eastAsia" w:ascii="宋体" w:hAnsi="宋体"/>
          <w:color w:val="auto"/>
          <w:sz w:val="28"/>
          <w:szCs w:val="28"/>
          <w:highlight w:val="none"/>
        </w:rPr>
        <w:t>的现场秩序管理，接受评标现场监督人员的合法监督。</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遵守有关廉洁自律规定，不得私下接触投标人，不得收受投标人及有关业务单位和个人的财物或好处，不得接受采购组织单位的请托。</w:t>
      </w:r>
    </w:p>
    <w:p>
      <w:pPr>
        <w:numPr>
          <w:ilvl w:val="0"/>
          <w:numId w:val="56"/>
        </w:numPr>
        <w:tabs>
          <w:tab w:val="left" w:pos="1155"/>
        </w:tabs>
        <w:spacing w:line="580" w:lineRule="exact"/>
        <w:ind w:left="0" w:firstLine="527"/>
        <w:rPr>
          <w:rFonts w:ascii="宋体" w:hAnsi="宋体"/>
          <w:color w:val="auto"/>
          <w:sz w:val="28"/>
          <w:szCs w:val="28"/>
          <w:highlight w:val="none"/>
        </w:rPr>
      </w:pPr>
      <w:r>
        <w:rPr>
          <w:rFonts w:hint="eastAsia" w:ascii="宋体" w:hAnsi="宋体"/>
          <w:color w:val="auto"/>
          <w:sz w:val="28"/>
          <w:szCs w:val="28"/>
          <w:highlight w:val="none"/>
        </w:rPr>
        <w:t>在咨询工作中，严格执行国家产业政策和产品标准，认真听取咨询方的合理要求，提出科学合理的、无倾向性和歧视性的咨询方案，并对所提出的意见和建议承担个人责任。</w:t>
      </w:r>
    </w:p>
    <w:p>
      <w:pPr>
        <w:numPr>
          <w:ilvl w:val="0"/>
          <w:numId w:val="56"/>
        </w:numPr>
        <w:tabs>
          <w:tab w:val="left" w:pos="1155"/>
          <w:tab w:val="left" w:pos="1276"/>
          <w:tab w:val="left" w:pos="1418"/>
        </w:tabs>
        <w:spacing w:line="580" w:lineRule="exact"/>
        <w:ind w:left="527" w:firstLine="40"/>
        <w:rPr>
          <w:rFonts w:ascii="宋体" w:hAnsi="宋体"/>
          <w:color w:val="auto"/>
          <w:sz w:val="28"/>
          <w:szCs w:val="28"/>
          <w:highlight w:val="none"/>
        </w:rPr>
      </w:pPr>
      <w:r>
        <w:rPr>
          <w:rFonts w:hint="eastAsia" w:ascii="宋体" w:hAnsi="宋体"/>
          <w:color w:val="auto"/>
          <w:sz w:val="28"/>
          <w:szCs w:val="28"/>
          <w:highlight w:val="none"/>
        </w:rPr>
        <w:t>有关部门（机构）制定的其他评审工作纪律。</w:t>
      </w:r>
    </w:p>
    <w:p>
      <w:pPr>
        <w:tabs>
          <w:tab w:val="left" w:pos="1155"/>
          <w:tab w:val="left" w:pos="1276"/>
          <w:tab w:val="left" w:pos="1418"/>
        </w:tabs>
        <w:spacing w:line="580" w:lineRule="exact"/>
        <w:rPr>
          <w:rFonts w:ascii="宋体" w:hAnsi="宋体"/>
          <w:color w:val="auto"/>
          <w:sz w:val="28"/>
          <w:szCs w:val="28"/>
          <w:highlight w:val="none"/>
        </w:rPr>
      </w:pPr>
    </w:p>
    <w:bookmarkEnd w:id="0"/>
    <w:bookmarkEnd w:id="1"/>
    <w:bookmarkEnd w:id="2"/>
    <w:bookmarkEnd w:id="3"/>
    <w:bookmarkEnd w:id="170"/>
    <w:bookmarkEnd w:id="171"/>
    <w:p>
      <w:pPr>
        <w:keepNext/>
        <w:keepLines/>
        <w:numPr>
          <w:ilvl w:val="0"/>
          <w:numId w:val="5"/>
        </w:numPr>
        <w:spacing w:line="360" w:lineRule="auto"/>
        <w:ind w:left="0" w:firstLine="0"/>
        <w:jc w:val="center"/>
        <w:outlineLvl w:val="0"/>
        <w:rPr>
          <w:rFonts w:ascii="宋体" w:hAnsi="宋体"/>
          <w:b/>
          <w:bCs/>
          <w:color w:val="auto"/>
          <w:spacing w:val="-20"/>
          <w:kern w:val="44"/>
          <w:sz w:val="32"/>
          <w:szCs w:val="32"/>
          <w:highlight w:val="none"/>
        </w:rPr>
      </w:pPr>
      <w:bookmarkStart w:id="891" w:name="_Toc14379"/>
      <w:bookmarkStart w:id="892" w:name="_Toc27196"/>
      <w:bookmarkStart w:id="893" w:name="_Toc217446108"/>
      <w:bookmarkStart w:id="894" w:name="_Toc34729074"/>
      <w:bookmarkStart w:id="895" w:name="_Toc8573798"/>
      <w:r>
        <w:rPr>
          <w:rFonts w:hint="eastAsia" w:ascii="宋体" w:hAnsi="宋体"/>
          <w:b/>
          <w:bCs/>
          <w:color w:val="auto"/>
          <w:spacing w:val="-20"/>
          <w:kern w:val="44"/>
          <w:sz w:val="32"/>
          <w:szCs w:val="32"/>
          <w:highlight w:val="none"/>
        </w:rPr>
        <w:t>拟签订的合同文本</w:t>
      </w:r>
      <w:bookmarkEnd w:id="891"/>
      <w:bookmarkEnd w:id="892"/>
    </w:p>
    <w:p>
      <w:pPr>
        <w:rPr>
          <w:rFonts w:hint="eastAsia"/>
          <w:highlight w:val="red"/>
        </w:rPr>
      </w:pPr>
    </w:p>
    <w:p>
      <w:pPr>
        <w:pStyle w:val="319"/>
        <w:spacing w:line="360" w:lineRule="auto"/>
        <w:ind w:firstLine="482" w:firstLineChars="200"/>
        <w:jc w:val="center"/>
        <w:rPr>
          <w:rFonts w:ascii="宋体" w:hAnsi="Times New Roman"/>
          <w:b/>
          <w:kern w:val="0"/>
          <w:sz w:val="24"/>
          <w:szCs w:val="24"/>
        </w:rPr>
      </w:pPr>
      <w:r>
        <w:rPr>
          <w:rFonts w:hint="eastAsia" w:ascii="宋体" w:hAnsi="Times New Roman"/>
          <w:b/>
          <w:kern w:val="0"/>
          <w:sz w:val="24"/>
          <w:szCs w:val="24"/>
        </w:rPr>
        <w:t>成都市温江区政府采购合同信息统计页</w:t>
      </w:r>
    </w:p>
    <w:p>
      <w:pPr>
        <w:pStyle w:val="319"/>
        <w:widowControl/>
        <w:spacing w:line="360" w:lineRule="auto"/>
        <w:ind w:firstLine="480" w:firstLineChars="200"/>
        <w:jc w:val="center"/>
        <w:rPr>
          <w:rFonts w:ascii="宋体" w:hAnsi="Times New Roman"/>
          <w:kern w:val="0"/>
          <w:sz w:val="24"/>
          <w:szCs w:val="28"/>
        </w:rPr>
      </w:pPr>
      <w:r>
        <w:rPr>
          <w:rFonts w:hint="eastAsia" w:ascii="宋体" w:hAnsi="Times New Roman"/>
          <w:kern w:val="0"/>
          <w:sz w:val="24"/>
          <w:szCs w:val="28"/>
        </w:rPr>
        <w:t>（合同</w:t>
      </w:r>
      <w:r>
        <w:rPr>
          <w:rFonts w:hint="eastAsia" w:ascii="宋体" w:hAnsi="Times New Roman"/>
          <w:sz w:val="24"/>
          <w:szCs w:val="28"/>
          <w:u w:val="single"/>
        </w:rPr>
        <w:t xml:space="preserve">    </w:t>
      </w:r>
      <w:r>
        <w:rPr>
          <w:rFonts w:hint="eastAsia" w:ascii="宋体" w:hAnsi="Times New Roman"/>
          <w:kern w:val="0"/>
          <w:sz w:val="24"/>
          <w:szCs w:val="28"/>
        </w:rPr>
        <w:t>页    补充合同</w:t>
      </w:r>
      <w:r>
        <w:rPr>
          <w:rFonts w:hint="eastAsia" w:ascii="宋体" w:hAnsi="Times New Roman"/>
          <w:sz w:val="24"/>
          <w:szCs w:val="28"/>
          <w:u w:val="single"/>
        </w:rPr>
        <w:t xml:space="preserve">    </w:t>
      </w:r>
      <w:r>
        <w:rPr>
          <w:rFonts w:hint="eastAsia" w:ascii="宋体" w:hAnsi="Times New Roman"/>
          <w:kern w:val="0"/>
          <w:sz w:val="24"/>
          <w:szCs w:val="28"/>
        </w:rPr>
        <w:t>页    附后）</w:t>
      </w:r>
    </w:p>
    <w:tbl>
      <w:tblPr>
        <w:tblStyle w:val="43"/>
        <w:tblW w:w="0" w:type="auto"/>
        <w:tblInd w:w="0" w:type="dxa"/>
        <w:tblLayout w:type="fixed"/>
        <w:tblCellMar>
          <w:top w:w="0" w:type="dxa"/>
          <w:left w:w="0" w:type="dxa"/>
          <w:bottom w:w="0" w:type="dxa"/>
          <w:right w:w="0" w:type="dxa"/>
        </w:tblCellMar>
      </w:tblPr>
      <w:tblGrid>
        <w:gridCol w:w="1963"/>
        <w:gridCol w:w="2098"/>
        <w:gridCol w:w="1666"/>
        <w:gridCol w:w="2913"/>
      </w:tblGrid>
      <w:tr>
        <w:tblPrEx>
          <w:tblCellMar>
            <w:top w:w="0" w:type="dxa"/>
            <w:left w:w="0" w:type="dxa"/>
            <w:bottom w:w="0" w:type="dxa"/>
            <w:right w:w="0" w:type="dxa"/>
          </w:tblCellMar>
        </w:tblPrEx>
        <w:trPr>
          <w:trHeight w:val="454" w:hRule="exact"/>
        </w:trPr>
        <w:tc>
          <w:tcPr>
            <w:tcW w:w="196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rPr>
              <w:t>采购单位(甲方)：</w:t>
            </w:r>
          </w:p>
        </w:tc>
        <w:tc>
          <w:tcPr>
            <w:tcW w:w="2098" w:type="dxa"/>
            <w:noWrap w:val="0"/>
            <w:vAlign w:val="center"/>
          </w:tcPr>
          <w:p>
            <w:pPr>
              <w:pStyle w:val="319"/>
              <w:widowControl/>
              <w:spacing w:line="360" w:lineRule="auto"/>
              <w:jc w:val="left"/>
              <w:rPr>
                <w:rFonts w:ascii="宋体" w:hAnsi="Times New Roman"/>
                <w:sz w:val="24"/>
                <w:szCs w:val="28"/>
                <w:u w:val="single"/>
              </w:rPr>
            </w:pPr>
            <w:r>
              <w:rPr>
                <w:rFonts w:hint="eastAsia" w:ascii="宋体" w:hAnsi="Times New Roman"/>
                <w:sz w:val="24"/>
                <w:szCs w:val="28"/>
                <w:u w:val="single"/>
              </w:rPr>
              <w:t xml:space="preserve">                   </w:t>
            </w:r>
          </w:p>
        </w:tc>
        <w:tc>
          <w:tcPr>
            <w:tcW w:w="1666"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计划编号：</w:t>
            </w:r>
          </w:p>
        </w:tc>
        <w:tc>
          <w:tcPr>
            <w:tcW w:w="291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r>
      <w:tr>
        <w:tblPrEx>
          <w:tblCellMar>
            <w:top w:w="0" w:type="dxa"/>
            <w:left w:w="0" w:type="dxa"/>
            <w:bottom w:w="0" w:type="dxa"/>
            <w:right w:w="0" w:type="dxa"/>
          </w:tblCellMar>
        </w:tblPrEx>
        <w:trPr>
          <w:trHeight w:val="454" w:hRule="exact"/>
        </w:trPr>
        <w:tc>
          <w:tcPr>
            <w:tcW w:w="196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rPr>
              <w:t>供应商(乙方)：</w:t>
            </w:r>
          </w:p>
        </w:tc>
        <w:tc>
          <w:tcPr>
            <w:tcW w:w="2098"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c>
          <w:tcPr>
            <w:tcW w:w="1666"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合同编号：</w:t>
            </w:r>
          </w:p>
        </w:tc>
        <w:tc>
          <w:tcPr>
            <w:tcW w:w="291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r>
      <w:tr>
        <w:tblPrEx>
          <w:tblCellMar>
            <w:top w:w="0" w:type="dxa"/>
            <w:left w:w="0" w:type="dxa"/>
            <w:bottom w:w="0" w:type="dxa"/>
            <w:right w:w="0" w:type="dxa"/>
          </w:tblCellMar>
        </w:tblPrEx>
        <w:trPr>
          <w:trHeight w:val="454" w:hRule="exact"/>
        </w:trPr>
        <w:tc>
          <w:tcPr>
            <w:tcW w:w="196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rPr>
              <w:t>采购代理机构：</w:t>
            </w:r>
          </w:p>
        </w:tc>
        <w:tc>
          <w:tcPr>
            <w:tcW w:w="2098"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c>
          <w:tcPr>
            <w:tcW w:w="1666"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项目名称：</w:t>
            </w:r>
          </w:p>
        </w:tc>
        <w:tc>
          <w:tcPr>
            <w:tcW w:w="291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rPr>
              <w:t xml:space="preserve"> </w:t>
            </w:r>
            <w:r>
              <w:rPr>
                <w:rFonts w:hint="eastAsia" w:ascii="宋体" w:hAnsi="Times New Roman"/>
                <w:sz w:val="24"/>
                <w:szCs w:val="28"/>
                <w:u w:val="single"/>
              </w:rPr>
              <w:t xml:space="preserve">                 </w:t>
            </w:r>
            <w:r>
              <w:rPr>
                <w:rFonts w:hint="eastAsia" w:ascii="宋体" w:hAnsi="Times New Roman"/>
                <w:sz w:val="24"/>
                <w:szCs w:val="28"/>
              </w:rPr>
              <w:t xml:space="preserve">                       </w:t>
            </w:r>
          </w:p>
        </w:tc>
      </w:tr>
      <w:tr>
        <w:tblPrEx>
          <w:tblCellMar>
            <w:top w:w="0" w:type="dxa"/>
            <w:left w:w="0" w:type="dxa"/>
            <w:bottom w:w="0" w:type="dxa"/>
            <w:right w:w="0" w:type="dxa"/>
          </w:tblCellMar>
        </w:tblPrEx>
        <w:trPr>
          <w:trHeight w:val="454" w:hRule="exact"/>
        </w:trPr>
        <w:tc>
          <w:tcPr>
            <w:tcW w:w="1963"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采购方式：</w:t>
            </w:r>
          </w:p>
        </w:tc>
        <w:tc>
          <w:tcPr>
            <w:tcW w:w="2098"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c>
          <w:tcPr>
            <w:tcW w:w="1666"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签订时间：</w:t>
            </w:r>
          </w:p>
        </w:tc>
        <w:tc>
          <w:tcPr>
            <w:tcW w:w="291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rPr>
              <w:t xml:space="preserve"> </w:t>
            </w:r>
            <w:r>
              <w:rPr>
                <w:rFonts w:hint="eastAsia" w:ascii="宋体" w:hAnsi="Times New Roman"/>
                <w:sz w:val="24"/>
                <w:szCs w:val="28"/>
                <w:u w:val="single"/>
              </w:rPr>
              <w:t xml:space="preserve">                 </w:t>
            </w:r>
            <w:r>
              <w:rPr>
                <w:rFonts w:hint="eastAsia" w:ascii="宋体" w:hAnsi="Times New Roman"/>
                <w:sz w:val="24"/>
                <w:szCs w:val="28"/>
              </w:rPr>
              <w:t xml:space="preserve">                   </w:t>
            </w:r>
          </w:p>
        </w:tc>
      </w:tr>
      <w:tr>
        <w:tblPrEx>
          <w:tblCellMar>
            <w:top w:w="0" w:type="dxa"/>
            <w:left w:w="0" w:type="dxa"/>
            <w:bottom w:w="0" w:type="dxa"/>
            <w:right w:w="0" w:type="dxa"/>
          </w:tblCellMar>
        </w:tblPrEx>
        <w:trPr>
          <w:trHeight w:val="454" w:hRule="exact"/>
        </w:trPr>
        <w:tc>
          <w:tcPr>
            <w:tcW w:w="1963" w:type="dxa"/>
            <w:noWrap w:val="0"/>
            <w:vAlign w:val="center"/>
          </w:tcPr>
          <w:p>
            <w:pPr>
              <w:pStyle w:val="319"/>
              <w:widowControl/>
              <w:spacing w:line="360" w:lineRule="auto"/>
              <w:ind w:firstLine="199" w:firstLineChars="83"/>
              <w:jc w:val="left"/>
              <w:rPr>
                <w:rFonts w:ascii="宋体" w:hAnsi="Times New Roman"/>
                <w:sz w:val="24"/>
                <w:szCs w:val="28"/>
              </w:rPr>
            </w:pPr>
            <w:r>
              <w:rPr>
                <w:rFonts w:hint="eastAsia" w:ascii="宋体" w:hAnsi="Times New Roman"/>
                <w:sz w:val="24"/>
                <w:szCs w:val="28"/>
              </w:rPr>
              <w:t>采购模式：</w:t>
            </w:r>
          </w:p>
        </w:tc>
        <w:tc>
          <w:tcPr>
            <w:tcW w:w="2098"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c>
          <w:tcPr>
            <w:tcW w:w="1666" w:type="dxa"/>
            <w:noWrap w:val="0"/>
            <w:vAlign w:val="center"/>
          </w:tcPr>
          <w:p>
            <w:pPr>
              <w:pStyle w:val="319"/>
              <w:widowControl/>
              <w:spacing w:line="360" w:lineRule="auto"/>
              <w:ind w:firstLine="120" w:firstLineChars="50"/>
              <w:jc w:val="left"/>
              <w:rPr>
                <w:rFonts w:ascii="宋体" w:hAnsi="Times New Roman"/>
                <w:sz w:val="24"/>
                <w:szCs w:val="28"/>
              </w:rPr>
            </w:pPr>
            <w:r>
              <w:rPr>
                <w:rFonts w:hint="eastAsia" w:ascii="宋体" w:hAnsi="Times New Roman"/>
                <w:sz w:val="24"/>
                <w:szCs w:val="28"/>
              </w:rPr>
              <w:t>合同总金额：(元)：</w:t>
            </w:r>
          </w:p>
        </w:tc>
        <w:tc>
          <w:tcPr>
            <w:tcW w:w="2913" w:type="dxa"/>
            <w:noWrap w:val="0"/>
            <w:vAlign w:val="center"/>
          </w:tcPr>
          <w:p>
            <w:pPr>
              <w:pStyle w:val="319"/>
              <w:widowControl/>
              <w:spacing w:line="360" w:lineRule="auto"/>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 xml:space="preserve">         </w:t>
            </w:r>
          </w:p>
        </w:tc>
      </w:tr>
    </w:tbl>
    <w:p>
      <w:pPr>
        <w:pStyle w:val="319"/>
        <w:widowControl/>
        <w:spacing w:line="360" w:lineRule="auto"/>
        <w:ind w:firstLine="480" w:firstLineChars="200"/>
        <w:jc w:val="left"/>
        <w:rPr>
          <w:rFonts w:ascii="宋体" w:hAnsi="Times New Roman"/>
          <w:kern w:val="0"/>
          <w:sz w:val="24"/>
          <w:szCs w:val="28"/>
        </w:rPr>
      </w:pPr>
      <w:r>
        <w:rPr>
          <w:rFonts w:hint="eastAsia" w:ascii="宋体" w:hAnsi="Times New Roman"/>
          <w:kern w:val="0"/>
          <w:sz w:val="24"/>
          <w:szCs w:val="28"/>
        </w:rPr>
        <w:t>一、产品及合同总金额</w:t>
      </w:r>
    </w:p>
    <w:tbl>
      <w:tblPr>
        <w:tblStyle w:val="43"/>
        <w:tblW w:w="0" w:type="auto"/>
        <w:tblInd w:w="-72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080"/>
        <w:gridCol w:w="947"/>
        <w:gridCol w:w="947"/>
        <w:gridCol w:w="865"/>
        <w:gridCol w:w="1021"/>
        <w:gridCol w:w="1072"/>
        <w:gridCol w:w="1025"/>
        <w:gridCol w:w="993"/>
        <w:gridCol w:w="1134"/>
        <w:gridCol w:w="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产品信息</w:t>
            </w:r>
          </w:p>
        </w:tc>
        <w:tc>
          <w:tcPr>
            <w:tcW w:w="3780" w:type="dxa"/>
            <w:gridSpan w:val="4"/>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r>
              <w:rPr>
                <w:rFonts w:hint="eastAsia" w:ascii="Times New Roman" w:hAnsi="Times New Roman"/>
                <w:b/>
                <w:kern w:val="0"/>
                <w:sz w:val="24"/>
                <w:szCs w:val="24"/>
              </w:rPr>
              <w:t>计划资金（元）</w:t>
            </w:r>
          </w:p>
        </w:tc>
        <w:tc>
          <w:tcPr>
            <w:tcW w:w="1072" w:type="dxa"/>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单价（元）</w:t>
            </w:r>
          </w:p>
        </w:tc>
        <w:tc>
          <w:tcPr>
            <w:tcW w:w="1025" w:type="dxa"/>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198" w:firstLineChars="82"/>
              <w:jc w:val="left"/>
              <w:rPr>
                <w:rFonts w:ascii="Times New Roman" w:hAnsi="Times New Roman"/>
                <w:b/>
                <w:kern w:val="0"/>
                <w:sz w:val="24"/>
                <w:szCs w:val="24"/>
              </w:rPr>
            </w:pPr>
            <w:r>
              <w:rPr>
                <w:rFonts w:hint="eastAsia" w:ascii="Times New Roman" w:hAnsi="Times New Roman"/>
                <w:b/>
                <w:kern w:val="0"/>
                <w:sz w:val="24"/>
                <w:szCs w:val="24"/>
              </w:rPr>
              <w:t>数量</w:t>
            </w:r>
          </w:p>
        </w:tc>
        <w:tc>
          <w:tcPr>
            <w:tcW w:w="2127" w:type="dxa"/>
            <w:gridSpan w:val="2"/>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198" w:firstLineChars="82"/>
              <w:jc w:val="left"/>
              <w:rPr>
                <w:rFonts w:ascii="Times New Roman" w:hAnsi="Times New Roman"/>
                <w:b/>
                <w:kern w:val="0"/>
                <w:sz w:val="24"/>
                <w:szCs w:val="24"/>
              </w:rPr>
            </w:pPr>
            <w:r>
              <w:rPr>
                <w:rFonts w:hint="eastAsia" w:ascii="Times New Roman" w:hAnsi="Times New Roman"/>
                <w:b/>
                <w:kern w:val="0"/>
                <w:sz w:val="24"/>
                <w:szCs w:val="24"/>
              </w:rPr>
              <w:t>金额（元）</w:t>
            </w:r>
          </w:p>
        </w:tc>
        <w:tc>
          <w:tcPr>
            <w:tcW w:w="974" w:type="dxa"/>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节约率(%)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预算内</w:t>
            </w: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预算外</w:t>
            </w:r>
          </w:p>
        </w:tc>
        <w:tc>
          <w:tcPr>
            <w:tcW w:w="86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其它</w:t>
            </w:r>
          </w:p>
        </w:tc>
        <w:tc>
          <w:tcPr>
            <w:tcW w:w="1021"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198" w:firstLineChars="82"/>
              <w:jc w:val="left"/>
              <w:rPr>
                <w:rFonts w:ascii="Times New Roman" w:hAnsi="Times New Roman"/>
                <w:b/>
                <w:kern w:val="0"/>
                <w:sz w:val="24"/>
                <w:szCs w:val="24"/>
              </w:rPr>
            </w:pPr>
            <w:r>
              <w:rPr>
                <w:rFonts w:hint="eastAsia" w:ascii="Times New Roman" w:hAnsi="Times New Roman"/>
                <w:b/>
                <w:kern w:val="0"/>
                <w:sz w:val="24"/>
                <w:szCs w:val="24"/>
              </w:rPr>
              <w:t>合计</w:t>
            </w:r>
          </w:p>
        </w:tc>
        <w:tc>
          <w:tcPr>
            <w:tcW w:w="1072" w:type="dxa"/>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25" w:type="dxa"/>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2127" w:type="dxa"/>
            <w:gridSpan w:val="2"/>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74" w:type="dxa"/>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0" w:hRule="exact"/>
        </w:trPr>
        <w:tc>
          <w:tcPr>
            <w:tcW w:w="1080"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72"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2127" w:type="dxa"/>
            <w:gridSpan w:val="2"/>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74"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68" w:hRule="exact"/>
        </w:trPr>
        <w:tc>
          <w:tcPr>
            <w:tcW w:w="1080" w:type="dxa"/>
            <w:vMerge w:val="restart"/>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国内外</w:t>
            </w: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省内外</w:t>
            </w:r>
          </w:p>
        </w:tc>
        <w:tc>
          <w:tcPr>
            <w:tcW w:w="86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品牌</w:t>
            </w:r>
          </w:p>
        </w:tc>
        <w:tc>
          <w:tcPr>
            <w:tcW w:w="1021" w:type="dxa"/>
            <w:tcBorders>
              <w:top w:val="single" w:color="auto" w:sz="4" w:space="0"/>
              <w:left w:val="single" w:color="auto" w:sz="4" w:space="0"/>
              <w:bottom w:val="single" w:color="auto" w:sz="4" w:space="0"/>
              <w:right w:val="single" w:color="auto" w:sz="4" w:space="0"/>
            </w:tcBorders>
            <w:noWrap w:val="0"/>
            <w:vAlign w:val="top"/>
          </w:tcPr>
          <w:p>
            <w:pPr>
              <w:pStyle w:val="319"/>
              <w:spacing w:line="360" w:lineRule="auto"/>
              <w:jc w:val="left"/>
              <w:rPr>
                <w:rFonts w:ascii="Times New Roman" w:hAnsi="Times New Roman"/>
                <w:b/>
                <w:kern w:val="0"/>
                <w:sz w:val="24"/>
                <w:szCs w:val="24"/>
              </w:rPr>
            </w:pPr>
          </w:p>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地方产品</w:t>
            </w:r>
          </w:p>
          <w:p>
            <w:pPr>
              <w:pStyle w:val="319"/>
              <w:spacing w:line="360" w:lineRule="auto"/>
              <w:ind w:firstLine="482" w:firstLineChars="200"/>
              <w:jc w:val="left"/>
              <w:rPr>
                <w:rFonts w:ascii="Times New Roman" w:hAnsi="Times New Roman"/>
                <w:b/>
                <w:kern w:val="0"/>
                <w:sz w:val="24"/>
                <w:szCs w:val="24"/>
              </w:rPr>
            </w:pPr>
          </w:p>
        </w:tc>
        <w:tc>
          <w:tcPr>
            <w:tcW w:w="1072"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节能产品</w:t>
            </w:r>
          </w:p>
        </w:tc>
        <w:tc>
          <w:tcPr>
            <w:tcW w:w="102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环保产品</w:t>
            </w: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自主创新</w:t>
            </w: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中小企业</w:t>
            </w:r>
          </w:p>
        </w:tc>
        <w:tc>
          <w:tcPr>
            <w:tcW w:w="974"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jc w:val="left"/>
              <w:rPr>
                <w:rFonts w:ascii="Times New Roman" w:hAnsi="Times New Roman"/>
                <w:b/>
                <w:kern w:val="0"/>
                <w:sz w:val="24"/>
                <w:szCs w:val="24"/>
              </w:rPr>
            </w:pPr>
            <w:r>
              <w:rPr>
                <w:rFonts w:hint="eastAsia" w:ascii="Times New Roman" w:hAnsi="Times New Roman"/>
                <w:b/>
                <w:kern w:val="0"/>
                <w:sz w:val="24"/>
                <w:szCs w:val="24"/>
              </w:rPr>
              <w:t>汽车排量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67" w:hRule="exact"/>
        </w:trPr>
        <w:tc>
          <w:tcPr>
            <w:tcW w:w="1080" w:type="dxa"/>
            <w:vMerge w:val="continue"/>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47"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86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21"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72"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025"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93"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1134"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c>
          <w:tcPr>
            <w:tcW w:w="974" w:type="dxa"/>
            <w:tcBorders>
              <w:top w:val="single" w:color="auto" w:sz="4" w:space="0"/>
              <w:left w:val="single" w:color="auto" w:sz="4" w:space="0"/>
              <w:bottom w:val="single" w:color="auto" w:sz="4" w:space="0"/>
              <w:right w:val="single" w:color="auto" w:sz="4" w:space="0"/>
            </w:tcBorders>
            <w:noWrap w:val="0"/>
            <w:vAlign w:val="center"/>
          </w:tcPr>
          <w:p>
            <w:pPr>
              <w:pStyle w:val="319"/>
              <w:spacing w:line="360" w:lineRule="auto"/>
              <w:ind w:firstLine="482" w:firstLineChars="200"/>
              <w:jc w:val="left"/>
              <w:rPr>
                <w:rFonts w:ascii="Times New Roman" w:hAnsi="Times New Roman"/>
                <w:b/>
                <w:kern w:val="0"/>
                <w:sz w:val="24"/>
                <w:szCs w:val="24"/>
              </w:rPr>
            </w:pPr>
          </w:p>
        </w:tc>
      </w:tr>
    </w:tbl>
    <w:p>
      <w:pPr>
        <w:pStyle w:val="319"/>
        <w:widowControl/>
        <w:spacing w:line="360" w:lineRule="auto"/>
        <w:ind w:firstLine="480" w:firstLineChars="200"/>
        <w:jc w:val="left"/>
        <w:rPr>
          <w:rFonts w:ascii="宋体" w:hAnsi="Times New Roman"/>
          <w:kern w:val="0"/>
          <w:sz w:val="24"/>
          <w:szCs w:val="28"/>
        </w:rPr>
      </w:pPr>
      <w:r>
        <w:rPr>
          <w:rFonts w:hint="eastAsia" w:ascii="宋体" w:hAnsi="Times New Roman"/>
          <w:kern w:val="0"/>
          <w:sz w:val="24"/>
          <w:szCs w:val="28"/>
        </w:rPr>
        <w:t>二、付款方式</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三、说明</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 交付时间、工期、售后服务、违约责任等未尽事宜，由甲、乙双方在成都市政府采购合同中约定。成都市政府采购合同信息页与合同正文具有同等法律效力。合同数据与信息统计页数据不一致时，以信息统计页数据为准。</w:t>
      </w:r>
    </w:p>
    <w:p>
      <w:pPr>
        <w:pStyle w:val="319"/>
      </w:pPr>
    </w:p>
    <w:p>
      <w:pPr>
        <w:pStyle w:val="319"/>
      </w:pPr>
    </w:p>
    <w:p>
      <w:pPr>
        <w:pStyle w:val="319"/>
      </w:pPr>
    </w:p>
    <w:p>
      <w:pPr>
        <w:pStyle w:val="319"/>
      </w:pPr>
    </w:p>
    <w:tbl>
      <w:tblPr>
        <w:tblStyle w:val="43"/>
        <w:tblW w:w="0" w:type="auto"/>
        <w:tblInd w:w="0" w:type="dxa"/>
        <w:tblLayout w:type="fixed"/>
        <w:tblCellMar>
          <w:top w:w="0" w:type="dxa"/>
          <w:left w:w="0" w:type="dxa"/>
          <w:bottom w:w="0" w:type="dxa"/>
          <w:right w:w="0" w:type="dxa"/>
        </w:tblCellMar>
      </w:tblPr>
      <w:tblGrid>
        <w:gridCol w:w="1483"/>
        <w:gridCol w:w="2416"/>
        <w:gridCol w:w="2042"/>
        <w:gridCol w:w="2699"/>
      </w:tblGrid>
      <w:tr>
        <w:tblPrEx>
          <w:tblCellMar>
            <w:top w:w="0" w:type="dxa"/>
            <w:left w:w="0" w:type="dxa"/>
            <w:bottom w:w="0" w:type="dxa"/>
            <w:right w:w="0" w:type="dxa"/>
          </w:tblCellMar>
        </w:tblPrEx>
        <w:trPr>
          <w:trHeight w:val="454" w:hRule="exact"/>
        </w:trPr>
        <w:tc>
          <w:tcPr>
            <w:tcW w:w="1483"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甲方：</w:t>
            </w:r>
          </w:p>
        </w:tc>
        <w:tc>
          <w:tcPr>
            <w:tcW w:w="2416"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c>
          <w:tcPr>
            <w:tcW w:w="2042" w:type="dxa"/>
            <w:noWrap w:val="0"/>
            <w:vAlign w:val="center"/>
          </w:tcPr>
          <w:p>
            <w:pPr>
              <w:pStyle w:val="319"/>
              <w:widowControl/>
              <w:spacing w:line="360" w:lineRule="auto"/>
              <w:ind w:firstLine="600" w:firstLineChars="250"/>
              <w:jc w:val="left"/>
              <w:rPr>
                <w:rFonts w:ascii="宋体" w:hAnsi="Times New Roman"/>
                <w:sz w:val="24"/>
                <w:szCs w:val="24"/>
              </w:rPr>
            </w:pPr>
            <w:r>
              <w:rPr>
                <w:rFonts w:hint="eastAsia" w:ascii="宋体" w:hAnsi="Times New Roman"/>
                <w:kern w:val="0"/>
                <w:sz w:val="24"/>
                <w:szCs w:val="24"/>
              </w:rPr>
              <w:t xml:space="preserve">  乙方：</w:t>
            </w:r>
          </w:p>
        </w:tc>
        <w:tc>
          <w:tcPr>
            <w:tcW w:w="2699"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r>
      <w:tr>
        <w:tblPrEx>
          <w:tblCellMar>
            <w:top w:w="0" w:type="dxa"/>
            <w:left w:w="0" w:type="dxa"/>
            <w:bottom w:w="0" w:type="dxa"/>
            <w:right w:w="0" w:type="dxa"/>
          </w:tblCellMar>
        </w:tblPrEx>
        <w:trPr>
          <w:trHeight w:val="454" w:hRule="exact"/>
        </w:trPr>
        <w:tc>
          <w:tcPr>
            <w:tcW w:w="1483"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地址：</w:t>
            </w:r>
          </w:p>
        </w:tc>
        <w:tc>
          <w:tcPr>
            <w:tcW w:w="2416"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c>
          <w:tcPr>
            <w:tcW w:w="2042" w:type="dxa"/>
            <w:noWrap w:val="0"/>
            <w:vAlign w:val="center"/>
          </w:tcPr>
          <w:p>
            <w:pPr>
              <w:pStyle w:val="319"/>
              <w:widowControl/>
              <w:spacing w:line="360" w:lineRule="auto"/>
              <w:ind w:firstLine="840" w:firstLineChars="350"/>
              <w:jc w:val="left"/>
              <w:rPr>
                <w:rFonts w:ascii="宋体" w:hAnsi="Times New Roman"/>
                <w:sz w:val="24"/>
                <w:szCs w:val="24"/>
              </w:rPr>
            </w:pPr>
            <w:r>
              <w:rPr>
                <w:rFonts w:hint="eastAsia" w:ascii="宋体" w:hAnsi="Times New Roman"/>
                <w:kern w:val="0"/>
                <w:sz w:val="24"/>
                <w:szCs w:val="24"/>
              </w:rPr>
              <w:t>地址：</w:t>
            </w:r>
          </w:p>
        </w:tc>
        <w:tc>
          <w:tcPr>
            <w:tcW w:w="2699"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r>
      <w:tr>
        <w:tblPrEx>
          <w:tblCellMar>
            <w:top w:w="0" w:type="dxa"/>
            <w:left w:w="0" w:type="dxa"/>
            <w:bottom w:w="0" w:type="dxa"/>
            <w:right w:w="0" w:type="dxa"/>
          </w:tblCellMar>
        </w:tblPrEx>
        <w:trPr>
          <w:trHeight w:val="454" w:hRule="exact"/>
        </w:trPr>
        <w:tc>
          <w:tcPr>
            <w:tcW w:w="1483"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经办人：</w:t>
            </w:r>
          </w:p>
        </w:tc>
        <w:tc>
          <w:tcPr>
            <w:tcW w:w="2416"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c>
          <w:tcPr>
            <w:tcW w:w="2042" w:type="dxa"/>
            <w:noWrap w:val="0"/>
            <w:vAlign w:val="center"/>
          </w:tcPr>
          <w:p>
            <w:pPr>
              <w:pStyle w:val="319"/>
              <w:widowControl/>
              <w:spacing w:line="360" w:lineRule="auto"/>
              <w:ind w:firstLine="199" w:firstLineChars="83"/>
              <w:jc w:val="left"/>
              <w:rPr>
                <w:rFonts w:ascii="宋体" w:hAnsi="Times New Roman"/>
                <w:sz w:val="24"/>
                <w:szCs w:val="24"/>
              </w:rPr>
            </w:pPr>
            <w:r>
              <w:rPr>
                <w:rFonts w:hint="eastAsia" w:ascii="宋体" w:hAnsi="Times New Roman"/>
                <w:kern w:val="0"/>
                <w:sz w:val="24"/>
                <w:szCs w:val="24"/>
              </w:rPr>
              <w:t xml:space="preserve">    经办人：</w:t>
            </w:r>
          </w:p>
        </w:tc>
        <w:tc>
          <w:tcPr>
            <w:tcW w:w="2699"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r>
      <w:tr>
        <w:tblPrEx>
          <w:tblCellMar>
            <w:top w:w="0" w:type="dxa"/>
            <w:left w:w="0" w:type="dxa"/>
            <w:bottom w:w="0" w:type="dxa"/>
            <w:right w:w="0" w:type="dxa"/>
          </w:tblCellMar>
        </w:tblPrEx>
        <w:trPr>
          <w:trHeight w:val="454" w:hRule="exact"/>
        </w:trPr>
        <w:tc>
          <w:tcPr>
            <w:tcW w:w="1483"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(签字)：</w:t>
            </w:r>
          </w:p>
        </w:tc>
        <w:tc>
          <w:tcPr>
            <w:tcW w:w="2416"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c>
          <w:tcPr>
            <w:tcW w:w="2042" w:type="dxa"/>
            <w:noWrap w:val="0"/>
            <w:vAlign w:val="center"/>
          </w:tcPr>
          <w:p>
            <w:pPr>
              <w:pStyle w:val="319"/>
              <w:widowControl/>
              <w:spacing w:line="360" w:lineRule="auto"/>
              <w:ind w:firstLine="480" w:firstLineChars="200"/>
              <w:jc w:val="left"/>
              <w:rPr>
                <w:rFonts w:ascii="宋体" w:hAnsi="Times New Roman"/>
                <w:sz w:val="24"/>
                <w:szCs w:val="24"/>
              </w:rPr>
            </w:pPr>
            <w:r>
              <w:rPr>
                <w:rFonts w:hint="eastAsia" w:ascii="宋体" w:hAnsi="Times New Roman"/>
                <w:kern w:val="0"/>
                <w:sz w:val="24"/>
                <w:szCs w:val="24"/>
              </w:rPr>
              <w:t xml:space="preserve"> (签字)：</w:t>
            </w:r>
          </w:p>
        </w:tc>
        <w:tc>
          <w:tcPr>
            <w:tcW w:w="2699" w:type="dxa"/>
            <w:noWrap w:val="0"/>
            <w:vAlign w:val="center"/>
          </w:tcPr>
          <w:p>
            <w:pPr>
              <w:pStyle w:val="319"/>
              <w:widowControl/>
              <w:spacing w:line="360" w:lineRule="auto"/>
              <w:ind w:firstLine="480" w:firstLineChars="200"/>
              <w:jc w:val="left"/>
              <w:rPr>
                <w:rFonts w:ascii="宋体" w:hAnsi="Times New Roman"/>
                <w:sz w:val="24"/>
                <w:szCs w:val="24"/>
              </w:rPr>
            </w:pPr>
            <w:r>
              <w:rPr>
                <w:rFonts w:hint="eastAsia" w:ascii="宋体" w:hAnsi="Times New Roman"/>
                <w:sz w:val="24"/>
                <w:szCs w:val="24"/>
                <w:u w:val="single"/>
              </w:rPr>
              <w:t xml:space="preserve">                       </w:t>
            </w:r>
          </w:p>
        </w:tc>
      </w:tr>
      <w:tr>
        <w:tblPrEx>
          <w:tblCellMar>
            <w:top w:w="0" w:type="dxa"/>
            <w:left w:w="0" w:type="dxa"/>
            <w:bottom w:w="0" w:type="dxa"/>
            <w:right w:w="0" w:type="dxa"/>
          </w:tblCellMar>
        </w:tblPrEx>
        <w:trPr>
          <w:trHeight w:val="454" w:hRule="exact"/>
        </w:trPr>
        <w:tc>
          <w:tcPr>
            <w:tcW w:w="1483"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联系电话：</w:t>
            </w:r>
          </w:p>
        </w:tc>
        <w:tc>
          <w:tcPr>
            <w:tcW w:w="2416" w:type="dxa"/>
            <w:noWrap w:val="0"/>
            <w:vAlign w:val="center"/>
          </w:tcPr>
          <w:p>
            <w:pPr>
              <w:pStyle w:val="319"/>
              <w:widowControl/>
              <w:spacing w:line="360" w:lineRule="auto"/>
              <w:ind w:firstLine="480" w:firstLineChars="200"/>
              <w:jc w:val="left"/>
              <w:rPr>
                <w:rFonts w:ascii="宋体" w:hAnsi="Times New Roman"/>
                <w:sz w:val="24"/>
                <w:szCs w:val="24"/>
                <w:u w:val="single"/>
              </w:rPr>
            </w:pPr>
            <w:r>
              <w:rPr>
                <w:rFonts w:hint="eastAsia" w:ascii="宋体" w:hAnsi="Times New Roman"/>
                <w:sz w:val="24"/>
                <w:szCs w:val="24"/>
                <w:u w:val="single"/>
              </w:rPr>
              <w:t xml:space="preserve">                       </w:t>
            </w:r>
          </w:p>
        </w:tc>
        <w:tc>
          <w:tcPr>
            <w:tcW w:w="2042" w:type="dxa"/>
            <w:noWrap w:val="0"/>
            <w:vAlign w:val="center"/>
          </w:tcPr>
          <w:p>
            <w:pPr>
              <w:pStyle w:val="319"/>
              <w:widowControl/>
              <w:spacing w:line="360" w:lineRule="auto"/>
              <w:jc w:val="left"/>
              <w:rPr>
                <w:rFonts w:ascii="宋体" w:hAnsi="Times New Roman"/>
                <w:sz w:val="24"/>
                <w:szCs w:val="24"/>
              </w:rPr>
            </w:pPr>
            <w:r>
              <w:rPr>
                <w:rFonts w:hint="eastAsia" w:ascii="宋体" w:hAnsi="Times New Roman"/>
                <w:kern w:val="0"/>
                <w:sz w:val="24"/>
                <w:szCs w:val="24"/>
              </w:rPr>
              <w:t xml:space="preserve">    联系电话：</w:t>
            </w:r>
          </w:p>
        </w:tc>
        <w:tc>
          <w:tcPr>
            <w:tcW w:w="2699" w:type="dxa"/>
            <w:noWrap w:val="0"/>
            <w:vAlign w:val="center"/>
          </w:tcPr>
          <w:p>
            <w:pPr>
              <w:pStyle w:val="319"/>
              <w:widowControl/>
              <w:spacing w:line="360" w:lineRule="auto"/>
              <w:ind w:firstLine="480" w:firstLineChars="200"/>
              <w:jc w:val="left"/>
              <w:rPr>
                <w:rFonts w:ascii="宋体" w:hAnsi="Times New Roman"/>
                <w:sz w:val="24"/>
                <w:szCs w:val="24"/>
              </w:rPr>
            </w:pPr>
            <w:r>
              <w:rPr>
                <w:rFonts w:hint="eastAsia" w:ascii="宋体" w:hAnsi="Times New Roman"/>
                <w:sz w:val="24"/>
                <w:szCs w:val="24"/>
                <w:u w:val="single"/>
              </w:rPr>
              <w:t xml:space="preserve">                       </w:t>
            </w:r>
          </w:p>
        </w:tc>
      </w:tr>
    </w:tbl>
    <w:p>
      <w:pPr>
        <w:pStyle w:val="319"/>
        <w:widowControl/>
        <w:spacing w:line="360" w:lineRule="auto"/>
        <w:ind w:firstLine="482" w:firstLineChars="200"/>
        <w:jc w:val="left"/>
        <w:rPr>
          <w:rFonts w:ascii="宋体" w:hAnsi="Times New Roman"/>
          <w:sz w:val="24"/>
          <w:szCs w:val="28"/>
        </w:rPr>
      </w:pPr>
      <w:r>
        <w:rPr>
          <w:rFonts w:hint="eastAsia" w:ascii="宋体" w:hAnsi="Times New Roman"/>
          <w:b/>
          <w:sz w:val="24"/>
          <w:szCs w:val="24"/>
        </w:rPr>
        <w:t>说明</w:t>
      </w:r>
      <w:r>
        <w:rPr>
          <w:rFonts w:hint="eastAsia" w:ascii="宋体" w:hAnsi="Times New Roman"/>
          <w:kern w:val="0"/>
          <w:sz w:val="30"/>
          <w:szCs w:val="30"/>
        </w:rPr>
        <w:t>：</w:t>
      </w:r>
      <w:r>
        <w:rPr>
          <w:rFonts w:hint="eastAsia" w:ascii="宋体" w:hAnsi="Times New Roman"/>
          <w:sz w:val="24"/>
          <w:szCs w:val="28"/>
        </w:rPr>
        <w:t>成都市温江区政府采购合同信息统计页由采购人通过数字证书登录合同管理系统，在系统中填写、提交，打印系统中提交的信息统计页并按要求签字盖章。</w:t>
      </w:r>
    </w:p>
    <w:p>
      <w:pPr>
        <w:pStyle w:val="319"/>
      </w:pPr>
    </w:p>
    <w:p>
      <w:pPr>
        <w:pStyle w:val="319"/>
        <w:widowControl/>
        <w:spacing w:line="360" w:lineRule="auto"/>
        <w:jc w:val="left"/>
        <w:rPr>
          <w:rFonts w:ascii="宋体" w:hAnsi="Times New Roman"/>
          <w:sz w:val="24"/>
          <w:szCs w:val="28"/>
        </w:rPr>
      </w:pPr>
      <w:r>
        <w:rPr>
          <w:rFonts w:hint="eastAsia" w:ascii="宋体" w:hAnsi="Times New Roman"/>
          <w:b/>
          <w:sz w:val="24"/>
          <w:szCs w:val="24"/>
        </w:rPr>
        <w:t>合同主要条款（仅供参考</w:t>
      </w:r>
      <w:r>
        <w:rPr>
          <w:rFonts w:hint="eastAsia" w:ascii="宋体" w:hAnsi="Times New Roman"/>
          <w:b/>
          <w:sz w:val="30"/>
          <w:szCs w:val="30"/>
        </w:rPr>
        <w:t>，</w:t>
      </w:r>
      <w:r>
        <w:rPr>
          <w:rFonts w:hint="eastAsia" w:ascii="宋体" w:hAnsi="Times New Roman"/>
          <w:sz w:val="24"/>
          <w:szCs w:val="28"/>
        </w:rPr>
        <w:t>特别提醒：采购合同的签订不得偏离招标文件要约及投标文件承诺的实质性内容）</w:t>
      </w:r>
    </w:p>
    <w:p>
      <w:pPr>
        <w:pStyle w:val="319"/>
      </w:pPr>
    </w:p>
    <w:p>
      <w:pPr>
        <w:pStyle w:val="319"/>
      </w:pPr>
    </w:p>
    <w:p>
      <w:pPr>
        <w:pStyle w:val="319"/>
        <w:widowControl/>
        <w:spacing w:line="360" w:lineRule="auto"/>
        <w:ind w:firstLine="480" w:firstLineChars="200"/>
        <w:jc w:val="left"/>
        <w:rPr>
          <w:rFonts w:ascii="宋体" w:hAnsi="Times New Roman"/>
          <w:sz w:val="30"/>
          <w:szCs w:val="30"/>
        </w:rPr>
      </w:pPr>
      <w:r>
        <w:rPr>
          <w:rFonts w:hint="eastAsia" w:ascii="宋体" w:hAnsi="Times New Roman"/>
          <w:sz w:val="24"/>
          <w:szCs w:val="28"/>
        </w:rPr>
        <w:t>合同编号</w:t>
      </w:r>
      <w:r>
        <w:rPr>
          <w:rFonts w:hint="eastAsia" w:ascii="宋体" w:hAnsi="Times New Roman"/>
          <w:sz w:val="30"/>
          <w:szCs w:val="30"/>
        </w:rPr>
        <w:t>：</w:t>
      </w:r>
      <w:r>
        <w:rPr>
          <w:rFonts w:ascii="宋体" w:hAnsi="Times New Roman"/>
          <w:sz w:val="30"/>
          <w:szCs w:val="30"/>
          <w:u w:val="single"/>
        </w:rPr>
        <w:t xml:space="preserve">               </w:t>
      </w:r>
      <w:r>
        <w:rPr>
          <w:rFonts w:hint="eastAsia" w:ascii="宋体" w:hAnsi="Times New Roman"/>
          <w:sz w:val="30"/>
          <w:szCs w:val="30"/>
          <w:u w:val="single"/>
        </w:rPr>
        <w:t xml:space="preserve">            </w:t>
      </w:r>
      <w:r>
        <w:rPr>
          <w:rFonts w:ascii="宋体" w:hAnsi="Times New Roman"/>
          <w:sz w:val="30"/>
          <w:szCs w:val="30"/>
          <w:u w:val="single"/>
        </w:rPr>
        <w:t xml:space="preserve">  </w:t>
      </w:r>
      <w:r>
        <w:rPr>
          <w:rFonts w:ascii="宋体" w:hAnsi="Times New Roman"/>
          <w:sz w:val="30"/>
          <w:szCs w:val="30"/>
        </w:rPr>
        <w:t xml:space="preserve">      </w:t>
      </w:r>
      <w:r>
        <w:rPr>
          <w:rFonts w:hint="eastAsia" w:ascii="宋体" w:hAnsi="Times New Roman"/>
          <w:sz w:val="30"/>
          <w:szCs w:val="30"/>
        </w:rPr>
        <w:t xml:space="preserve">      </w:t>
      </w:r>
    </w:p>
    <w:p>
      <w:pPr>
        <w:pStyle w:val="319"/>
        <w:widowControl/>
        <w:spacing w:line="360" w:lineRule="auto"/>
        <w:ind w:firstLine="480" w:firstLineChars="200"/>
        <w:jc w:val="left"/>
        <w:rPr>
          <w:rFonts w:ascii="宋体" w:hAnsi="Times New Roman"/>
          <w:sz w:val="30"/>
          <w:szCs w:val="30"/>
        </w:rPr>
      </w:pPr>
      <w:r>
        <w:rPr>
          <w:rFonts w:hint="eastAsia" w:ascii="宋体" w:hAnsi="Times New Roman"/>
          <w:sz w:val="24"/>
          <w:szCs w:val="28"/>
        </w:rPr>
        <w:t>签订地点</w:t>
      </w:r>
      <w:r>
        <w:rPr>
          <w:rFonts w:hint="eastAsia" w:ascii="宋体" w:hAnsi="Times New Roman"/>
          <w:sz w:val="30"/>
          <w:szCs w:val="30"/>
        </w:rPr>
        <w:t>：</w:t>
      </w:r>
      <w:r>
        <w:rPr>
          <w:rFonts w:ascii="宋体" w:hAnsi="Times New Roman"/>
          <w:sz w:val="30"/>
          <w:szCs w:val="30"/>
          <w:u w:val="single"/>
        </w:rPr>
        <w:t xml:space="preserve">               </w:t>
      </w:r>
      <w:r>
        <w:rPr>
          <w:rFonts w:hint="eastAsia" w:ascii="宋体" w:hAnsi="Times New Roman"/>
          <w:sz w:val="30"/>
          <w:szCs w:val="30"/>
          <w:u w:val="single"/>
        </w:rPr>
        <w:t xml:space="preserve">            </w:t>
      </w:r>
      <w:r>
        <w:rPr>
          <w:rFonts w:ascii="宋体" w:hAnsi="Times New Roman"/>
          <w:sz w:val="30"/>
          <w:szCs w:val="30"/>
          <w:u w:val="single"/>
        </w:rPr>
        <w:t xml:space="preserve">  </w:t>
      </w:r>
      <w:r>
        <w:rPr>
          <w:rFonts w:ascii="宋体" w:hAnsi="Times New Roman"/>
          <w:sz w:val="30"/>
          <w:szCs w:val="30"/>
        </w:rPr>
        <w:t xml:space="preserve">  </w:t>
      </w:r>
      <w:r>
        <w:rPr>
          <w:rFonts w:hint="eastAsia" w:ascii="宋体" w:hAnsi="Times New Roman"/>
          <w:sz w:val="30"/>
          <w:szCs w:val="30"/>
        </w:rPr>
        <w:t xml:space="preserve">          </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签订时间：</w:t>
      </w:r>
      <w:r>
        <w:rPr>
          <w:rFonts w:ascii="宋体" w:hAnsi="Times New Roman"/>
          <w:sz w:val="24"/>
          <w:szCs w:val="28"/>
        </w:rPr>
        <w:t xml:space="preserve">               </w:t>
      </w:r>
      <w:r>
        <w:rPr>
          <w:rFonts w:hint="eastAsia" w:ascii="宋体" w:hAnsi="Times New Roman"/>
          <w:sz w:val="24"/>
          <w:szCs w:val="28"/>
        </w:rPr>
        <w:t xml:space="preserve">            </w:t>
      </w:r>
      <w:r>
        <w:rPr>
          <w:rFonts w:ascii="宋体" w:hAnsi="Times New Roman"/>
          <w:sz w:val="24"/>
          <w:szCs w:val="28"/>
        </w:rPr>
        <w:t xml:space="preserve">      </w:t>
      </w:r>
      <w:r>
        <w:rPr>
          <w:rFonts w:hint="eastAsia" w:ascii="宋体" w:hAnsi="Times New Roman"/>
          <w:sz w:val="24"/>
          <w:szCs w:val="28"/>
        </w:rPr>
        <w:t xml:space="preserve">        </w:t>
      </w:r>
    </w:p>
    <w:p>
      <w:pPr>
        <w:pStyle w:val="319"/>
        <w:widowControl/>
        <w:spacing w:line="360" w:lineRule="auto"/>
        <w:ind w:firstLine="480" w:firstLineChars="200"/>
        <w:jc w:val="left"/>
        <w:rPr>
          <w:rFonts w:ascii="宋体" w:hAnsi="Times New Roman"/>
          <w:sz w:val="30"/>
          <w:szCs w:val="30"/>
        </w:rPr>
      </w:pPr>
      <w:r>
        <w:rPr>
          <w:rFonts w:hint="eastAsia" w:ascii="宋体" w:hAnsi="Times New Roman"/>
          <w:sz w:val="24"/>
          <w:szCs w:val="28"/>
        </w:rPr>
        <w:t>采购人（甲方）</w:t>
      </w:r>
      <w:r>
        <w:rPr>
          <w:rFonts w:hint="eastAsia" w:ascii="宋体" w:hAnsi="Times New Roman"/>
          <w:sz w:val="30"/>
          <w:szCs w:val="30"/>
        </w:rPr>
        <w:t>：</w:t>
      </w:r>
      <w:r>
        <w:rPr>
          <w:rFonts w:ascii="宋体" w:hAnsi="Times New Roman"/>
          <w:sz w:val="30"/>
          <w:szCs w:val="30"/>
          <w:u w:val="single"/>
        </w:rPr>
        <w:t xml:space="preserve">               </w:t>
      </w:r>
      <w:r>
        <w:rPr>
          <w:rFonts w:hint="eastAsia" w:ascii="宋体" w:hAnsi="Times New Roman"/>
          <w:sz w:val="30"/>
          <w:szCs w:val="30"/>
          <w:u w:val="single"/>
        </w:rPr>
        <w:t xml:space="preserve">            </w:t>
      </w:r>
      <w:r>
        <w:rPr>
          <w:rFonts w:ascii="宋体" w:hAnsi="Times New Roman"/>
          <w:sz w:val="30"/>
          <w:szCs w:val="30"/>
          <w:u w:val="single"/>
        </w:rPr>
        <w:t xml:space="preserve">  </w:t>
      </w:r>
      <w:r>
        <w:rPr>
          <w:rFonts w:ascii="宋体" w:hAnsi="Times New Roman"/>
          <w:sz w:val="30"/>
          <w:szCs w:val="30"/>
        </w:rPr>
        <w:t xml:space="preserve">    </w:t>
      </w:r>
      <w:r>
        <w:rPr>
          <w:rFonts w:hint="eastAsia" w:ascii="宋体" w:hAnsi="Times New Roman"/>
          <w:sz w:val="30"/>
          <w:szCs w:val="30"/>
        </w:rPr>
        <w:t xml:space="preserve">  </w:t>
      </w:r>
      <w:r>
        <w:rPr>
          <w:rFonts w:ascii="宋体" w:hAnsi="Times New Roman"/>
          <w:sz w:val="30"/>
          <w:szCs w:val="30"/>
        </w:rPr>
        <w:t xml:space="preserve">     </w:t>
      </w:r>
      <w:r>
        <w:rPr>
          <w:rFonts w:hint="eastAsia" w:ascii="宋体" w:hAnsi="Times New Roman"/>
          <w:sz w:val="30"/>
          <w:szCs w:val="30"/>
        </w:rPr>
        <w:t xml:space="preserve">        </w:t>
      </w:r>
    </w:p>
    <w:p>
      <w:pPr>
        <w:pStyle w:val="319"/>
        <w:widowControl/>
        <w:spacing w:line="360" w:lineRule="auto"/>
        <w:ind w:firstLine="480" w:firstLineChars="200"/>
        <w:jc w:val="left"/>
        <w:rPr>
          <w:rFonts w:ascii="宋体" w:hAnsi="Times New Roman"/>
          <w:sz w:val="30"/>
          <w:szCs w:val="30"/>
        </w:rPr>
      </w:pPr>
      <w:r>
        <w:rPr>
          <w:rFonts w:hint="eastAsia" w:ascii="宋体" w:hAnsi="Times New Roman"/>
          <w:sz w:val="24"/>
          <w:szCs w:val="28"/>
        </w:rPr>
        <w:t>供应商（乙方）</w:t>
      </w:r>
      <w:r>
        <w:rPr>
          <w:rFonts w:hint="eastAsia" w:ascii="宋体" w:hAnsi="Times New Roman"/>
          <w:sz w:val="30"/>
          <w:szCs w:val="30"/>
        </w:rPr>
        <w:t>：</w:t>
      </w:r>
      <w:r>
        <w:rPr>
          <w:rFonts w:ascii="宋体" w:hAnsi="Times New Roman"/>
          <w:sz w:val="30"/>
          <w:szCs w:val="30"/>
          <w:u w:val="single"/>
        </w:rPr>
        <w:t xml:space="preserve">               </w:t>
      </w:r>
      <w:r>
        <w:rPr>
          <w:rFonts w:hint="eastAsia" w:ascii="宋体" w:hAnsi="Times New Roman"/>
          <w:sz w:val="30"/>
          <w:szCs w:val="30"/>
          <w:u w:val="single"/>
        </w:rPr>
        <w:t xml:space="preserve">            </w:t>
      </w:r>
      <w:r>
        <w:rPr>
          <w:rFonts w:ascii="宋体" w:hAnsi="Times New Roman"/>
          <w:sz w:val="30"/>
          <w:szCs w:val="30"/>
          <w:u w:val="single"/>
        </w:rPr>
        <w:t xml:space="preserve">  </w:t>
      </w:r>
      <w:r>
        <w:rPr>
          <w:rFonts w:hint="eastAsia" w:ascii="宋体" w:hAnsi="Times New Roman"/>
          <w:sz w:val="30"/>
          <w:szCs w:val="30"/>
        </w:rPr>
        <w:t xml:space="preserve">          </w:t>
      </w:r>
      <w:r>
        <w:rPr>
          <w:rFonts w:ascii="宋体" w:hAnsi="Times New Roman"/>
          <w:sz w:val="30"/>
          <w:szCs w:val="30"/>
        </w:rPr>
        <w:t xml:space="preserve">  </w:t>
      </w:r>
    </w:p>
    <w:p>
      <w:pPr>
        <w:pStyle w:val="319"/>
      </w:pP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根据《中华人民共和国政府采购法》、《中华人民共和国合同法》等法律法规的规定，甲乙双方按照成都市温江区公共资源交易服务中心的招标结果签订本合同。</w:t>
      </w:r>
    </w:p>
    <w:p>
      <w:pPr>
        <w:pStyle w:val="319"/>
        <w:widowControl/>
        <w:spacing w:line="360" w:lineRule="auto"/>
        <w:ind w:firstLine="482" w:firstLineChars="200"/>
        <w:jc w:val="left"/>
        <w:rPr>
          <w:rFonts w:ascii="宋体" w:hAnsi="Times New Roman"/>
          <w:sz w:val="24"/>
          <w:szCs w:val="28"/>
        </w:rPr>
      </w:pPr>
      <w:r>
        <w:rPr>
          <w:rFonts w:hint="eastAsia" w:ascii="宋体" w:hAnsi="Times New Roman"/>
          <w:b/>
          <w:sz w:val="24"/>
          <w:szCs w:val="24"/>
        </w:rPr>
        <w:t xml:space="preserve">第一条  合同标的 </w:t>
      </w:r>
      <w:r>
        <w:rPr>
          <w:rFonts w:hint="eastAsia" w:ascii="宋体" w:hAnsi="Times New Roman"/>
          <w:b/>
          <w:sz w:val="24"/>
          <w:szCs w:val="28"/>
        </w:rPr>
        <w:t xml:space="preserve">  </w:t>
      </w:r>
      <w:r>
        <w:rPr>
          <w:rFonts w:hint="eastAsia" w:ascii="宋体" w:hAnsi="Times New Roman"/>
          <w:sz w:val="24"/>
          <w:szCs w:val="28"/>
        </w:rPr>
        <w:t>乙方根据甲方需求提供下列货物：</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货物名称、规格及数量详见“供货一览表”。</w:t>
      </w:r>
    </w:p>
    <w:p>
      <w:pPr>
        <w:pStyle w:val="319"/>
        <w:widowControl/>
        <w:spacing w:line="360" w:lineRule="auto"/>
        <w:ind w:firstLine="482" w:firstLineChars="200"/>
        <w:jc w:val="left"/>
        <w:rPr>
          <w:rFonts w:ascii="宋体" w:hAnsi="Times New Roman"/>
          <w:sz w:val="24"/>
          <w:szCs w:val="28"/>
        </w:rPr>
      </w:pPr>
      <w:r>
        <w:rPr>
          <w:rFonts w:hint="eastAsia" w:ascii="宋体" w:hAnsi="Times New Roman"/>
          <w:b/>
          <w:sz w:val="24"/>
          <w:szCs w:val="24"/>
        </w:rPr>
        <w:t xml:space="preserve">第二条  合同总价款 </w:t>
      </w:r>
      <w:r>
        <w:rPr>
          <w:rFonts w:hint="eastAsia" w:ascii="宋体" w:hAnsi="Times New Roman"/>
          <w:b/>
          <w:sz w:val="24"/>
          <w:szCs w:val="28"/>
        </w:rPr>
        <w:t xml:space="preserve">   </w:t>
      </w:r>
      <w:r>
        <w:rPr>
          <w:rFonts w:hint="eastAsia" w:ascii="宋体" w:hAnsi="Times New Roman"/>
          <w:sz w:val="24"/>
          <w:szCs w:val="28"/>
        </w:rPr>
        <w:t>本合同项下合同总价款为</w:t>
      </w:r>
      <w:r>
        <w:rPr>
          <w:rFonts w:hint="eastAsia" w:ascii="宋体" w:hAnsi="Times New Roman"/>
          <w:b/>
          <w:sz w:val="24"/>
          <w:szCs w:val="28"/>
          <w:u w:val="single"/>
        </w:rPr>
        <w:t xml:space="preserve">                  </w:t>
      </w:r>
      <w:r>
        <w:rPr>
          <w:rFonts w:hint="eastAsia" w:ascii="宋体" w:hAnsi="Times New Roman"/>
          <w:sz w:val="24"/>
          <w:szCs w:val="28"/>
        </w:rPr>
        <w:t>（大写）人民币。分项价格明细</w:t>
      </w:r>
      <w:r>
        <w:rPr>
          <w:rFonts w:hint="eastAsia" w:ascii="宋体" w:hAnsi="Times New Roman"/>
          <w:sz w:val="24"/>
          <w:szCs w:val="28"/>
          <w:u w:val="single"/>
        </w:rPr>
        <w:t xml:space="preserve">                                  </w:t>
      </w:r>
      <w:r>
        <w:rPr>
          <w:rFonts w:hint="eastAsia" w:ascii="宋体" w:hAnsi="Times New Roman"/>
          <w:sz w:val="24"/>
          <w:szCs w:val="28"/>
        </w:rPr>
        <w:t>。</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本合同总价款是包括所有设备的供货、运输、保险、卸货、安装到位、调试、验收、培训、保修、管理费、服务/售后服务、利润、税金等所有费用，投标人的投标报价是所有货物在使用现场安装调试完毕经验收合格后交货的固定不变价格。</w:t>
      </w:r>
    </w:p>
    <w:p>
      <w:pPr>
        <w:pStyle w:val="319"/>
        <w:widowControl/>
        <w:spacing w:line="360" w:lineRule="auto"/>
        <w:ind w:firstLine="482" w:firstLineChars="200"/>
        <w:jc w:val="left"/>
        <w:rPr>
          <w:rFonts w:ascii="宋体" w:hAnsi="Times New Roman"/>
          <w:sz w:val="24"/>
          <w:szCs w:val="28"/>
        </w:rPr>
      </w:pPr>
      <w:r>
        <w:rPr>
          <w:rFonts w:hint="eastAsia" w:ascii="宋体" w:hAnsi="Times New Roman"/>
          <w:b/>
          <w:sz w:val="24"/>
          <w:szCs w:val="24"/>
        </w:rPr>
        <w:t xml:space="preserve">第三条  组成本合同的有关文件 </w:t>
      </w:r>
      <w:r>
        <w:rPr>
          <w:rFonts w:hint="eastAsia" w:ascii="宋体" w:hAnsi="Times New Roman"/>
          <w:b/>
          <w:sz w:val="24"/>
          <w:szCs w:val="28"/>
        </w:rPr>
        <w:t xml:space="preserve">  </w:t>
      </w:r>
      <w:r>
        <w:rPr>
          <w:rFonts w:hint="eastAsia" w:ascii="宋体" w:hAnsi="Times New Roman"/>
          <w:sz w:val="24"/>
          <w:szCs w:val="28"/>
        </w:rPr>
        <w:t>下列关于招投标文件或与本次采购活动方式相适应的文件及有关附件是本合同不可分割的组成部分，与本合同具有同等法律效力，这些文件包括但不限于：</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（1）乙方提供的投标文件；</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（2）货物清单；</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（3）投标货物技术规格偏离表；</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（4）售后服务承诺、产品质保期承诺及实施方案；</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（5）中标通知书；</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（6）甲乙双方商定的其他文件。</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第四条  权利保证</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乙方应保证买方在使用该货物或其任何一部分时不受第三方提出侵犯其专利权、版权、商标权或其他权利的起诉。一旦出现侵权，乙方应承担全部责任。</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第五条  质量保证</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1、乙方所提供的货物的技术规格应与招标文件规定的技术规格相一致；若技术性能无特殊说明，则按国家有关部门最新颁布的标准及规范为准。</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乙方应保证货物是全新、未使用过的原装合格正品，并完全符合合同规定的质量、规格和性能的要求。乙方应保证其提供的货物在正确安装、正常使用和保养条件下，在其使用寿命内具有良好的性能。货物验收后，在质量保证期内，乙方应对由于设计、工艺或材料的缺陷所发生的任何不足或故障负责，所需费用由乙方承担。</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第六条  包装要求</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1、除合同另有规定外，乙方提供的全部货物均应按标准保护措施进行包装。该包装应适应于远距离运输、防潮、防震、防锈和防野蛮装卸，以确保货物安全无损运抵指定地点。由于包装不善所引起的货物损失均由乙方承担。</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2、每一包装单元内应附详细的装箱单和质量合格凭证。</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第七条  交货和验收</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1</w:t>
      </w:r>
      <w:r>
        <w:rPr>
          <w:rFonts w:hint="eastAsia" w:ascii="宋体" w:hAnsi="Times New Roman"/>
          <w:sz w:val="24"/>
          <w:szCs w:val="28"/>
        </w:rPr>
        <w:t>、乙方必须在</w:t>
      </w:r>
      <w:r>
        <w:rPr>
          <w:rFonts w:hint="eastAsia" w:ascii="宋体" w:hAnsi="Times New Roman"/>
          <w:sz w:val="24"/>
          <w:szCs w:val="28"/>
          <w:u w:val="single"/>
        </w:rPr>
        <w:t xml:space="preserve">    </w:t>
      </w:r>
      <w:r>
        <w:rPr>
          <w:rFonts w:hint="eastAsia" w:ascii="宋体" w:hAnsi="Times New Roman"/>
          <w:sz w:val="24"/>
          <w:szCs w:val="28"/>
        </w:rPr>
        <w:t>年</w:t>
      </w:r>
      <w:r>
        <w:rPr>
          <w:rFonts w:hint="eastAsia" w:ascii="宋体" w:hAnsi="Times New Roman"/>
          <w:sz w:val="24"/>
          <w:szCs w:val="28"/>
          <w:u w:val="single"/>
        </w:rPr>
        <w:t xml:space="preserve">   </w:t>
      </w:r>
      <w:r>
        <w:rPr>
          <w:rFonts w:hint="eastAsia" w:ascii="宋体" w:hAnsi="Times New Roman"/>
          <w:sz w:val="24"/>
          <w:szCs w:val="28"/>
        </w:rPr>
        <w:t>月</w:t>
      </w:r>
      <w:r>
        <w:rPr>
          <w:rFonts w:hint="eastAsia" w:ascii="宋体" w:hAnsi="Times New Roman"/>
          <w:sz w:val="24"/>
          <w:szCs w:val="28"/>
          <w:u w:val="single"/>
        </w:rPr>
        <w:t xml:space="preserve">   </w:t>
      </w:r>
      <w:r>
        <w:rPr>
          <w:rFonts w:hint="eastAsia" w:ascii="宋体" w:hAnsi="Times New Roman"/>
          <w:sz w:val="24"/>
          <w:szCs w:val="28"/>
        </w:rPr>
        <w:t>日前全部完成其承包范围内所有设备的安装。</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2</w:t>
      </w:r>
      <w:r>
        <w:rPr>
          <w:rFonts w:hint="eastAsia" w:ascii="宋体" w:hAnsi="Times New Roman"/>
          <w:sz w:val="24"/>
          <w:szCs w:val="28"/>
        </w:rPr>
        <w:t>、验收由甲方组织，乙方配合进行：</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 xml:space="preserve">(1) </w:t>
      </w:r>
      <w:r>
        <w:rPr>
          <w:rFonts w:hint="eastAsia" w:ascii="宋体" w:hAnsi="Times New Roman"/>
          <w:sz w:val="24"/>
          <w:szCs w:val="28"/>
        </w:rPr>
        <w:t>货物在乙方通知安装调试完毕后</w:t>
      </w:r>
      <w:r>
        <w:rPr>
          <w:rFonts w:hint="eastAsia" w:ascii="宋体" w:hAnsi="Times New Roman"/>
          <w:sz w:val="24"/>
          <w:szCs w:val="28"/>
          <w:u w:val="single"/>
        </w:rPr>
        <w:t xml:space="preserve">    </w:t>
      </w:r>
      <w:r>
        <w:rPr>
          <w:rFonts w:hint="eastAsia" w:ascii="宋体" w:hAnsi="Times New Roman"/>
          <w:sz w:val="24"/>
          <w:szCs w:val="28"/>
        </w:rPr>
        <w:t>日内初步验收。初步验收合格后，进入</w:t>
      </w:r>
      <w:r>
        <w:rPr>
          <w:rFonts w:hint="eastAsia" w:ascii="宋体" w:hAnsi="Times New Roman"/>
          <w:sz w:val="24"/>
          <w:szCs w:val="28"/>
          <w:u w:val="single"/>
        </w:rPr>
        <w:t xml:space="preserve">    </w:t>
      </w:r>
      <w:r>
        <w:rPr>
          <w:rFonts w:hint="eastAsia" w:ascii="宋体" w:hAnsi="Times New Roman"/>
          <w:sz w:val="24"/>
          <w:szCs w:val="28"/>
        </w:rPr>
        <w:t>试用期；试用期间发生重大质量问题，修复后试用相应顺延；试用期结束后</w:t>
      </w:r>
      <w:r>
        <w:rPr>
          <w:rFonts w:hint="eastAsia" w:ascii="宋体" w:hAnsi="Times New Roman"/>
          <w:sz w:val="24"/>
          <w:szCs w:val="28"/>
          <w:u w:val="single"/>
        </w:rPr>
        <w:t xml:space="preserve">    </w:t>
      </w:r>
      <w:r>
        <w:rPr>
          <w:rFonts w:hint="eastAsia" w:ascii="宋体" w:hAnsi="Times New Roman"/>
          <w:sz w:val="24"/>
          <w:szCs w:val="28"/>
        </w:rPr>
        <w:t>日内完成最终验收：甲方进行功能性验收，同时委托具有法定资格的第三方检测机构进行技术验收。若第三方检测机构技术验收不合格，乙方应对项目进行整改并再次委托第三方检测机构进行技术验收，直至合格，再次检测费用由乙方负担。</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 xml:space="preserve">(2) </w:t>
      </w:r>
      <w:r>
        <w:rPr>
          <w:rFonts w:hint="eastAsia" w:ascii="宋体" w:hAnsi="Times New Roman"/>
          <w:sz w:val="24"/>
          <w:szCs w:val="28"/>
        </w:rPr>
        <w:t>验收标准：按国家有关规定以及甲方招标文件的质量要求和技术指标、乙方的投标文件及承诺与本合同约定标准进行验收；甲乙双方如对质量要求和技术指标的约定标准有相互抵触或异议的事项，由甲方在招标与投标文件中按质量要求和技术指标比较优胜的原则确定该项的约定标准进行验收；</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 xml:space="preserve">(3) </w:t>
      </w:r>
      <w:r>
        <w:rPr>
          <w:rFonts w:hint="eastAsia" w:ascii="宋体" w:hAnsi="Times New Roman"/>
          <w:sz w:val="24"/>
          <w:szCs w:val="28"/>
        </w:rPr>
        <w:t>验收时如发现所交付的货物有短装、次品、损坏或不符合标准及本合同规定之情形者，甲方应做出详尽的现场记录，或由甲乙双方签署备忘录，此现场记录或备忘录可用作补充、缺失和更换损坏部件的有效证据，由此产生的时间延误与有关费用由乙方承担，验收期限相应顺延；</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 xml:space="preserve">(4) </w:t>
      </w:r>
      <w:r>
        <w:rPr>
          <w:rFonts w:hint="eastAsia" w:ascii="宋体" w:hAnsi="Times New Roman"/>
          <w:sz w:val="24"/>
          <w:szCs w:val="28"/>
        </w:rPr>
        <w:t>如质量验收合格，双方签署质量验收报告。</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3</w:t>
      </w:r>
      <w:r>
        <w:rPr>
          <w:rFonts w:hint="eastAsia" w:ascii="宋体" w:hAnsi="Times New Roman"/>
          <w:sz w:val="24"/>
          <w:szCs w:val="28"/>
        </w:rPr>
        <w:t>、货物安装完成且接到乙方验收通知后</w:t>
      </w:r>
      <w:r>
        <w:rPr>
          <w:rFonts w:hint="eastAsia" w:ascii="宋体" w:hAnsi="Times New Roman"/>
          <w:sz w:val="24"/>
          <w:szCs w:val="28"/>
          <w:u w:val="single"/>
        </w:rPr>
        <w:t xml:space="preserve">     </w:t>
      </w:r>
      <w:r>
        <w:rPr>
          <w:rFonts w:hint="eastAsia" w:ascii="宋体" w:hAnsi="Times New Roman"/>
          <w:sz w:val="24"/>
          <w:szCs w:val="28"/>
        </w:rPr>
        <w:t>日内，甲方无故不进行验收工作并已使用货物的，视同已安装调试完成并验收合格，但该推定合格不免除因产品存在隐含质量问题而应由乙方承担的更换、维修等责任。</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4、如货物经乙方</w:t>
      </w:r>
      <w:r>
        <w:rPr>
          <w:rFonts w:hint="eastAsia" w:ascii="宋体" w:hAnsi="Times New Roman"/>
          <w:sz w:val="24"/>
          <w:szCs w:val="28"/>
          <w:u w:val="single"/>
        </w:rPr>
        <w:t xml:space="preserve">   </w:t>
      </w:r>
      <w:r>
        <w:rPr>
          <w:rFonts w:hint="eastAsia" w:ascii="宋体" w:hAnsi="Times New Roman"/>
          <w:sz w:val="24"/>
          <w:szCs w:val="28"/>
        </w:rPr>
        <w:t>次维修仍不能达到合同约定的质量标准，甲方有权退货，并视作乙方不能交付货物而须支付违约赔偿金给甲方，甲方还可依法追究乙方的违约责任。</w:t>
      </w:r>
      <w:r>
        <w:rPr>
          <w:rFonts w:ascii="宋体" w:hAnsi="Times New Roman"/>
          <w:sz w:val="24"/>
          <w:szCs w:val="28"/>
        </w:rPr>
        <w:t> </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第十条   货款支付</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1、本合同项下所有款项均以人民币支付。</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2、付款方式:</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本项目按照以下的方式分期支付。</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u w:val="single"/>
        </w:rPr>
        <w:t xml:space="preserve">                                                           </w:t>
      </w:r>
      <w:r>
        <w:rPr>
          <w:rFonts w:hint="eastAsia" w:ascii="宋体" w:hAnsi="Times New Roman"/>
          <w:sz w:val="24"/>
          <w:szCs w:val="28"/>
        </w:rPr>
        <w:t>。</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3、每阶段付款，乙方须向甲方出具合法有效完整的完税发票及凭证资料进行支付结算。</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第十一条　售后服务</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1</w:t>
      </w:r>
      <w:r>
        <w:rPr>
          <w:rFonts w:hint="eastAsia" w:ascii="宋体" w:hAnsi="Times New Roman"/>
          <w:sz w:val="24"/>
          <w:szCs w:val="28"/>
        </w:rPr>
        <w:t>、项目工程质保期为验收合格后</w:t>
      </w:r>
      <w:r>
        <w:rPr>
          <w:rFonts w:hint="eastAsia" w:ascii="宋体" w:hAnsi="Times New Roman"/>
          <w:sz w:val="24"/>
          <w:szCs w:val="28"/>
          <w:u w:val="single"/>
        </w:rPr>
        <w:t xml:space="preserve">    </w:t>
      </w:r>
      <w:r>
        <w:rPr>
          <w:rFonts w:hint="eastAsia" w:ascii="宋体" w:hAnsi="Times New Roman"/>
          <w:sz w:val="24"/>
          <w:szCs w:val="28"/>
        </w:rPr>
        <w:t>年，质保期内出现质量问题，乙方在接到通知后</w:t>
      </w:r>
      <w:r>
        <w:rPr>
          <w:rFonts w:hint="eastAsia" w:ascii="宋体" w:hAnsi="Times New Roman"/>
          <w:sz w:val="24"/>
          <w:szCs w:val="28"/>
          <w:u w:val="single"/>
        </w:rPr>
        <w:t xml:space="preserve">   </w:t>
      </w:r>
      <w:r>
        <w:rPr>
          <w:rFonts w:hint="eastAsia" w:ascii="宋体" w:hAnsi="Times New Roman"/>
          <w:sz w:val="24"/>
          <w:szCs w:val="28"/>
        </w:rPr>
        <w:t>小时内响应到场，</w:t>
      </w:r>
      <w:r>
        <w:rPr>
          <w:rFonts w:hint="eastAsia" w:ascii="宋体" w:hAnsi="Times New Roman"/>
          <w:sz w:val="24"/>
          <w:szCs w:val="28"/>
          <w:u w:val="single"/>
        </w:rPr>
        <w:t xml:space="preserve">    </w:t>
      </w:r>
      <w:r>
        <w:rPr>
          <w:rFonts w:hint="eastAsia" w:ascii="宋体" w:hAnsi="Times New Roman"/>
          <w:sz w:val="24"/>
          <w:szCs w:val="28"/>
        </w:rPr>
        <w:t>小时内完成维修或更换，并承担修理调换的费用；如货物经乙方</w:t>
      </w:r>
      <w:r>
        <w:rPr>
          <w:rFonts w:hint="eastAsia" w:ascii="宋体" w:hAnsi="Times New Roman"/>
          <w:sz w:val="24"/>
          <w:szCs w:val="28"/>
          <w:u w:val="single"/>
        </w:rPr>
        <w:t xml:space="preserve">   </w:t>
      </w:r>
      <w:r>
        <w:rPr>
          <w:rFonts w:hint="eastAsia" w:ascii="宋体" w:hAnsi="Times New Roman"/>
          <w:sz w:val="24"/>
          <w:szCs w:val="28"/>
        </w:rPr>
        <w:t>次维修仍不能达到本合同约定的质量标准，视作乙方未能按时交货，甲方有权退货并追究乙方的违约责任。货到现场后由于甲方保管不当造成的问题，乙方亦应负责修复，但费用由甲方负担。</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2</w:t>
      </w:r>
      <w:r>
        <w:rPr>
          <w:rFonts w:hint="eastAsia" w:ascii="宋体" w:hAnsi="Times New Roman"/>
          <w:sz w:val="24"/>
          <w:szCs w:val="28"/>
        </w:rPr>
        <w:t>、乙方须指派专人负责与甲方联系售后服务事宜。</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第十二条　违约责任</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1</w:t>
      </w:r>
      <w:r>
        <w:rPr>
          <w:rFonts w:hint="eastAsia" w:ascii="宋体" w:hAnsi="Times New Roman"/>
          <w:sz w:val="24"/>
          <w:szCs w:val="28"/>
        </w:rPr>
        <w:t>、甲方违约责任</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1</w:t>
      </w:r>
      <w:r>
        <w:rPr>
          <w:rFonts w:hint="eastAsia" w:ascii="宋体" w:hAnsi="Times New Roman"/>
          <w:sz w:val="24"/>
          <w:szCs w:val="28"/>
        </w:rPr>
        <w:t>）</w:t>
      </w:r>
      <w:r>
        <w:rPr>
          <w:rFonts w:ascii="宋体" w:hAnsi="Times New Roman"/>
          <w:sz w:val="24"/>
          <w:szCs w:val="28"/>
        </w:rPr>
        <w:t xml:space="preserve"> </w:t>
      </w:r>
      <w:r>
        <w:rPr>
          <w:rFonts w:hint="eastAsia" w:ascii="宋体" w:hAnsi="Times New Roman"/>
          <w:sz w:val="24"/>
          <w:szCs w:val="28"/>
        </w:rPr>
        <w:t>甲方无正当理由拒收货物的，甲方应偿付合同总价百分之</w:t>
      </w:r>
      <w:r>
        <w:rPr>
          <w:rFonts w:hint="eastAsia" w:ascii="宋体" w:hAnsi="Times New Roman"/>
          <w:sz w:val="24"/>
          <w:szCs w:val="28"/>
          <w:u w:val="single"/>
        </w:rPr>
        <w:t xml:space="preserve">  </w:t>
      </w:r>
      <w:r>
        <w:rPr>
          <w:rFonts w:hint="eastAsia" w:ascii="宋体" w:hAnsi="Times New Roman"/>
          <w:sz w:val="24"/>
          <w:szCs w:val="28"/>
        </w:rPr>
        <w:t>的违约金；</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2</w:t>
      </w:r>
      <w:r>
        <w:rPr>
          <w:rFonts w:hint="eastAsia" w:ascii="宋体" w:hAnsi="Times New Roman"/>
          <w:sz w:val="24"/>
          <w:szCs w:val="28"/>
        </w:rPr>
        <w:t>）</w:t>
      </w:r>
      <w:r>
        <w:rPr>
          <w:rFonts w:ascii="宋体" w:hAnsi="Times New Roman"/>
          <w:sz w:val="24"/>
          <w:szCs w:val="28"/>
        </w:rPr>
        <w:t xml:space="preserve"> </w:t>
      </w:r>
      <w:r>
        <w:rPr>
          <w:rFonts w:hint="eastAsia" w:ascii="宋体" w:hAnsi="Times New Roman"/>
          <w:sz w:val="24"/>
          <w:szCs w:val="28"/>
        </w:rPr>
        <w:t>因甲方原因逾期支付货款的，除应及时付足货款外，</w:t>
      </w:r>
      <w:r>
        <w:rPr>
          <w:rFonts w:ascii="宋体" w:hAnsi="Times New Roman"/>
          <w:sz w:val="24"/>
          <w:szCs w:val="28"/>
        </w:rPr>
        <w:t>应向乙方偿付欠款总额万分之</w:t>
      </w:r>
      <w:r>
        <w:rPr>
          <w:rFonts w:hint="eastAsia" w:ascii="宋体" w:hAnsi="Times New Roman"/>
          <w:sz w:val="24"/>
          <w:szCs w:val="28"/>
          <w:u w:val="single"/>
        </w:rPr>
        <w:t xml:space="preserve">   </w:t>
      </w:r>
      <w:r>
        <w:rPr>
          <w:rFonts w:ascii="宋体" w:hAnsi="Times New Roman"/>
          <w:sz w:val="24"/>
          <w:szCs w:val="28"/>
        </w:rPr>
        <w:t>/天</w:t>
      </w:r>
      <w:r>
        <w:rPr>
          <w:rFonts w:hint="eastAsia" w:ascii="宋体" w:hAnsi="Times New Roman"/>
          <w:sz w:val="24"/>
          <w:szCs w:val="28"/>
        </w:rPr>
        <w:t>的违约金；逾期付款超过</w:t>
      </w:r>
      <w:r>
        <w:rPr>
          <w:rFonts w:hint="eastAsia" w:ascii="宋体" w:hAnsi="Times New Roman"/>
          <w:sz w:val="24"/>
          <w:szCs w:val="28"/>
          <w:u w:val="single"/>
        </w:rPr>
        <w:t xml:space="preserve">  </w:t>
      </w:r>
      <w:r>
        <w:rPr>
          <w:rFonts w:hint="eastAsia" w:ascii="宋体" w:hAnsi="Times New Roman"/>
          <w:sz w:val="24"/>
          <w:szCs w:val="28"/>
        </w:rPr>
        <w:t>天的，乙方有权终止合同；</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3</w:t>
      </w:r>
      <w:r>
        <w:rPr>
          <w:rFonts w:hint="eastAsia" w:ascii="宋体" w:hAnsi="Times New Roman"/>
          <w:sz w:val="24"/>
          <w:szCs w:val="28"/>
        </w:rPr>
        <w:t>）</w:t>
      </w:r>
      <w:r>
        <w:rPr>
          <w:rFonts w:ascii="宋体" w:hAnsi="Times New Roman"/>
          <w:sz w:val="24"/>
          <w:szCs w:val="28"/>
        </w:rPr>
        <w:t xml:space="preserve"> </w:t>
      </w:r>
      <w:r>
        <w:rPr>
          <w:rFonts w:hint="eastAsia" w:ascii="宋体" w:hAnsi="Times New Roman"/>
          <w:sz w:val="24"/>
          <w:szCs w:val="28"/>
        </w:rPr>
        <w:t>甲方偿付的违约金不足以弥补乙方损失的，还应按乙方损失尚未弥补的部分，支付赔偿金给乙方。</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2</w:t>
      </w:r>
      <w:r>
        <w:rPr>
          <w:rFonts w:hint="eastAsia" w:ascii="宋体" w:hAnsi="Times New Roman"/>
          <w:sz w:val="24"/>
          <w:szCs w:val="28"/>
        </w:rPr>
        <w:t>、乙方违约责任</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1</w:t>
      </w:r>
      <w:r>
        <w:rPr>
          <w:rFonts w:hint="eastAsia" w:ascii="宋体" w:hAnsi="Times New Roman"/>
          <w:sz w:val="24"/>
          <w:szCs w:val="28"/>
        </w:rPr>
        <w:t>）乙方交付的货物质量不符合合同规定的，乙方应向甲方支付合同总价的百分之</w:t>
      </w:r>
      <w:r>
        <w:rPr>
          <w:rFonts w:hint="eastAsia" w:ascii="宋体" w:hAnsi="Times New Roman"/>
          <w:sz w:val="24"/>
          <w:szCs w:val="28"/>
          <w:u w:val="single"/>
        </w:rPr>
        <w:t xml:space="preserve">  </w:t>
      </w:r>
      <w:r>
        <w:rPr>
          <w:rFonts w:hint="eastAsia" w:ascii="宋体" w:hAnsi="Times New Roman"/>
          <w:sz w:val="24"/>
          <w:szCs w:val="28"/>
        </w:rPr>
        <w:t>的违约金，并须在合同规定的交货时间内更换合格的货物给甲方，否则，视作乙方不能交付货物而违约，按本条本款下述第“（2）”项规定由乙方偿付违约赔偿金给甲方。</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2</w:t>
      </w:r>
      <w:r>
        <w:rPr>
          <w:rFonts w:hint="eastAsia" w:ascii="宋体" w:hAnsi="Times New Roman"/>
          <w:sz w:val="24"/>
          <w:szCs w:val="28"/>
        </w:rPr>
        <w:t>）乙方不能交付货物或逾期交付货物而违约的，除应及时交足货物外，</w:t>
      </w:r>
      <w:r>
        <w:rPr>
          <w:rFonts w:ascii="宋体" w:hAnsi="Times New Roman"/>
          <w:sz w:val="24"/>
          <w:szCs w:val="28"/>
        </w:rPr>
        <w:t>应向甲方偿付逾期交货部分货款总额的万分之</w:t>
      </w:r>
      <w:r>
        <w:rPr>
          <w:rFonts w:hint="eastAsia" w:ascii="宋体" w:hAnsi="Times New Roman"/>
          <w:sz w:val="24"/>
          <w:szCs w:val="28"/>
          <w:u w:val="single"/>
        </w:rPr>
        <w:t xml:space="preserve">   </w:t>
      </w:r>
      <w:r>
        <w:rPr>
          <w:rFonts w:ascii="宋体" w:hAnsi="Times New Roman"/>
          <w:sz w:val="24"/>
          <w:szCs w:val="28"/>
        </w:rPr>
        <w:t>/天</w:t>
      </w:r>
      <w:r>
        <w:rPr>
          <w:rFonts w:hint="eastAsia" w:ascii="宋体" w:hAnsi="Times New Roman"/>
          <w:sz w:val="24"/>
          <w:szCs w:val="28"/>
        </w:rPr>
        <w:t>的违约金；逾期交货或未能按时完工超过</w:t>
      </w:r>
      <w:r>
        <w:rPr>
          <w:rFonts w:hint="eastAsia" w:ascii="宋体" w:hAnsi="Times New Roman"/>
          <w:sz w:val="24"/>
          <w:szCs w:val="28"/>
          <w:u w:val="single"/>
        </w:rPr>
        <w:t xml:space="preserve">     </w:t>
      </w:r>
      <w:r>
        <w:rPr>
          <w:rFonts w:hint="eastAsia" w:ascii="宋体" w:hAnsi="Times New Roman"/>
          <w:sz w:val="24"/>
          <w:szCs w:val="28"/>
        </w:rPr>
        <w:t>天，甲方有权终止合同，乙方则应按合同总价的百分之</w:t>
      </w:r>
      <w:r>
        <w:rPr>
          <w:rFonts w:hint="eastAsia" w:ascii="宋体" w:hAnsi="Times New Roman"/>
          <w:sz w:val="24"/>
          <w:szCs w:val="28"/>
          <w:u w:val="single"/>
        </w:rPr>
        <w:t xml:space="preserve">  </w:t>
      </w:r>
      <w:r>
        <w:rPr>
          <w:rFonts w:hint="eastAsia" w:ascii="宋体" w:hAnsi="Times New Roman"/>
          <w:sz w:val="24"/>
          <w:szCs w:val="28"/>
        </w:rPr>
        <w:t>的款额向甲方偿付赔偿金，并须全额退还甲方已经付给乙方的货款及其利息。</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3</w:t>
      </w:r>
      <w:r>
        <w:rPr>
          <w:rFonts w:hint="eastAsia" w:ascii="宋体" w:hAnsi="Times New Roman"/>
          <w:sz w:val="24"/>
          <w:szCs w:val="28"/>
        </w:rPr>
        <w:t>）乙方货物经甲方送交具有法定资格条件的质量技术监督机构检测后，如检测结果认定货物质量不符合本合同规定标准的，则视为乙方没有按时交货而违约，乙方须在</w:t>
      </w:r>
      <w:r>
        <w:rPr>
          <w:rFonts w:hint="eastAsia" w:ascii="宋体" w:hAnsi="Times New Roman"/>
          <w:sz w:val="24"/>
          <w:szCs w:val="28"/>
          <w:u w:val="single"/>
        </w:rPr>
        <w:t xml:space="preserve">   </w:t>
      </w:r>
      <w:r>
        <w:rPr>
          <w:rFonts w:hint="eastAsia" w:ascii="宋体" w:hAnsi="Times New Roman"/>
          <w:sz w:val="24"/>
          <w:szCs w:val="28"/>
        </w:rPr>
        <w:t>天内无条件更换合格的货物，如逾期不能更换合格的货物，甲方有权终止本合同，乙方应另付合同总价的百分之</w:t>
      </w:r>
      <w:r>
        <w:rPr>
          <w:rFonts w:hint="eastAsia" w:ascii="宋体" w:hAnsi="Times New Roman"/>
          <w:sz w:val="24"/>
          <w:szCs w:val="28"/>
          <w:u w:val="single"/>
        </w:rPr>
        <w:t xml:space="preserve">   </w:t>
      </w:r>
      <w:r>
        <w:rPr>
          <w:rFonts w:hint="eastAsia" w:ascii="宋体" w:hAnsi="Times New Roman"/>
          <w:sz w:val="24"/>
          <w:szCs w:val="28"/>
        </w:rPr>
        <w:t>的赔偿金给甲方。</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4）乙方保证本合同货物的权利无瑕疵，包括货物所有权及知识产权等权利无瑕疵。如任何第三方经法院（或仲裁机构）裁决有权对上述货物主张权利或国家机关依法对货物进行没收查处的，乙方除应向甲方返还已收款项外，还应另按合同总价的百分之</w:t>
      </w:r>
      <w:r>
        <w:rPr>
          <w:rFonts w:hint="eastAsia" w:ascii="宋体" w:hAnsi="Times New Roman"/>
          <w:sz w:val="24"/>
          <w:szCs w:val="28"/>
          <w:u w:val="single"/>
        </w:rPr>
        <w:t xml:space="preserve">   </w:t>
      </w:r>
      <w:r>
        <w:rPr>
          <w:rFonts w:hint="eastAsia" w:ascii="宋体" w:hAnsi="Times New Roman"/>
          <w:sz w:val="24"/>
          <w:szCs w:val="28"/>
        </w:rPr>
        <w:t>向甲方支付违约金并赔偿因此给甲方造成的一切损失。</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w:t>
      </w:r>
      <w:r>
        <w:rPr>
          <w:rFonts w:ascii="宋体" w:hAnsi="Times New Roman"/>
          <w:sz w:val="24"/>
          <w:szCs w:val="28"/>
        </w:rPr>
        <w:t>5</w:t>
      </w:r>
      <w:r>
        <w:rPr>
          <w:rFonts w:hint="eastAsia" w:ascii="宋体" w:hAnsi="Times New Roman"/>
          <w:sz w:val="24"/>
          <w:szCs w:val="28"/>
        </w:rPr>
        <w:t>）乙方偿付的违约金不足以弥补甲方损失的，还应按甲方损失尚未弥补的部分，支付赔偿金给甲方。</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第十三条　合同的变更和终止</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除《政府采购法》第４９条、第５０条第二款规定的情形外，本合同一经签订，甲乙双方不得擅自变更、中止或终止合同。</w:t>
      </w:r>
    </w:p>
    <w:p>
      <w:pPr>
        <w:pStyle w:val="319"/>
        <w:spacing w:line="360" w:lineRule="auto"/>
        <w:ind w:firstLine="482" w:firstLineChars="200"/>
        <w:jc w:val="left"/>
        <w:rPr>
          <w:rFonts w:ascii="宋体" w:hAnsi="宋体"/>
          <w:b/>
          <w:sz w:val="30"/>
          <w:szCs w:val="30"/>
        </w:rPr>
      </w:pPr>
      <w:r>
        <w:rPr>
          <w:rFonts w:hint="eastAsia" w:ascii="宋体"/>
          <w:b/>
          <w:sz w:val="24"/>
          <w:szCs w:val="24"/>
        </w:rPr>
        <w:t>第十四条　合</w:t>
      </w:r>
      <w:r>
        <w:rPr>
          <w:rFonts w:hint="eastAsia" w:ascii="宋体" w:hAnsi="宋体"/>
          <w:b/>
          <w:sz w:val="30"/>
          <w:szCs w:val="30"/>
        </w:rPr>
        <w:t>同的转让</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乙方不得擅自部分或全部转让其应履行的合同义务。</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第十五条  争议的解决</w:t>
      </w:r>
    </w:p>
    <w:p>
      <w:pPr>
        <w:pStyle w:val="319"/>
        <w:widowControl/>
        <w:spacing w:line="360" w:lineRule="auto"/>
        <w:ind w:firstLine="480" w:firstLineChars="200"/>
        <w:jc w:val="left"/>
        <w:rPr>
          <w:rFonts w:ascii="宋体" w:hAnsi="Times New Roman"/>
          <w:sz w:val="24"/>
          <w:szCs w:val="28"/>
        </w:rPr>
      </w:pPr>
      <w:r>
        <w:rPr>
          <w:rFonts w:ascii="宋体" w:hAnsi="Times New Roman"/>
          <w:sz w:val="24"/>
          <w:szCs w:val="28"/>
        </w:rPr>
        <w:t>1</w:t>
      </w:r>
      <w:r>
        <w:rPr>
          <w:rFonts w:hint="eastAsia" w:ascii="宋体" w:hAnsi="Times New Roman"/>
          <w:sz w:val="24"/>
          <w:szCs w:val="28"/>
        </w:rPr>
        <w:t>、因货物或施工的质量问题发生争议，由具有法定资格条件的质量技术监督机构进行质量鉴定。货物符合标准的，鉴定费由甲方承担；货物不符合质量标准的，鉴定费由乙方承担。</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2、因履行本合同引起的或与本合同有关的争议，甲、乙双方应首先通过友好协商解决，如果协商不能解决争议，则向甲方所在地有管辖权的人民法院提起诉讼。</w:t>
      </w:r>
    </w:p>
    <w:p>
      <w:pPr>
        <w:pStyle w:val="319"/>
        <w:spacing w:line="360" w:lineRule="auto"/>
        <w:ind w:firstLine="482" w:firstLineChars="200"/>
        <w:rPr>
          <w:rFonts w:ascii="宋体" w:hAnsi="Times New Roman"/>
          <w:b/>
          <w:sz w:val="24"/>
          <w:szCs w:val="24"/>
        </w:rPr>
      </w:pPr>
      <w:r>
        <w:rPr>
          <w:rFonts w:hint="eastAsia" w:ascii="宋体" w:hAnsi="Times New Roman"/>
          <w:b/>
          <w:sz w:val="24"/>
          <w:szCs w:val="24"/>
        </w:rPr>
        <w:t>第十六条   合同生效及其他</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1、合同经双方法定代表人或授权委托代理人签字并加盖单位公章后生效。</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2、甲方</w:t>
      </w:r>
      <w:r>
        <w:rPr>
          <w:rFonts w:ascii="宋体" w:hAnsi="Times New Roman"/>
          <w:sz w:val="24"/>
          <w:szCs w:val="28"/>
          <w:u w:val="single"/>
        </w:rPr>
        <w:t xml:space="preserve">  </w:t>
      </w:r>
      <w:r>
        <w:rPr>
          <w:rFonts w:hint="eastAsia" w:ascii="宋体" w:hAnsi="Times New Roman"/>
          <w:sz w:val="24"/>
          <w:szCs w:val="28"/>
          <w:u w:val="single"/>
        </w:rPr>
        <w:t xml:space="preserve"> </w:t>
      </w:r>
      <w:r>
        <w:rPr>
          <w:rFonts w:hint="eastAsia" w:ascii="宋体" w:hAnsi="Times New Roman"/>
          <w:sz w:val="24"/>
          <w:szCs w:val="28"/>
        </w:rPr>
        <w:t>份，乙方</w:t>
      </w:r>
      <w:r>
        <w:rPr>
          <w:rFonts w:ascii="宋体" w:hAnsi="Times New Roman"/>
          <w:sz w:val="24"/>
          <w:szCs w:val="28"/>
          <w:u w:val="single"/>
        </w:rPr>
        <w:t xml:space="preserve"> </w:t>
      </w:r>
      <w:r>
        <w:rPr>
          <w:rFonts w:hint="eastAsia" w:ascii="宋体" w:hAnsi="Times New Roman"/>
          <w:sz w:val="24"/>
          <w:szCs w:val="28"/>
          <w:u w:val="single"/>
        </w:rPr>
        <w:t xml:space="preserve"> </w:t>
      </w:r>
      <w:r>
        <w:rPr>
          <w:rFonts w:ascii="宋体" w:hAnsi="Times New Roman"/>
          <w:sz w:val="24"/>
          <w:szCs w:val="28"/>
          <w:u w:val="single"/>
        </w:rPr>
        <w:t xml:space="preserve"> </w:t>
      </w:r>
      <w:r>
        <w:rPr>
          <w:rFonts w:hint="eastAsia" w:ascii="宋体" w:hAnsi="Times New Roman"/>
          <w:sz w:val="24"/>
          <w:szCs w:val="28"/>
        </w:rPr>
        <w:t>份，区财政局备案一份，区公资交易中心留存两份，具有同等法律效力。</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3、本合同应按照中华人民共和国的现行法律进行解释。</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4、如有未尽事宜，由双方依法订立补充合同。</w:t>
      </w:r>
    </w:p>
    <w:p>
      <w:pPr>
        <w:pStyle w:val="319"/>
        <w:widowControl/>
        <w:spacing w:line="360" w:lineRule="auto"/>
        <w:ind w:firstLine="480" w:firstLineChars="200"/>
        <w:jc w:val="left"/>
        <w:rPr>
          <w:rFonts w:ascii="宋体" w:hAnsi="Times New Roman"/>
          <w:sz w:val="24"/>
          <w:szCs w:val="28"/>
        </w:rPr>
      </w:pPr>
      <w:r>
        <w:rPr>
          <w:rFonts w:hint="eastAsia" w:ascii="宋体" w:hAnsi="Times New Roman"/>
          <w:sz w:val="24"/>
          <w:szCs w:val="28"/>
        </w:rPr>
        <w:t>（以下无正文）</w:t>
      </w:r>
    </w:p>
    <w:p>
      <w:pPr>
        <w:pStyle w:val="319"/>
      </w:pPr>
    </w:p>
    <w:p>
      <w:pPr>
        <w:pStyle w:val="319"/>
      </w:pPr>
    </w:p>
    <w:p>
      <w:pPr>
        <w:pStyle w:val="319"/>
      </w:pPr>
    </w:p>
    <w:p>
      <w:pPr>
        <w:pStyle w:val="319"/>
        <w:spacing w:line="360" w:lineRule="auto"/>
        <w:rPr>
          <w:rFonts w:ascii="宋体" w:hAnsi="宋体"/>
          <w:sz w:val="24"/>
          <w:szCs w:val="24"/>
          <w:u w:val="single"/>
        </w:rPr>
      </w:pPr>
      <w:r>
        <w:rPr>
          <w:rFonts w:hint="eastAsia" w:ascii="宋体" w:hAnsi="宋体"/>
          <w:sz w:val="24"/>
          <w:szCs w:val="24"/>
        </w:rPr>
        <w:t xml:space="preserve">    甲方：</w:t>
      </w:r>
      <w:r>
        <w:rPr>
          <w:rFonts w:hint="eastAsia" w:ascii="宋体" w:hAnsi="宋体"/>
          <w:sz w:val="24"/>
          <w:szCs w:val="24"/>
          <w:u w:val="single"/>
        </w:rPr>
        <w:t xml:space="preserve">   （盖章）</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ascii="宋体" w:hAnsi="宋体"/>
          <w:sz w:val="24"/>
          <w:szCs w:val="24"/>
          <w:u w:val="single"/>
        </w:rPr>
        <w:tab/>
      </w:r>
      <w:r>
        <w:rPr>
          <w:rFonts w:ascii="宋体" w:hAnsi="宋体"/>
          <w:sz w:val="24"/>
          <w:szCs w:val="24"/>
          <w:u w:val="single"/>
        </w:rPr>
        <w:tab/>
      </w:r>
      <w:r>
        <w:rPr>
          <w:rFonts w:ascii="宋体" w:hAnsi="宋体"/>
          <w:sz w:val="24"/>
          <w:szCs w:val="24"/>
          <w:u w:val="single"/>
        </w:rPr>
        <w:tab/>
      </w:r>
      <w:r>
        <w:rPr>
          <w:rFonts w:ascii="宋体" w:hAnsi="宋体"/>
          <w:sz w:val="24"/>
          <w:szCs w:val="24"/>
        </w:rPr>
        <w:t xml:space="preserve">   </w:t>
      </w:r>
      <w:r>
        <w:rPr>
          <w:rFonts w:hint="eastAsia" w:ascii="宋体" w:hAnsi="宋体"/>
          <w:sz w:val="24"/>
          <w:szCs w:val="24"/>
        </w:rPr>
        <w:t xml:space="preserve"> 乙方：</w:t>
      </w:r>
      <w:r>
        <w:rPr>
          <w:rFonts w:ascii="宋体" w:hAnsi="宋体"/>
          <w:sz w:val="24"/>
          <w:szCs w:val="24"/>
          <w:u w:val="single"/>
        </w:rPr>
        <w:t xml:space="preserve">  </w:t>
      </w:r>
      <w:r>
        <w:rPr>
          <w:rFonts w:hint="eastAsia" w:ascii="宋体" w:hAnsi="宋体"/>
          <w:sz w:val="24"/>
          <w:szCs w:val="24"/>
          <w:u w:val="single"/>
        </w:rPr>
        <w:t xml:space="preserve">             </w:t>
      </w:r>
      <w:r>
        <w:rPr>
          <w:rFonts w:ascii="宋体" w:hAnsi="宋体"/>
          <w:sz w:val="24"/>
          <w:szCs w:val="24"/>
          <w:u w:val="single"/>
        </w:rPr>
        <w:t xml:space="preserve"> </w:t>
      </w:r>
      <w:r>
        <w:rPr>
          <w:rFonts w:hint="eastAsia" w:ascii="宋体" w:hAnsi="宋体"/>
          <w:sz w:val="24"/>
          <w:szCs w:val="24"/>
          <w:u w:val="single"/>
        </w:rPr>
        <w:t xml:space="preserve">（盖章）   </w:t>
      </w:r>
    </w:p>
    <w:p>
      <w:pPr>
        <w:pStyle w:val="319"/>
        <w:spacing w:line="360" w:lineRule="auto"/>
        <w:ind w:firstLine="480" w:firstLineChars="200"/>
        <w:rPr>
          <w:rFonts w:ascii="宋体" w:hAnsi="宋体"/>
          <w:sz w:val="24"/>
          <w:szCs w:val="24"/>
        </w:rPr>
      </w:pPr>
      <w:r>
        <w:rPr>
          <w:rFonts w:hint="eastAsia" w:ascii="宋体" w:hAnsi="宋体"/>
          <w:sz w:val="24"/>
          <w:szCs w:val="24"/>
        </w:rPr>
        <w:t>法定代表人（授权代表）：</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 xml:space="preserve"> 法定代表人（授权代表）：</w:t>
      </w:r>
      <w:r>
        <w:rPr>
          <w:rFonts w:ascii="宋体" w:hAnsi="宋体"/>
          <w:sz w:val="24"/>
          <w:szCs w:val="24"/>
          <w:u w:val="single"/>
        </w:rPr>
        <w:t xml:space="preserve">       </w:t>
      </w:r>
    </w:p>
    <w:p>
      <w:pPr>
        <w:pStyle w:val="319"/>
        <w:spacing w:line="360" w:lineRule="auto"/>
        <w:ind w:firstLine="480" w:firstLineChars="200"/>
        <w:rPr>
          <w:rFonts w:ascii="宋体" w:hAnsi="宋体"/>
          <w:sz w:val="24"/>
          <w:szCs w:val="24"/>
        </w:rPr>
      </w:pP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地</w:t>
      </w:r>
      <w:r>
        <w:rPr>
          <w:rFonts w:ascii="宋体" w:hAnsi="宋体"/>
          <w:sz w:val="24"/>
          <w:szCs w:val="24"/>
        </w:rPr>
        <w:t xml:space="preserve">    </w:t>
      </w:r>
      <w:r>
        <w:rPr>
          <w:rFonts w:hint="eastAsia" w:ascii="宋体" w:hAnsi="宋体"/>
          <w:sz w:val="24"/>
          <w:szCs w:val="24"/>
        </w:rPr>
        <w:t>址：</w:t>
      </w:r>
      <w:r>
        <w:rPr>
          <w:rFonts w:ascii="宋体" w:hAnsi="宋体"/>
          <w:sz w:val="24"/>
          <w:szCs w:val="24"/>
          <w:u w:val="single"/>
        </w:rPr>
        <w:t xml:space="preserve">                     </w:t>
      </w:r>
      <w:r>
        <w:rPr>
          <w:rFonts w:ascii="宋体" w:hAnsi="宋体"/>
          <w:sz w:val="24"/>
          <w:szCs w:val="24"/>
        </w:rPr>
        <w:t xml:space="preserve"> </w:t>
      </w:r>
    </w:p>
    <w:p>
      <w:pPr>
        <w:pStyle w:val="319"/>
        <w:spacing w:line="360" w:lineRule="auto"/>
        <w:ind w:firstLine="480" w:firstLineChars="200"/>
        <w:rPr>
          <w:rFonts w:ascii="宋体" w:hAnsi="宋体"/>
          <w:sz w:val="24"/>
          <w:szCs w:val="24"/>
        </w:rPr>
      </w:pPr>
      <w:r>
        <w:rPr>
          <w:rFonts w:hint="eastAsia" w:ascii="宋体" w:hAnsi="宋体"/>
          <w:sz w:val="24"/>
          <w:szCs w:val="24"/>
        </w:rPr>
        <w:t>开户银行：</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开户银行：</w:t>
      </w:r>
      <w:r>
        <w:rPr>
          <w:rFonts w:ascii="宋体" w:hAnsi="宋体"/>
          <w:sz w:val="24"/>
          <w:szCs w:val="24"/>
          <w:u w:val="single"/>
        </w:rPr>
        <w:t xml:space="preserve">                     </w:t>
      </w:r>
      <w:r>
        <w:rPr>
          <w:rFonts w:ascii="宋体" w:hAnsi="宋体"/>
          <w:sz w:val="24"/>
          <w:szCs w:val="24"/>
        </w:rPr>
        <w:t xml:space="preserve"> </w:t>
      </w:r>
    </w:p>
    <w:p>
      <w:pPr>
        <w:pStyle w:val="319"/>
        <w:spacing w:line="360" w:lineRule="auto"/>
        <w:ind w:firstLine="480" w:firstLineChars="200"/>
        <w:rPr>
          <w:rFonts w:ascii="宋体" w:hAnsi="宋体"/>
          <w:sz w:val="24"/>
          <w:szCs w:val="24"/>
        </w:rPr>
      </w:pPr>
      <w:r>
        <w:rPr>
          <w:rFonts w:hint="eastAsia" w:ascii="宋体" w:hAnsi="宋体"/>
          <w:sz w:val="24"/>
          <w:szCs w:val="24"/>
        </w:rPr>
        <w:t>账    号：</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账    号：</w:t>
      </w:r>
      <w:r>
        <w:rPr>
          <w:rFonts w:ascii="宋体" w:hAnsi="宋体"/>
          <w:sz w:val="24"/>
          <w:szCs w:val="24"/>
          <w:u w:val="single"/>
        </w:rPr>
        <w:t xml:space="preserve">                     </w:t>
      </w:r>
      <w:r>
        <w:rPr>
          <w:rFonts w:ascii="宋体" w:hAnsi="宋体"/>
          <w:sz w:val="24"/>
          <w:szCs w:val="24"/>
        </w:rPr>
        <w:t xml:space="preserve"> </w:t>
      </w:r>
    </w:p>
    <w:p>
      <w:pPr>
        <w:pStyle w:val="319"/>
        <w:spacing w:line="360" w:lineRule="auto"/>
        <w:ind w:firstLine="480" w:firstLineChars="200"/>
        <w:rPr>
          <w:rFonts w:ascii="宋体" w:hAnsi="宋体"/>
          <w:sz w:val="24"/>
          <w:szCs w:val="24"/>
        </w:rPr>
      </w:pP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电</w:t>
      </w:r>
      <w:r>
        <w:rPr>
          <w:rFonts w:ascii="宋体" w:hAnsi="宋体"/>
          <w:sz w:val="24"/>
          <w:szCs w:val="24"/>
        </w:rPr>
        <w:t xml:space="preserve">    </w:t>
      </w:r>
      <w:r>
        <w:rPr>
          <w:rFonts w:hint="eastAsia" w:ascii="宋体" w:hAnsi="宋体"/>
          <w:sz w:val="24"/>
          <w:szCs w:val="24"/>
        </w:rPr>
        <w:t>话：</w:t>
      </w:r>
      <w:r>
        <w:rPr>
          <w:rFonts w:ascii="宋体" w:hAnsi="宋体"/>
          <w:sz w:val="24"/>
          <w:szCs w:val="24"/>
          <w:u w:val="single"/>
        </w:rPr>
        <w:t xml:space="preserve">                     </w:t>
      </w:r>
      <w:r>
        <w:rPr>
          <w:rFonts w:ascii="宋体" w:hAnsi="宋体"/>
          <w:sz w:val="24"/>
          <w:szCs w:val="24"/>
        </w:rPr>
        <w:t xml:space="preserve"> </w:t>
      </w:r>
    </w:p>
    <w:p>
      <w:pPr>
        <w:pStyle w:val="319"/>
        <w:spacing w:line="360" w:lineRule="auto"/>
        <w:ind w:firstLine="480" w:firstLineChars="200"/>
        <w:rPr>
          <w:rFonts w:ascii="宋体" w:hAnsi="宋体"/>
          <w:sz w:val="24"/>
          <w:szCs w:val="24"/>
        </w:rPr>
      </w:pP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r>
        <w:rPr>
          <w:rFonts w:ascii="宋体" w:hAnsi="宋体"/>
          <w:sz w:val="24"/>
          <w:szCs w:val="24"/>
          <w:u w:val="single"/>
        </w:rPr>
        <w:t xml:space="preserve">                     </w:t>
      </w:r>
      <w:r>
        <w:rPr>
          <w:rFonts w:ascii="宋体" w:hAnsi="宋体"/>
          <w:sz w:val="24"/>
          <w:szCs w:val="24"/>
        </w:rPr>
        <w:t xml:space="preserve">    </w:t>
      </w:r>
      <w:r>
        <w:rPr>
          <w:rFonts w:hint="eastAsia" w:ascii="宋体" w:hAnsi="宋体"/>
          <w:sz w:val="24"/>
          <w:szCs w:val="24"/>
        </w:rPr>
        <w:t>传</w:t>
      </w:r>
      <w:r>
        <w:rPr>
          <w:rFonts w:ascii="宋体" w:hAnsi="宋体"/>
          <w:sz w:val="24"/>
          <w:szCs w:val="24"/>
        </w:rPr>
        <w:t xml:space="preserve">    </w:t>
      </w:r>
      <w:r>
        <w:rPr>
          <w:rFonts w:hint="eastAsia" w:ascii="宋体" w:hAnsi="宋体"/>
          <w:sz w:val="24"/>
          <w:szCs w:val="24"/>
        </w:rPr>
        <w:t>真：</w:t>
      </w:r>
      <w:r>
        <w:rPr>
          <w:rFonts w:ascii="宋体" w:hAnsi="宋体"/>
          <w:sz w:val="24"/>
          <w:szCs w:val="24"/>
          <w:u w:val="single"/>
        </w:rPr>
        <w:t xml:space="preserve">                     </w:t>
      </w:r>
      <w:r>
        <w:rPr>
          <w:rFonts w:ascii="宋体" w:hAnsi="宋体"/>
          <w:sz w:val="24"/>
          <w:szCs w:val="24"/>
        </w:rPr>
        <w:t xml:space="preserve"> </w:t>
      </w:r>
    </w:p>
    <w:p>
      <w:pPr>
        <w:pStyle w:val="319"/>
        <w:widowControl/>
        <w:spacing w:line="360" w:lineRule="auto"/>
        <w:ind w:firstLine="480" w:firstLineChars="200"/>
        <w:jc w:val="left"/>
        <w:rPr>
          <w:rFonts w:ascii="宋体" w:hAnsi="Times New Roman"/>
          <w:sz w:val="24"/>
          <w:szCs w:val="24"/>
        </w:rPr>
      </w:pPr>
      <w:r>
        <w:rPr>
          <w:rFonts w:hint="eastAsia" w:ascii="宋体" w:hAnsi="Times New Roman"/>
          <w:sz w:val="24"/>
          <w:szCs w:val="24"/>
        </w:rPr>
        <w:t>签约日期：</w:t>
      </w:r>
      <w:r>
        <w:rPr>
          <w:rFonts w:hint="eastAsia" w:ascii="宋体" w:hAnsi="Times New Roman"/>
          <w:sz w:val="24"/>
          <w:szCs w:val="24"/>
          <w:u w:val="single"/>
        </w:rPr>
        <w:t xml:space="preserve">    </w:t>
      </w:r>
      <w:r>
        <w:rPr>
          <w:rFonts w:hint="eastAsia" w:ascii="宋体" w:hAnsi="Times New Roman"/>
          <w:sz w:val="24"/>
          <w:szCs w:val="24"/>
        </w:rPr>
        <w:t>年</w:t>
      </w:r>
      <w:r>
        <w:rPr>
          <w:rFonts w:hint="eastAsia" w:ascii="宋体" w:hAnsi="Times New Roman"/>
          <w:sz w:val="24"/>
          <w:szCs w:val="24"/>
          <w:u w:val="single"/>
        </w:rPr>
        <w:t xml:space="preserve">    </w:t>
      </w:r>
      <w:r>
        <w:rPr>
          <w:rFonts w:hint="eastAsia" w:ascii="宋体" w:hAnsi="Times New Roman"/>
          <w:sz w:val="24"/>
          <w:szCs w:val="24"/>
        </w:rPr>
        <w:t>月</w:t>
      </w:r>
      <w:r>
        <w:rPr>
          <w:rFonts w:hint="eastAsia" w:ascii="宋体" w:hAnsi="Times New Roman"/>
          <w:sz w:val="24"/>
          <w:szCs w:val="24"/>
          <w:u w:val="single"/>
        </w:rPr>
        <w:t xml:space="preserve">    </w:t>
      </w:r>
      <w:r>
        <w:rPr>
          <w:rFonts w:hint="eastAsia" w:ascii="宋体" w:hAnsi="Times New Roman"/>
          <w:sz w:val="24"/>
          <w:szCs w:val="24"/>
        </w:rPr>
        <w:t>日</w:t>
      </w:r>
      <w:r>
        <w:rPr>
          <w:rFonts w:ascii="宋体" w:hAnsi="Times New Roman"/>
          <w:sz w:val="24"/>
          <w:szCs w:val="24"/>
        </w:rPr>
        <w:t xml:space="preserve"> </w:t>
      </w:r>
      <w:r>
        <w:rPr>
          <w:rFonts w:ascii="宋体" w:hAnsi="Times New Roman"/>
          <w:sz w:val="24"/>
          <w:szCs w:val="24"/>
        </w:rPr>
        <w:tab/>
      </w:r>
      <w:r>
        <w:rPr>
          <w:rFonts w:ascii="宋体" w:hAnsi="Times New Roman"/>
          <w:sz w:val="24"/>
          <w:szCs w:val="24"/>
        </w:rPr>
        <w:tab/>
      </w:r>
      <w:r>
        <w:rPr>
          <w:rFonts w:ascii="宋体" w:hAnsi="Times New Roman"/>
          <w:sz w:val="24"/>
          <w:szCs w:val="24"/>
        </w:rPr>
        <w:tab/>
      </w:r>
      <w:r>
        <w:rPr>
          <w:rFonts w:hint="eastAsia" w:ascii="宋体" w:hAnsi="Times New Roman"/>
          <w:sz w:val="24"/>
          <w:szCs w:val="24"/>
        </w:rPr>
        <w:t>签约日期：</w:t>
      </w:r>
      <w:r>
        <w:rPr>
          <w:rFonts w:hint="eastAsia" w:ascii="宋体" w:hAnsi="Times New Roman"/>
          <w:sz w:val="24"/>
          <w:szCs w:val="24"/>
          <w:u w:val="single"/>
        </w:rPr>
        <w:t xml:space="preserve">     </w:t>
      </w:r>
      <w:r>
        <w:rPr>
          <w:rFonts w:hint="eastAsia" w:ascii="宋体" w:hAnsi="Times New Roman"/>
          <w:sz w:val="24"/>
          <w:szCs w:val="24"/>
        </w:rPr>
        <w:t>年</w:t>
      </w:r>
      <w:r>
        <w:rPr>
          <w:rFonts w:hint="eastAsia" w:ascii="宋体" w:hAnsi="Times New Roman"/>
          <w:sz w:val="24"/>
          <w:szCs w:val="24"/>
          <w:u w:val="single"/>
        </w:rPr>
        <w:t xml:space="preserve">   </w:t>
      </w:r>
      <w:r>
        <w:rPr>
          <w:rFonts w:hint="eastAsia" w:ascii="宋体" w:hAnsi="Times New Roman"/>
          <w:sz w:val="24"/>
          <w:szCs w:val="24"/>
        </w:rPr>
        <w:t>月</w:t>
      </w:r>
      <w:r>
        <w:rPr>
          <w:rFonts w:hint="eastAsia" w:ascii="宋体" w:hAnsi="Times New Roman"/>
          <w:sz w:val="24"/>
          <w:szCs w:val="24"/>
          <w:u w:val="single"/>
        </w:rPr>
        <w:t xml:space="preserve">   </w:t>
      </w:r>
      <w:r>
        <w:rPr>
          <w:rFonts w:hint="eastAsia" w:ascii="宋体" w:hAnsi="Times New Roman"/>
          <w:sz w:val="24"/>
          <w:szCs w:val="24"/>
        </w:rPr>
        <w:t>日</w:t>
      </w:r>
    </w:p>
    <w:bookmarkEnd w:id="893"/>
    <w:bookmarkEnd w:id="894"/>
    <w:bookmarkEnd w:id="895"/>
    <w:p>
      <w:pPr>
        <w:widowControl/>
        <w:tabs>
          <w:tab w:val="left" w:pos="720"/>
        </w:tabs>
        <w:spacing w:beforeLines="50" w:afterLines="50" w:line="276" w:lineRule="auto"/>
        <w:jc w:val="left"/>
        <w:rPr>
          <w:b/>
          <w:bCs/>
          <w:color w:val="auto"/>
          <w:highlight w:val="none"/>
        </w:rPr>
      </w:pPr>
      <w:r>
        <w:rPr>
          <w:rFonts w:hint="eastAsia"/>
          <w:b/>
          <w:bCs/>
          <w:color w:val="auto"/>
          <w:highlight w:val="none"/>
        </w:rPr>
        <w:t>附件</w:t>
      </w:r>
    </w:p>
    <w:p>
      <w:pPr>
        <w:rPr>
          <w:color w:val="auto"/>
          <w:highlight w:val="none"/>
        </w:rPr>
      </w:pPr>
    </w:p>
    <w:p>
      <w:pPr>
        <w:jc w:val="center"/>
        <w:rPr>
          <w:color w:val="auto"/>
          <w:highlight w:val="none"/>
        </w:rPr>
      </w:pPr>
      <w:r>
        <w:rPr>
          <w:color w:val="auto"/>
          <w:highlight w:val="none"/>
        </w:rPr>
        <w:drawing>
          <wp:inline distT="0" distB="0" distL="114300" distR="114300">
            <wp:extent cx="4907280" cy="6797040"/>
            <wp:effectExtent l="0" t="0" r="7620" b="381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27"/>
                    <a:stretch>
                      <a:fillRect/>
                    </a:stretch>
                  </pic:blipFill>
                  <pic:spPr>
                    <a:xfrm>
                      <a:off x="0" y="0"/>
                      <a:ext cx="4907280" cy="6797040"/>
                    </a:xfrm>
                    <a:prstGeom prst="rect">
                      <a:avLst/>
                    </a:prstGeom>
                    <a:noFill/>
                    <a:ln>
                      <a:noFill/>
                    </a:ln>
                  </pic:spPr>
                </pic:pic>
              </a:graphicData>
            </a:graphic>
          </wp:inline>
        </w:drawing>
      </w:r>
    </w:p>
    <w:p>
      <w:pPr>
        <w:jc w:val="center"/>
        <w:rPr>
          <w:color w:val="auto"/>
          <w:highlight w:val="none"/>
        </w:rPr>
      </w:pPr>
      <w:r>
        <w:rPr>
          <w:color w:val="auto"/>
          <w:highlight w:val="none"/>
        </w:rPr>
        <w:drawing>
          <wp:inline distT="0" distB="0" distL="114300" distR="114300">
            <wp:extent cx="4991100" cy="6675120"/>
            <wp:effectExtent l="0" t="0" r="0" b="1143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28"/>
                    <a:stretch>
                      <a:fillRect/>
                    </a:stretch>
                  </pic:blipFill>
                  <pic:spPr>
                    <a:xfrm>
                      <a:off x="0" y="0"/>
                      <a:ext cx="4991100" cy="6675120"/>
                    </a:xfrm>
                    <a:prstGeom prst="rect">
                      <a:avLst/>
                    </a:prstGeom>
                    <a:noFill/>
                    <a:ln>
                      <a:noFill/>
                    </a:ln>
                  </pic:spPr>
                </pic:pic>
              </a:graphicData>
            </a:graphic>
          </wp:inline>
        </w:drawing>
      </w:r>
    </w:p>
    <w:p>
      <w:pPr>
        <w:rPr>
          <w:color w:val="auto"/>
          <w:highlight w:val="none"/>
        </w:rPr>
      </w:pPr>
    </w:p>
    <w:p>
      <w:pPr>
        <w:rPr>
          <w:color w:val="auto"/>
          <w:highlight w:val="none"/>
        </w:rPr>
      </w:pPr>
    </w:p>
    <w:p>
      <w:pPr>
        <w:jc w:val="center"/>
        <w:rPr>
          <w:color w:val="auto"/>
          <w:highlight w:val="none"/>
        </w:rPr>
        <w:sectPr>
          <w:footerReference r:id="rId10" w:type="default"/>
          <w:pgSz w:w="11906" w:h="16838"/>
          <w:pgMar w:top="1440" w:right="1800" w:bottom="1440" w:left="1800" w:header="851" w:footer="992" w:gutter="0"/>
          <w:cols w:space="720" w:num="1"/>
          <w:docGrid w:type="lines" w:linePitch="312" w:charSpace="0"/>
        </w:sectPr>
      </w:pPr>
    </w:p>
    <w:p>
      <w:pPr>
        <w:jc w:val="center"/>
        <w:rPr>
          <w:color w:val="auto"/>
          <w:highlight w:val="none"/>
        </w:rPr>
        <w:sectPr>
          <w:pgSz w:w="16838" w:h="11906" w:orient="landscape"/>
          <w:pgMar w:top="1800" w:right="1440" w:bottom="1800" w:left="1440" w:header="851" w:footer="992" w:gutter="0"/>
          <w:cols w:space="720" w:num="1"/>
          <w:docGrid w:type="lines" w:linePitch="312" w:charSpace="0"/>
        </w:sectPr>
      </w:pPr>
      <w:r>
        <w:rPr>
          <w:color w:val="auto"/>
          <w:highlight w:val="none"/>
        </w:rPr>
        <w:drawing>
          <wp:inline distT="0" distB="0" distL="114300" distR="114300">
            <wp:extent cx="7559675" cy="4876800"/>
            <wp:effectExtent l="0" t="0" r="3175" b="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29"/>
                    <a:stretch>
                      <a:fillRect/>
                    </a:stretch>
                  </pic:blipFill>
                  <pic:spPr>
                    <a:xfrm>
                      <a:off x="0" y="0"/>
                      <a:ext cx="7559675" cy="4876800"/>
                    </a:xfrm>
                    <a:prstGeom prst="rect">
                      <a:avLst/>
                    </a:prstGeom>
                    <a:noFill/>
                    <a:ln>
                      <a:noFill/>
                    </a:ln>
                  </pic:spPr>
                </pic:pic>
              </a:graphicData>
            </a:graphic>
          </wp:inline>
        </w:drawing>
      </w:r>
    </w:p>
    <w:p>
      <w:pPr>
        <w:rPr>
          <w:color w:val="auto"/>
          <w:highlight w:val="none"/>
        </w:rPr>
      </w:pPr>
      <w:r>
        <w:rPr>
          <w:color w:val="auto"/>
          <w:highlight w:val="none"/>
        </w:rPr>
        <w:drawing>
          <wp:inline distT="0" distB="0" distL="114300" distR="114300">
            <wp:extent cx="5105400" cy="6530340"/>
            <wp:effectExtent l="0" t="0" r="0" b="381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30"/>
                    <a:stretch>
                      <a:fillRect/>
                    </a:stretch>
                  </pic:blipFill>
                  <pic:spPr>
                    <a:xfrm>
                      <a:off x="0" y="0"/>
                      <a:ext cx="5105400" cy="6530340"/>
                    </a:xfrm>
                    <a:prstGeom prst="rect">
                      <a:avLst/>
                    </a:prstGeom>
                    <a:noFill/>
                    <a:ln>
                      <a:noFill/>
                    </a:ln>
                  </pic:spPr>
                </pic:pic>
              </a:graphicData>
            </a:graphic>
          </wp:inline>
        </w:drawing>
      </w:r>
    </w:p>
    <w:p>
      <w:pPr>
        <w:tabs>
          <w:tab w:val="left" w:pos="937"/>
        </w:tabs>
        <w:adjustRightInd w:val="0"/>
        <w:snapToGrid w:val="0"/>
        <w:spacing w:line="560" w:lineRule="exact"/>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pStyle w:val="3"/>
        <w:numPr>
          <w:ilvl w:val="0"/>
          <w:numId w:val="0"/>
        </w:numPr>
        <w:spacing w:before="270" w:line="240" w:lineRule="atLeast"/>
        <w:ind w:left="-142" w:leftChars="0"/>
        <w:jc w:val="center"/>
        <w:rPr>
          <w:color w:val="auto"/>
          <w:sz w:val="27"/>
          <w:szCs w:val="27"/>
          <w:highlight w:val="none"/>
        </w:rPr>
      </w:pPr>
      <w:bookmarkStart w:id="896" w:name="_Toc18018"/>
      <w:bookmarkStart w:id="897" w:name="_Toc19030"/>
      <w:bookmarkStart w:id="898" w:name="_Toc3995"/>
      <w:bookmarkStart w:id="899" w:name="_Toc11324"/>
      <w:bookmarkStart w:id="900" w:name="_Toc76459766"/>
      <w:bookmarkStart w:id="901" w:name="_Toc19467"/>
      <w:r>
        <w:rPr>
          <w:rFonts w:hint="eastAsia"/>
          <w:b w:val="0"/>
          <w:bCs w:val="0"/>
          <w:color w:val="auto"/>
          <w:sz w:val="27"/>
          <w:szCs w:val="27"/>
          <w:highlight w:val="none"/>
          <w:shd w:val="clear" w:color="auto" w:fill="FFFFFF"/>
        </w:rPr>
        <w:t>成都市温江区财政局关于公布温江区首批支持中小企业政府采购信用融资银行名单的公告</w:t>
      </w:r>
      <w:bookmarkEnd w:id="896"/>
      <w:bookmarkEnd w:id="897"/>
      <w:bookmarkEnd w:id="898"/>
      <w:bookmarkEnd w:id="899"/>
      <w:bookmarkEnd w:id="900"/>
      <w:bookmarkEnd w:id="901"/>
    </w:p>
    <w:p>
      <w:pPr>
        <w:spacing w:before="270"/>
        <w:rPr>
          <w:color w:val="auto"/>
          <w:sz w:val="21"/>
          <w:szCs w:val="21"/>
          <w:highlight w:val="none"/>
        </w:rPr>
      </w:pPr>
      <w:r>
        <w:rPr>
          <w:rFonts w:hint="eastAsia" w:ascii="方正仿宋简体" w:eastAsia="方正仿宋简体"/>
          <w:color w:val="auto"/>
          <w:sz w:val="28"/>
          <w:szCs w:val="28"/>
          <w:highlight w:val="none"/>
          <w:shd w:val="clear" w:color="auto" w:fill="FFFFFF"/>
        </w:rPr>
        <w:t xml:space="preserve">    按照《成都市温江区支持中小企业政府采购信用融资实施方案》有关规定，我局于2019年7月11日公开发布征集温江区政府采购信用融资银行的公告，截止8月7日共收到7家银行的报名材料，现将名单公布如下：</w:t>
      </w:r>
    </w:p>
    <w:tbl>
      <w:tblPr>
        <w:tblStyle w:val="43"/>
        <w:tblW w:w="0" w:type="auto"/>
        <w:tblInd w:w="187" w:type="dxa"/>
        <w:tblLayout w:type="fixed"/>
        <w:tblCellMar>
          <w:top w:w="15" w:type="dxa"/>
          <w:left w:w="15" w:type="dxa"/>
          <w:bottom w:w="15" w:type="dxa"/>
          <w:right w:w="15" w:type="dxa"/>
        </w:tblCellMar>
      </w:tblPr>
      <w:tblGrid>
        <w:gridCol w:w="585"/>
        <w:gridCol w:w="1474"/>
        <w:gridCol w:w="1706"/>
        <w:gridCol w:w="928"/>
        <w:gridCol w:w="1822"/>
        <w:gridCol w:w="1819"/>
      </w:tblGrid>
      <w:tr>
        <w:tblPrEx>
          <w:tblCellMar>
            <w:top w:w="15" w:type="dxa"/>
            <w:left w:w="15" w:type="dxa"/>
            <w:bottom w:w="15" w:type="dxa"/>
            <w:right w:w="15" w:type="dxa"/>
          </w:tblCellMar>
        </w:tblPrEx>
        <w:trPr>
          <w:trHeight w:val="700" w:hRule="atLeast"/>
        </w:trPr>
        <w:tc>
          <w:tcPr>
            <w:tcW w:w="585" w:type="dxa"/>
            <w:tcBorders>
              <w:top w:val="single" w:color="000000" w:sz="8" w:space="0"/>
              <w:left w:val="single" w:color="000000" w:sz="8" w:space="0"/>
              <w:bottom w:val="single" w:color="000000" w:sz="8" w:space="0"/>
              <w:right w:val="single" w:color="000000"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序号</w:t>
            </w:r>
          </w:p>
        </w:tc>
        <w:tc>
          <w:tcPr>
            <w:tcW w:w="1474"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银行名称</w:t>
            </w:r>
          </w:p>
        </w:tc>
        <w:tc>
          <w:tcPr>
            <w:tcW w:w="1706"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部门名称</w:t>
            </w:r>
          </w:p>
        </w:tc>
        <w:tc>
          <w:tcPr>
            <w:tcW w:w="928"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联系人</w:t>
            </w:r>
          </w:p>
        </w:tc>
        <w:tc>
          <w:tcPr>
            <w:tcW w:w="1822"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b/>
                <w:bCs/>
                <w:color w:val="auto"/>
                <w:sz w:val="22"/>
                <w:szCs w:val="22"/>
                <w:highlight w:val="none"/>
              </w:rPr>
              <w:t>联系电话</w:t>
            </w:r>
          </w:p>
        </w:tc>
        <w:tc>
          <w:tcPr>
            <w:tcW w:w="1819" w:type="dxa"/>
            <w:tcBorders>
              <w:top w:val="single" w:color="auto" w:sz="8" w:space="0"/>
              <w:left w:val="nil"/>
              <w:bottom w:val="single" w:color="auto" w:sz="8" w:space="0"/>
              <w:right w:val="single" w:color="auto" w:sz="8" w:space="0"/>
            </w:tcBorders>
            <w:noWrap/>
            <w:tcMar>
              <w:top w:w="15" w:type="dxa"/>
              <w:left w:w="15" w:type="dxa"/>
              <w:bottom w:w="0" w:type="dxa"/>
              <w:right w:w="15" w:type="dxa"/>
            </w:tcMar>
            <w:vAlign w:val="center"/>
          </w:tcPr>
          <w:p>
            <w:pPr>
              <w:jc w:val="center"/>
              <w:textAlignment w:val="center"/>
              <w:rPr>
                <w:rFonts w:ascii="微软雅黑" w:hAnsi="微软雅黑" w:eastAsia="微软雅黑"/>
                <w:b/>
                <w:bCs/>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公司银行部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徐文博</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18628071700、028-82682256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98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2</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中国工商银行股份有限公司成都温江支行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法人营销部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席蕾</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13194885084、028-86291335</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3</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中国农业银行股份有限公司成都温江支行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向淑阳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13908185957、028-63931924</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4</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公司金融部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涂杰钧</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18200571237、028-82725091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5</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中国建设银行股份有限公司成都温江支行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普惠金融事业部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杨冰浩</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18382396093、028-82727576</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6</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交通银行股份有限公司成都温江支行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公司科</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吴晋阳</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13880416649、028-82764348</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r>
        <w:tblPrEx>
          <w:tblCellMar>
            <w:top w:w="15" w:type="dxa"/>
            <w:left w:w="15" w:type="dxa"/>
            <w:bottom w:w="15" w:type="dxa"/>
            <w:right w:w="15" w:type="dxa"/>
          </w:tblCellMar>
        </w:tblPrEx>
        <w:trPr>
          <w:trHeight w:val="700" w:hRule="atLeast"/>
        </w:trPr>
        <w:tc>
          <w:tcPr>
            <w:tcW w:w="585" w:type="dxa"/>
            <w:tcBorders>
              <w:top w:val="nil"/>
              <w:left w:val="single" w:color="auto" w:sz="8" w:space="0"/>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7</w:t>
            </w:r>
          </w:p>
        </w:tc>
        <w:tc>
          <w:tcPr>
            <w:tcW w:w="1474"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成都农村商业银行股份有限公司温江支行</w:t>
            </w:r>
          </w:p>
        </w:tc>
        <w:tc>
          <w:tcPr>
            <w:tcW w:w="1706"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公司业务部</w:t>
            </w:r>
          </w:p>
        </w:tc>
        <w:tc>
          <w:tcPr>
            <w:tcW w:w="928"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郭金芬</w:t>
            </w:r>
          </w:p>
        </w:tc>
        <w:tc>
          <w:tcPr>
            <w:tcW w:w="1822"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Calibri" w:hAnsi="Calibri"/>
                <w:color w:val="auto"/>
                <w:kern w:val="2"/>
                <w:sz w:val="21"/>
                <w:szCs w:val="21"/>
                <w:highlight w:val="none"/>
              </w:rPr>
            </w:pPr>
            <w:r>
              <w:rPr>
                <w:rFonts w:hint="eastAsia" w:ascii="微软雅黑" w:hAnsi="微软雅黑" w:eastAsia="微软雅黑"/>
                <w:color w:val="auto"/>
                <w:sz w:val="22"/>
                <w:szCs w:val="22"/>
                <w:highlight w:val="none"/>
              </w:rPr>
              <w:t>13568999424、028-82721831</w:t>
            </w:r>
          </w:p>
        </w:tc>
        <w:tc>
          <w:tcPr>
            <w:tcW w:w="1819" w:type="dxa"/>
            <w:tcBorders>
              <w:top w:val="nil"/>
              <w:left w:val="nil"/>
              <w:bottom w:val="single" w:color="auto" w:sz="8" w:space="0"/>
              <w:right w:val="single" w:color="auto" w:sz="8" w:space="0"/>
            </w:tcBorders>
            <w:noWrap w:val="0"/>
            <w:tcMar>
              <w:top w:w="15" w:type="dxa"/>
              <w:left w:w="15" w:type="dxa"/>
              <w:bottom w:w="0" w:type="dxa"/>
              <w:right w:w="15" w:type="dxa"/>
            </w:tcMar>
            <w:vAlign w:val="center"/>
          </w:tcPr>
          <w:p>
            <w:pPr>
              <w:jc w:val="center"/>
              <w:textAlignment w:val="center"/>
              <w:rPr>
                <w:rFonts w:ascii="微软雅黑" w:hAnsi="微软雅黑" w:eastAsia="微软雅黑"/>
                <w:color w:val="auto"/>
                <w:sz w:val="22"/>
                <w:szCs w:val="22"/>
                <w:highlight w:val="none"/>
              </w:rPr>
            </w:pPr>
          </w:p>
        </w:tc>
      </w:tr>
    </w:tbl>
    <w:p>
      <w:pPr>
        <w:spacing w:line="560" w:lineRule="atLeast"/>
        <w:ind w:firstLine="560"/>
        <w:rPr>
          <w:rFonts w:ascii="Calibri" w:hAnsi="Calibri"/>
          <w:color w:val="auto"/>
          <w:kern w:val="2"/>
          <w:sz w:val="21"/>
          <w:szCs w:val="21"/>
          <w:highlight w:val="none"/>
        </w:rPr>
      </w:pPr>
      <w:r>
        <w:rPr>
          <w:rFonts w:hint="eastAsia" w:ascii="方正仿宋简体" w:eastAsia="方正仿宋简体"/>
          <w:color w:val="auto"/>
          <w:sz w:val="28"/>
          <w:szCs w:val="28"/>
          <w:highlight w:val="none"/>
          <w:shd w:val="clear" w:color="auto" w:fill="FFFFFF"/>
        </w:rPr>
        <w:t>即日起，参与温江区政府采购项目的中标（成交）供应商在采购结果公告发布或领取中标（成交）通知书后，若有贷款融资需求，即可联系上述银行咨询贷款融资事宜。</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注：成都市财政局已于2019年6月28日公布成都市首批在线开展政府采购信用融资业务银行名单（详见附件），参与温江区政府采购项目的中标（成交）供应商也可联系市级名单内融资机构咨询贷款融资事宜。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w:t>
      </w:r>
    </w:p>
    <w:p>
      <w:pPr>
        <w:spacing w:line="560" w:lineRule="atLeast"/>
        <w:ind w:firstLine="640"/>
        <w:rPr>
          <w:color w:val="auto"/>
          <w:highlight w:val="none"/>
        </w:rPr>
      </w:pPr>
      <w:r>
        <w:rPr>
          <w:rFonts w:hint="eastAsia" w:ascii="方正仿宋简体" w:eastAsia="方正仿宋简体"/>
          <w:color w:val="auto"/>
          <w:sz w:val="28"/>
          <w:szCs w:val="28"/>
          <w:highlight w:val="none"/>
          <w:shd w:val="clear" w:color="auto" w:fill="FFFFFF"/>
        </w:rPr>
        <w:t xml:space="preserve">                                    成都市温江区财政局</w:t>
      </w:r>
    </w:p>
    <w:p>
      <w:pPr>
        <w:spacing w:line="560" w:lineRule="atLeast"/>
        <w:rPr>
          <w:color w:val="auto"/>
          <w:highlight w:val="none"/>
        </w:rPr>
      </w:pPr>
      <w:r>
        <w:rPr>
          <w:rFonts w:hint="eastAsia" w:ascii="方正仿宋简体" w:eastAsia="方正仿宋简体"/>
          <w:color w:val="auto"/>
          <w:sz w:val="28"/>
          <w:szCs w:val="28"/>
          <w:highlight w:val="none"/>
          <w:shd w:val="clear" w:color="auto" w:fill="FFFFFF"/>
        </w:rPr>
        <w:t xml:space="preserve">                                             2019年8月8日</w:t>
      </w:r>
    </w:p>
    <w:p>
      <w:pPr>
        <w:rPr>
          <w:color w:val="auto"/>
          <w:highlight w:val="none"/>
        </w:rPr>
      </w:pPr>
      <w:r>
        <w:rPr>
          <w:color w:val="auto"/>
          <w:highlight w:val="none"/>
        </w:rPr>
        <w:t xml:space="preserve"> </w:t>
      </w:r>
    </w:p>
    <w:p>
      <w:pPr>
        <w:rPr>
          <w:color w:val="auto"/>
          <w:highlight w:val="none"/>
        </w:rPr>
      </w:pPr>
    </w:p>
    <w:p>
      <w:pPr>
        <w:pStyle w:val="2"/>
        <w:rPr>
          <w:rFonts w:hint="eastAsia"/>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p>
      <w:pPr>
        <w:rPr>
          <w:color w:val="auto"/>
          <w:highlight w:val="none"/>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Arial Narrow">
    <w:panose1 w:val="020B0606020202030204"/>
    <w:charset w:val="00"/>
    <w:family w:val="swiss"/>
    <w:pitch w:val="default"/>
    <w:sig w:usb0="00000287" w:usb1="00000800" w:usb2="00000000" w:usb3="00000000" w:csb0="2000009F" w:csb1="DFD7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Times New (W1)">
    <w:altName w:val="Segoe Print"/>
    <w:panose1 w:val="00000000000000000000"/>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Arial (W1)">
    <w:altName w:val="Arial"/>
    <w:panose1 w:val="00000000000000000000"/>
    <w:charset w:val="00"/>
    <w:family w:val="auto"/>
    <w:pitch w:val="default"/>
    <w:sig w:usb0="00000000" w:usb1="00000000" w:usb2="00000008" w:usb3="00000000" w:csb0="000001FF"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等线 Light">
    <w:panose1 w:val="02010600030101010101"/>
    <w:charset w:val="86"/>
    <w:family w:val="auto"/>
    <w:pitch w:val="default"/>
    <w:sig w:usb0="A00002BF" w:usb1="38CF7CFA" w:usb2="00000016" w:usb3="00000000" w:csb0="0004000F" w:csb1="00000000"/>
  </w:font>
  <w:font w:name="方正仿宋">
    <w:altName w:val="仿宋"/>
    <w:panose1 w:val="00000000000000000000"/>
    <w:charset w:val="86"/>
    <w:family w:val="script"/>
    <w:pitch w:val="default"/>
    <w:sig w:usb0="00000000" w:usb1="00000000" w:usb2="00000010" w:usb3="00000000" w:csb0="00040000" w:csb1="00000000"/>
  </w:font>
  <w:font w:name="Helvetica">
    <w:altName w:val="Arial"/>
    <w:panose1 w:val="020B0604020202020204"/>
    <w:charset w:val="00"/>
    <w:family w:val="swiss"/>
    <w:pitch w:val="default"/>
    <w:sig w:usb0="00000000" w:usb1="00000000" w:usb2="00000009" w:usb3="00000000" w:csb0="000001FF" w:csb1="00000000"/>
  </w:font>
  <w:font w:name="方正黑体简体">
    <w:altName w:val="Arial Unicode MS"/>
    <w:panose1 w:val="03000509000000000000"/>
    <w:charset w:val="86"/>
    <w:family w:val="script"/>
    <w:pitch w:val="default"/>
    <w:sig w:usb0="00000000" w:usb1="00000000" w:usb2="00000010" w:usb3="00000000" w:csb0="00040000" w:csb1="00000000"/>
  </w:font>
  <w:font w:name="方正小标宋简体">
    <w:panose1 w:val="03000509000000000000"/>
    <w:charset w:val="86"/>
    <w:family w:val="script"/>
    <w:pitch w:val="default"/>
    <w:sig w:usb0="00000001" w:usb1="080E0000" w:usb2="00000000" w:usb3="00000000" w:csb0="00040000" w:csb1="00000000"/>
  </w:font>
  <w:font w:name="方正仿宋简体">
    <w:altName w:val="Arial Unicode MS"/>
    <w:panose1 w:val="03000509000000000000"/>
    <w:charset w:val="86"/>
    <w:family w:val="script"/>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856"/>
        <w:tab w:val="clear" w:pos="4153"/>
      </w:tabs>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tabs>
        <w:tab w:val="left" w:pos="4856"/>
        <w:tab w:val="clear" w:pos="4153"/>
      </w:tabs>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pPr>
                            <w:pStyle w:val="27"/>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wps:txbx>
                    <wps:bodyPr wrap="none" lIns="0" tIns="0" rIns="0" bIns="0" upright="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NJWO7QAAAABQEAAA8AAAAAAAAAAQAgAAAAIgAAAGRycy9k&#10;b3ducmV2LnhtbFBLAQIUABQAAAAIAIdO4kD0ChPM0QEAAKQDAAAOAAAAAAAAAAEAIAAAAB8BAABk&#10;cnMvZTJvRG9jLnhtbFBLBQYAAAAABgAGAFkBAABiBQAAAAA=&#10;">
              <v:fill on="f" focussize="0,0"/>
              <v:stroke on="f" weight="0.5pt"/>
              <v:imagedata o:title=""/>
              <o:lock v:ext="edit" aspectratio="f"/>
              <v:textbox inset="0mm,0mm,0mm,0mm" style="mso-fit-shape-to-text:t;">
                <w:txbxContent>
                  <w:p>
                    <w:pPr>
                      <w:pStyle w:val="27"/>
                      <w:ind w:firstLine="360"/>
                    </w:pPr>
                    <w:r>
                      <w:rPr>
                        <w:rFonts w:hint="eastAsia"/>
                      </w:rPr>
                      <w:fldChar w:fldCharType="begin"/>
                    </w:r>
                    <w:r>
                      <w:rPr>
                        <w:rFonts w:hint="eastAsia"/>
                      </w:rPr>
                      <w:instrText xml:space="preserve"> PAGE  \* MERGEFORMAT </w:instrText>
                    </w:r>
                    <w:r>
                      <w:rPr>
                        <w:rFonts w:hint="eastAsia"/>
                      </w:rPr>
                      <w:fldChar w:fldCharType="separate"/>
                    </w:r>
                    <w:r>
                      <w:t>37</w:t>
                    </w:r>
                    <w:r>
                      <w:rPr>
                        <w:rFonts w:hint="eastAsia"/>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ind w:firstLine="640"/>
      <w:jc w:val="center"/>
    </w:pPr>
    <w:r>
      <w:fldChar w:fldCharType="begin"/>
    </w:r>
    <w:r>
      <w:instrText xml:space="preserve">PAGE   \* MERGEFORMAT</w:instrText>
    </w:r>
    <w:r>
      <w:fldChar w:fldCharType="separate"/>
    </w:r>
    <w:r>
      <w:rPr>
        <w:lang w:val="zh-CN"/>
      </w:rPr>
      <w:t>79</w:t>
    </w:r>
    <w:r>
      <w:rPr>
        <w:lang w:val="zh-CN"/>
      </w:rPr>
      <w:fldChar w:fldCharType="end"/>
    </w:r>
  </w:p>
  <w:p>
    <w:pPr>
      <w:pStyle w:val="27"/>
      <w:ind w:firstLine="64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B38E5F7"/>
    <w:multiLevelType w:val="singleLevel"/>
    <w:tmpl w:val="DB38E5F7"/>
    <w:lvl w:ilvl="0" w:tentative="0">
      <w:start w:val="12"/>
      <w:numFmt w:val="chineseCounting"/>
      <w:suff w:val="nothing"/>
      <w:lvlText w:val="%1、"/>
      <w:lvlJc w:val="left"/>
      <w:rPr>
        <w:rFonts w:hint="eastAsia"/>
      </w:rPr>
    </w:lvl>
  </w:abstractNum>
  <w:abstractNum w:abstractNumId="1">
    <w:nsid w:val="00000001"/>
    <w:multiLevelType w:val="singleLevel"/>
    <w:tmpl w:val="00000001"/>
    <w:lvl w:ilvl="0" w:tentative="0">
      <w:start w:val="10"/>
      <w:numFmt w:val="decimal"/>
      <w:suff w:val="nothing"/>
      <w:lvlText w:val="%1、"/>
      <w:lvlJc w:val="left"/>
      <w:pPr>
        <w:ind w:left="-60"/>
      </w:pPr>
    </w:lvl>
  </w:abstractNum>
  <w:abstractNum w:abstractNumId="2">
    <w:nsid w:val="00000002"/>
    <w:multiLevelType w:val="multilevel"/>
    <w:tmpl w:val="00000002"/>
    <w:lvl w:ilvl="0" w:tentative="0">
      <w:start w:val="1"/>
      <w:numFmt w:val="decimal"/>
      <w:suff w:val="space"/>
      <w:lvlText w:val="图%1."/>
      <w:lvlJc w:val="left"/>
      <w:pPr>
        <w:ind w:left="0" w:firstLine="0"/>
      </w:pPr>
      <w:rPr>
        <w:rFonts w:hint="eastAsia" w:ascii="Times New Roman" w:hAnsi="Times New Roman"/>
        <w:b w:val="0"/>
        <w:bCs w:val="0"/>
        <w:i w:val="0"/>
        <w:iCs w:val="0"/>
        <w:caps w:val="0"/>
        <w:smallCaps w:val="0"/>
        <w:strike w:val="0"/>
        <w:dstrike w:val="0"/>
        <w:vanish w:val="0"/>
        <w:color w:val="000000"/>
        <w:spacing w:val="0"/>
        <w:position w:val="0"/>
        <w:sz w:val="21"/>
        <w:szCs w:val="21"/>
        <w:u w:val="none"/>
        <w:vertAlign w:val="baseline"/>
      </w:rPr>
    </w:lvl>
    <w:lvl w:ilvl="1" w:tentative="0">
      <w:start w:val="1"/>
      <w:numFmt w:val="lowerLetter"/>
      <w:lvlText w:val="%2)"/>
      <w:lvlJc w:val="left"/>
      <w:pPr>
        <w:ind w:left="2683" w:hanging="420"/>
      </w:pPr>
    </w:lvl>
    <w:lvl w:ilvl="2" w:tentative="0">
      <w:start w:val="1"/>
      <w:numFmt w:val="lowerRoman"/>
      <w:lvlText w:val="%3."/>
      <w:lvlJc w:val="right"/>
      <w:pPr>
        <w:ind w:left="3103" w:hanging="420"/>
      </w:pPr>
    </w:lvl>
    <w:lvl w:ilvl="3" w:tentative="0">
      <w:start w:val="2"/>
      <w:numFmt w:val="decimal"/>
      <w:lvlText w:val="%4）"/>
      <w:lvlJc w:val="left"/>
      <w:pPr>
        <w:ind w:left="0" w:firstLine="567"/>
      </w:pPr>
      <w:rPr>
        <w:rFonts w:hint="default"/>
      </w:rPr>
    </w:lvl>
    <w:lvl w:ilvl="4" w:tentative="0">
      <w:start w:val="1"/>
      <w:numFmt w:val="lowerLetter"/>
      <w:lvlText w:val="%5)"/>
      <w:lvlJc w:val="left"/>
      <w:pPr>
        <w:ind w:left="3943" w:hanging="420"/>
      </w:pPr>
    </w:lvl>
    <w:lvl w:ilvl="5" w:tentative="0">
      <w:start w:val="2"/>
      <w:numFmt w:val="decimal"/>
      <w:lvlText w:val="%6）"/>
      <w:lvlJc w:val="left"/>
      <w:pPr>
        <w:ind w:left="4303" w:hanging="360"/>
      </w:pPr>
      <w:rPr>
        <w:rFonts w:hint="default"/>
      </w:rPr>
    </w:lvl>
    <w:lvl w:ilvl="6" w:tentative="0">
      <w:start w:val="1"/>
      <w:numFmt w:val="decimal"/>
      <w:lvlText w:val="%7."/>
      <w:lvlJc w:val="left"/>
      <w:pPr>
        <w:ind w:left="4783" w:hanging="420"/>
      </w:pPr>
    </w:lvl>
    <w:lvl w:ilvl="7" w:tentative="0">
      <w:start w:val="1"/>
      <w:numFmt w:val="lowerLetter"/>
      <w:lvlText w:val="%8)"/>
      <w:lvlJc w:val="left"/>
      <w:pPr>
        <w:ind w:left="5203" w:hanging="420"/>
      </w:pPr>
    </w:lvl>
    <w:lvl w:ilvl="8" w:tentative="0">
      <w:start w:val="1"/>
      <w:numFmt w:val="lowerRoman"/>
      <w:lvlText w:val="%9."/>
      <w:lvlJc w:val="right"/>
      <w:pPr>
        <w:ind w:left="5623" w:hanging="420"/>
      </w:pPr>
    </w:lvl>
  </w:abstractNum>
  <w:abstractNum w:abstractNumId="3">
    <w:nsid w:val="00000003"/>
    <w:multiLevelType w:val="singleLevel"/>
    <w:tmpl w:val="00000003"/>
    <w:lvl w:ilvl="0" w:tentative="0">
      <w:start w:val="3"/>
      <w:numFmt w:val="decimal"/>
      <w:lvlText w:val="%1."/>
      <w:lvlJc w:val="left"/>
      <w:pPr>
        <w:tabs>
          <w:tab w:val="left" w:pos="312"/>
        </w:tabs>
      </w:pPr>
    </w:lvl>
  </w:abstractNum>
  <w:abstractNum w:abstractNumId="4">
    <w:nsid w:val="00000004"/>
    <w:multiLevelType w:val="singleLevel"/>
    <w:tmpl w:val="00000004"/>
    <w:lvl w:ilvl="0" w:tentative="0">
      <w:start w:val="1"/>
      <w:numFmt w:val="decimal"/>
      <w:lvlText w:val="(%1)"/>
      <w:lvlJc w:val="left"/>
      <w:pPr>
        <w:ind w:left="420" w:hanging="425"/>
      </w:pPr>
      <w:rPr>
        <w:rFonts w:hint="default"/>
      </w:rPr>
    </w:lvl>
  </w:abstractNum>
  <w:abstractNum w:abstractNumId="5">
    <w:nsid w:val="00000005"/>
    <w:multiLevelType w:val="singleLevel"/>
    <w:tmpl w:val="00000005"/>
    <w:lvl w:ilvl="0" w:tentative="0">
      <w:start w:val="1"/>
      <w:numFmt w:val="decimal"/>
      <w:suff w:val="nothing"/>
      <w:lvlText w:val="%1、"/>
      <w:lvlJc w:val="left"/>
    </w:lvl>
  </w:abstractNum>
  <w:abstractNum w:abstractNumId="6">
    <w:nsid w:val="00000006"/>
    <w:multiLevelType w:val="singleLevel"/>
    <w:tmpl w:val="00000006"/>
    <w:lvl w:ilvl="0" w:tentative="0">
      <w:start w:val="1"/>
      <w:numFmt w:val="chineseCounting"/>
      <w:suff w:val="nothing"/>
      <w:lvlText w:val="%1、"/>
      <w:lvlJc w:val="left"/>
      <w:rPr>
        <w:rFonts w:hint="eastAsia"/>
      </w:rPr>
    </w:lvl>
  </w:abstractNum>
  <w:abstractNum w:abstractNumId="7">
    <w:nsid w:val="00000007"/>
    <w:multiLevelType w:val="singleLevel"/>
    <w:tmpl w:val="00000007"/>
    <w:lvl w:ilvl="0" w:tentative="0">
      <w:start w:val="8"/>
      <w:numFmt w:val="chineseCounting"/>
      <w:suff w:val="space"/>
      <w:lvlText w:val="第%1章"/>
      <w:lvlJc w:val="left"/>
      <w:rPr>
        <w:rFonts w:hint="eastAsia"/>
      </w:rPr>
    </w:lvl>
  </w:abstractNum>
  <w:abstractNum w:abstractNumId="8">
    <w:nsid w:val="00000008"/>
    <w:multiLevelType w:val="singleLevel"/>
    <w:tmpl w:val="00000008"/>
    <w:lvl w:ilvl="0" w:tentative="0">
      <w:start w:val="1"/>
      <w:numFmt w:val="decimal"/>
      <w:suff w:val="space"/>
      <w:lvlText w:val="%1."/>
      <w:lvlJc w:val="left"/>
    </w:lvl>
  </w:abstractNum>
  <w:abstractNum w:abstractNumId="9">
    <w:nsid w:val="00000009"/>
    <w:multiLevelType w:val="multilevel"/>
    <w:tmpl w:val="00000009"/>
    <w:lvl w:ilvl="0" w:tentative="0">
      <w:start w:val="1"/>
      <w:numFmt w:val="chineseCountingThousand"/>
      <w:lvlText w:val="%1、"/>
      <w:lvlJc w:val="left"/>
      <w:pPr>
        <w:ind w:left="1271" w:hanging="420"/>
      </w:pPr>
    </w:lvl>
    <w:lvl w:ilvl="1" w:tentative="0">
      <w:start w:val="1"/>
      <w:numFmt w:val="japaneseCounting"/>
      <w:lvlText w:val="（%2）"/>
      <w:lvlJc w:val="left"/>
      <w:pPr>
        <w:ind w:left="1830" w:hanging="885"/>
      </w:pPr>
      <w:rPr>
        <w:lang w:val="en-US"/>
      </w:rPr>
    </w:lvl>
    <w:lvl w:ilvl="2" w:tentative="0">
      <w:start w:val="1"/>
      <w:numFmt w:val="lowerRoman"/>
      <w:lvlText w:val="%3."/>
      <w:lvlJc w:val="right"/>
      <w:pPr>
        <w:ind w:left="1785" w:hanging="420"/>
      </w:pPr>
    </w:lvl>
    <w:lvl w:ilvl="3" w:tentative="0">
      <w:start w:val="1"/>
      <w:numFmt w:val="decimal"/>
      <w:lvlText w:val="%4."/>
      <w:lvlJc w:val="left"/>
      <w:pPr>
        <w:ind w:left="2205" w:hanging="420"/>
      </w:pPr>
    </w:lvl>
    <w:lvl w:ilvl="4" w:tentative="0">
      <w:start w:val="1"/>
      <w:numFmt w:val="lowerLetter"/>
      <w:lvlText w:val="%5)"/>
      <w:lvlJc w:val="left"/>
      <w:pPr>
        <w:ind w:left="2625" w:hanging="420"/>
      </w:pPr>
    </w:lvl>
    <w:lvl w:ilvl="5" w:tentative="0">
      <w:start w:val="1"/>
      <w:numFmt w:val="lowerRoman"/>
      <w:lvlText w:val="%6."/>
      <w:lvlJc w:val="right"/>
      <w:pPr>
        <w:ind w:left="3045" w:hanging="420"/>
      </w:pPr>
    </w:lvl>
    <w:lvl w:ilvl="6" w:tentative="0">
      <w:start w:val="1"/>
      <w:numFmt w:val="decimal"/>
      <w:lvlText w:val="%7."/>
      <w:lvlJc w:val="left"/>
      <w:pPr>
        <w:ind w:left="3465" w:hanging="420"/>
      </w:pPr>
    </w:lvl>
    <w:lvl w:ilvl="7" w:tentative="0">
      <w:start w:val="1"/>
      <w:numFmt w:val="lowerLetter"/>
      <w:lvlText w:val="%8)"/>
      <w:lvlJc w:val="left"/>
      <w:pPr>
        <w:ind w:left="3885" w:hanging="420"/>
      </w:pPr>
    </w:lvl>
    <w:lvl w:ilvl="8" w:tentative="0">
      <w:start w:val="1"/>
      <w:numFmt w:val="lowerRoman"/>
      <w:lvlText w:val="%9."/>
      <w:lvlJc w:val="right"/>
      <w:pPr>
        <w:ind w:left="4305" w:hanging="420"/>
      </w:pPr>
    </w:lvl>
  </w:abstractNum>
  <w:abstractNum w:abstractNumId="10">
    <w:nsid w:val="0000000B"/>
    <w:multiLevelType w:val="singleLevel"/>
    <w:tmpl w:val="0000000B"/>
    <w:lvl w:ilvl="0" w:tentative="0">
      <w:start w:val="1"/>
      <w:numFmt w:val="decimal"/>
      <w:suff w:val="nothing"/>
      <w:lvlText w:val="%1、"/>
      <w:lvlJc w:val="left"/>
    </w:lvl>
  </w:abstractNum>
  <w:abstractNum w:abstractNumId="11">
    <w:nsid w:val="00000012"/>
    <w:multiLevelType w:val="multilevel"/>
    <w:tmpl w:val="00000012"/>
    <w:lvl w:ilvl="0" w:tentative="0">
      <w:start w:val="1"/>
      <w:numFmt w:val="chineseCountingThousand"/>
      <w:lvlText w:val="%1、"/>
      <w:lvlJc w:val="left"/>
      <w:pPr>
        <w:ind w:left="980"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2">
    <w:nsid w:val="00000016"/>
    <w:multiLevelType w:val="multilevel"/>
    <w:tmpl w:val="00000016"/>
    <w:lvl w:ilvl="0" w:tentative="0">
      <w:start w:val="1"/>
      <w:numFmt w:val="decimal"/>
      <w:lvlText w:val="%1."/>
      <w:lvlJc w:val="left"/>
      <w:pPr>
        <w:tabs>
          <w:tab w:val="left" w:pos="704"/>
        </w:tabs>
        <w:ind w:left="704" w:hanging="420"/>
      </w:pPr>
    </w:lvl>
    <w:lvl w:ilvl="1" w:tentative="0">
      <w:start w:val="1"/>
      <w:numFmt w:val="lowerLetter"/>
      <w:pStyle w:val="91"/>
      <w:lvlText w:val="%2)"/>
      <w:lvlJc w:val="left"/>
      <w:pPr>
        <w:tabs>
          <w:tab w:val="left" w:pos="1124"/>
        </w:tabs>
        <w:ind w:left="1124" w:hanging="420"/>
      </w:pPr>
    </w:lvl>
    <w:lvl w:ilvl="2" w:tentative="0">
      <w:start w:val="1"/>
      <w:numFmt w:val="lowerRoman"/>
      <w:lvlText w:val="%3."/>
      <w:lvlJc w:val="right"/>
      <w:pPr>
        <w:tabs>
          <w:tab w:val="left" w:pos="1544"/>
        </w:tabs>
        <w:ind w:left="1544" w:hanging="420"/>
      </w:pPr>
    </w:lvl>
    <w:lvl w:ilvl="3" w:tentative="0">
      <w:start w:val="1"/>
      <w:numFmt w:val="decimal"/>
      <w:lvlText w:val="%4."/>
      <w:lvlJc w:val="left"/>
      <w:pPr>
        <w:tabs>
          <w:tab w:val="left" w:pos="1964"/>
        </w:tabs>
        <w:ind w:left="1964" w:hanging="420"/>
      </w:pPr>
    </w:lvl>
    <w:lvl w:ilvl="4" w:tentative="0">
      <w:start w:val="1"/>
      <w:numFmt w:val="lowerLetter"/>
      <w:lvlText w:val="%5)"/>
      <w:lvlJc w:val="left"/>
      <w:pPr>
        <w:tabs>
          <w:tab w:val="left" w:pos="2384"/>
        </w:tabs>
        <w:ind w:left="2384" w:hanging="420"/>
      </w:pPr>
    </w:lvl>
    <w:lvl w:ilvl="5" w:tentative="0">
      <w:start w:val="1"/>
      <w:numFmt w:val="lowerRoman"/>
      <w:lvlText w:val="%6."/>
      <w:lvlJc w:val="right"/>
      <w:pPr>
        <w:tabs>
          <w:tab w:val="left" w:pos="2804"/>
        </w:tabs>
        <w:ind w:left="2804" w:hanging="420"/>
      </w:pPr>
    </w:lvl>
    <w:lvl w:ilvl="6" w:tentative="0">
      <w:start w:val="1"/>
      <w:numFmt w:val="decimal"/>
      <w:lvlText w:val="%7."/>
      <w:lvlJc w:val="left"/>
      <w:pPr>
        <w:tabs>
          <w:tab w:val="left" w:pos="3224"/>
        </w:tabs>
        <w:ind w:left="3224" w:hanging="420"/>
      </w:pPr>
    </w:lvl>
    <w:lvl w:ilvl="7" w:tentative="0">
      <w:start w:val="1"/>
      <w:numFmt w:val="lowerLetter"/>
      <w:lvlText w:val="%8)"/>
      <w:lvlJc w:val="left"/>
      <w:pPr>
        <w:tabs>
          <w:tab w:val="left" w:pos="3644"/>
        </w:tabs>
        <w:ind w:left="3644" w:hanging="420"/>
      </w:pPr>
    </w:lvl>
    <w:lvl w:ilvl="8" w:tentative="0">
      <w:start w:val="1"/>
      <w:numFmt w:val="lowerRoman"/>
      <w:lvlText w:val="%9."/>
      <w:lvlJc w:val="right"/>
      <w:pPr>
        <w:tabs>
          <w:tab w:val="left" w:pos="4064"/>
        </w:tabs>
        <w:ind w:left="4064" w:hanging="420"/>
      </w:pPr>
    </w:lvl>
  </w:abstractNum>
  <w:abstractNum w:abstractNumId="13">
    <w:nsid w:val="00000018"/>
    <w:multiLevelType w:val="multilevel"/>
    <w:tmpl w:val="00000018"/>
    <w:lvl w:ilvl="0" w:tentative="0">
      <w:start w:val="1"/>
      <w:numFmt w:val="chineseCountingThousand"/>
      <w:lvlText w:val="%1、"/>
      <w:lvlJc w:val="left"/>
      <w:pPr>
        <w:ind w:left="966" w:hanging="420"/>
      </w:pPr>
    </w:lvl>
    <w:lvl w:ilvl="1" w:tentative="0">
      <w:start w:val="1"/>
      <w:numFmt w:val="lowerLetter"/>
      <w:lvlText w:val="%2)"/>
      <w:lvlJc w:val="left"/>
      <w:pPr>
        <w:ind w:left="1833" w:hanging="420"/>
      </w:pPr>
    </w:lvl>
    <w:lvl w:ilvl="2" w:tentative="0">
      <w:start w:val="1"/>
      <w:numFmt w:val="lowerRoman"/>
      <w:lvlText w:val="%3."/>
      <w:lvlJc w:val="right"/>
      <w:pPr>
        <w:ind w:left="2253" w:hanging="420"/>
      </w:pPr>
    </w:lvl>
    <w:lvl w:ilvl="3" w:tentative="0">
      <w:start w:val="1"/>
      <w:numFmt w:val="decimal"/>
      <w:lvlText w:val="%4."/>
      <w:lvlJc w:val="left"/>
      <w:pPr>
        <w:ind w:left="2673" w:hanging="420"/>
      </w:pPr>
    </w:lvl>
    <w:lvl w:ilvl="4" w:tentative="0">
      <w:start w:val="1"/>
      <w:numFmt w:val="lowerLetter"/>
      <w:lvlText w:val="%5)"/>
      <w:lvlJc w:val="left"/>
      <w:pPr>
        <w:ind w:left="3093" w:hanging="420"/>
      </w:pPr>
    </w:lvl>
    <w:lvl w:ilvl="5" w:tentative="0">
      <w:start w:val="1"/>
      <w:numFmt w:val="lowerRoman"/>
      <w:lvlText w:val="%6."/>
      <w:lvlJc w:val="right"/>
      <w:pPr>
        <w:ind w:left="3513" w:hanging="420"/>
      </w:pPr>
    </w:lvl>
    <w:lvl w:ilvl="6" w:tentative="0">
      <w:start w:val="1"/>
      <w:numFmt w:val="decimal"/>
      <w:lvlText w:val="%7."/>
      <w:lvlJc w:val="left"/>
      <w:pPr>
        <w:ind w:left="3933" w:hanging="420"/>
      </w:pPr>
    </w:lvl>
    <w:lvl w:ilvl="7" w:tentative="0">
      <w:start w:val="1"/>
      <w:numFmt w:val="lowerLetter"/>
      <w:lvlText w:val="%8)"/>
      <w:lvlJc w:val="left"/>
      <w:pPr>
        <w:ind w:left="4353" w:hanging="420"/>
      </w:pPr>
    </w:lvl>
    <w:lvl w:ilvl="8" w:tentative="0">
      <w:start w:val="1"/>
      <w:numFmt w:val="lowerRoman"/>
      <w:lvlText w:val="%9."/>
      <w:lvlJc w:val="right"/>
      <w:pPr>
        <w:ind w:left="4773" w:hanging="420"/>
      </w:pPr>
    </w:lvl>
  </w:abstractNum>
  <w:abstractNum w:abstractNumId="14">
    <w:nsid w:val="0000001F"/>
    <w:multiLevelType w:val="multilevel"/>
    <w:tmpl w:val="0000001F"/>
    <w:lvl w:ilvl="0" w:tentative="0">
      <w:start w:val="1"/>
      <w:numFmt w:val="chineseCountingThousand"/>
      <w:lvlText w:val="%1、"/>
      <w:lvlJc w:val="left"/>
      <w:pPr>
        <w:ind w:left="980" w:hanging="420"/>
      </w:pPr>
    </w:lvl>
    <w:lvl w:ilvl="1" w:tentative="0">
      <w:start w:val="1"/>
      <w:numFmt w:val="decimal"/>
      <w:lvlText w:val="（%2）"/>
      <w:lvlJc w:val="left"/>
      <w:pPr>
        <w:ind w:left="1700" w:hanging="7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5">
    <w:nsid w:val="00000021"/>
    <w:multiLevelType w:val="multilevel"/>
    <w:tmpl w:val="00000021"/>
    <w:lvl w:ilvl="0" w:tentative="0">
      <w:start w:val="1"/>
      <w:numFmt w:val="chineseCountingThousand"/>
      <w:lvlText w:val="(%1)"/>
      <w:lvlJc w:val="left"/>
      <w:pPr>
        <w:ind w:left="980" w:hanging="420"/>
      </w:pPr>
    </w:lvl>
    <w:lvl w:ilvl="1" w:tentative="0">
      <w:start w:val="1"/>
      <w:numFmt w:val="chineseCountingThousand"/>
      <w:lvlText w:val="(%2)"/>
      <w:lvlJc w:val="left"/>
      <w:pPr>
        <w:ind w:left="198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00000022"/>
    <w:multiLevelType w:val="multilevel"/>
    <w:tmpl w:val="00000022"/>
    <w:lvl w:ilvl="0" w:tentative="0">
      <w:start w:val="1"/>
      <w:numFmt w:val="decimal"/>
      <w:lvlText w:val="第%1章"/>
      <w:lvlJc w:val="left"/>
      <w:pPr>
        <w:tabs>
          <w:tab w:val="left" w:pos="2630"/>
        </w:tabs>
        <w:ind w:left="2630" w:hanging="425"/>
      </w:pPr>
      <w:rPr>
        <w:rFonts w:hint="eastAsia" w:ascii="宋体" w:hAnsi="宋体" w:eastAsia="宋体"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1" w:tentative="0">
      <w:start w:val="1"/>
      <w:numFmt w:val="decimal"/>
      <w:suff w:val="space"/>
      <w:lvlText w:val="%1.%2."/>
      <w:lvlJc w:val="left"/>
      <w:pPr>
        <w:ind w:left="4538" w:hanging="567"/>
      </w:pPr>
      <w:rPr>
        <w:rFonts w:hint="default" w:ascii="Times New Roman" w:hAnsi="Times New Roman" w:eastAsia="宋体" w:cs="Times New Roman"/>
        <w:b/>
        <w:i w:val="0"/>
        <w:sz w:val="28"/>
        <w:szCs w:val="28"/>
      </w:rPr>
    </w:lvl>
    <w:lvl w:ilvl="2" w:tentative="0">
      <w:start w:val="1"/>
      <w:numFmt w:val="decimal"/>
      <w:lvlText w:val="%1.%2.%3."/>
      <w:lvlJc w:val="left"/>
      <w:pPr>
        <w:tabs>
          <w:tab w:val="left" w:pos="709"/>
        </w:tabs>
        <w:ind w:left="709" w:hanging="709"/>
      </w:pPr>
      <w:rPr>
        <w:rFonts w:hint="default" w:ascii="Times New Roman" w:hAnsi="Times New Roman" w:cs="Times New Roman"/>
      </w:rPr>
    </w:lvl>
    <w:lvl w:ilvl="3" w:tentative="0">
      <w:start w:val="1"/>
      <w:numFmt w:val="decimal"/>
      <w:lvlText w:val="%1.%2.%3.%4."/>
      <w:lvlJc w:val="left"/>
      <w:pPr>
        <w:tabs>
          <w:tab w:val="left" w:pos="1779"/>
        </w:tabs>
        <w:ind w:left="1779" w:hanging="851"/>
      </w:pPr>
      <w:rPr>
        <w:rFonts w:hint="default" w:ascii="Times New Roman" w:hAnsi="Times New Roman"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4" w:tentative="0">
      <w:start w:val="1"/>
      <w:numFmt w:val="decimal"/>
      <w:pStyle w:val="7"/>
      <w:lvlText w:val="%1.%2.%3.%4.%5."/>
      <w:lvlJc w:val="left"/>
      <w:pPr>
        <w:tabs>
          <w:tab w:val="left" w:pos="1560"/>
        </w:tabs>
        <w:ind w:left="1560" w:hanging="992"/>
      </w:pPr>
      <w:rPr>
        <w:rFonts w:hint="default" w:ascii="Times New Roman" w:hAnsi="Times New Roman" w:eastAsia="宋体" w:cs="Times New Roman"/>
        <w:b/>
        <w:i w:val="0"/>
        <w:sz w:val="28"/>
        <w:szCs w:val="28"/>
      </w:rPr>
    </w:lvl>
    <w:lvl w:ilvl="5" w:tentative="0">
      <w:start w:val="1"/>
      <w:numFmt w:val="decimal"/>
      <w:pStyle w:val="8"/>
      <w:lvlText w:val="%1.%2.%3.%4.%5.%6."/>
      <w:lvlJc w:val="left"/>
      <w:pPr>
        <w:tabs>
          <w:tab w:val="left" w:pos="1702"/>
        </w:tabs>
        <w:ind w:left="1702" w:hanging="1134"/>
      </w:pPr>
      <w:rPr>
        <w:rFonts w:cs="Times New Roman"/>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rPr>
    </w:lvl>
    <w:lvl w:ilvl="6" w:tentative="0">
      <w:start w:val="1"/>
      <w:numFmt w:val="decimal"/>
      <w:lvlText w:val="%1.%2.%3.%4.%5.%6.%7."/>
      <w:lvlJc w:val="left"/>
      <w:pPr>
        <w:tabs>
          <w:tab w:val="left" w:pos="1844"/>
        </w:tabs>
        <w:ind w:left="1844" w:hanging="1276"/>
      </w:pPr>
    </w:lvl>
    <w:lvl w:ilvl="7" w:tentative="0">
      <w:start w:val="1"/>
      <w:numFmt w:val="decimal"/>
      <w:lvlText w:val="%1.%2.%3.%4.%5.%6.%7.%8."/>
      <w:lvlJc w:val="left"/>
      <w:pPr>
        <w:tabs>
          <w:tab w:val="left" w:pos="1986"/>
        </w:tabs>
        <w:ind w:left="1986" w:hanging="1418"/>
      </w:pPr>
    </w:lvl>
    <w:lvl w:ilvl="8" w:tentative="0">
      <w:start w:val="1"/>
      <w:numFmt w:val="decimal"/>
      <w:lvlText w:val="%1.%2.%3.%4.%5.%6.%7.%8.%9."/>
      <w:lvlJc w:val="left"/>
      <w:pPr>
        <w:tabs>
          <w:tab w:val="left" w:pos="2127"/>
        </w:tabs>
        <w:ind w:left="2127" w:hanging="1559"/>
      </w:pPr>
    </w:lvl>
  </w:abstractNum>
  <w:abstractNum w:abstractNumId="17">
    <w:nsid w:val="00000024"/>
    <w:multiLevelType w:val="multilevel"/>
    <w:tmpl w:val="00000024"/>
    <w:lvl w:ilvl="0" w:tentative="0">
      <w:start w:val="1"/>
      <w:numFmt w:val="decimal"/>
      <w:lvlText w:val="%1."/>
      <w:lvlJc w:val="left"/>
      <w:pPr>
        <w:ind w:left="958" w:hanging="420"/>
      </w:pPr>
    </w:lvl>
    <w:lvl w:ilvl="1" w:tentative="0">
      <w:start w:val="1"/>
      <w:numFmt w:val="chineseCountingThousand"/>
      <w:lvlText w:val="%2、"/>
      <w:lvlJc w:val="left"/>
      <w:pPr>
        <w:ind w:left="1130"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00000027"/>
    <w:multiLevelType w:val="multilevel"/>
    <w:tmpl w:val="00000027"/>
    <w:lvl w:ilvl="0" w:tentative="0">
      <w:start w:val="1"/>
      <w:numFmt w:val="decimal"/>
      <w:lvlText w:val="%1."/>
      <w:lvlJc w:val="left"/>
      <w:pPr>
        <w:ind w:left="980" w:hanging="420"/>
      </w:pPr>
    </w:lvl>
    <w:lvl w:ilvl="1" w:tentative="0">
      <w:start w:val="1"/>
      <w:numFmt w:val="chineseCountingThousand"/>
      <w:lvlText w:val="%2、"/>
      <w:lvlJc w:val="left"/>
      <w:pPr>
        <w:ind w:left="988" w:hanging="420"/>
      </w:pPr>
      <w:rPr>
        <w:lang w:val="en-US"/>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9">
    <w:nsid w:val="00000029"/>
    <w:multiLevelType w:val="multilevel"/>
    <w:tmpl w:val="00000029"/>
    <w:lvl w:ilvl="0" w:tentative="0">
      <w:start w:val="1"/>
      <w:numFmt w:val="decimal"/>
      <w:lvlText w:val="%1."/>
      <w:lvlJc w:val="left"/>
      <w:pPr>
        <w:ind w:left="562" w:hanging="420"/>
      </w:pPr>
      <w:rPr>
        <w:b w:val="0"/>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0">
    <w:nsid w:val="0000002E"/>
    <w:multiLevelType w:val="multilevel"/>
    <w:tmpl w:val="0000002E"/>
    <w:lvl w:ilvl="0" w:tentative="0">
      <w:start w:val="1"/>
      <w:numFmt w:val="decimal"/>
      <w:pStyle w:val="3"/>
      <w:lvlText w:val="第%1章"/>
      <w:lvlJc w:val="left"/>
      <w:pPr>
        <w:ind w:left="283" w:hanging="425"/>
      </w:pPr>
      <w:rPr>
        <w:rFonts w:hint="default" w:ascii="Times New Roman" w:hAnsi="Times New Roman" w:eastAsia="宋体" w:cs="Times New Roman"/>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pStyle w:val="6"/>
      <w:suff w:val="nothing"/>
      <w:lvlText w:val="%1.%2.%3.%4"/>
      <w:lvlJc w:val="left"/>
      <w:pPr>
        <w:ind w:left="708" w:hanging="708"/>
      </w:pPr>
      <w:rPr>
        <w:rFonts w:hint="default" w:ascii="Times New Roman" w:hAnsi="Times New Roman" w:eastAsia="宋体" w:cs="Times New Roman"/>
        <w:b/>
        <w:i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lvl>
    <w:lvl w:ilvl="6" w:tentative="0">
      <w:start w:val="1"/>
      <w:numFmt w:val="decimal"/>
      <w:lvlText w:val="%1.%2.%3.%4.%5.%6.%7"/>
      <w:lvlJc w:val="left"/>
      <w:pPr>
        <w:ind w:left="3685" w:hanging="1276"/>
      </w:pPr>
    </w:lvl>
    <w:lvl w:ilvl="7" w:tentative="0">
      <w:start w:val="1"/>
      <w:numFmt w:val="decimal"/>
      <w:lvlText w:val="%1.%2.%3.%4.%5.%6.%7.%8"/>
      <w:lvlJc w:val="left"/>
      <w:pPr>
        <w:ind w:left="4252" w:hanging="1418"/>
      </w:pPr>
    </w:lvl>
    <w:lvl w:ilvl="8" w:tentative="0">
      <w:start w:val="1"/>
      <w:numFmt w:val="decimal"/>
      <w:lvlText w:val="%1.%2.%3.%4.%5.%6.%7.%8.%9"/>
      <w:lvlJc w:val="left"/>
      <w:pPr>
        <w:ind w:left="4960" w:hanging="1700"/>
      </w:pPr>
    </w:lvl>
  </w:abstractNum>
  <w:abstractNum w:abstractNumId="21">
    <w:nsid w:val="00000031"/>
    <w:multiLevelType w:val="multilevel"/>
    <w:tmpl w:val="00000031"/>
    <w:lvl w:ilvl="0" w:tentative="0">
      <w:start w:val="1"/>
      <w:numFmt w:val="chineseCountingThousand"/>
      <w:lvlText w:val="%1、"/>
      <w:lvlJc w:val="left"/>
      <w:pPr>
        <w:ind w:left="966" w:hanging="420"/>
      </w:p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0000003A"/>
    <w:multiLevelType w:val="multilevel"/>
    <w:tmpl w:val="0000003A"/>
    <w:lvl w:ilvl="0" w:tentative="0">
      <w:start w:val="1"/>
      <w:numFmt w:val="chineseCountingThousand"/>
      <w:lvlText w:val="%1、"/>
      <w:lvlJc w:val="left"/>
      <w:pPr>
        <w:ind w:left="1554" w:hanging="420"/>
      </w:pPr>
    </w:lvl>
    <w:lvl w:ilvl="1" w:tentative="0">
      <w:start w:val="1"/>
      <w:numFmt w:val="lowerLetter"/>
      <w:lvlText w:val="%2)"/>
      <w:lvlJc w:val="left"/>
      <w:pPr>
        <w:ind w:left="1974" w:hanging="420"/>
      </w:pPr>
    </w:lvl>
    <w:lvl w:ilvl="2" w:tentative="0">
      <w:start w:val="1"/>
      <w:numFmt w:val="lowerRoman"/>
      <w:lvlText w:val="%3."/>
      <w:lvlJc w:val="right"/>
      <w:pPr>
        <w:ind w:left="2394" w:hanging="420"/>
      </w:pPr>
    </w:lvl>
    <w:lvl w:ilvl="3" w:tentative="0">
      <w:start w:val="1"/>
      <w:numFmt w:val="decimal"/>
      <w:lvlText w:val="%4."/>
      <w:lvlJc w:val="left"/>
      <w:pPr>
        <w:ind w:left="2814" w:hanging="420"/>
      </w:pPr>
    </w:lvl>
    <w:lvl w:ilvl="4" w:tentative="0">
      <w:start w:val="1"/>
      <w:numFmt w:val="lowerLetter"/>
      <w:lvlText w:val="%5)"/>
      <w:lvlJc w:val="left"/>
      <w:pPr>
        <w:ind w:left="3234" w:hanging="420"/>
      </w:pPr>
    </w:lvl>
    <w:lvl w:ilvl="5" w:tentative="0">
      <w:start w:val="1"/>
      <w:numFmt w:val="lowerRoman"/>
      <w:lvlText w:val="%6."/>
      <w:lvlJc w:val="right"/>
      <w:pPr>
        <w:ind w:left="3654" w:hanging="420"/>
      </w:pPr>
    </w:lvl>
    <w:lvl w:ilvl="6" w:tentative="0">
      <w:start w:val="1"/>
      <w:numFmt w:val="decimal"/>
      <w:lvlText w:val="%7."/>
      <w:lvlJc w:val="left"/>
      <w:pPr>
        <w:ind w:left="4074" w:hanging="420"/>
      </w:pPr>
    </w:lvl>
    <w:lvl w:ilvl="7" w:tentative="0">
      <w:start w:val="1"/>
      <w:numFmt w:val="lowerLetter"/>
      <w:lvlText w:val="%8)"/>
      <w:lvlJc w:val="left"/>
      <w:pPr>
        <w:ind w:left="4494" w:hanging="420"/>
      </w:pPr>
    </w:lvl>
    <w:lvl w:ilvl="8" w:tentative="0">
      <w:start w:val="1"/>
      <w:numFmt w:val="lowerRoman"/>
      <w:lvlText w:val="%9."/>
      <w:lvlJc w:val="right"/>
      <w:pPr>
        <w:ind w:left="4914" w:hanging="420"/>
      </w:pPr>
    </w:lvl>
  </w:abstractNum>
  <w:abstractNum w:abstractNumId="23">
    <w:nsid w:val="0000003B"/>
    <w:multiLevelType w:val="multilevel"/>
    <w:tmpl w:val="0000003B"/>
    <w:lvl w:ilvl="0" w:tentative="0">
      <w:start w:val="1"/>
      <w:numFmt w:val="chineseCountingThousand"/>
      <w:lvlText w:val="%1、"/>
      <w:lvlJc w:val="left"/>
      <w:pPr>
        <w:ind w:left="720" w:hanging="720"/>
      </w:pPr>
      <w:rPr>
        <w:strike w:val="0"/>
        <w:dstrike w:val="0"/>
        <w:color w:val="000000"/>
        <w:u w:val="none"/>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4">
    <w:nsid w:val="0000003E"/>
    <w:multiLevelType w:val="multilevel"/>
    <w:tmpl w:val="0000003E"/>
    <w:lvl w:ilvl="0" w:tentative="0">
      <w:start w:val="1"/>
      <w:numFmt w:val="chineseCountingThousand"/>
      <w:suff w:val="nothing"/>
      <w:lvlText w:val="%1、"/>
      <w:lvlJc w:val="left"/>
      <w:pPr>
        <w:ind w:left="1697" w:hanging="420"/>
      </w:pPr>
      <w:rPr>
        <w:b/>
        <w:i w:val="0"/>
        <w:lang w:val="en-US"/>
      </w:rPr>
    </w:lvl>
    <w:lvl w:ilvl="1" w:tentative="0">
      <w:start w:val="1"/>
      <w:numFmt w:val="decimal"/>
      <w:lvlText w:val="%2、"/>
      <w:lvlJc w:val="left"/>
      <w:pPr>
        <w:ind w:left="1693" w:hanging="1125"/>
      </w:pPr>
    </w:lvl>
    <w:lvl w:ilvl="2" w:tentative="0">
      <w:start w:val="1"/>
      <w:numFmt w:val="lowerRoman"/>
      <w:lvlText w:val="%3."/>
      <w:lvlJc w:val="right"/>
      <w:pPr>
        <w:ind w:left="1971" w:hanging="420"/>
      </w:pPr>
    </w:lvl>
    <w:lvl w:ilvl="3" w:tentative="0">
      <w:start w:val="1"/>
      <w:numFmt w:val="decimal"/>
      <w:lvlText w:val="%4."/>
      <w:lvlJc w:val="left"/>
      <w:pPr>
        <w:ind w:left="2391" w:hanging="420"/>
      </w:pPr>
    </w:lvl>
    <w:lvl w:ilvl="4" w:tentative="0">
      <w:start w:val="1"/>
      <w:numFmt w:val="lowerLetter"/>
      <w:lvlText w:val="%5)"/>
      <w:lvlJc w:val="left"/>
      <w:pPr>
        <w:ind w:left="2811" w:hanging="420"/>
      </w:pPr>
    </w:lvl>
    <w:lvl w:ilvl="5" w:tentative="0">
      <w:start w:val="1"/>
      <w:numFmt w:val="lowerRoman"/>
      <w:lvlText w:val="%6."/>
      <w:lvlJc w:val="right"/>
      <w:pPr>
        <w:ind w:left="3231" w:hanging="420"/>
      </w:pPr>
    </w:lvl>
    <w:lvl w:ilvl="6" w:tentative="0">
      <w:start w:val="1"/>
      <w:numFmt w:val="decimal"/>
      <w:lvlText w:val="%7."/>
      <w:lvlJc w:val="left"/>
      <w:pPr>
        <w:ind w:left="3651" w:hanging="420"/>
      </w:pPr>
    </w:lvl>
    <w:lvl w:ilvl="7" w:tentative="0">
      <w:start w:val="1"/>
      <w:numFmt w:val="lowerLetter"/>
      <w:lvlText w:val="%8)"/>
      <w:lvlJc w:val="left"/>
      <w:pPr>
        <w:ind w:left="4071" w:hanging="420"/>
      </w:pPr>
    </w:lvl>
    <w:lvl w:ilvl="8" w:tentative="0">
      <w:start w:val="1"/>
      <w:numFmt w:val="lowerRoman"/>
      <w:lvlText w:val="%9."/>
      <w:lvlJc w:val="right"/>
      <w:pPr>
        <w:ind w:left="4491" w:hanging="420"/>
      </w:pPr>
    </w:lvl>
  </w:abstractNum>
  <w:abstractNum w:abstractNumId="25">
    <w:nsid w:val="00000041"/>
    <w:multiLevelType w:val="multilevel"/>
    <w:tmpl w:val="00000041"/>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6">
    <w:nsid w:val="00000043"/>
    <w:multiLevelType w:val="multilevel"/>
    <w:tmpl w:val="00000043"/>
    <w:lvl w:ilvl="0" w:tentative="0">
      <w:start w:val="1"/>
      <w:numFmt w:val="chineseCountingThousand"/>
      <w:lvlText w:val="%1、"/>
      <w:lvlJc w:val="left"/>
      <w:pPr>
        <w:ind w:left="1413" w:hanging="420"/>
      </w:pPr>
      <w:rPr>
        <w:color w:val="auto"/>
        <w:sz w:val="28"/>
        <w:szCs w:val="28"/>
        <w:lang w:val="en-US"/>
      </w:rPr>
    </w:lvl>
    <w:lvl w:ilvl="1" w:tentative="0">
      <w:start w:val="1"/>
      <w:numFmt w:val="decimal"/>
      <w:isLgl/>
      <w:lvlText w:val="%1.%2"/>
      <w:lvlJc w:val="left"/>
      <w:pPr>
        <w:ind w:left="1669" w:hanging="960"/>
      </w:pPr>
    </w:lvl>
    <w:lvl w:ilvl="2" w:tentative="0">
      <w:start w:val="1"/>
      <w:numFmt w:val="decimal"/>
      <w:isLgl/>
      <w:lvlText w:val="%1.%2.%3"/>
      <w:lvlJc w:val="left"/>
      <w:pPr>
        <w:ind w:left="1669" w:hanging="960"/>
      </w:pPr>
    </w:lvl>
    <w:lvl w:ilvl="3" w:tentative="0">
      <w:start w:val="1"/>
      <w:numFmt w:val="decimal"/>
      <w:isLgl/>
      <w:lvlText w:val="%1.%2.%3.%4"/>
      <w:lvlJc w:val="left"/>
      <w:pPr>
        <w:ind w:left="1789" w:hanging="1080"/>
      </w:pPr>
    </w:lvl>
    <w:lvl w:ilvl="4" w:tentative="0">
      <w:start w:val="1"/>
      <w:numFmt w:val="decimal"/>
      <w:isLgl/>
      <w:lvlText w:val="%1.%2.%3.%4.%5"/>
      <w:lvlJc w:val="left"/>
      <w:pPr>
        <w:ind w:left="1789" w:hanging="1080"/>
      </w:pPr>
    </w:lvl>
    <w:lvl w:ilvl="5" w:tentative="0">
      <w:start w:val="1"/>
      <w:numFmt w:val="decimal"/>
      <w:isLgl/>
      <w:lvlText w:val="%1.%2.%3.%4.%5.%6"/>
      <w:lvlJc w:val="left"/>
      <w:pPr>
        <w:ind w:left="2149" w:hanging="1440"/>
      </w:pPr>
    </w:lvl>
    <w:lvl w:ilvl="6" w:tentative="0">
      <w:start w:val="1"/>
      <w:numFmt w:val="decimal"/>
      <w:isLgl/>
      <w:lvlText w:val="%1.%2.%3.%4.%5.%6.%7"/>
      <w:lvlJc w:val="left"/>
      <w:pPr>
        <w:ind w:left="2509" w:hanging="1800"/>
      </w:pPr>
    </w:lvl>
    <w:lvl w:ilvl="7" w:tentative="0">
      <w:start w:val="1"/>
      <w:numFmt w:val="decimal"/>
      <w:isLgl/>
      <w:lvlText w:val="%1.%2.%3.%4.%5.%6.%7.%8"/>
      <w:lvlJc w:val="left"/>
      <w:pPr>
        <w:ind w:left="2509" w:hanging="1800"/>
      </w:pPr>
    </w:lvl>
    <w:lvl w:ilvl="8" w:tentative="0">
      <w:start w:val="1"/>
      <w:numFmt w:val="decimal"/>
      <w:isLgl/>
      <w:lvlText w:val="%1.%2.%3.%4.%5.%6.%7.%8.%9"/>
      <w:lvlJc w:val="left"/>
      <w:pPr>
        <w:ind w:left="2869" w:hanging="2160"/>
      </w:pPr>
    </w:lvl>
  </w:abstractNum>
  <w:abstractNum w:abstractNumId="27">
    <w:nsid w:val="06AF180E"/>
    <w:multiLevelType w:val="multilevel"/>
    <w:tmpl w:val="06AF180E"/>
    <w:lvl w:ilvl="0" w:tentative="0">
      <w:start w:val="1"/>
      <w:numFmt w:val="japaneseCounting"/>
      <w:lvlText w:val="（%1）"/>
      <w:lvlJc w:val="left"/>
      <w:pPr>
        <w:ind w:left="1421" w:hanging="855"/>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28">
    <w:nsid w:val="06C3165F"/>
    <w:multiLevelType w:val="multilevel"/>
    <w:tmpl w:val="06C3165F"/>
    <w:lvl w:ilvl="0" w:tentative="0">
      <w:start w:val="5"/>
      <w:numFmt w:val="japaneseCounting"/>
      <w:lvlText w:val="（%1）"/>
      <w:lvlJc w:val="left"/>
      <w:pPr>
        <w:ind w:left="1179" w:hanging="855"/>
      </w:pPr>
      <w:rPr>
        <w:rFonts w:cs="Helvetica"/>
        <w:color w:val="FF0000"/>
      </w:rPr>
    </w:lvl>
    <w:lvl w:ilvl="1" w:tentative="0">
      <w:start w:val="1"/>
      <w:numFmt w:val="chineseCountingThousand"/>
      <w:lvlText w:val="(%2)"/>
      <w:lvlJc w:val="left"/>
      <w:pPr>
        <w:ind w:left="1164" w:hanging="420"/>
      </w:pPr>
    </w:lvl>
    <w:lvl w:ilvl="2" w:tentative="0">
      <w:start w:val="2"/>
      <w:numFmt w:val="japaneseCounting"/>
      <w:lvlText w:val="（%3）"/>
      <w:lvlJc w:val="left"/>
      <w:pPr>
        <w:ind w:left="2019" w:hanging="855"/>
      </w:pPr>
      <w:rPr>
        <w:lang w:val="en-US"/>
      </w:rPr>
    </w:lvl>
    <w:lvl w:ilvl="3" w:tentative="0">
      <w:start w:val="3"/>
      <w:numFmt w:val="japaneseCounting"/>
      <w:lvlText w:val="%4、"/>
      <w:lvlJc w:val="left"/>
      <w:pPr>
        <w:ind w:left="2304" w:hanging="720"/>
      </w:pPr>
    </w:lvl>
    <w:lvl w:ilvl="4" w:tentative="0">
      <w:start w:val="1"/>
      <w:numFmt w:val="lowerLetter"/>
      <w:lvlText w:val="%5)"/>
      <w:lvlJc w:val="left"/>
      <w:pPr>
        <w:ind w:left="2424" w:hanging="420"/>
      </w:pPr>
    </w:lvl>
    <w:lvl w:ilvl="5" w:tentative="0">
      <w:start w:val="1"/>
      <w:numFmt w:val="lowerRoman"/>
      <w:lvlText w:val="%6."/>
      <w:lvlJc w:val="right"/>
      <w:pPr>
        <w:ind w:left="2844" w:hanging="420"/>
      </w:pPr>
    </w:lvl>
    <w:lvl w:ilvl="6" w:tentative="0">
      <w:start w:val="1"/>
      <w:numFmt w:val="decimal"/>
      <w:lvlText w:val="%7."/>
      <w:lvlJc w:val="left"/>
      <w:pPr>
        <w:ind w:left="3264" w:hanging="420"/>
      </w:pPr>
    </w:lvl>
    <w:lvl w:ilvl="7" w:tentative="0">
      <w:start w:val="1"/>
      <w:numFmt w:val="lowerLetter"/>
      <w:lvlText w:val="%8)"/>
      <w:lvlJc w:val="left"/>
      <w:pPr>
        <w:ind w:left="3684" w:hanging="420"/>
      </w:pPr>
    </w:lvl>
    <w:lvl w:ilvl="8" w:tentative="0">
      <w:start w:val="1"/>
      <w:numFmt w:val="lowerRoman"/>
      <w:lvlText w:val="%9."/>
      <w:lvlJc w:val="right"/>
      <w:pPr>
        <w:ind w:left="4104" w:hanging="420"/>
      </w:pPr>
    </w:lvl>
  </w:abstractNum>
  <w:abstractNum w:abstractNumId="29">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30">
    <w:nsid w:val="1A032D52"/>
    <w:multiLevelType w:val="multilevel"/>
    <w:tmpl w:val="1A032D52"/>
    <w:lvl w:ilvl="0" w:tentative="0">
      <w:start w:val="1"/>
      <w:numFmt w:val="chineseCountingThousand"/>
      <w:lvlText w:val="%1、"/>
      <w:lvlJc w:val="left"/>
      <w:pPr>
        <w:ind w:left="1413" w:hanging="420"/>
      </w:pPr>
    </w:lvl>
    <w:lvl w:ilvl="1" w:tentative="0">
      <w:start w:val="1"/>
      <w:numFmt w:val="lowerLetter"/>
      <w:lvlText w:val="%2)"/>
      <w:lvlJc w:val="left"/>
      <w:pPr>
        <w:tabs>
          <w:tab w:val="left" w:pos="847"/>
        </w:tabs>
        <w:ind w:left="847" w:hanging="420"/>
      </w:pPr>
    </w:lvl>
    <w:lvl w:ilvl="2" w:tentative="0">
      <w:start w:val="1"/>
      <w:numFmt w:val="lowerRoman"/>
      <w:lvlText w:val="%3."/>
      <w:lvlJc w:val="right"/>
      <w:pPr>
        <w:tabs>
          <w:tab w:val="left" w:pos="1267"/>
        </w:tabs>
        <w:ind w:left="1267" w:hanging="420"/>
      </w:pPr>
    </w:lvl>
    <w:lvl w:ilvl="3" w:tentative="0">
      <w:start w:val="1"/>
      <w:numFmt w:val="decimal"/>
      <w:lvlText w:val="%4."/>
      <w:lvlJc w:val="left"/>
      <w:pPr>
        <w:tabs>
          <w:tab w:val="left" w:pos="1687"/>
        </w:tabs>
        <w:ind w:left="1687" w:hanging="420"/>
      </w:pPr>
    </w:lvl>
    <w:lvl w:ilvl="4" w:tentative="0">
      <w:start w:val="1"/>
      <w:numFmt w:val="lowerLetter"/>
      <w:lvlText w:val="%5)"/>
      <w:lvlJc w:val="left"/>
      <w:pPr>
        <w:tabs>
          <w:tab w:val="left" w:pos="2107"/>
        </w:tabs>
        <w:ind w:left="2107" w:hanging="420"/>
      </w:pPr>
    </w:lvl>
    <w:lvl w:ilvl="5" w:tentative="0">
      <w:start w:val="1"/>
      <w:numFmt w:val="lowerRoman"/>
      <w:lvlText w:val="%6."/>
      <w:lvlJc w:val="right"/>
      <w:pPr>
        <w:tabs>
          <w:tab w:val="left" w:pos="2527"/>
        </w:tabs>
        <w:ind w:left="2527" w:hanging="420"/>
      </w:pPr>
    </w:lvl>
    <w:lvl w:ilvl="6" w:tentative="0">
      <w:start w:val="1"/>
      <w:numFmt w:val="decimal"/>
      <w:lvlText w:val="%7."/>
      <w:lvlJc w:val="left"/>
      <w:pPr>
        <w:tabs>
          <w:tab w:val="left" w:pos="2947"/>
        </w:tabs>
        <w:ind w:left="2947" w:hanging="420"/>
      </w:pPr>
    </w:lvl>
    <w:lvl w:ilvl="7" w:tentative="0">
      <w:start w:val="1"/>
      <w:numFmt w:val="lowerLetter"/>
      <w:lvlText w:val="%8)"/>
      <w:lvlJc w:val="left"/>
      <w:pPr>
        <w:tabs>
          <w:tab w:val="left" w:pos="3367"/>
        </w:tabs>
        <w:ind w:left="3367" w:hanging="420"/>
      </w:pPr>
    </w:lvl>
    <w:lvl w:ilvl="8" w:tentative="0">
      <w:start w:val="1"/>
      <w:numFmt w:val="lowerRoman"/>
      <w:lvlText w:val="%9."/>
      <w:lvlJc w:val="right"/>
      <w:pPr>
        <w:tabs>
          <w:tab w:val="left" w:pos="3787"/>
        </w:tabs>
        <w:ind w:left="3787" w:hanging="420"/>
      </w:pPr>
    </w:lvl>
  </w:abstractNum>
  <w:abstractNum w:abstractNumId="31">
    <w:nsid w:val="1F2A386E"/>
    <w:multiLevelType w:val="multilevel"/>
    <w:tmpl w:val="1F2A386E"/>
    <w:lvl w:ilvl="0" w:tentative="0">
      <w:start w:val="1"/>
      <w:numFmt w:val="chineseCountingThousand"/>
      <w:lvlText w:val="%1、"/>
      <w:lvlJc w:val="left"/>
      <w:pPr>
        <w:ind w:left="988" w:hanging="420"/>
      </w:pPr>
    </w:lvl>
    <w:lvl w:ilvl="1" w:tentative="0">
      <w:start w:val="1"/>
      <w:numFmt w:val="lowerLetter"/>
      <w:lvlText w:val="%2)"/>
      <w:lvlJc w:val="left"/>
      <w:pPr>
        <w:ind w:left="1550" w:hanging="420"/>
      </w:pPr>
    </w:lvl>
    <w:lvl w:ilvl="2" w:tentative="0">
      <w:start w:val="1"/>
      <w:numFmt w:val="lowerRoman"/>
      <w:lvlText w:val="%3."/>
      <w:lvlJc w:val="right"/>
      <w:pPr>
        <w:ind w:left="1970" w:hanging="420"/>
      </w:pPr>
    </w:lvl>
    <w:lvl w:ilvl="3" w:tentative="0">
      <w:start w:val="1"/>
      <w:numFmt w:val="decimal"/>
      <w:lvlText w:val="%4."/>
      <w:lvlJc w:val="left"/>
      <w:pPr>
        <w:ind w:left="2390" w:hanging="420"/>
      </w:pPr>
    </w:lvl>
    <w:lvl w:ilvl="4" w:tentative="0">
      <w:start w:val="1"/>
      <w:numFmt w:val="lowerLetter"/>
      <w:lvlText w:val="%5)"/>
      <w:lvlJc w:val="left"/>
      <w:pPr>
        <w:ind w:left="2810" w:hanging="420"/>
      </w:pPr>
    </w:lvl>
    <w:lvl w:ilvl="5" w:tentative="0">
      <w:start w:val="1"/>
      <w:numFmt w:val="lowerRoman"/>
      <w:lvlText w:val="%6."/>
      <w:lvlJc w:val="right"/>
      <w:pPr>
        <w:ind w:left="3230" w:hanging="420"/>
      </w:pPr>
    </w:lvl>
    <w:lvl w:ilvl="6" w:tentative="0">
      <w:start w:val="1"/>
      <w:numFmt w:val="decimal"/>
      <w:lvlText w:val="%7."/>
      <w:lvlJc w:val="left"/>
      <w:pPr>
        <w:ind w:left="3650" w:hanging="420"/>
      </w:pPr>
    </w:lvl>
    <w:lvl w:ilvl="7" w:tentative="0">
      <w:start w:val="1"/>
      <w:numFmt w:val="lowerLetter"/>
      <w:lvlText w:val="%8)"/>
      <w:lvlJc w:val="left"/>
      <w:pPr>
        <w:ind w:left="4070" w:hanging="420"/>
      </w:pPr>
    </w:lvl>
    <w:lvl w:ilvl="8" w:tentative="0">
      <w:start w:val="1"/>
      <w:numFmt w:val="lowerRoman"/>
      <w:lvlText w:val="%9."/>
      <w:lvlJc w:val="right"/>
      <w:pPr>
        <w:ind w:left="4490" w:hanging="420"/>
      </w:pPr>
    </w:lvl>
  </w:abstractNum>
  <w:abstractNum w:abstractNumId="32">
    <w:nsid w:val="27B0359A"/>
    <w:multiLevelType w:val="multilevel"/>
    <w:tmpl w:val="27B0359A"/>
    <w:lvl w:ilvl="0" w:tentative="0">
      <w:start w:val="1"/>
      <w:numFmt w:val="japaneseCounting"/>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3">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2C5917C3"/>
    <w:multiLevelType w:val="multilevel"/>
    <w:tmpl w:val="2C5917C3"/>
    <w:lvl w:ilvl="0" w:tentative="0">
      <w:start w:val="1"/>
      <w:numFmt w:val="none"/>
      <w:pStyle w:val="157"/>
      <w:suff w:val="nothing"/>
      <w:lvlText w:val="%1——"/>
      <w:lvlJc w:val="left"/>
      <w:pPr>
        <w:ind w:left="833" w:hanging="408"/>
      </w:pPr>
    </w:lvl>
    <w:lvl w:ilvl="1" w:tentative="0">
      <w:start w:val="1"/>
      <w:numFmt w:val="bullet"/>
      <w:lvlText w:val=""/>
      <w:lvlJc w:val="left"/>
      <w:pPr>
        <w:tabs>
          <w:tab w:val="left" w:pos="760"/>
        </w:tabs>
        <w:ind w:left="1264" w:hanging="413"/>
      </w:pPr>
      <w:rPr>
        <w:rFonts w:hint="default" w:ascii="Symbol" w:hAnsi="Symbol"/>
        <w:color w:val="auto"/>
      </w:rPr>
    </w:lvl>
    <w:lvl w:ilvl="2" w:tentative="0">
      <w:start w:val="1"/>
      <w:numFmt w:val="bullet"/>
      <w:lvlText w:val=""/>
      <w:lvlJc w:val="left"/>
      <w:pPr>
        <w:tabs>
          <w:tab w:val="left" w:pos="1678"/>
        </w:tabs>
        <w:ind w:left="1678" w:hanging="414"/>
      </w:pPr>
      <w:rPr>
        <w:rFonts w:hint="default" w:ascii="Symbol" w:hAnsi="Symbol"/>
        <w:color w:val="auto"/>
      </w:rPr>
    </w:lvl>
    <w:lvl w:ilvl="3" w:tentative="0">
      <w:start w:val="1"/>
      <w:numFmt w:val="decimal"/>
      <w:lvlText w:val="%4."/>
      <w:lvlJc w:val="left"/>
      <w:pPr>
        <w:tabs>
          <w:tab w:val="left" w:pos="2071"/>
        </w:tabs>
        <w:ind w:left="1884" w:hanging="528"/>
      </w:pPr>
    </w:lvl>
    <w:lvl w:ilvl="4" w:tentative="0">
      <w:start w:val="1"/>
      <w:numFmt w:val="lowerLetter"/>
      <w:lvlText w:val="%5)"/>
      <w:lvlJc w:val="left"/>
      <w:pPr>
        <w:tabs>
          <w:tab w:val="left" w:pos="2383"/>
        </w:tabs>
        <w:ind w:left="2196" w:hanging="528"/>
      </w:pPr>
    </w:lvl>
    <w:lvl w:ilvl="5" w:tentative="0">
      <w:start w:val="1"/>
      <w:numFmt w:val="lowerRoman"/>
      <w:lvlText w:val="%6."/>
      <w:lvlJc w:val="right"/>
      <w:pPr>
        <w:tabs>
          <w:tab w:val="left" w:pos="2695"/>
        </w:tabs>
        <w:ind w:left="2508" w:hanging="528"/>
      </w:pPr>
    </w:lvl>
    <w:lvl w:ilvl="6" w:tentative="0">
      <w:start w:val="1"/>
      <w:numFmt w:val="decimal"/>
      <w:lvlText w:val="%7."/>
      <w:lvlJc w:val="left"/>
      <w:pPr>
        <w:tabs>
          <w:tab w:val="left" w:pos="3007"/>
        </w:tabs>
        <w:ind w:left="2820" w:hanging="528"/>
      </w:pPr>
    </w:lvl>
    <w:lvl w:ilvl="7" w:tentative="0">
      <w:start w:val="1"/>
      <w:numFmt w:val="lowerLetter"/>
      <w:lvlText w:val="%8)"/>
      <w:lvlJc w:val="left"/>
      <w:pPr>
        <w:tabs>
          <w:tab w:val="left" w:pos="3319"/>
        </w:tabs>
        <w:ind w:left="3132" w:hanging="528"/>
      </w:pPr>
    </w:lvl>
    <w:lvl w:ilvl="8" w:tentative="0">
      <w:start w:val="1"/>
      <w:numFmt w:val="lowerRoman"/>
      <w:lvlText w:val="%9."/>
      <w:lvlJc w:val="right"/>
      <w:pPr>
        <w:tabs>
          <w:tab w:val="left" w:pos="3631"/>
        </w:tabs>
        <w:ind w:left="3444" w:hanging="528"/>
      </w:pPr>
    </w:lvl>
  </w:abstractNum>
  <w:abstractNum w:abstractNumId="35">
    <w:nsid w:val="316418D8"/>
    <w:multiLevelType w:val="multilevel"/>
    <w:tmpl w:val="316418D8"/>
    <w:lvl w:ilvl="0" w:tentative="0">
      <w:start w:val="1"/>
      <w:numFmt w:val="chineseCountingThousand"/>
      <w:lvlText w:val="%1、"/>
      <w:lvlJc w:val="left"/>
      <w:pPr>
        <w:ind w:left="846" w:hanging="420"/>
      </w:p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6">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37">
    <w:nsid w:val="34D50379"/>
    <w:multiLevelType w:val="multilevel"/>
    <w:tmpl w:val="34D50379"/>
    <w:lvl w:ilvl="0" w:tentative="0">
      <w:start w:val="1"/>
      <w:numFmt w:val="decimal"/>
      <w:lvlText w:val="%1."/>
      <w:lvlJc w:val="left"/>
      <w:pPr>
        <w:ind w:left="840" w:hanging="420"/>
      </w:pPr>
    </w:lvl>
    <w:lvl w:ilvl="1" w:tentative="0">
      <w:start w:val="1"/>
      <w:numFmt w:val="decimal"/>
      <w:lvlText w:val="%2）"/>
      <w:lvlJc w:val="left"/>
      <w:pPr>
        <w:ind w:left="1560" w:hanging="720"/>
      </w:pPr>
      <w:rPr>
        <w:b w:val="0"/>
        <w:color w:val="000000"/>
      </w:rPr>
    </w:lvl>
    <w:lvl w:ilvl="2" w:tentative="0">
      <w:start w:val="1"/>
      <w:numFmt w:val="chineseCountingThousand"/>
      <w:lvlText w:val="%3、"/>
      <w:lvlJc w:val="left"/>
      <w:pPr>
        <w:ind w:left="60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8">
    <w:nsid w:val="380C5947"/>
    <w:multiLevelType w:val="multilevel"/>
    <w:tmpl w:val="380C5947"/>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39">
    <w:nsid w:val="4C1635C4"/>
    <w:multiLevelType w:val="multilevel"/>
    <w:tmpl w:val="4C1635C4"/>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0">
    <w:nsid w:val="4C72071B"/>
    <w:multiLevelType w:val="multilevel"/>
    <w:tmpl w:val="4C72071B"/>
    <w:lvl w:ilvl="0" w:tentative="0">
      <w:start w:val="1"/>
      <w:numFmt w:val="chineseCountingThousand"/>
      <w:lvlText w:val="%1、"/>
      <w:lvlJc w:val="left"/>
      <w:pPr>
        <w:ind w:left="986" w:hanging="420"/>
      </w:pPr>
      <w:rPr>
        <w:sz w:val="28"/>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4C866FAA"/>
    <w:multiLevelType w:val="multilevel"/>
    <w:tmpl w:val="4C866FAA"/>
    <w:lvl w:ilvl="0" w:tentative="0">
      <w:start w:val="1"/>
      <w:numFmt w:val="chineseCountingThousand"/>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42">
    <w:nsid w:val="4CC31705"/>
    <w:multiLevelType w:val="multilevel"/>
    <w:tmpl w:val="4CC31705"/>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3">
    <w:nsid w:val="50F471D7"/>
    <w:multiLevelType w:val="multilevel"/>
    <w:tmpl w:val="50F471D7"/>
    <w:lvl w:ilvl="0" w:tentative="0">
      <w:start w:val="1"/>
      <w:numFmt w:val="chineseCountingThousand"/>
      <w:suff w:val="nothing"/>
      <w:lvlText w:val="%1、"/>
      <w:lvlJc w:val="left"/>
      <w:pPr>
        <w:ind w:left="1270" w:hanging="420"/>
      </w:pPr>
      <w:rPr>
        <w:b/>
      </w:rPr>
    </w:lvl>
    <w:lvl w:ilvl="1" w:tentative="0">
      <w:start w:val="1"/>
      <w:numFmt w:val="chineseCountingThousand"/>
      <w:lvlText w:val="(%2)"/>
      <w:lvlJc w:val="left"/>
      <w:pPr>
        <w:tabs>
          <w:tab w:val="left" w:pos="1130"/>
        </w:tabs>
        <w:ind w:left="1130" w:hanging="420"/>
      </w:pPr>
      <w:rPr>
        <w:b w:val="0"/>
      </w:r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44">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45">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6">
    <w:nsid w:val="61FA781F"/>
    <w:multiLevelType w:val="multilevel"/>
    <w:tmpl w:val="61FA781F"/>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7">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8">
    <w:nsid w:val="6F5B4150"/>
    <w:multiLevelType w:val="multilevel"/>
    <w:tmpl w:val="6F5B4150"/>
    <w:lvl w:ilvl="0" w:tentative="0">
      <w:start w:val="1"/>
      <w:numFmt w:val="chineseCountingThousand"/>
      <w:lvlText w:val="%1、"/>
      <w:lvlJc w:val="left"/>
      <w:pPr>
        <w:ind w:left="846" w:hanging="420"/>
      </w:pPr>
      <w:rPr>
        <w:rFonts w:hint="eastAsia"/>
        <w:b/>
        <w:sz w:val="28"/>
        <w:szCs w:val="28"/>
      </w:rPr>
    </w:lvl>
    <w:lvl w:ilvl="1" w:tentative="0">
      <w:start w:val="1"/>
      <w:numFmt w:val="lowerLetter"/>
      <w:lvlText w:val="%2)"/>
      <w:lvlJc w:val="left"/>
      <w:pPr>
        <w:ind w:left="-3289" w:hanging="420"/>
      </w:pPr>
    </w:lvl>
    <w:lvl w:ilvl="2" w:tentative="0">
      <w:start w:val="1"/>
      <w:numFmt w:val="lowerRoman"/>
      <w:lvlText w:val="%3."/>
      <w:lvlJc w:val="right"/>
      <w:pPr>
        <w:ind w:left="-2869" w:hanging="420"/>
      </w:pPr>
    </w:lvl>
    <w:lvl w:ilvl="3" w:tentative="0">
      <w:start w:val="1"/>
      <w:numFmt w:val="decimal"/>
      <w:lvlText w:val="%4."/>
      <w:lvlJc w:val="left"/>
      <w:pPr>
        <w:ind w:left="-2449" w:hanging="420"/>
      </w:pPr>
    </w:lvl>
    <w:lvl w:ilvl="4" w:tentative="0">
      <w:start w:val="1"/>
      <w:numFmt w:val="lowerLetter"/>
      <w:lvlText w:val="%5)"/>
      <w:lvlJc w:val="left"/>
      <w:pPr>
        <w:ind w:left="-2029" w:hanging="420"/>
      </w:pPr>
    </w:lvl>
    <w:lvl w:ilvl="5" w:tentative="0">
      <w:start w:val="1"/>
      <w:numFmt w:val="lowerRoman"/>
      <w:lvlText w:val="%6."/>
      <w:lvlJc w:val="right"/>
      <w:pPr>
        <w:ind w:left="-1609" w:hanging="420"/>
      </w:pPr>
    </w:lvl>
    <w:lvl w:ilvl="6" w:tentative="0">
      <w:start w:val="1"/>
      <w:numFmt w:val="decimal"/>
      <w:lvlText w:val="%7."/>
      <w:lvlJc w:val="left"/>
      <w:pPr>
        <w:ind w:left="-1189" w:hanging="420"/>
      </w:pPr>
    </w:lvl>
    <w:lvl w:ilvl="7" w:tentative="0">
      <w:start w:val="1"/>
      <w:numFmt w:val="lowerLetter"/>
      <w:lvlText w:val="%8)"/>
      <w:lvlJc w:val="left"/>
      <w:pPr>
        <w:ind w:left="-769" w:hanging="420"/>
      </w:pPr>
    </w:lvl>
    <w:lvl w:ilvl="8" w:tentative="0">
      <w:start w:val="1"/>
      <w:numFmt w:val="lowerRoman"/>
      <w:lvlText w:val="%9."/>
      <w:lvlJc w:val="right"/>
      <w:pPr>
        <w:ind w:left="-349" w:hanging="420"/>
      </w:pPr>
    </w:lvl>
  </w:abstractNum>
  <w:abstractNum w:abstractNumId="49">
    <w:nsid w:val="70CA42E2"/>
    <w:multiLevelType w:val="multilevel"/>
    <w:tmpl w:val="70CA42E2"/>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50">
    <w:nsid w:val="716F767A"/>
    <w:multiLevelType w:val="multilevel"/>
    <w:tmpl w:val="716F767A"/>
    <w:lvl w:ilvl="0" w:tentative="0">
      <w:start w:val="1"/>
      <w:numFmt w:val="chineseCountingThousand"/>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51">
    <w:nsid w:val="75656F13"/>
    <w:multiLevelType w:val="multilevel"/>
    <w:tmpl w:val="75656F13"/>
    <w:lvl w:ilvl="0" w:tentative="0">
      <w:start w:val="1"/>
      <w:numFmt w:val="chineseCountingThousand"/>
      <w:lvlText w:val="(%1)"/>
      <w:lvlJc w:val="left"/>
      <w:pPr>
        <w:tabs>
          <w:tab w:val="left" w:pos="846"/>
        </w:tabs>
        <w:ind w:left="846" w:hanging="420"/>
      </w:p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52">
    <w:nsid w:val="76881124"/>
    <w:multiLevelType w:val="multilevel"/>
    <w:tmpl w:val="76881124"/>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53">
    <w:nsid w:val="789D00AF"/>
    <w:multiLevelType w:val="multilevel"/>
    <w:tmpl w:val="789D00AF"/>
    <w:lvl w:ilvl="0" w:tentative="0">
      <w:start w:val="1"/>
      <w:numFmt w:val="chineseCountingThousand"/>
      <w:lvlText w:val="(%1)"/>
      <w:lvlJc w:val="left"/>
      <w:pPr>
        <w:ind w:left="972" w:hanging="420"/>
      </w:pPr>
      <w:rPr>
        <w:b w:val="0"/>
      </w:rPr>
    </w:lvl>
    <w:lvl w:ilvl="1" w:tentative="0">
      <w:start w:val="1"/>
      <w:numFmt w:val="lowerLetter"/>
      <w:lvlText w:val="%2)"/>
      <w:lvlJc w:val="left"/>
      <w:pPr>
        <w:ind w:left="1392" w:hanging="420"/>
      </w:pPr>
    </w:lvl>
    <w:lvl w:ilvl="2" w:tentative="0">
      <w:start w:val="1"/>
      <w:numFmt w:val="lowerRoman"/>
      <w:lvlText w:val="%3."/>
      <w:lvlJc w:val="right"/>
      <w:pPr>
        <w:ind w:left="1812" w:hanging="420"/>
      </w:pPr>
    </w:lvl>
    <w:lvl w:ilvl="3" w:tentative="0">
      <w:start w:val="1"/>
      <w:numFmt w:val="decimal"/>
      <w:lvlText w:val="%4."/>
      <w:lvlJc w:val="left"/>
      <w:pPr>
        <w:ind w:left="2232" w:hanging="420"/>
      </w:pPr>
    </w:lvl>
    <w:lvl w:ilvl="4" w:tentative="0">
      <w:start w:val="1"/>
      <w:numFmt w:val="lowerLetter"/>
      <w:lvlText w:val="%5)"/>
      <w:lvlJc w:val="left"/>
      <w:pPr>
        <w:ind w:left="2652" w:hanging="420"/>
      </w:pPr>
    </w:lvl>
    <w:lvl w:ilvl="5" w:tentative="0">
      <w:start w:val="1"/>
      <w:numFmt w:val="lowerRoman"/>
      <w:lvlText w:val="%6."/>
      <w:lvlJc w:val="right"/>
      <w:pPr>
        <w:ind w:left="3072" w:hanging="420"/>
      </w:pPr>
    </w:lvl>
    <w:lvl w:ilvl="6" w:tentative="0">
      <w:start w:val="1"/>
      <w:numFmt w:val="decimal"/>
      <w:lvlText w:val="%7."/>
      <w:lvlJc w:val="left"/>
      <w:pPr>
        <w:ind w:left="3492" w:hanging="420"/>
      </w:pPr>
    </w:lvl>
    <w:lvl w:ilvl="7" w:tentative="0">
      <w:start w:val="1"/>
      <w:numFmt w:val="lowerLetter"/>
      <w:lvlText w:val="%8)"/>
      <w:lvlJc w:val="left"/>
      <w:pPr>
        <w:ind w:left="3912" w:hanging="420"/>
      </w:pPr>
    </w:lvl>
    <w:lvl w:ilvl="8" w:tentative="0">
      <w:start w:val="1"/>
      <w:numFmt w:val="lowerRoman"/>
      <w:lvlText w:val="%9."/>
      <w:lvlJc w:val="right"/>
      <w:pPr>
        <w:ind w:left="4332" w:hanging="420"/>
      </w:pPr>
    </w:lvl>
  </w:abstractNum>
  <w:abstractNum w:abstractNumId="54">
    <w:nsid w:val="7F511D7D"/>
    <w:multiLevelType w:val="multilevel"/>
    <w:tmpl w:val="7F511D7D"/>
    <w:lvl w:ilvl="0" w:tentative="0">
      <w:start w:val="1"/>
      <w:numFmt w:val="chineseCountingThousand"/>
      <w:lvlText w:val="%1、"/>
      <w:lvlJc w:val="left"/>
      <w:pPr>
        <w:ind w:left="988" w:hanging="420"/>
      </w:pPr>
      <w:rPr>
        <w:sz w:val="28"/>
        <w:szCs w:val="28"/>
      </w:rPr>
    </w:lvl>
    <w:lvl w:ilvl="1" w:tentative="0">
      <w:start w:val="1"/>
      <w:numFmt w:val="decimal"/>
      <w:isLgl/>
      <w:lvlText w:val="%1.%2"/>
      <w:lvlJc w:val="left"/>
      <w:pPr>
        <w:ind w:left="1528" w:hanging="960"/>
      </w:pPr>
    </w:lvl>
    <w:lvl w:ilvl="2" w:tentative="0">
      <w:start w:val="1"/>
      <w:numFmt w:val="decimal"/>
      <w:isLgl/>
      <w:lvlText w:val="%1.%2.%3"/>
      <w:lvlJc w:val="left"/>
      <w:pPr>
        <w:ind w:left="1528" w:hanging="960"/>
      </w:pPr>
    </w:lvl>
    <w:lvl w:ilvl="3" w:tentative="0">
      <w:start w:val="1"/>
      <w:numFmt w:val="decimal"/>
      <w:isLgl/>
      <w:lvlText w:val="%1.%2.%3.%4"/>
      <w:lvlJc w:val="left"/>
      <w:pPr>
        <w:ind w:left="1648" w:hanging="1080"/>
      </w:pPr>
    </w:lvl>
    <w:lvl w:ilvl="4" w:tentative="0">
      <w:start w:val="1"/>
      <w:numFmt w:val="decimal"/>
      <w:isLgl/>
      <w:lvlText w:val="%1.%2.%3.%4.%5"/>
      <w:lvlJc w:val="left"/>
      <w:pPr>
        <w:ind w:left="1648" w:hanging="1080"/>
      </w:pPr>
    </w:lvl>
    <w:lvl w:ilvl="5" w:tentative="0">
      <w:start w:val="1"/>
      <w:numFmt w:val="decimal"/>
      <w:isLgl/>
      <w:lvlText w:val="%1.%2.%3.%4.%5.%6"/>
      <w:lvlJc w:val="left"/>
      <w:pPr>
        <w:ind w:left="2008" w:hanging="1440"/>
      </w:pPr>
    </w:lvl>
    <w:lvl w:ilvl="6" w:tentative="0">
      <w:start w:val="1"/>
      <w:numFmt w:val="decimal"/>
      <w:isLgl/>
      <w:lvlText w:val="%1.%2.%3.%4.%5.%6.%7"/>
      <w:lvlJc w:val="left"/>
      <w:pPr>
        <w:ind w:left="2368" w:hanging="1800"/>
      </w:pPr>
    </w:lvl>
    <w:lvl w:ilvl="7" w:tentative="0">
      <w:start w:val="1"/>
      <w:numFmt w:val="decimal"/>
      <w:isLgl/>
      <w:lvlText w:val="%1.%2.%3.%4.%5.%6.%7.%8"/>
      <w:lvlJc w:val="left"/>
      <w:pPr>
        <w:ind w:left="2368" w:hanging="1800"/>
      </w:pPr>
    </w:lvl>
    <w:lvl w:ilvl="8" w:tentative="0">
      <w:start w:val="1"/>
      <w:numFmt w:val="decimal"/>
      <w:isLgl/>
      <w:lvlText w:val="%1.%2.%3.%4.%5.%6.%7.%8.%9"/>
      <w:lvlJc w:val="left"/>
      <w:pPr>
        <w:ind w:left="2728" w:hanging="2160"/>
      </w:pPr>
    </w:lvl>
  </w:abstractNum>
  <w:num w:numId="1">
    <w:abstractNumId w:val="20"/>
  </w:num>
  <w:num w:numId="2">
    <w:abstractNumId w:val="16"/>
  </w:num>
  <w:num w:numId="3">
    <w:abstractNumId w:val="12"/>
  </w:num>
  <w:num w:numId="4">
    <w:abstractNumId w:val="34"/>
  </w:num>
  <w:num w:numId="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num>
  <w:num w:numId="2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8"/>
    <w:lvlOverride w:ilvl="0">
      <w:startOverride w:val="5"/>
    </w:lvlOverride>
    <w:lvlOverride w:ilvl="1">
      <w:startOverride w:val="1"/>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2"/>
  </w:num>
  <w:num w:numId="37">
    <w:abstractNumId w:val="1"/>
  </w:num>
  <w:num w:numId="38">
    <w:abstractNumId w:val="2"/>
  </w:num>
  <w:num w:numId="39">
    <w:abstractNumId w:val="3"/>
  </w:num>
  <w:num w:numId="40">
    <w:abstractNumId w:val="4"/>
  </w:num>
  <w:num w:numId="41">
    <w:abstractNumId w:val="5"/>
  </w:num>
  <w:num w:numId="42">
    <w:abstractNumId w:val="6"/>
  </w:num>
  <w:num w:numId="43">
    <w:abstractNumId w:val="7"/>
  </w:num>
  <w:num w:numId="44">
    <w:abstractNumId w:val="8"/>
  </w:num>
  <w:num w:numId="45">
    <w:abstractNumId w:val="10"/>
  </w:num>
  <w:num w:numId="4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KGWebUrl" w:val="https://portal.cdggzy.com/iWebOffice2015/OfficeHandler.ashx?directory=/CgProject/BidFile/File/%e6%88%90%e9%83%bd%e5%b8%82%e6%94%bf%e9%87%87%e6%8b%9b%e3%80%942021%e3%80%95024%e5%8f%b7/"/>
  </w:docVars>
  <w:rsids>
    <w:rsidRoot w:val="001F73B0"/>
    <w:rsid w:val="000042B8"/>
    <w:rsid w:val="00014923"/>
    <w:rsid w:val="000174DF"/>
    <w:rsid w:val="000174E4"/>
    <w:rsid w:val="00020209"/>
    <w:rsid w:val="00021ED6"/>
    <w:rsid w:val="00026529"/>
    <w:rsid w:val="00026B21"/>
    <w:rsid w:val="00027703"/>
    <w:rsid w:val="00027FE5"/>
    <w:rsid w:val="0003136B"/>
    <w:rsid w:val="0005344D"/>
    <w:rsid w:val="00054790"/>
    <w:rsid w:val="00056EE0"/>
    <w:rsid w:val="00063E74"/>
    <w:rsid w:val="0006474F"/>
    <w:rsid w:val="00065981"/>
    <w:rsid w:val="00070719"/>
    <w:rsid w:val="00072234"/>
    <w:rsid w:val="000777D1"/>
    <w:rsid w:val="0008155B"/>
    <w:rsid w:val="000843CC"/>
    <w:rsid w:val="00086E37"/>
    <w:rsid w:val="000A0B0A"/>
    <w:rsid w:val="000A4B6A"/>
    <w:rsid w:val="000B0144"/>
    <w:rsid w:val="000B33FA"/>
    <w:rsid w:val="000B3D82"/>
    <w:rsid w:val="000B43E4"/>
    <w:rsid w:val="000B6789"/>
    <w:rsid w:val="000B687F"/>
    <w:rsid w:val="000C16AE"/>
    <w:rsid w:val="000C688A"/>
    <w:rsid w:val="000C7BCC"/>
    <w:rsid w:val="000F57CA"/>
    <w:rsid w:val="00101BE9"/>
    <w:rsid w:val="00102646"/>
    <w:rsid w:val="001138FE"/>
    <w:rsid w:val="00120CCC"/>
    <w:rsid w:val="001254AD"/>
    <w:rsid w:val="001346A7"/>
    <w:rsid w:val="0015020F"/>
    <w:rsid w:val="00154224"/>
    <w:rsid w:val="001565CC"/>
    <w:rsid w:val="0016758C"/>
    <w:rsid w:val="00177CD8"/>
    <w:rsid w:val="00183360"/>
    <w:rsid w:val="0019367D"/>
    <w:rsid w:val="00194A06"/>
    <w:rsid w:val="001968B4"/>
    <w:rsid w:val="001A6D6C"/>
    <w:rsid w:val="001B34BB"/>
    <w:rsid w:val="001B7C8D"/>
    <w:rsid w:val="001C125F"/>
    <w:rsid w:val="001C7D1E"/>
    <w:rsid w:val="001D348C"/>
    <w:rsid w:val="001D56CD"/>
    <w:rsid w:val="001D631B"/>
    <w:rsid w:val="001F4244"/>
    <w:rsid w:val="001F73B0"/>
    <w:rsid w:val="00202454"/>
    <w:rsid w:val="0020526F"/>
    <w:rsid w:val="0020671B"/>
    <w:rsid w:val="002067B1"/>
    <w:rsid w:val="0021701C"/>
    <w:rsid w:val="0022692C"/>
    <w:rsid w:val="00226BF4"/>
    <w:rsid w:val="00262433"/>
    <w:rsid w:val="0027644C"/>
    <w:rsid w:val="00282CAB"/>
    <w:rsid w:val="00287BC3"/>
    <w:rsid w:val="002A261C"/>
    <w:rsid w:val="002A3A1C"/>
    <w:rsid w:val="002B2023"/>
    <w:rsid w:val="002C764F"/>
    <w:rsid w:val="002D760C"/>
    <w:rsid w:val="002E123D"/>
    <w:rsid w:val="002E4801"/>
    <w:rsid w:val="002E5B8E"/>
    <w:rsid w:val="002E733E"/>
    <w:rsid w:val="00303FFE"/>
    <w:rsid w:val="00305097"/>
    <w:rsid w:val="00320E99"/>
    <w:rsid w:val="003420BA"/>
    <w:rsid w:val="00364328"/>
    <w:rsid w:val="003646B9"/>
    <w:rsid w:val="00370D4D"/>
    <w:rsid w:val="003710A5"/>
    <w:rsid w:val="00374619"/>
    <w:rsid w:val="00383D6E"/>
    <w:rsid w:val="00390E31"/>
    <w:rsid w:val="003944EB"/>
    <w:rsid w:val="003A15FC"/>
    <w:rsid w:val="003D27CA"/>
    <w:rsid w:val="003D2A89"/>
    <w:rsid w:val="003D2F7D"/>
    <w:rsid w:val="003D7BD8"/>
    <w:rsid w:val="003E2110"/>
    <w:rsid w:val="003E3793"/>
    <w:rsid w:val="003F0EDE"/>
    <w:rsid w:val="00402344"/>
    <w:rsid w:val="00404442"/>
    <w:rsid w:val="004051C9"/>
    <w:rsid w:val="004108A4"/>
    <w:rsid w:val="00411516"/>
    <w:rsid w:val="004323DB"/>
    <w:rsid w:val="004357C7"/>
    <w:rsid w:val="0043700B"/>
    <w:rsid w:val="00437E6C"/>
    <w:rsid w:val="0044346E"/>
    <w:rsid w:val="00445184"/>
    <w:rsid w:val="00445E0E"/>
    <w:rsid w:val="00446126"/>
    <w:rsid w:val="00452ACF"/>
    <w:rsid w:val="00452EF5"/>
    <w:rsid w:val="00470575"/>
    <w:rsid w:val="0047177D"/>
    <w:rsid w:val="004748AA"/>
    <w:rsid w:val="004813F1"/>
    <w:rsid w:val="00483981"/>
    <w:rsid w:val="00484CF8"/>
    <w:rsid w:val="0049013C"/>
    <w:rsid w:val="00495010"/>
    <w:rsid w:val="00497555"/>
    <w:rsid w:val="004A4F61"/>
    <w:rsid w:val="004B06E4"/>
    <w:rsid w:val="004B26F4"/>
    <w:rsid w:val="004D3D26"/>
    <w:rsid w:val="004E030D"/>
    <w:rsid w:val="004E43EA"/>
    <w:rsid w:val="004F4893"/>
    <w:rsid w:val="00504133"/>
    <w:rsid w:val="00506124"/>
    <w:rsid w:val="005100C9"/>
    <w:rsid w:val="005166F2"/>
    <w:rsid w:val="0052113C"/>
    <w:rsid w:val="00523994"/>
    <w:rsid w:val="00526794"/>
    <w:rsid w:val="00531A79"/>
    <w:rsid w:val="00531B44"/>
    <w:rsid w:val="005446FD"/>
    <w:rsid w:val="005538C1"/>
    <w:rsid w:val="00556F88"/>
    <w:rsid w:val="005570C1"/>
    <w:rsid w:val="0056027F"/>
    <w:rsid w:val="00563976"/>
    <w:rsid w:val="00564FA0"/>
    <w:rsid w:val="00576EE9"/>
    <w:rsid w:val="0057742C"/>
    <w:rsid w:val="00580EA6"/>
    <w:rsid w:val="00582B28"/>
    <w:rsid w:val="005830E8"/>
    <w:rsid w:val="0059336C"/>
    <w:rsid w:val="005A4D9A"/>
    <w:rsid w:val="005C3264"/>
    <w:rsid w:val="005C3C4F"/>
    <w:rsid w:val="005D0E99"/>
    <w:rsid w:val="005D65D8"/>
    <w:rsid w:val="005D7421"/>
    <w:rsid w:val="005D7B75"/>
    <w:rsid w:val="005E269C"/>
    <w:rsid w:val="005E272D"/>
    <w:rsid w:val="005E43E2"/>
    <w:rsid w:val="005E599B"/>
    <w:rsid w:val="00603B42"/>
    <w:rsid w:val="006045F4"/>
    <w:rsid w:val="00611A72"/>
    <w:rsid w:val="00616561"/>
    <w:rsid w:val="00623DAD"/>
    <w:rsid w:val="00624151"/>
    <w:rsid w:val="00624B3A"/>
    <w:rsid w:val="00633F88"/>
    <w:rsid w:val="006406E3"/>
    <w:rsid w:val="006435DE"/>
    <w:rsid w:val="00662A9F"/>
    <w:rsid w:val="00673C2B"/>
    <w:rsid w:val="0067729F"/>
    <w:rsid w:val="0068485D"/>
    <w:rsid w:val="006A5E19"/>
    <w:rsid w:val="006B54C4"/>
    <w:rsid w:val="006C10D5"/>
    <w:rsid w:val="006C3900"/>
    <w:rsid w:val="006D01EC"/>
    <w:rsid w:val="006D3124"/>
    <w:rsid w:val="006D4AEC"/>
    <w:rsid w:val="006E298E"/>
    <w:rsid w:val="006E4108"/>
    <w:rsid w:val="006F4841"/>
    <w:rsid w:val="007034BC"/>
    <w:rsid w:val="00730B24"/>
    <w:rsid w:val="00733724"/>
    <w:rsid w:val="007345B7"/>
    <w:rsid w:val="0073713B"/>
    <w:rsid w:val="007407F8"/>
    <w:rsid w:val="00750997"/>
    <w:rsid w:val="0075607C"/>
    <w:rsid w:val="00756241"/>
    <w:rsid w:val="00756D2B"/>
    <w:rsid w:val="00761A8D"/>
    <w:rsid w:val="0076602A"/>
    <w:rsid w:val="00775218"/>
    <w:rsid w:val="00780052"/>
    <w:rsid w:val="00780DA1"/>
    <w:rsid w:val="00786A79"/>
    <w:rsid w:val="007970C5"/>
    <w:rsid w:val="007A4731"/>
    <w:rsid w:val="007B1592"/>
    <w:rsid w:val="007B3281"/>
    <w:rsid w:val="007B3969"/>
    <w:rsid w:val="007B3BB8"/>
    <w:rsid w:val="007C3DA8"/>
    <w:rsid w:val="007C41A7"/>
    <w:rsid w:val="007C5543"/>
    <w:rsid w:val="007C5AAD"/>
    <w:rsid w:val="007D0E55"/>
    <w:rsid w:val="007D6384"/>
    <w:rsid w:val="007D69A9"/>
    <w:rsid w:val="007E017C"/>
    <w:rsid w:val="007E14ED"/>
    <w:rsid w:val="007E1FF4"/>
    <w:rsid w:val="007E3C07"/>
    <w:rsid w:val="007F6422"/>
    <w:rsid w:val="0080079C"/>
    <w:rsid w:val="00801195"/>
    <w:rsid w:val="00802D5E"/>
    <w:rsid w:val="0080702A"/>
    <w:rsid w:val="00812794"/>
    <w:rsid w:val="00817E69"/>
    <w:rsid w:val="00825CAB"/>
    <w:rsid w:val="00833224"/>
    <w:rsid w:val="00833D36"/>
    <w:rsid w:val="00834A7F"/>
    <w:rsid w:val="008361D5"/>
    <w:rsid w:val="0083758F"/>
    <w:rsid w:val="008600C1"/>
    <w:rsid w:val="00865F44"/>
    <w:rsid w:val="00870544"/>
    <w:rsid w:val="008716D3"/>
    <w:rsid w:val="00872312"/>
    <w:rsid w:val="00872B11"/>
    <w:rsid w:val="008835ED"/>
    <w:rsid w:val="00883F4A"/>
    <w:rsid w:val="008900B3"/>
    <w:rsid w:val="00890F59"/>
    <w:rsid w:val="0089574F"/>
    <w:rsid w:val="008A0DF1"/>
    <w:rsid w:val="008A78E9"/>
    <w:rsid w:val="008B2D9B"/>
    <w:rsid w:val="008C0FC0"/>
    <w:rsid w:val="008E5564"/>
    <w:rsid w:val="008F1C89"/>
    <w:rsid w:val="008F4D64"/>
    <w:rsid w:val="008F7A66"/>
    <w:rsid w:val="00902F5C"/>
    <w:rsid w:val="00922252"/>
    <w:rsid w:val="00922AAC"/>
    <w:rsid w:val="00932889"/>
    <w:rsid w:val="009358AF"/>
    <w:rsid w:val="00944C6B"/>
    <w:rsid w:val="00946C1A"/>
    <w:rsid w:val="009536AA"/>
    <w:rsid w:val="00954AF8"/>
    <w:rsid w:val="00962A42"/>
    <w:rsid w:val="0096458D"/>
    <w:rsid w:val="00965A4C"/>
    <w:rsid w:val="00966168"/>
    <w:rsid w:val="00967937"/>
    <w:rsid w:val="00970A58"/>
    <w:rsid w:val="009710C8"/>
    <w:rsid w:val="0097213B"/>
    <w:rsid w:val="00993681"/>
    <w:rsid w:val="00995B59"/>
    <w:rsid w:val="0099605B"/>
    <w:rsid w:val="0099617B"/>
    <w:rsid w:val="0099699E"/>
    <w:rsid w:val="00997227"/>
    <w:rsid w:val="00997E6A"/>
    <w:rsid w:val="009A0F28"/>
    <w:rsid w:val="009B0045"/>
    <w:rsid w:val="009D0BEB"/>
    <w:rsid w:val="009D312E"/>
    <w:rsid w:val="009D62EA"/>
    <w:rsid w:val="009F3945"/>
    <w:rsid w:val="00A0136A"/>
    <w:rsid w:val="00A02B81"/>
    <w:rsid w:val="00A0782A"/>
    <w:rsid w:val="00A13B86"/>
    <w:rsid w:val="00A35F40"/>
    <w:rsid w:val="00A36339"/>
    <w:rsid w:val="00A36FCF"/>
    <w:rsid w:val="00A43C7A"/>
    <w:rsid w:val="00A446EB"/>
    <w:rsid w:val="00A50DC0"/>
    <w:rsid w:val="00A515F7"/>
    <w:rsid w:val="00A55A80"/>
    <w:rsid w:val="00A7258A"/>
    <w:rsid w:val="00A752AC"/>
    <w:rsid w:val="00A829E4"/>
    <w:rsid w:val="00A916FD"/>
    <w:rsid w:val="00A9315A"/>
    <w:rsid w:val="00A94DE0"/>
    <w:rsid w:val="00AA1747"/>
    <w:rsid w:val="00AA3CE3"/>
    <w:rsid w:val="00AA611B"/>
    <w:rsid w:val="00AB17B6"/>
    <w:rsid w:val="00AB3C84"/>
    <w:rsid w:val="00AC0572"/>
    <w:rsid w:val="00AC6C54"/>
    <w:rsid w:val="00AE029F"/>
    <w:rsid w:val="00AE1EE1"/>
    <w:rsid w:val="00AF04F6"/>
    <w:rsid w:val="00B01294"/>
    <w:rsid w:val="00B04AFD"/>
    <w:rsid w:val="00B14279"/>
    <w:rsid w:val="00B15863"/>
    <w:rsid w:val="00B25F3F"/>
    <w:rsid w:val="00B27B84"/>
    <w:rsid w:val="00B37150"/>
    <w:rsid w:val="00B412D3"/>
    <w:rsid w:val="00B51B2E"/>
    <w:rsid w:val="00B52A9F"/>
    <w:rsid w:val="00B54401"/>
    <w:rsid w:val="00B56BFB"/>
    <w:rsid w:val="00B77500"/>
    <w:rsid w:val="00B86086"/>
    <w:rsid w:val="00BB19C9"/>
    <w:rsid w:val="00BB6CC7"/>
    <w:rsid w:val="00BC555E"/>
    <w:rsid w:val="00BD6DE0"/>
    <w:rsid w:val="00BF18BE"/>
    <w:rsid w:val="00BF3996"/>
    <w:rsid w:val="00BF41C6"/>
    <w:rsid w:val="00C04B81"/>
    <w:rsid w:val="00C04ECC"/>
    <w:rsid w:val="00C160C2"/>
    <w:rsid w:val="00C171D7"/>
    <w:rsid w:val="00C21D8A"/>
    <w:rsid w:val="00C26404"/>
    <w:rsid w:val="00C43381"/>
    <w:rsid w:val="00C44C55"/>
    <w:rsid w:val="00C44CBC"/>
    <w:rsid w:val="00C45D66"/>
    <w:rsid w:val="00C61F50"/>
    <w:rsid w:val="00C70F78"/>
    <w:rsid w:val="00C71725"/>
    <w:rsid w:val="00C72E84"/>
    <w:rsid w:val="00C73D2D"/>
    <w:rsid w:val="00C74E87"/>
    <w:rsid w:val="00C77E2A"/>
    <w:rsid w:val="00C86A54"/>
    <w:rsid w:val="00C91C1D"/>
    <w:rsid w:val="00CA26DF"/>
    <w:rsid w:val="00CA2CC5"/>
    <w:rsid w:val="00CA62AD"/>
    <w:rsid w:val="00CB2337"/>
    <w:rsid w:val="00CB5A9B"/>
    <w:rsid w:val="00CB719B"/>
    <w:rsid w:val="00CC4F73"/>
    <w:rsid w:val="00CC6F6B"/>
    <w:rsid w:val="00CD54C6"/>
    <w:rsid w:val="00CD5760"/>
    <w:rsid w:val="00CE2477"/>
    <w:rsid w:val="00CE4639"/>
    <w:rsid w:val="00CF3593"/>
    <w:rsid w:val="00CF4A72"/>
    <w:rsid w:val="00CF6BED"/>
    <w:rsid w:val="00D00444"/>
    <w:rsid w:val="00D01AED"/>
    <w:rsid w:val="00D17694"/>
    <w:rsid w:val="00D238E8"/>
    <w:rsid w:val="00D23FF0"/>
    <w:rsid w:val="00D258C2"/>
    <w:rsid w:val="00D31C1E"/>
    <w:rsid w:val="00D325E8"/>
    <w:rsid w:val="00D44B46"/>
    <w:rsid w:val="00D559E0"/>
    <w:rsid w:val="00D6455E"/>
    <w:rsid w:val="00D76FE3"/>
    <w:rsid w:val="00D80080"/>
    <w:rsid w:val="00D80661"/>
    <w:rsid w:val="00D80945"/>
    <w:rsid w:val="00D817FC"/>
    <w:rsid w:val="00D92BF1"/>
    <w:rsid w:val="00D962E8"/>
    <w:rsid w:val="00DA2476"/>
    <w:rsid w:val="00DA3E0D"/>
    <w:rsid w:val="00DA4B7F"/>
    <w:rsid w:val="00DB01D1"/>
    <w:rsid w:val="00DB2076"/>
    <w:rsid w:val="00DB3587"/>
    <w:rsid w:val="00DB5AD9"/>
    <w:rsid w:val="00DC1D94"/>
    <w:rsid w:val="00DC617A"/>
    <w:rsid w:val="00DD221C"/>
    <w:rsid w:val="00DD4E54"/>
    <w:rsid w:val="00DD5BD6"/>
    <w:rsid w:val="00DE24CD"/>
    <w:rsid w:val="00DF1FE5"/>
    <w:rsid w:val="00DF6252"/>
    <w:rsid w:val="00E063E1"/>
    <w:rsid w:val="00E13610"/>
    <w:rsid w:val="00E15AA8"/>
    <w:rsid w:val="00E170E6"/>
    <w:rsid w:val="00E22FAC"/>
    <w:rsid w:val="00E27149"/>
    <w:rsid w:val="00E37998"/>
    <w:rsid w:val="00E5426C"/>
    <w:rsid w:val="00E572D4"/>
    <w:rsid w:val="00E57318"/>
    <w:rsid w:val="00E60691"/>
    <w:rsid w:val="00E6373B"/>
    <w:rsid w:val="00E703A2"/>
    <w:rsid w:val="00E75525"/>
    <w:rsid w:val="00E8589B"/>
    <w:rsid w:val="00E9019B"/>
    <w:rsid w:val="00E916DB"/>
    <w:rsid w:val="00E977B7"/>
    <w:rsid w:val="00EA2B43"/>
    <w:rsid w:val="00EA3447"/>
    <w:rsid w:val="00EB7F88"/>
    <w:rsid w:val="00EC0EC8"/>
    <w:rsid w:val="00EC75AF"/>
    <w:rsid w:val="00ED0A9C"/>
    <w:rsid w:val="00ED4215"/>
    <w:rsid w:val="00ED469C"/>
    <w:rsid w:val="00EF045D"/>
    <w:rsid w:val="00EF4850"/>
    <w:rsid w:val="00F00A4F"/>
    <w:rsid w:val="00F04B7A"/>
    <w:rsid w:val="00F1011C"/>
    <w:rsid w:val="00F12B8A"/>
    <w:rsid w:val="00F1576F"/>
    <w:rsid w:val="00F2508D"/>
    <w:rsid w:val="00F331EC"/>
    <w:rsid w:val="00F36400"/>
    <w:rsid w:val="00F42C9C"/>
    <w:rsid w:val="00F4485C"/>
    <w:rsid w:val="00F53550"/>
    <w:rsid w:val="00F61D52"/>
    <w:rsid w:val="00F62C72"/>
    <w:rsid w:val="00F62EAD"/>
    <w:rsid w:val="00F63290"/>
    <w:rsid w:val="00F700D5"/>
    <w:rsid w:val="00F72F70"/>
    <w:rsid w:val="00F7371D"/>
    <w:rsid w:val="00F7503C"/>
    <w:rsid w:val="00F77716"/>
    <w:rsid w:val="00F85A7B"/>
    <w:rsid w:val="00F929A2"/>
    <w:rsid w:val="00FA182C"/>
    <w:rsid w:val="00FA318B"/>
    <w:rsid w:val="00FB7100"/>
    <w:rsid w:val="00FC2162"/>
    <w:rsid w:val="00FD1285"/>
    <w:rsid w:val="01516DA0"/>
    <w:rsid w:val="01577A95"/>
    <w:rsid w:val="01602ACF"/>
    <w:rsid w:val="017D1D0E"/>
    <w:rsid w:val="01812396"/>
    <w:rsid w:val="01BD2397"/>
    <w:rsid w:val="01CD1FB9"/>
    <w:rsid w:val="01D9353B"/>
    <w:rsid w:val="01DF57D4"/>
    <w:rsid w:val="01E27512"/>
    <w:rsid w:val="02232F40"/>
    <w:rsid w:val="02282D3D"/>
    <w:rsid w:val="025D1BC9"/>
    <w:rsid w:val="025E6FA1"/>
    <w:rsid w:val="026062FB"/>
    <w:rsid w:val="026820FD"/>
    <w:rsid w:val="02841EA5"/>
    <w:rsid w:val="02877D50"/>
    <w:rsid w:val="029F0CA0"/>
    <w:rsid w:val="02B026AF"/>
    <w:rsid w:val="02D15D8D"/>
    <w:rsid w:val="03195D8F"/>
    <w:rsid w:val="0326436C"/>
    <w:rsid w:val="036E2D8F"/>
    <w:rsid w:val="03BE7970"/>
    <w:rsid w:val="03CD07BC"/>
    <w:rsid w:val="03D82B85"/>
    <w:rsid w:val="03E30DE5"/>
    <w:rsid w:val="03F541F7"/>
    <w:rsid w:val="045F402E"/>
    <w:rsid w:val="04B873C3"/>
    <w:rsid w:val="04CD2920"/>
    <w:rsid w:val="04FE4496"/>
    <w:rsid w:val="0516160A"/>
    <w:rsid w:val="05402597"/>
    <w:rsid w:val="05650E27"/>
    <w:rsid w:val="057F41BC"/>
    <w:rsid w:val="05B46BD6"/>
    <w:rsid w:val="05C206F3"/>
    <w:rsid w:val="05FD22E1"/>
    <w:rsid w:val="06246E4B"/>
    <w:rsid w:val="062A48BD"/>
    <w:rsid w:val="062D6F15"/>
    <w:rsid w:val="06562A21"/>
    <w:rsid w:val="067D1F0C"/>
    <w:rsid w:val="06A739F5"/>
    <w:rsid w:val="06B1714C"/>
    <w:rsid w:val="06DD27E0"/>
    <w:rsid w:val="070445E7"/>
    <w:rsid w:val="070D5E15"/>
    <w:rsid w:val="07104638"/>
    <w:rsid w:val="071362CA"/>
    <w:rsid w:val="07485E8A"/>
    <w:rsid w:val="07BC3A70"/>
    <w:rsid w:val="07EA0046"/>
    <w:rsid w:val="082F5BCE"/>
    <w:rsid w:val="08527F51"/>
    <w:rsid w:val="08561DCD"/>
    <w:rsid w:val="089C33AD"/>
    <w:rsid w:val="08C4721E"/>
    <w:rsid w:val="08E06640"/>
    <w:rsid w:val="08F00E5F"/>
    <w:rsid w:val="091B2670"/>
    <w:rsid w:val="093A43CC"/>
    <w:rsid w:val="096E714A"/>
    <w:rsid w:val="097C3032"/>
    <w:rsid w:val="09DE5189"/>
    <w:rsid w:val="09EB5A83"/>
    <w:rsid w:val="09EC2563"/>
    <w:rsid w:val="09F74443"/>
    <w:rsid w:val="0A5E0054"/>
    <w:rsid w:val="0A653C5A"/>
    <w:rsid w:val="0A740EF1"/>
    <w:rsid w:val="0A835475"/>
    <w:rsid w:val="0AC3727F"/>
    <w:rsid w:val="0B057CDE"/>
    <w:rsid w:val="0B0F39C4"/>
    <w:rsid w:val="0B187225"/>
    <w:rsid w:val="0B2331A6"/>
    <w:rsid w:val="0B6E4588"/>
    <w:rsid w:val="0B7671EE"/>
    <w:rsid w:val="0BA66466"/>
    <w:rsid w:val="0BA8223D"/>
    <w:rsid w:val="0BAE5E98"/>
    <w:rsid w:val="0BB16F7E"/>
    <w:rsid w:val="0BD74FFA"/>
    <w:rsid w:val="0C07145E"/>
    <w:rsid w:val="0C0D7BC9"/>
    <w:rsid w:val="0C171BCC"/>
    <w:rsid w:val="0C2D4596"/>
    <w:rsid w:val="0C497358"/>
    <w:rsid w:val="0C8B7716"/>
    <w:rsid w:val="0CAA7699"/>
    <w:rsid w:val="0CBC5F37"/>
    <w:rsid w:val="0CFD01FE"/>
    <w:rsid w:val="0D081848"/>
    <w:rsid w:val="0D0B53D1"/>
    <w:rsid w:val="0D5908D1"/>
    <w:rsid w:val="0D662039"/>
    <w:rsid w:val="0E5F3526"/>
    <w:rsid w:val="0E7A2191"/>
    <w:rsid w:val="0EC96938"/>
    <w:rsid w:val="0ED11057"/>
    <w:rsid w:val="0EE34BA8"/>
    <w:rsid w:val="0F600EE5"/>
    <w:rsid w:val="0F854A10"/>
    <w:rsid w:val="0F913798"/>
    <w:rsid w:val="0F9F64F8"/>
    <w:rsid w:val="0FB20C66"/>
    <w:rsid w:val="0FCA67D3"/>
    <w:rsid w:val="0FE345F0"/>
    <w:rsid w:val="10157735"/>
    <w:rsid w:val="1122183B"/>
    <w:rsid w:val="11286EB5"/>
    <w:rsid w:val="112F4862"/>
    <w:rsid w:val="11385ECA"/>
    <w:rsid w:val="11504B5E"/>
    <w:rsid w:val="11554AE9"/>
    <w:rsid w:val="115D0C66"/>
    <w:rsid w:val="11827E4F"/>
    <w:rsid w:val="11E117B1"/>
    <w:rsid w:val="1238700C"/>
    <w:rsid w:val="124106CE"/>
    <w:rsid w:val="124D0477"/>
    <w:rsid w:val="126334B0"/>
    <w:rsid w:val="12723A05"/>
    <w:rsid w:val="12991DDD"/>
    <w:rsid w:val="12A169CA"/>
    <w:rsid w:val="12E93EFF"/>
    <w:rsid w:val="130C2561"/>
    <w:rsid w:val="1330109D"/>
    <w:rsid w:val="133D299F"/>
    <w:rsid w:val="1341299A"/>
    <w:rsid w:val="135327D1"/>
    <w:rsid w:val="135733A4"/>
    <w:rsid w:val="136368DF"/>
    <w:rsid w:val="136E71CC"/>
    <w:rsid w:val="136F638E"/>
    <w:rsid w:val="140300B6"/>
    <w:rsid w:val="1410526B"/>
    <w:rsid w:val="14252B9A"/>
    <w:rsid w:val="14EC2EED"/>
    <w:rsid w:val="14F75DFC"/>
    <w:rsid w:val="154A6F6C"/>
    <w:rsid w:val="15C93309"/>
    <w:rsid w:val="15E94373"/>
    <w:rsid w:val="166D24B4"/>
    <w:rsid w:val="169031F3"/>
    <w:rsid w:val="16904830"/>
    <w:rsid w:val="16A55DE5"/>
    <w:rsid w:val="16A61E6E"/>
    <w:rsid w:val="16BC26FB"/>
    <w:rsid w:val="16D929C8"/>
    <w:rsid w:val="17070F48"/>
    <w:rsid w:val="173C5965"/>
    <w:rsid w:val="17461F24"/>
    <w:rsid w:val="17532056"/>
    <w:rsid w:val="17546DAE"/>
    <w:rsid w:val="1776497D"/>
    <w:rsid w:val="17931B4F"/>
    <w:rsid w:val="17BB7040"/>
    <w:rsid w:val="181F4E11"/>
    <w:rsid w:val="183F3B33"/>
    <w:rsid w:val="18937C74"/>
    <w:rsid w:val="18BB2ABA"/>
    <w:rsid w:val="18EB31CF"/>
    <w:rsid w:val="18EF1646"/>
    <w:rsid w:val="19397289"/>
    <w:rsid w:val="19581DE0"/>
    <w:rsid w:val="195E0C82"/>
    <w:rsid w:val="19A03F58"/>
    <w:rsid w:val="19B4271F"/>
    <w:rsid w:val="1A2C00C3"/>
    <w:rsid w:val="1A397482"/>
    <w:rsid w:val="1A847992"/>
    <w:rsid w:val="1A8675FB"/>
    <w:rsid w:val="1AE201A5"/>
    <w:rsid w:val="1AFB449A"/>
    <w:rsid w:val="1B1432D9"/>
    <w:rsid w:val="1B3958B9"/>
    <w:rsid w:val="1B431842"/>
    <w:rsid w:val="1B563733"/>
    <w:rsid w:val="1B940ABF"/>
    <w:rsid w:val="1BC1715F"/>
    <w:rsid w:val="1BE32844"/>
    <w:rsid w:val="1BF04F3F"/>
    <w:rsid w:val="1BF514D4"/>
    <w:rsid w:val="1C597E5D"/>
    <w:rsid w:val="1C672C17"/>
    <w:rsid w:val="1CA72EE2"/>
    <w:rsid w:val="1CB43E62"/>
    <w:rsid w:val="1CC1057A"/>
    <w:rsid w:val="1CC23432"/>
    <w:rsid w:val="1CCF109C"/>
    <w:rsid w:val="1D1847B1"/>
    <w:rsid w:val="1D313810"/>
    <w:rsid w:val="1D371ECF"/>
    <w:rsid w:val="1D692DBA"/>
    <w:rsid w:val="1D7A5BF8"/>
    <w:rsid w:val="1DA97488"/>
    <w:rsid w:val="1DB13A91"/>
    <w:rsid w:val="1DBC77F7"/>
    <w:rsid w:val="1DDC5C36"/>
    <w:rsid w:val="1DE8609D"/>
    <w:rsid w:val="1DF745C2"/>
    <w:rsid w:val="1DF76CF9"/>
    <w:rsid w:val="1E0D194E"/>
    <w:rsid w:val="1E2C1C6D"/>
    <w:rsid w:val="1E404531"/>
    <w:rsid w:val="1E733F80"/>
    <w:rsid w:val="1EAD2B4B"/>
    <w:rsid w:val="1EC22A8D"/>
    <w:rsid w:val="1EC835E7"/>
    <w:rsid w:val="1EDF5A4F"/>
    <w:rsid w:val="1F0C1BD1"/>
    <w:rsid w:val="1F2C327F"/>
    <w:rsid w:val="1F2F053E"/>
    <w:rsid w:val="1F473C67"/>
    <w:rsid w:val="1F476613"/>
    <w:rsid w:val="1F947660"/>
    <w:rsid w:val="1F9C4C15"/>
    <w:rsid w:val="1FA50941"/>
    <w:rsid w:val="1FFE52B5"/>
    <w:rsid w:val="20181CA4"/>
    <w:rsid w:val="203E03B7"/>
    <w:rsid w:val="20C35AE2"/>
    <w:rsid w:val="21162D2D"/>
    <w:rsid w:val="211833B2"/>
    <w:rsid w:val="21772193"/>
    <w:rsid w:val="21787C0B"/>
    <w:rsid w:val="21A47A6C"/>
    <w:rsid w:val="21AC114F"/>
    <w:rsid w:val="21AE67A2"/>
    <w:rsid w:val="22011EC3"/>
    <w:rsid w:val="22064B9C"/>
    <w:rsid w:val="22126A43"/>
    <w:rsid w:val="221E745A"/>
    <w:rsid w:val="22292726"/>
    <w:rsid w:val="22BC1D4F"/>
    <w:rsid w:val="22E8305C"/>
    <w:rsid w:val="22FF74A8"/>
    <w:rsid w:val="23136BBC"/>
    <w:rsid w:val="23300D1D"/>
    <w:rsid w:val="23766C20"/>
    <w:rsid w:val="237A50C1"/>
    <w:rsid w:val="23B858BE"/>
    <w:rsid w:val="241A5382"/>
    <w:rsid w:val="245B3AFD"/>
    <w:rsid w:val="24606F9E"/>
    <w:rsid w:val="24850FDD"/>
    <w:rsid w:val="24A41DE4"/>
    <w:rsid w:val="24D60AFF"/>
    <w:rsid w:val="24D66001"/>
    <w:rsid w:val="24EA07B5"/>
    <w:rsid w:val="250B7B68"/>
    <w:rsid w:val="251A56D0"/>
    <w:rsid w:val="254147E5"/>
    <w:rsid w:val="25531167"/>
    <w:rsid w:val="257578D7"/>
    <w:rsid w:val="25C36681"/>
    <w:rsid w:val="25CB12CC"/>
    <w:rsid w:val="26096C1B"/>
    <w:rsid w:val="262912DB"/>
    <w:rsid w:val="26891C33"/>
    <w:rsid w:val="269B5986"/>
    <w:rsid w:val="26E73E09"/>
    <w:rsid w:val="270F6953"/>
    <w:rsid w:val="27310FBD"/>
    <w:rsid w:val="27390168"/>
    <w:rsid w:val="2742512B"/>
    <w:rsid w:val="27881D67"/>
    <w:rsid w:val="278B656D"/>
    <w:rsid w:val="27B61598"/>
    <w:rsid w:val="27B66745"/>
    <w:rsid w:val="27F9771B"/>
    <w:rsid w:val="28113095"/>
    <w:rsid w:val="28125F48"/>
    <w:rsid w:val="282A3DFE"/>
    <w:rsid w:val="282C6F79"/>
    <w:rsid w:val="28BE1985"/>
    <w:rsid w:val="28F05502"/>
    <w:rsid w:val="2901039D"/>
    <w:rsid w:val="290541D8"/>
    <w:rsid w:val="291C05BB"/>
    <w:rsid w:val="293D0F4D"/>
    <w:rsid w:val="29576D3E"/>
    <w:rsid w:val="29770B35"/>
    <w:rsid w:val="298A64C0"/>
    <w:rsid w:val="29972B81"/>
    <w:rsid w:val="29AF4342"/>
    <w:rsid w:val="29C97B4A"/>
    <w:rsid w:val="29E65DC8"/>
    <w:rsid w:val="29EC65F4"/>
    <w:rsid w:val="29F85A62"/>
    <w:rsid w:val="2A262A21"/>
    <w:rsid w:val="2A3C5B36"/>
    <w:rsid w:val="2A4B52B2"/>
    <w:rsid w:val="2A766061"/>
    <w:rsid w:val="2AB06629"/>
    <w:rsid w:val="2AB43D4D"/>
    <w:rsid w:val="2ACA43CE"/>
    <w:rsid w:val="2ACC5B79"/>
    <w:rsid w:val="2B635FDF"/>
    <w:rsid w:val="2BCB1869"/>
    <w:rsid w:val="2BD71D8C"/>
    <w:rsid w:val="2BE26599"/>
    <w:rsid w:val="2C0D3FB3"/>
    <w:rsid w:val="2C2B360C"/>
    <w:rsid w:val="2C621296"/>
    <w:rsid w:val="2C636E67"/>
    <w:rsid w:val="2C657A99"/>
    <w:rsid w:val="2C7D499A"/>
    <w:rsid w:val="2C8C2C1E"/>
    <w:rsid w:val="2CAD3E3E"/>
    <w:rsid w:val="2CC26FAF"/>
    <w:rsid w:val="2CDD3077"/>
    <w:rsid w:val="2D231A0C"/>
    <w:rsid w:val="2D4C0A8A"/>
    <w:rsid w:val="2D626410"/>
    <w:rsid w:val="2DE61DD9"/>
    <w:rsid w:val="2DE9261B"/>
    <w:rsid w:val="2DEC0BAE"/>
    <w:rsid w:val="2E496029"/>
    <w:rsid w:val="2E594AEB"/>
    <w:rsid w:val="2E7350C2"/>
    <w:rsid w:val="2E74527C"/>
    <w:rsid w:val="2E7662CB"/>
    <w:rsid w:val="2EBC2598"/>
    <w:rsid w:val="2ED87DB6"/>
    <w:rsid w:val="2EEF25A9"/>
    <w:rsid w:val="2EF2486D"/>
    <w:rsid w:val="2F351C98"/>
    <w:rsid w:val="2F4936EF"/>
    <w:rsid w:val="2F5C1972"/>
    <w:rsid w:val="2F826893"/>
    <w:rsid w:val="2F957568"/>
    <w:rsid w:val="2FB718ED"/>
    <w:rsid w:val="2FCD13D4"/>
    <w:rsid w:val="2FD673DF"/>
    <w:rsid w:val="3001562B"/>
    <w:rsid w:val="301C2612"/>
    <w:rsid w:val="301C3DE9"/>
    <w:rsid w:val="30281204"/>
    <w:rsid w:val="30320CC1"/>
    <w:rsid w:val="30323EF7"/>
    <w:rsid w:val="30342F5D"/>
    <w:rsid w:val="3057191F"/>
    <w:rsid w:val="30575873"/>
    <w:rsid w:val="306F0A9C"/>
    <w:rsid w:val="30763CC4"/>
    <w:rsid w:val="308166D8"/>
    <w:rsid w:val="30A01524"/>
    <w:rsid w:val="30C35D54"/>
    <w:rsid w:val="30CB47D1"/>
    <w:rsid w:val="30E220E7"/>
    <w:rsid w:val="310042AA"/>
    <w:rsid w:val="318162DF"/>
    <w:rsid w:val="31B379BF"/>
    <w:rsid w:val="31D9735D"/>
    <w:rsid w:val="31E87763"/>
    <w:rsid w:val="32083162"/>
    <w:rsid w:val="322B24A9"/>
    <w:rsid w:val="32450714"/>
    <w:rsid w:val="324E1DD1"/>
    <w:rsid w:val="3264762D"/>
    <w:rsid w:val="32771D4D"/>
    <w:rsid w:val="327D28AB"/>
    <w:rsid w:val="32BA05AF"/>
    <w:rsid w:val="32E809D9"/>
    <w:rsid w:val="32FD7F31"/>
    <w:rsid w:val="330C6A1F"/>
    <w:rsid w:val="33270FA6"/>
    <w:rsid w:val="337169D6"/>
    <w:rsid w:val="337505E6"/>
    <w:rsid w:val="339E1487"/>
    <w:rsid w:val="33B11E96"/>
    <w:rsid w:val="33FB0177"/>
    <w:rsid w:val="343523CF"/>
    <w:rsid w:val="345605B9"/>
    <w:rsid w:val="345B5B3D"/>
    <w:rsid w:val="349766E8"/>
    <w:rsid w:val="34E317FD"/>
    <w:rsid w:val="34E806E7"/>
    <w:rsid w:val="351A3F57"/>
    <w:rsid w:val="3528462A"/>
    <w:rsid w:val="352B4A5F"/>
    <w:rsid w:val="3553139E"/>
    <w:rsid w:val="35A94280"/>
    <w:rsid w:val="35A9705C"/>
    <w:rsid w:val="35E13C10"/>
    <w:rsid w:val="362A3BCA"/>
    <w:rsid w:val="363267BA"/>
    <w:rsid w:val="36572B22"/>
    <w:rsid w:val="365920B4"/>
    <w:rsid w:val="366D15C9"/>
    <w:rsid w:val="36B72109"/>
    <w:rsid w:val="36BB0272"/>
    <w:rsid w:val="36C36D39"/>
    <w:rsid w:val="36EE6887"/>
    <w:rsid w:val="36F91C70"/>
    <w:rsid w:val="37125250"/>
    <w:rsid w:val="373F10E5"/>
    <w:rsid w:val="374D069D"/>
    <w:rsid w:val="375E3409"/>
    <w:rsid w:val="37F875AC"/>
    <w:rsid w:val="37FF377B"/>
    <w:rsid w:val="38431A11"/>
    <w:rsid w:val="384868A1"/>
    <w:rsid w:val="386C2016"/>
    <w:rsid w:val="388F464F"/>
    <w:rsid w:val="38EB77CC"/>
    <w:rsid w:val="3907317A"/>
    <w:rsid w:val="3917719B"/>
    <w:rsid w:val="39D058EC"/>
    <w:rsid w:val="39E42010"/>
    <w:rsid w:val="3B0206A3"/>
    <w:rsid w:val="3B4208E0"/>
    <w:rsid w:val="3B502055"/>
    <w:rsid w:val="3B54126A"/>
    <w:rsid w:val="3B6A398A"/>
    <w:rsid w:val="3BC02526"/>
    <w:rsid w:val="3C212676"/>
    <w:rsid w:val="3C540798"/>
    <w:rsid w:val="3C6E44FB"/>
    <w:rsid w:val="3C6E71CB"/>
    <w:rsid w:val="3CD96603"/>
    <w:rsid w:val="3CE65B93"/>
    <w:rsid w:val="3D095CFD"/>
    <w:rsid w:val="3D2F2E2B"/>
    <w:rsid w:val="3D54549F"/>
    <w:rsid w:val="3D5546A4"/>
    <w:rsid w:val="3D782EDC"/>
    <w:rsid w:val="3D962D05"/>
    <w:rsid w:val="3DC66D0F"/>
    <w:rsid w:val="3DE33847"/>
    <w:rsid w:val="3E0C0B7F"/>
    <w:rsid w:val="3E284F18"/>
    <w:rsid w:val="3E7D4A74"/>
    <w:rsid w:val="3EDA6C74"/>
    <w:rsid w:val="3F506FBA"/>
    <w:rsid w:val="3F5C0932"/>
    <w:rsid w:val="3F875CEE"/>
    <w:rsid w:val="3F8969B8"/>
    <w:rsid w:val="3FB447DD"/>
    <w:rsid w:val="3FDE50AE"/>
    <w:rsid w:val="3FED652B"/>
    <w:rsid w:val="40085D1D"/>
    <w:rsid w:val="403C2C9C"/>
    <w:rsid w:val="40545622"/>
    <w:rsid w:val="40797360"/>
    <w:rsid w:val="40834A72"/>
    <w:rsid w:val="4091568B"/>
    <w:rsid w:val="409A04CA"/>
    <w:rsid w:val="40AD3947"/>
    <w:rsid w:val="40F853C6"/>
    <w:rsid w:val="410F4DA2"/>
    <w:rsid w:val="412925DE"/>
    <w:rsid w:val="415D4460"/>
    <w:rsid w:val="415E5AC4"/>
    <w:rsid w:val="418B27CD"/>
    <w:rsid w:val="41946E38"/>
    <w:rsid w:val="419C3302"/>
    <w:rsid w:val="41C96A7D"/>
    <w:rsid w:val="41E30FE8"/>
    <w:rsid w:val="42015937"/>
    <w:rsid w:val="42196F41"/>
    <w:rsid w:val="423B728E"/>
    <w:rsid w:val="42744B04"/>
    <w:rsid w:val="42A57C22"/>
    <w:rsid w:val="42D445D3"/>
    <w:rsid w:val="42DD368A"/>
    <w:rsid w:val="42E641CC"/>
    <w:rsid w:val="43096820"/>
    <w:rsid w:val="430F12AE"/>
    <w:rsid w:val="432527CB"/>
    <w:rsid w:val="433849BD"/>
    <w:rsid w:val="437D30BA"/>
    <w:rsid w:val="43D5128A"/>
    <w:rsid w:val="43D718FC"/>
    <w:rsid w:val="43DD0AE5"/>
    <w:rsid w:val="443C2855"/>
    <w:rsid w:val="44546E02"/>
    <w:rsid w:val="446253E4"/>
    <w:rsid w:val="449527D2"/>
    <w:rsid w:val="44CB4479"/>
    <w:rsid w:val="44D32B56"/>
    <w:rsid w:val="45190DEB"/>
    <w:rsid w:val="452E66BA"/>
    <w:rsid w:val="45981160"/>
    <w:rsid w:val="45A32BAF"/>
    <w:rsid w:val="45DD57EC"/>
    <w:rsid w:val="45F02BD3"/>
    <w:rsid w:val="460670F6"/>
    <w:rsid w:val="46081204"/>
    <w:rsid w:val="4626540C"/>
    <w:rsid w:val="464704F5"/>
    <w:rsid w:val="46922775"/>
    <w:rsid w:val="46CF772E"/>
    <w:rsid w:val="46E124F2"/>
    <w:rsid w:val="46EE13D6"/>
    <w:rsid w:val="46F204E6"/>
    <w:rsid w:val="471E13A0"/>
    <w:rsid w:val="473B2FDF"/>
    <w:rsid w:val="4746590F"/>
    <w:rsid w:val="475F3CB7"/>
    <w:rsid w:val="47A8574C"/>
    <w:rsid w:val="47AE6BCF"/>
    <w:rsid w:val="47C22358"/>
    <w:rsid w:val="48177719"/>
    <w:rsid w:val="48434F74"/>
    <w:rsid w:val="484C3438"/>
    <w:rsid w:val="485928FE"/>
    <w:rsid w:val="48776219"/>
    <w:rsid w:val="48CA7873"/>
    <w:rsid w:val="490C1702"/>
    <w:rsid w:val="492E438F"/>
    <w:rsid w:val="49D258AD"/>
    <w:rsid w:val="49DB60A5"/>
    <w:rsid w:val="49F93193"/>
    <w:rsid w:val="49F9661A"/>
    <w:rsid w:val="4A2432A1"/>
    <w:rsid w:val="4A5C5E67"/>
    <w:rsid w:val="4A9237F0"/>
    <w:rsid w:val="4A99644E"/>
    <w:rsid w:val="4AB0507C"/>
    <w:rsid w:val="4AD73475"/>
    <w:rsid w:val="4AD957C1"/>
    <w:rsid w:val="4AE14D58"/>
    <w:rsid w:val="4B026F4E"/>
    <w:rsid w:val="4B90577F"/>
    <w:rsid w:val="4BC835F1"/>
    <w:rsid w:val="4BD51068"/>
    <w:rsid w:val="4BDD65AD"/>
    <w:rsid w:val="4C0D61D9"/>
    <w:rsid w:val="4C4661F5"/>
    <w:rsid w:val="4C4708AC"/>
    <w:rsid w:val="4C622823"/>
    <w:rsid w:val="4CBE1BA4"/>
    <w:rsid w:val="4CCD549E"/>
    <w:rsid w:val="4CFA57B4"/>
    <w:rsid w:val="4D0F3CBE"/>
    <w:rsid w:val="4D335D8A"/>
    <w:rsid w:val="4D477720"/>
    <w:rsid w:val="4D681A7E"/>
    <w:rsid w:val="4D682177"/>
    <w:rsid w:val="4D75654C"/>
    <w:rsid w:val="4D8D571E"/>
    <w:rsid w:val="4D8F6091"/>
    <w:rsid w:val="4D9F552E"/>
    <w:rsid w:val="4DB079DB"/>
    <w:rsid w:val="4EB639E2"/>
    <w:rsid w:val="4EB96DC1"/>
    <w:rsid w:val="4EEF6B88"/>
    <w:rsid w:val="4F101539"/>
    <w:rsid w:val="4F230F72"/>
    <w:rsid w:val="4F887241"/>
    <w:rsid w:val="4F8A5C01"/>
    <w:rsid w:val="4FBF4639"/>
    <w:rsid w:val="50064982"/>
    <w:rsid w:val="50294D6A"/>
    <w:rsid w:val="504A28A3"/>
    <w:rsid w:val="50530260"/>
    <w:rsid w:val="506D30EE"/>
    <w:rsid w:val="507B663A"/>
    <w:rsid w:val="507F6A9B"/>
    <w:rsid w:val="50A735F0"/>
    <w:rsid w:val="50B4096E"/>
    <w:rsid w:val="51122AAA"/>
    <w:rsid w:val="51177F38"/>
    <w:rsid w:val="511B3075"/>
    <w:rsid w:val="51411EDA"/>
    <w:rsid w:val="517B6BDC"/>
    <w:rsid w:val="51C93D3B"/>
    <w:rsid w:val="51E7295D"/>
    <w:rsid w:val="51E830AC"/>
    <w:rsid w:val="51F13729"/>
    <w:rsid w:val="51F37B97"/>
    <w:rsid w:val="5211436A"/>
    <w:rsid w:val="521634D1"/>
    <w:rsid w:val="52193DA2"/>
    <w:rsid w:val="52492A37"/>
    <w:rsid w:val="52853A45"/>
    <w:rsid w:val="52CB4CFA"/>
    <w:rsid w:val="52E058A5"/>
    <w:rsid w:val="52F77CAE"/>
    <w:rsid w:val="530D2861"/>
    <w:rsid w:val="531F2000"/>
    <w:rsid w:val="53251BAA"/>
    <w:rsid w:val="53570212"/>
    <w:rsid w:val="535A0BC2"/>
    <w:rsid w:val="53644E59"/>
    <w:rsid w:val="536564E1"/>
    <w:rsid w:val="536B3D8C"/>
    <w:rsid w:val="537745FC"/>
    <w:rsid w:val="538140D6"/>
    <w:rsid w:val="53E51637"/>
    <w:rsid w:val="53F95306"/>
    <w:rsid w:val="53FA7DEA"/>
    <w:rsid w:val="53FB628B"/>
    <w:rsid w:val="53FD1523"/>
    <w:rsid w:val="54314BEC"/>
    <w:rsid w:val="54B02D1B"/>
    <w:rsid w:val="54D866E2"/>
    <w:rsid w:val="54FD65E1"/>
    <w:rsid w:val="55667A4C"/>
    <w:rsid w:val="556D21D9"/>
    <w:rsid w:val="5581742C"/>
    <w:rsid w:val="55C840E7"/>
    <w:rsid w:val="55E3153C"/>
    <w:rsid w:val="560B1F8F"/>
    <w:rsid w:val="561225EE"/>
    <w:rsid w:val="561527E5"/>
    <w:rsid w:val="56725175"/>
    <w:rsid w:val="56B3657F"/>
    <w:rsid w:val="56D16EA0"/>
    <w:rsid w:val="56F91AB0"/>
    <w:rsid w:val="570457B9"/>
    <w:rsid w:val="57681919"/>
    <w:rsid w:val="576B17A3"/>
    <w:rsid w:val="57842FED"/>
    <w:rsid w:val="578C74EB"/>
    <w:rsid w:val="57CC4343"/>
    <w:rsid w:val="580558FE"/>
    <w:rsid w:val="5820220A"/>
    <w:rsid w:val="584023A0"/>
    <w:rsid w:val="58747744"/>
    <w:rsid w:val="58774426"/>
    <w:rsid w:val="58962439"/>
    <w:rsid w:val="58E040E7"/>
    <w:rsid w:val="591B7218"/>
    <w:rsid w:val="59276AE8"/>
    <w:rsid w:val="594F7A82"/>
    <w:rsid w:val="59606CED"/>
    <w:rsid w:val="596C5929"/>
    <w:rsid w:val="5985571C"/>
    <w:rsid w:val="59906AD2"/>
    <w:rsid w:val="599C2518"/>
    <w:rsid w:val="59C519A2"/>
    <w:rsid w:val="59CE089E"/>
    <w:rsid w:val="59EC0AB4"/>
    <w:rsid w:val="59F65F11"/>
    <w:rsid w:val="5A007EFD"/>
    <w:rsid w:val="5A0D2B20"/>
    <w:rsid w:val="5A1A238A"/>
    <w:rsid w:val="5A214AC6"/>
    <w:rsid w:val="5A341F6A"/>
    <w:rsid w:val="5A3716AA"/>
    <w:rsid w:val="5A781E20"/>
    <w:rsid w:val="5AA331E7"/>
    <w:rsid w:val="5AB677A5"/>
    <w:rsid w:val="5AF043DC"/>
    <w:rsid w:val="5AFC3C83"/>
    <w:rsid w:val="5B047577"/>
    <w:rsid w:val="5B3D3A25"/>
    <w:rsid w:val="5B957257"/>
    <w:rsid w:val="5B977EF1"/>
    <w:rsid w:val="5BA1019F"/>
    <w:rsid w:val="5BAF7FEF"/>
    <w:rsid w:val="5BCA1938"/>
    <w:rsid w:val="5BF77843"/>
    <w:rsid w:val="5C3A0336"/>
    <w:rsid w:val="5CA325A4"/>
    <w:rsid w:val="5CD43F35"/>
    <w:rsid w:val="5CEA2DBC"/>
    <w:rsid w:val="5D087D3D"/>
    <w:rsid w:val="5D191C7E"/>
    <w:rsid w:val="5D5A1663"/>
    <w:rsid w:val="5D706FC4"/>
    <w:rsid w:val="5DAC4AA3"/>
    <w:rsid w:val="5DC05590"/>
    <w:rsid w:val="5DD5379F"/>
    <w:rsid w:val="5DE227BD"/>
    <w:rsid w:val="5DE42DAD"/>
    <w:rsid w:val="5E0B12D6"/>
    <w:rsid w:val="5E0B3861"/>
    <w:rsid w:val="5E4F1228"/>
    <w:rsid w:val="5E827BBC"/>
    <w:rsid w:val="5EDB675F"/>
    <w:rsid w:val="5F290C61"/>
    <w:rsid w:val="5F5E5D96"/>
    <w:rsid w:val="5F5F4174"/>
    <w:rsid w:val="5F8605A2"/>
    <w:rsid w:val="5F864C8F"/>
    <w:rsid w:val="5FF9615E"/>
    <w:rsid w:val="60081091"/>
    <w:rsid w:val="601D3027"/>
    <w:rsid w:val="60215B49"/>
    <w:rsid w:val="60560CC1"/>
    <w:rsid w:val="609D0BED"/>
    <w:rsid w:val="60CD3B47"/>
    <w:rsid w:val="60D94B6D"/>
    <w:rsid w:val="60E735B7"/>
    <w:rsid w:val="610C0281"/>
    <w:rsid w:val="61264A98"/>
    <w:rsid w:val="615974C8"/>
    <w:rsid w:val="61AA08D6"/>
    <w:rsid w:val="61C10136"/>
    <w:rsid w:val="61D37333"/>
    <w:rsid w:val="62511164"/>
    <w:rsid w:val="62622A31"/>
    <w:rsid w:val="626D14B6"/>
    <w:rsid w:val="627E174D"/>
    <w:rsid w:val="629056BD"/>
    <w:rsid w:val="62A20BBA"/>
    <w:rsid w:val="62AF0F25"/>
    <w:rsid w:val="62BD284F"/>
    <w:rsid w:val="62DC06AE"/>
    <w:rsid w:val="62F664EB"/>
    <w:rsid w:val="62FE4EB5"/>
    <w:rsid w:val="630B3FAA"/>
    <w:rsid w:val="631846AF"/>
    <w:rsid w:val="632164AD"/>
    <w:rsid w:val="63285376"/>
    <w:rsid w:val="6380623E"/>
    <w:rsid w:val="639C25DA"/>
    <w:rsid w:val="63A56D32"/>
    <w:rsid w:val="63C93F97"/>
    <w:rsid w:val="63D23B0D"/>
    <w:rsid w:val="640419D8"/>
    <w:rsid w:val="643C3019"/>
    <w:rsid w:val="6476614D"/>
    <w:rsid w:val="64DF3D79"/>
    <w:rsid w:val="64FA1D7A"/>
    <w:rsid w:val="65304CD6"/>
    <w:rsid w:val="65343D30"/>
    <w:rsid w:val="656B7C3E"/>
    <w:rsid w:val="656D5294"/>
    <w:rsid w:val="65C8212E"/>
    <w:rsid w:val="662C0319"/>
    <w:rsid w:val="664D13B5"/>
    <w:rsid w:val="66910F4C"/>
    <w:rsid w:val="66C055D4"/>
    <w:rsid w:val="66FC7620"/>
    <w:rsid w:val="671856E9"/>
    <w:rsid w:val="672370DE"/>
    <w:rsid w:val="673B046F"/>
    <w:rsid w:val="67406E71"/>
    <w:rsid w:val="677B442D"/>
    <w:rsid w:val="67A83BF0"/>
    <w:rsid w:val="67B50C0C"/>
    <w:rsid w:val="67F22A81"/>
    <w:rsid w:val="681F30C8"/>
    <w:rsid w:val="683A2FA6"/>
    <w:rsid w:val="68435CC2"/>
    <w:rsid w:val="68851D66"/>
    <w:rsid w:val="68950071"/>
    <w:rsid w:val="6897288B"/>
    <w:rsid w:val="691058BA"/>
    <w:rsid w:val="69186DCC"/>
    <w:rsid w:val="69315040"/>
    <w:rsid w:val="694447B2"/>
    <w:rsid w:val="69693534"/>
    <w:rsid w:val="697D10E8"/>
    <w:rsid w:val="69877BD5"/>
    <w:rsid w:val="69A10FEC"/>
    <w:rsid w:val="69A3096B"/>
    <w:rsid w:val="69A87E68"/>
    <w:rsid w:val="69CF4915"/>
    <w:rsid w:val="69F224FC"/>
    <w:rsid w:val="6A07707E"/>
    <w:rsid w:val="6A320E4C"/>
    <w:rsid w:val="6A421B4C"/>
    <w:rsid w:val="6A985330"/>
    <w:rsid w:val="6AB55C38"/>
    <w:rsid w:val="6AC656EB"/>
    <w:rsid w:val="6AF74C97"/>
    <w:rsid w:val="6B0310D8"/>
    <w:rsid w:val="6B2A3A54"/>
    <w:rsid w:val="6B4050C1"/>
    <w:rsid w:val="6B457F1A"/>
    <w:rsid w:val="6B5A1B5B"/>
    <w:rsid w:val="6B617997"/>
    <w:rsid w:val="6B857ED5"/>
    <w:rsid w:val="6B8B7DC2"/>
    <w:rsid w:val="6C417DD3"/>
    <w:rsid w:val="6C4310EC"/>
    <w:rsid w:val="6C5A353E"/>
    <w:rsid w:val="6C634002"/>
    <w:rsid w:val="6C7243E3"/>
    <w:rsid w:val="6CD73FCD"/>
    <w:rsid w:val="6D4127F8"/>
    <w:rsid w:val="6D734009"/>
    <w:rsid w:val="6D7C6C4E"/>
    <w:rsid w:val="6DC42CFD"/>
    <w:rsid w:val="6DCE550C"/>
    <w:rsid w:val="6DD42485"/>
    <w:rsid w:val="6E615A19"/>
    <w:rsid w:val="6E790FF1"/>
    <w:rsid w:val="6E9D5B0B"/>
    <w:rsid w:val="6EA54B03"/>
    <w:rsid w:val="6EF51CCE"/>
    <w:rsid w:val="6F2272B1"/>
    <w:rsid w:val="6F243565"/>
    <w:rsid w:val="6F524B9B"/>
    <w:rsid w:val="6FC30D1D"/>
    <w:rsid w:val="6FC81D62"/>
    <w:rsid w:val="704310A5"/>
    <w:rsid w:val="707A3F38"/>
    <w:rsid w:val="707E0110"/>
    <w:rsid w:val="70A40CB3"/>
    <w:rsid w:val="70D54B35"/>
    <w:rsid w:val="70DE00D5"/>
    <w:rsid w:val="70E2364D"/>
    <w:rsid w:val="710565A4"/>
    <w:rsid w:val="71067841"/>
    <w:rsid w:val="711F7F4D"/>
    <w:rsid w:val="715136B2"/>
    <w:rsid w:val="717E1A09"/>
    <w:rsid w:val="721E64E6"/>
    <w:rsid w:val="7225516D"/>
    <w:rsid w:val="72284F12"/>
    <w:rsid w:val="72442555"/>
    <w:rsid w:val="726709BC"/>
    <w:rsid w:val="7288599C"/>
    <w:rsid w:val="72BA4C3D"/>
    <w:rsid w:val="72D659A3"/>
    <w:rsid w:val="72DA4CCB"/>
    <w:rsid w:val="733A21C3"/>
    <w:rsid w:val="73443765"/>
    <w:rsid w:val="73AC48CA"/>
    <w:rsid w:val="73B81835"/>
    <w:rsid w:val="73BD4473"/>
    <w:rsid w:val="73DB5D4B"/>
    <w:rsid w:val="73F22E61"/>
    <w:rsid w:val="74036707"/>
    <w:rsid w:val="74297241"/>
    <w:rsid w:val="749005C9"/>
    <w:rsid w:val="74A14AFC"/>
    <w:rsid w:val="7511155C"/>
    <w:rsid w:val="751A7720"/>
    <w:rsid w:val="7531733B"/>
    <w:rsid w:val="7563365B"/>
    <w:rsid w:val="757651A5"/>
    <w:rsid w:val="75767F13"/>
    <w:rsid w:val="759B516A"/>
    <w:rsid w:val="75C87480"/>
    <w:rsid w:val="75E31D6B"/>
    <w:rsid w:val="75E86B7B"/>
    <w:rsid w:val="75F43437"/>
    <w:rsid w:val="76024932"/>
    <w:rsid w:val="76232077"/>
    <w:rsid w:val="763F46D7"/>
    <w:rsid w:val="76455CA9"/>
    <w:rsid w:val="764A5DF4"/>
    <w:rsid w:val="768949C4"/>
    <w:rsid w:val="768E65FD"/>
    <w:rsid w:val="7699279A"/>
    <w:rsid w:val="76B3795F"/>
    <w:rsid w:val="76DA5803"/>
    <w:rsid w:val="77162573"/>
    <w:rsid w:val="771E4B72"/>
    <w:rsid w:val="776A00FE"/>
    <w:rsid w:val="77B865DB"/>
    <w:rsid w:val="77CD3F3E"/>
    <w:rsid w:val="77CE72D7"/>
    <w:rsid w:val="780E4336"/>
    <w:rsid w:val="782070DE"/>
    <w:rsid w:val="78C020B6"/>
    <w:rsid w:val="78CB3A8D"/>
    <w:rsid w:val="78F11014"/>
    <w:rsid w:val="794F7036"/>
    <w:rsid w:val="796D245B"/>
    <w:rsid w:val="799E62D9"/>
    <w:rsid w:val="79CB3FC8"/>
    <w:rsid w:val="7A0648F5"/>
    <w:rsid w:val="7A3E6DF8"/>
    <w:rsid w:val="7A4D4A8F"/>
    <w:rsid w:val="7A691A0F"/>
    <w:rsid w:val="7A755E2F"/>
    <w:rsid w:val="7ADC3747"/>
    <w:rsid w:val="7AE1654D"/>
    <w:rsid w:val="7AE251A0"/>
    <w:rsid w:val="7AE95334"/>
    <w:rsid w:val="7AFB6162"/>
    <w:rsid w:val="7B3D48A4"/>
    <w:rsid w:val="7B414903"/>
    <w:rsid w:val="7B4C4F45"/>
    <w:rsid w:val="7B543005"/>
    <w:rsid w:val="7BA25ED3"/>
    <w:rsid w:val="7BB14922"/>
    <w:rsid w:val="7BC6519F"/>
    <w:rsid w:val="7BDC3838"/>
    <w:rsid w:val="7BEF5C19"/>
    <w:rsid w:val="7C173715"/>
    <w:rsid w:val="7CB77A14"/>
    <w:rsid w:val="7CF16BFC"/>
    <w:rsid w:val="7D2D5A6C"/>
    <w:rsid w:val="7D327E75"/>
    <w:rsid w:val="7D546E7C"/>
    <w:rsid w:val="7DA13424"/>
    <w:rsid w:val="7DC41C29"/>
    <w:rsid w:val="7DC6439C"/>
    <w:rsid w:val="7DE20A59"/>
    <w:rsid w:val="7DE327E0"/>
    <w:rsid w:val="7DF74BF3"/>
    <w:rsid w:val="7DFF7A49"/>
    <w:rsid w:val="7E2D4ADD"/>
    <w:rsid w:val="7E6674B3"/>
    <w:rsid w:val="7E871692"/>
    <w:rsid w:val="7E9F53C4"/>
    <w:rsid w:val="7EEF20E9"/>
    <w:rsid w:val="7F202D58"/>
    <w:rsid w:val="7F2E6DEF"/>
    <w:rsid w:val="7F40154A"/>
    <w:rsid w:val="7F546687"/>
    <w:rsid w:val="7F98119B"/>
    <w:rsid w:val="7FCE47B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qFormat="1" w:uiPriority="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0" w:name="toc 3"/>
    <w:lsdException w:qFormat="1" w:uiPriority="0" w:name="toc 4"/>
    <w:lsdException w:qFormat="1" w:uiPriority="0" w:name="toc 5"/>
    <w:lsdException w:qFormat="1" w:uiPriority="0" w:name="toc 6"/>
    <w:lsdException w:qFormat="1" w:uiPriority="0" w:name="toc 7"/>
    <w:lsdException w:qFormat="1" w:uiPriority="0" w:name="toc 8"/>
    <w:lsdException w:qFormat="1" w:uiPriority="0" w:name="toc 9"/>
    <w:lsdException w:qFormat="1" w:uiPriority="0" w:semiHidden="0" w:name="Normal Indent"/>
    <w:lsdException w:qFormat="1" w:uiPriority="0" w:name="footnote text"/>
    <w:lsdException w:qFormat="1" w:uiPriority="99" w:semiHidden="0" w:name="annotation text"/>
    <w:lsdException w:qFormat="1" w:uiPriority="99" w:semiHidden="0" w:name="header"/>
    <w:lsdException w:qFormat="1" w:uiPriority="0" w:semiHidden="0" w:name="footer"/>
    <w:lsdException w:uiPriority="99" w:name="index heading"/>
    <w:lsdException w:qFormat="1" w:uiPriority="0" w:name="caption"/>
    <w:lsdException w:uiPriority="99" w:name="table of figures"/>
    <w:lsdException w:uiPriority="99" w:name="envelope address"/>
    <w:lsdException w:uiPriority="99" w:name="envelope return"/>
    <w:lsdException w:qFormat="1" w:uiPriority="0" w:name="footnote reference"/>
    <w:lsdException w:qFormat="1"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99" w:semiHidden="0" w:name="Body Text"/>
    <w:lsdException w:qFormat="1" w:uiPriority="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iPriority="99" w:semiHidden="0" w:name="Date"/>
    <w:lsdException w:qFormat="1" w:uiPriority="0" w:name="Body Text First Indent"/>
    <w:lsdException w:uiPriority="99" w:name="Body Text First Indent 2"/>
    <w:lsdException w:unhideWhenUsed="0" w:uiPriority="99" w:name="Note Heading"/>
    <w:lsdException w:qFormat="1" w:uiPriority="0" w:name="Body Text 2"/>
    <w:lsdException w:qFormat="1" w:uiPriority="0" w:name="Body Text 3"/>
    <w:lsdException w:qFormat="1" w:uiPriority="99" w:semiHidden="0" w:name="Body Text Indent 2"/>
    <w:lsdException w:qFormat="1" w:uiPriority="0" w:name="Body Text Indent 3"/>
    <w:lsdException w:qFormat="1" w:uiPriority="0"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qFormat="1" w:uiPriority="99" w:semiHidden="0" w:name="Document Map"/>
    <w:lsdException w:qFormat="1" w:uiPriority="99" w:semiHidden="0"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51"/>
    <w:qFormat/>
    <w:uiPriority w:val="9"/>
    <w:pPr>
      <w:keepNext/>
      <w:keepLines/>
      <w:numPr>
        <w:ilvl w:val="0"/>
        <w:numId w:val="1"/>
      </w:numPr>
      <w:spacing w:before="340" w:after="330" w:line="400" w:lineRule="exact"/>
      <w:jc w:val="center"/>
      <w:outlineLvl w:val="0"/>
    </w:pPr>
    <w:rPr>
      <w:rFonts w:ascii="宋体" w:hAnsi="宋体" w:cs="宋体"/>
      <w:b/>
      <w:bCs/>
      <w:spacing w:val="-20"/>
      <w:kern w:val="44"/>
      <w:sz w:val="32"/>
      <w:szCs w:val="32"/>
    </w:rPr>
  </w:style>
  <w:style w:type="paragraph" w:styleId="4">
    <w:name w:val="heading 2"/>
    <w:basedOn w:val="1"/>
    <w:next w:val="1"/>
    <w:link w:val="52"/>
    <w:unhideWhenUsed/>
    <w:qFormat/>
    <w:uiPriority w:val="9"/>
    <w:pPr>
      <w:keepNext/>
      <w:keepLines/>
      <w:numPr>
        <w:ilvl w:val="1"/>
        <w:numId w:val="1"/>
      </w:numPr>
      <w:spacing w:before="260" w:after="260" w:line="360" w:lineRule="auto"/>
      <w:jc w:val="left"/>
      <w:outlineLvl w:val="1"/>
    </w:pPr>
    <w:rPr>
      <w:rFonts w:ascii="宋体" w:hAnsi="宋体" w:cs="宋体"/>
      <w:b/>
      <w:bCs/>
      <w:sz w:val="28"/>
      <w:szCs w:val="28"/>
    </w:rPr>
  </w:style>
  <w:style w:type="paragraph" w:styleId="5">
    <w:name w:val="heading 3"/>
    <w:basedOn w:val="1"/>
    <w:next w:val="1"/>
    <w:link w:val="53"/>
    <w:unhideWhenUsed/>
    <w:qFormat/>
    <w:uiPriority w:val="9"/>
    <w:pPr>
      <w:keepNext/>
      <w:keepLines/>
      <w:numPr>
        <w:ilvl w:val="2"/>
        <w:numId w:val="1"/>
      </w:numPr>
      <w:spacing w:line="360" w:lineRule="auto"/>
      <w:outlineLvl w:val="2"/>
    </w:pPr>
    <w:rPr>
      <w:rFonts w:ascii="宋体" w:hAnsi="宋体" w:cs="宋体"/>
      <w:b/>
      <w:bCs/>
      <w:color w:val="000000"/>
      <w:kern w:val="0"/>
      <w:sz w:val="28"/>
      <w:szCs w:val="28"/>
    </w:rPr>
  </w:style>
  <w:style w:type="paragraph" w:styleId="6">
    <w:name w:val="heading 4"/>
    <w:basedOn w:val="1"/>
    <w:next w:val="1"/>
    <w:link w:val="54"/>
    <w:unhideWhenUsed/>
    <w:qFormat/>
    <w:uiPriority w:val="9"/>
    <w:pPr>
      <w:keepNext/>
      <w:keepLines/>
      <w:numPr>
        <w:ilvl w:val="3"/>
        <w:numId w:val="1"/>
      </w:numPr>
      <w:spacing w:before="120" w:after="120" w:line="360" w:lineRule="auto"/>
      <w:jc w:val="left"/>
      <w:outlineLvl w:val="3"/>
    </w:pPr>
    <w:rPr>
      <w:rFonts w:ascii="Arial" w:hAnsi="Arial"/>
      <w:b/>
      <w:bCs/>
      <w:kern w:val="0"/>
      <w:sz w:val="28"/>
      <w:szCs w:val="28"/>
    </w:rPr>
  </w:style>
  <w:style w:type="paragraph" w:styleId="7">
    <w:name w:val="heading 5"/>
    <w:basedOn w:val="1"/>
    <w:next w:val="1"/>
    <w:link w:val="55"/>
    <w:unhideWhenUsed/>
    <w:qFormat/>
    <w:uiPriority w:val="0"/>
    <w:pPr>
      <w:numPr>
        <w:ilvl w:val="4"/>
        <w:numId w:val="2"/>
      </w:numPr>
      <w:tabs>
        <w:tab w:val="left" w:pos="1134"/>
      </w:tabs>
      <w:spacing w:before="280" w:after="290" w:line="360" w:lineRule="auto"/>
      <w:outlineLvl w:val="4"/>
    </w:pPr>
    <w:rPr>
      <w:rFonts w:cs="宋体"/>
      <w:b/>
      <w:bCs/>
      <w:kern w:val="0"/>
      <w:sz w:val="28"/>
      <w:szCs w:val="28"/>
    </w:rPr>
  </w:style>
  <w:style w:type="paragraph" w:styleId="8">
    <w:name w:val="heading 6"/>
    <w:basedOn w:val="1"/>
    <w:next w:val="1"/>
    <w:link w:val="56"/>
    <w:unhideWhenUsed/>
    <w:qFormat/>
    <w:uiPriority w:val="0"/>
    <w:pPr>
      <w:keepNext/>
      <w:keepLines/>
      <w:numPr>
        <w:ilvl w:val="5"/>
        <w:numId w:val="2"/>
      </w:numPr>
      <w:spacing w:before="240" w:after="64" w:line="314" w:lineRule="auto"/>
      <w:outlineLvl w:val="5"/>
    </w:pPr>
    <w:rPr>
      <w:rFonts w:ascii="Arial" w:hAnsi="Arial"/>
      <w:b/>
      <w:bCs/>
      <w:kern w:val="0"/>
      <w:sz w:val="28"/>
      <w:szCs w:val="18"/>
    </w:rPr>
  </w:style>
  <w:style w:type="paragraph" w:styleId="9">
    <w:name w:val="heading 7"/>
    <w:basedOn w:val="1"/>
    <w:next w:val="1"/>
    <w:link w:val="57"/>
    <w:unhideWhenUsed/>
    <w:qFormat/>
    <w:uiPriority w:val="0"/>
    <w:pPr>
      <w:keepNext/>
      <w:widowControl/>
      <w:tabs>
        <w:tab w:val="left" w:pos="3600"/>
      </w:tabs>
      <w:spacing w:after="120"/>
      <w:jc w:val="left"/>
      <w:outlineLvl w:val="6"/>
    </w:pPr>
    <w:rPr>
      <w:rFonts w:ascii="Arial Narrow" w:hAnsi="Arial Narrow"/>
      <w:b/>
      <w:bCs/>
      <w:iCs/>
      <w:kern w:val="0"/>
      <w:sz w:val="20"/>
      <w:szCs w:val="24"/>
      <w:lang w:eastAsia="en-US"/>
    </w:rPr>
  </w:style>
  <w:style w:type="paragraph" w:styleId="10">
    <w:name w:val="heading 8"/>
    <w:basedOn w:val="1"/>
    <w:next w:val="1"/>
    <w:link w:val="58"/>
    <w:unhideWhenUsed/>
    <w:qFormat/>
    <w:uiPriority w:val="0"/>
    <w:pPr>
      <w:keepNext/>
      <w:keepLines/>
      <w:spacing w:before="240" w:after="64" w:line="314" w:lineRule="auto"/>
      <w:outlineLvl w:val="7"/>
    </w:pPr>
    <w:rPr>
      <w:rFonts w:ascii="Arial" w:hAnsi="Arial" w:eastAsia="黑体"/>
      <w:kern w:val="0"/>
      <w:sz w:val="24"/>
      <w:szCs w:val="24"/>
    </w:rPr>
  </w:style>
  <w:style w:type="paragraph" w:styleId="11">
    <w:name w:val="heading 9"/>
    <w:basedOn w:val="1"/>
    <w:next w:val="1"/>
    <w:link w:val="59"/>
    <w:unhideWhenUsed/>
    <w:qFormat/>
    <w:uiPriority w:val="0"/>
    <w:pPr>
      <w:keepNext/>
      <w:keepLines/>
      <w:spacing w:before="240" w:after="64" w:line="314" w:lineRule="auto"/>
      <w:outlineLvl w:val="8"/>
    </w:pPr>
    <w:rPr>
      <w:rFonts w:ascii="Arial" w:hAnsi="Arial" w:eastAsia="黑体"/>
      <w:kern w:val="0"/>
      <w:sz w:val="20"/>
      <w:szCs w:val="21"/>
    </w:rPr>
  </w:style>
  <w:style w:type="character" w:default="1" w:styleId="45">
    <w:name w:val="Default Paragraph Font"/>
    <w:semiHidden/>
    <w:unhideWhenUsed/>
    <w:qFormat/>
    <w:uiPriority w:val="1"/>
  </w:style>
  <w:style w:type="table" w:default="1" w:styleId="43">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186"/>
    <w:unhideWhenUsed/>
    <w:qFormat/>
    <w:uiPriority w:val="99"/>
    <w:pPr>
      <w:spacing w:after="120"/>
    </w:pPr>
  </w:style>
  <w:style w:type="paragraph" w:styleId="12">
    <w:name w:val="toc 7"/>
    <w:basedOn w:val="1"/>
    <w:next w:val="1"/>
    <w:semiHidden/>
    <w:unhideWhenUsed/>
    <w:qFormat/>
    <w:uiPriority w:val="0"/>
    <w:pPr>
      <w:ind w:left="2520" w:leftChars="1200"/>
    </w:pPr>
    <w:rPr>
      <w:rFonts w:ascii="Times New Roman" w:hAnsi="Times New Roman"/>
      <w:szCs w:val="24"/>
    </w:rPr>
  </w:style>
  <w:style w:type="paragraph" w:styleId="13">
    <w:name w:val="Normal Indent"/>
    <w:basedOn w:val="1"/>
    <w:link w:val="60"/>
    <w:unhideWhenUsed/>
    <w:qFormat/>
    <w:uiPriority w:val="0"/>
    <w:pPr>
      <w:spacing w:after="180" w:line="307" w:lineRule="auto"/>
      <w:ind w:firstLine="420"/>
    </w:pPr>
    <w:rPr>
      <w:rFonts w:asciiTheme="minorHAnsi" w:hAnsiTheme="minorHAnsi" w:eastAsiaTheme="minorEastAsia" w:cstheme="minorBidi"/>
    </w:rPr>
  </w:style>
  <w:style w:type="paragraph" w:styleId="14">
    <w:name w:val="caption"/>
    <w:basedOn w:val="1"/>
    <w:next w:val="1"/>
    <w:semiHidden/>
    <w:unhideWhenUsed/>
    <w:qFormat/>
    <w:uiPriority w:val="0"/>
    <w:pPr>
      <w:spacing w:before="152" w:after="160" w:line="360" w:lineRule="auto"/>
    </w:pPr>
    <w:rPr>
      <w:rFonts w:ascii="Arial" w:hAnsi="Arial" w:eastAsia="黑体" w:cs="Arial"/>
      <w:sz w:val="20"/>
      <w:szCs w:val="20"/>
    </w:rPr>
  </w:style>
  <w:style w:type="paragraph" w:styleId="15">
    <w:name w:val="Document Map"/>
    <w:basedOn w:val="1"/>
    <w:link w:val="74"/>
    <w:unhideWhenUsed/>
    <w:qFormat/>
    <w:uiPriority w:val="99"/>
    <w:pPr>
      <w:shd w:val="clear" w:color="auto" w:fill="000080"/>
    </w:pPr>
    <w:rPr>
      <w:rFonts w:ascii="Times New Roman" w:hAnsi="Times New Roman"/>
      <w:kern w:val="0"/>
      <w:sz w:val="18"/>
      <w:szCs w:val="18"/>
    </w:rPr>
  </w:style>
  <w:style w:type="paragraph" w:styleId="16">
    <w:name w:val="annotation text"/>
    <w:basedOn w:val="1"/>
    <w:link w:val="62"/>
    <w:unhideWhenUsed/>
    <w:qFormat/>
    <w:uiPriority w:val="99"/>
    <w:pPr>
      <w:jc w:val="left"/>
    </w:pPr>
    <w:rPr>
      <w:rFonts w:ascii="Times New Roman" w:hAnsi="Times New Roman"/>
      <w:kern w:val="0"/>
      <w:sz w:val="18"/>
      <w:szCs w:val="18"/>
    </w:rPr>
  </w:style>
  <w:style w:type="paragraph" w:styleId="17">
    <w:name w:val="Body Text 3"/>
    <w:basedOn w:val="1"/>
    <w:link w:val="71"/>
    <w:semiHidden/>
    <w:unhideWhenUsed/>
    <w:qFormat/>
    <w:uiPriority w:val="0"/>
    <w:pPr>
      <w:jc w:val="center"/>
    </w:pPr>
    <w:rPr>
      <w:rFonts w:ascii="Times New Roman" w:hAnsi="Times New Roman" w:eastAsia="黑体"/>
      <w:sz w:val="44"/>
      <w:szCs w:val="24"/>
    </w:rPr>
  </w:style>
  <w:style w:type="paragraph" w:styleId="18">
    <w:name w:val="Body Text Indent"/>
    <w:basedOn w:val="1"/>
    <w:link w:val="66"/>
    <w:semiHidden/>
    <w:unhideWhenUsed/>
    <w:qFormat/>
    <w:uiPriority w:val="0"/>
    <w:pPr>
      <w:spacing w:after="120"/>
      <w:ind w:left="420" w:leftChars="200"/>
    </w:pPr>
    <w:rPr>
      <w:rFonts w:ascii="Times New Roman" w:hAnsi="Times New Roman"/>
      <w:kern w:val="0"/>
      <w:sz w:val="20"/>
      <w:szCs w:val="24"/>
    </w:rPr>
  </w:style>
  <w:style w:type="paragraph" w:styleId="19">
    <w:name w:val="Block Text"/>
    <w:basedOn w:val="1"/>
    <w:semiHidden/>
    <w:unhideWhenUsed/>
    <w:qFormat/>
    <w:uiPriority w:val="0"/>
    <w:pPr>
      <w:ind w:left="-540" w:leftChars="-257" w:right="-334" w:rightChars="-159" w:firstLine="540" w:firstLineChars="180"/>
    </w:pPr>
    <w:rPr>
      <w:rFonts w:ascii="Times New Roman" w:hAnsi="Times New Roman"/>
      <w:sz w:val="30"/>
      <w:szCs w:val="24"/>
    </w:rPr>
  </w:style>
  <w:style w:type="paragraph" w:styleId="20">
    <w:name w:val="toc 5"/>
    <w:basedOn w:val="1"/>
    <w:next w:val="1"/>
    <w:semiHidden/>
    <w:unhideWhenUsed/>
    <w:qFormat/>
    <w:uiPriority w:val="0"/>
    <w:pPr>
      <w:ind w:left="1680" w:leftChars="800"/>
    </w:pPr>
    <w:rPr>
      <w:rFonts w:ascii="Times New Roman" w:hAnsi="Times New Roman"/>
      <w:sz w:val="18"/>
      <w:szCs w:val="18"/>
    </w:rPr>
  </w:style>
  <w:style w:type="paragraph" w:styleId="21">
    <w:name w:val="toc 3"/>
    <w:basedOn w:val="1"/>
    <w:next w:val="1"/>
    <w:semiHidden/>
    <w:unhideWhenUsed/>
    <w:qFormat/>
    <w:uiPriority w:val="0"/>
    <w:pPr>
      <w:tabs>
        <w:tab w:val="left" w:pos="709"/>
        <w:tab w:val="left" w:pos="993"/>
        <w:tab w:val="right" w:leader="dot" w:pos="8364"/>
      </w:tabs>
      <w:ind w:left="360"/>
      <w:jc w:val="left"/>
    </w:pPr>
    <w:rPr>
      <w:rFonts w:ascii="Times New Roman" w:hAnsi="Times New Roman" w:eastAsia="楷体_GB2312"/>
      <w:iCs/>
      <w:sz w:val="20"/>
      <w:szCs w:val="20"/>
    </w:rPr>
  </w:style>
  <w:style w:type="paragraph" w:styleId="22">
    <w:name w:val="Plain Text"/>
    <w:basedOn w:val="1"/>
    <w:link w:val="191"/>
    <w:unhideWhenUsed/>
    <w:qFormat/>
    <w:uiPriority w:val="99"/>
    <w:rPr>
      <w:rFonts w:ascii="宋体" w:hAnsi="Courier New"/>
      <w:kern w:val="0"/>
      <w:sz w:val="20"/>
      <w:szCs w:val="18"/>
    </w:rPr>
  </w:style>
  <w:style w:type="paragraph" w:styleId="23">
    <w:name w:val="toc 8"/>
    <w:basedOn w:val="1"/>
    <w:next w:val="1"/>
    <w:semiHidden/>
    <w:unhideWhenUsed/>
    <w:qFormat/>
    <w:uiPriority w:val="0"/>
    <w:pPr>
      <w:ind w:left="2940" w:leftChars="1400"/>
    </w:pPr>
    <w:rPr>
      <w:rFonts w:ascii="Times New Roman" w:hAnsi="Times New Roman"/>
      <w:szCs w:val="24"/>
    </w:rPr>
  </w:style>
  <w:style w:type="paragraph" w:styleId="24">
    <w:name w:val="Date"/>
    <w:basedOn w:val="1"/>
    <w:next w:val="1"/>
    <w:link w:val="68"/>
    <w:unhideWhenUsed/>
    <w:qFormat/>
    <w:uiPriority w:val="99"/>
    <w:pPr>
      <w:ind w:left="100" w:leftChars="2500"/>
    </w:pPr>
    <w:rPr>
      <w:rFonts w:ascii="Times New Roman" w:hAnsi="Times New Roman"/>
      <w:kern w:val="0"/>
      <w:sz w:val="24"/>
      <w:szCs w:val="24"/>
    </w:rPr>
  </w:style>
  <w:style w:type="paragraph" w:styleId="25">
    <w:name w:val="Body Text Indent 2"/>
    <w:basedOn w:val="1"/>
    <w:link w:val="72"/>
    <w:unhideWhenUsed/>
    <w:qFormat/>
    <w:uiPriority w:val="99"/>
    <w:pPr>
      <w:spacing w:after="120" w:line="480" w:lineRule="auto"/>
      <w:ind w:left="420" w:leftChars="200"/>
    </w:pPr>
  </w:style>
  <w:style w:type="paragraph" w:styleId="26">
    <w:name w:val="Balloon Text"/>
    <w:basedOn w:val="1"/>
    <w:link w:val="77"/>
    <w:unhideWhenUsed/>
    <w:qFormat/>
    <w:uiPriority w:val="99"/>
    <w:rPr>
      <w:rFonts w:ascii="Times New Roman" w:hAnsi="Times New Roman"/>
      <w:kern w:val="0"/>
      <w:sz w:val="18"/>
      <w:szCs w:val="18"/>
    </w:rPr>
  </w:style>
  <w:style w:type="paragraph" w:styleId="27">
    <w:name w:val="footer"/>
    <w:basedOn w:val="1"/>
    <w:link w:val="64"/>
    <w:unhideWhenUsed/>
    <w:qFormat/>
    <w:uiPriority w:val="0"/>
    <w:pPr>
      <w:tabs>
        <w:tab w:val="center" w:pos="4153"/>
        <w:tab w:val="right" w:pos="8306"/>
      </w:tabs>
      <w:snapToGrid w:val="0"/>
      <w:jc w:val="left"/>
    </w:pPr>
    <w:rPr>
      <w:kern w:val="0"/>
      <w:sz w:val="18"/>
      <w:szCs w:val="18"/>
    </w:rPr>
  </w:style>
  <w:style w:type="paragraph" w:styleId="28">
    <w:name w:val="header"/>
    <w:basedOn w:val="1"/>
    <w:link w:val="63"/>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29">
    <w:name w:val="toc 1"/>
    <w:basedOn w:val="1"/>
    <w:next w:val="1"/>
    <w:unhideWhenUsed/>
    <w:qFormat/>
    <w:uiPriority w:val="39"/>
    <w:pPr>
      <w:tabs>
        <w:tab w:val="left" w:pos="709"/>
        <w:tab w:val="right" w:leader="dot" w:pos="8364"/>
      </w:tabs>
      <w:spacing w:before="120" w:after="120"/>
      <w:jc w:val="left"/>
    </w:pPr>
    <w:rPr>
      <w:rFonts w:ascii="华文中宋" w:hAnsi="华文中宋" w:eastAsia="华文中宋"/>
      <w:bCs/>
      <w:caps/>
      <w:sz w:val="20"/>
      <w:szCs w:val="20"/>
    </w:rPr>
  </w:style>
  <w:style w:type="paragraph" w:styleId="30">
    <w:name w:val="toc 4"/>
    <w:basedOn w:val="1"/>
    <w:next w:val="1"/>
    <w:semiHidden/>
    <w:unhideWhenUsed/>
    <w:qFormat/>
    <w:uiPriority w:val="0"/>
    <w:pPr>
      <w:ind w:left="1260" w:leftChars="600"/>
    </w:pPr>
    <w:rPr>
      <w:rFonts w:ascii="Times New Roman" w:hAnsi="Times New Roman"/>
      <w:sz w:val="18"/>
      <w:szCs w:val="18"/>
    </w:rPr>
  </w:style>
  <w:style w:type="paragraph" w:styleId="31">
    <w:name w:val="Subtitle"/>
    <w:basedOn w:val="1"/>
    <w:next w:val="1"/>
    <w:link w:val="67"/>
    <w:qFormat/>
    <w:uiPriority w:val="0"/>
    <w:pPr>
      <w:spacing w:before="240" w:after="60" w:line="312" w:lineRule="auto"/>
      <w:jc w:val="center"/>
      <w:outlineLvl w:val="1"/>
    </w:pPr>
    <w:rPr>
      <w:rFonts w:ascii="Cambria" w:hAnsi="Cambria"/>
      <w:b/>
      <w:bCs/>
      <w:kern w:val="28"/>
      <w:sz w:val="32"/>
      <w:szCs w:val="32"/>
    </w:rPr>
  </w:style>
  <w:style w:type="paragraph" w:styleId="32">
    <w:name w:val="footnote text"/>
    <w:basedOn w:val="1"/>
    <w:link w:val="61"/>
    <w:semiHidden/>
    <w:unhideWhenUsed/>
    <w:qFormat/>
    <w:uiPriority w:val="0"/>
    <w:pPr>
      <w:snapToGrid w:val="0"/>
      <w:jc w:val="left"/>
    </w:pPr>
    <w:rPr>
      <w:sz w:val="18"/>
      <w:szCs w:val="18"/>
    </w:rPr>
  </w:style>
  <w:style w:type="paragraph" w:styleId="33">
    <w:name w:val="toc 6"/>
    <w:basedOn w:val="1"/>
    <w:next w:val="1"/>
    <w:semiHidden/>
    <w:unhideWhenUsed/>
    <w:qFormat/>
    <w:uiPriority w:val="0"/>
    <w:pPr>
      <w:ind w:left="2100" w:leftChars="1000"/>
    </w:pPr>
    <w:rPr>
      <w:rFonts w:ascii="Times New Roman" w:hAnsi="Times New Roman"/>
      <w:szCs w:val="24"/>
    </w:rPr>
  </w:style>
  <w:style w:type="paragraph" w:styleId="34">
    <w:name w:val="Body Text Indent 3"/>
    <w:basedOn w:val="1"/>
    <w:link w:val="73"/>
    <w:semiHidden/>
    <w:unhideWhenUsed/>
    <w:qFormat/>
    <w:uiPriority w:val="0"/>
    <w:pPr>
      <w:spacing w:line="360" w:lineRule="auto"/>
      <w:ind w:left="153" w:leftChars="85" w:firstLine="560" w:firstLineChars="200"/>
    </w:pPr>
    <w:rPr>
      <w:rFonts w:ascii="宋体" w:hAnsi="宋体"/>
      <w:kern w:val="0"/>
      <w:sz w:val="28"/>
      <w:szCs w:val="28"/>
    </w:rPr>
  </w:style>
  <w:style w:type="paragraph" w:styleId="35">
    <w:name w:val="toc 2"/>
    <w:basedOn w:val="1"/>
    <w:next w:val="1"/>
    <w:unhideWhenUsed/>
    <w:qFormat/>
    <w:uiPriority w:val="39"/>
    <w:pPr>
      <w:tabs>
        <w:tab w:val="left" w:pos="620"/>
        <w:tab w:val="right" w:leader="dot" w:pos="8364"/>
      </w:tabs>
      <w:ind w:left="180"/>
      <w:jc w:val="left"/>
    </w:pPr>
    <w:rPr>
      <w:rFonts w:ascii="华文中宋" w:hAnsi="华文中宋" w:eastAsia="华文中宋"/>
      <w:smallCaps/>
      <w:sz w:val="20"/>
      <w:szCs w:val="20"/>
    </w:rPr>
  </w:style>
  <w:style w:type="paragraph" w:styleId="36">
    <w:name w:val="toc 9"/>
    <w:basedOn w:val="1"/>
    <w:next w:val="1"/>
    <w:semiHidden/>
    <w:unhideWhenUsed/>
    <w:qFormat/>
    <w:uiPriority w:val="0"/>
    <w:pPr>
      <w:ind w:left="3360" w:leftChars="1600"/>
    </w:pPr>
    <w:rPr>
      <w:rFonts w:ascii="Times New Roman" w:hAnsi="Times New Roman"/>
      <w:szCs w:val="24"/>
    </w:rPr>
  </w:style>
  <w:style w:type="paragraph" w:styleId="37">
    <w:name w:val="Body Text 2"/>
    <w:basedOn w:val="1"/>
    <w:link w:val="70"/>
    <w:semiHidden/>
    <w:unhideWhenUsed/>
    <w:qFormat/>
    <w:uiPriority w:val="0"/>
    <w:pPr>
      <w:spacing w:after="120" w:line="480" w:lineRule="auto"/>
    </w:pPr>
    <w:rPr>
      <w:rFonts w:ascii="Times New Roman" w:hAnsi="Times New Roman"/>
      <w:kern w:val="0"/>
      <w:sz w:val="18"/>
      <w:szCs w:val="18"/>
    </w:rPr>
  </w:style>
  <w:style w:type="paragraph" w:styleId="38">
    <w:name w:val="HTML Preformatted"/>
    <w:basedOn w:val="1"/>
    <w:link w:val="202"/>
    <w:unhideWhenUsed/>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szCs w:val="24"/>
    </w:rPr>
  </w:style>
  <w:style w:type="paragraph" w:styleId="39">
    <w:name w:val="Normal (Web)"/>
    <w:basedOn w:val="1"/>
    <w:unhideWhenUsed/>
    <w:qFormat/>
    <w:uiPriority w:val="0"/>
    <w:pPr>
      <w:widowControl/>
      <w:spacing w:before="100" w:beforeAutospacing="1" w:after="100" w:afterAutospacing="1"/>
      <w:jc w:val="left"/>
    </w:pPr>
    <w:rPr>
      <w:rFonts w:ascii="宋体" w:hAnsi="宋体"/>
      <w:color w:val="000000"/>
      <w:kern w:val="0"/>
      <w:sz w:val="24"/>
      <w:szCs w:val="24"/>
    </w:rPr>
  </w:style>
  <w:style w:type="paragraph" w:styleId="40">
    <w:name w:val="index 1"/>
    <w:basedOn w:val="1"/>
    <w:next w:val="1"/>
    <w:semiHidden/>
    <w:unhideWhenUsed/>
    <w:qFormat/>
    <w:uiPriority w:val="0"/>
    <w:pPr>
      <w:ind w:firstLine="560" w:firstLineChars="200"/>
    </w:pPr>
    <w:rPr>
      <w:rFonts w:ascii="宋体" w:hAnsi="宋体" w:cs="宋体"/>
      <w:sz w:val="28"/>
      <w:szCs w:val="28"/>
    </w:rPr>
  </w:style>
  <w:style w:type="paragraph" w:styleId="41">
    <w:name w:val="annotation subject"/>
    <w:basedOn w:val="16"/>
    <w:next w:val="16"/>
    <w:link w:val="76"/>
    <w:unhideWhenUsed/>
    <w:qFormat/>
    <w:uiPriority w:val="99"/>
    <w:rPr>
      <w:rFonts w:ascii="Calibri" w:hAnsi="Calibri"/>
      <w:b/>
      <w:bCs/>
      <w:kern w:val="2"/>
      <w:sz w:val="21"/>
      <w:szCs w:val="22"/>
    </w:rPr>
  </w:style>
  <w:style w:type="paragraph" w:styleId="42">
    <w:name w:val="Body Text First Indent"/>
    <w:basedOn w:val="2"/>
    <w:link w:val="69"/>
    <w:semiHidden/>
    <w:unhideWhenUsed/>
    <w:qFormat/>
    <w:uiPriority w:val="0"/>
    <w:pPr>
      <w:ind w:firstLine="420" w:firstLineChars="100"/>
    </w:pPr>
    <w:rPr>
      <w:rFonts w:ascii="Times New Roman" w:hAnsi="Times New Roman"/>
      <w:kern w:val="0"/>
      <w:sz w:val="18"/>
      <w:szCs w:val="18"/>
    </w:rPr>
  </w:style>
  <w:style w:type="table" w:styleId="44">
    <w:name w:val="Table Grid"/>
    <w:basedOn w:val="43"/>
    <w:qFormat/>
    <w:uiPriority w:val="59"/>
    <w:pPr>
      <w:widowControl w:val="0"/>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6">
    <w:name w:val="page number"/>
    <w:basedOn w:val="45"/>
    <w:qFormat/>
    <w:uiPriority w:val="0"/>
  </w:style>
  <w:style w:type="character" w:styleId="47">
    <w:name w:val="FollowedHyperlink"/>
    <w:basedOn w:val="45"/>
    <w:semiHidden/>
    <w:unhideWhenUsed/>
    <w:qFormat/>
    <w:uiPriority w:val="99"/>
    <w:rPr>
      <w:color w:val="800080" w:themeColor="followedHyperlink"/>
      <w:u w:val="single"/>
      <w14:textFill>
        <w14:solidFill>
          <w14:schemeClr w14:val="folHlink"/>
        </w14:solidFill>
      </w14:textFill>
    </w:rPr>
  </w:style>
  <w:style w:type="character" w:styleId="48">
    <w:name w:val="Hyperlink"/>
    <w:unhideWhenUsed/>
    <w:qFormat/>
    <w:uiPriority w:val="99"/>
    <w:rPr>
      <w:color w:val="0000FF"/>
      <w:u w:val="single"/>
    </w:rPr>
  </w:style>
  <w:style w:type="character" w:styleId="49">
    <w:name w:val="annotation reference"/>
    <w:unhideWhenUsed/>
    <w:qFormat/>
    <w:uiPriority w:val="99"/>
    <w:rPr>
      <w:sz w:val="21"/>
      <w:szCs w:val="21"/>
    </w:rPr>
  </w:style>
  <w:style w:type="character" w:styleId="50">
    <w:name w:val="footnote reference"/>
    <w:semiHidden/>
    <w:unhideWhenUsed/>
    <w:qFormat/>
    <w:uiPriority w:val="0"/>
    <w:rPr>
      <w:vertAlign w:val="superscript"/>
    </w:rPr>
  </w:style>
  <w:style w:type="character" w:customStyle="1" w:styleId="51">
    <w:name w:val="标题 1 字符"/>
    <w:basedOn w:val="45"/>
    <w:link w:val="3"/>
    <w:qFormat/>
    <w:uiPriority w:val="9"/>
    <w:rPr>
      <w:rFonts w:ascii="宋体" w:hAnsi="宋体" w:eastAsia="宋体" w:cs="宋体"/>
      <w:b/>
      <w:bCs/>
      <w:spacing w:val="-20"/>
      <w:kern w:val="44"/>
      <w:sz w:val="32"/>
      <w:szCs w:val="32"/>
    </w:rPr>
  </w:style>
  <w:style w:type="character" w:customStyle="1" w:styleId="52">
    <w:name w:val="标题 2 字符"/>
    <w:basedOn w:val="45"/>
    <w:link w:val="4"/>
    <w:qFormat/>
    <w:uiPriority w:val="9"/>
    <w:rPr>
      <w:rFonts w:ascii="宋体" w:hAnsi="宋体" w:eastAsia="宋体" w:cs="宋体"/>
      <w:b/>
      <w:bCs/>
      <w:kern w:val="2"/>
      <w:sz w:val="28"/>
      <w:szCs w:val="28"/>
    </w:rPr>
  </w:style>
  <w:style w:type="character" w:customStyle="1" w:styleId="53">
    <w:name w:val="标题 3 字符"/>
    <w:basedOn w:val="45"/>
    <w:link w:val="5"/>
    <w:qFormat/>
    <w:uiPriority w:val="9"/>
    <w:rPr>
      <w:rFonts w:ascii="宋体" w:hAnsi="宋体" w:eastAsia="宋体" w:cs="宋体"/>
      <w:b/>
      <w:bCs/>
      <w:color w:val="000000"/>
      <w:sz w:val="28"/>
      <w:szCs w:val="28"/>
    </w:rPr>
  </w:style>
  <w:style w:type="character" w:customStyle="1" w:styleId="54">
    <w:name w:val="标题 4 字符"/>
    <w:basedOn w:val="45"/>
    <w:link w:val="6"/>
    <w:qFormat/>
    <w:uiPriority w:val="9"/>
    <w:rPr>
      <w:rFonts w:ascii="Arial" w:hAnsi="Arial" w:eastAsia="宋体" w:cs="Times New Roman"/>
      <w:b/>
      <w:bCs/>
      <w:sz w:val="28"/>
      <w:szCs w:val="28"/>
    </w:rPr>
  </w:style>
  <w:style w:type="character" w:customStyle="1" w:styleId="55">
    <w:name w:val="标题 5 字符"/>
    <w:basedOn w:val="45"/>
    <w:link w:val="7"/>
    <w:qFormat/>
    <w:uiPriority w:val="0"/>
    <w:rPr>
      <w:rFonts w:ascii="Calibri" w:hAnsi="Calibri" w:eastAsia="宋体" w:cs="宋体"/>
      <w:b/>
      <w:bCs/>
      <w:sz w:val="28"/>
      <w:szCs w:val="28"/>
    </w:rPr>
  </w:style>
  <w:style w:type="character" w:customStyle="1" w:styleId="56">
    <w:name w:val="标题 6 字符"/>
    <w:basedOn w:val="45"/>
    <w:link w:val="8"/>
    <w:qFormat/>
    <w:uiPriority w:val="0"/>
    <w:rPr>
      <w:rFonts w:ascii="Arial" w:hAnsi="Arial" w:eastAsia="宋体" w:cs="Times New Roman"/>
      <w:b/>
      <w:bCs/>
      <w:sz w:val="28"/>
      <w:szCs w:val="18"/>
    </w:rPr>
  </w:style>
  <w:style w:type="character" w:customStyle="1" w:styleId="57">
    <w:name w:val="标题 7 字符"/>
    <w:basedOn w:val="45"/>
    <w:link w:val="9"/>
    <w:qFormat/>
    <w:uiPriority w:val="0"/>
    <w:rPr>
      <w:rFonts w:ascii="Arial Narrow" w:hAnsi="Arial Narrow" w:eastAsia="宋体" w:cs="Times New Roman"/>
      <w:b/>
      <w:bCs/>
      <w:iCs/>
      <w:kern w:val="0"/>
      <w:sz w:val="20"/>
      <w:szCs w:val="24"/>
      <w:lang w:eastAsia="en-US"/>
    </w:rPr>
  </w:style>
  <w:style w:type="character" w:customStyle="1" w:styleId="58">
    <w:name w:val="标题 8 字符"/>
    <w:basedOn w:val="45"/>
    <w:link w:val="10"/>
    <w:semiHidden/>
    <w:qFormat/>
    <w:uiPriority w:val="0"/>
    <w:rPr>
      <w:rFonts w:ascii="Arial" w:hAnsi="Arial" w:eastAsia="黑体" w:cs="Times New Roman"/>
      <w:kern w:val="0"/>
      <w:sz w:val="24"/>
      <w:szCs w:val="24"/>
    </w:rPr>
  </w:style>
  <w:style w:type="character" w:customStyle="1" w:styleId="59">
    <w:name w:val="标题 9 字符"/>
    <w:basedOn w:val="45"/>
    <w:link w:val="11"/>
    <w:semiHidden/>
    <w:qFormat/>
    <w:uiPriority w:val="0"/>
    <w:rPr>
      <w:rFonts w:ascii="Arial" w:hAnsi="Arial" w:eastAsia="黑体" w:cs="Times New Roman"/>
      <w:kern w:val="0"/>
      <w:sz w:val="20"/>
      <w:szCs w:val="21"/>
    </w:rPr>
  </w:style>
  <w:style w:type="character" w:customStyle="1" w:styleId="60">
    <w:name w:val="正文缩进 字符"/>
    <w:link w:val="13"/>
    <w:qFormat/>
    <w:locked/>
    <w:uiPriority w:val="0"/>
  </w:style>
  <w:style w:type="character" w:customStyle="1" w:styleId="61">
    <w:name w:val="脚注文本 字符"/>
    <w:basedOn w:val="45"/>
    <w:link w:val="32"/>
    <w:semiHidden/>
    <w:qFormat/>
    <w:uiPriority w:val="0"/>
    <w:rPr>
      <w:rFonts w:ascii="Calibri" w:hAnsi="Calibri" w:eastAsia="宋体" w:cs="Times New Roman"/>
      <w:sz w:val="18"/>
      <w:szCs w:val="18"/>
    </w:rPr>
  </w:style>
  <w:style w:type="character" w:customStyle="1" w:styleId="62">
    <w:name w:val="批注文字 字符"/>
    <w:basedOn w:val="45"/>
    <w:link w:val="16"/>
    <w:qFormat/>
    <w:uiPriority w:val="99"/>
    <w:rPr>
      <w:rFonts w:ascii="Times New Roman" w:hAnsi="Times New Roman" w:eastAsia="宋体" w:cs="Times New Roman"/>
      <w:kern w:val="0"/>
      <w:sz w:val="18"/>
      <w:szCs w:val="18"/>
    </w:rPr>
  </w:style>
  <w:style w:type="character" w:customStyle="1" w:styleId="63">
    <w:name w:val="页眉 字符"/>
    <w:basedOn w:val="45"/>
    <w:link w:val="28"/>
    <w:qFormat/>
    <w:uiPriority w:val="99"/>
    <w:rPr>
      <w:rFonts w:ascii="Calibri" w:hAnsi="Calibri" w:eastAsia="宋体" w:cs="Times New Roman"/>
      <w:kern w:val="0"/>
      <w:sz w:val="18"/>
      <w:szCs w:val="18"/>
    </w:rPr>
  </w:style>
  <w:style w:type="character" w:customStyle="1" w:styleId="64">
    <w:name w:val="页脚 字符"/>
    <w:basedOn w:val="45"/>
    <w:link w:val="27"/>
    <w:qFormat/>
    <w:uiPriority w:val="0"/>
    <w:rPr>
      <w:rFonts w:ascii="Calibri" w:hAnsi="Calibri" w:eastAsia="宋体" w:cs="Times New Roman"/>
      <w:kern w:val="0"/>
      <w:sz w:val="18"/>
      <w:szCs w:val="18"/>
    </w:rPr>
  </w:style>
  <w:style w:type="character" w:customStyle="1" w:styleId="65">
    <w:name w:val="正文文本 Char"/>
    <w:basedOn w:val="45"/>
    <w:qFormat/>
    <w:uiPriority w:val="99"/>
    <w:rPr>
      <w:rFonts w:ascii="Calibri" w:hAnsi="Calibri" w:eastAsia="宋体" w:cs="Times New Roman"/>
    </w:rPr>
  </w:style>
  <w:style w:type="character" w:customStyle="1" w:styleId="66">
    <w:name w:val="正文文本缩进 字符"/>
    <w:basedOn w:val="45"/>
    <w:link w:val="18"/>
    <w:semiHidden/>
    <w:qFormat/>
    <w:uiPriority w:val="0"/>
    <w:rPr>
      <w:rFonts w:ascii="Times New Roman" w:hAnsi="Times New Roman" w:eastAsia="宋体" w:cs="Times New Roman"/>
      <w:kern w:val="0"/>
      <w:sz w:val="20"/>
      <w:szCs w:val="24"/>
    </w:rPr>
  </w:style>
  <w:style w:type="character" w:customStyle="1" w:styleId="67">
    <w:name w:val="副标题 字符"/>
    <w:basedOn w:val="45"/>
    <w:link w:val="31"/>
    <w:qFormat/>
    <w:uiPriority w:val="0"/>
    <w:rPr>
      <w:rFonts w:ascii="Cambria" w:hAnsi="Cambria" w:eastAsia="宋体" w:cs="Times New Roman"/>
      <w:b/>
      <w:bCs/>
      <w:kern w:val="28"/>
      <w:sz w:val="32"/>
      <w:szCs w:val="32"/>
    </w:rPr>
  </w:style>
  <w:style w:type="character" w:customStyle="1" w:styleId="68">
    <w:name w:val="日期 字符"/>
    <w:basedOn w:val="45"/>
    <w:link w:val="24"/>
    <w:qFormat/>
    <w:uiPriority w:val="99"/>
    <w:rPr>
      <w:rFonts w:ascii="Times New Roman" w:hAnsi="Times New Roman" w:eastAsia="宋体" w:cs="Times New Roman"/>
      <w:kern w:val="0"/>
      <w:sz w:val="24"/>
      <w:szCs w:val="24"/>
    </w:rPr>
  </w:style>
  <w:style w:type="character" w:customStyle="1" w:styleId="69">
    <w:name w:val="正文首行缩进 字符"/>
    <w:basedOn w:val="65"/>
    <w:link w:val="42"/>
    <w:semiHidden/>
    <w:qFormat/>
    <w:uiPriority w:val="0"/>
    <w:rPr>
      <w:rFonts w:ascii="Times New Roman" w:hAnsi="Times New Roman" w:eastAsia="宋体" w:cs="Times New Roman"/>
      <w:kern w:val="0"/>
      <w:sz w:val="18"/>
      <w:szCs w:val="18"/>
    </w:rPr>
  </w:style>
  <w:style w:type="character" w:customStyle="1" w:styleId="70">
    <w:name w:val="正文文本 2 字符"/>
    <w:basedOn w:val="45"/>
    <w:link w:val="37"/>
    <w:semiHidden/>
    <w:qFormat/>
    <w:uiPriority w:val="0"/>
    <w:rPr>
      <w:rFonts w:ascii="Times New Roman" w:hAnsi="Times New Roman" w:eastAsia="宋体" w:cs="Times New Roman"/>
      <w:kern w:val="0"/>
      <w:sz w:val="18"/>
      <w:szCs w:val="18"/>
    </w:rPr>
  </w:style>
  <w:style w:type="character" w:customStyle="1" w:styleId="71">
    <w:name w:val="正文文本 3 字符"/>
    <w:basedOn w:val="45"/>
    <w:link w:val="17"/>
    <w:semiHidden/>
    <w:qFormat/>
    <w:uiPriority w:val="0"/>
    <w:rPr>
      <w:rFonts w:ascii="Times New Roman" w:hAnsi="Times New Roman" w:eastAsia="黑体" w:cs="Times New Roman"/>
      <w:sz w:val="44"/>
      <w:szCs w:val="24"/>
    </w:rPr>
  </w:style>
  <w:style w:type="character" w:customStyle="1" w:styleId="72">
    <w:name w:val="正文文本缩进 2 字符"/>
    <w:basedOn w:val="45"/>
    <w:link w:val="25"/>
    <w:qFormat/>
    <w:uiPriority w:val="99"/>
    <w:rPr>
      <w:rFonts w:ascii="Calibri" w:hAnsi="Calibri" w:eastAsia="宋体" w:cs="Times New Roman"/>
    </w:rPr>
  </w:style>
  <w:style w:type="character" w:customStyle="1" w:styleId="73">
    <w:name w:val="正文文本缩进 3 字符"/>
    <w:basedOn w:val="45"/>
    <w:link w:val="34"/>
    <w:semiHidden/>
    <w:qFormat/>
    <w:uiPriority w:val="0"/>
    <w:rPr>
      <w:rFonts w:ascii="宋体" w:hAnsi="宋体" w:eastAsia="宋体" w:cs="Times New Roman"/>
      <w:kern w:val="0"/>
      <w:sz w:val="28"/>
      <w:szCs w:val="28"/>
    </w:rPr>
  </w:style>
  <w:style w:type="character" w:customStyle="1" w:styleId="74">
    <w:name w:val="文档结构图 字符"/>
    <w:basedOn w:val="45"/>
    <w:link w:val="15"/>
    <w:qFormat/>
    <w:uiPriority w:val="99"/>
    <w:rPr>
      <w:rFonts w:ascii="Times New Roman" w:hAnsi="Times New Roman" w:eastAsia="宋体" w:cs="Times New Roman"/>
      <w:kern w:val="0"/>
      <w:sz w:val="18"/>
      <w:szCs w:val="18"/>
      <w:shd w:val="clear" w:color="auto" w:fill="000080"/>
    </w:rPr>
  </w:style>
  <w:style w:type="character" w:customStyle="1" w:styleId="75">
    <w:name w:val="纯文本 Char"/>
    <w:basedOn w:val="45"/>
    <w:qFormat/>
    <w:uiPriority w:val="99"/>
    <w:rPr>
      <w:rFonts w:ascii="宋体" w:hAnsi="Courier New" w:eastAsia="宋体" w:cs="Courier New"/>
      <w:szCs w:val="21"/>
    </w:rPr>
  </w:style>
  <w:style w:type="character" w:customStyle="1" w:styleId="76">
    <w:name w:val="批注主题 字符"/>
    <w:basedOn w:val="62"/>
    <w:link w:val="41"/>
    <w:qFormat/>
    <w:uiPriority w:val="99"/>
    <w:rPr>
      <w:rFonts w:ascii="Calibri" w:hAnsi="Calibri" w:eastAsia="宋体" w:cs="Times New Roman"/>
      <w:b/>
      <w:bCs/>
      <w:kern w:val="0"/>
      <w:sz w:val="18"/>
      <w:szCs w:val="18"/>
    </w:rPr>
  </w:style>
  <w:style w:type="character" w:customStyle="1" w:styleId="77">
    <w:name w:val="批注框文本 字符"/>
    <w:basedOn w:val="45"/>
    <w:link w:val="26"/>
    <w:qFormat/>
    <w:uiPriority w:val="99"/>
    <w:rPr>
      <w:rFonts w:ascii="Times New Roman" w:hAnsi="Times New Roman" w:eastAsia="宋体" w:cs="Times New Roman"/>
      <w:kern w:val="0"/>
      <w:sz w:val="18"/>
      <w:szCs w:val="18"/>
    </w:rPr>
  </w:style>
  <w:style w:type="paragraph" w:styleId="78">
    <w:name w:val="No Spacing"/>
    <w:qFormat/>
    <w:uiPriority w:val="1"/>
    <w:pPr>
      <w:widowControl w:val="0"/>
      <w:jc w:val="both"/>
    </w:pPr>
    <w:rPr>
      <w:rFonts w:ascii="Times New Roman" w:hAnsi="Times New Roman" w:eastAsia="宋体" w:cs="Times New Roman"/>
      <w:kern w:val="2"/>
      <w:sz w:val="21"/>
      <w:szCs w:val="24"/>
      <w:lang w:val="en-US" w:eastAsia="zh-CN" w:bidi="ar-SA"/>
    </w:rPr>
  </w:style>
  <w:style w:type="character" w:customStyle="1" w:styleId="79">
    <w:name w:val="列出段落 字符"/>
    <w:link w:val="80"/>
    <w:qFormat/>
    <w:locked/>
    <w:uiPriority w:val="0"/>
    <w:rPr>
      <w:rFonts w:ascii="Calibri" w:hAnsi="Calibri"/>
    </w:rPr>
  </w:style>
  <w:style w:type="paragraph" w:styleId="80">
    <w:name w:val="List Paragraph"/>
    <w:basedOn w:val="1"/>
    <w:link w:val="79"/>
    <w:qFormat/>
    <w:uiPriority w:val="0"/>
    <w:pPr>
      <w:ind w:firstLine="420" w:firstLineChars="200"/>
    </w:pPr>
    <w:rPr>
      <w:rFonts w:eastAsiaTheme="minorEastAsia" w:cstheme="minorBidi"/>
    </w:rPr>
  </w:style>
  <w:style w:type="character" w:customStyle="1" w:styleId="81">
    <w:name w:val="彩色列表 - 强调文字颜色 1 Char"/>
    <w:link w:val="82"/>
    <w:qFormat/>
    <w:locked/>
    <w:uiPriority w:val="0"/>
    <w:rPr>
      <w:rFonts w:ascii="Calibri" w:hAnsi="Calibri"/>
    </w:rPr>
  </w:style>
  <w:style w:type="paragraph" w:customStyle="1" w:styleId="82">
    <w:name w:val="彩色列表 - 强调文字颜色 11"/>
    <w:basedOn w:val="1"/>
    <w:link w:val="81"/>
    <w:qFormat/>
    <w:uiPriority w:val="0"/>
    <w:pPr>
      <w:ind w:firstLine="420" w:firstLineChars="200"/>
    </w:pPr>
    <w:rPr>
      <w:rFonts w:eastAsiaTheme="minorEastAsia" w:cstheme="minorBidi"/>
    </w:rPr>
  </w:style>
  <w:style w:type="paragraph" w:customStyle="1" w:styleId="83">
    <w:name w:val="样式 右侧:  1 字符1"/>
    <w:basedOn w:val="1"/>
    <w:qFormat/>
    <w:uiPriority w:val="0"/>
    <w:pPr>
      <w:ind w:left="240" w:leftChars="100" w:right="240" w:rightChars="100"/>
    </w:pPr>
    <w:rPr>
      <w:rFonts w:ascii="Times New Roman" w:hAnsi="Times New Roman" w:eastAsia="仿宋_GB2312" w:cs="宋体"/>
      <w:sz w:val="28"/>
      <w:szCs w:val="20"/>
    </w:rPr>
  </w:style>
  <w:style w:type="paragraph" w:customStyle="1" w:styleId="84">
    <w:name w:val="MM Title"/>
    <w:basedOn w:val="1"/>
    <w:qFormat/>
    <w:uiPriority w:val="0"/>
    <w:pPr>
      <w:spacing w:before="240" w:after="60"/>
      <w:jc w:val="center"/>
      <w:outlineLvl w:val="0"/>
    </w:pPr>
    <w:rPr>
      <w:rFonts w:ascii="Arial" w:hAnsi="Arial" w:cs="Arial"/>
      <w:b/>
      <w:bCs/>
      <w:sz w:val="32"/>
      <w:szCs w:val="32"/>
    </w:rPr>
  </w:style>
  <w:style w:type="paragraph" w:customStyle="1" w:styleId="85">
    <w:name w:val="正文格式"/>
    <w:basedOn w:val="1"/>
    <w:qFormat/>
    <w:uiPriority w:val="99"/>
    <w:pPr>
      <w:widowControl/>
      <w:adjustRightInd w:val="0"/>
      <w:snapToGrid w:val="0"/>
      <w:spacing w:beforeLines="25" w:line="360" w:lineRule="auto"/>
      <w:ind w:firstLine="480" w:firstLineChars="200"/>
    </w:pPr>
    <w:rPr>
      <w:rFonts w:ascii="宋体" w:hAnsi="宋体"/>
      <w:bCs/>
      <w:color w:val="000000"/>
      <w:kern w:val="0"/>
      <w:sz w:val="24"/>
      <w:szCs w:val="24"/>
    </w:rPr>
  </w:style>
  <w:style w:type="paragraph" w:customStyle="1" w:styleId="86">
    <w:name w:val="默认段落字体 Para Char Char Char1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87">
    <w:name w:val="gb_master正文"/>
    <w:basedOn w:val="1"/>
    <w:qFormat/>
    <w:uiPriority w:val="0"/>
    <w:pPr>
      <w:ind w:firstLine="200" w:firstLineChars="200"/>
    </w:pPr>
    <w:rPr>
      <w:rFonts w:ascii="Times New Roman" w:hAnsi="Times New Roman"/>
      <w:szCs w:val="24"/>
    </w:rPr>
  </w:style>
  <w:style w:type="paragraph" w:customStyle="1" w:styleId="88">
    <w:name w:val="p0"/>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8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90">
    <w:name w:val="Char2 Char Char Char"/>
    <w:basedOn w:val="1"/>
    <w:qFormat/>
    <w:uiPriority w:val="0"/>
    <w:rPr>
      <w:rFonts w:ascii="仿宋_GB2312" w:hAnsi="Times New Roman"/>
      <w:b/>
      <w:sz w:val="30"/>
      <w:szCs w:val="32"/>
    </w:rPr>
  </w:style>
  <w:style w:type="paragraph" w:customStyle="1" w:styleId="91">
    <w:name w:val="样式 样式 样式 标题 2 + 宋体 五号 非加粗 黑色 + 段前: 6 磅 段后: 0 磅 行距: 单倍行距 + 段前: 12..."/>
    <w:basedOn w:val="1"/>
    <w:qFormat/>
    <w:uiPriority w:val="0"/>
    <w:pPr>
      <w:keepNext/>
      <w:keepLines/>
      <w:numPr>
        <w:ilvl w:val="1"/>
        <w:numId w:val="3"/>
      </w:numPr>
      <w:adjustRightInd w:val="0"/>
      <w:spacing w:before="240"/>
      <w:jc w:val="left"/>
      <w:outlineLvl w:val="1"/>
    </w:pPr>
    <w:rPr>
      <w:rFonts w:ascii="宋体" w:hAnsi="宋体" w:cs="宋体"/>
      <w:color w:val="000000"/>
      <w:kern w:val="0"/>
      <w:szCs w:val="20"/>
    </w:rPr>
  </w:style>
  <w:style w:type="paragraph" w:customStyle="1" w:styleId="92">
    <w:name w:val="xl2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szCs w:val="24"/>
    </w:rPr>
  </w:style>
  <w:style w:type="paragraph" w:customStyle="1" w:styleId="93">
    <w:name w:val="默认段落字体 Para Char"/>
    <w:basedOn w:val="1"/>
    <w:qFormat/>
    <w:uiPriority w:val="0"/>
    <w:rPr>
      <w:rFonts w:ascii="Tahoma" w:hAnsi="Tahoma"/>
      <w:sz w:val="24"/>
      <w:szCs w:val="20"/>
    </w:rPr>
  </w:style>
  <w:style w:type="paragraph" w:customStyle="1" w:styleId="94">
    <w:name w:val="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95">
    <w:name w:val="样式 行距: 1.5 倍行距 左  3.42 字符"/>
    <w:basedOn w:val="1"/>
    <w:qFormat/>
    <w:uiPriority w:val="0"/>
    <w:pPr>
      <w:spacing w:line="360" w:lineRule="auto"/>
      <w:ind w:left="200" w:leftChars="200" w:firstLine="200" w:firstLineChars="200"/>
    </w:pPr>
    <w:rPr>
      <w:rFonts w:ascii="Times New Roman" w:hAnsi="Times New Roman" w:cs="宋体"/>
      <w:szCs w:val="20"/>
    </w:rPr>
  </w:style>
  <w:style w:type="paragraph" w:customStyle="1" w:styleId="96">
    <w:name w:val="样式 正文缩进 + (中文) 仿宋_GB2312 小四 Char"/>
    <w:basedOn w:val="13"/>
    <w:qFormat/>
    <w:uiPriority w:val="0"/>
    <w:pPr>
      <w:spacing w:after="0" w:line="360" w:lineRule="auto"/>
      <w:ind w:firstLine="480" w:firstLineChars="200"/>
    </w:pPr>
    <w:rPr>
      <w:rFonts w:ascii="宋体" w:hAnsi="宋体"/>
      <w:sz w:val="24"/>
      <w:szCs w:val="24"/>
    </w:rPr>
  </w:style>
  <w:style w:type="paragraph" w:customStyle="1" w:styleId="97">
    <w:name w:val="表格文字"/>
    <w:basedOn w:val="1"/>
    <w:link w:val="309"/>
    <w:qFormat/>
    <w:uiPriority w:val="0"/>
    <w:pPr>
      <w:spacing w:beforeLines="25"/>
    </w:pPr>
    <w:rPr>
      <w:rFonts w:ascii="Times New (W1)" w:hAnsi="Times New (W1)"/>
      <w:spacing w:val="10"/>
      <w:szCs w:val="24"/>
    </w:rPr>
  </w:style>
  <w:style w:type="paragraph" w:customStyle="1" w:styleId="98">
    <w:name w:val="文章正文"/>
    <w:basedOn w:val="1"/>
    <w:qFormat/>
    <w:uiPriority w:val="0"/>
    <w:pPr>
      <w:spacing w:line="360" w:lineRule="auto"/>
      <w:ind w:firstLine="420"/>
    </w:pPr>
    <w:rPr>
      <w:rFonts w:ascii="Times New Roman" w:hAnsi="Times New Roman"/>
      <w:sz w:val="24"/>
      <w:szCs w:val="24"/>
    </w:rPr>
  </w:style>
  <w:style w:type="paragraph" w:customStyle="1" w:styleId="99">
    <w:name w:val="标书正文:  0.74 厘米"/>
    <w:basedOn w:val="1"/>
    <w:qFormat/>
    <w:uiPriority w:val="0"/>
    <w:pPr>
      <w:snapToGrid w:val="0"/>
      <w:spacing w:line="360" w:lineRule="auto"/>
      <w:ind w:firstLine="420"/>
    </w:pPr>
    <w:rPr>
      <w:rFonts w:ascii="Times New Roman" w:hAnsi="Times New Roman"/>
      <w:sz w:val="24"/>
      <w:szCs w:val="18"/>
    </w:rPr>
  </w:style>
  <w:style w:type="paragraph" w:customStyle="1" w:styleId="100">
    <w:name w:val="默认段落字体 Para Char Char"/>
    <w:basedOn w:val="1"/>
    <w:qFormat/>
    <w:uiPriority w:val="0"/>
    <w:rPr>
      <w:rFonts w:ascii="Times New Roman" w:hAnsi="Times New Roman"/>
      <w:szCs w:val="24"/>
    </w:rPr>
  </w:style>
  <w:style w:type="paragraph" w:customStyle="1" w:styleId="101">
    <w:name w:val="MM Topic 6"/>
    <w:basedOn w:val="8"/>
    <w:qFormat/>
    <w:uiPriority w:val="0"/>
    <w:pPr>
      <w:tabs>
        <w:tab w:val="left" w:pos="3260"/>
        <w:tab w:val="clear" w:pos="1702"/>
      </w:tabs>
      <w:ind w:left="0" w:firstLine="0"/>
    </w:pPr>
    <w:rPr>
      <w:rFonts w:eastAsia="黑体"/>
    </w:rPr>
  </w:style>
  <w:style w:type="paragraph" w:customStyle="1" w:styleId="102">
    <w:name w:val="Char1 Char Char 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3">
    <w:name w:val="样式 首行缩进:  2 字符"/>
    <w:basedOn w:val="1"/>
    <w:qFormat/>
    <w:uiPriority w:val="0"/>
    <w:pPr>
      <w:spacing w:line="400" w:lineRule="exact"/>
      <w:ind w:firstLine="200" w:firstLineChars="200"/>
    </w:pPr>
    <w:rPr>
      <w:rFonts w:ascii="Times New Roman" w:hAnsi="Times New Roman" w:cs="宋体"/>
      <w:sz w:val="24"/>
      <w:szCs w:val="24"/>
    </w:rPr>
  </w:style>
  <w:style w:type="paragraph" w:customStyle="1" w:styleId="104">
    <w:name w:val="Char1"/>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05">
    <w:name w:val="标题 5 + 首行缩进:  2 字符"/>
    <w:basedOn w:val="7"/>
    <w:next w:val="18"/>
    <w:qFormat/>
    <w:uiPriority w:val="0"/>
    <w:pPr>
      <w:tabs>
        <w:tab w:val="left" w:pos="992"/>
        <w:tab w:val="clear" w:pos="1134"/>
      </w:tabs>
      <w:snapToGrid w:val="0"/>
      <w:spacing w:before="0" w:beforeLines="50" w:after="0" w:afterLines="50"/>
      <w:ind w:left="3570" w:firstLine="482" w:firstLineChars="200"/>
    </w:pPr>
    <w:rPr>
      <w:rFonts w:cs="Times New Roman"/>
      <w:color w:val="000000"/>
      <w:szCs w:val="20"/>
    </w:rPr>
  </w:style>
  <w:style w:type="paragraph" w:customStyle="1" w:styleId="106">
    <w:name w:val="Char2 Char Char Char Char Char Char"/>
    <w:basedOn w:val="1"/>
    <w:qFormat/>
    <w:uiPriority w:val="0"/>
    <w:rPr>
      <w:rFonts w:ascii="仿宋_GB2312" w:hAnsi="Times New Roman"/>
      <w:b/>
      <w:sz w:val="30"/>
      <w:szCs w:val="32"/>
    </w:rPr>
  </w:style>
  <w:style w:type="paragraph" w:customStyle="1" w:styleId="107">
    <w:name w:val="MM Topic 2"/>
    <w:basedOn w:val="4"/>
    <w:qFormat/>
    <w:uiPriority w:val="0"/>
    <w:pPr>
      <w:numPr>
        <w:ilvl w:val="0"/>
        <w:numId w:val="0"/>
      </w:numPr>
      <w:tabs>
        <w:tab w:val="left" w:pos="992"/>
      </w:tabs>
    </w:pPr>
    <w:rPr>
      <w:rFonts w:cs="Times New Roman"/>
    </w:rPr>
  </w:style>
  <w:style w:type="paragraph" w:customStyle="1" w:styleId="108">
    <w:name w:val="Style Style4 + First line:  2 ch Before:  0.5 line After:  0.5 li..."/>
    <w:basedOn w:val="1"/>
    <w:qFormat/>
    <w:uiPriority w:val="0"/>
    <w:pPr>
      <w:spacing w:beforeLines="50" w:line="276" w:lineRule="auto"/>
      <w:ind w:firstLine="480" w:firstLineChars="200"/>
    </w:pPr>
    <w:rPr>
      <w:rFonts w:ascii="Arial" w:hAnsi="Arial"/>
      <w:sz w:val="24"/>
      <w:szCs w:val="20"/>
    </w:rPr>
  </w:style>
  <w:style w:type="paragraph" w:customStyle="1" w:styleId="109">
    <w:name w:val="正文 首行缩进:  2 字符 Char Char"/>
    <w:basedOn w:val="1"/>
    <w:qFormat/>
    <w:uiPriority w:val="0"/>
    <w:pPr>
      <w:spacing w:line="360" w:lineRule="auto"/>
      <w:ind w:firstLine="480"/>
    </w:pPr>
    <w:rPr>
      <w:rFonts w:ascii="Times New Roman" w:hAnsi="Times New Roman" w:cs="宋体"/>
      <w:sz w:val="24"/>
      <w:szCs w:val="20"/>
    </w:rPr>
  </w:style>
  <w:style w:type="paragraph" w:customStyle="1" w:styleId="110">
    <w:name w:val="MM Topic 8"/>
    <w:basedOn w:val="10"/>
    <w:qFormat/>
    <w:uiPriority w:val="0"/>
    <w:pPr>
      <w:tabs>
        <w:tab w:val="left" w:pos="4394"/>
      </w:tabs>
    </w:pPr>
  </w:style>
  <w:style w:type="paragraph" w:customStyle="1" w:styleId="111">
    <w:name w:val="Char1 Char Char Char Char Char Char"/>
    <w:basedOn w:val="1"/>
    <w:qFormat/>
    <w:uiPriority w:val="0"/>
    <w:rPr>
      <w:rFonts w:ascii="Tahoma" w:hAnsi="Tahoma"/>
      <w:sz w:val="24"/>
      <w:szCs w:val="20"/>
    </w:rPr>
  </w:style>
  <w:style w:type="paragraph" w:customStyle="1" w:styleId="112">
    <w:name w:val="RFI Heading 3rd Level"/>
    <w:basedOn w:val="1"/>
    <w:qFormat/>
    <w:uiPriority w:val="0"/>
    <w:pPr>
      <w:widowControl/>
      <w:tabs>
        <w:tab w:val="left" w:pos="720"/>
      </w:tabs>
      <w:ind w:left="720" w:hanging="720"/>
      <w:jc w:val="left"/>
    </w:pPr>
    <w:rPr>
      <w:rFonts w:ascii="Arial (W1)" w:hAnsi="Arial (W1)"/>
      <w:color w:val="000000"/>
      <w:kern w:val="0"/>
      <w:sz w:val="24"/>
      <w:szCs w:val="24"/>
      <w:lang w:val="en-GB" w:eastAsia="en-US"/>
    </w:rPr>
  </w:style>
  <w:style w:type="paragraph" w:customStyle="1" w:styleId="113">
    <w:name w:val="样式 小四2"/>
    <w:basedOn w:val="1"/>
    <w:qFormat/>
    <w:uiPriority w:val="0"/>
    <w:rPr>
      <w:rFonts w:ascii="宋体" w:hAnsi="宋体"/>
      <w:sz w:val="24"/>
      <w:szCs w:val="24"/>
    </w:rPr>
  </w:style>
  <w:style w:type="paragraph" w:customStyle="1" w:styleId="114">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115">
    <w:name w:val="Char Char1"/>
    <w:basedOn w:val="1"/>
    <w:next w:val="1"/>
    <w:qFormat/>
    <w:uiPriority w:val="0"/>
    <w:pPr>
      <w:spacing w:line="240" w:lineRule="atLeast"/>
      <w:ind w:left="420" w:firstLine="420"/>
      <w:jc w:val="left"/>
    </w:pPr>
    <w:rPr>
      <w:rFonts w:ascii="楷体_GB2312" w:hAnsi="宋体" w:eastAsia="楷体_GB2312"/>
      <w:bCs/>
      <w:color w:val="000000"/>
      <w:kern w:val="0"/>
      <w:sz w:val="28"/>
      <w:szCs w:val="28"/>
    </w:rPr>
  </w:style>
  <w:style w:type="paragraph" w:customStyle="1" w:styleId="116">
    <w:name w:val="1 Char"/>
    <w:basedOn w:val="1"/>
    <w:qFormat/>
    <w:uiPriority w:val="0"/>
    <w:pPr>
      <w:widowControl/>
      <w:spacing w:after="160" w:line="240" w:lineRule="exact"/>
      <w:jc w:val="left"/>
    </w:pPr>
    <w:rPr>
      <w:rFonts w:ascii="Tahoma" w:hAnsi="Tahoma" w:eastAsia="Times New Roman"/>
      <w:kern w:val="0"/>
      <w:sz w:val="24"/>
      <w:szCs w:val="24"/>
      <w:lang w:eastAsia="en-US"/>
    </w:rPr>
  </w:style>
  <w:style w:type="paragraph" w:customStyle="1" w:styleId="117">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18">
    <w:name w:val="文章正文 Char Char1"/>
    <w:basedOn w:val="1"/>
    <w:qFormat/>
    <w:uiPriority w:val="0"/>
    <w:pPr>
      <w:spacing w:line="360" w:lineRule="auto"/>
      <w:ind w:firstLine="420"/>
    </w:pPr>
    <w:rPr>
      <w:rFonts w:ascii="Times New Roman" w:hAnsi="Times New Roman"/>
      <w:sz w:val="24"/>
      <w:szCs w:val="24"/>
    </w:rPr>
  </w:style>
  <w:style w:type="paragraph" w:customStyle="1" w:styleId="119">
    <w:name w:val="标题2-1"/>
    <w:basedOn w:val="1"/>
    <w:qFormat/>
    <w:uiPriority w:val="0"/>
    <w:pPr>
      <w:tabs>
        <w:tab w:val="left" w:pos="0"/>
      </w:tabs>
      <w:autoSpaceDE w:val="0"/>
      <w:autoSpaceDN w:val="0"/>
      <w:adjustRightInd w:val="0"/>
      <w:spacing w:beforeLines="50"/>
      <w:jc w:val="left"/>
      <w:outlineLvl w:val="1"/>
    </w:pPr>
    <w:rPr>
      <w:rFonts w:ascii="Arial" w:hAnsi="宋体" w:cs="Arial"/>
      <w:b/>
      <w:bCs/>
      <w:color w:val="292929"/>
      <w:kern w:val="0"/>
      <w:sz w:val="28"/>
      <w:szCs w:val="28"/>
    </w:rPr>
  </w:style>
  <w:style w:type="paragraph" w:customStyle="1" w:styleId="120">
    <w:name w:val="样式"/>
    <w:link w:val="204"/>
    <w:qFormat/>
    <w:uiPriority w:val="0"/>
    <w:pPr>
      <w:widowControl w:val="0"/>
      <w:autoSpaceDE w:val="0"/>
      <w:autoSpaceDN w:val="0"/>
      <w:adjustRightInd w:val="0"/>
    </w:pPr>
    <w:rPr>
      <w:rFonts w:ascii="宋体" w:hAnsi="宋体" w:eastAsia="宋体" w:cs="宋体"/>
      <w:sz w:val="24"/>
      <w:szCs w:val="24"/>
      <w:lang w:val="en-US" w:eastAsia="zh-CN" w:bidi="ar-SA"/>
    </w:rPr>
  </w:style>
  <w:style w:type="paragraph" w:customStyle="1" w:styleId="121">
    <w:name w:val="图"/>
    <w:basedOn w:val="1"/>
    <w:qFormat/>
    <w:uiPriority w:val="0"/>
    <w:pPr>
      <w:widowControl/>
      <w:adjustRightInd w:val="0"/>
      <w:snapToGrid w:val="0"/>
      <w:jc w:val="center"/>
    </w:pPr>
    <w:rPr>
      <w:rFonts w:ascii="宋体" w:hAnsi="宋体"/>
      <w:bCs/>
      <w:szCs w:val="24"/>
    </w:rPr>
  </w:style>
  <w:style w:type="paragraph" w:customStyle="1" w:styleId="122">
    <w:name w:val="Char1 Char Char Char Char Char Char1"/>
    <w:basedOn w:val="1"/>
    <w:qFormat/>
    <w:uiPriority w:val="99"/>
    <w:rPr>
      <w:rFonts w:ascii="Tahoma" w:hAnsi="Tahoma"/>
      <w:sz w:val="24"/>
      <w:szCs w:val="20"/>
    </w:rPr>
  </w:style>
  <w:style w:type="paragraph" w:customStyle="1" w:styleId="123">
    <w:name w:val="zw1"/>
    <w:basedOn w:val="1"/>
    <w:qFormat/>
    <w:uiPriority w:val="0"/>
    <w:pPr>
      <w:widowControl/>
      <w:spacing w:line="360" w:lineRule="auto"/>
      <w:ind w:firstLine="480" w:firstLineChars="200"/>
    </w:pPr>
    <w:rPr>
      <w:rFonts w:ascii="Times New Roman" w:hAnsi="Times New Roman"/>
      <w:kern w:val="0"/>
      <w:sz w:val="24"/>
      <w:szCs w:val="20"/>
    </w:rPr>
  </w:style>
  <w:style w:type="paragraph" w:customStyle="1" w:styleId="124">
    <w:name w:val="Char Char Char Char Char Char Char"/>
    <w:basedOn w:val="1"/>
    <w:qFormat/>
    <w:uiPriority w:val="0"/>
    <w:pPr>
      <w:widowControl/>
      <w:snapToGrid w:val="0"/>
      <w:spacing w:line="240" w:lineRule="exact"/>
      <w:jc w:val="left"/>
    </w:pPr>
    <w:rPr>
      <w:rFonts w:ascii="Verdana" w:hAnsi="Verdana"/>
      <w:kern w:val="0"/>
      <w:sz w:val="20"/>
      <w:szCs w:val="20"/>
      <w:lang w:eastAsia="en-US"/>
    </w:rPr>
  </w:style>
  <w:style w:type="paragraph" w:customStyle="1" w:styleId="125">
    <w:name w:val="MM Topic 1"/>
    <w:basedOn w:val="3"/>
    <w:qFormat/>
    <w:uiPriority w:val="0"/>
    <w:pPr>
      <w:tabs>
        <w:tab w:val="left" w:pos="425"/>
      </w:tabs>
    </w:pPr>
    <w:rPr>
      <w:rFonts w:cs="Times New Roman"/>
      <w:sz w:val="44"/>
    </w:rPr>
  </w:style>
  <w:style w:type="paragraph" w:customStyle="1" w:styleId="126">
    <w:name w:val="样式 标题 5 + 倾斜"/>
    <w:basedOn w:val="7"/>
    <w:qFormat/>
    <w:uiPriority w:val="0"/>
    <w:pPr>
      <w:widowControl/>
      <w:tabs>
        <w:tab w:val="left" w:pos="992"/>
        <w:tab w:val="clear" w:pos="1134"/>
      </w:tabs>
      <w:overflowPunct w:val="0"/>
      <w:autoSpaceDE w:val="0"/>
      <w:autoSpaceDN w:val="0"/>
      <w:adjustRightInd w:val="0"/>
      <w:snapToGrid w:val="0"/>
      <w:spacing w:before="100" w:beforeAutospacing="1" w:after="100" w:afterAutospacing="1" w:line="288" w:lineRule="auto"/>
      <w:ind w:left="0" w:firstLine="0"/>
      <w:jc w:val="left"/>
    </w:pPr>
    <w:rPr>
      <w:rFonts w:ascii="Arial" w:hAnsi="Arial" w:cs="Times New Roman"/>
      <w:bCs w:val="0"/>
      <w:iCs/>
      <w:color w:val="000000"/>
    </w:rPr>
  </w:style>
  <w:style w:type="paragraph" w:customStyle="1" w:styleId="127">
    <w:name w:val="我的正文"/>
    <w:basedOn w:val="1"/>
    <w:qFormat/>
    <w:uiPriority w:val="0"/>
    <w:pPr>
      <w:spacing w:line="360" w:lineRule="auto"/>
      <w:ind w:firstLine="420" w:firstLineChars="200"/>
    </w:pPr>
    <w:rPr>
      <w:rFonts w:ascii="宋体" w:hAnsi="宋体"/>
      <w:szCs w:val="24"/>
    </w:rPr>
  </w:style>
  <w:style w:type="paragraph" w:customStyle="1" w:styleId="128">
    <w:name w:val="MM Topic 7"/>
    <w:basedOn w:val="9"/>
    <w:qFormat/>
    <w:uiPriority w:val="0"/>
    <w:pPr>
      <w:keepLines/>
      <w:widowControl w:val="0"/>
      <w:tabs>
        <w:tab w:val="left" w:pos="3827"/>
        <w:tab w:val="clear" w:pos="3600"/>
      </w:tabs>
      <w:spacing w:before="240" w:after="64" w:line="314" w:lineRule="auto"/>
      <w:jc w:val="both"/>
    </w:pPr>
    <w:rPr>
      <w:rFonts w:ascii="Times New Roman" w:hAnsi="Times New Roman"/>
      <w:iCs w:val="0"/>
      <w:kern w:val="2"/>
      <w:sz w:val="24"/>
      <w:lang w:eastAsia="zh-CN"/>
    </w:rPr>
  </w:style>
  <w:style w:type="paragraph" w:customStyle="1" w:styleId="129">
    <w:name w:val="标书（正文）"/>
    <w:basedOn w:val="1"/>
    <w:qFormat/>
    <w:uiPriority w:val="0"/>
    <w:pPr>
      <w:spacing w:line="360" w:lineRule="auto"/>
      <w:ind w:firstLine="560" w:firstLineChars="200"/>
    </w:pPr>
    <w:rPr>
      <w:rFonts w:ascii="宋体" w:hAnsi="宋体"/>
      <w:kern w:val="10"/>
      <w:sz w:val="28"/>
      <w:szCs w:val="28"/>
    </w:rPr>
  </w:style>
  <w:style w:type="paragraph" w:customStyle="1" w:styleId="130">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s="Times New Roman"/>
      <w:color w:val="auto"/>
    </w:rPr>
  </w:style>
  <w:style w:type="paragraph" w:customStyle="1" w:styleId="131">
    <w:name w:val="论文正文"/>
    <w:basedOn w:val="1"/>
    <w:qFormat/>
    <w:uiPriority w:val="0"/>
    <w:pPr>
      <w:spacing w:line="360" w:lineRule="auto"/>
      <w:ind w:firstLine="700" w:firstLineChars="250"/>
    </w:pPr>
    <w:rPr>
      <w:rFonts w:ascii="宋体" w:hAnsi="宋体"/>
      <w:bCs/>
      <w:sz w:val="28"/>
      <w:szCs w:val="28"/>
    </w:rPr>
  </w:style>
  <w:style w:type="paragraph" w:customStyle="1" w:styleId="132">
    <w:name w:val="样式1"/>
    <w:basedOn w:val="1"/>
    <w:qFormat/>
    <w:uiPriority w:val="0"/>
    <w:rPr>
      <w:rFonts w:ascii="Times New Roman" w:hAnsi="Times New Roman" w:eastAsia="隶书"/>
      <w:i/>
      <w:dstrike/>
      <w:sz w:val="28"/>
      <w:szCs w:val="18"/>
    </w:rPr>
  </w:style>
  <w:style w:type="paragraph" w:customStyle="1" w:styleId="133">
    <w:name w:val="表格"/>
    <w:basedOn w:val="1"/>
    <w:qFormat/>
    <w:uiPriority w:val="0"/>
    <w:pPr>
      <w:spacing w:line="400" w:lineRule="exact"/>
    </w:pPr>
    <w:rPr>
      <w:rFonts w:ascii="Times New Roman" w:hAnsi="Times New Roman"/>
      <w:sz w:val="24"/>
      <w:szCs w:val="24"/>
    </w:rPr>
  </w:style>
  <w:style w:type="paragraph" w:customStyle="1" w:styleId="134">
    <w:name w:val="彩色底纹 - 强调文字颜色 11"/>
    <w:qFormat/>
    <w:uiPriority w:val="0"/>
    <w:rPr>
      <w:rFonts w:ascii="Calibri" w:hAnsi="Calibri" w:eastAsia="宋体" w:cs="Times New Roman"/>
      <w:kern w:val="2"/>
      <w:sz w:val="21"/>
      <w:szCs w:val="22"/>
      <w:lang w:val="en-US" w:eastAsia="zh-CN" w:bidi="ar-SA"/>
    </w:rPr>
  </w:style>
  <w:style w:type="paragraph" w:customStyle="1" w:styleId="135">
    <w:name w:val="Char"/>
    <w:basedOn w:val="1"/>
    <w:next w:val="1"/>
    <w:qFormat/>
    <w:uiPriority w:val="0"/>
    <w:pPr>
      <w:spacing w:line="240" w:lineRule="atLeast"/>
      <w:ind w:left="420" w:firstLine="420"/>
      <w:jc w:val="left"/>
    </w:pPr>
    <w:rPr>
      <w:rFonts w:ascii="Times New Roman" w:hAnsi="Times New Roman"/>
      <w:kern w:val="0"/>
      <w:szCs w:val="21"/>
    </w:rPr>
  </w:style>
  <w:style w:type="paragraph" w:customStyle="1" w:styleId="136">
    <w:name w:val="Char Char Char Char Char Char Char Char Char Char Char Char Char"/>
    <w:basedOn w:val="15"/>
    <w:qFormat/>
    <w:uiPriority w:val="0"/>
    <w:rPr>
      <w:rFonts w:ascii="Tahoma" w:hAnsi="Tahoma"/>
      <w:sz w:val="24"/>
      <w:szCs w:val="24"/>
    </w:rPr>
  </w:style>
  <w:style w:type="paragraph" w:customStyle="1" w:styleId="137">
    <w:name w:val="MM Topic 3"/>
    <w:basedOn w:val="5"/>
    <w:qFormat/>
    <w:uiPriority w:val="0"/>
    <w:pPr>
      <w:numPr>
        <w:ilvl w:val="0"/>
        <w:numId w:val="0"/>
      </w:numPr>
      <w:tabs>
        <w:tab w:val="left" w:pos="1418"/>
      </w:tabs>
    </w:pPr>
    <w:rPr>
      <w:rFonts w:cs="Times New Roman"/>
    </w:rPr>
  </w:style>
  <w:style w:type="paragraph" w:customStyle="1" w:styleId="138">
    <w:name w:val="样式 仿宋_GB2312 小四 左侧:  0.63 厘米"/>
    <w:basedOn w:val="1"/>
    <w:qFormat/>
    <w:uiPriority w:val="0"/>
    <w:pPr>
      <w:spacing w:before="120" w:after="120" w:line="360" w:lineRule="auto"/>
      <w:ind w:left="357" w:firstLine="200" w:firstLineChars="200"/>
    </w:pPr>
    <w:rPr>
      <w:rFonts w:ascii="仿宋_GB2312" w:hAnsi="仿宋_GB2312" w:eastAsia="仿宋_GB2312" w:cs="宋体"/>
      <w:sz w:val="24"/>
      <w:szCs w:val="20"/>
    </w:rPr>
  </w:style>
  <w:style w:type="paragraph" w:customStyle="1" w:styleId="139">
    <w:name w:val="样式 宋体 小四 行距: 1.5 倍行距"/>
    <w:basedOn w:val="1"/>
    <w:qFormat/>
    <w:uiPriority w:val="0"/>
    <w:pPr>
      <w:tabs>
        <w:tab w:val="left" w:pos="5190"/>
      </w:tabs>
      <w:spacing w:before="100" w:beforeAutospacing="1" w:after="100" w:afterAutospacing="1" w:line="288" w:lineRule="auto"/>
      <w:ind w:firstLine="480"/>
    </w:pPr>
    <w:rPr>
      <w:rFonts w:ascii="宋体" w:hAnsi="宋体"/>
      <w:bCs/>
      <w:sz w:val="24"/>
      <w:szCs w:val="24"/>
    </w:rPr>
  </w:style>
  <w:style w:type="paragraph" w:customStyle="1" w:styleId="140">
    <w:name w:val="Char Char Char Char"/>
    <w:basedOn w:val="1"/>
    <w:qFormat/>
    <w:uiPriority w:val="0"/>
    <w:rPr>
      <w:rFonts w:ascii="Tahoma" w:hAnsi="Tahoma"/>
      <w:sz w:val="24"/>
      <w:szCs w:val="20"/>
    </w:rPr>
  </w:style>
  <w:style w:type="paragraph" w:customStyle="1" w:styleId="141">
    <w:name w:val="Style8"/>
    <w:basedOn w:val="1"/>
    <w:qFormat/>
    <w:uiPriority w:val="0"/>
    <w:pPr>
      <w:tabs>
        <w:tab w:val="left" w:pos="1304"/>
      </w:tabs>
      <w:spacing w:beforeLines="50" w:line="276" w:lineRule="auto"/>
      <w:ind w:left="1304" w:hanging="397"/>
    </w:pPr>
    <w:rPr>
      <w:rFonts w:ascii="Arial" w:hAnsi="Arial"/>
      <w:sz w:val="24"/>
      <w:szCs w:val="24"/>
    </w:rPr>
  </w:style>
  <w:style w:type="paragraph" w:customStyle="1" w:styleId="142">
    <w:name w:val="MM Topic 9"/>
    <w:basedOn w:val="11"/>
    <w:qFormat/>
    <w:uiPriority w:val="0"/>
    <w:pPr>
      <w:tabs>
        <w:tab w:val="left" w:pos="5102"/>
      </w:tabs>
    </w:pPr>
  </w:style>
  <w:style w:type="paragraph" w:customStyle="1" w:styleId="143">
    <w:name w:val="MM Topic 5"/>
    <w:basedOn w:val="7"/>
    <w:qFormat/>
    <w:uiPriority w:val="0"/>
    <w:pPr>
      <w:tabs>
        <w:tab w:val="left" w:pos="2551"/>
        <w:tab w:val="clear" w:pos="1134"/>
        <w:tab w:val="clear" w:pos="1560"/>
      </w:tabs>
      <w:ind w:left="0" w:firstLine="0"/>
    </w:pPr>
    <w:rPr>
      <w:rFonts w:cs="Times New Roman"/>
    </w:rPr>
  </w:style>
  <w:style w:type="paragraph" w:customStyle="1" w:styleId="144">
    <w:name w:val="大纲正文"/>
    <w:basedOn w:val="1"/>
    <w:qFormat/>
    <w:uiPriority w:val="0"/>
    <w:pPr>
      <w:spacing w:line="360" w:lineRule="auto"/>
      <w:ind w:firstLine="480" w:firstLineChars="200"/>
    </w:pPr>
    <w:rPr>
      <w:rFonts w:ascii="Times New Roman" w:hAnsi="Times New Roman"/>
      <w:sz w:val="24"/>
      <w:szCs w:val="20"/>
    </w:rPr>
  </w:style>
  <w:style w:type="paragraph" w:customStyle="1" w:styleId="145">
    <w:name w:val="MM Topic 4"/>
    <w:basedOn w:val="6"/>
    <w:qFormat/>
    <w:uiPriority w:val="0"/>
    <w:pPr>
      <w:tabs>
        <w:tab w:val="left" w:pos="1984"/>
      </w:tabs>
      <w:ind w:left="0" w:firstLine="0"/>
    </w:pPr>
  </w:style>
  <w:style w:type="paragraph" w:customStyle="1" w:styleId="146">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47">
    <w:name w:val="样式 小四 首行缩进:  0.74 厘米"/>
    <w:basedOn w:val="1"/>
    <w:qFormat/>
    <w:uiPriority w:val="0"/>
    <w:pPr>
      <w:spacing w:before="100" w:beforeAutospacing="1" w:after="100" w:afterAutospacing="1" w:line="300" w:lineRule="auto"/>
      <w:ind w:firstLine="420" w:firstLineChars="175"/>
    </w:pPr>
    <w:rPr>
      <w:rFonts w:ascii="宋体" w:hAnsi="宋体"/>
      <w:sz w:val="24"/>
      <w:szCs w:val="24"/>
    </w:rPr>
  </w:style>
  <w:style w:type="paragraph" w:customStyle="1" w:styleId="148">
    <w:name w:val="样式 标题 2H2第一章 标题 2Heading 2 HiddenHeading 2 CCBSheading 2h2..."/>
    <w:basedOn w:val="4"/>
    <w:qFormat/>
    <w:uiPriority w:val="0"/>
    <w:pPr>
      <w:tabs>
        <w:tab w:val="left" w:pos="-2493"/>
      </w:tabs>
    </w:pPr>
    <w:rPr>
      <w:rFonts w:cs="Times New Roman"/>
      <w:szCs w:val="20"/>
    </w:rPr>
  </w:style>
  <w:style w:type="paragraph" w:customStyle="1" w:styleId="149">
    <w:name w:val="正文首行缩进两字符"/>
    <w:basedOn w:val="1"/>
    <w:qFormat/>
    <w:uiPriority w:val="0"/>
    <w:pPr>
      <w:spacing w:line="360" w:lineRule="auto"/>
      <w:ind w:firstLine="200" w:firstLineChars="200"/>
    </w:pPr>
    <w:rPr>
      <w:rFonts w:ascii="Times New Roman" w:hAnsi="Times New Roman"/>
      <w:szCs w:val="24"/>
    </w:rPr>
  </w:style>
  <w:style w:type="paragraph" w:customStyle="1" w:styleId="150">
    <w:name w:val="列出段落2"/>
    <w:basedOn w:val="1"/>
    <w:qFormat/>
    <w:uiPriority w:val="0"/>
    <w:pPr>
      <w:ind w:firstLine="420" w:firstLineChars="200"/>
    </w:pPr>
  </w:style>
  <w:style w:type="paragraph" w:customStyle="1" w:styleId="151">
    <w:name w:val="列出段落4"/>
    <w:basedOn w:val="1"/>
    <w:qFormat/>
    <w:uiPriority w:val="0"/>
    <w:pPr>
      <w:ind w:firstLine="420" w:firstLineChars="200"/>
    </w:pPr>
    <w:rPr>
      <w:rFonts w:ascii="Times New Roman" w:hAnsi="Times New Roman"/>
      <w:szCs w:val="24"/>
    </w:rPr>
  </w:style>
  <w:style w:type="paragraph" w:customStyle="1" w:styleId="152">
    <w:name w:val="列出段落1"/>
    <w:basedOn w:val="1"/>
    <w:qFormat/>
    <w:uiPriority w:val="99"/>
    <w:pPr>
      <w:ind w:firstLine="420" w:firstLineChars="200"/>
    </w:pPr>
  </w:style>
  <w:style w:type="paragraph" w:customStyle="1" w:styleId="153">
    <w:name w:val="修订1"/>
    <w:qFormat/>
    <w:uiPriority w:val="99"/>
    <w:rPr>
      <w:rFonts w:ascii="Calibri" w:hAnsi="Calibri" w:eastAsia="宋体" w:cs="Times New Roman"/>
      <w:kern w:val="2"/>
      <w:sz w:val="21"/>
      <w:szCs w:val="22"/>
      <w:lang w:val="en-US" w:eastAsia="zh-CN" w:bidi="ar-SA"/>
    </w:rPr>
  </w:style>
  <w:style w:type="paragraph" w:customStyle="1" w:styleId="154">
    <w:name w:val="彩色列表 - 强调文字颜色 12"/>
    <w:basedOn w:val="1"/>
    <w:qFormat/>
    <w:uiPriority w:val="0"/>
    <w:pPr>
      <w:ind w:firstLine="420" w:firstLineChars="200"/>
    </w:pPr>
  </w:style>
  <w:style w:type="paragraph" w:customStyle="1" w:styleId="15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156">
    <w:name w:val="列出段落3"/>
    <w:basedOn w:val="1"/>
    <w:qFormat/>
    <w:uiPriority w:val="0"/>
    <w:pPr>
      <w:widowControl/>
      <w:ind w:firstLine="420" w:firstLineChars="200"/>
      <w:jc w:val="left"/>
    </w:pPr>
    <w:rPr>
      <w:rFonts w:ascii="Times New Roman" w:hAnsi="Times New Roman"/>
      <w:kern w:val="0"/>
      <w:sz w:val="24"/>
      <w:szCs w:val="24"/>
    </w:rPr>
  </w:style>
  <w:style w:type="paragraph" w:customStyle="1" w:styleId="157">
    <w:name w:val="列项——（一级）"/>
    <w:qFormat/>
    <w:uiPriority w:val="99"/>
    <w:pPr>
      <w:widowControl w:val="0"/>
      <w:numPr>
        <w:ilvl w:val="0"/>
        <w:numId w:val="4"/>
      </w:numPr>
      <w:jc w:val="both"/>
    </w:pPr>
    <w:rPr>
      <w:rFonts w:ascii="宋体" w:hAnsi="Times New Roman" w:eastAsia="宋体" w:cs="Times New Roman"/>
      <w:sz w:val="21"/>
      <w:lang w:val="en-US" w:eastAsia="zh-CN" w:bidi="ar-SA"/>
    </w:rPr>
  </w:style>
  <w:style w:type="character" w:customStyle="1" w:styleId="158">
    <w:name w:val="0-CD Char"/>
    <w:link w:val="159"/>
    <w:qFormat/>
    <w:locked/>
    <w:uiPriority w:val="0"/>
    <w:rPr>
      <w:rFonts w:ascii="宋体" w:hAnsi="宋体" w:eastAsia="宋体"/>
      <w:sz w:val="28"/>
      <w:szCs w:val="24"/>
    </w:rPr>
  </w:style>
  <w:style w:type="paragraph" w:customStyle="1" w:styleId="159">
    <w:name w:val="0-CD"/>
    <w:basedOn w:val="1"/>
    <w:link w:val="158"/>
    <w:qFormat/>
    <w:uiPriority w:val="0"/>
    <w:pPr>
      <w:spacing w:line="360" w:lineRule="auto"/>
      <w:ind w:firstLine="708" w:firstLineChars="253"/>
      <w:jc w:val="left"/>
    </w:pPr>
    <w:rPr>
      <w:rFonts w:ascii="宋体" w:hAnsi="宋体" w:cstheme="minorBidi"/>
      <w:sz w:val="28"/>
      <w:szCs w:val="24"/>
    </w:rPr>
  </w:style>
  <w:style w:type="character" w:customStyle="1" w:styleId="160">
    <w:name w:val="Char Char8"/>
    <w:qFormat/>
    <w:uiPriority w:val="0"/>
    <w:rPr>
      <w:rFonts w:hint="eastAsia" w:ascii="宋体" w:hAnsi="宋体" w:eastAsia="宋体"/>
      <w:kern w:val="2"/>
      <w:sz w:val="28"/>
      <w:szCs w:val="28"/>
    </w:rPr>
  </w:style>
  <w:style w:type="character" w:customStyle="1" w:styleId="161">
    <w:name w:val="Char Char5"/>
    <w:qFormat/>
    <w:uiPriority w:val="0"/>
    <w:rPr>
      <w:kern w:val="2"/>
      <w:sz w:val="21"/>
      <w:szCs w:val="24"/>
    </w:rPr>
  </w:style>
  <w:style w:type="character" w:customStyle="1" w:styleId="162">
    <w:name w:val="列出段落 Char Char"/>
    <w:qFormat/>
    <w:uiPriority w:val="0"/>
    <w:rPr>
      <w:rFonts w:hint="default" w:ascii="Calibri" w:hAnsi="Calibri" w:cs="Calibri"/>
      <w:kern w:val="2"/>
      <w:sz w:val="21"/>
      <w:szCs w:val="22"/>
    </w:rPr>
  </w:style>
  <w:style w:type="character" w:customStyle="1" w:styleId="163">
    <w:name w:val="正文文本 Char Char"/>
    <w:qFormat/>
    <w:uiPriority w:val="0"/>
    <w:rPr>
      <w:kern w:val="2"/>
      <w:sz w:val="21"/>
      <w:szCs w:val="24"/>
    </w:rPr>
  </w:style>
  <w:style w:type="character" w:customStyle="1" w:styleId="164">
    <w:name w:val="Char Char11"/>
    <w:qFormat/>
    <w:uiPriority w:val="0"/>
    <w:rPr>
      <w:rFonts w:hint="default" w:ascii="Arial Narrow" w:hAnsi="Arial Narrow"/>
      <w:b/>
      <w:bCs/>
      <w:iCs/>
      <w:szCs w:val="24"/>
      <w:lang w:eastAsia="en-US"/>
    </w:rPr>
  </w:style>
  <w:style w:type="character" w:customStyle="1" w:styleId="165">
    <w:name w:val="标书（正文） Char Char"/>
    <w:qFormat/>
    <w:uiPriority w:val="0"/>
    <w:rPr>
      <w:rFonts w:hint="eastAsia" w:ascii="宋体" w:hAnsi="宋体" w:eastAsia="宋体"/>
      <w:b/>
      <w:kern w:val="10"/>
      <w:sz w:val="21"/>
      <w:szCs w:val="21"/>
      <w:lang w:val="en-US" w:eastAsia="zh-CN" w:bidi="ar-SA"/>
    </w:rPr>
  </w:style>
  <w:style w:type="character" w:customStyle="1" w:styleId="166">
    <w:name w:val="line2"/>
    <w:basedOn w:val="45"/>
    <w:qFormat/>
    <w:uiPriority w:val="0"/>
  </w:style>
  <w:style w:type="character" w:customStyle="1" w:styleId="167">
    <w:name w:val="Char Char10"/>
    <w:qFormat/>
    <w:uiPriority w:val="0"/>
    <w:rPr>
      <w:kern w:val="2"/>
      <w:sz w:val="24"/>
      <w:szCs w:val="24"/>
    </w:rPr>
  </w:style>
  <w:style w:type="character" w:customStyle="1" w:styleId="168">
    <w:name w:val="MM Topic 4 Char Char"/>
    <w:qFormat/>
    <w:uiPriority w:val="0"/>
    <w:rPr>
      <w:rFonts w:hint="default" w:ascii="Arial" w:hAnsi="Arial" w:cs="Arial"/>
      <w:b/>
      <w:bCs/>
      <w:kern w:val="2"/>
      <w:sz w:val="28"/>
      <w:szCs w:val="28"/>
    </w:rPr>
  </w:style>
  <w:style w:type="character" w:customStyle="1" w:styleId="169">
    <w:name w:val="标书正文:  0.74 厘米 Char Char"/>
    <w:qFormat/>
    <w:uiPriority w:val="0"/>
    <w:rPr>
      <w:kern w:val="2"/>
      <w:sz w:val="24"/>
    </w:rPr>
  </w:style>
  <w:style w:type="character" w:customStyle="1" w:styleId="170">
    <w:name w:val="访问过的超链接1"/>
    <w:qFormat/>
    <w:uiPriority w:val="99"/>
    <w:rPr>
      <w:color w:val="800080"/>
      <w:u w:val="single"/>
    </w:rPr>
  </w:style>
  <w:style w:type="character" w:customStyle="1" w:styleId="171">
    <w:name w:val="标题 3 Char Char Char"/>
    <w:qFormat/>
    <w:uiPriority w:val="0"/>
    <w:rPr>
      <w:rFonts w:hint="eastAsia" w:ascii="宋体" w:hAnsi="宋体" w:eastAsia="宋体"/>
      <w:b/>
      <w:kern w:val="2"/>
      <w:sz w:val="32"/>
      <w:lang w:val="en-US" w:eastAsia="zh-CN" w:bidi="ar-SA"/>
    </w:rPr>
  </w:style>
  <w:style w:type="character" w:customStyle="1" w:styleId="172">
    <w:name w:val="（符号）邀请函中一、"/>
    <w:qFormat/>
    <w:uiPriority w:val="0"/>
    <w:rPr>
      <w:rFonts w:hint="eastAsia" w:ascii="黑体" w:hAnsi="黑体" w:eastAsia="黑体"/>
      <w:b/>
      <w:bCs/>
      <w:sz w:val="24"/>
    </w:rPr>
  </w:style>
  <w:style w:type="character" w:customStyle="1" w:styleId="173">
    <w:name w:val="tt Char"/>
    <w:qFormat/>
    <w:uiPriority w:val="0"/>
    <w:rPr>
      <w:rFonts w:hint="default" w:ascii="Arial" w:hAnsi="Arial" w:eastAsia="黑体" w:cs="Arial"/>
      <w:kern w:val="2"/>
      <w:sz w:val="21"/>
      <w:szCs w:val="21"/>
    </w:rPr>
  </w:style>
  <w:style w:type="character" w:customStyle="1" w:styleId="174">
    <w:name w:val="Char Char9"/>
    <w:qFormat/>
    <w:uiPriority w:val="0"/>
    <w:rPr>
      <w:kern w:val="2"/>
      <w:sz w:val="18"/>
      <w:szCs w:val="18"/>
    </w:rPr>
  </w:style>
  <w:style w:type="character" w:customStyle="1" w:styleId="175">
    <w:name w:val="MM Topic 3 Char Char"/>
    <w:qFormat/>
    <w:uiPriority w:val="0"/>
    <w:rPr>
      <w:rFonts w:hint="eastAsia" w:ascii="宋体" w:hAnsi="宋体" w:eastAsia="宋体"/>
      <w:b/>
      <w:bCs/>
      <w:color w:val="000000"/>
      <w:kern w:val="2"/>
      <w:sz w:val="28"/>
      <w:szCs w:val="28"/>
    </w:rPr>
  </w:style>
  <w:style w:type="character" w:customStyle="1" w:styleId="176">
    <w:name w:val="样式 小四2 Char Char"/>
    <w:qFormat/>
    <w:uiPriority w:val="0"/>
    <w:rPr>
      <w:rFonts w:hint="eastAsia" w:ascii="宋体" w:hAnsi="宋体" w:eastAsia="宋体"/>
      <w:kern w:val="2"/>
      <w:sz w:val="24"/>
      <w:szCs w:val="24"/>
    </w:rPr>
  </w:style>
  <w:style w:type="character" w:customStyle="1" w:styleId="177">
    <w:name w:val="Char Char7"/>
    <w:qFormat/>
    <w:uiPriority w:val="0"/>
    <w:rPr>
      <w:kern w:val="2"/>
      <w:sz w:val="18"/>
      <w:szCs w:val="18"/>
    </w:rPr>
  </w:style>
  <w:style w:type="character" w:customStyle="1" w:styleId="178">
    <w:name w:val="Char Char3"/>
    <w:qFormat/>
    <w:uiPriority w:val="0"/>
    <w:rPr>
      <w:b/>
      <w:bCs/>
      <w:kern w:val="2"/>
      <w:sz w:val="18"/>
      <w:szCs w:val="18"/>
    </w:rPr>
  </w:style>
  <w:style w:type="character" w:customStyle="1" w:styleId="179">
    <w:name w:val="apple-style-span"/>
    <w:basedOn w:val="45"/>
    <w:qFormat/>
    <w:uiPriority w:val="0"/>
  </w:style>
  <w:style w:type="character" w:customStyle="1" w:styleId="180">
    <w:name w:val="Char Char4"/>
    <w:qFormat/>
    <w:uiPriority w:val="0"/>
    <w:rPr>
      <w:kern w:val="2"/>
      <w:sz w:val="18"/>
      <w:szCs w:val="18"/>
    </w:rPr>
  </w:style>
  <w:style w:type="character" w:customStyle="1" w:styleId="181">
    <w:name w:val="副标题 Char1"/>
    <w:qFormat/>
    <w:uiPriority w:val="11"/>
    <w:rPr>
      <w:rFonts w:hint="default" w:ascii="Cambria" w:hAnsi="Cambria" w:cs="Times New Roman"/>
      <w:b/>
      <w:bCs/>
      <w:kern w:val="28"/>
      <w:sz w:val="32"/>
      <w:szCs w:val="32"/>
    </w:rPr>
  </w:style>
  <w:style w:type="character" w:customStyle="1" w:styleId="182">
    <w:name w:val="small"/>
    <w:basedOn w:val="45"/>
    <w:qFormat/>
    <w:uiPriority w:val="0"/>
  </w:style>
  <w:style w:type="character" w:customStyle="1" w:styleId="183">
    <w:name w:val="Legal Level 1.1.1. Char"/>
    <w:qFormat/>
    <w:uiPriority w:val="0"/>
    <w:rPr>
      <w:rFonts w:hint="default" w:ascii="Arial" w:hAnsi="Arial" w:eastAsia="黑体" w:cs="Arial"/>
      <w:kern w:val="2"/>
      <w:sz w:val="24"/>
      <w:szCs w:val="24"/>
    </w:rPr>
  </w:style>
  <w:style w:type="character" w:customStyle="1" w:styleId="184">
    <w:name w:val="文章正文 Char Char"/>
    <w:qFormat/>
    <w:uiPriority w:val="0"/>
    <w:rPr>
      <w:rFonts w:hint="eastAsia" w:ascii="宋体" w:hAnsi="宋体" w:eastAsia="宋体"/>
      <w:kern w:val="2"/>
      <w:sz w:val="24"/>
      <w:szCs w:val="24"/>
      <w:lang w:val="en-US" w:eastAsia="zh-CN" w:bidi="ar-SA"/>
    </w:rPr>
  </w:style>
  <w:style w:type="character" w:customStyle="1" w:styleId="185">
    <w:name w:val="正文文本 Char1"/>
    <w:qFormat/>
    <w:uiPriority w:val="0"/>
    <w:rPr>
      <w:rFonts w:hint="default" w:ascii="Times New Roman" w:hAnsi="Times New Roman" w:eastAsia="宋体" w:cs="Times New Roman"/>
      <w:kern w:val="0"/>
      <w:sz w:val="18"/>
      <w:szCs w:val="18"/>
    </w:rPr>
  </w:style>
  <w:style w:type="character" w:customStyle="1" w:styleId="186">
    <w:name w:val="正文文本 字符"/>
    <w:basedOn w:val="45"/>
    <w:link w:val="2"/>
    <w:qFormat/>
    <w:locked/>
    <w:uiPriority w:val="99"/>
    <w:rPr>
      <w:rFonts w:ascii="Calibri" w:hAnsi="Calibri" w:eastAsia="宋体" w:cs="Times New Roman"/>
    </w:rPr>
  </w:style>
  <w:style w:type="character" w:customStyle="1" w:styleId="187">
    <w:name w:val="CD正文 Char Char"/>
    <w:qFormat/>
    <w:uiPriority w:val="0"/>
    <w:rPr>
      <w:rFonts w:hint="eastAsia" w:ascii="宋体" w:hAnsi="宋体" w:eastAsia="宋体"/>
      <w:kern w:val="2"/>
      <w:sz w:val="30"/>
      <w:szCs w:val="28"/>
      <w:lang w:val="en-US" w:eastAsia="zh-CN" w:bidi="ar-SA"/>
    </w:rPr>
  </w:style>
  <w:style w:type="character" w:customStyle="1" w:styleId="188">
    <w:name w:val="Char Char2"/>
    <w:qFormat/>
    <w:uiPriority w:val="0"/>
    <w:rPr>
      <w:kern w:val="2"/>
      <w:sz w:val="18"/>
      <w:szCs w:val="18"/>
    </w:rPr>
  </w:style>
  <w:style w:type="character" w:customStyle="1" w:styleId="189">
    <w:name w:val="标题 1 Char1"/>
    <w:qFormat/>
    <w:uiPriority w:val="0"/>
    <w:rPr>
      <w:b/>
      <w:bCs/>
      <w:kern w:val="44"/>
      <w:sz w:val="44"/>
      <w:szCs w:val="44"/>
    </w:rPr>
  </w:style>
  <w:style w:type="character" w:customStyle="1" w:styleId="190">
    <w:name w:val="表正文 Char1"/>
    <w:qFormat/>
    <w:uiPriority w:val="0"/>
    <w:rPr>
      <w:rFonts w:hint="eastAsia" w:ascii="宋体" w:hAnsi="宋体" w:eastAsia="宋体"/>
      <w:kern w:val="2"/>
      <w:sz w:val="21"/>
      <w:lang w:val="en-US" w:eastAsia="zh-CN" w:bidi="ar-SA"/>
    </w:rPr>
  </w:style>
  <w:style w:type="character" w:customStyle="1" w:styleId="191">
    <w:name w:val="纯文本 字符"/>
    <w:link w:val="22"/>
    <w:qFormat/>
    <w:locked/>
    <w:uiPriority w:val="99"/>
    <w:rPr>
      <w:rFonts w:ascii="宋体" w:hAnsi="Courier New" w:eastAsia="宋体" w:cs="Times New Roman"/>
      <w:kern w:val="0"/>
      <w:sz w:val="20"/>
      <w:szCs w:val="18"/>
    </w:rPr>
  </w:style>
  <w:style w:type="character" w:customStyle="1" w:styleId="192">
    <w:name w:val="Char Char Char"/>
    <w:qFormat/>
    <w:uiPriority w:val="0"/>
    <w:rPr>
      <w:rFonts w:hint="eastAsia" w:ascii="宋体" w:hAnsi="宋体" w:eastAsia="宋体"/>
      <w:kern w:val="2"/>
      <w:sz w:val="18"/>
      <w:szCs w:val="18"/>
      <w:lang w:val="en-US" w:eastAsia="zh-CN" w:bidi="ar-SA"/>
    </w:rPr>
  </w:style>
  <w:style w:type="character" w:customStyle="1" w:styleId="193">
    <w:name w:val="Char Char6"/>
    <w:qFormat/>
    <w:uiPriority w:val="0"/>
    <w:rPr>
      <w:kern w:val="2"/>
      <w:sz w:val="21"/>
      <w:szCs w:val="24"/>
    </w:rPr>
  </w:style>
  <w:style w:type="character" w:customStyle="1" w:styleId="194">
    <w:name w:val="正文缩进 Char"/>
    <w:qFormat/>
    <w:uiPriority w:val="0"/>
    <w:rPr>
      <w:kern w:val="2"/>
      <w:sz w:val="21"/>
      <w:lang w:val="zh-CN" w:eastAsia="zh-CN"/>
    </w:rPr>
  </w:style>
  <w:style w:type="character" w:customStyle="1" w:styleId="195">
    <w:name w:val="font11"/>
    <w:basedOn w:val="45"/>
    <w:qFormat/>
    <w:uiPriority w:val="0"/>
    <w:rPr>
      <w:rFonts w:hint="eastAsia" w:ascii="宋体" w:hAnsi="宋体" w:eastAsia="宋体" w:cs="宋体"/>
      <w:b/>
      <w:color w:val="000000"/>
      <w:sz w:val="22"/>
      <w:szCs w:val="22"/>
      <w:u w:val="none"/>
    </w:rPr>
  </w:style>
  <w:style w:type="character" w:customStyle="1" w:styleId="196">
    <w:name w:val="font01"/>
    <w:basedOn w:val="45"/>
    <w:qFormat/>
    <w:uiPriority w:val="0"/>
    <w:rPr>
      <w:rFonts w:hint="eastAsia" w:ascii="宋体" w:hAnsi="宋体" w:eastAsia="宋体" w:cs="宋体"/>
      <w:color w:val="000000"/>
      <w:sz w:val="22"/>
      <w:szCs w:val="22"/>
      <w:u w:val="none"/>
    </w:rPr>
  </w:style>
  <w:style w:type="character" w:customStyle="1" w:styleId="197">
    <w:name w:val="页脚 Char1"/>
    <w:basedOn w:val="45"/>
    <w:qFormat/>
    <w:uiPriority w:val="99"/>
    <w:rPr>
      <w:sz w:val="18"/>
      <w:szCs w:val="18"/>
    </w:rPr>
  </w:style>
  <w:style w:type="character" w:customStyle="1" w:styleId="198">
    <w:name w:val="批注文字 Char2"/>
    <w:qFormat/>
    <w:uiPriority w:val="0"/>
    <w:rPr>
      <w:rFonts w:hint="eastAsia" w:ascii="宋体" w:hAnsi="宋体" w:eastAsia="宋体"/>
      <w:sz w:val="18"/>
      <w:szCs w:val="18"/>
    </w:rPr>
  </w:style>
  <w:style w:type="character" w:customStyle="1" w:styleId="199">
    <w:name w:val="列出段落 Char1"/>
    <w:qFormat/>
    <w:uiPriority w:val="0"/>
    <w:rPr>
      <w:rFonts w:hint="default" w:ascii="Calibri" w:hAnsi="Calibri"/>
      <w:kern w:val="2"/>
      <w:sz w:val="21"/>
      <w:szCs w:val="22"/>
    </w:rPr>
  </w:style>
  <w:style w:type="paragraph" w:customStyle="1" w:styleId="200">
    <w:name w:val="CD正文"/>
    <w:basedOn w:val="98"/>
    <w:link w:val="205"/>
    <w:qFormat/>
    <w:uiPriority w:val="0"/>
  </w:style>
  <w:style w:type="paragraph" w:customStyle="1" w:styleId="201">
    <w:name w:val="项目符号：一级"/>
    <w:basedOn w:val="85"/>
    <w:next w:val="85"/>
    <w:qFormat/>
    <w:uiPriority w:val="0"/>
  </w:style>
  <w:style w:type="character" w:customStyle="1" w:styleId="202">
    <w:name w:val="HTML 预设格式 字符"/>
    <w:basedOn w:val="45"/>
    <w:link w:val="38"/>
    <w:qFormat/>
    <w:uiPriority w:val="0"/>
    <w:rPr>
      <w:rFonts w:ascii="宋体" w:hAnsi="宋体" w:eastAsia="宋体" w:cs="Times New Roman"/>
      <w:kern w:val="0"/>
      <w:sz w:val="24"/>
      <w:szCs w:val="24"/>
    </w:rPr>
  </w:style>
  <w:style w:type="paragraph" w:customStyle="1" w:styleId="203">
    <w:name w:val="msonormal"/>
    <w:basedOn w:val="1"/>
    <w:qFormat/>
    <w:uiPriority w:val="99"/>
    <w:pPr>
      <w:widowControl/>
      <w:spacing w:before="100" w:beforeAutospacing="1" w:after="100" w:afterAutospacing="1"/>
      <w:jc w:val="left"/>
    </w:pPr>
    <w:rPr>
      <w:rFonts w:ascii="宋体" w:hAnsi="宋体"/>
      <w:color w:val="000000"/>
      <w:kern w:val="0"/>
      <w:sz w:val="24"/>
      <w:szCs w:val="24"/>
    </w:rPr>
  </w:style>
  <w:style w:type="character" w:customStyle="1" w:styleId="204">
    <w:name w:val="样式 Char Char"/>
    <w:link w:val="120"/>
    <w:qFormat/>
    <w:locked/>
    <w:uiPriority w:val="0"/>
    <w:rPr>
      <w:rFonts w:ascii="宋体" w:hAnsi="宋体" w:eastAsia="宋体" w:cs="宋体"/>
      <w:kern w:val="0"/>
      <w:sz w:val="24"/>
      <w:szCs w:val="24"/>
    </w:rPr>
  </w:style>
  <w:style w:type="character" w:customStyle="1" w:styleId="205">
    <w:name w:val="CD正文 Char"/>
    <w:link w:val="200"/>
    <w:qFormat/>
    <w:locked/>
    <w:uiPriority w:val="0"/>
    <w:rPr>
      <w:rFonts w:ascii="Times New Roman" w:hAnsi="Times New Roman" w:eastAsia="宋体" w:cs="Times New Roman"/>
      <w:sz w:val="24"/>
      <w:szCs w:val="24"/>
    </w:rPr>
  </w:style>
  <w:style w:type="paragraph" w:customStyle="1" w:styleId="206">
    <w:name w:val="正文 A"/>
    <w:qFormat/>
    <w:uiPriority w:val="99"/>
    <w:rPr>
      <w:rFonts w:ascii="Arial Unicode MS" w:hAnsi="Arial Unicode MS" w:eastAsia="Arial Unicode MS" w:cs="Arial Unicode MS"/>
      <w:color w:val="000000"/>
      <w:sz w:val="24"/>
      <w:szCs w:val="24"/>
      <w:lang w:val="zh-TW" w:eastAsia="zh-TW" w:bidi="ar-SA"/>
    </w:rPr>
  </w:style>
  <w:style w:type="paragraph" w:customStyle="1" w:styleId="207">
    <w:name w:val="标题5"/>
    <w:basedOn w:val="1"/>
    <w:qFormat/>
    <w:uiPriority w:val="99"/>
    <w:pPr>
      <w:spacing w:before="100" w:beforeAutospacing="1" w:after="100" w:afterAutospacing="1"/>
      <w:ind w:left="283" w:hanging="425"/>
      <w:outlineLvl w:val="4"/>
    </w:pPr>
    <w:rPr>
      <w:rFonts w:ascii="Times New Roman" w:hAnsi="Times New Roman"/>
      <w:szCs w:val="24"/>
    </w:rPr>
  </w:style>
  <w:style w:type="paragraph" w:customStyle="1" w:styleId="208">
    <w:name w:val="列出段落5"/>
    <w:basedOn w:val="1"/>
    <w:qFormat/>
    <w:uiPriority w:val="99"/>
    <w:pPr>
      <w:ind w:firstLine="420" w:firstLineChars="200"/>
    </w:pPr>
    <w:rPr>
      <w:rFonts w:ascii="Times New Roman" w:hAnsi="Times New Roman"/>
    </w:rPr>
  </w:style>
  <w:style w:type="paragraph" w:customStyle="1" w:styleId="209">
    <w:name w:val="Normal Indent1"/>
    <w:basedOn w:val="1"/>
    <w:qFormat/>
    <w:uiPriority w:val="99"/>
    <w:pPr>
      <w:spacing w:line="360" w:lineRule="auto"/>
      <w:ind w:firstLine="200" w:firstLineChars="200"/>
    </w:pPr>
    <w:rPr>
      <w:rFonts w:ascii="Times New Roman" w:hAnsi="Times New Roman"/>
      <w:sz w:val="24"/>
      <w:szCs w:val="24"/>
    </w:rPr>
  </w:style>
  <w:style w:type="paragraph" w:customStyle="1" w:styleId="210">
    <w:name w:val="图题标题"/>
    <w:basedOn w:val="1"/>
    <w:qFormat/>
    <w:uiPriority w:val="99"/>
    <w:pPr>
      <w:spacing w:line="400" w:lineRule="exact"/>
      <w:jc w:val="center"/>
    </w:pPr>
    <w:rPr>
      <w:rFonts w:ascii="Times New Roman" w:hAnsi="Times New Roman" w:eastAsia="黑体"/>
      <w:sz w:val="24"/>
      <w:szCs w:val="24"/>
    </w:rPr>
  </w:style>
  <w:style w:type="paragraph" w:customStyle="1" w:styleId="211">
    <w:name w:val="无间隔11"/>
    <w:qFormat/>
    <w:uiPriority w:val="99"/>
    <w:pPr>
      <w:widowControl w:val="0"/>
      <w:spacing w:after="200" w:line="300" w:lineRule="auto"/>
      <w:jc w:val="center"/>
    </w:pPr>
    <w:rPr>
      <w:rFonts w:ascii="宋体" w:hAnsi="宋体" w:eastAsia="宋体" w:cs="Times New Roman"/>
      <w:kern w:val="2"/>
      <w:sz w:val="24"/>
      <w:szCs w:val="21"/>
      <w:lang w:val="en-US" w:eastAsia="zh-CN" w:bidi="ar-SA"/>
    </w:rPr>
  </w:style>
  <w:style w:type="paragraph" w:customStyle="1" w:styleId="212">
    <w:name w:val="列出段落11"/>
    <w:basedOn w:val="1"/>
    <w:qFormat/>
    <w:uiPriority w:val="99"/>
    <w:pPr>
      <w:spacing w:after="200" w:line="276" w:lineRule="auto"/>
      <w:ind w:firstLine="420" w:firstLineChars="200"/>
    </w:pPr>
  </w:style>
  <w:style w:type="paragraph" w:customStyle="1" w:styleId="213">
    <w:name w:val="修订2"/>
    <w:qFormat/>
    <w:uiPriority w:val="99"/>
    <w:pPr>
      <w:spacing w:after="200" w:line="276" w:lineRule="auto"/>
    </w:pPr>
    <w:rPr>
      <w:rFonts w:ascii="Calibri" w:hAnsi="Calibri" w:eastAsia="宋体" w:cs="Times New Roman"/>
      <w:kern w:val="2"/>
      <w:sz w:val="21"/>
      <w:szCs w:val="22"/>
      <w:lang w:val="en-US" w:eastAsia="zh-CN" w:bidi="ar-SA"/>
    </w:rPr>
  </w:style>
  <w:style w:type="character" w:customStyle="1" w:styleId="214">
    <w:name w:val="UserStyle_26"/>
    <w:link w:val="215"/>
    <w:qFormat/>
    <w:locked/>
    <w:uiPriority w:val="0"/>
  </w:style>
  <w:style w:type="paragraph" w:customStyle="1" w:styleId="215">
    <w:name w:val="NormalIndent"/>
    <w:basedOn w:val="1"/>
    <w:link w:val="214"/>
    <w:qFormat/>
    <w:uiPriority w:val="0"/>
    <w:pPr>
      <w:widowControl/>
      <w:spacing w:after="200" w:line="276" w:lineRule="auto"/>
      <w:ind w:firstLine="420"/>
    </w:pPr>
    <w:rPr>
      <w:rFonts w:asciiTheme="minorHAnsi" w:hAnsiTheme="minorHAnsi" w:eastAsiaTheme="minorEastAsia" w:cstheme="minorBidi"/>
    </w:rPr>
  </w:style>
  <w:style w:type="paragraph" w:customStyle="1" w:styleId="216">
    <w:name w:val="HtmlNormal"/>
    <w:basedOn w:val="1"/>
    <w:qFormat/>
    <w:uiPriority w:val="99"/>
    <w:pPr>
      <w:widowControl/>
      <w:spacing w:before="100" w:beforeAutospacing="1" w:after="100" w:afterAutospacing="1" w:line="276" w:lineRule="auto"/>
      <w:jc w:val="left"/>
    </w:pPr>
    <w:rPr>
      <w:rFonts w:ascii="宋体" w:hAnsi="宋体"/>
      <w:kern w:val="0"/>
      <w:sz w:val="24"/>
      <w:szCs w:val="24"/>
    </w:rPr>
  </w:style>
  <w:style w:type="paragraph" w:customStyle="1" w:styleId="217">
    <w:name w:val="Heading1"/>
    <w:basedOn w:val="1"/>
    <w:next w:val="1"/>
    <w:qFormat/>
    <w:uiPriority w:val="99"/>
    <w:pPr>
      <w:keepNext/>
      <w:keepLines/>
      <w:widowControl/>
      <w:spacing w:before="300" w:after="200" w:line="276" w:lineRule="auto"/>
    </w:pPr>
    <w:rPr>
      <w:rFonts w:eastAsia="黑体"/>
      <w:kern w:val="44"/>
      <w:sz w:val="44"/>
      <w:szCs w:val="44"/>
    </w:rPr>
  </w:style>
  <w:style w:type="paragraph" w:customStyle="1" w:styleId="218">
    <w:name w:val="UserStyle_33"/>
    <w:basedOn w:val="1"/>
    <w:qFormat/>
    <w:uiPriority w:val="99"/>
    <w:pPr>
      <w:widowControl/>
      <w:spacing w:after="200" w:line="400" w:lineRule="exact"/>
      <w:ind w:firstLine="200" w:firstLineChars="200"/>
    </w:pPr>
    <w:rPr>
      <w:rFonts w:ascii="Times New Roman" w:hAnsi="Times New Roman"/>
      <w:sz w:val="24"/>
      <w:szCs w:val="24"/>
    </w:rPr>
  </w:style>
  <w:style w:type="paragraph" w:customStyle="1" w:styleId="219">
    <w:name w:val="UserStyle_40"/>
    <w:basedOn w:val="1"/>
    <w:qFormat/>
    <w:uiPriority w:val="99"/>
    <w:pPr>
      <w:widowControl/>
      <w:spacing w:after="200" w:line="276" w:lineRule="auto"/>
      <w:ind w:firstLine="420" w:firstLineChars="200"/>
    </w:pPr>
    <w:rPr>
      <w:szCs w:val="21"/>
    </w:rPr>
  </w:style>
  <w:style w:type="paragraph" w:customStyle="1" w:styleId="220">
    <w:name w:val="Heading2"/>
    <w:basedOn w:val="1"/>
    <w:next w:val="1"/>
    <w:qFormat/>
    <w:uiPriority w:val="99"/>
    <w:pPr>
      <w:widowControl/>
      <w:tabs>
        <w:tab w:val="right" w:leader="dot" w:pos="9000"/>
      </w:tabs>
      <w:spacing w:after="200" w:line="276" w:lineRule="auto"/>
      <w:ind w:right="-686" w:rightChars="-245"/>
    </w:pPr>
    <w:rPr>
      <w:szCs w:val="21"/>
    </w:rPr>
  </w:style>
  <w:style w:type="paragraph" w:customStyle="1" w:styleId="221">
    <w:name w:val="BodyText"/>
    <w:basedOn w:val="1"/>
    <w:qFormat/>
    <w:uiPriority w:val="0"/>
    <w:pPr>
      <w:spacing w:after="120" w:line="276" w:lineRule="auto"/>
    </w:pPr>
  </w:style>
  <w:style w:type="paragraph" w:customStyle="1" w:styleId="222">
    <w:name w:val="_Style 2"/>
    <w:basedOn w:val="1"/>
    <w:qFormat/>
    <w:uiPriority w:val="99"/>
    <w:pPr>
      <w:spacing w:after="200" w:line="276" w:lineRule="auto"/>
      <w:ind w:firstLine="420" w:firstLineChars="200"/>
    </w:pPr>
  </w:style>
  <w:style w:type="paragraph" w:customStyle="1" w:styleId="223">
    <w:name w:val="正文2"/>
    <w:qFormat/>
    <w:uiPriority w:val="99"/>
    <w:pPr>
      <w:spacing w:after="200" w:line="276" w:lineRule="auto"/>
      <w:jc w:val="both"/>
    </w:pPr>
    <w:rPr>
      <w:rFonts w:ascii="Calibri" w:hAnsi="Calibri" w:eastAsia="宋体" w:cs="Calibri"/>
      <w:kern w:val="2"/>
      <w:sz w:val="21"/>
      <w:szCs w:val="21"/>
      <w:lang w:val="en-US" w:eastAsia="zh-CN" w:bidi="ar-SA"/>
    </w:rPr>
  </w:style>
  <w:style w:type="character" w:customStyle="1" w:styleId="224">
    <w:name w:val="标准文本 Char Char"/>
    <w:link w:val="225"/>
    <w:qFormat/>
    <w:locked/>
    <w:uiPriority w:val="0"/>
    <w:rPr>
      <w:sz w:val="24"/>
    </w:rPr>
  </w:style>
  <w:style w:type="paragraph" w:customStyle="1" w:styleId="225">
    <w:name w:val="标准文本"/>
    <w:basedOn w:val="1"/>
    <w:link w:val="224"/>
    <w:qFormat/>
    <w:uiPriority w:val="0"/>
    <w:pPr>
      <w:spacing w:after="200" w:line="360" w:lineRule="auto"/>
      <w:ind w:firstLine="480" w:firstLineChars="200"/>
    </w:pPr>
    <w:rPr>
      <w:rFonts w:asciiTheme="minorHAnsi" w:hAnsiTheme="minorHAnsi" w:eastAsiaTheme="minorEastAsia" w:cstheme="minorBidi"/>
      <w:sz w:val="24"/>
    </w:rPr>
  </w:style>
  <w:style w:type="character" w:customStyle="1" w:styleId="226">
    <w:name w:val="正文360首行缩进 Char"/>
    <w:basedOn w:val="45"/>
    <w:link w:val="227"/>
    <w:qFormat/>
    <w:locked/>
    <w:uiPriority w:val="0"/>
    <w:rPr>
      <w:rFonts w:ascii="Times New Roman" w:hAnsi="Times New Roman" w:eastAsia="宋体" w:cs="Times New Roman"/>
      <w:sz w:val="24"/>
    </w:rPr>
  </w:style>
  <w:style w:type="paragraph" w:customStyle="1" w:styleId="227">
    <w:name w:val="正文360首行缩进"/>
    <w:basedOn w:val="1"/>
    <w:link w:val="226"/>
    <w:qFormat/>
    <w:uiPriority w:val="0"/>
    <w:pPr>
      <w:widowControl/>
      <w:spacing w:before="120" w:line="300" w:lineRule="auto"/>
      <w:ind w:firstLine="200" w:firstLineChars="200"/>
      <w:jc w:val="left"/>
    </w:pPr>
    <w:rPr>
      <w:rFonts w:ascii="Times New Roman" w:hAnsi="Times New Roman"/>
      <w:sz w:val="24"/>
    </w:rPr>
  </w:style>
  <w:style w:type="paragraph" w:customStyle="1" w:styleId="228">
    <w:name w:val="列出段落1_0"/>
    <w:basedOn w:val="1"/>
    <w:qFormat/>
    <w:uiPriority w:val="99"/>
    <w:pPr>
      <w:ind w:firstLine="420" w:firstLineChars="200"/>
    </w:pPr>
    <w:rPr>
      <w:szCs w:val="21"/>
    </w:rPr>
  </w:style>
  <w:style w:type="paragraph" w:customStyle="1" w:styleId="229">
    <w:name w:val="Normal_59"/>
    <w:qFormat/>
    <w:uiPriority w:val="0"/>
    <w:pPr>
      <w:spacing w:before="120" w:after="240" w:line="276" w:lineRule="auto"/>
      <w:jc w:val="both"/>
    </w:pPr>
    <w:rPr>
      <w:rFonts w:ascii="Times New Roman" w:hAnsi="Times New Roman" w:eastAsia="Calibri" w:cs="Times New Roman"/>
      <w:sz w:val="22"/>
      <w:szCs w:val="22"/>
      <w:lang w:val="ru-RU" w:eastAsia="en-US" w:bidi="ar-SA"/>
    </w:rPr>
  </w:style>
  <w:style w:type="paragraph" w:customStyle="1" w:styleId="230">
    <w:name w:val="Char1 Char Char Char Char Char Char_0"/>
    <w:basedOn w:val="1"/>
    <w:qFormat/>
    <w:uiPriority w:val="0"/>
    <w:rPr>
      <w:rFonts w:ascii="Tahoma" w:hAnsi="Tahoma"/>
      <w:sz w:val="24"/>
      <w:szCs w:val="20"/>
    </w:rPr>
  </w:style>
  <w:style w:type="paragraph" w:customStyle="1" w:styleId="231">
    <w:name w:val="样式 标题 2 + Times New Roman 四号 非加粗 段前: 5 磅 段后: 0 磅 行距: 固定值 20..."/>
    <w:basedOn w:val="4"/>
    <w:qFormat/>
    <w:uiPriority w:val="0"/>
    <w:pPr>
      <w:numPr>
        <w:ilvl w:val="0"/>
        <w:numId w:val="0"/>
      </w:numPr>
      <w:spacing w:before="100" w:line="400" w:lineRule="exact"/>
      <w:jc w:val="both"/>
    </w:pPr>
    <w:rPr>
      <w:rFonts w:ascii="Times New Roman" w:hAnsi="Times New Roman" w:eastAsia="黑体"/>
      <w:b w:val="0"/>
      <w:szCs w:val="32"/>
    </w:rPr>
  </w:style>
  <w:style w:type="paragraph" w:customStyle="1" w:styleId="232">
    <w:name w:val="列出段落111"/>
    <w:basedOn w:val="1"/>
    <w:qFormat/>
    <w:uiPriority w:val="99"/>
    <w:pPr>
      <w:ind w:firstLine="420" w:firstLineChars="200"/>
    </w:pPr>
    <w:rPr>
      <w:rFonts w:ascii="Times New Roman" w:hAnsi="Times New Roman"/>
    </w:rPr>
  </w:style>
  <w:style w:type="paragraph" w:customStyle="1" w:styleId="233">
    <w:name w:val="修订3"/>
    <w:qFormat/>
    <w:uiPriority w:val="99"/>
    <w:rPr>
      <w:rFonts w:ascii="Calibri" w:hAnsi="Calibri" w:eastAsia="宋体" w:cs="Times New Roman"/>
      <w:kern w:val="2"/>
      <w:sz w:val="21"/>
      <w:szCs w:val="22"/>
      <w:lang w:val="en-US" w:eastAsia="zh-CN" w:bidi="ar-SA"/>
    </w:rPr>
  </w:style>
  <w:style w:type="paragraph" w:customStyle="1" w:styleId="234">
    <w:name w:val="List Paragraph1"/>
    <w:basedOn w:val="1"/>
    <w:qFormat/>
    <w:uiPriority w:val="99"/>
    <w:pPr>
      <w:ind w:firstLine="420" w:firstLineChars="200"/>
    </w:pPr>
    <w:rPr>
      <w:rFonts w:ascii="Times New Roman" w:hAnsi="Times New Roman"/>
      <w:szCs w:val="24"/>
    </w:rPr>
  </w:style>
  <w:style w:type="paragraph" w:customStyle="1" w:styleId="235">
    <w:name w:val="正文_58"/>
    <w:qFormat/>
    <w:uiPriority w:val="99"/>
    <w:pPr>
      <w:widowControl w:val="0"/>
      <w:jc w:val="both"/>
    </w:pPr>
    <w:rPr>
      <w:rFonts w:ascii="Calibri" w:hAnsi="Calibri" w:eastAsia="宋体" w:cs="Times New Roman"/>
      <w:kern w:val="2"/>
      <w:sz w:val="21"/>
      <w:szCs w:val="22"/>
      <w:lang w:val="en-US" w:eastAsia="zh-CN" w:bidi="ar-SA"/>
    </w:rPr>
  </w:style>
  <w:style w:type="paragraph" w:customStyle="1" w:styleId="236">
    <w:name w:val="正文（绿盟科技）"/>
    <w:qFormat/>
    <w:uiPriority w:val="99"/>
    <w:pPr>
      <w:spacing w:line="300" w:lineRule="auto"/>
    </w:pPr>
    <w:rPr>
      <w:rFonts w:ascii="Arial" w:hAnsi="Arial" w:eastAsia="宋体" w:cs="黑体"/>
      <w:sz w:val="21"/>
      <w:szCs w:val="21"/>
      <w:lang w:val="en-US" w:eastAsia="zh-CN" w:bidi="ar-SA"/>
    </w:rPr>
  </w:style>
  <w:style w:type="paragraph" w:customStyle="1" w:styleId="237">
    <w:name w:val="标题 5（有编号）（绿盟科技）"/>
    <w:basedOn w:val="1"/>
    <w:next w:val="236"/>
    <w:qFormat/>
    <w:uiPriority w:val="99"/>
    <w:pPr>
      <w:keepNext/>
      <w:keepLines/>
      <w:tabs>
        <w:tab w:val="left" w:pos="0"/>
      </w:tabs>
      <w:spacing w:before="280" w:after="156" w:line="376" w:lineRule="auto"/>
      <w:ind w:left="1958" w:hanging="420"/>
      <w:jc w:val="left"/>
      <w:outlineLvl w:val="4"/>
    </w:pPr>
    <w:rPr>
      <w:rFonts w:ascii="Arial" w:hAnsi="Arial" w:eastAsia="黑体"/>
      <w:b/>
      <w:sz w:val="24"/>
      <w:szCs w:val="28"/>
    </w:rPr>
  </w:style>
  <w:style w:type="paragraph" w:customStyle="1" w:styleId="238">
    <w:name w:val="09、“1.”表格内一级标题"/>
    <w:basedOn w:val="1"/>
    <w:qFormat/>
    <w:uiPriority w:val="99"/>
    <w:pPr>
      <w:tabs>
        <w:tab w:val="left" w:pos="0"/>
        <w:tab w:val="left" w:pos="420"/>
      </w:tabs>
      <w:wordWrap w:val="0"/>
      <w:topLinePunct/>
      <w:snapToGrid w:val="0"/>
      <w:spacing w:line="360" w:lineRule="exact"/>
      <w:ind w:left="48" w:leftChars="20" w:hanging="425"/>
    </w:pPr>
    <w:rPr>
      <w:rFonts w:ascii="宋体" w:hAnsi="宋体"/>
    </w:rPr>
  </w:style>
  <w:style w:type="paragraph" w:customStyle="1" w:styleId="239">
    <w:name w:val="12、表格内左对齐正文"/>
    <w:basedOn w:val="1"/>
    <w:qFormat/>
    <w:uiPriority w:val="99"/>
    <w:pPr>
      <w:tabs>
        <w:tab w:val="left" w:pos="0"/>
      </w:tabs>
      <w:wordWrap w:val="0"/>
      <w:topLinePunct/>
      <w:snapToGrid w:val="0"/>
      <w:spacing w:line="360" w:lineRule="exact"/>
      <w:ind w:left="48" w:leftChars="20"/>
    </w:pPr>
    <w:rPr>
      <w:rFonts w:ascii="宋体" w:hAnsi="宋体"/>
    </w:rPr>
  </w:style>
  <w:style w:type="paragraph" w:customStyle="1" w:styleId="240">
    <w:name w:val="修订11"/>
    <w:qFormat/>
    <w:uiPriority w:val="99"/>
    <w:rPr>
      <w:rFonts w:ascii="Calibri" w:hAnsi="Calibri" w:eastAsia="宋体" w:cs="Times New Roman"/>
      <w:kern w:val="2"/>
      <w:sz w:val="21"/>
      <w:szCs w:val="22"/>
      <w:lang w:val="en-US" w:eastAsia="zh-CN" w:bidi="ar-SA"/>
    </w:rPr>
  </w:style>
  <w:style w:type="paragraph" w:customStyle="1" w:styleId="241">
    <w:name w:val="_Style 32"/>
    <w:basedOn w:val="1"/>
    <w:next w:val="1"/>
    <w:qFormat/>
    <w:uiPriority w:val="99"/>
    <w:pPr>
      <w:spacing w:line="240" w:lineRule="atLeast"/>
      <w:ind w:left="420" w:firstLine="420"/>
      <w:jc w:val="left"/>
    </w:pPr>
    <w:rPr>
      <w:rFonts w:ascii="Times New Roman" w:hAnsi="Times New Roman"/>
      <w:szCs w:val="20"/>
    </w:rPr>
  </w:style>
  <w:style w:type="character" w:styleId="242">
    <w:name w:val="Placeholder Text"/>
    <w:basedOn w:val="45"/>
    <w:semiHidden/>
    <w:qFormat/>
    <w:uiPriority w:val="99"/>
    <w:rPr>
      <w:color w:val="808080"/>
    </w:rPr>
  </w:style>
  <w:style w:type="character" w:customStyle="1" w:styleId="243">
    <w:name w:val="页眉 字符1"/>
    <w:basedOn w:val="45"/>
    <w:semiHidden/>
    <w:qFormat/>
    <w:locked/>
    <w:uiPriority w:val="99"/>
    <w:rPr>
      <w:rFonts w:ascii="Calibri" w:hAnsi="Calibri" w:eastAsia="宋体" w:cs="Times New Roman"/>
      <w:kern w:val="0"/>
      <w:sz w:val="18"/>
      <w:szCs w:val="18"/>
    </w:rPr>
  </w:style>
  <w:style w:type="character" w:customStyle="1" w:styleId="244">
    <w:name w:val="正文文本 字符1"/>
    <w:basedOn w:val="45"/>
    <w:semiHidden/>
    <w:qFormat/>
    <w:locked/>
    <w:uiPriority w:val="99"/>
    <w:rPr>
      <w:rFonts w:ascii="Calibri" w:hAnsi="Calibri" w:eastAsia="宋体" w:cs="Times New Roman"/>
    </w:rPr>
  </w:style>
  <w:style w:type="character" w:customStyle="1" w:styleId="245">
    <w:name w:val="批注框文本 字符1"/>
    <w:basedOn w:val="45"/>
    <w:semiHidden/>
    <w:qFormat/>
    <w:locked/>
    <w:uiPriority w:val="99"/>
    <w:rPr>
      <w:rFonts w:ascii="Times New Roman" w:hAnsi="Times New Roman" w:eastAsia="宋体" w:cs="Times New Roman"/>
      <w:kern w:val="0"/>
      <w:sz w:val="18"/>
      <w:szCs w:val="18"/>
    </w:rPr>
  </w:style>
  <w:style w:type="character" w:customStyle="1" w:styleId="246">
    <w:name w:val="NormalCharacter"/>
    <w:qFormat/>
    <w:uiPriority w:val="0"/>
  </w:style>
  <w:style w:type="paragraph" w:customStyle="1" w:styleId="247">
    <w:name w:val="BodyText1I"/>
    <w:basedOn w:val="1"/>
    <w:link w:val="248"/>
    <w:qFormat/>
    <w:uiPriority w:val="0"/>
  </w:style>
  <w:style w:type="character" w:customStyle="1" w:styleId="248">
    <w:name w:val="UserStyle_9"/>
    <w:basedOn w:val="45"/>
    <w:link w:val="247"/>
    <w:qFormat/>
    <w:locked/>
    <w:uiPriority w:val="0"/>
    <w:rPr>
      <w:rFonts w:ascii="Calibri" w:hAnsi="Calibri" w:eastAsia="宋体" w:cs="Times New Roman"/>
    </w:rPr>
  </w:style>
  <w:style w:type="character" w:customStyle="1" w:styleId="249">
    <w:name w:val="15"/>
    <w:basedOn w:val="45"/>
    <w:qFormat/>
    <w:uiPriority w:val="0"/>
    <w:rPr>
      <w:rFonts w:hint="default" w:ascii="Calibri" w:hAnsi="Calibri"/>
    </w:rPr>
  </w:style>
  <w:style w:type="character" w:customStyle="1" w:styleId="250">
    <w:name w:val="批注文字 Char1"/>
    <w:basedOn w:val="45"/>
    <w:semiHidden/>
    <w:qFormat/>
    <w:locked/>
    <w:uiPriority w:val="0"/>
    <w:rPr>
      <w:rFonts w:hint="default" w:ascii="Calibri" w:hAnsi="Calibri" w:eastAsia="宋体" w:cs="Times New Roman"/>
    </w:rPr>
  </w:style>
  <w:style w:type="character" w:customStyle="1" w:styleId="251">
    <w:name w:val="font21"/>
    <w:qFormat/>
    <w:uiPriority w:val="0"/>
    <w:rPr>
      <w:rFonts w:hint="default" w:ascii="Arial" w:hAnsi="Arial" w:cs="Arial"/>
      <w:color w:val="000000"/>
      <w:sz w:val="18"/>
      <w:szCs w:val="18"/>
      <w:u w:val="none"/>
    </w:rPr>
  </w:style>
  <w:style w:type="character" w:customStyle="1" w:styleId="252">
    <w:name w:val="_Style 8"/>
    <w:qFormat/>
    <w:uiPriority w:val="32"/>
    <w:rPr>
      <w:b/>
      <w:bCs/>
      <w:smallCaps/>
      <w:color w:val="C0504D"/>
      <w:spacing w:val="5"/>
      <w:u w:val="single"/>
    </w:rPr>
  </w:style>
  <w:style w:type="character" w:customStyle="1" w:styleId="253">
    <w:name w:val="l-btn-icon-left"/>
    <w:basedOn w:val="45"/>
    <w:qFormat/>
    <w:uiPriority w:val="0"/>
  </w:style>
  <w:style w:type="character" w:customStyle="1" w:styleId="254">
    <w:name w:val="l-btn-icon-left1"/>
    <w:basedOn w:val="45"/>
    <w:qFormat/>
    <w:uiPriority w:val="0"/>
  </w:style>
  <w:style w:type="character" w:customStyle="1" w:styleId="255">
    <w:name w:val="l-btn-empty"/>
    <w:basedOn w:val="45"/>
    <w:qFormat/>
    <w:uiPriority w:val="0"/>
  </w:style>
  <w:style w:type="character" w:customStyle="1" w:styleId="256">
    <w:name w:val="l-btn-icon-right"/>
    <w:basedOn w:val="45"/>
    <w:qFormat/>
    <w:uiPriority w:val="0"/>
  </w:style>
  <w:style w:type="character" w:customStyle="1" w:styleId="257">
    <w:name w:val="l-btn-left2"/>
    <w:basedOn w:val="45"/>
    <w:qFormat/>
    <w:uiPriority w:val="0"/>
  </w:style>
  <w:style w:type="character" w:customStyle="1" w:styleId="258">
    <w:name w:val="l-btn-left3"/>
    <w:basedOn w:val="45"/>
    <w:qFormat/>
    <w:uiPriority w:val="0"/>
  </w:style>
  <w:style w:type="character" w:customStyle="1" w:styleId="259">
    <w:name w:val="l-btn-left4"/>
    <w:basedOn w:val="45"/>
    <w:qFormat/>
    <w:uiPriority w:val="0"/>
  </w:style>
  <w:style w:type="character" w:customStyle="1" w:styleId="260">
    <w:name w:val="l-btn-left5"/>
    <w:basedOn w:val="45"/>
    <w:qFormat/>
    <w:uiPriority w:val="0"/>
  </w:style>
  <w:style w:type="character" w:customStyle="1" w:styleId="261">
    <w:name w:val="l-btn-left6"/>
    <w:basedOn w:val="45"/>
    <w:qFormat/>
    <w:uiPriority w:val="0"/>
  </w:style>
  <w:style w:type="character" w:customStyle="1" w:styleId="262">
    <w:name w:val="l-btn-text"/>
    <w:basedOn w:val="45"/>
    <w:qFormat/>
    <w:uiPriority w:val="0"/>
    <w:rPr>
      <w:vertAlign w:val="baseline"/>
    </w:rPr>
  </w:style>
  <w:style w:type="character" w:customStyle="1" w:styleId="263">
    <w:name w:val="l-btn-text1"/>
    <w:basedOn w:val="45"/>
    <w:qFormat/>
    <w:uiPriority w:val="0"/>
    <w:rPr>
      <w:vertAlign w:val="baseline"/>
    </w:rPr>
  </w:style>
  <w:style w:type="character" w:customStyle="1" w:styleId="264">
    <w:name w:val="ajaxtitle"/>
    <w:basedOn w:val="45"/>
    <w:qFormat/>
    <w:uiPriority w:val="0"/>
  </w:style>
  <w:style w:type="character" w:customStyle="1" w:styleId="265">
    <w:name w:val="json_key"/>
    <w:basedOn w:val="45"/>
    <w:qFormat/>
    <w:uiPriority w:val="0"/>
  </w:style>
  <w:style w:type="character" w:customStyle="1" w:styleId="266">
    <w:name w:val="json_string"/>
    <w:basedOn w:val="45"/>
    <w:qFormat/>
    <w:uiPriority w:val="0"/>
  </w:style>
  <w:style w:type="character" w:customStyle="1" w:styleId="267">
    <w:name w:val="标题 2 Char1"/>
    <w:basedOn w:val="45"/>
    <w:semiHidden/>
    <w:qFormat/>
    <w:uiPriority w:val="99"/>
    <w:rPr>
      <w:rFonts w:hint="eastAsia" w:asciiTheme="majorHAnsi" w:hAnsiTheme="majorHAnsi" w:eastAsiaTheme="majorEastAsia" w:cstheme="majorBidi"/>
      <w:b/>
      <w:bCs/>
      <w:kern w:val="2"/>
      <w:sz w:val="32"/>
      <w:szCs w:val="32"/>
    </w:rPr>
  </w:style>
  <w:style w:type="character" w:customStyle="1" w:styleId="268">
    <w:name w:val="标题 3 Char1"/>
    <w:basedOn w:val="45"/>
    <w:semiHidden/>
    <w:qFormat/>
    <w:uiPriority w:val="99"/>
    <w:rPr>
      <w:rFonts w:hint="default" w:ascii="Calibri" w:hAnsi="Calibri"/>
      <w:b/>
      <w:bCs/>
      <w:kern w:val="2"/>
      <w:sz w:val="32"/>
      <w:szCs w:val="32"/>
    </w:rPr>
  </w:style>
  <w:style w:type="character" w:customStyle="1" w:styleId="269">
    <w:name w:val="标题 4 Char1"/>
    <w:basedOn w:val="45"/>
    <w:semiHidden/>
    <w:qFormat/>
    <w:uiPriority w:val="9"/>
    <w:rPr>
      <w:rFonts w:hint="eastAsia" w:asciiTheme="majorHAnsi" w:hAnsiTheme="majorHAnsi" w:eastAsiaTheme="majorEastAsia" w:cstheme="majorBidi"/>
      <w:b/>
      <w:bCs/>
      <w:kern w:val="2"/>
      <w:sz w:val="28"/>
      <w:szCs w:val="28"/>
    </w:rPr>
  </w:style>
  <w:style w:type="character" w:customStyle="1" w:styleId="270">
    <w:name w:val="正文文本缩进 2 Char1"/>
    <w:basedOn w:val="45"/>
    <w:semiHidden/>
    <w:qFormat/>
    <w:uiPriority w:val="99"/>
    <w:rPr>
      <w:rFonts w:hint="default" w:ascii="Calibri" w:hAnsi="Calibri" w:cs="Calibri"/>
      <w:kern w:val="2"/>
      <w:sz w:val="21"/>
      <w:szCs w:val="22"/>
    </w:rPr>
  </w:style>
  <w:style w:type="character" w:customStyle="1" w:styleId="271">
    <w:name w:val="正文文本缩进 Char1"/>
    <w:basedOn w:val="45"/>
    <w:semiHidden/>
    <w:qFormat/>
    <w:uiPriority w:val="99"/>
    <w:rPr>
      <w:rFonts w:hint="default" w:ascii="Calibri" w:hAnsi="Calibri" w:cs="Calibri"/>
      <w:kern w:val="2"/>
      <w:sz w:val="21"/>
      <w:szCs w:val="22"/>
    </w:rPr>
  </w:style>
  <w:style w:type="character" w:customStyle="1" w:styleId="272">
    <w:name w:val="正文文本 3 Char1"/>
    <w:basedOn w:val="45"/>
    <w:semiHidden/>
    <w:qFormat/>
    <w:uiPriority w:val="99"/>
    <w:rPr>
      <w:rFonts w:hint="default" w:ascii="Calibri" w:hAnsi="Calibri" w:cs="Calibri"/>
      <w:kern w:val="2"/>
      <w:sz w:val="16"/>
      <w:szCs w:val="16"/>
    </w:rPr>
  </w:style>
  <w:style w:type="character" w:customStyle="1" w:styleId="273">
    <w:name w:val="正文文本缩进 3 Char1"/>
    <w:basedOn w:val="45"/>
    <w:semiHidden/>
    <w:qFormat/>
    <w:uiPriority w:val="99"/>
    <w:rPr>
      <w:rFonts w:hint="default" w:ascii="Calibri" w:hAnsi="Calibri" w:cs="Calibri"/>
      <w:kern w:val="2"/>
      <w:sz w:val="16"/>
      <w:szCs w:val="16"/>
    </w:rPr>
  </w:style>
  <w:style w:type="character" w:customStyle="1" w:styleId="274">
    <w:name w:val="批注框文本 Char1"/>
    <w:basedOn w:val="45"/>
    <w:semiHidden/>
    <w:qFormat/>
    <w:uiPriority w:val="99"/>
    <w:rPr>
      <w:rFonts w:hint="default" w:ascii="Calibri" w:hAnsi="Calibri" w:cs="Calibri"/>
      <w:kern w:val="2"/>
      <w:sz w:val="18"/>
      <w:szCs w:val="18"/>
    </w:rPr>
  </w:style>
  <w:style w:type="character" w:customStyle="1" w:styleId="275">
    <w:name w:val="文档结构图 Char1"/>
    <w:basedOn w:val="45"/>
    <w:semiHidden/>
    <w:qFormat/>
    <w:uiPriority w:val="99"/>
    <w:rPr>
      <w:rFonts w:hint="eastAsia" w:ascii="宋体" w:hAnsi="Calibri" w:eastAsia="宋体"/>
      <w:kern w:val="2"/>
      <w:sz w:val="18"/>
      <w:szCs w:val="18"/>
    </w:rPr>
  </w:style>
  <w:style w:type="character" w:customStyle="1" w:styleId="276">
    <w:name w:val="页眉 Char1"/>
    <w:basedOn w:val="45"/>
    <w:semiHidden/>
    <w:qFormat/>
    <w:uiPriority w:val="99"/>
    <w:rPr>
      <w:rFonts w:hint="default" w:ascii="Calibri" w:hAnsi="Calibri" w:cs="Calibri"/>
      <w:kern w:val="2"/>
      <w:sz w:val="18"/>
      <w:szCs w:val="18"/>
    </w:rPr>
  </w:style>
  <w:style w:type="character" w:customStyle="1" w:styleId="277">
    <w:name w:val="日期 Char1"/>
    <w:basedOn w:val="45"/>
    <w:semiHidden/>
    <w:qFormat/>
    <w:uiPriority w:val="99"/>
    <w:rPr>
      <w:rFonts w:hint="default" w:ascii="Calibri" w:hAnsi="Calibri" w:cs="Calibri"/>
      <w:kern w:val="2"/>
      <w:sz w:val="21"/>
      <w:szCs w:val="22"/>
    </w:rPr>
  </w:style>
  <w:style w:type="character" w:customStyle="1" w:styleId="278">
    <w:name w:val="正文文本 Char3"/>
    <w:basedOn w:val="45"/>
    <w:qFormat/>
    <w:uiPriority w:val="99"/>
    <w:rPr>
      <w:rFonts w:hint="default" w:ascii="Calibri" w:hAnsi="Calibri" w:cs="Calibri"/>
      <w:kern w:val="2"/>
      <w:sz w:val="21"/>
      <w:szCs w:val="22"/>
    </w:rPr>
  </w:style>
  <w:style w:type="character" w:customStyle="1" w:styleId="279">
    <w:name w:val="纯文本 Char2"/>
    <w:basedOn w:val="45"/>
    <w:qFormat/>
    <w:uiPriority w:val="99"/>
    <w:rPr>
      <w:rFonts w:hint="eastAsia" w:ascii="宋体" w:hAnsi="Courier New" w:eastAsia="宋体" w:cs="Courier New"/>
      <w:kern w:val="2"/>
      <w:sz w:val="21"/>
      <w:szCs w:val="21"/>
    </w:rPr>
  </w:style>
  <w:style w:type="character" w:customStyle="1" w:styleId="280">
    <w:name w:val="正文首行缩进 Char1"/>
    <w:basedOn w:val="278"/>
    <w:semiHidden/>
    <w:qFormat/>
    <w:uiPriority w:val="99"/>
    <w:rPr>
      <w:rFonts w:hint="default" w:ascii="Calibri" w:hAnsi="Calibri" w:cs="Calibri"/>
      <w:kern w:val="2"/>
      <w:sz w:val="21"/>
      <w:szCs w:val="22"/>
    </w:rPr>
  </w:style>
  <w:style w:type="character" w:customStyle="1" w:styleId="281">
    <w:name w:val="正文文本 2 Char1"/>
    <w:basedOn w:val="45"/>
    <w:semiHidden/>
    <w:qFormat/>
    <w:uiPriority w:val="99"/>
    <w:rPr>
      <w:rFonts w:hint="default" w:ascii="Calibri" w:hAnsi="Calibri" w:cs="Calibri"/>
      <w:kern w:val="2"/>
      <w:sz w:val="21"/>
      <w:szCs w:val="22"/>
    </w:rPr>
  </w:style>
  <w:style w:type="character" w:customStyle="1" w:styleId="282">
    <w:name w:val="副标题 Char2"/>
    <w:basedOn w:val="45"/>
    <w:qFormat/>
    <w:uiPriority w:val="11"/>
    <w:rPr>
      <w:rFonts w:hint="eastAsia" w:eastAsia="等线 Light" w:asciiTheme="majorHAnsi" w:hAnsiTheme="majorHAnsi" w:cstheme="majorBidi"/>
      <w:b/>
      <w:bCs/>
      <w:kern w:val="28"/>
      <w:sz w:val="32"/>
      <w:szCs w:val="32"/>
    </w:rPr>
  </w:style>
  <w:style w:type="character" w:customStyle="1" w:styleId="283">
    <w:name w:val="font61"/>
    <w:qFormat/>
    <w:uiPriority w:val="0"/>
    <w:rPr>
      <w:rFonts w:hint="eastAsia" w:ascii="仿宋_GB2312" w:eastAsia="仿宋_GB2312" w:cs="仿宋_GB2312"/>
      <w:color w:val="000000"/>
      <w:sz w:val="24"/>
      <w:szCs w:val="24"/>
      <w:u w:val="none"/>
    </w:rPr>
  </w:style>
  <w:style w:type="character" w:customStyle="1" w:styleId="284">
    <w:name w:val="font31"/>
    <w:qFormat/>
    <w:uiPriority w:val="0"/>
    <w:rPr>
      <w:rFonts w:hint="eastAsia" w:ascii="宋体" w:hAnsi="宋体" w:eastAsia="宋体" w:cs="宋体"/>
      <w:color w:val="FF0000"/>
      <w:sz w:val="24"/>
      <w:szCs w:val="24"/>
      <w:u w:val="none"/>
    </w:rPr>
  </w:style>
  <w:style w:type="character" w:customStyle="1" w:styleId="285">
    <w:name w:val="font221"/>
    <w:qFormat/>
    <w:uiPriority w:val="0"/>
    <w:rPr>
      <w:rFonts w:hint="eastAsia" w:ascii="宋体" w:hAnsi="宋体" w:eastAsia="宋体" w:cs="宋体"/>
      <w:color w:val="000000"/>
      <w:sz w:val="24"/>
      <w:szCs w:val="24"/>
      <w:u w:val="none"/>
    </w:rPr>
  </w:style>
  <w:style w:type="character" w:customStyle="1" w:styleId="286">
    <w:name w:val="font121"/>
    <w:basedOn w:val="45"/>
    <w:qFormat/>
    <w:uiPriority w:val="0"/>
    <w:rPr>
      <w:rFonts w:hint="eastAsia" w:ascii="宋体" w:hAnsi="宋体" w:eastAsia="宋体" w:cs="宋体"/>
      <w:color w:val="000000"/>
      <w:sz w:val="22"/>
      <w:szCs w:val="22"/>
      <w:u w:val="none"/>
    </w:rPr>
  </w:style>
  <w:style w:type="character" w:customStyle="1" w:styleId="287">
    <w:name w:val="font41"/>
    <w:basedOn w:val="45"/>
    <w:qFormat/>
    <w:uiPriority w:val="0"/>
    <w:rPr>
      <w:rFonts w:hint="eastAsia" w:ascii="宋体" w:hAnsi="宋体" w:eastAsia="宋体" w:cs="宋体"/>
      <w:b/>
      <w:color w:val="000000"/>
      <w:sz w:val="22"/>
      <w:szCs w:val="22"/>
      <w:u w:val="none"/>
    </w:rPr>
  </w:style>
  <w:style w:type="character" w:customStyle="1" w:styleId="288">
    <w:name w:val="font71"/>
    <w:basedOn w:val="45"/>
    <w:qFormat/>
    <w:uiPriority w:val="0"/>
    <w:rPr>
      <w:rFonts w:hint="eastAsia" w:ascii="宋体" w:hAnsi="宋体" w:eastAsia="宋体" w:cs="宋体"/>
      <w:color w:val="0D0D0D"/>
      <w:sz w:val="22"/>
      <w:szCs w:val="22"/>
      <w:u w:val="none"/>
    </w:rPr>
  </w:style>
  <w:style w:type="character" w:customStyle="1" w:styleId="289">
    <w:name w:val="qowt-font2"/>
    <w:basedOn w:val="45"/>
    <w:qFormat/>
    <w:uiPriority w:val="0"/>
  </w:style>
  <w:style w:type="character" w:customStyle="1" w:styleId="290">
    <w:name w:val="font91"/>
    <w:qFormat/>
    <w:uiPriority w:val="0"/>
    <w:rPr>
      <w:rFonts w:hint="eastAsia" w:ascii="宋体" w:hAnsi="宋体" w:eastAsia="宋体" w:cs="宋体"/>
      <w:color w:val="000000"/>
      <w:sz w:val="20"/>
      <w:szCs w:val="20"/>
      <w:u w:val="none"/>
      <w:vertAlign w:val="superscript"/>
    </w:rPr>
  </w:style>
  <w:style w:type="table" w:customStyle="1" w:styleId="291">
    <w:name w:val="网格型2"/>
    <w:basedOn w:val="43"/>
    <w:qFormat/>
    <w:uiPriority w:val="0"/>
    <w:pPr>
      <w:widowControl w:val="0"/>
      <w:spacing w:after="200" w:line="276" w:lineRule="auto"/>
      <w:jc w:val="both"/>
    </w:pPr>
    <w:rPr>
      <w:rFonts w:ascii="Times New Roman" w:hAnsi="Times New Roman" w:eastAsia="宋体"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92">
    <w:name w:val="标题 1 字符1"/>
    <w:basedOn w:val="45"/>
    <w:qFormat/>
    <w:uiPriority w:val="0"/>
    <w:rPr>
      <w:rFonts w:eastAsia="宋体" w:cs="Times New Roman"/>
      <w:b/>
      <w:bCs/>
      <w:kern w:val="44"/>
      <w:sz w:val="44"/>
      <w:szCs w:val="44"/>
    </w:rPr>
  </w:style>
  <w:style w:type="character" w:customStyle="1" w:styleId="293">
    <w:name w:val="标题 2 字符1"/>
    <w:basedOn w:val="45"/>
    <w:semiHidden/>
    <w:qFormat/>
    <w:uiPriority w:val="9"/>
    <w:rPr>
      <w:rFonts w:asciiTheme="majorHAnsi" w:hAnsiTheme="majorHAnsi" w:eastAsiaTheme="majorEastAsia" w:cstheme="majorBidi"/>
      <w:b/>
      <w:bCs/>
      <w:kern w:val="2"/>
      <w:sz w:val="32"/>
      <w:szCs w:val="32"/>
    </w:rPr>
  </w:style>
  <w:style w:type="character" w:customStyle="1" w:styleId="294">
    <w:name w:val="标题 3 字符1"/>
    <w:basedOn w:val="45"/>
    <w:semiHidden/>
    <w:qFormat/>
    <w:uiPriority w:val="9"/>
    <w:rPr>
      <w:rFonts w:eastAsia="宋体" w:cs="Times New Roman"/>
      <w:b/>
      <w:bCs/>
      <w:kern w:val="2"/>
      <w:sz w:val="32"/>
      <w:szCs w:val="32"/>
    </w:rPr>
  </w:style>
  <w:style w:type="character" w:customStyle="1" w:styleId="295">
    <w:name w:val="批注文字 Char"/>
    <w:basedOn w:val="45"/>
    <w:semiHidden/>
    <w:qFormat/>
    <w:uiPriority w:val="99"/>
    <w:rPr>
      <w:rFonts w:ascii="Calibri" w:hAnsi="Calibri" w:eastAsia="宋体" w:cs="Times New Roman"/>
    </w:rPr>
  </w:style>
  <w:style w:type="paragraph" w:customStyle="1" w:styleId="296">
    <w:name w:val="修订4"/>
    <w:semiHidden/>
    <w:qFormat/>
    <w:uiPriority w:val="99"/>
    <w:rPr>
      <w:rFonts w:ascii="Calibri" w:hAnsi="Calibri" w:eastAsia="宋体" w:cs="Times New Roman"/>
      <w:kern w:val="2"/>
      <w:sz w:val="21"/>
      <w:szCs w:val="22"/>
      <w:lang w:val="en-US" w:eastAsia="zh-CN" w:bidi="ar-SA"/>
    </w:rPr>
  </w:style>
  <w:style w:type="paragraph" w:customStyle="1" w:styleId="297">
    <w:name w:val="1 Char2"/>
    <w:basedOn w:val="1"/>
    <w:semiHidden/>
    <w:qFormat/>
    <w:uiPriority w:val="0"/>
    <w:pPr>
      <w:widowControl/>
      <w:spacing w:after="160" w:line="240" w:lineRule="exact"/>
      <w:jc w:val="left"/>
    </w:pPr>
    <w:rPr>
      <w:rFonts w:ascii="Tahoma" w:hAnsi="Tahoma" w:eastAsia="Times New Roman"/>
      <w:kern w:val="0"/>
      <w:sz w:val="24"/>
      <w:szCs w:val="24"/>
      <w:lang w:eastAsia="en-US"/>
    </w:rPr>
  </w:style>
  <w:style w:type="character" w:customStyle="1" w:styleId="298">
    <w:name w:val="正文文本 Char2"/>
    <w:basedOn w:val="45"/>
    <w:qFormat/>
    <w:locked/>
    <w:uiPriority w:val="99"/>
    <w:rPr>
      <w:rFonts w:hint="default" w:ascii="Times New Roman" w:hAnsi="Times New Roman" w:eastAsia="宋体" w:cs="Times New Roman"/>
      <w:kern w:val="0"/>
      <w:sz w:val="20"/>
      <w:szCs w:val="20"/>
    </w:rPr>
  </w:style>
  <w:style w:type="character" w:customStyle="1" w:styleId="299">
    <w:name w:val="p121"/>
    <w:qFormat/>
    <w:uiPriority w:val="0"/>
    <w:rPr>
      <w:sz w:val="24"/>
    </w:rPr>
  </w:style>
  <w:style w:type="paragraph" w:customStyle="1" w:styleId="300">
    <w:name w:val="列表段落1"/>
    <w:basedOn w:val="1"/>
    <w:qFormat/>
    <w:uiPriority w:val="99"/>
    <w:pPr>
      <w:ind w:firstLine="420" w:firstLineChars="200"/>
    </w:pPr>
    <w:rPr>
      <w:rFonts w:ascii="宋体" w:hAnsi="宋体" w:cs="宋体"/>
      <w:sz w:val="28"/>
      <w:szCs w:val="28"/>
    </w:rPr>
  </w:style>
  <w:style w:type="character" w:customStyle="1" w:styleId="301">
    <w:name w:val="AnnotationReference"/>
    <w:qFormat/>
    <w:uiPriority w:val="0"/>
    <w:rPr>
      <w:sz w:val="21"/>
      <w:szCs w:val="21"/>
    </w:rPr>
  </w:style>
  <w:style w:type="paragraph" w:customStyle="1" w:styleId="302">
    <w:name w:val="179"/>
    <w:basedOn w:val="1"/>
    <w:qFormat/>
    <w:uiPriority w:val="0"/>
    <w:pPr>
      <w:widowControl/>
      <w:ind w:firstLine="420" w:firstLineChars="200"/>
      <w:textAlignment w:val="baseline"/>
    </w:pPr>
    <w:rPr>
      <w:rFonts w:ascii="宋体" w:hAnsi="宋体" w:cstheme="minorBidi"/>
      <w:sz w:val="28"/>
      <w:szCs w:val="28"/>
    </w:rPr>
  </w:style>
  <w:style w:type="paragraph" w:customStyle="1" w:styleId="303">
    <w:name w:val="Heading3"/>
    <w:basedOn w:val="1"/>
    <w:next w:val="1"/>
    <w:link w:val="304"/>
    <w:qFormat/>
    <w:uiPriority w:val="0"/>
    <w:pPr>
      <w:widowControl/>
      <w:spacing w:before="100" w:beforeAutospacing="1" w:after="100" w:afterAutospacing="1"/>
      <w:ind w:firstLine="560" w:firstLineChars="200"/>
      <w:jc w:val="left"/>
      <w:textAlignment w:val="baseline"/>
    </w:pPr>
    <w:rPr>
      <w:rFonts w:ascii="宋体" w:hAnsi="宋体" w:cs="宋体"/>
      <w:b/>
      <w:bCs/>
      <w:kern w:val="0"/>
      <w:sz w:val="27"/>
      <w:szCs w:val="27"/>
    </w:rPr>
  </w:style>
  <w:style w:type="character" w:customStyle="1" w:styleId="304">
    <w:name w:val="UserStyle_4"/>
    <w:link w:val="303"/>
    <w:qFormat/>
    <w:uiPriority w:val="0"/>
    <w:rPr>
      <w:rFonts w:ascii="宋体" w:hAnsi="宋体" w:eastAsia="宋体" w:cs="宋体"/>
      <w:b/>
      <w:bCs/>
      <w:kern w:val="0"/>
      <w:sz w:val="27"/>
      <w:szCs w:val="27"/>
    </w:rPr>
  </w:style>
  <w:style w:type="paragraph" w:customStyle="1" w:styleId="305">
    <w:name w:val="_Style 48"/>
    <w:basedOn w:val="1"/>
    <w:qFormat/>
    <w:uiPriority w:val="0"/>
    <w:pPr>
      <w:ind w:firstLine="420" w:firstLineChars="200"/>
    </w:pPr>
    <w:rPr>
      <w:rFonts w:ascii="宋体" w:hAnsi="宋体" w:cs="宋体"/>
      <w:sz w:val="28"/>
      <w:szCs w:val="28"/>
    </w:rPr>
  </w:style>
  <w:style w:type="character" w:customStyle="1" w:styleId="306">
    <w:name w:val="font101"/>
    <w:basedOn w:val="45"/>
    <w:qFormat/>
    <w:uiPriority w:val="0"/>
    <w:rPr>
      <w:rFonts w:hint="eastAsia" w:ascii="宋体" w:hAnsi="宋体" w:eastAsia="宋体" w:cs="宋体"/>
      <w:color w:val="FF0000"/>
      <w:sz w:val="18"/>
      <w:szCs w:val="18"/>
      <w:u w:val="none"/>
    </w:rPr>
  </w:style>
  <w:style w:type="character" w:customStyle="1" w:styleId="307">
    <w:name w:val="font51"/>
    <w:basedOn w:val="45"/>
    <w:qFormat/>
    <w:uiPriority w:val="0"/>
    <w:rPr>
      <w:rFonts w:ascii="Calibri" w:hAnsi="Calibri" w:cs="Calibri"/>
      <w:color w:val="000000"/>
      <w:sz w:val="21"/>
      <w:szCs w:val="21"/>
      <w:u w:val="none"/>
    </w:rPr>
  </w:style>
  <w:style w:type="paragraph" w:customStyle="1" w:styleId="308">
    <w:name w:val="Table Paragraph"/>
    <w:basedOn w:val="1"/>
    <w:qFormat/>
    <w:uiPriority w:val="1"/>
    <w:pPr>
      <w:ind w:firstLine="560" w:firstLineChars="200"/>
    </w:pPr>
    <w:rPr>
      <w:rFonts w:ascii="宋体" w:hAnsi="宋体" w:cs="宋体"/>
      <w:sz w:val="28"/>
      <w:szCs w:val="28"/>
      <w:lang w:val="zh-CN" w:bidi="zh-CN"/>
    </w:rPr>
  </w:style>
  <w:style w:type="character" w:customStyle="1" w:styleId="309">
    <w:name w:val="表格文字 字符"/>
    <w:basedOn w:val="45"/>
    <w:link w:val="97"/>
    <w:qFormat/>
    <w:uiPriority w:val="0"/>
    <w:rPr>
      <w:rFonts w:ascii="Times New (W1)" w:hAnsi="Times New (W1)" w:eastAsia="宋体" w:cs="Times New Roman"/>
      <w:spacing w:val="10"/>
      <w:szCs w:val="24"/>
    </w:rPr>
  </w:style>
  <w:style w:type="paragraph" w:customStyle="1" w:styleId="310">
    <w:name w:val="Revision"/>
    <w:hidden/>
    <w:semiHidden/>
    <w:qFormat/>
    <w:uiPriority w:val="99"/>
    <w:rPr>
      <w:rFonts w:ascii="Calibri" w:hAnsi="Calibri" w:eastAsia="宋体" w:cs="Times New Roman"/>
      <w:kern w:val="2"/>
      <w:sz w:val="21"/>
      <w:szCs w:val="22"/>
      <w:lang w:val="en-US" w:eastAsia="zh-CN" w:bidi="ar-SA"/>
    </w:rPr>
  </w:style>
  <w:style w:type="paragraph" w:customStyle="1" w:styleId="311">
    <w:name w:val="正文3"/>
    <w:qFormat/>
    <w:uiPriority w:val="99"/>
    <w:pPr>
      <w:jc w:val="both"/>
    </w:pPr>
    <w:rPr>
      <w:rFonts w:ascii="Calibri" w:hAnsi="Calibri" w:eastAsia="宋体" w:cs="Calibri"/>
      <w:kern w:val="2"/>
      <w:sz w:val="21"/>
      <w:szCs w:val="21"/>
      <w:lang w:val="en-US" w:eastAsia="zh-CN" w:bidi="ar-SA"/>
    </w:rPr>
  </w:style>
  <w:style w:type="paragraph" w:customStyle="1" w:styleId="312">
    <w:name w:val="Body text|1"/>
    <w:basedOn w:val="313"/>
    <w:qFormat/>
    <w:uiPriority w:val="0"/>
    <w:pPr>
      <w:widowControl w:val="0"/>
      <w:shd w:val="clear" w:color="auto" w:fill="auto"/>
      <w:spacing w:line="295" w:lineRule="auto"/>
    </w:pPr>
    <w:rPr>
      <w:rFonts w:ascii="宋体" w:hAnsi="宋体" w:eastAsia="宋体" w:cs="宋体"/>
      <w:sz w:val="26"/>
      <w:szCs w:val="26"/>
      <w:u w:val="none"/>
      <w:shd w:val="clear" w:color="auto" w:fill="auto"/>
      <w:lang w:val="zh-TW" w:eastAsia="zh-TW" w:bidi="zh-TW"/>
    </w:rPr>
  </w:style>
  <w:style w:type="paragraph" w:customStyle="1" w:styleId="313">
    <w:name w:val="Normal_21_0"/>
    <w:next w:val="314"/>
    <w:qFormat/>
    <w:uiPriority w:val="0"/>
    <w:pPr>
      <w:widowControl w:val="0"/>
      <w:jc w:val="both"/>
    </w:pPr>
    <w:rPr>
      <w:rFonts w:ascii="Calibri" w:hAnsi="Calibri" w:eastAsia="方正仿宋" w:cs="Times New Roman"/>
      <w:kern w:val="2"/>
      <w:sz w:val="32"/>
      <w:szCs w:val="24"/>
      <w:lang w:val="en-US" w:eastAsia="zh-CN" w:bidi="ar-SA"/>
    </w:rPr>
  </w:style>
  <w:style w:type="paragraph" w:customStyle="1" w:styleId="314">
    <w:name w:val="Body Text_2"/>
    <w:basedOn w:val="313"/>
    <w:next w:val="313"/>
    <w:qFormat/>
    <w:uiPriority w:val="0"/>
    <w:pPr>
      <w:spacing w:after="120"/>
    </w:pPr>
    <w:rPr>
      <w:rFonts w:eastAsia="宋体"/>
      <w:sz w:val="21"/>
      <w:szCs w:val="20"/>
    </w:rPr>
  </w:style>
  <w:style w:type="paragraph" w:customStyle="1" w:styleId="315">
    <w:name w:val="正文_6_0"/>
    <w:next w:val="316"/>
    <w:qFormat/>
    <w:uiPriority w:val="0"/>
    <w:pPr>
      <w:widowControl w:val="0"/>
      <w:jc w:val="both"/>
    </w:pPr>
    <w:rPr>
      <w:rFonts w:ascii="Calibri" w:hAnsi="Calibri" w:eastAsia="宋体" w:cs="Times New Roman"/>
      <w:kern w:val="2"/>
      <w:sz w:val="21"/>
      <w:szCs w:val="22"/>
      <w:lang w:val="en-US" w:eastAsia="zh-CN" w:bidi="ar-SA"/>
    </w:rPr>
  </w:style>
  <w:style w:type="paragraph" w:customStyle="1" w:styleId="316">
    <w:name w:val="正文文本_0_0_0_0_0"/>
    <w:basedOn w:val="315"/>
    <w:qFormat/>
    <w:uiPriority w:val="1"/>
    <w:pPr>
      <w:adjustRightInd w:val="0"/>
      <w:spacing w:after="60" w:line="360" w:lineRule="atLeast"/>
      <w:ind w:left="72" w:leftChars="30" w:right="30" w:rightChars="30"/>
      <w:jc w:val="center"/>
      <w:textAlignment w:val="baseline"/>
    </w:pPr>
  </w:style>
  <w:style w:type="paragraph" w:customStyle="1" w:styleId="317">
    <w:name w:val="*正文"/>
    <w:basedOn w:val="1"/>
    <w:qFormat/>
    <w:uiPriority w:val="0"/>
    <w:pPr>
      <w:widowControl/>
      <w:spacing w:line="360" w:lineRule="auto"/>
      <w:ind w:firstLine="200" w:firstLineChars="200"/>
      <w:jc w:val="left"/>
    </w:pPr>
    <w:rPr>
      <w:rFonts w:ascii="宋体" w:hAnsi="宋体" w:eastAsia="宋体" w:cs="宋体"/>
      <w:sz w:val="24"/>
      <w:szCs w:val="28"/>
    </w:rPr>
  </w:style>
  <w:style w:type="character" w:customStyle="1" w:styleId="318">
    <w:name w:val="*正文 Char"/>
    <w:qFormat/>
    <w:uiPriority w:val="0"/>
    <w:rPr>
      <w:rFonts w:ascii="Times New Roman" w:hAnsi="Times New Roman" w:cs="Times New Roman"/>
      <w:szCs w:val="24"/>
      <w:lang w:val="zh-CN"/>
    </w:rPr>
  </w:style>
  <w:style w:type="paragraph" w:customStyle="1" w:styleId="319">
    <w:name w:val="正文_0"/>
    <w:qFormat/>
    <w:uiPriority w:val="0"/>
    <w:pPr>
      <w:widowControl w:val="0"/>
      <w:jc w:val="both"/>
    </w:pPr>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4" Type="http://schemas.openxmlformats.org/officeDocument/2006/relationships/fontTable" Target="fontTable.xml"/><Relationship Id="rId33" Type="http://schemas.openxmlformats.org/officeDocument/2006/relationships/customXml" Target="../customXml/item2.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19.png"/><Relationship Id="rId3" Type="http://schemas.openxmlformats.org/officeDocument/2006/relationships/header" Target="header1.xml"/><Relationship Id="rId29" Type="http://schemas.openxmlformats.org/officeDocument/2006/relationships/image" Target="media/image18.png"/><Relationship Id="rId28" Type="http://schemas.openxmlformats.org/officeDocument/2006/relationships/image" Target="media/image17.png"/><Relationship Id="rId27" Type="http://schemas.openxmlformats.org/officeDocument/2006/relationships/image" Target="media/image16.png"/><Relationship Id="rId26" Type="http://schemas.openxmlformats.org/officeDocument/2006/relationships/image" Target="media/image15.png"/><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37C2907-A2D1-4C1C-8740-BDF4BA127CCB}">
  <ds:schemaRefs/>
</ds:datastoreItem>
</file>

<file path=docProps/app.xml><?xml version="1.0" encoding="utf-8"?>
<Properties xmlns="http://schemas.openxmlformats.org/officeDocument/2006/extended-properties" xmlns:vt="http://schemas.openxmlformats.org/officeDocument/2006/docPropsVTypes">
  <Template>Normal.dotm</Template>
  <Pages>123</Pages>
  <Words>60076</Words>
  <Characters>64204</Characters>
  <Lines>473</Lines>
  <Paragraphs>133</Paragraphs>
  <TotalTime>46</TotalTime>
  <ScaleCrop>false</ScaleCrop>
  <LinksUpToDate>false</LinksUpToDate>
  <CharactersWithSpaces>67125</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2021-07-22T07:43:00Z</dcterms:created>
  <dc:creator>高文豪</dc:creator>
  <cp:lastModifiedBy>达令希</cp:lastModifiedBy>
  <cp:lastPrinted>2021-08-12T10:17:00Z</cp:lastPrinted>
  <dcterms:modified xsi:type="dcterms:W3CDTF">2021-09-03T05:04:24Z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SaveFontToCloudKey">
    <vt:lpwstr>478021380_btnclosed</vt:lpwstr>
  </property>
  <property fmtid="{D5CDD505-2E9C-101B-9397-08002B2CF9AE}" pid="4" name="ICV">
    <vt:lpwstr>8CEBE6AEAC5F4F43B2F2C7B9BA4A101C</vt:lpwstr>
  </property>
</Properties>
</file>